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492EF" w14:textId="77777777" w:rsidR="00CA4A39" w:rsidRDefault="00CA4A39">
      <w:pPr>
        <w:pBdr>
          <w:top w:val="nil"/>
          <w:left w:val="nil"/>
          <w:bottom w:val="nil"/>
          <w:right w:val="nil"/>
          <w:between w:val="nil"/>
        </w:pBdr>
        <w:spacing w:line="276" w:lineRule="auto"/>
        <w:jc w:val="right"/>
        <w:rPr>
          <w:rFonts w:ascii="Arial" w:eastAsia="Arial" w:hAnsi="Arial" w:cs="Arial"/>
          <w:b/>
          <w:color w:val="000000"/>
          <w:sz w:val="36"/>
          <w:szCs w:val="36"/>
        </w:rPr>
      </w:pPr>
    </w:p>
    <w:p w14:paraId="3FEC720B" w14:textId="77777777" w:rsidR="00B10536" w:rsidRDefault="00B10536">
      <w:pPr>
        <w:pBdr>
          <w:top w:val="nil"/>
          <w:left w:val="nil"/>
          <w:bottom w:val="nil"/>
          <w:right w:val="nil"/>
          <w:between w:val="nil"/>
        </w:pBdr>
        <w:spacing w:line="276" w:lineRule="auto"/>
        <w:jc w:val="right"/>
        <w:rPr>
          <w:rFonts w:ascii="Arial" w:eastAsia="Arial" w:hAnsi="Arial" w:cs="Arial"/>
          <w:b/>
          <w:color w:val="000000"/>
          <w:sz w:val="36"/>
          <w:szCs w:val="36"/>
        </w:rPr>
      </w:pPr>
      <w:r w:rsidRPr="00B10536">
        <w:rPr>
          <w:rFonts w:ascii="Arial" w:eastAsia="Arial" w:hAnsi="Arial" w:cs="Arial"/>
          <w:b/>
          <w:color w:val="000000"/>
          <w:sz w:val="36"/>
          <w:szCs w:val="36"/>
        </w:rPr>
        <w:t xml:space="preserve">Effect of Leaf Rust Disease on Berry Yield in </w:t>
      </w:r>
      <w:proofErr w:type="spellStart"/>
      <w:r w:rsidRPr="00B10536">
        <w:rPr>
          <w:rFonts w:ascii="Arial" w:eastAsia="Arial" w:hAnsi="Arial" w:cs="Arial"/>
          <w:b/>
          <w:i/>
          <w:iCs/>
          <w:color w:val="000000"/>
          <w:sz w:val="36"/>
          <w:szCs w:val="36"/>
        </w:rPr>
        <w:t>Coffea</w:t>
      </w:r>
      <w:proofErr w:type="spellEnd"/>
      <w:r w:rsidRPr="00B10536">
        <w:rPr>
          <w:rFonts w:ascii="Arial" w:eastAsia="Arial" w:hAnsi="Arial" w:cs="Arial"/>
          <w:b/>
          <w:i/>
          <w:iCs/>
          <w:color w:val="000000"/>
          <w:sz w:val="36"/>
          <w:szCs w:val="36"/>
        </w:rPr>
        <w:t xml:space="preserve"> </w:t>
      </w:r>
      <w:proofErr w:type="spellStart"/>
      <w:r w:rsidRPr="00B10536">
        <w:rPr>
          <w:rFonts w:ascii="Arial" w:eastAsia="Arial" w:hAnsi="Arial" w:cs="Arial"/>
          <w:b/>
          <w:i/>
          <w:iCs/>
          <w:color w:val="000000"/>
          <w:sz w:val="36"/>
          <w:szCs w:val="36"/>
        </w:rPr>
        <w:t>liberica</w:t>
      </w:r>
      <w:proofErr w:type="spellEnd"/>
      <w:r w:rsidRPr="00B10536">
        <w:rPr>
          <w:rFonts w:ascii="Arial" w:eastAsia="Arial" w:hAnsi="Arial" w:cs="Arial"/>
          <w:b/>
          <w:color w:val="000000"/>
          <w:sz w:val="36"/>
          <w:szCs w:val="36"/>
        </w:rPr>
        <w:t>: A Two-Year Study of New Clonal Responses in MARDI Kluang, Malaysia</w:t>
      </w:r>
    </w:p>
    <w:p w14:paraId="2627909A" w14:textId="7EB8168B" w:rsidR="009C1ED2" w:rsidRDefault="009C1ED2">
      <w:pPr>
        <w:pBdr>
          <w:top w:val="nil"/>
          <w:left w:val="nil"/>
          <w:bottom w:val="nil"/>
          <w:right w:val="nil"/>
          <w:between w:val="nil"/>
        </w:pBdr>
        <w:spacing w:line="276" w:lineRule="auto"/>
        <w:jc w:val="both"/>
        <w:rPr>
          <w:rFonts w:ascii="Arial" w:eastAsia="Arial" w:hAnsi="Arial" w:cs="Arial"/>
          <w:color w:val="000000"/>
        </w:rPr>
      </w:pPr>
    </w:p>
    <w:p w14:paraId="7745D099" w14:textId="77777777" w:rsidR="00D53D5F" w:rsidRDefault="00D53D5F">
      <w:pPr>
        <w:pBdr>
          <w:top w:val="nil"/>
          <w:left w:val="nil"/>
          <w:bottom w:val="nil"/>
          <w:right w:val="nil"/>
          <w:between w:val="nil"/>
        </w:pBdr>
        <w:spacing w:line="276" w:lineRule="auto"/>
        <w:jc w:val="both"/>
        <w:rPr>
          <w:rFonts w:ascii="Arial" w:eastAsia="Arial" w:hAnsi="Arial" w:cs="Arial"/>
          <w:color w:val="000000"/>
        </w:rPr>
      </w:pPr>
    </w:p>
    <w:p w14:paraId="56E337DD" w14:textId="77777777" w:rsidR="009C1ED2" w:rsidRDefault="00E37E9E">
      <w:pPr>
        <w:pBdr>
          <w:top w:val="nil"/>
          <w:left w:val="nil"/>
          <w:bottom w:val="nil"/>
          <w:right w:val="nil"/>
          <w:between w:val="nil"/>
        </w:pBdr>
        <w:spacing w:line="276" w:lineRule="auto"/>
        <w:jc w:val="both"/>
        <w:rPr>
          <w:rFonts w:ascii="Arial" w:eastAsia="Arial" w:hAnsi="Arial" w:cs="Arial"/>
          <w:color w:val="000000"/>
          <w:sz w:val="16"/>
          <w:szCs w:val="16"/>
        </w:rPr>
        <w:sectPr w:rsidR="009C1ED2" w:rsidSect="00D53D5F">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0" distR="0" wp14:anchorId="4ADD2178" wp14:editId="2059C4A6">
                <wp:extent cx="635" cy="19050"/>
                <wp:effectExtent l="0" t="0" r="0" b="0"/>
                <wp:docPr id="1722958877" name="Straight Arrow Connector 1722958877"/>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07B4B75" id="_x0000_t32" coordsize="21600,21600" o:spt="32" o:oned="t" path="m,l21600,21600e" filled="f">
                <v:path arrowok="t" fillok="f" o:connecttype="none"/>
                <o:lock v:ext="edit" shapetype="t"/>
              </v:shapetype>
              <v:shape id="Straight Arrow Connector 1722958877" o:spid="_x0000_s1026" type="#_x0000_t32" style="width:.05pt;height: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54ywEAAI4DAAAOAAAAZHJzL2Uyb0RvYy54bWysU0tv2zAMvg/YfxB0X+w4TdcGcXpI1l2G&#10;rUC3H8DoYQuQREFS4+Tfj1K6Zo/LUFQHmhLJjx8fXt8dnWUHFZNB3/P5rOVMeYHS+KHnP77ff7jh&#10;LGXwEix61fOTSvxu8/7degor1eGIVqrICMSn1RR6PuYcVk2TxKgcpBkG5cmoMTrIdI1DIyNMhO5s&#10;07XtdTNhlCGiUCnR6+5s5JuKr7US+ZvWSWVme07ccpWxyn2RzWYNqyFCGI14pgGvYOHAeEr6ArWD&#10;DOwpmn+gnBERE+o8E+ga1NoIVWugaubtX9U8jhBUrYWak8JLm9LbwYqvh61/iNSGKaRVCg+xVHHU&#10;0ZUv8WPHnnfXt1fdFbXv1PPFx5uWzrlx6piZIIflol0sO3IQ5FFtzQUkxJQ/K3SsKD1POYIZxrxF&#10;72k8GOe1cXD4kjLRoMBfAYWBx3tjbZ2S9WyiFbttlyUR0LJoC5lUFyTB+qHiJLRGlpgSneKw39rI&#10;DlDGX08hTjn+cCsJd5DGs181neuL+ORlTT4qkJ+8ZPkUaIs97TIvbJySnFlFq1+06pnB2P/xJBLW&#10;E5dL34u2R3mq46jvNPTK9nlBy1b9fq/Rl99o8xMAAP//AwBQSwMEFAAGAAgAAAAhANqmw6fUAAAA&#10;AAEAAA8AAABkcnMvZG93bnJldi54bWxMj8FKxEAQRO+C/zC04EXciQpLiOksInjyYFz3AzqZ3iRs&#10;pidkJpvx7x33opeGooqq1+Uu2lGdefaDE4SHTQaKpXVmkA7h8PV2n4PygcTQ6IQRvtnDrrq+Kqkw&#10;bpVPPu9Dp1KJ+IIQ+hCmQmvf9mzJb9zEkryjmy2FJOdOm5nWVG5H/ZhlW21pkLTQ08SvPben/WIR&#10;4sdWQqzz2KyyvPv8ro5ka8Tbm/jyDCpwDH9h+MVP6FAlpsYtYrwaEdIj4XIvnmoQnjLQVan/g1c/&#10;AAAA//8DAFBLAQItABQABgAIAAAAIQC2gziS/gAAAOEBAAATAAAAAAAAAAAAAAAAAAAAAABbQ29u&#10;dGVudF9UeXBlc10ueG1sUEsBAi0AFAAGAAgAAAAhADj9If/WAAAAlAEAAAsAAAAAAAAAAAAAAAAA&#10;LwEAAF9yZWxzLy5yZWxzUEsBAi0AFAAGAAgAAAAhAOCRDnjLAQAAjgMAAA4AAAAAAAAAAAAAAAAA&#10;LgIAAGRycy9lMm9Eb2MueG1sUEsBAi0AFAAGAAgAAAAhANqmw6fUAAAAAAEAAA8AAAAAAAAAAAAA&#10;AAAAJQQAAGRycy9kb3ducmV2LnhtbFBLBQYAAAAABAAEAPMAAAAmBQAAAAA=&#10;" strokeweight="1.5pt">
                <w10:anchorlock/>
              </v:shape>
            </w:pict>
          </mc:Fallback>
        </mc:AlternateContent>
      </w:r>
      <w:r>
        <w:rPr>
          <w:rFonts w:ascii="Arial" w:eastAsia="Arial" w:hAnsi="Arial" w:cs="Arial"/>
          <w:color w:val="000000"/>
          <w:sz w:val="16"/>
          <w:szCs w:val="16"/>
        </w:rPr>
        <w:t>.</w:t>
      </w:r>
    </w:p>
    <w:p w14:paraId="65E303E8" w14:textId="77777777"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5119C754"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tbl>
      <w:tblPr>
        <w:tblStyle w:val="3"/>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9C1ED2" w14:paraId="3651BE44" w14:textId="77777777">
        <w:tc>
          <w:tcPr>
            <w:tcW w:w="8198" w:type="dxa"/>
            <w:shd w:val="clear" w:color="auto" w:fill="F2F2F2"/>
          </w:tcPr>
          <w:p w14:paraId="3B5A4456" w14:textId="2213EC83" w:rsidR="00094841" w:rsidRDefault="00E37E9E">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 xml:space="preserve">Aims: </w:t>
            </w:r>
            <w:r w:rsidR="004B7342" w:rsidRPr="004B7342">
              <w:rPr>
                <w:rFonts w:ascii="Arial" w:eastAsia="Arial" w:hAnsi="Arial" w:cs="Arial"/>
                <w:color w:val="000000"/>
              </w:rPr>
              <w:t xml:space="preserve">Coffee leaf rust (CLR), caused by </w:t>
            </w:r>
            <w:proofErr w:type="spellStart"/>
            <w:r w:rsidR="004B7342" w:rsidRPr="004B7342">
              <w:rPr>
                <w:rFonts w:ascii="Arial" w:eastAsia="Arial" w:hAnsi="Arial" w:cs="Arial"/>
                <w:i/>
                <w:iCs/>
                <w:color w:val="000000"/>
              </w:rPr>
              <w:t>Hemileia</w:t>
            </w:r>
            <w:proofErr w:type="spellEnd"/>
            <w:r w:rsidR="004B7342" w:rsidRPr="004B7342">
              <w:rPr>
                <w:rFonts w:ascii="Arial" w:eastAsia="Arial" w:hAnsi="Arial" w:cs="Arial"/>
                <w:i/>
                <w:iCs/>
                <w:color w:val="000000"/>
              </w:rPr>
              <w:t xml:space="preserve"> </w:t>
            </w:r>
            <w:proofErr w:type="spellStart"/>
            <w:r w:rsidR="004B7342" w:rsidRPr="004B7342">
              <w:rPr>
                <w:rFonts w:ascii="Arial" w:eastAsia="Arial" w:hAnsi="Arial" w:cs="Arial"/>
                <w:i/>
                <w:iCs/>
                <w:color w:val="000000"/>
              </w:rPr>
              <w:t>vastatrix</w:t>
            </w:r>
            <w:proofErr w:type="spellEnd"/>
            <w:r w:rsidR="004B7342" w:rsidRPr="004B7342">
              <w:rPr>
                <w:rFonts w:ascii="Arial" w:eastAsia="Arial" w:hAnsi="Arial" w:cs="Arial"/>
                <w:color w:val="000000"/>
              </w:rPr>
              <w:t xml:space="preserve">, is the most important coffee disease worldwide. Although </w:t>
            </w:r>
            <w:proofErr w:type="spellStart"/>
            <w:r w:rsidR="004B7342" w:rsidRPr="004B7342">
              <w:rPr>
                <w:rFonts w:ascii="Arial" w:eastAsia="Arial" w:hAnsi="Arial" w:cs="Arial"/>
                <w:i/>
                <w:iCs/>
                <w:color w:val="000000"/>
              </w:rPr>
              <w:t>Coffea</w:t>
            </w:r>
            <w:proofErr w:type="spellEnd"/>
            <w:r w:rsidR="004B7342" w:rsidRPr="004B7342">
              <w:rPr>
                <w:rFonts w:ascii="Arial" w:eastAsia="Arial" w:hAnsi="Arial" w:cs="Arial"/>
                <w:i/>
                <w:iCs/>
                <w:color w:val="000000"/>
              </w:rPr>
              <w:t xml:space="preserve"> </w:t>
            </w:r>
            <w:proofErr w:type="spellStart"/>
            <w:r w:rsidR="004B7342" w:rsidRPr="004B7342">
              <w:rPr>
                <w:rFonts w:ascii="Arial" w:eastAsia="Arial" w:hAnsi="Arial" w:cs="Arial"/>
                <w:i/>
                <w:iCs/>
                <w:color w:val="000000"/>
              </w:rPr>
              <w:t>liberica</w:t>
            </w:r>
            <w:proofErr w:type="spellEnd"/>
            <w:r w:rsidR="004B7342" w:rsidRPr="004B7342">
              <w:rPr>
                <w:rFonts w:ascii="Arial" w:eastAsia="Arial" w:hAnsi="Arial" w:cs="Arial"/>
                <w:color w:val="000000"/>
              </w:rPr>
              <w:t xml:space="preserve"> contributes &lt;1% of global coffee production, it dominates Malaysia’s industry, yet information on its resistance to CLR and associated yield impacts remains scarce. This study evaluated the effects of CLR on berry yield in five newly developed </w:t>
            </w:r>
            <w:proofErr w:type="spellStart"/>
            <w:r w:rsidR="004B7342" w:rsidRPr="004B7342">
              <w:rPr>
                <w:rFonts w:ascii="Arial" w:eastAsia="Arial" w:hAnsi="Arial" w:cs="Arial"/>
                <w:color w:val="000000"/>
              </w:rPr>
              <w:t>Liberica</w:t>
            </w:r>
            <w:proofErr w:type="spellEnd"/>
            <w:r w:rsidR="004B7342" w:rsidRPr="004B7342">
              <w:rPr>
                <w:rFonts w:ascii="Arial" w:eastAsia="Arial" w:hAnsi="Arial" w:cs="Arial"/>
                <w:color w:val="000000"/>
              </w:rPr>
              <w:t xml:space="preserve"> clones under Malaysian field conditions.</w:t>
            </w:r>
          </w:p>
          <w:p w14:paraId="67B328A5" w14:textId="31FF0D0A" w:rsidR="009C1ED2" w:rsidRDefault="00E37E9E">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w:t>
            </w:r>
            <w:r w:rsidR="00094841" w:rsidRPr="00094841">
              <w:rPr>
                <w:rFonts w:ascii="Arial" w:eastAsia="Arial" w:hAnsi="Arial" w:cs="Arial"/>
                <w:color w:val="000000"/>
              </w:rPr>
              <w:t>A randomized complete block design with three replicates</w:t>
            </w:r>
            <w:r w:rsidR="006617D9" w:rsidRPr="006617D9">
              <w:rPr>
                <w:rFonts w:ascii="Arial" w:eastAsia="Arial" w:hAnsi="Arial" w:cs="Arial"/>
                <w:color w:val="000000"/>
              </w:rPr>
              <w:t>.</w:t>
            </w:r>
          </w:p>
          <w:p w14:paraId="5F2B1E7A" w14:textId="66EFBADD" w:rsidR="009C1ED2" w:rsidRDefault="00E37E9E">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w:t>
            </w:r>
            <w:r w:rsidR="006617D9" w:rsidRPr="006617D9">
              <w:rPr>
                <w:rFonts w:ascii="Arial" w:eastAsia="Arial" w:hAnsi="Arial" w:cs="Arial"/>
                <w:color w:val="000000"/>
              </w:rPr>
              <w:t xml:space="preserve">The study </w:t>
            </w:r>
            <w:r w:rsidR="00094841" w:rsidRPr="00094841">
              <w:rPr>
                <w:rFonts w:ascii="Arial" w:eastAsia="Arial" w:hAnsi="Arial" w:cs="Arial"/>
                <w:color w:val="000000"/>
              </w:rPr>
              <w:t xml:space="preserve">was conducted at the MARDI research station, Kluang, Johor, </w:t>
            </w:r>
            <w:r w:rsidR="00094841">
              <w:rPr>
                <w:rFonts w:ascii="Arial" w:eastAsia="Arial" w:hAnsi="Arial" w:cs="Arial"/>
                <w:color w:val="000000"/>
              </w:rPr>
              <w:t xml:space="preserve">Malaysia </w:t>
            </w:r>
            <w:r w:rsidR="00094841" w:rsidRPr="00094841">
              <w:rPr>
                <w:rFonts w:ascii="Arial" w:eastAsia="Arial" w:hAnsi="Arial" w:cs="Arial"/>
                <w:color w:val="000000"/>
              </w:rPr>
              <w:t>over two years (July 2021–June 2023)</w:t>
            </w:r>
            <w:r w:rsidR="006617D9" w:rsidRPr="006617D9">
              <w:rPr>
                <w:rFonts w:ascii="Arial" w:eastAsia="Arial" w:hAnsi="Arial" w:cs="Arial"/>
                <w:color w:val="000000"/>
              </w:rPr>
              <w:t>.</w:t>
            </w:r>
          </w:p>
          <w:p w14:paraId="143D14AD" w14:textId="6CF67B56" w:rsidR="009C1ED2" w:rsidRDefault="00E37E9E">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Methodology:</w:t>
            </w:r>
            <w:r w:rsidR="009B71A6" w:rsidRPr="009B71A6">
              <w:rPr>
                <w:rFonts w:ascii="Arial" w:eastAsia="Arial" w:hAnsi="Arial" w:cs="Arial"/>
                <w:b/>
                <w:color w:val="000000"/>
              </w:rPr>
              <w:t xml:space="preserve"> </w:t>
            </w:r>
            <w:r w:rsidR="00CA2AF6" w:rsidRPr="00CA2AF6">
              <w:rPr>
                <w:rFonts w:ascii="Arial" w:eastAsia="Arial" w:hAnsi="Arial" w:cs="Arial"/>
                <w:bCs/>
                <w:color w:val="000000"/>
              </w:rPr>
              <w:t>Berry yield, disease incidence (INC) and disease severity index (DSI) were recorded monthly. Data were analyzed using ANOVA (Tukey’s test, p ≤ 0.05) and Pearson’s correlation to evaluate relationships between yield and disease parameters.</w:t>
            </w:r>
          </w:p>
          <w:p w14:paraId="064EE8F9" w14:textId="2C3272C1" w:rsidR="009C1ED2" w:rsidRDefault="00E37E9E">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Results:</w:t>
            </w:r>
            <w:r>
              <w:rPr>
                <w:rFonts w:ascii="Arial" w:eastAsia="Arial" w:hAnsi="Arial" w:cs="Arial"/>
                <w:color w:val="000000"/>
              </w:rPr>
              <w:t xml:space="preserve"> </w:t>
            </w:r>
            <w:r w:rsidR="004B7342" w:rsidRPr="004B7342">
              <w:rPr>
                <w:rFonts w:ascii="Arial" w:eastAsia="Arial" w:hAnsi="Arial" w:cs="Arial"/>
                <w:color w:val="000000"/>
              </w:rPr>
              <w:t>Significant clonal variability was observed. Clone 213 consistently achieved the highest yields (1.420 kg/tree in Year 1; 0.623 kg/tree in Year 2) with the lowest disease levels (INC 27.2–19.4%; DSI 9.2–4.6%). Clone 222 was most susceptible (lowest yield, highest DSI), while clone 224 exhibited tolerance in Year 1 but declined sharply in Year 2. Control MKL 7 performed moderately but was disease-sensitive. Yield–disease correlations strengthened in Year 2, reflecting biennial bearing and climatic stress.</w:t>
            </w:r>
          </w:p>
          <w:p w14:paraId="1C4C4DCF" w14:textId="4A5019DD" w:rsidR="009C1ED2" w:rsidRDefault="00E37E9E">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w:t>
            </w:r>
            <w:r w:rsidR="004B7342" w:rsidRPr="004B7342">
              <w:rPr>
                <w:rFonts w:ascii="Arial" w:eastAsia="Arial" w:hAnsi="Arial" w:cs="Arial"/>
                <w:color w:val="000000"/>
              </w:rPr>
              <w:t xml:space="preserve">This study provides the first field-based evidence of CLR impacts on </w:t>
            </w:r>
            <w:proofErr w:type="spellStart"/>
            <w:r w:rsidR="004B7342" w:rsidRPr="004B7342">
              <w:rPr>
                <w:rFonts w:ascii="Arial" w:eastAsia="Arial" w:hAnsi="Arial" w:cs="Arial"/>
                <w:color w:val="000000"/>
              </w:rPr>
              <w:t>Liberica</w:t>
            </w:r>
            <w:proofErr w:type="spellEnd"/>
            <w:r w:rsidR="004B7342" w:rsidRPr="004B7342">
              <w:rPr>
                <w:rFonts w:ascii="Arial" w:eastAsia="Arial" w:hAnsi="Arial" w:cs="Arial"/>
                <w:color w:val="000000"/>
              </w:rPr>
              <w:t xml:space="preserve"> in Malaysia. CLR substantially reduces productivity, but clone 213 emerges as a resistant, high-yielding candidate for sustainable cultivation</w:t>
            </w:r>
            <w:r w:rsidR="00CA2AF6" w:rsidRPr="00CA2AF6">
              <w:rPr>
                <w:rFonts w:ascii="Arial" w:eastAsia="Arial" w:hAnsi="Arial" w:cs="Arial"/>
                <w:color w:val="000000"/>
              </w:rPr>
              <w:t xml:space="preserve">. </w:t>
            </w:r>
          </w:p>
        </w:tc>
      </w:tr>
    </w:tbl>
    <w:p w14:paraId="78FCF5CA" w14:textId="77777777" w:rsidR="009C1ED2" w:rsidRDefault="009C1ED2">
      <w:pPr>
        <w:pBdr>
          <w:top w:val="nil"/>
          <w:left w:val="nil"/>
          <w:bottom w:val="nil"/>
          <w:right w:val="nil"/>
          <w:between w:val="nil"/>
        </w:pBdr>
        <w:spacing w:line="276" w:lineRule="auto"/>
        <w:jc w:val="both"/>
        <w:rPr>
          <w:rFonts w:ascii="Arial" w:eastAsia="Arial" w:hAnsi="Arial" w:cs="Arial"/>
          <w:i/>
          <w:color w:val="000000"/>
        </w:rPr>
      </w:pPr>
    </w:p>
    <w:p w14:paraId="1B6E4457" w14:textId="469EE87D" w:rsidR="009C1ED2" w:rsidRDefault="00E37E9E">
      <w:pPr>
        <w:pBdr>
          <w:top w:val="nil"/>
          <w:left w:val="nil"/>
          <w:bottom w:val="nil"/>
          <w:right w:val="nil"/>
          <w:between w:val="nil"/>
        </w:pBdr>
        <w:spacing w:line="276" w:lineRule="auto"/>
        <w:jc w:val="both"/>
        <w:rPr>
          <w:rFonts w:ascii="Arial" w:eastAsia="Arial" w:hAnsi="Arial" w:cs="Arial"/>
          <w:i/>
          <w:color w:val="000000"/>
        </w:rPr>
      </w:pPr>
      <w:r>
        <w:rPr>
          <w:rFonts w:ascii="Arial" w:eastAsia="Arial" w:hAnsi="Arial" w:cs="Arial"/>
          <w:i/>
          <w:color w:val="000000"/>
        </w:rPr>
        <w:t xml:space="preserve">Keywords: </w:t>
      </w:r>
      <w:proofErr w:type="spellStart"/>
      <w:r w:rsidR="007A7413" w:rsidRPr="007A7413">
        <w:rPr>
          <w:rFonts w:ascii="Arial" w:eastAsia="Arial" w:hAnsi="Arial" w:cs="Arial"/>
          <w:i/>
          <w:color w:val="000000"/>
        </w:rPr>
        <w:t>Coffea</w:t>
      </w:r>
      <w:proofErr w:type="spellEnd"/>
      <w:r w:rsidR="007A7413" w:rsidRPr="007A7413">
        <w:rPr>
          <w:rFonts w:ascii="Arial" w:eastAsia="Arial" w:hAnsi="Arial" w:cs="Arial"/>
          <w:i/>
          <w:color w:val="000000"/>
        </w:rPr>
        <w:t xml:space="preserve"> </w:t>
      </w:r>
      <w:proofErr w:type="spellStart"/>
      <w:r w:rsidR="007A7413" w:rsidRPr="007A7413">
        <w:rPr>
          <w:rFonts w:ascii="Arial" w:eastAsia="Arial" w:hAnsi="Arial" w:cs="Arial"/>
          <w:i/>
          <w:color w:val="000000"/>
        </w:rPr>
        <w:t>liberica</w:t>
      </w:r>
      <w:proofErr w:type="spellEnd"/>
      <w:r w:rsidR="007A7413" w:rsidRPr="007A7413">
        <w:rPr>
          <w:rFonts w:ascii="Arial" w:eastAsia="Arial" w:hAnsi="Arial" w:cs="Arial"/>
          <w:i/>
          <w:color w:val="000000"/>
        </w:rPr>
        <w:t xml:space="preserve">, </w:t>
      </w:r>
      <w:proofErr w:type="spellStart"/>
      <w:r w:rsidR="007A7413" w:rsidRPr="007A7413">
        <w:rPr>
          <w:rFonts w:ascii="Arial" w:eastAsia="Arial" w:hAnsi="Arial" w:cs="Arial"/>
          <w:i/>
          <w:color w:val="000000"/>
        </w:rPr>
        <w:t>Hemileia</w:t>
      </w:r>
      <w:proofErr w:type="spellEnd"/>
      <w:r w:rsidR="007A7413" w:rsidRPr="007A7413">
        <w:rPr>
          <w:rFonts w:ascii="Arial" w:eastAsia="Arial" w:hAnsi="Arial" w:cs="Arial"/>
          <w:i/>
          <w:color w:val="000000"/>
        </w:rPr>
        <w:t xml:space="preserve"> </w:t>
      </w:r>
      <w:proofErr w:type="spellStart"/>
      <w:r w:rsidR="007A7413" w:rsidRPr="007A7413">
        <w:rPr>
          <w:rFonts w:ascii="Arial" w:eastAsia="Arial" w:hAnsi="Arial" w:cs="Arial"/>
          <w:i/>
          <w:color w:val="000000"/>
        </w:rPr>
        <w:t>vastatrix</w:t>
      </w:r>
      <w:proofErr w:type="spellEnd"/>
      <w:r w:rsidR="007A7413" w:rsidRPr="007A7413">
        <w:rPr>
          <w:rFonts w:ascii="Arial" w:eastAsia="Arial" w:hAnsi="Arial" w:cs="Arial"/>
          <w:i/>
          <w:color w:val="000000"/>
        </w:rPr>
        <w:t>, coffee leaf rust, disease resistance, yield stability, Malaysia</w:t>
      </w:r>
    </w:p>
    <w:p w14:paraId="75332DCC" w14:textId="77777777" w:rsidR="009C1ED2" w:rsidRDefault="009C1ED2">
      <w:pPr>
        <w:pBdr>
          <w:top w:val="nil"/>
          <w:left w:val="nil"/>
          <w:bottom w:val="nil"/>
          <w:right w:val="nil"/>
          <w:between w:val="nil"/>
        </w:pBdr>
        <w:spacing w:line="276" w:lineRule="auto"/>
        <w:jc w:val="both"/>
        <w:rPr>
          <w:rFonts w:ascii="Arial" w:eastAsia="Arial" w:hAnsi="Arial" w:cs="Arial"/>
          <w:iCs/>
          <w:color w:val="000000"/>
        </w:rPr>
      </w:pPr>
    </w:p>
    <w:p w14:paraId="7878B6A6" w14:textId="77777777" w:rsidR="00CA4A39" w:rsidRPr="00CA4A39" w:rsidRDefault="00CA4A39">
      <w:pPr>
        <w:pBdr>
          <w:top w:val="nil"/>
          <w:left w:val="nil"/>
          <w:bottom w:val="nil"/>
          <w:right w:val="nil"/>
          <w:between w:val="nil"/>
        </w:pBdr>
        <w:spacing w:line="276" w:lineRule="auto"/>
        <w:jc w:val="both"/>
        <w:rPr>
          <w:rFonts w:ascii="Arial" w:eastAsia="Arial" w:hAnsi="Arial" w:cs="Arial"/>
          <w:iCs/>
          <w:color w:val="000000"/>
        </w:rPr>
      </w:pPr>
    </w:p>
    <w:p w14:paraId="4770D056" w14:textId="77777777"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4DF55C5E"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335F4515" w14:textId="379B56BF" w:rsidR="000B067D" w:rsidRPr="0006342D" w:rsidRDefault="00882C78" w:rsidP="00DC6B84">
      <w:pPr>
        <w:pStyle w:val="NormalWeb"/>
        <w:spacing w:before="0" w:beforeAutospacing="0" w:after="0" w:afterAutospacing="0" w:line="276" w:lineRule="auto"/>
        <w:contextualSpacing/>
        <w:jc w:val="both"/>
        <w:rPr>
          <w:rFonts w:ascii="Arial" w:hAnsi="Arial" w:cs="Arial"/>
          <w:sz w:val="20"/>
          <w:szCs w:val="20"/>
        </w:rPr>
      </w:pPr>
      <w:r w:rsidRPr="00882C78">
        <w:rPr>
          <w:rFonts w:ascii="Arial" w:hAnsi="Arial" w:cs="Arial"/>
          <w:sz w:val="20"/>
          <w:szCs w:val="20"/>
        </w:rPr>
        <w:t>Coffee is one of the world’s most popular drinks and the second most traded commodity after crude oil</w:t>
      </w:r>
      <w:r>
        <w:rPr>
          <w:rFonts w:ascii="Arial" w:hAnsi="Arial" w:cs="Arial"/>
          <w:sz w:val="20"/>
          <w:szCs w:val="20"/>
        </w:rPr>
        <w:t xml:space="preserve"> </w:t>
      </w:r>
      <w:r w:rsidR="00E24520" w:rsidRPr="0006342D">
        <w:rPr>
          <w:rFonts w:ascii="Arial" w:hAnsi="Arial" w:cs="Arial"/>
          <w:sz w:val="20"/>
          <w:szCs w:val="20"/>
        </w:rPr>
        <w:fldChar w:fldCharType="begin" w:fldLock="1"/>
      </w:r>
      <w:r w:rsidR="00E24520" w:rsidRPr="0006342D">
        <w:rPr>
          <w:rFonts w:ascii="Arial" w:hAnsi="Arial" w:cs="Arial"/>
          <w:sz w:val="20"/>
          <w:szCs w:val="20"/>
        </w:rPr>
        <w:instrText>ADDIN CSL_CITATION {"citationItems":[{"id":"ITEM-1","itemData":{"DOI":"10.1155/2019/4836709","author":[{"dropping-particle":"","family":"Haile","given":"Mesfin","non-dropping-particle":"","parse-names":false,"suffix":""},{"dropping-particle":"","family":"Kang","given":"Won Hee","non-dropping-particle":"","parse-names":false,"suffix":""}],"container-title":"Journal of Food Quality","id":"ITEM-1","issue":"4836709","issued":{"date-parts":[["2019"]]},"page":"1-6","title":"The role of microbes in coffee fermentation and their impact on coffee quality","type":"article-journal","volume":"1"},"uris":["http://www.mendeley.com/documents/?uuid=4d47674a-6801-47ba-830b-bc1cd5ed0bde","http://www.mendeley.com/documents/?uuid=59e25c72-0d81-4dc2-9e5e-d3c1edbe58e9"]}],"mendeley":{"formattedCitation":"(Haile &amp; Kang, 2019)","plainTextFormattedCitation":"(Haile &amp; Kang, 2019)","previouslyFormattedCitation":"(Haile &amp; Kang, 2019)"},"properties":{"noteIndex":0},"schema":"https://github.com/citation-style-language/schema/raw/master/csl-citation.json"}</w:instrText>
      </w:r>
      <w:r w:rsidR="00E24520" w:rsidRPr="0006342D">
        <w:rPr>
          <w:rFonts w:ascii="Arial" w:hAnsi="Arial" w:cs="Arial"/>
          <w:sz w:val="20"/>
          <w:szCs w:val="20"/>
        </w:rPr>
        <w:fldChar w:fldCharType="separate"/>
      </w:r>
      <w:r w:rsidR="00E24520" w:rsidRPr="0006342D">
        <w:rPr>
          <w:rFonts w:ascii="Arial" w:hAnsi="Arial" w:cs="Arial"/>
          <w:noProof/>
          <w:sz w:val="20"/>
          <w:szCs w:val="20"/>
        </w:rPr>
        <w:t>(Haile &amp; Kang, 2019)</w:t>
      </w:r>
      <w:r w:rsidR="00E24520" w:rsidRPr="0006342D">
        <w:rPr>
          <w:rFonts w:ascii="Arial" w:hAnsi="Arial" w:cs="Arial"/>
          <w:sz w:val="20"/>
          <w:szCs w:val="20"/>
        </w:rPr>
        <w:fldChar w:fldCharType="end"/>
      </w:r>
      <w:r w:rsidR="00E24520" w:rsidRPr="0006342D">
        <w:rPr>
          <w:rFonts w:ascii="Arial" w:hAnsi="Arial" w:cs="Arial"/>
          <w:sz w:val="20"/>
          <w:szCs w:val="20"/>
        </w:rPr>
        <w:t>.</w:t>
      </w:r>
      <w:r w:rsidR="00DC6B84" w:rsidRPr="0006342D">
        <w:rPr>
          <w:rFonts w:ascii="Arial" w:hAnsi="Arial" w:cs="Arial"/>
          <w:sz w:val="20"/>
          <w:szCs w:val="20"/>
        </w:rPr>
        <w:t xml:space="preserve"> </w:t>
      </w:r>
      <w:r w:rsidRPr="00882C78">
        <w:rPr>
          <w:rFonts w:ascii="Arial" w:hAnsi="Arial" w:cs="Arial"/>
          <w:sz w:val="20"/>
          <w:szCs w:val="20"/>
        </w:rPr>
        <w:t>It is grown in more than 80 tropical and subtropical countries and supports the livelihoods of over 25 million smallholder farmers. In 2020/21, global production reached almost 172 million 60-kg bags, while demand continued to rise to more than 166 million bags</w:t>
      </w:r>
      <w:r w:rsidR="00DC6B84" w:rsidRPr="0006342D">
        <w:rPr>
          <w:rFonts w:ascii="Arial" w:hAnsi="Arial" w:cs="Arial"/>
          <w:sz w:val="20"/>
          <w:szCs w:val="20"/>
        </w:rPr>
        <w:t xml:space="preserve"> </w:t>
      </w:r>
      <w:r w:rsidR="00DC6B84" w:rsidRPr="0006342D">
        <w:rPr>
          <w:rFonts w:ascii="Arial" w:hAnsi="Arial" w:cs="Arial"/>
          <w:sz w:val="20"/>
          <w:szCs w:val="20"/>
        </w:rPr>
        <w:fldChar w:fldCharType="begin" w:fldLock="1"/>
      </w:r>
      <w:r w:rsidR="00E24520" w:rsidRPr="0006342D">
        <w:rPr>
          <w:rFonts w:ascii="Arial" w:hAnsi="Arial" w:cs="Arial"/>
          <w:sz w:val="20"/>
          <w:szCs w:val="20"/>
        </w:rPr>
        <w:instrText>ADDIN CSL_CITATION {"citationItems":[{"id":"ITEM-1","itemData":{"author":[{"dropping-particle":"","family":"ICO","given":"","non-dropping-particle":"","parse-names":false,"suffix":""}],"container-title":"International Coffee Organization","id":"ITEM-1","issue":"June","issued":{"date-parts":[["2022"]]},"number-of-pages":"1-11","title":"Coffee Market Report","type":"report"},"uris":["http://www.mendeley.com/documents/?uuid=8dbcc520-627f-4601-a738-e270a30c64cb","http://www.mendeley.com/documents/?uuid=15c9bafa-dfb5-4dd8-b161-089b4f33e096"]}],"mendeley":{"formattedCitation":"(ICO, 2022)","plainTextFormattedCitation":"(ICO, 2022)","previouslyFormattedCitation":"(ICO, 2022)"},"properties":{"noteIndex":0},"schema":"https://github.com/citation-style-language/schema/raw/master/csl-citation.json"}</w:instrText>
      </w:r>
      <w:r w:rsidR="00DC6B84" w:rsidRPr="0006342D">
        <w:rPr>
          <w:rFonts w:ascii="Arial" w:hAnsi="Arial" w:cs="Arial"/>
          <w:sz w:val="20"/>
          <w:szCs w:val="20"/>
        </w:rPr>
        <w:fldChar w:fldCharType="separate"/>
      </w:r>
      <w:r w:rsidR="00DC6B84" w:rsidRPr="0006342D">
        <w:rPr>
          <w:rFonts w:ascii="Arial" w:hAnsi="Arial" w:cs="Arial"/>
          <w:noProof/>
          <w:sz w:val="20"/>
          <w:szCs w:val="20"/>
        </w:rPr>
        <w:t>(ICO, 2022)</w:t>
      </w:r>
      <w:r w:rsidR="00DC6B84" w:rsidRPr="0006342D">
        <w:rPr>
          <w:rFonts w:ascii="Arial" w:hAnsi="Arial" w:cs="Arial"/>
          <w:sz w:val="20"/>
          <w:szCs w:val="20"/>
        </w:rPr>
        <w:fldChar w:fldCharType="end"/>
      </w:r>
      <w:r w:rsidR="00DC6B84" w:rsidRPr="0006342D">
        <w:rPr>
          <w:rFonts w:ascii="Arial" w:hAnsi="Arial" w:cs="Arial"/>
          <w:sz w:val="20"/>
          <w:szCs w:val="20"/>
        </w:rPr>
        <w:t>.</w:t>
      </w:r>
      <w:r w:rsidR="00954188" w:rsidRPr="0006342D">
        <w:rPr>
          <w:rFonts w:ascii="Arial" w:hAnsi="Arial" w:cs="Arial"/>
          <w:sz w:val="20"/>
          <w:szCs w:val="20"/>
        </w:rPr>
        <w:t xml:space="preserve"> </w:t>
      </w:r>
      <w:r w:rsidR="00A97C59" w:rsidRPr="00A97C59">
        <w:rPr>
          <w:rFonts w:ascii="Arial" w:hAnsi="Arial" w:cs="Arial"/>
          <w:sz w:val="20"/>
          <w:szCs w:val="20"/>
        </w:rPr>
        <w:t>The industry not only sustains millions of rural households but also plays a vital role in national economies, especially in producing countries such as Brazil, Vietnam, Indonesia, and Colombia, which together dominate international markets.</w:t>
      </w:r>
    </w:p>
    <w:p w14:paraId="774B8E03" w14:textId="77777777" w:rsidR="000B067D" w:rsidRPr="0006342D" w:rsidRDefault="000B067D" w:rsidP="00DC6B84">
      <w:pPr>
        <w:pStyle w:val="NormalWeb"/>
        <w:spacing w:before="0" w:beforeAutospacing="0" w:after="0" w:afterAutospacing="0" w:line="276" w:lineRule="auto"/>
        <w:contextualSpacing/>
        <w:jc w:val="both"/>
        <w:rPr>
          <w:rFonts w:ascii="Arial" w:hAnsi="Arial" w:cs="Arial"/>
          <w:sz w:val="20"/>
          <w:szCs w:val="20"/>
        </w:rPr>
      </w:pPr>
    </w:p>
    <w:p w14:paraId="6A8EA682" w14:textId="403254C3" w:rsidR="00DC6B84" w:rsidRPr="009464D6" w:rsidRDefault="00A97C59" w:rsidP="00513081">
      <w:pPr>
        <w:pStyle w:val="NormalWeb"/>
        <w:spacing w:line="276" w:lineRule="auto"/>
        <w:contextualSpacing/>
        <w:jc w:val="both"/>
        <w:rPr>
          <w:rFonts w:ascii="Arial" w:hAnsi="Arial" w:cs="Arial"/>
          <w:sz w:val="20"/>
          <w:szCs w:val="20"/>
        </w:rPr>
      </w:pPr>
      <w:r w:rsidRPr="00A97C59">
        <w:rPr>
          <w:rFonts w:ascii="Arial" w:hAnsi="Arial" w:cs="Arial"/>
          <w:sz w:val="20"/>
          <w:szCs w:val="20"/>
        </w:rPr>
        <w:lastRenderedPageBreak/>
        <w:t xml:space="preserve">The genus </w:t>
      </w:r>
      <w:proofErr w:type="spellStart"/>
      <w:r w:rsidRPr="004341B4">
        <w:rPr>
          <w:rFonts w:ascii="Arial" w:hAnsi="Arial" w:cs="Arial"/>
          <w:i/>
          <w:iCs/>
          <w:sz w:val="20"/>
          <w:szCs w:val="20"/>
        </w:rPr>
        <w:t>Coffea</w:t>
      </w:r>
      <w:proofErr w:type="spellEnd"/>
      <w:r w:rsidRPr="00A97C59">
        <w:rPr>
          <w:rFonts w:ascii="Arial" w:hAnsi="Arial" w:cs="Arial"/>
          <w:sz w:val="20"/>
          <w:szCs w:val="20"/>
        </w:rPr>
        <w:t xml:space="preserve"> (</w:t>
      </w:r>
      <w:proofErr w:type="spellStart"/>
      <w:r w:rsidRPr="00A97C59">
        <w:rPr>
          <w:rFonts w:ascii="Arial" w:hAnsi="Arial" w:cs="Arial"/>
          <w:sz w:val="20"/>
          <w:szCs w:val="20"/>
        </w:rPr>
        <w:t>Rubiaceae</w:t>
      </w:r>
      <w:proofErr w:type="spellEnd"/>
      <w:r w:rsidRPr="00A97C59">
        <w:rPr>
          <w:rFonts w:ascii="Arial" w:hAnsi="Arial" w:cs="Arial"/>
          <w:sz w:val="20"/>
          <w:szCs w:val="20"/>
        </w:rPr>
        <w:t xml:space="preserve">) </w:t>
      </w:r>
      <w:r w:rsidR="001F406E" w:rsidRPr="001F406E">
        <w:rPr>
          <w:rFonts w:ascii="Arial" w:hAnsi="Arial" w:cs="Arial"/>
          <w:sz w:val="20"/>
          <w:szCs w:val="20"/>
        </w:rPr>
        <w:t>comprises 1</w:t>
      </w:r>
      <w:r w:rsidR="009464D6">
        <w:rPr>
          <w:rFonts w:ascii="Arial" w:hAnsi="Arial" w:cs="Arial"/>
          <w:sz w:val="20"/>
          <w:szCs w:val="20"/>
        </w:rPr>
        <w:t>3</w:t>
      </w:r>
      <w:r w:rsidR="001F406E" w:rsidRPr="001F406E">
        <w:rPr>
          <w:rFonts w:ascii="Arial" w:hAnsi="Arial" w:cs="Arial"/>
          <w:sz w:val="20"/>
          <w:szCs w:val="20"/>
        </w:rPr>
        <w:t>0 species</w:t>
      </w:r>
      <w:r w:rsidR="009464D6">
        <w:rPr>
          <w:rFonts w:ascii="Arial" w:hAnsi="Arial" w:cs="Arial"/>
          <w:sz w:val="20"/>
          <w:szCs w:val="20"/>
        </w:rPr>
        <w:t xml:space="preserve"> </w:t>
      </w:r>
      <w:r w:rsidR="00565BE3">
        <w:rPr>
          <w:rFonts w:ascii="Arial" w:hAnsi="Arial" w:cs="Arial"/>
          <w:sz w:val="20"/>
          <w:szCs w:val="20"/>
        </w:rPr>
        <w:fldChar w:fldCharType="begin" w:fldLock="1"/>
      </w:r>
      <w:r w:rsidR="004656BC">
        <w:rPr>
          <w:rFonts w:ascii="Arial" w:hAnsi="Arial" w:cs="Arial"/>
          <w:sz w:val="20"/>
          <w:szCs w:val="20"/>
        </w:rPr>
        <w:instrText>ADDIN CSL_CITATION {"citationItems":[{"id":"ITEM-1","itemData":{"DOI":"10.1007/S12225-021-09952-5","author":[{"dropping-particle":"","family":"Davis","given":"Aaron P.","non-dropping-particle":"","parse-names":false,"suffix":""},{"dropping-particle":"","family":"Rakotonasolo","given":"Franck","non-dropping-particle":"","parse-names":false,"suffix":""}],"container-title":"Kew Buletin","id":"ITEM-1","issued":{"date-parts":[["2021"]]},"page":"497-511","title":"Six new species of coffee (&lt;i&gt;Coffea&lt;/i&gt;) from northern Madagascar","type":"article-journal","volume":"5974"},"uris":["http://www.mendeley.com/documents/?uuid=24e0bb4b-3ff7-4baf-b70f-e090a726f0ed"]}],"mendeley":{"formattedCitation":"(Davis &amp; Rakotonasolo, 2021)","plainTextFormattedCitation":"(Davis &amp; Rakotonasolo, 2021)","previouslyFormattedCitation":"(Davis &amp; Rakotonasolo, 2021)"},"properties":{"noteIndex":0},"schema":"https://github.com/citation-style-language/schema/raw/master/csl-citation.json"}</w:instrText>
      </w:r>
      <w:r w:rsidR="00565BE3">
        <w:rPr>
          <w:rFonts w:ascii="Arial" w:hAnsi="Arial" w:cs="Arial"/>
          <w:sz w:val="20"/>
          <w:szCs w:val="20"/>
        </w:rPr>
        <w:fldChar w:fldCharType="separate"/>
      </w:r>
      <w:r w:rsidR="00565BE3" w:rsidRPr="00565BE3">
        <w:rPr>
          <w:rFonts w:ascii="Arial" w:hAnsi="Arial" w:cs="Arial"/>
          <w:noProof/>
          <w:sz w:val="20"/>
          <w:szCs w:val="20"/>
        </w:rPr>
        <w:t>(Davis &amp; Rakotonasolo, 2021)</w:t>
      </w:r>
      <w:r w:rsidR="00565BE3">
        <w:rPr>
          <w:rFonts w:ascii="Arial" w:hAnsi="Arial" w:cs="Arial"/>
          <w:sz w:val="20"/>
          <w:szCs w:val="20"/>
        </w:rPr>
        <w:fldChar w:fldCharType="end"/>
      </w:r>
      <w:r w:rsidRPr="00A97C59">
        <w:rPr>
          <w:rFonts w:ascii="Arial" w:hAnsi="Arial" w:cs="Arial"/>
          <w:sz w:val="20"/>
          <w:szCs w:val="20"/>
        </w:rPr>
        <w:t xml:space="preserve">, </w:t>
      </w:r>
      <w:r w:rsidR="00882C78" w:rsidRPr="00882C78">
        <w:rPr>
          <w:rFonts w:ascii="Arial" w:hAnsi="Arial" w:cs="Arial"/>
          <w:sz w:val="20"/>
          <w:szCs w:val="20"/>
        </w:rPr>
        <w:t>but only a few are cultivated commercially:</w:t>
      </w:r>
      <w:r w:rsidR="00882C78">
        <w:rPr>
          <w:rFonts w:ascii="Arial" w:hAnsi="Arial" w:cs="Arial"/>
          <w:sz w:val="20"/>
          <w:szCs w:val="20"/>
        </w:rPr>
        <w:t xml:space="preserve"> </w:t>
      </w:r>
      <w:proofErr w:type="spellStart"/>
      <w:r w:rsidR="00E24520" w:rsidRPr="0006342D">
        <w:rPr>
          <w:rFonts w:ascii="Arial" w:hAnsi="Arial" w:cs="Arial"/>
          <w:i/>
          <w:iCs/>
          <w:sz w:val="20"/>
          <w:szCs w:val="20"/>
        </w:rPr>
        <w:t>Coffea</w:t>
      </w:r>
      <w:proofErr w:type="spellEnd"/>
      <w:r w:rsidR="00E24520" w:rsidRPr="0006342D">
        <w:rPr>
          <w:rFonts w:ascii="Arial" w:hAnsi="Arial" w:cs="Arial"/>
          <w:i/>
          <w:iCs/>
          <w:sz w:val="20"/>
          <w:szCs w:val="20"/>
        </w:rPr>
        <w:t xml:space="preserve"> arabica</w:t>
      </w:r>
      <w:r w:rsidR="00E24520" w:rsidRPr="0006342D">
        <w:rPr>
          <w:rFonts w:ascii="Arial" w:hAnsi="Arial" w:cs="Arial"/>
          <w:sz w:val="20"/>
          <w:szCs w:val="20"/>
        </w:rPr>
        <w:t xml:space="preserve">, </w:t>
      </w:r>
      <w:proofErr w:type="spellStart"/>
      <w:r w:rsidR="00E24520" w:rsidRPr="0006342D">
        <w:rPr>
          <w:rFonts w:ascii="Arial" w:hAnsi="Arial" w:cs="Arial"/>
          <w:i/>
          <w:iCs/>
          <w:sz w:val="20"/>
          <w:szCs w:val="20"/>
        </w:rPr>
        <w:t>Coffea</w:t>
      </w:r>
      <w:proofErr w:type="spellEnd"/>
      <w:r w:rsidR="00E24520" w:rsidRPr="0006342D">
        <w:rPr>
          <w:rFonts w:ascii="Arial" w:hAnsi="Arial" w:cs="Arial"/>
          <w:i/>
          <w:iCs/>
          <w:sz w:val="20"/>
          <w:szCs w:val="20"/>
        </w:rPr>
        <w:t xml:space="preserve"> </w:t>
      </w:r>
      <w:proofErr w:type="spellStart"/>
      <w:r w:rsidR="00E24520" w:rsidRPr="0006342D">
        <w:rPr>
          <w:rFonts w:ascii="Arial" w:hAnsi="Arial" w:cs="Arial"/>
          <w:i/>
          <w:iCs/>
          <w:sz w:val="20"/>
          <w:szCs w:val="20"/>
        </w:rPr>
        <w:t>canephora</w:t>
      </w:r>
      <w:proofErr w:type="spellEnd"/>
      <w:r w:rsidR="00E24520" w:rsidRPr="0006342D">
        <w:rPr>
          <w:rFonts w:ascii="Arial" w:hAnsi="Arial" w:cs="Arial"/>
          <w:sz w:val="20"/>
          <w:szCs w:val="20"/>
        </w:rPr>
        <w:t xml:space="preserve"> (Robusta), </w:t>
      </w:r>
      <w:proofErr w:type="spellStart"/>
      <w:r w:rsidR="00E24520" w:rsidRPr="0006342D">
        <w:rPr>
          <w:rFonts w:ascii="Arial" w:hAnsi="Arial" w:cs="Arial"/>
          <w:i/>
          <w:iCs/>
          <w:sz w:val="20"/>
          <w:szCs w:val="20"/>
        </w:rPr>
        <w:t>Coffea</w:t>
      </w:r>
      <w:proofErr w:type="spellEnd"/>
      <w:r w:rsidR="00E24520" w:rsidRPr="0006342D">
        <w:rPr>
          <w:rFonts w:ascii="Arial" w:hAnsi="Arial" w:cs="Arial"/>
          <w:i/>
          <w:iCs/>
          <w:sz w:val="20"/>
          <w:szCs w:val="20"/>
        </w:rPr>
        <w:t xml:space="preserve"> </w:t>
      </w:r>
      <w:proofErr w:type="spellStart"/>
      <w:r w:rsidR="00E24520" w:rsidRPr="0006342D">
        <w:rPr>
          <w:rFonts w:ascii="Arial" w:hAnsi="Arial" w:cs="Arial"/>
          <w:i/>
          <w:iCs/>
          <w:sz w:val="20"/>
          <w:szCs w:val="20"/>
        </w:rPr>
        <w:t>liberica</w:t>
      </w:r>
      <w:proofErr w:type="spellEnd"/>
      <w:r w:rsidR="00E24520" w:rsidRPr="0006342D">
        <w:rPr>
          <w:rFonts w:ascii="Arial" w:hAnsi="Arial" w:cs="Arial"/>
          <w:sz w:val="20"/>
          <w:szCs w:val="20"/>
        </w:rPr>
        <w:t xml:space="preserve"> and </w:t>
      </w:r>
      <w:r w:rsidR="00E24520" w:rsidRPr="0006342D">
        <w:rPr>
          <w:rFonts w:ascii="Arial" w:hAnsi="Arial" w:cs="Arial"/>
          <w:i/>
          <w:iCs/>
          <w:sz w:val="20"/>
          <w:szCs w:val="20"/>
        </w:rPr>
        <w:t>Coffea</w:t>
      </w:r>
      <w:r w:rsidR="00E24520" w:rsidRPr="00A97C59">
        <w:rPr>
          <w:rFonts w:ascii="Arial" w:hAnsi="Arial" w:cs="Arial"/>
          <w:i/>
          <w:iCs/>
          <w:sz w:val="20"/>
          <w:szCs w:val="20"/>
        </w:rPr>
        <w:t xml:space="preserve"> excelsa</w:t>
      </w:r>
      <w:r>
        <w:rPr>
          <w:rFonts w:ascii="Arial" w:hAnsi="Arial" w:cs="Arial"/>
          <w:sz w:val="20"/>
          <w:szCs w:val="20"/>
        </w:rPr>
        <w:t xml:space="preserve"> </w:t>
      </w:r>
      <w:r w:rsidR="00E24520" w:rsidRPr="0006342D">
        <w:rPr>
          <w:rFonts w:ascii="Arial" w:hAnsi="Arial" w:cs="Arial"/>
          <w:sz w:val="20"/>
          <w:szCs w:val="20"/>
        </w:rPr>
        <w:fldChar w:fldCharType="begin" w:fldLock="1"/>
      </w:r>
      <w:r w:rsidR="00E24520" w:rsidRPr="0006342D">
        <w:rPr>
          <w:rFonts w:ascii="Arial" w:hAnsi="Arial" w:cs="Arial"/>
          <w:sz w:val="20"/>
          <w:szCs w:val="20"/>
        </w:rPr>
        <w:instrText>ADDIN CSL_CITATION {"citationItems":[{"id":"ITEM-1","itemData":{"ISSN":"14786419","abstract":"A new flavanone with epoxy-isopentyl moiety named parkintin has been isolated from the methanol soluble part of Parkinsonia aculeata Linn. belonging to the family Caesalpiniaceae. The structure of parkintin has been established with the aid of spectroscopic techniques including COSY and HMBC experiments. © 2005 Taylor &amp; Francis Ltd.","author":[{"dropping-particle":"","family":"Cao","given":"Ernelea P.","non-dropping-particle":"","parse-names":false,"suffix":""},{"dropping-particle":"","family":"Constantino-Santos","given":"Daisy May","non-dropping-particle":"","parse-names":false,"suffix":""},{"dropping-particle":"","family":"Ramos","given":"Lara Anjela P.","non-dropping-particle":"","parse-names":false,"suffix":""},{"dropping-particle":"","family":"Santos","given":"Brian S.","non-dropping-particle":"","parse-names":false,"suffix":""},{"dropping-particle":"","family":"Quilang","given":"Jonas P.","non-dropping-particle":"","parse-names":false,"suffix":""},{"dropping-particle":"","family":"Mojica","given":"Ruel M.","non-dropping-particle":"","parse-names":false,"suffix":""}],"container-title":"Philippine Science Letters","id":"ITEM-1","issue":"2","issued":{"date-parts":[["2014"]]},"page":"387-397","title":"Molecular and morphological differentiation among &lt;i&gt;Coffea&lt;/i&gt; (Rubiaceae) varieties grown in the farms of Cavite Province, Philippines","type":"article-journal","volume":"7"},"uris":["http://www.mendeley.com/documents/?uuid=0f8e4507-cb49-46bd-b161-3034a1dffece","http://www.mendeley.com/documents/?uuid=6145c766-175e-40d0-b077-f66664eebad1"]}],"mendeley":{"formattedCitation":"(Cao et al., 2014)","plainTextFormattedCitation":"(Cao et al., 2014)","previouslyFormattedCitation":"(Cao et al., 2014)"},"properties":{"noteIndex":0},"schema":"https://github.com/citation-style-language/schema/raw/master/csl-citation.json"}</w:instrText>
      </w:r>
      <w:r w:rsidR="00E24520" w:rsidRPr="0006342D">
        <w:rPr>
          <w:rFonts w:ascii="Arial" w:hAnsi="Arial" w:cs="Arial"/>
          <w:sz w:val="20"/>
          <w:szCs w:val="20"/>
        </w:rPr>
        <w:fldChar w:fldCharType="separate"/>
      </w:r>
      <w:r w:rsidR="00E24520" w:rsidRPr="0006342D">
        <w:rPr>
          <w:rFonts w:ascii="Arial" w:hAnsi="Arial" w:cs="Arial"/>
          <w:noProof/>
          <w:sz w:val="20"/>
          <w:szCs w:val="20"/>
        </w:rPr>
        <w:t>(Cao et al., 2014)</w:t>
      </w:r>
      <w:r w:rsidR="00E24520" w:rsidRPr="0006342D">
        <w:rPr>
          <w:rFonts w:ascii="Arial" w:hAnsi="Arial" w:cs="Arial"/>
          <w:sz w:val="20"/>
          <w:szCs w:val="20"/>
        </w:rPr>
        <w:fldChar w:fldCharType="end"/>
      </w:r>
      <w:r w:rsidR="00E24520" w:rsidRPr="0006342D">
        <w:rPr>
          <w:rFonts w:ascii="Arial" w:hAnsi="Arial" w:cs="Arial"/>
          <w:sz w:val="20"/>
          <w:szCs w:val="20"/>
        </w:rPr>
        <w:t>.</w:t>
      </w:r>
      <w:r w:rsidR="00DC6B84" w:rsidRPr="0006342D">
        <w:rPr>
          <w:rFonts w:ascii="Arial" w:hAnsi="Arial" w:cs="Arial"/>
          <w:sz w:val="20"/>
          <w:szCs w:val="20"/>
        </w:rPr>
        <w:t xml:space="preserve"> </w:t>
      </w:r>
      <w:r w:rsidR="00E24520" w:rsidRPr="0006342D">
        <w:rPr>
          <w:rFonts w:ascii="Arial" w:hAnsi="Arial" w:cs="Arial"/>
          <w:i/>
          <w:iCs/>
          <w:sz w:val="20"/>
          <w:szCs w:val="20"/>
        </w:rPr>
        <w:t>C. arabica</w:t>
      </w:r>
      <w:r w:rsidR="00E24520" w:rsidRPr="0006342D">
        <w:rPr>
          <w:rFonts w:ascii="Arial" w:hAnsi="Arial" w:cs="Arial"/>
          <w:sz w:val="20"/>
          <w:szCs w:val="20"/>
        </w:rPr>
        <w:t xml:space="preserve"> and </w:t>
      </w:r>
      <w:r w:rsidR="00E24520" w:rsidRPr="0006342D">
        <w:rPr>
          <w:rFonts w:ascii="Arial" w:hAnsi="Arial" w:cs="Arial"/>
          <w:i/>
          <w:iCs/>
          <w:sz w:val="20"/>
          <w:szCs w:val="20"/>
        </w:rPr>
        <w:t xml:space="preserve">C. </w:t>
      </w:r>
      <w:proofErr w:type="spellStart"/>
      <w:r w:rsidR="00E24520" w:rsidRPr="0006342D">
        <w:rPr>
          <w:rFonts w:ascii="Arial" w:hAnsi="Arial" w:cs="Arial"/>
          <w:i/>
          <w:iCs/>
          <w:sz w:val="20"/>
          <w:szCs w:val="20"/>
        </w:rPr>
        <w:t>canephora</w:t>
      </w:r>
      <w:proofErr w:type="spellEnd"/>
      <w:r w:rsidR="00E24520" w:rsidRPr="0006342D">
        <w:rPr>
          <w:rFonts w:ascii="Arial" w:hAnsi="Arial" w:cs="Arial"/>
          <w:sz w:val="20"/>
          <w:szCs w:val="20"/>
        </w:rPr>
        <w:t xml:space="preserve"> </w:t>
      </w:r>
      <w:r w:rsidR="000B067D" w:rsidRPr="0006342D">
        <w:rPr>
          <w:rFonts w:ascii="Arial" w:hAnsi="Arial" w:cs="Arial"/>
          <w:sz w:val="20"/>
          <w:szCs w:val="20"/>
        </w:rPr>
        <w:t>dominate global trade</w:t>
      </w:r>
      <w:r w:rsidR="00E24520" w:rsidRPr="0006342D">
        <w:rPr>
          <w:rFonts w:ascii="Arial" w:hAnsi="Arial" w:cs="Arial"/>
          <w:sz w:val="20"/>
          <w:szCs w:val="20"/>
        </w:rPr>
        <w:t xml:space="preserve">, accounting for approximately 60% and 40% of the global coffee production in 2022, respectively </w:t>
      </w:r>
      <w:r w:rsidR="00E24520" w:rsidRPr="0006342D">
        <w:rPr>
          <w:rFonts w:ascii="Arial" w:hAnsi="Arial" w:cs="Arial"/>
          <w:sz w:val="20"/>
          <w:szCs w:val="20"/>
        </w:rPr>
        <w:fldChar w:fldCharType="begin" w:fldLock="1"/>
      </w:r>
      <w:r w:rsidR="00E24520" w:rsidRPr="0006342D">
        <w:rPr>
          <w:rFonts w:ascii="Arial" w:hAnsi="Arial" w:cs="Arial"/>
          <w:sz w:val="20"/>
          <w:szCs w:val="20"/>
        </w:rPr>
        <w:instrText>ADDIN CSL_CITATION {"citationItems":[{"id":"ITEM-1","itemData":{"author":[{"dropping-particle":"","family":"ICO","given":"","non-dropping-particle":"","parse-names":false,"suffix":""}],"container-title":"International Coffee Organization","id":"ITEM-1","issue":"June","issued":{"date-parts":[["2022"]]},"number-of-pages":"1-11","title":"Coffee Market Report","type":"report"},"uris":["http://www.mendeley.com/documents/?uuid=15c9bafa-dfb5-4dd8-b161-089b4f33e096","http://www.mendeley.com/documents/?uuid=8dbcc520-627f-4601-a738-e270a30c64cb"]}],"mendeley":{"formattedCitation":"(ICO, 2022)","plainTextFormattedCitation":"(ICO, 2022)","previouslyFormattedCitation":"(ICO, 2022)"},"properties":{"noteIndex":0},"schema":"https://github.com/citation-style-language/schema/raw/master/csl-citation.json"}</w:instrText>
      </w:r>
      <w:r w:rsidR="00E24520" w:rsidRPr="0006342D">
        <w:rPr>
          <w:rFonts w:ascii="Arial" w:hAnsi="Arial" w:cs="Arial"/>
          <w:sz w:val="20"/>
          <w:szCs w:val="20"/>
        </w:rPr>
        <w:fldChar w:fldCharType="separate"/>
      </w:r>
      <w:r w:rsidR="00E24520" w:rsidRPr="0006342D">
        <w:rPr>
          <w:rFonts w:ascii="Arial" w:hAnsi="Arial" w:cs="Arial"/>
          <w:noProof/>
          <w:sz w:val="20"/>
          <w:szCs w:val="20"/>
        </w:rPr>
        <w:t>(ICO, 2022)</w:t>
      </w:r>
      <w:r w:rsidR="00E24520" w:rsidRPr="0006342D">
        <w:rPr>
          <w:rFonts w:ascii="Arial" w:hAnsi="Arial" w:cs="Arial"/>
          <w:sz w:val="20"/>
          <w:szCs w:val="20"/>
        </w:rPr>
        <w:fldChar w:fldCharType="end"/>
      </w:r>
      <w:r w:rsidR="00E24520" w:rsidRPr="0006342D">
        <w:rPr>
          <w:rFonts w:ascii="Arial" w:hAnsi="Arial" w:cs="Arial"/>
          <w:sz w:val="20"/>
          <w:szCs w:val="20"/>
        </w:rPr>
        <w:t>.</w:t>
      </w:r>
      <w:r w:rsidR="00DC6B84" w:rsidRPr="0006342D">
        <w:rPr>
          <w:rFonts w:ascii="Arial" w:hAnsi="Arial" w:cs="Arial"/>
          <w:sz w:val="20"/>
          <w:szCs w:val="20"/>
        </w:rPr>
        <w:t xml:space="preserve"> </w:t>
      </w:r>
      <w:r w:rsidR="00601D90" w:rsidRPr="0006342D">
        <w:rPr>
          <w:rFonts w:ascii="Arial" w:hAnsi="Arial" w:cs="Arial"/>
          <w:i/>
          <w:iCs/>
          <w:sz w:val="20"/>
          <w:szCs w:val="20"/>
        </w:rPr>
        <w:t xml:space="preserve">C. </w:t>
      </w:r>
      <w:proofErr w:type="spellStart"/>
      <w:r w:rsidR="00601D90" w:rsidRPr="0006342D">
        <w:rPr>
          <w:rFonts w:ascii="Arial" w:hAnsi="Arial" w:cs="Arial"/>
          <w:i/>
          <w:iCs/>
          <w:sz w:val="20"/>
          <w:szCs w:val="20"/>
        </w:rPr>
        <w:t>liberica</w:t>
      </w:r>
      <w:proofErr w:type="spellEnd"/>
      <w:r w:rsidR="000B067D" w:rsidRPr="0006342D">
        <w:rPr>
          <w:rFonts w:ascii="Arial" w:hAnsi="Arial" w:cs="Arial"/>
          <w:i/>
          <w:iCs/>
          <w:sz w:val="20"/>
          <w:szCs w:val="20"/>
        </w:rPr>
        <w:t xml:space="preserve"> </w:t>
      </w:r>
      <w:r w:rsidR="00513081" w:rsidRPr="00513081">
        <w:rPr>
          <w:rFonts w:ascii="Arial" w:hAnsi="Arial" w:cs="Arial"/>
          <w:sz w:val="20"/>
          <w:szCs w:val="20"/>
        </w:rPr>
        <w:t>that has gained popularity in recent years</w:t>
      </w:r>
      <w:r w:rsidR="00513081">
        <w:rPr>
          <w:rFonts w:ascii="Arial" w:hAnsi="Arial" w:cs="Arial"/>
          <w:sz w:val="20"/>
          <w:szCs w:val="20"/>
        </w:rPr>
        <w:t xml:space="preserve"> </w:t>
      </w:r>
      <w:r w:rsidR="000B067D" w:rsidRPr="0006342D">
        <w:rPr>
          <w:rFonts w:ascii="Arial" w:hAnsi="Arial" w:cs="Arial"/>
          <w:sz w:val="20"/>
          <w:szCs w:val="20"/>
        </w:rPr>
        <w:t xml:space="preserve">represents less than 1% of global output yet is highly significant in Malaysia and the Philippines </w:t>
      </w:r>
      <w:r w:rsidR="00601D90" w:rsidRPr="0006342D">
        <w:rPr>
          <w:rFonts w:ascii="Arial" w:hAnsi="Arial" w:cs="Arial"/>
          <w:sz w:val="20"/>
          <w:szCs w:val="20"/>
        </w:rPr>
        <w:fldChar w:fldCharType="begin" w:fldLock="1"/>
      </w:r>
      <w:r w:rsidR="00601D90" w:rsidRPr="0006342D">
        <w:rPr>
          <w:rFonts w:ascii="Arial" w:hAnsi="Arial" w:cs="Arial"/>
          <w:sz w:val="20"/>
          <w:szCs w:val="20"/>
        </w:rPr>
        <w:instrText>ADDIN CSL_CITATION {"citationItems":[{"id":"ITEM-1","itemData":{"DOI":"10.3389/fpls.2020.00616","ISSN":"1664462X","abstract":"Coffea arabica (Arabica) and C. canephora (robusta) almost entirely dominate global coffee production. Various challenges at the production (farm) level, including the increasing prevalence and severity of disease and pests and climate change, indicate that the coffee crop portfolio needs to be substantially diversified in order to ensure resilience and sustainability. In this study, we use a multidisciplinary approach (herbarium and literature review, fieldwork and DNA sequencing) to elucidate the identity, whereabouts, and potential attributes, of two poorly known coffee crop species: C. affinis and C. stenophylla. We show that despite widespread (albeit small-scale) use as a coffee crop species across Upper West Africa and further afield more than 100 years ago, these species are now extremely rare in the wild and are not being farmed. Fieldwork enabled us to rediscover C. stenophylla in Sierra Leone, which previously had not been recorded in the wild there since 1954. We confirm that C. stenophylla is an indigenous species in Guinea, Sierra Leone, and Ivory Coast. Coffea affinis was discovered in the wild in Sierra Leone for the first time, having previously been found only in Guinea and Ivory Coast. Prior to our rediscovery, C. affinis was last seen in the wild in 1941, although sampling of an unidentified herbarium specimen reveals that it was collected in Guinea-Conakry in 2015. DNA sequencing using plastid and ITS markers was used to: (1) confirm the identity of museum and field collected samples of C. stenophylla; (2) identify new accessions of C. affinis; (3) refute hybrid status for C. affinis; (4) identify accessions confused with C. affinis; (5) show that C. affinis and C. stenophylla are closely related, and possibly a single species; (6) substantiate the hybrid C. stenophylla × C. liberica; (7) demonstrate the use of plastid and nuclear markers as a simple means of identifying F1 and early-generation interspecific hybrids in Coffea; (8) infer that C. liberica is not monophyletic; and (9) show that hybridization is possible across all the major groups of key Africa Coffea species (Coffee Crop Wild Relative Priority Groups I and II). Coffea affinis and C. stenophylla may possess useful traits for coffee crop plant development, including taste differentiation, disease resistance, and climate resilience. These attributes would be best accessed via breeding programs, although the species may have niche-market potential via minimal domestication.","author":[{"dropping-particle":"","family":"Davis","given":"Aaron P.","non-dropping-particle":"","parse-names":false,"suffix":""},{"dropping-particle":"","family":"Gargiulo","given":"Roberta","non-dropping-particle":"","parse-names":false,"suffix":""},{"dropping-particle":"","family":"Fay","given":"Michael F.","non-dropping-particle":"","parse-names":false,"suffix":""},{"dropping-particle":"","family":"Sarmu","given":"Daniel","non-dropping-particle":"","parse-names":false,"suffix":""},{"dropping-particle":"","family":"Haggar","given":"Jeremy","non-dropping-particle":"","parse-names":false,"suffix":""}],"container-title":"Frontiers in Plant Science","id":"ITEM-1","issue":"616","issued":{"date-parts":[["2020"]]},"page":"1-18","title":"Lost and found species of West Africa: &lt;i&gt;Coffea stenophylla&lt;/i&gt; and &lt;i&gt;C. affinis&lt;/i&gt;, the forgotten coffee crop","type":"article-journal","volume":"11"},"uris":["http://www.mendeley.com/documents/?uuid=bdb35a57-4103-4ebc-a07c-4a040420ad59","http://www.mendeley.com/documents/?uuid=2dd4848b-f663-4685-b713-10c7a4f9abd3"]}],"mendeley":{"formattedCitation":"(Davis et al., 2020)","plainTextFormattedCitation":"(Davis et al., 2020)","previouslyFormattedCitation":"(Davis et al., 2020)"},"properties":{"noteIndex":0},"schema":"https://github.com/citation-style-language/schema/raw/master/csl-citation.json"}</w:instrText>
      </w:r>
      <w:r w:rsidR="00601D90" w:rsidRPr="0006342D">
        <w:rPr>
          <w:rFonts w:ascii="Arial" w:hAnsi="Arial" w:cs="Arial"/>
          <w:sz w:val="20"/>
          <w:szCs w:val="20"/>
        </w:rPr>
        <w:fldChar w:fldCharType="separate"/>
      </w:r>
      <w:r w:rsidR="00601D90" w:rsidRPr="0006342D">
        <w:rPr>
          <w:rFonts w:ascii="Arial" w:hAnsi="Arial" w:cs="Arial"/>
          <w:noProof/>
          <w:sz w:val="20"/>
          <w:szCs w:val="20"/>
        </w:rPr>
        <w:t>(Davis et al., 2020)</w:t>
      </w:r>
      <w:r w:rsidR="00601D90" w:rsidRPr="0006342D">
        <w:rPr>
          <w:rFonts w:ascii="Arial" w:hAnsi="Arial" w:cs="Arial"/>
          <w:sz w:val="20"/>
          <w:szCs w:val="20"/>
        </w:rPr>
        <w:fldChar w:fldCharType="end"/>
      </w:r>
      <w:r w:rsidR="00601D90" w:rsidRPr="0006342D">
        <w:rPr>
          <w:rFonts w:ascii="Arial" w:hAnsi="Arial" w:cs="Arial"/>
          <w:sz w:val="20"/>
          <w:szCs w:val="20"/>
        </w:rPr>
        <w:t>.</w:t>
      </w:r>
      <w:r w:rsidR="00DC6B84" w:rsidRPr="0006342D">
        <w:rPr>
          <w:rFonts w:ascii="Arial" w:hAnsi="Arial" w:cs="Arial"/>
          <w:sz w:val="20"/>
          <w:szCs w:val="20"/>
        </w:rPr>
        <w:t xml:space="preserve"> </w:t>
      </w:r>
      <w:r w:rsidR="00214AA3" w:rsidRPr="00214AA3">
        <w:rPr>
          <w:rFonts w:ascii="Arial" w:hAnsi="Arial" w:cs="Arial"/>
          <w:sz w:val="20"/>
          <w:szCs w:val="20"/>
        </w:rPr>
        <w:t xml:space="preserve">In Malaysia, </w:t>
      </w:r>
      <w:r w:rsidR="00FD2F48" w:rsidRPr="00FD2F48">
        <w:rPr>
          <w:rFonts w:ascii="Arial" w:hAnsi="Arial" w:cs="Arial"/>
          <w:sz w:val="20"/>
          <w:szCs w:val="20"/>
        </w:rPr>
        <w:t xml:space="preserve">it constitutes nearly </w:t>
      </w:r>
      <w:r w:rsidR="00FD2F48" w:rsidRPr="009464D6">
        <w:rPr>
          <w:rFonts w:ascii="Arial" w:hAnsi="Arial" w:cs="Arial"/>
          <w:sz w:val="20"/>
          <w:szCs w:val="20"/>
        </w:rPr>
        <w:t xml:space="preserve">90% of national production due to its adaptability to local soils, tolerance to marginal environments and distinctive flavour that appeals to niche markets </w:t>
      </w:r>
      <w:r w:rsidR="000B067D" w:rsidRPr="009464D6">
        <w:rPr>
          <w:rFonts w:ascii="Arial" w:hAnsi="Arial" w:cs="Arial"/>
          <w:sz w:val="20"/>
          <w:szCs w:val="20"/>
        </w:rPr>
        <w:fldChar w:fldCharType="begin" w:fldLock="1"/>
      </w:r>
      <w:r w:rsidR="000B067D" w:rsidRPr="009464D6">
        <w:rPr>
          <w:rFonts w:ascii="Arial" w:hAnsi="Arial" w:cs="Arial"/>
          <w:sz w:val="20"/>
          <w:szCs w:val="20"/>
        </w:rPr>
        <w:instrText>ADDIN CSL_CITATION {"citationItems":[{"id":"ITEM-1","itemData":{"abstract":"Coffee is a plant of the family Rubiaceae and genus Coffea, whose seeds are called coffee beans and processed into drinks (Noor Auni and Khairol, 1988; Muhammad Ghawas and Rubiah, 1991). It is a group of plants that can live up to more than 25 years and grow up to a height of 5 to 15 meters. It is believed to have originated from Ethiopia and then spread to Egypt, Yemen, Italy, all over Europe and the United States. Until now, coffee has gained a place all over the world including Malaysia, which planted coffee as a cash crop. Of the 66 species of this genus, three species are commercially cultivated and widely traded in global markets. These species are Coffea Arabica (70%), Coffea Canephora or known as Robusta (28%), and Coffea Liberica (2%). There are two varieties of coffee that are commercially grown in Malaysia: the Liberica (90%) and Robusta (10%). In general, Coffea Arabica is considered the most traditional coffee with the highest quality in terms of taste and aroma, while Robusta coffee has a higher content of caffeine which led to its use as an inexpensive substitute for Arabica. Compared to Arabica, Robusta tends to have a bitter taste and is more acidic. It is often used as an ingredient in some espresso blends to add more flavors at a lower cost. Among these three varieties, Robusta coffee is the cheapest with a price range of RM6 to RM10 per kilogram (kg), followed by Liberica, RM10 to RM16 per kg and Arabica, RM20 to RM25 per kg.","author":[{"dropping-particle":"","family":"Wahab","given":"Mohd Amirul Mukim Abd","non-dropping-particle":"","parse-names":false,"suffix":""},{"dropping-particle":"","family":"Nor","given":"Nor Amna A’liah Mohammad","non-dropping-particle":"","parse-names":false,"suffix":""}],"container-title":"Economics and Social Science Research Centre","id":"ITEM-1","issue":"1016","issued":{"date-parts":[["2016"]]},"page":"1-5","title":"Exploring the potential of coffee industry in Malaysia","type":"article-journal"},"uris":["http://www.mendeley.com/documents/?uuid=390f936a-ce6b-45a4-a1a2-f927faf4feec","http://www.mendeley.com/documents/?uuid=101047cd-e520-493f-8fb5-10c84a7b6c9f"]}],"mendeley":{"formattedCitation":"(Wahab &amp; Nor, 2016)","plainTextFormattedCitation":"(Wahab &amp; Nor, 2016)","previouslyFormattedCitation":"(Wahab &amp; Nor, 2016)"},"properties":{"noteIndex":0},"schema":"https://github.com/citation-style-language/schema/raw/master/csl-citation.json"}</w:instrText>
      </w:r>
      <w:r w:rsidR="000B067D" w:rsidRPr="009464D6">
        <w:rPr>
          <w:rFonts w:ascii="Arial" w:hAnsi="Arial" w:cs="Arial"/>
          <w:sz w:val="20"/>
          <w:szCs w:val="20"/>
        </w:rPr>
        <w:fldChar w:fldCharType="separate"/>
      </w:r>
      <w:r w:rsidR="000B067D" w:rsidRPr="009464D6">
        <w:rPr>
          <w:rFonts w:ascii="Arial" w:hAnsi="Arial" w:cs="Arial"/>
          <w:noProof/>
          <w:sz w:val="20"/>
          <w:szCs w:val="20"/>
        </w:rPr>
        <w:t>(Wahab &amp; Nor, 2016)</w:t>
      </w:r>
      <w:r w:rsidR="000B067D" w:rsidRPr="009464D6">
        <w:rPr>
          <w:rFonts w:ascii="Arial" w:hAnsi="Arial" w:cs="Arial"/>
          <w:sz w:val="20"/>
          <w:szCs w:val="20"/>
        </w:rPr>
        <w:fldChar w:fldCharType="end"/>
      </w:r>
      <w:r w:rsidR="000B067D" w:rsidRPr="009464D6">
        <w:rPr>
          <w:rFonts w:ascii="Arial" w:hAnsi="Arial" w:cs="Arial"/>
          <w:sz w:val="20"/>
          <w:szCs w:val="20"/>
        </w:rPr>
        <w:t>.</w:t>
      </w:r>
      <w:r w:rsidR="00FD2F48" w:rsidRPr="009464D6">
        <w:rPr>
          <w:rFonts w:ascii="Arial" w:hAnsi="Arial" w:cs="Arial"/>
          <w:sz w:val="20"/>
          <w:szCs w:val="20"/>
        </w:rPr>
        <w:t xml:space="preserve"> </w:t>
      </w:r>
      <w:r w:rsidR="009464D6" w:rsidRPr="009464D6">
        <w:rPr>
          <w:rFonts w:ascii="Arial" w:hAnsi="Arial" w:cs="Arial"/>
          <w:sz w:val="20"/>
          <w:szCs w:val="20"/>
        </w:rPr>
        <w:t xml:space="preserve">Historically, </w:t>
      </w:r>
      <w:r w:rsidR="009464D6" w:rsidRPr="009464D6">
        <w:rPr>
          <w:rFonts w:ascii="Arial" w:hAnsi="Arial" w:cs="Arial"/>
          <w:i/>
          <w:iCs/>
          <w:sz w:val="20"/>
          <w:szCs w:val="20"/>
        </w:rPr>
        <w:t xml:space="preserve">C. </w:t>
      </w:r>
      <w:proofErr w:type="spellStart"/>
      <w:r w:rsidR="009464D6" w:rsidRPr="009464D6">
        <w:rPr>
          <w:rFonts w:ascii="Arial" w:hAnsi="Arial" w:cs="Arial"/>
          <w:i/>
          <w:iCs/>
          <w:sz w:val="20"/>
          <w:szCs w:val="20"/>
        </w:rPr>
        <w:t>liberica</w:t>
      </w:r>
      <w:proofErr w:type="spellEnd"/>
      <w:r w:rsidR="009464D6" w:rsidRPr="009464D6">
        <w:rPr>
          <w:rFonts w:ascii="Arial" w:hAnsi="Arial" w:cs="Arial"/>
          <w:sz w:val="20"/>
          <w:szCs w:val="20"/>
        </w:rPr>
        <w:t xml:space="preserve"> was introduced into Southeast Asia in the late 19th century following the devastating coffee leaf rust (CLR) epidemic that decimated </w:t>
      </w:r>
      <w:r w:rsidR="009464D6" w:rsidRPr="009464D6">
        <w:rPr>
          <w:rFonts w:ascii="Arial" w:hAnsi="Arial" w:cs="Arial"/>
          <w:i/>
          <w:iCs/>
          <w:sz w:val="20"/>
          <w:szCs w:val="20"/>
        </w:rPr>
        <w:t>C. arabica</w:t>
      </w:r>
      <w:r w:rsidR="009464D6" w:rsidRPr="009464D6">
        <w:rPr>
          <w:rFonts w:ascii="Arial" w:hAnsi="Arial" w:cs="Arial"/>
          <w:sz w:val="20"/>
          <w:szCs w:val="20"/>
        </w:rPr>
        <w:t xml:space="preserve"> plantations in Ceylon, Java, and Malaya </w:t>
      </w:r>
      <w:r w:rsidR="009464D6">
        <w:rPr>
          <w:rFonts w:ascii="Arial" w:hAnsi="Arial" w:cs="Arial"/>
          <w:sz w:val="20"/>
          <w:szCs w:val="20"/>
        </w:rPr>
        <w:fldChar w:fldCharType="begin" w:fldLock="1"/>
      </w:r>
      <w:r w:rsidR="00565BE3">
        <w:rPr>
          <w:rFonts w:ascii="Arial" w:hAnsi="Arial" w:cs="Arial"/>
          <w:sz w:val="20"/>
          <w:szCs w:val="20"/>
        </w:rPr>
        <w:instrText>ADDIN CSL_CITATION {"citationItems":[{"id":"ITEM-1","itemData":{"DOI":"10.1017/S174002280600012X","ISSN":"17400228","abstract":"The quantitative growth of coffee production and consumption in the nineteenth and twentieth centuries produced qualitative transformations along every step of the coffee commodity chain. The economic integration of the global coffee market in this period triggered major east-west biological exchanges between the world's coffee regions. The global epidemic of coffee leaf rust, caused by the fungus Hemileia vastatrix, illustrates the ecological and economic impact of such exchanges. Between 1865 and 1985, the epidemic spread from its original focus in Ceylon to engulf all of the world's coffee zones. Its economic impact varied considerably: in some places it destroyed more than 90% of the coffee crop, while in others it was little more than a minor irritant. The epidemic's origins, its diffusion, and its impacts were not accidental, but reflected specific conjunctures of local and global biological and historical processes. © London School of Economics and Political Science 2006.","author":[{"dropping-particle":"","family":"McCook","given":"Stuart","non-dropping-particle":"","parse-names":false,"suffix":""}],"container-title":"Journal of Global History","id":"ITEM-1","issue":"2","issued":{"date-parts":[["2006"]]},"page":"177-195","title":"Global rust belt: &lt;i&gt;Hemileia vastatrix&lt;/i&gt; and the ecological integration of world coffee production since 1850","type":"article-journal","volume":"1"},"uris":["http://www.mendeley.com/documents/?uuid=e772fad8-2b78-4c45-aa55-979c40cfd164"]},{"id":"ITEM-2","itemData":{"DOI":"10.3390/agronomy12020326","ISSN":"20734395","abstract":"Coffee is one of the most consumed beverages in the world. It is also one of the most globally traded commodities. Coffee leaf rust (CLR), caused by the biotrophic fungus Hemileia vastatrix, is the most important disease affecting Arabica coffee growing worldwide, leading to significant yield losses if no control measures are applied. A deep understanding of the complex mechanisms involved in coffee-H. vastatrix interactions, such as the pathogen variability and the mechanisms governing plant resistance and susceptibility, is required to breed efficiently for durable resistance and design new approaches for crop protection. Here we summarize our current understanding across multiple areas related to pathogen infection, variability and candidate effectors, breeding for disease resistance, and the various components of the coffee immune system, by reviewing a comprehensive body of research on CLR and the advances recently made. We also update information about the defense responses activated by the application of plant resistance inducers, a promising alternative to fungicides in the control of CLR. Moreover, we identify and discuss future directions for further research.","author":[{"dropping-particle":"","family":"Silva","given":"Maria Do Céu","non-dropping-particle":"","parse-names":false,"suffix":""},{"dropping-particle":"","family":"Guerra-Guimarães","given":"Leonor","non-dropping-particle":"","parse-names":false,"suffix":""},{"dropping-particle":"","family":"Diniz","given":"Inês","non-dropping-particle":"","parse-names":false,"suffix":""},{"dropping-particle":"","family":"Loureiro","given":"Andreia","non-dropping-particle":"","parse-names":false,"suffix":""},{"dropping-particle":"","family":"Azinheira","given":"Helena","non-dropping-particle":"","parse-names":false,"suffix":""},{"dropping-particle":"","family":"Pereira","given":"Ana P.","non-dropping-particle":"","parse-names":false,"suffix":""},{"dropping-particle":"","family":"Tavares","given":"Sílvia","non-dropping-particle":"","parse-names":false,"suffix":""},{"dropping-particle":"","family":"Batista","given":"Dora","non-dropping-particle":"","parse-names":false,"suffix":""},{"dropping-particle":"","family":"Várzea","given":"Vítor","non-dropping-particle":"","parse-names":false,"suffix":""}],"container-title":"Agronomy","id":"ITEM-2","issue":"2","issued":{"date-parts":[["2022"]]},"page":"1-31","title":"An overview of the mechanisms involved in Coffee-&lt;i&gt;Hemileia vastatrix&lt;/i&gt; interactions: Plant and pathogen perspectives","type":"article-journal","volume":"12"},"uris":["http://www.mendeley.com/documents/?uuid=6d867665-ca2b-4683-8078-fe63c4535d73"]}],"mendeley":{"formattedCitation":"(McCook, 2006; Silva et al., 2022)","plainTextFormattedCitation":"(McCook, 2006; Silva et al., 2022)","previouslyFormattedCitation":"(McCook, 2006; Silva et al., 2022)"},"properties":{"noteIndex":0},"schema":"https://github.com/citation-style-language/schema/raw/master/csl-citation.json"}</w:instrText>
      </w:r>
      <w:r w:rsidR="009464D6">
        <w:rPr>
          <w:rFonts w:ascii="Arial" w:hAnsi="Arial" w:cs="Arial"/>
          <w:sz w:val="20"/>
          <w:szCs w:val="20"/>
        </w:rPr>
        <w:fldChar w:fldCharType="separate"/>
      </w:r>
      <w:r w:rsidR="009464D6" w:rsidRPr="009464D6">
        <w:rPr>
          <w:rFonts w:ascii="Arial" w:hAnsi="Arial" w:cs="Arial"/>
          <w:noProof/>
          <w:sz w:val="20"/>
          <w:szCs w:val="20"/>
        </w:rPr>
        <w:t>(McCook, 2006; Silva et al., 2022)</w:t>
      </w:r>
      <w:r w:rsidR="009464D6">
        <w:rPr>
          <w:rFonts w:ascii="Arial" w:hAnsi="Arial" w:cs="Arial"/>
          <w:sz w:val="20"/>
          <w:szCs w:val="20"/>
        </w:rPr>
        <w:fldChar w:fldCharType="end"/>
      </w:r>
      <w:r w:rsidR="009464D6" w:rsidRPr="009464D6">
        <w:rPr>
          <w:rFonts w:ascii="Arial" w:hAnsi="Arial" w:cs="Arial"/>
          <w:sz w:val="20"/>
          <w:szCs w:val="20"/>
        </w:rPr>
        <w:t xml:space="preserve">. Its resilience to marginal environments, tolerance to some diseases, and distinctive flavour profile have ensured its persistence in Malaysia, despite its relatively low global importance. More recently, </w:t>
      </w:r>
      <w:proofErr w:type="spellStart"/>
      <w:r w:rsidR="009464D6" w:rsidRPr="009464D6">
        <w:rPr>
          <w:rFonts w:ascii="Arial" w:hAnsi="Arial" w:cs="Arial"/>
          <w:sz w:val="20"/>
          <w:szCs w:val="20"/>
        </w:rPr>
        <w:t>Liberica</w:t>
      </w:r>
      <w:proofErr w:type="spellEnd"/>
      <w:r w:rsidR="009464D6" w:rsidRPr="009464D6">
        <w:rPr>
          <w:rFonts w:ascii="Arial" w:hAnsi="Arial" w:cs="Arial"/>
          <w:sz w:val="20"/>
          <w:szCs w:val="20"/>
        </w:rPr>
        <w:t xml:space="preserve"> coffee has gained renewed interest in specialty markets due to its unique sensory attributes and potential for niche branding.</w:t>
      </w:r>
    </w:p>
    <w:p w14:paraId="7FFFA681" w14:textId="77777777" w:rsidR="00954188" w:rsidRPr="0006342D" w:rsidRDefault="00954188" w:rsidP="00DC6B84">
      <w:pPr>
        <w:pStyle w:val="NormalWeb"/>
        <w:spacing w:before="0" w:beforeAutospacing="0" w:after="0" w:afterAutospacing="0" w:line="276" w:lineRule="auto"/>
        <w:contextualSpacing/>
        <w:jc w:val="both"/>
        <w:rPr>
          <w:rFonts w:ascii="Arial" w:hAnsi="Arial" w:cs="Arial"/>
          <w:sz w:val="20"/>
          <w:szCs w:val="20"/>
        </w:rPr>
      </w:pPr>
    </w:p>
    <w:p w14:paraId="1B61EAF2" w14:textId="7683D9B8" w:rsidR="00F27DCD" w:rsidRDefault="00F27DCD" w:rsidP="00DC6B84">
      <w:pPr>
        <w:pStyle w:val="NormalWeb"/>
        <w:spacing w:before="0" w:beforeAutospacing="0" w:after="0" w:afterAutospacing="0" w:line="276" w:lineRule="auto"/>
        <w:contextualSpacing/>
        <w:jc w:val="both"/>
        <w:rPr>
          <w:rFonts w:ascii="Arial" w:hAnsi="Arial" w:cs="Arial"/>
          <w:sz w:val="20"/>
          <w:szCs w:val="20"/>
        </w:rPr>
      </w:pPr>
      <w:r w:rsidRPr="00F27DCD">
        <w:rPr>
          <w:rFonts w:ascii="Arial" w:hAnsi="Arial" w:cs="Arial"/>
          <w:sz w:val="20"/>
          <w:szCs w:val="20"/>
        </w:rPr>
        <w:t xml:space="preserve">Despite these advantages, </w:t>
      </w:r>
      <w:r w:rsidRPr="00F27DCD">
        <w:rPr>
          <w:rFonts w:ascii="Arial" w:hAnsi="Arial" w:cs="Arial"/>
          <w:i/>
          <w:iCs/>
          <w:sz w:val="20"/>
          <w:szCs w:val="20"/>
        </w:rPr>
        <w:t xml:space="preserve">C. </w:t>
      </w:r>
      <w:proofErr w:type="spellStart"/>
      <w:r w:rsidRPr="00F27DCD">
        <w:rPr>
          <w:rFonts w:ascii="Arial" w:hAnsi="Arial" w:cs="Arial"/>
          <w:i/>
          <w:iCs/>
          <w:sz w:val="20"/>
          <w:szCs w:val="20"/>
        </w:rPr>
        <w:t>liberica</w:t>
      </w:r>
      <w:proofErr w:type="spellEnd"/>
      <w:r w:rsidRPr="00F27DCD">
        <w:rPr>
          <w:rFonts w:ascii="Arial" w:hAnsi="Arial" w:cs="Arial"/>
          <w:i/>
          <w:iCs/>
          <w:sz w:val="20"/>
          <w:szCs w:val="20"/>
        </w:rPr>
        <w:t xml:space="preserve"> </w:t>
      </w:r>
      <w:r w:rsidRPr="00F27DCD">
        <w:rPr>
          <w:rFonts w:ascii="Arial" w:hAnsi="Arial" w:cs="Arial"/>
          <w:sz w:val="20"/>
          <w:szCs w:val="20"/>
        </w:rPr>
        <w:t xml:space="preserve">faces major production challenges </w:t>
      </w:r>
      <w:r w:rsidR="00882C78" w:rsidRPr="00882C78">
        <w:rPr>
          <w:rFonts w:ascii="Arial" w:hAnsi="Arial" w:cs="Arial"/>
          <w:sz w:val="20"/>
          <w:szCs w:val="20"/>
        </w:rPr>
        <w:t>that limit its long-term potential. Like other coffee species, it follows a biennial bearing cycle—years of heavy fruiting are often followed by lighter harvests, as resources used for fruiting reduce vegetative growth and next year’s yield</w:t>
      </w:r>
      <w:r w:rsidR="000B067D" w:rsidRPr="0006342D">
        <w:rPr>
          <w:rFonts w:ascii="Arial" w:hAnsi="Arial" w:cs="Arial"/>
          <w:sz w:val="20"/>
          <w:szCs w:val="20"/>
        </w:rPr>
        <w:t xml:space="preserve"> </w:t>
      </w:r>
      <w:r w:rsidR="00214AA3">
        <w:rPr>
          <w:rFonts w:ascii="Arial" w:hAnsi="Arial" w:cs="Arial"/>
          <w:sz w:val="20"/>
          <w:szCs w:val="20"/>
        </w:rPr>
        <w:fldChar w:fldCharType="begin" w:fldLock="1"/>
      </w:r>
      <w:r>
        <w:rPr>
          <w:rFonts w:ascii="Arial" w:hAnsi="Arial" w:cs="Arial"/>
          <w:sz w:val="20"/>
          <w:szCs w:val="20"/>
        </w:rPr>
        <w:instrText>ADDIN CSL_CITATION {"citationItems":[{"id":"ITEM-1","itemData":{"DOI":"10.3390/rs4092492","ISSN":"20724292","abstract":"Coffee is the second most valuable traded commodity worldwide. Brazil is the world's largest coffee producer, responsible for one third of the world production. A coffee plot exhibits high and low production in alternated years, a characteristic so called biennial yield. High yield is generally a result of suitable conditions of foliar biomass. Moreover, in high production years one plot tends to lose more leaves than it does in low production years. In both cases some correlation between coffee yield and leaf biomass can be deduced which can be monitored through time series of vegetation indices derived from satellite imagery. In Brazil, a comprehensive, spatially distributed study assessing this relationship has not yet been done. The objective of this study was to assess possible correlations between coffee yield and MODIS derived vegetation indices in the Brazilian largest coffee-exporting province. We assessed EVI and NDVI MODIS products over the period between 2002 and 2009 in the south of Minas Gerais State whose production accounts for about one third of the Brazilian coffee production. Landsat images were used to obtain a reference map of coffee areas and to identify MODIS 250 m pure pixels overlapping homogeneous coffee crops. Only MODIS pixels with 100% coffee were included in the analysis. A wavelet-based filter was used to smooth EVI and NDVI time profiles. Correlations were observedbetween variations on yield of coffee plots and variations on vegetation indices for pixels overlapping the same coffee plots. The vegetation index metrics best correlated to yield were the amplitude and the minimum values over the growing season. The best correlations were obtained between variation on yield and variation on vegetation indices the previous year (R = 0.74 for minEVI metric and R = 0.68 for minNDVI metric). Although correlations were not enough to estimate coffee yield exclusively from vegetation indices, trends properly reflect the biennial bearing effect on coffee yield. © 2012 by the authors.","author":[{"dropping-particle":"","family":"Bernardes","given":"Tiago","non-dropping-particle":"","parse-names":false,"suffix":""},{"dropping-particle":"","family":"Moreira","given":"Maurício Alves","non-dropping-particle":"","parse-names":false,"suffix":""},{"dropping-particle":"","family":"Adami","given":"Marcos","non-dropping-particle":"","parse-names":false,"suffix":""},{"dropping-particle":"","family":"Giarolla","given":"Angélica","non-dropping-particle":"","parse-names":false,"suffix":""},{"dropping-particle":"","family":"Rudorff","given":"Bernardo Friedrich Theodor","non-dropping-particle":"","parse-names":false,"suffix":""}],"container-title":"Remote Sensing","id":"ITEM-1","issue":"9","issued":{"date-parts":[["2012"]]},"page":"2492-2509","title":"Monitoring biennial bearing effect on coffee yield using MODIS remote sensing imagery","type":"article-journal","volume":"4"},"uris":["http://www.mendeley.com/documents/?uuid=613d0b86-b3fc-476a-a439-e2af99d89133","http://www.mendeley.com/documents/?uuid=8fe37ad8-fdce-407b-9080-77e347710277"]}],"mendeley":{"formattedCitation":"(Bernardes et al., 2012)","plainTextFormattedCitation":"(Bernardes et al., 2012)","previouslyFormattedCitation":"(Bernardes et al., 2012)"},"properties":{"noteIndex":0},"schema":"https://github.com/citation-style-language/schema/raw/master/csl-citation.json"}</w:instrText>
      </w:r>
      <w:r w:rsidR="00214AA3">
        <w:rPr>
          <w:rFonts w:ascii="Arial" w:hAnsi="Arial" w:cs="Arial"/>
          <w:sz w:val="20"/>
          <w:szCs w:val="20"/>
        </w:rPr>
        <w:fldChar w:fldCharType="separate"/>
      </w:r>
      <w:r w:rsidRPr="00F27DCD">
        <w:rPr>
          <w:rFonts w:ascii="Arial" w:hAnsi="Arial" w:cs="Arial"/>
          <w:noProof/>
          <w:sz w:val="20"/>
          <w:szCs w:val="20"/>
        </w:rPr>
        <w:t>(Bernardes et al., 2012)</w:t>
      </w:r>
      <w:r w:rsidR="00214AA3">
        <w:rPr>
          <w:rFonts w:ascii="Arial" w:hAnsi="Arial" w:cs="Arial"/>
          <w:sz w:val="20"/>
          <w:szCs w:val="20"/>
        </w:rPr>
        <w:fldChar w:fldCharType="end"/>
      </w:r>
      <w:r w:rsidR="000B067D" w:rsidRPr="0006342D">
        <w:rPr>
          <w:rFonts w:ascii="Arial" w:eastAsia="Arial" w:hAnsi="Arial" w:cs="Arial"/>
          <w:color w:val="000000"/>
          <w:sz w:val="20"/>
          <w:szCs w:val="20"/>
        </w:rPr>
        <w:t>.</w:t>
      </w:r>
      <w:r w:rsidRPr="00F27DCD">
        <w:t xml:space="preserve"> </w:t>
      </w:r>
      <w:r w:rsidRPr="00F27DCD">
        <w:rPr>
          <w:rFonts w:ascii="Arial" w:eastAsia="Arial" w:hAnsi="Arial" w:cs="Arial"/>
          <w:color w:val="000000"/>
          <w:sz w:val="20"/>
          <w:szCs w:val="20"/>
        </w:rPr>
        <w:t xml:space="preserve">Productivity is further </w:t>
      </w:r>
      <w:r w:rsidR="00FD2F48">
        <w:rPr>
          <w:rFonts w:ascii="Arial" w:eastAsia="Arial" w:hAnsi="Arial" w:cs="Arial"/>
          <w:color w:val="000000"/>
          <w:sz w:val="20"/>
          <w:szCs w:val="20"/>
        </w:rPr>
        <w:t>influenced</w:t>
      </w:r>
      <w:r w:rsidRPr="00F27DCD">
        <w:rPr>
          <w:rFonts w:ascii="Arial" w:eastAsia="Arial" w:hAnsi="Arial" w:cs="Arial"/>
          <w:color w:val="000000"/>
          <w:sz w:val="20"/>
          <w:szCs w:val="20"/>
        </w:rPr>
        <w:t xml:space="preserve"> by external factors </w:t>
      </w:r>
      <w:r w:rsidR="00882C78" w:rsidRPr="00882C78">
        <w:rPr>
          <w:rFonts w:ascii="Arial" w:eastAsia="Arial" w:hAnsi="Arial" w:cs="Arial"/>
          <w:color w:val="000000"/>
          <w:sz w:val="20"/>
          <w:szCs w:val="20"/>
        </w:rPr>
        <w:t>soil fertility, climate variability, and pest and disease pressure</w:t>
      </w:r>
      <w:r w:rsidR="00882C78">
        <w:rPr>
          <w:rFonts w:ascii="Arial" w:eastAsia="Arial" w:hAnsi="Arial" w:cs="Arial"/>
          <w:color w:val="000000"/>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{"citationItems":[{"id":"ITEM-1","itemData":{"DOI":"10.1080/01904167.2018.1510513","ISSN":"15324087","abstract":"The objective of this study was to establish a nutrient sufficiency range and DRIS standards of Conilon coffee grown in southern Bahia, Brazil for the pre-flowering and grain-filling stages and to perform a nutritional diagnosis of these plants using different methods. The collections were performed in 24 Conilon coffee farm fields to establish the leaf nutritional standards, and 278 samples were collected to the nutritional diagnosis. The nutritional diagnosis was performed by using the sufficiency range criterion and the DRIS method. The nutrient sufficiency range and the DRIS standards must be specific to each phenological stage of the Conilon coffee plants. The leaf concentrations of calcium (Ca), sulfur (S), and boron (B) were higher in the pre-flowering stage; and the leaf concentrations of nitrogen (N), potassium (K), copper (Cu), and zinc (Zn) were higher in the grain-filling stage.","author":[{"dropping-particle":"","family":"Partelli","given":"Fábio Luiz","non-dropping-particle":"","parse-names":false,"suffix":""},{"dropping-particle":"","family":"Oliveira","given":"Marcos Góes","non-dropping-particle":"","parse-names":false,"suffix":""},{"dropping-particle":"","family":"Covre","given":"André Monzoli","non-dropping-particle":"","parse-names":false,"suffix":""},{"dropping-particle":"","family":"Vieira","given":"Henrique Duarte","non-dropping-particle":"","parse-names":false,"suffix":""},{"dropping-particle":"","family":"Machado Dias","given":"Jairo Rafael","non-dropping-particle":"","parse-names":false,"suffix":""},{"dropping-particle":"","family":"Braun","given":"Heder","non-dropping-particle":"","parse-names":false,"suffix":""}],"container-title":"Journal of Plant Nutrition","id":"ITEM-1","issue":"19","issued":{"date-parts":[["2018"]]},"page":"2536-2546","publisher":"Taylor &amp; Francis","title":"Nutritional standards and nutritional diagnosis of the Conilon coffee plants in phenological growth stages","type":"article-journal","volume":"41"},"uris":["http://www.mendeley.com/documents/?uuid=18c6a4a3-e452-42ce-b044-8afa68253220","http://www.mendeley.com/documents/?uuid=aa480b81-b3f3-4d39-99c2-fb76cff6efba"]}],"mendeley":{"formattedCitation":"(Partelli et al., 2018)","plainTextFormattedCitation":"(Partelli et al., 2018)","previouslyFormattedCitation":"(Partelli et al., 2018)"},"properties":{"noteIndex":0},"schema":"https://github.com/citation-style-language/schema/raw/master/csl-citation.json"}</w:instrText>
      </w:r>
      <w:r>
        <w:rPr>
          <w:rFonts w:ascii="Arial" w:hAnsi="Arial" w:cs="Arial"/>
          <w:sz w:val="20"/>
          <w:szCs w:val="20"/>
        </w:rPr>
        <w:fldChar w:fldCharType="separate"/>
      </w:r>
      <w:r w:rsidRPr="00F27DCD">
        <w:rPr>
          <w:rFonts w:ascii="Arial" w:hAnsi="Arial" w:cs="Arial"/>
          <w:noProof/>
          <w:sz w:val="20"/>
          <w:szCs w:val="20"/>
        </w:rPr>
        <w:t>(Partelli et al., 2018)</w:t>
      </w:r>
      <w:r>
        <w:rPr>
          <w:rFonts w:ascii="Arial" w:hAnsi="Arial" w:cs="Arial"/>
          <w:sz w:val="20"/>
          <w:szCs w:val="20"/>
        </w:rPr>
        <w:fldChar w:fldCharType="end"/>
      </w:r>
      <w:r w:rsidRPr="0006342D">
        <w:rPr>
          <w:rFonts w:ascii="Arial" w:eastAsia="Arial" w:hAnsi="Arial" w:cs="Arial"/>
          <w:color w:val="000000"/>
          <w:sz w:val="20"/>
          <w:szCs w:val="20"/>
        </w:rPr>
        <w:t>.</w:t>
      </w:r>
      <w:r>
        <w:rPr>
          <w:rFonts w:ascii="Arial" w:eastAsia="Arial" w:hAnsi="Arial" w:cs="Arial"/>
          <w:color w:val="000000"/>
          <w:sz w:val="20"/>
          <w:szCs w:val="20"/>
        </w:rPr>
        <w:t xml:space="preserve"> </w:t>
      </w:r>
      <w:r w:rsidRPr="00F27DCD">
        <w:rPr>
          <w:rFonts w:ascii="Arial" w:eastAsia="Arial" w:hAnsi="Arial" w:cs="Arial"/>
          <w:color w:val="000000"/>
          <w:sz w:val="20"/>
          <w:szCs w:val="20"/>
          <w:lang w:val="en-US"/>
        </w:rPr>
        <w:t xml:space="preserve">Among these, diseases have emerged as one of the most critical constraints to sustainable coffee production globally </w:t>
      </w:r>
      <w:r>
        <w:rPr>
          <w:rFonts w:ascii="Arial" w:eastAsia="Arial" w:hAnsi="Arial" w:cs="Arial"/>
          <w:color w:val="000000"/>
          <w:sz w:val="20"/>
          <w:szCs w:val="20"/>
          <w:lang w:val="en-US"/>
        </w:rPr>
        <w:fldChar w:fldCharType="begin" w:fldLock="1"/>
      </w:r>
      <w:r w:rsidR="001F406E">
        <w:rPr>
          <w:rFonts w:ascii="Arial" w:eastAsia="Arial" w:hAnsi="Arial" w:cs="Arial"/>
          <w:color w:val="000000"/>
          <w:sz w:val="20"/>
          <w:szCs w:val="20"/>
          <w:lang w:val="en-US"/>
        </w:rPr>
        <w:instrText>ADDIN CSL_CITATION {"citationItems":[{"id":"ITEM-1","itemData":{"DOI":"10.1371/journal.pone.0169133","ISBN":"1111111111","ISSN":"19326203","PMID":"28046054","abstract":"The assessment of crop yield losses is needed for the improvement of production systems that contribute to the incomes of rural families and food security worldwide. However, efforts to quantify yield losses and identify their causes are still limited, especially for perennial crops. Our objectives were to quantify primary yield losses (incurred in the current year of production) and secondary yield losses (resulting from negative impacts of the previous year) of coffee due to pests and diseases, and to identify the most important predictors of coffee yields and yield losses. We established an experimental coffee parcel with full-sun exposure that consisted of six treatments, which were defined as different sequences of pesticide applications. The trial lasted three years (2013-2015) and yield components, dead productive branches, and foliar pests and diseases were assessed as predictors of yield. First, we calculated yield losses by comparing actual yields of specific treatments with the estimated attainable yield obtained in plots which always had chemical protection. Second, we used structural equation modeling to identify the most important predictors. Results showed that pests and diseases led to high primary yield losses (26%) and even higher secondary yield losses (38%). We identified the fruiting nodes and the dead productive branches as the most important and useful predictors of yields and yield losses. These predictors could be added in existing mechanistic models of coffee, or can be used to develop new linear mixed models to estimate yield losses. Estimated yield losses can then be related to production factors to identify corrective actions that farmers can implement to reduce losses. The experimental and modeling approaches of this study could also be applied in other perennial crops to assess yield losses.","author":[{"dropping-particle":"","family":"Cerda","given":"Rolando","non-dropping-particle":"","parse-names":false,"suffix":""},{"dropping-particle":"","family":"Avelino","given":"Jacques","non-dropping-particle":"","parse-names":false,"suffix":""},{"dropping-particle":"","family":"Gary","given":"Christian","non-dropping-particle":"","parse-names":false,"suffix":""},{"dropping-particle":"","family":"Tixier","given":"Philippe","non-dropping-particle":"","parse-names":false,"suffix":""},{"dropping-particle":"","family":"Lechevallier","given":"Esther","non-dropping-particle":"","parse-names":false,"suffix":""},{"dropping-particle":"","family":"Allinne","given":"Clémentine","non-dropping-particle":"","parse-names":false,"suffix":""}],"container-title":"PLoS ONE","id":"ITEM-1","issue":"1","issued":{"date-parts":[["2017"]]},"page":"1-17","title":"Primary and secondary yield losses caused by pests and diseases: Assessment and modeling in coffee","type":"article-journal","volume":"12"},"uris":["http://www.mendeley.com/documents/?uuid=76b71c49-3354-4bad-9d7a-a64740f28d3d"]}],"mendeley":{"formattedCitation":"(Cerda et al., 2017)","plainTextFormattedCitation":"(Cerda et al., 2017)","previouslyFormattedCitation":"(Cerda et al., 2017)"},"properties":{"noteIndex":0},"schema":"https://github.com/citation-style-language/schema/raw/master/csl-citation.json"}</w:instrText>
      </w:r>
      <w:r>
        <w:rPr>
          <w:rFonts w:ascii="Arial" w:eastAsia="Arial" w:hAnsi="Arial" w:cs="Arial"/>
          <w:color w:val="000000"/>
          <w:sz w:val="20"/>
          <w:szCs w:val="20"/>
          <w:lang w:val="en-US"/>
        </w:rPr>
        <w:fldChar w:fldCharType="separate"/>
      </w:r>
      <w:r w:rsidRPr="00F27DCD">
        <w:rPr>
          <w:rFonts w:ascii="Arial" w:eastAsia="Arial" w:hAnsi="Arial" w:cs="Arial"/>
          <w:noProof/>
          <w:color w:val="000000"/>
          <w:sz w:val="20"/>
          <w:szCs w:val="20"/>
          <w:lang w:val="en-US"/>
        </w:rPr>
        <w:t>(Cerda et al., 2017)</w:t>
      </w:r>
      <w:r>
        <w:rPr>
          <w:rFonts w:ascii="Arial" w:eastAsia="Arial" w:hAnsi="Arial" w:cs="Arial"/>
          <w:color w:val="000000"/>
          <w:sz w:val="20"/>
          <w:szCs w:val="20"/>
          <w:lang w:val="en-US"/>
        </w:rPr>
        <w:fldChar w:fldCharType="end"/>
      </w:r>
      <w:r w:rsidRPr="00F27DCD">
        <w:rPr>
          <w:rFonts w:ascii="Arial" w:eastAsia="Arial" w:hAnsi="Arial" w:cs="Arial"/>
          <w:color w:val="000000"/>
          <w:sz w:val="20"/>
          <w:szCs w:val="20"/>
          <w:lang w:val="en-US"/>
        </w:rPr>
        <w:t>.</w:t>
      </w:r>
    </w:p>
    <w:p w14:paraId="66D0D6B4" w14:textId="77777777" w:rsidR="00F27DCD" w:rsidRDefault="00F27DCD" w:rsidP="00DC6B84">
      <w:pPr>
        <w:pStyle w:val="NormalWeb"/>
        <w:spacing w:before="0" w:beforeAutospacing="0" w:after="0" w:afterAutospacing="0" w:line="276" w:lineRule="auto"/>
        <w:contextualSpacing/>
        <w:jc w:val="both"/>
        <w:rPr>
          <w:rFonts w:ascii="Arial" w:eastAsia="Arial" w:hAnsi="Arial" w:cs="Arial"/>
          <w:color w:val="000000"/>
          <w:sz w:val="20"/>
          <w:szCs w:val="20"/>
        </w:rPr>
      </w:pPr>
    </w:p>
    <w:p w14:paraId="27DCA161" w14:textId="6F4690FD" w:rsidR="00DC6B84" w:rsidRPr="0006342D" w:rsidRDefault="00436AA8" w:rsidP="00DC6B84">
      <w:pPr>
        <w:pStyle w:val="NormalWeb"/>
        <w:spacing w:before="0" w:beforeAutospacing="0" w:after="0" w:afterAutospacing="0" w:line="276" w:lineRule="auto"/>
        <w:contextualSpacing/>
        <w:jc w:val="both"/>
        <w:rPr>
          <w:rFonts w:ascii="Arial" w:hAnsi="Arial" w:cs="Arial"/>
          <w:sz w:val="20"/>
          <w:szCs w:val="20"/>
        </w:rPr>
      </w:pPr>
      <w:r>
        <w:rPr>
          <w:rFonts w:ascii="Arial" w:eastAsia="Arial" w:hAnsi="Arial" w:cs="Arial"/>
          <w:color w:val="000000"/>
          <w:sz w:val="20"/>
          <w:szCs w:val="20"/>
        </w:rPr>
        <w:t>C</w:t>
      </w:r>
      <w:r w:rsidR="00F27DCD" w:rsidRPr="00F27DCD">
        <w:rPr>
          <w:rFonts w:ascii="Arial" w:eastAsia="Arial" w:hAnsi="Arial" w:cs="Arial"/>
          <w:color w:val="000000"/>
          <w:sz w:val="20"/>
          <w:szCs w:val="20"/>
        </w:rPr>
        <w:t>offee leaf rust (CLR), caused by the biotrophic fungus</w:t>
      </w:r>
      <w:r w:rsidR="00882C78">
        <w:rPr>
          <w:rFonts w:ascii="Arial" w:eastAsia="Arial" w:hAnsi="Arial" w:cs="Arial"/>
          <w:color w:val="000000"/>
          <w:sz w:val="20"/>
          <w:szCs w:val="20"/>
        </w:rPr>
        <w:t>,</w:t>
      </w:r>
      <w:r w:rsidR="00F27DCD" w:rsidRPr="00F27DCD">
        <w:rPr>
          <w:rFonts w:ascii="Arial" w:eastAsia="Arial" w:hAnsi="Arial" w:cs="Arial"/>
          <w:color w:val="000000"/>
          <w:sz w:val="20"/>
          <w:szCs w:val="20"/>
        </w:rPr>
        <w:t xml:space="preserve"> </w:t>
      </w:r>
      <w:proofErr w:type="spellStart"/>
      <w:r w:rsidR="00F27DCD" w:rsidRPr="001F406E">
        <w:rPr>
          <w:rFonts w:ascii="Arial" w:eastAsia="Arial" w:hAnsi="Arial" w:cs="Arial"/>
          <w:i/>
          <w:iCs/>
          <w:color w:val="000000"/>
          <w:sz w:val="20"/>
          <w:szCs w:val="20"/>
        </w:rPr>
        <w:t>Hemileia</w:t>
      </w:r>
      <w:proofErr w:type="spellEnd"/>
      <w:r w:rsidR="00F27DCD" w:rsidRPr="001F406E">
        <w:rPr>
          <w:rFonts w:ascii="Arial" w:eastAsia="Arial" w:hAnsi="Arial" w:cs="Arial"/>
          <w:i/>
          <w:iCs/>
          <w:color w:val="000000"/>
          <w:sz w:val="20"/>
          <w:szCs w:val="20"/>
        </w:rPr>
        <w:t xml:space="preserve"> </w:t>
      </w:r>
      <w:proofErr w:type="spellStart"/>
      <w:r w:rsidR="00F27DCD" w:rsidRPr="001F406E">
        <w:rPr>
          <w:rFonts w:ascii="Arial" w:eastAsia="Arial" w:hAnsi="Arial" w:cs="Arial"/>
          <w:i/>
          <w:iCs/>
          <w:color w:val="000000"/>
          <w:sz w:val="20"/>
          <w:szCs w:val="20"/>
        </w:rPr>
        <w:t>vastatrix</w:t>
      </w:r>
      <w:proofErr w:type="spellEnd"/>
      <w:r>
        <w:rPr>
          <w:rFonts w:ascii="Arial" w:eastAsia="Arial" w:hAnsi="Arial" w:cs="Arial"/>
          <w:color w:val="000000"/>
          <w:sz w:val="20"/>
          <w:szCs w:val="20"/>
        </w:rPr>
        <w:t xml:space="preserve"> is the </w:t>
      </w:r>
      <w:r w:rsidR="00882C78">
        <w:rPr>
          <w:rFonts w:ascii="Arial" w:eastAsia="Arial" w:hAnsi="Arial" w:cs="Arial"/>
          <w:color w:val="000000"/>
          <w:sz w:val="20"/>
          <w:szCs w:val="20"/>
        </w:rPr>
        <w:t>most important</w:t>
      </w:r>
      <w:r>
        <w:rPr>
          <w:rFonts w:ascii="Arial" w:eastAsia="Arial" w:hAnsi="Arial" w:cs="Arial"/>
          <w:color w:val="000000"/>
          <w:sz w:val="20"/>
          <w:szCs w:val="20"/>
        </w:rPr>
        <w:t xml:space="preserve"> disease</w:t>
      </w:r>
      <w:r w:rsidR="00882C78">
        <w:rPr>
          <w:rFonts w:ascii="Arial" w:eastAsia="Arial" w:hAnsi="Arial" w:cs="Arial"/>
          <w:color w:val="000000"/>
          <w:sz w:val="20"/>
          <w:szCs w:val="20"/>
        </w:rPr>
        <w:t xml:space="preserve"> that </w:t>
      </w:r>
      <w:r w:rsidR="00882C78" w:rsidRPr="00882C78">
        <w:rPr>
          <w:rFonts w:ascii="Arial" w:eastAsia="Arial" w:hAnsi="Arial" w:cs="Arial"/>
          <w:color w:val="000000"/>
          <w:sz w:val="20"/>
          <w:szCs w:val="20"/>
        </w:rPr>
        <w:t>global coffee cultivation</w:t>
      </w:r>
      <w:r>
        <w:rPr>
          <w:rFonts w:ascii="Arial" w:eastAsia="Arial" w:hAnsi="Arial" w:cs="Arial"/>
          <w:color w:val="000000"/>
          <w:sz w:val="20"/>
          <w:szCs w:val="20"/>
        </w:rPr>
        <w:t xml:space="preserve">. </w:t>
      </w:r>
      <w:r w:rsidR="00E1786F" w:rsidRPr="00E1786F">
        <w:rPr>
          <w:rFonts w:ascii="Arial" w:eastAsia="Arial" w:hAnsi="Arial" w:cs="Arial"/>
          <w:color w:val="000000"/>
          <w:sz w:val="20"/>
          <w:szCs w:val="20"/>
        </w:rPr>
        <w:t>Since emerging in the late 19th century, CLR has reshaped global coffee production systems</w:t>
      </w:r>
      <w:r w:rsidR="00E1786F">
        <w:rPr>
          <w:rFonts w:ascii="Arial" w:eastAsia="Arial" w:hAnsi="Arial" w:cs="Arial"/>
          <w:color w:val="000000"/>
          <w:sz w:val="20"/>
          <w:szCs w:val="20"/>
        </w:rPr>
        <w:t xml:space="preserve"> </w:t>
      </w:r>
      <w:r w:rsidR="001F406E">
        <w:rPr>
          <w:rFonts w:ascii="Arial" w:eastAsia="Arial" w:hAnsi="Arial" w:cs="Arial"/>
          <w:color w:val="000000"/>
          <w:sz w:val="20"/>
          <w:szCs w:val="20"/>
        </w:rPr>
        <w:fldChar w:fldCharType="begin" w:fldLock="1"/>
      </w:r>
      <w:r w:rsidR="00FD2F48">
        <w:rPr>
          <w:rFonts w:ascii="Arial" w:eastAsia="Arial" w:hAnsi="Arial" w:cs="Arial"/>
          <w:color w:val="000000"/>
          <w:sz w:val="20"/>
          <w:szCs w:val="20"/>
        </w:rPr>
        <w:instrText>ADDIN CSL_CITATION {"citationItems":[{"id":"ITEM-1","itemData":{"DOI":"10.3390/agronomy12020326","ISSN":"20734395","abstract":"Coffee is one of the most consumed beverages in the world. It is also one of the most globally traded commodities. Coffee leaf rust (CLR), caused by the biotrophic fungus Hemileia vastatrix, is the most important disease affecting Arabica coffee growing worldwide, leading to significant yield losses if no control measures are applied. A deep understanding of the complex mechanisms involved in coffee-H. vastatrix interactions, such as the pathogen variability and the mechanisms governing plant resistance and susceptibility, is required to breed efficiently for durable resistance and design new approaches for crop protection. Here we summarize our current understanding across multiple areas related to pathogen infection, variability and candidate effectors, breeding for disease resistance, and the various components of the coffee immune system, by reviewing a comprehensive body of research on CLR and the advances recently made. We also update information about the defense responses activated by the application of plant resistance inducers, a promising alternative to fungicides in the control of CLR. Moreover, we identify and discuss future directions for further research.","author":[{"dropping-particle":"","family":"Silva","given":"Maria Do Céu","non-dropping-particle":"","parse-names":false,"suffix":""},{"dropping-particle":"","family":"Guerra-Guimarães","given":"Leonor","non-dropping-particle":"","parse-names":false,"suffix":""},{"dropping-particle":"","family":"Diniz","given":"Inês","non-dropping-particle":"","parse-names":false,"suffix":""},{"dropping-particle":"","family":"Loureiro","given":"Andreia","non-dropping-particle":"","parse-names":false,"suffix":""},{"dropping-particle":"","family":"Azinheira","given":"Helena","non-dropping-particle":"","parse-names":false,"suffix":""},{"dropping-particle":"","family":"Pereira","given":"Ana P.","non-dropping-particle":"","parse-names":false,"suffix":""},{"dropping-particle":"","family":"Tavares","given":"Sílvia","non-dropping-particle":"","parse-names":false,"suffix":""},{"dropping-particle":"","family":"Batista","given":"Dora","non-dropping-particle":"","parse-names":false,"suffix":""},{"dropping-particle":"","family":"Várzea","given":"Vítor","non-dropping-particle":"","parse-names":false,"suffix":""}],"container-title":"Agronomy","id":"ITEM-1","issue":"2","issued":{"date-parts":[["2022"]]},"page":"1-31","title":"An overview of the mechanisms involved in Coffee-&lt;i&gt;Hemileia vastatrix&lt;/i&gt; interactions: Plant and pathogen perspectives","type":"article-journal","volume":"12"},"uris":["http://www.mendeley.com/documents/?uuid=6d867665-ca2b-4683-8078-fe63c4535d73"]}],"mendeley":{"formattedCitation":"(Silva et al., 2022)","plainTextFormattedCitation":"(Silva et al., 2022)","previouslyFormattedCitation":"(Silva et al., 2022)"},"properties":{"noteIndex":0},"schema":"https://github.com/citation-style-language/schema/raw/master/csl-citation.json"}</w:instrText>
      </w:r>
      <w:r w:rsidR="001F406E">
        <w:rPr>
          <w:rFonts w:ascii="Arial" w:eastAsia="Arial" w:hAnsi="Arial" w:cs="Arial"/>
          <w:color w:val="000000"/>
          <w:sz w:val="20"/>
          <w:szCs w:val="20"/>
        </w:rPr>
        <w:fldChar w:fldCharType="separate"/>
      </w:r>
      <w:r w:rsidR="001F406E" w:rsidRPr="001F406E">
        <w:rPr>
          <w:rFonts w:ascii="Arial" w:eastAsia="Arial" w:hAnsi="Arial" w:cs="Arial"/>
          <w:noProof/>
          <w:color w:val="000000"/>
          <w:sz w:val="20"/>
          <w:szCs w:val="20"/>
        </w:rPr>
        <w:t>(Silva et al., 2022)</w:t>
      </w:r>
      <w:r w:rsidR="001F406E">
        <w:rPr>
          <w:rFonts w:ascii="Arial" w:eastAsia="Arial" w:hAnsi="Arial" w:cs="Arial"/>
          <w:color w:val="000000"/>
          <w:sz w:val="20"/>
          <w:szCs w:val="20"/>
        </w:rPr>
        <w:fldChar w:fldCharType="end"/>
      </w:r>
      <w:r w:rsidR="00601D90" w:rsidRPr="0006342D">
        <w:rPr>
          <w:rFonts w:ascii="Arial" w:hAnsi="Arial" w:cs="Arial"/>
          <w:sz w:val="20"/>
          <w:szCs w:val="20"/>
        </w:rPr>
        <w:t>.</w:t>
      </w:r>
      <w:r w:rsidR="00DC6B84" w:rsidRPr="0006342D">
        <w:rPr>
          <w:rFonts w:ascii="Arial" w:hAnsi="Arial" w:cs="Arial"/>
          <w:sz w:val="20"/>
          <w:szCs w:val="20"/>
        </w:rPr>
        <w:t xml:space="preserve"> </w:t>
      </w:r>
      <w:r w:rsidR="00E1786F" w:rsidRPr="00E1786F">
        <w:rPr>
          <w:rFonts w:ascii="Arial" w:hAnsi="Arial" w:cs="Arial"/>
          <w:sz w:val="20"/>
          <w:szCs w:val="20"/>
        </w:rPr>
        <w:t>The disease triggers premature leaf drop, severely reducing photosynthetic capacity and carbohydrate assimilation</w:t>
      </w:r>
      <w:r w:rsidR="0094701E" w:rsidRPr="0094701E">
        <w:rPr>
          <w:rFonts w:ascii="Arial" w:hAnsi="Arial" w:cs="Arial"/>
          <w:sz w:val="20"/>
          <w:szCs w:val="20"/>
        </w:rPr>
        <w:t xml:space="preserve"> </w:t>
      </w:r>
      <w:r w:rsidR="00E54BFE">
        <w:rPr>
          <w:rFonts w:ascii="Arial" w:hAnsi="Arial" w:cs="Arial"/>
          <w:sz w:val="20"/>
          <w:szCs w:val="20"/>
        </w:rPr>
        <w:fldChar w:fldCharType="begin" w:fldLock="1"/>
      </w:r>
      <w:r w:rsidR="001A1E09">
        <w:rPr>
          <w:rFonts w:ascii="Arial" w:hAnsi="Arial" w:cs="Arial"/>
          <w:sz w:val="20"/>
          <w:szCs w:val="20"/>
        </w:rPr>
        <w:instrText>ADDIN CSL_CITATION {"citationItems":[{"id":"ITEM-1","itemData":{"DOI":"10.1016/j.ecolmodel.2006.03.013","ISSN":"03043800","abstract":"To gain a clearer understanding of conditions conducive to the development of coffee rust and improve disease control, we monitored the development of rust epidemics in 73 plots in Honduras, over 1-3 years depending on the case, focusing on coffee tree characteristics, crop management patterns, and the environment. A simple correspondence analysis was used to show that a link could be found between certain production situations and the intensity of coffee rust epidemics. Local characteristics specific to each plantation were particularly well linked to the intensity of coffee rust epidemics, whereas regional factors such as rainfall appeared to be of secondary importance. The yield and the number of leaves of the coffee trees were positively linked to epidemic development. Soil pH and fertilisation were negatively associated with epidemic development. Shade, when it did not limit yield, probably affected the microclimate in such a way that coffee rust incidence increased. Altitude was a serious constraint in disease development. These links were illustrated by a segmentation tree, which helped to define risk domains and rationalise coffee rust control. It also provided an understanding of how intensifying Arabica cultivation, through its effects on yield and soil acidification, increased the risk of a serious coffee rust epidemic occurring. © 2006 Elsevier B.V. All rights reserved.","author":[{"dropping-particle":"","family":"Avelino","given":"J.","non-dropping-particle":"","parse-names":false,"suffix":""},{"dropping-particle":"","family":"Zelaya","given":"H.","non-dropping-particle":"","parse-names":false,"suffix":""},{"dropping-particle":"","family":"Merlo","given":"A.","non-dropping-particle":"","parse-names":false,"suffix":""},{"dropping-particle":"","family":"Pineda","given":"A.","non-dropping-particle":"","parse-names":false,"suffix":""},{"dropping-particle":"","family":"Ordoñez","given":"M.","non-dropping-particle":"","parse-names":false,"suffix":""},{"dropping-particle":"","family":"Savary","given":"S.","non-dropping-particle":"","parse-names":false,"suffix":""}],"container-title":"Ecological Modelling","id":"ITEM-1","issue":"3-4","issued":{"date-parts":[["2006"]]},"page":"431-447","title":"The intensity of a coffee rust epidemic is dependent on production situations","type":"article-journal","volume":"197"},"uris":["http://www.mendeley.com/documents/?uuid=daa58ea7-535b-4b9a-9f36-ce2d57dc2507"]}],"mendeley":{"formattedCitation":"(Avelino et al., 2006)","plainTextFormattedCitation":"(Avelino et al., 2006)","previouslyFormattedCitation":"(Avelino et al., 2006)"},"properties":{"noteIndex":0},"schema":"https://github.com/citation-style-language/schema/raw/master/csl-citation.json"}</w:instrText>
      </w:r>
      <w:r w:rsidR="00E54BFE">
        <w:rPr>
          <w:rFonts w:ascii="Arial" w:hAnsi="Arial" w:cs="Arial"/>
          <w:sz w:val="20"/>
          <w:szCs w:val="20"/>
        </w:rPr>
        <w:fldChar w:fldCharType="separate"/>
      </w:r>
      <w:r w:rsidR="00E54BFE" w:rsidRPr="00E54BFE">
        <w:rPr>
          <w:rFonts w:ascii="Arial" w:hAnsi="Arial" w:cs="Arial"/>
          <w:noProof/>
          <w:sz w:val="20"/>
          <w:szCs w:val="20"/>
        </w:rPr>
        <w:t>(Avelino et al., 2006)</w:t>
      </w:r>
      <w:r w:rsidR="00E54BFE">
        <w:rPr>
          <w:rFonts w:ascii="Arial" w:hAnsi="Arial" w:cs="Arial"/>
          <w:sz w:val="20"/>
          <w:szCs w:val="20"/>
        </w:rPr>
        <w:fldChar w:fldCharType="end"/>
      </w:r>
      <w:r w:rsidR="0094701E" w:rsidRPr="0094701E">
        <w:rPr>
          <w:rFonts w:ascii="Arial" w:hAnsi="Arial" w:cs="Arial"/>
          <w:sz w:val="20"/>
          <w:szCs w:val="20"/>
        </w:rPr>
        <w:t xml:space="preserve">. </w:t>
      </w:r>
      <w:r w:rsidR="00E1786F" w:rsidRPr="00E1786F">
        <w:rPr>
          <w:rFonts w:ascii="Arial" w:hAnsi="Arial" w:cs="Arial"/>
          <w:sz w:val="20"/>
          <w:szCs w:val="20"/>
        </w:rPr>
        <w:t>As a result, less energy is available for fruit filling, leading to smaller beans and reduced berry set</w:t>
      </w:r>
      <w:r w:rsidR="00E1786F">
        <w:rPr>
          <w:rFonts w:ascii="Arial" w:hAnsi="Arial" w:cs="Arial"/>
          <w:sz w:val="20"/>
          <w:szCs w:val="20"/>
        </w:rPr>
        <w:t xml:space="preserve"> </w:t>
      </w:r>
      <w:r w:rsidR="00E54BFE">
        <w:rPr>
          <w:rFonts w:ascii="Arial" w:hAnsi="Arial" w:cs="Arial"/>
          <w:sz w:val="20"/>
          <w:szCs w:val="20"/>
        </w:rPr>
        <w:fldChar w:fldCharType="begin" w:fldLock="1"/>
      </w:r>
      <w:r w:rsidR="00E54BFE">
        <w:rPr>
          <w:rFonts w:ascii="Arial" w:hAnsi="Arial" w:cs="Arial"/>
          <w:sz w:val="20"/>
          <w:szCs w:val="20"/>
        </w:rPr>
        <w:instrText>ADDIN CSL_CITATION {"citationItems":[{"id":"ITEM-1","itemData":{"DOI":"10.1051/mmnp/2021018","ISSN":"17606101","abstract":"Coffee leaf rust (CLR) is one of the main diseases that affect coffee plantations worldwide. It is caused by the fungus Hemileia vastatrix. Damages induce severe yield losses (up to 70%). Its control mainly relies on cultural practices and fungicides, the latter having harmful ecological impact and important cost. Our goal is to understand the propagation of this fungus in order to propose a biocontrol solution, based on a mycoparasite that inhibits H. vastatrix reproduction. We develop and explore a spatio-temporal model that describes CLR propagation in a coffee plantation during the rainy and dry seasons. We show the existence of a solution and prove that there exists two threshold parameters, the dry and rainy basic reproduction numbers, that determine the stability of the equilibria for the dry and rainy season subsystems. To illustrate these theoretical results, numerical simulations are performed, using a non-standard finite method to integrate the pest model. We also numerically investigate the biocontrol impact. We determine its efficiency threshold in order to ensure CLR eradication.","author":[{"dropping-particle":"","family":"Djuikem","given":"Clotilde","non-dropping-particle":"","parse-names":false,"suffix":""},{"dropping-particle":"","family":"Grognard","given":"Frédéric","non-dropping-particle":"","parse-names":false,"suffix":""},{"dropping-particle":"","family":"Wafo","given":"Roger Tagne","non-dropping-particle":"","parse-names":false,"suffix":""},{"dropping-particle":"","family":"Touzeau","given":"Suzanne","non-dropping-particle":"","parse-names":false,"suffix":""},{"dropping-particle":"","family":"Bowong","given":"Samuel","non-dropping-particle":"","parse-names":false,"suffix":""}],"container-title":"Mathematical Modelling of Natural Phenomena","id":"ITEM-1","issued":{"date-parts":[["2021"]]},"title":"Modelling coffee leaf rust dynamics to control its spread","type":"article-journal","volume":"16"},"uris":["http://www.mendeley.com/documents/?uuid=66ae8247-661a-4f7f-9d76-85f607b50e3b"]}],"mendeley":{"formattedCitation":"(Djuikem et al., 2021)","plainTextFormattedCitation":"(Djuikem et al., 2021)","previouslyFormattedCitation":"(Djuikem et al., 2021)"},"properties":{"noteIndex":0},"schema":"https://github.com/citation-style-language/schema/raw/master/csl-citation.json"}</w:instrText>
      </w:r>
      <w:r w:rsidR="00E54BFE">
        <w:rPr>
          <w:rFonts w:ascii="Arial" w:hAnsi="Arial" w:cs="Arial"/>
          <w:sz w:val="20"/>
          <w:szCs w:val="20"/>
        </w:rPr>
        <w:fldChar w:fldCharType="separate"/>
      </w:r>
      <w:r w:rsidR="00E54BFE" w:rsidRPr="00E54BFE">
        <w:rPr>
          <w:rFonts w:ascii="Arial" w:hAnsi="Arial" w:cs="Arial"/>
          <w:noProof/>
          <w:sz w:val="20"/>
          <w:szCs w:val="20"/>
        </w:rPr>
        <w:t>(Djuikem et al., 2021)</w:t>
      </w:r>
      <w:r w:rsidR="00E54BFE">
        <w:rPr>
          <w:rFonts w:ascii="Arial" w:hAnsi="Arial" w:cs="Arial"/>
          <w:sz w:val="20"/>
          <w:szCs w:val="20"/>
        </w:rPr>
        <w:fldChar w:fldCharType="end"/>
      </w:r>
      <w:r w:rsidR="0094701E" w:rsidRPr="0094701E">
        <w:rPr>
          <w:rFonts w:ascii="Arial" w:hAnsi="Arial" w:cs="Arial"/>
          <w:sz w:val="20"/>
          <w:szCs w:val="20"/>
        </w:rPr>
        <w:t xml:space="preserve">. </w:t>
      </w:r>
      <w:r w:rsidR="00E1786F" w:rsidRPr="00E1786F">
        <w:rPr>
          <w:rFonts w:ascii="Arial" w:hAnsi="Arial" w:cs="Arial"/>
          <w:sz w:val="20"/>
          <w:szCs w:val="20"/>
        </w:rPr>
        <w:t>Severe defoliation also disrupts branch growth and bud initiation, compromising fruiting in subsequent years. Under epidemic conditions, yield losses can reach 75%, with extensive leaf fall and sharp reductions in berry production</w:t>
      </w:r>
      <w:r w:rsidR="001F406E" w:rsidRPr="0006342D">
        <w:rPr>
          <w:rFonts w:ascii="Arial" w:hAnsi="Arial" w:cs="Arial"/>
          <w:sz w:val="20"/>
          <w:szCs w:val="20"/>
        </w:rPr>
        <w:t xml:space="preserve"> </w:t>
      </w:r>
      <w:r w:rsidR="001F406E" w:rsidRPr="0006342D">
        <w:rPr>
          <w:rFonts w:ascii="Arial" w:hAnsi="Arial" w:cs="Arial"/>
          <w:sz w:val="20"/>
          <w:szCs w:val="20"/>
        </w:rPr>
        <w:fldChar w:fldCharType="begin" w:fldLock="1"/>
      </w:r>
      <w:r w:rsidR="001F406E" w:rsidRPr="0006342D">
        <w:rPr>
          <w:rFonts w:ascii="Arial" w:hAnsi="Arial" w:cs="Arial"/>
          <w:sz w:val="20"/>
          <w:szCs w:val="20"/>
        </w:rPr>
        <w:instrText>ADDIN CSL_CITATION {"citationItems":[{"id":"ITEM-1","itemData":{"DOI":"10.1098/rstb.2015.0458","ISBN":"0000000344401","ISSN":"14712970","PMID":"28080984","abstract":"Many fungal plant diseases are strongly controlled by weather, and global climate change is thus likely to have affected fungal pathogen distributions and impacts. Modelling the response of plant diseases to climate change is hampered by the difficulty of estimating pathogen-relevant microclimatic variables from standard meteorological data. The availability of increasingly sophisticated high-resolution climate reanalyses may help overcome this challenge. We illustrate the use of climate reanalyses by testing the hypothesis that climate change increased the likelihood of the 2008–2011 outbreak of Coffee Leaf Rust (CLR, Hemileia vastatrix) in Colombia. We develop a model of germination and infection risk, and drive this model using estimates of leaf wetness duration and canopy temperature from the Japanese 55-Year Reanalysis (JRA-55).We model germination and infection as Weibull functions with different temperature optima, based upon existing experimental data. We find no evidence for an overall trend in disease risk in coffee-growing regions of Colombia from 1990 to 2015, therefore, we reject the climate change hypothesis. There was a significant elevation in predicted CLR infection risk from 2008 to 2011 compared with other years. JRA-55 data suggest a decrease in canopy surface water after 2008, which may have helped terminate the outbreak. The spatial resolution and accuracy of climate reanalyses are continually improving, increasing their utility for biological modelling. Confronting disease models with data requires not only accurate climate data, but also disease observations at high spatio-temporal resolution. Investment in monitoring, storage and accessibility of plant disease observation data are needed to match the quality of the climate data now available.","author":[{"dropping-particle":"","family":"Bebber","given":"Daniel P.","non-dropping-particle":"","parse-names":false,"suffix":""},{"dropping-particle":"","family":"Castillo","given":"Ángela Delgado","non-dropping-particle":"","parse-names":false,"suffix":""},{"dropping-particle":"","family":"Gurr","given":"Sarah J.","non-dropping-particle":"","parse-names":false,"suffix":""}],"container-title":"Philosophical Transactions of the Royal Society B: Biological Sciences","id":"ITEM-1","issue":"1709","issued":{"date-parts":[["2016"]]},"title":"Modelling coffee leaf rust risk in Colombia with climate reanalysis data","type":"article-journal","volume":"371"},"uris":["http://www.mendeley.com/documents/?uuid=af112e04-0e23-417b-8a56-dfa84e6979b4","http://www.mendeley.com/documents/?uuid=382feaad-1d86-46b2-95da-7c451323f0b2"]},{"id":"ITEM-2","itemData":{"DOI":"10.1017/S174002280600012X","ISSN":"17400228","abstract":"The quantitative growth of coffee production and consumption in the nineteenth and twentieth centuries produced qualitative transformations along every step of the coffee commodity chain. The economic integration of the global coffee market in this period triggered major east-west biological exchanges between the world's coffee regions. The global epidemic of coffee leaf rust, caused by the fungus Hemileia vastatrix, illustrates the ecological and economic impact of such exchanges. Between 1865 and 1985, the epidemic spread from its original focus in Ceylon to engulf all of the world's coffee zones. Its economic impact varied considerably: in some places it destroyed more than 90% of the coffee crop, while in others it was little more than a minor irritant. The epidemic's origins, its diffusion, and its impacts were not accidental, but reflected specific conjunctures of local and global biological and historical processes. © London School of Economics and Political Science 2006.","author":[{"dropping-particle":"","family":"McCook","given":"Stuart","non-dropping-particle":"","parse-names":false,"suffix":""}],"container-title":"Journal of Global History","id":"ITEM-2","issue":"2","issued":{"date-parts":[["2006"]]},"page":"177-195","title":"Global rust belt: &lt;i&gt;Hemileia vastatrix&lt;/i&gt; and the ecological integration of world coffee production since 1850","type":"article-journal","volume":"1"},"uris":["http://www.mendeley.com/documents/?uuid=e772fad8-2b78-4c45-aa55-979c40cfd164","http://www.mendeley.com/documents/?uuid=5f7932f3-c50d-4d8b-a1f4-1201994e563a"]}],"mendeley":{"formattedCitation":"(Bebber et al., 2016; McCook, 2006)","plainTextFormattedCitation":"(Bebber et al., 2016; McCook, 2006)","previouslyFormattedCitation":"(Bebber et al., 2016; McCook, 2006)"},"properties":{"noteIndex":0},"schema":"https://github.com/citation-style-language/schema/raw/master/csl-citation.json"}</w:instrText>
      </w:r>
      <w:r w:rsidR="001F406E" w:rsidRPr="0006342D">
        <w:rPr>
          <w:rFonts w:ascii="Arial" w:hAnsi="Arial" w:cs="Arial"/>
          <w:sz w:val="20"/>
          <w:szCs w:val="20"/>
        </w:rPr>
        <w:fldChar w:fldCharType="separate"/>
      </w:r>
      <w:r w:rsidR="001F406E" w:rsidRPr="0006342D">
        <w:rPr>
          <w:rFonts w:ascii="Arial" w:hAnsi="Arial" w:cs="Arial"/>
          <w:noProof/>
          <w:sz w:val="20"/>
          <w:szCs w:val="20"/>
        </w:rPr>
        <w:t>(Bebber et al., 2016; McCook, 2006)</w:t>
      </w:r>
      <w:r w:rsidR="001F406E" w:rsidRPr="0006342D">
        <w:rPr>
          <w:rFonts w:ascii="Arial" w:hAnsi="Arial" w:cs="Arial"/>
          <w:sz w:val="20"/>
          <w:szCs w:val="20"/>
        </w:rPr>
        <w:fldChar w:fldCharType="end"/>
      </w:r>
      <w:r w:rsidR="001F406E" w:rsidRPr="0006342D">
        <w:rPr>
          <w:rFonts w:ascii="Arial" w:hAnsi="Arial" w:cs="Arial"/>
          <w:sz w:val="20"/>
          <w:szCs w:val="20"/>
        </w:rPr>
        <w:t>.</w:t>
      </w:r>
      <w:r w:rsidR="001F406E">
        <w:rPr>
          <w:rFonts w:ascii="Arial" w:hAnsi="Arial" w:cs="Arial"/>
          <w:sz w:val="20"/>
          <w:szCs w:val="20"/>
        </w:rPr>
        <w:t xml:space="preserve"> </w:t>
      </w:r>
      <w:r w:rsidR="00E1786F" w:rsidRPr="00E1786F">
        <w:rPr>
          <w:rFonts w:ascii="Arial" w:hAnsi="Arial" w:cs="Arial"/>
          <w:sz w:val="20"/>
          <w:szCs w:val="20"/>
        </w:rPr>
        <w:t>Moreover, CLR intensifies biennial bearing by depleting leaf reserves after high-yielding years, limiting plant recovery and exacerbating yield fluctuations</w:t>
      </w:r>
      <w:r w:rsidR="00E1786F">
        <w:rPr>
          <w:rFonts w:ascii="Arial" w:hAnsi="Arial" w:cs="Arial"/>
          <w:sz w:val="20"/>
          <w:szCs w:val="20"/>
        </w:rPr>
        <w:t xml:space="preserve"> </w:t>
      </w:r>
      <w:r w:rsidR="00E54BFE" w:rsidRPr="0006342D">
        <w:rPr>
          <w:rFonts w:ascii="Arial" w:hAnsi="Arial" w:cs="Arial"/>
          <w:sz w:val="20"/>
          <w:szCs w:val="20"/>
        </w:rPr>
        <w:fldChar w:fldCharType="begin" w:fldLock="1"/>
      </w:r>
      <w:r w:rsidR="00A97C59">
        <w:rPr>
          <w:rFonts w:ascii="Arial" w:hAnsi="Arial" w:cs="Arial"/>
          <w:sz w:val="20"/>
          <w:szCs w:val="20"/>
        </w:rPr>
        <w:instrText>ADDIN CSL_CITATION {"citationItems":[{"id":"ITEM-1","itemData":{"ISSN":"0100-4158","abstract":"Coffee leaf rust causes great yield losses during the years of high berry yield. The objective of this trial was to study the development of levels of coffee berry removals on the incidence of rust and to correlate the levels of nutrients and carbohydrates with the disease in 2001 and 2002, in five-year-old plants of the cultivar Catuai Vermelho. The presence of fruits in the initial phase of the vegetative coffee growth in 2001 triggers the establishment of the disease, which then decreased as the level of coffee fruits in the plants fell from 100% to zero percent. Plants with 100% of coffee fruits on the tree had the highest incidence of disease in contrast, plants with 0% of fruits had the lowest incidence of the disease. The rust started in January, reaching its peak at harvesting, in July. Plants that presented 62.75 bags per hectare presented 95% of their leaves diseased and 49% of the foliar area infected, at the end of the experiment. Plants with 15 bags per hectare were 10% diseased in July. As the level of coffee berry yield increased on the plants (0-100%) the average level of K decreased by 34%, Ca 37%, Cu 17% and B increased 29%. The level of starch decreased by 30% on the plants without coffee fruits, compared with plants that had 50-100%.","author":[{"dropping-particle":"","family":"Costa","given":"Mauro J. N.","non-dropping-particle":"","parse-names":false,"suffix":""},{"dropping-particle":"","family":"Zambolim","given":"Laércio","non-dropping-particle":"","parse-names":false,"suffix":""},{"dropping-particle":"","family":"Rodrigues","given":"Fabrício A.","non-dropping-particle":"","parse-names":false,"suffix":""}],"container-title":"Fitopatologia Brasileira","id":"ITEM-1","issue":"6","issued":{"date-parts":[["2006"]]},"page":"564-571","title":"Effect of levels of coffee berry removals on the incidence of rust and on the level of nutrients, carbohydrates and reductor sugar","type":"article-journal","volume":"31"},"uris":["http://www.mendeley.com/documents/?uuid=7896b1d6-76fe-472b-a49d-73e7a6037ee6","http://www.mendeley.com/documents/?uuid=dc8e12e4-1dd3-4ee4-957a-9b67c85666b9"]},{"id":"ITEM-2","itemData":{"DOI":"10.1016/0261-2194(95)00040-2","ISSN":"02612194","abstract":"Coffee leaf rust epidemics of varying severity were created by application of fungicide treatments, of varying concentration, to experimental plots from 1989 to 1992. Detailed measurements of disease incidence and leaf fall showed that yield and foliation (number of leaves per lateral) in 1991 was affected by the disease incidence in the previous season. Analysis showed a significantly greater influence of disease on foliation, both within and between seasons, than on yield. This was confirmed by data from 1992. It was concluded that the effect of the disease on yield is indirect through induction of defoliation. © 1995.","author":[{"dropping-particle":"","family":"Brown","given":"J. S.","non-dropping-particle":"","parse-names":false,"suffix":""},{"dropping-particle":"","family":"Whan","given":"J. H.","non-dropping-particle":"","parse-names":false,"suffix":""},{"dropping-particle":"","family":"Kenny","given":"M. K.","non-dropping-particle":"","parse-names":false,"suffix":""},{"dropping-particle":"","family":"Merriman","given":"P. R.","non-dropping-particle":"","parse-names":false,"suffix":""}],"container-title":"Crop Protection","id":"ITEM-2","issue":"7","issued":{"date-parts":[["1995"]]},"page":"589-592","title":"The effect of coffee leaf rust on foliation and yield of coffee in Papua New Guinea","type":"article-journal","volume":"14"},"uris":["http://www.mendeley.com/documents/?uuid=67090c32-40b8-4d14-b3e1-f70515814f6f","http://www.mendeley.com/documents/?uuid=f6c62df7-0892-4301-a45d-3686c0649836"]}],"mendeley":{"formattedCitation":"(Brown et al., 1995; Costa et al., 2006)","plainTextFormattedCitation":"(Brown et al., 1995; Costa et al., 2006)","previouslyFormattedCitation":"(Brown et al., 1995; Costa et al., 2006)"},"properties":{"noteIndex":0},"schema":"https://github.com/citation-style-language/schema/raw/master/csl-citation.json"}</w:instrText>
      </w:r>
      <w:r w:rsidR="00E54BFE" w:rsidRPr="0006342D">
        <w:rPr>
          <w:rFonts w:ascii="Arial" w:hAnsi="Arial" w:cs="Arial"/>
          <w:sz w:val="20"/>
          <w:szCs w:val="20"/>
        </w:rPr>
        <w:fldChar w:fldCharType="separate"/>
      </w:r>
      <w:r w:rsidR="001A1E09" w:rsidRPr="001A1E09">
        <w:rPr>
          <w:rFonts w:ascii="Arial" w:hAnsi="Arial" w:cs="Arial"/>
          <w:noProof/>
          <w:sz w:val="20"/>
          <w:szCs w:val="20"/>
        </w:rPr>
        <w:t>(Brown et al., 1995; Costa et al., 2006)</w:t>
      </w:r>
      <w:r w:rsidR="00E54BFE" w:rsidRPr="0006342D">
        <w:rPr>
          <w:rFonts w:ascii="Arial" w:hAnsi="Arial" w:cs="Arial"/>
          <w:sz w:val="20"/>
          <w:szCs w:val="20"/>
        </w:rPr>
        <w:fldChar w:fldCharType="end"/>
      </w:r>
      <w:r w:rsidR="00E54BFE" w:rsidRPr="0006342D">
        <w:rPr>
          <w:rFonts w:ascii="Arial" w:hAnsi="Arial" w:cs="Arial"/>
          <w:sz w:val="20"/>
          <w:szCs w:val="20"/>
        </w:rPr>
        <w:t>.</w:t>
      </w:r>
      <w:r w:rsidR="001A1E09" w:rsidRPr="001A1E09">
        <w:rPr>
          <w:rFonts w:ascii="Arial" w:hAnsi="Arial" w:cs="Arial"/>
          <w:sz w:val="20"/>
          <w:szCs w:val="20"/>
        </w:rPr>
        <w:t xml:space="preserve"> </w:t>
      </w:r>
      <w:r w:rsidR="00E1786F" w:rsidRPr="00E1786F">
        <w:rPr>
          <w:rFonts w:ascii="Arial" w:hAnsi="Arial" w:cs="Arial"/>
          <w:sz w:val="20"/>
          <w:szCs w:val="20"/>
        </w:rPr>
        <w:t>Beyond agronomic impacts, CLR imposes serious socio-economic burdens, particularly on smallholder farmers with limited access to control measures</w:t>
      </w:r>
      <w:r w:rsidR="00E1786F">
        <w:rPr>
          <w:rFonts w:ascii="Arial" w:hAnsi="Arial" w:cs="Arial"/>
          <w:sz w:val="20"/>
          <w:szCs w:val="20"/>
        </w:rPr>
        <w:t xml:space="preserve"> </w:t>
      </w:r>
      <w:r w:rsidR="00601D90" w:rsidRPr="0006342D">
        <w:rPr>
          <w:rFonts w:ascii="Arial" w:hAnsi="Arial" w:cs="Arial"/>
          <w:sz w:val="20"/>
          <w:szCs w:val="20"/>
        </w:rPr>
        <w:fldChar w:fldCharType="begin" w:fldLock="1"/>
      </w:r>
      <w:r w:rsidR="00E21A3C">
        <w:rPr>
          <w:rFonts w:ascii="Arial" w:hAnsi="Arial" w:cs="Arial"/>
          <w:sz w:val="20"/>
          <w:szCs w:val="20"/>
        </w:rPr>
        <w:instrText>ADDIN CSL_CITATION {"citationItems":[{"id":"ITEM-1","itemData":{"DOI":"10.1007/s12571-015-0446-9","ISSN":"18764525","abstract":"Coffee rust is a leaf disease caused by the fungus, Hemileia vastatrix. Coffee rust epidemics, with intensities higher than previously observed, have affected a number of countries including: Colombia, from 2008 to 2011; Central America and Mexico, in 2012–13; and Peru and Ecuador in 2013. There are many contributing factors to the onset of these epidemics e.g. the state of the economy, crop management decisions and the prevailing weather, and many resulting impacts e.g. on production, on farmers’ and labourers’ income and livelihood, and on food security. Production has been considerably reduced in Colombia (by 31 % on average during the epidemic years compared with 2007) and Central America (by 16 % in 2013 compared with 2011–12 and by 10 % in 2013–14 compared with 2012–13). These reductions have had direct impacts on the livelihoods of thousands of smallholders and harvesters. For these populations, particularly in Central America, coffee is often the only source of income used to buy food and supplies for the cultivation of basic grains. As a result, the coffee rust epidemic has had indirect impacts on food security. The main drivers of these epidemics are economic and meteorological. All the intense epidemics experienced during the last 37 years in Central America and Colombia were concurrent with low coffee profitability periods due to coffee price declines, as was the case in the 2012–13 Central American epidemic, or due to increases in input costs, as in the 2008–11 Colombian epidemics. Low profitability led to suboptimal coffee management, which resulted in increased plant vulnerability to pests and diseases. A common factor in the recent Colombian and Central American epidemics was a reduction in the diurnal thermal amplitude, with higher minimum/lower maximum temperatures (+0.1 °C/-0.5 °C on average during 2008–2011 compared to a low coffee rust incidence period, 1991–1994, in Chinchiná, Colombia; +0.9 °C/-1.2 °C on average in 2012 compared with prevailing climate, in 1224 farms from Guatemala). This likely decreased the latency period of the disease. These epidemics should be considered as a warning for the future, as they were enhanced by weather conditions consistent with climate change. Appropriate actions need to be taken in the near future to address this issue including: the development and establishment of resistant coffee cultivars; the creation of early warning systems; the design of crop management systems adapted to climate change…","author":[{"dropping-particle":"","family":"Avelino","given":"Jacques","non-dropping-particle":"","parse-names":false,"suffix":""},{"dropping-particle":"","family":"Cristancho","given":"Marco","non-dropping-particle":"","parse-names":false,"suffix":""},{"dropping-particle":"","family":"Georgiou","given":"Selena","non-dropping-particle":"","parse-names":false,"suffix":""},{"dropping-particle":"","family":"Imbach","given":"Pablo","non-dropping-particle":"","parse-names":false,"suffix":""},{"dropping-particle":"","family":"Aguilar","given":"Lorena","non-dropping-particle":"","parse-names":false,"suffix":""},{"dropping-particle":"","family":"Bornemann","given":"Gustavo","non-dropping-particle":"","parse-names":false,"suffix":""},{"dropping-particle":"","family":"Läderach","given":"Peter","non-dropping-particle":"","parse-names":false,"suffix":""},{"dropping-particle":"","family":"Anzueto","given":"Francisco","non-dropping-particle":"","parse-names":false,"suffix":""},{"dropping-particle":"","family":"Hruska","given":"Allan J.","non-dropping-particle":"","parse-names":false,"suffix":""},{"dropping-particle":"","family":"Morales","given":"Carmen","non-dropping-particle":"","parse-names":false,"suffix":""}],"container-title":"Food Security","id":"ITEM-1","issue":"2","issued":{"date-parts":[["2015"]]},"page":"303-321","title":"The coffee rust crises in Colombia and Central America (2008–2013): impacts, plausible causes and proposed solutions","type":"article-journal","volume":"7"},"uris":["http://www.mendeley.com/documents/?uuid=ea0c346a-6bcd-4dc5-9f53-12facc371b55","http://www.mendeley.com/documents/?uuid=c4ef84d2-f551-4754-b7b1-9d794dda20e7"]}],"mendeley":{"formattedCitation":"(Avelino et al., 2015)","plainTextFormattedCitation":"(Avelino et al., 2015)","previouslyFormattedCitation":"(Avelino et al., 2015)"},"properties":{"noteIndex":0},"schema":"https://github.com/citation-style-language/schema/raw/master/csl-citation.json"}</w:instrText>
      </w:r>
      <w:r w:rsidR="00601D90" w:rsidRPr="0006342D">
        <w:rPr>
          <w:rFonts w:ascii="Arial" w:hAnsi="Arial" w:cs="Arial"/>
          <w:sz w:val="20"/>
          <w:szCs w:val="20"/>
        </w:rPr>
        <w:fldChar w:fldCharType="separate"/>
      </w:r>
      <w:r w:rsidR="00A3552E" w:rsidRPr="00A3552E">
        <w:rPr>
          <w:rFonts w:ascii="Arial" w:hAnsi="Arial" w:cs="Arial"/>
          <w:noProof/>
          <w:sz w:val="20"/>
          <w:szCs w:val="20"/>
        </w:rPr>
        <w:t>(Avelino et al., 2015)</w:t>
      </w:r>
      <w:r w:rsidR="00601D90" w:rsidRPr="0006342D">
        <w:rPr>
          <w:rFonts w:ascii="Arial" w:hAnsi="Arial" w:cs="Arial"/>
          <w:sz w:val="20"/>
          <w:szCs w:val="20"/>
        </w:rPr>
        <w:fldChar w:fldCharType="end"/>
      </w:r>
      <w:r w:rsidR="00601D90" w:rsidRPr="0006342D">
        <w:rPr>
          <w:rFonts w:ascii="Arial" w:hAnsi="Arial" w:cs="Arial"/>
          <w:sz w:val="20"/>
          <w:szCs w:val="20"/>
        </w:rPr>
        <w:t>.</w:t>
      </w:r>
      <w:r w:rsidR="00024432" w:rsidRPr="0006342D">
        <w:rPr>
          <w:rFonts w:ascii="Arial" w:hAnsi="Arial" w:cs="Arial"/>
          <w:sz w:val="20"/>
          <w:szCs w:val="20"/>
        </w:rPr>
        <w:t xml:space="preserve"> </w:t>
      </w:r>
    </w:p>
    <w:p w14:paraId="2FAE1564" w14:textId="77777777" w:rsidR="009C1ED2" w:rsidRPr="0006342D" w:rsidRDefault="009C1ED2">
      <w:pPr>
        <w:pBdr>
          <w:top w:val="nil"/>
          <w:left w:val="nil"/>
          <w:bottom w:val="nil"/>
          <w:right w:val="nil"/>
          <w:between w:val="nil"/>
        </w:pBdr>
        <w:spacing w:line="276" w:lineRule="auto"/>
        <w:jc w:val="both"/>
        <w:rPr>
          <w:rFonts w:ascii="Arial" w:eastAsia="Arial" w:hAnsi="Arial" w:cs="Arial"/>
          <w:color w:val="000000"/>
        </w:rPr>
      </w:pPr>
    </w:p>
    <w:p w14:paraId="580CA7FB" w14:textId="521B6A5F" w:rsidR="00D62A6D" w:rsidRDefault="00133233" w:rsidP="004341B4">
      <w:pPr>
        <w:pBdr>
          <w:top w:val="nil"/>
          <w:left w:val="nil"/>
          <w:bottom w:val="nil"/>
          <w:right w:val="nil"/>
          <w:between w:val="nil"/>
        </w:pBdr>
        <w:spacing w:line="276" w:lineRule="auto"/>
        <w:jc w:val="both"/>
        <w:rPr>
          <w:rFonts w:ascii="Arial" w:hAnsi="Arial" w:cs="Arial"/>
        </w:rPr>
      </w:pPr>
      <w:r w:rsidRPr="00133233">
        <w:rPr>
          <w:rFonts w:ascii="Arial" w:hAnsi="Arial" w:cs="Arial"/>
          <w:lang w:val="en-MY"/>
        </w:rPr>
        <w:t xml:space="preserve">Tolerance levels vary among </w:t>
      </w:r>
      <w:r w:rsidRPr="00133233">
        <w:rPr>
          <w:rFonts w:ascii="Arial" w:hAnsi="Arial" w:cs="Arial"/>
          <w:i/>
          <w:iCs/>
          <w:lang w:val="en-MY"/>
        </w:rPr>
        <w:t>Coffea</w:t>
      </w:r>
      <w:r w:rsidRPr="00133233">
        <w:rPr>
          <w:rFonts w:ascii="Arial" w:hAnsi="Arial" w:cs="Arial"/>
          <w:lang w:val="en-MY"/>
        </w:rPr>
        <w:t xml:space="preserve"> species</w:t>
      </w:r>
      <w:r>
        <w:rPr>
          <w:rFonts w:ascii="Arial" w:hAnsi="Arial" w:cs="Arial"/>
          <w:lang w:val="en-MY"/>
        </w:rPr>
        <w:t xml:space="preserve"> with </w:t>
      </w:r>
      <w:r w:rsidRPr="00133233">
        <w:rPr>
          <w:rFonts w:ascii="Arial" w:hAnsi="Arial" w:cs="Arial"/>
          <w:i/>
          <w:iCs/>
          <w:lang w:val="en-MY"/>
        </w:rPr>
        <w:t>C. arabica</w:t>
      </w:r>
      <w:r w:rsidRPr="00133233">
        <w:rPr>
          <w:rFonts w:ascii="Arial" w:hAnsi="Arial" w:cs="Arial"/>
          <w:lang w:val="en-MY"/>
        </w:rPr>
        <w:t xml:space="preserve"> is highly susceptible, while </w:t>
      </w:r>
      <w:r w:rsidRPr="00133233">
        <w:rPr>
          <w:rFonts w:ascii="Arial" w:hAnsi="Arial" w:cs="Arial"/>
          <w:i/>
          <w:iCs/>
          <w:lang w:val="en-MY"/>
        </w:rPr>
        <w:t xml:space="preserve">C. </w:t>
      </w:r>
      <w:proofErr w:type="spellStart"/>
      <w:r w:rsidRPr="00133233">
        <w:rPr>
          <w:rFonts w:ascii="Arial" w:hAnsi="Arial" w:cs="Arial"/>
          <w:i/>
          <w:iCs/>
          <w:lang w:val="en-MY"/>
        </w:rPr>
        <w:t>canephora</w:t>
      </w:r>
      <w:proofErr w:type="spellEnd"/>
      <w:r w:rsidRPr="00133233">
        <w:rPr>
          <w:rFonts w:ascii="Arial" w:hAnsi="Arial" w:cs="Arial"/>
          <w:lang w:val="en-MY"/>
        </w:rPr>
        <w:t xml:space="preserve"> and </w:t>
      </w:r>
      <w:r w:rsidRPr="00133233">
        <w:rPr>
          <w:rFonts w:ascii="Arial" w:hAnsi="Arial" w:cs="Arial"/>
          <w:i/>
          <w:iCs/>
          <w:lang w:val="en-MY"/>
        </w:rPr>
        <w:t xml:space="preserve">C. </w:t>
      </w:r>
      <w:proofErr w:type="spellStart"/>
      <w:r w:rsidRPr="00133233">
        <w:rPr>
          <w:rFonts w:ascii="Arial" w:hAnsi="Arial" w:cs="Arial"/>
          <w:i/>
          <w:iCs/>
          <w:lang w:val="en-MY"/>
        </w:rPr>
        <w:t>liberica</w:t>
      </w:r>
      <w:proofErr w:type="spellEnd"/>
      <w:r w:rsidRPr="00133233">
        <w:rPr>
          <w:rFonts w:ascii="Arial" w:hAnsi="Arial" w:cs="Arial"/>
          <w:lang w:val="en-MY"/>
        </w:rPr>
        <w:t xml:space="preserve"> show greater resilience. Nonetheless, CLR remains a significant threat across all cultivated coffee</w:t>
      </w:r>
      <w:r w:rsidR="00D62A6D">
        <w:rPr>
          <w:rFonts w:ascii="Arial" w:hAnsi="Arial" w:cs="Arial"/>
          <w:lang w:val="en-MY"/>
        </w:rPr>
        <w:t xml:space="preserve"> </w:t>
      </w:r>
      <w:r w:rsidR="00D62A6D" w:rsidRPr="0006342D">
        <w:rPr>
          <w:rFonts w:ascii="Arial" w:hAnsi="Arial" w:cs="Arial"/>
        </w:rPr>
        <w:fldChar w:fldCharType="begin" w:fldLock="1"/>
      </w:r>
      <w:r w:rsidR="00D62A6D" w:rsidRPr="0006342D">
        <w:rPr>
          <w:rFonts w:ascii="Arial" w:hAnsi="Arial" w:cs="Arial"/>
        </w:rPr>
        <w:instrText>ADDIN CSL_CITATION {"citationItems":[{"id":"ITEM-1","itemData":{"DOI":"10.1111/mpp.12512","ISSN":"13643703","PMID":"27885775","abstract":"Taxonomy and History: Hemileia vastatrix Berk. and Broome (Basidiomycota, Pucciniales) was described in 1869 in eastern Africa and Ceylon as the agent of coffee leaf rust and has spread to all coffee cultivation areas worldwide. Major disease outbreaks in Asia, Africa and America caused and continue to cause severe yield losses, making this the most important disease of Arabica coffee, a cash crop for many tropical and sub-tropical countries. Life cycle and Disease symptoms: Hemileia vastatrix is a hemicyclic fungus with the urediniosporic life cycle as its most important (if not only) source of inoculum. Chlorotic spots are the first macroscopic symptoms, preceding the differentiation of suprastomatal, bouquet-shaped, orange-coloured uredinia. The disease can cause yield losses of up to 35% and have a polyetic epidemiological impact on subsequent years. Disease control: Although the use of fungicides is one of the preferred immediate control measures, the use of resistant cultivars is considered to be the most effective and durable disease control strategy. The discovery of ‘Híbrido de Timor’ provided sources of resistance that have been used in several breeding programmes and that have been proven to be effective and durable, as some have been in use for more than 30 years. Genetic diversity and Molecular pathogenicity: Although exhibiting limited genetic polymorphism, the very large genome of H. vastatrix (c. 797 Mbp) conceals great pathological diversity, with more than 50 physiological races. Gene expression studies have revealed a very precocious activation of signalling pathways and production of putative effectors, suggesting that the plant–fungus dialogue starts as early as at the germ tube stage, and have provided clues for the identification of avr genes.","author":[{"dropping-particle":"","family":"Talhinhas","given":"Pedro","non-dropping-particle":"","parse-names":false,"suffix":""},{"dropping-particle":"","family":"Batista","given":"Dora","non-dropping-particle":"","parse-names":false,"suffix":""},{"dropping-particle":"","family":"Diniz","given":"Inês","non-dropping-particle":"","parse-names":false,"suffix":""},{"dropping-particle":"","family":"Vieira","given":"Ana","non-dropping-particle":"","parse-names":false,"suffix":""},{"dropping-particle":"","family":"Silva","given":"Diogo N.","non-dropping-particle":"","parse-names":false,"suffix":""},{"dropping-particle":"","family":"Loureiro","given":"Andreia","non-dropping-particle":"","parse-names":false,"suffix":""},{"dropping-particle":"","family":"Tavares","given":"Sílvia","non-dropping-particle":"","parse-names":false,"suffix":""},{"dropping-particle":"","family":"Pereira","given":"Ana Paula","non-dropping-particle":"","parse-names":false,"suffix":""},{"dropping-particle":"","family":"Azinheira","given":"Helena G.","non-dropping-particle":"","parse-names":false,"suffix":""},{"dropping-particle":"","family":"Guerra-Guimarães","given":"Leonor","non-dropping-particle":"","parse-names":false,"suffix":""},{"dropping-particle":"","family":"Várzea","given":"Vítor","non-dropping-particle":"","parse-names":false,"suffix":""},{"dropping-particle":"","family":"Silva","given":"Maria do Céu","non-dropping-particle":"","parse-names":false,"suffix":""}],"container-title":"Molecular Plant Pathology","id":"ITEM-1","issue":"8","issued":{"date-parts":[["2017"]]},"page":"1039-1051","title":"The coffee leaf rust pathogen &lt;i&gt;Hemileia vastatrix&lt;/i&gt;: one and a half centuries around the tropics","type":"article-journal","volume":"18"},"uris":["http://www.mendeley.com/documents/?uuid=03c475b7-62c6-4804-847d-9b6cd577c87d","http://www.mendeley.com/documents/?uuid=0e68ffa5-f30f-4bc0-9427-9b232153fbca"]}],"mendeley":{"formattedCitation":"(Talhinhas et al., 2017)","plainTextFormattedCitation":"(Talhinhas et al., 2017)","previouslyFormattedCitation":"(Talhinhas et al., 2017)"},"properties":{"noteIndex":0},"schema":"https://github.com/citation-style-language/schema/raw/master/csl-citation.json"}</w:instrText>
      </w:r>
      <w:r w:rsidR="00D62A6D" w:rsidRPr="0006342D">
        <w:rPr>
          <w:rFonts w:ascii="Arial" w:hAnsi="Arial" w:cs="Arial"/>
        </w:rPr>
        <w:fldChar w:fldCharType="separate"/>
      </w:r>
      <w:r w:rsidR="00D62A6D" w:rsidRPr="0006342D">
        <w:rPr>
          <w:rFonts w:ascii="Arial" w:hAnsi="Arial" w:cs="Arial"/>
          <w:noProof/>
        </w:rPr>
        <w:t>(Talhinhas et al., 2017)</w:t>
      </w:r>
      <w:r w:rsidR="00D62A6D" w:rsidRPr="0006342D">
        <w:rPr>
          <w:rFonts w:ascii="Arial" w:hAnsi="Arial" w:cs="Arial"/>
        </w:rPr>
        <w:fldChar w:fldCharType="end"/>
      </w:r>
      <w:r w:rsidR="00D62A6D" w:rsidRPr="0006342D">
        <w:rPr>
          <w:rFonts w:ascii="Arial" w:hAnsi="Arial" w:cs="Arial"/>
        </w:rPr>
        <w:t>.</w:t>
      </w:r>
      <w:r w:rsidR="00D62A6D">
        <w:rPr>
          <w:rFonts w:ascii="Arial" w:hAnsi="Arial" w:cs="Arial"/>
        </w:rPr>
        <w:t xml:space="preserve"> </w:t>
      </w:r>
      <w:r w:rsidRPr="00133233">
        <w:rPr>
          <w:rFonts w:ascii="Arial" w:hAnsi="Arial" w:cs="Arial"/>
        </w:rPr>
        <w:t>Field observations confirm that CLR can still reduce flower initiation, fruit retention, and final yield, especially under favorable climatic conditions</w:t>
      </w:r>
      <w:r>
        <w:rPr>
          <w:rFonts w:ascii="Arial" w:hAnsi="Arial" w:cs="Arial"/>
        </w:rPr>
        <w:t xml:space="preserve"> </w:t>
      </w:r>
      <w:r w:rsidR="00671A0F">
        <w:rPr>
          <w:rFonts w:ascii="Arial" w:hAnsi="Arial" w:cs="Arial"/>
        </w:rPr>
        <w:fldChar w:fldCharType="begin" w:fldLock="1"/>
      </w:r>
      <w:r w:rsidR="00671A0F">
        <w:rPr>
          <w:rFonts w:ascii="Arial" w:hAnsi="Arial" w:cs="Arial"/>
        </w:rPr>
        <w:instrText>ADDIN CSL_CITATION {"citationItems":[{"id":"ITEM-1","itemData":{"DOI":"10.1111/mpp.12512","ISSN":"13643703","PMID":"27885775","abstract":"Taxonomy and History: Hemileia vastatrix Berk. and Broome (Basidiomycota, Pucciniales) was described in 1869 in eastern Africa and Ceylon as the agent of coffee leaf rust and has spread to all coffee cultivation areas worldwide. Major disease outbreaks in Asia, Africa and America caused and continue to cause severe yield losses, making this the most important disease of Arabica coffee, a cash crop for many tropical and sub-tropical countries. Life cycle and Disease symptoms: Hemileia vastatrix is a hemicyclic fungus with the urediniosporic life cycle as its most important (if not only) source of inoculum. Chlorotic spots are the first macroscopic symptoms, preceding the differentiation of suprastomatal, bouquet-shaped, orange-coloured uredinia. The disease can cause yield losses of up to 35% and have a polyetic epidemiological impact on subsequent years. Disease control: Although the use of fungicides is one of the preferred immediate control measures, the use of resistant cultivars is considered to be the most effective and durable disease control strategy. The discovery of ‘Híbrido de Timor’ provided sources of resistance that have been used in several breeding programmes and that have been proven to be effective and durable, as some have been in use for more than 30 years. Genetic diversity and Molecular pathogenicity: Although exhibiting limited genetic polymorphism, the very large genome of H. vastatrix (c. 797 Mbp) conceals great pathological diversity, with more than 50 physiological races. Gene expression studies have revealed a very precocious activation of signalling pathways and production of putative effectors, suggesting that the plant–fungus dialogue starts as early as at the germ tube stage, and have provided clues for the identification of avr genes.","author":[{"dropping-particle":"","family":"Talhinhas","given":"Pedro","non-dropping-particle":"","parse-names":false,"suffix":""},{"dropping-particle":"","family":"Batista","given":"Dora","non-dropping-particle":"","parse-names":false,"suffix":""},{"dropping-particle":"","family":"Diniz","given":"Inês","non-dropping-particle":"","parse-names":false,"suffix":""},{"dropping-particle":"","family":"Vieira","given":"Ana","non-dropping-particle":"","parse-names":false,"suffix":""},{"dropping-particle":"","family":"Silva","given":"Diogo N.","non-dropping-particle":"","parse-names":false,"suffix":""},{"dropping-particle":"","family":"Loureiro","given":"Andreia","non-dropping-particle":"","parse-names":false,"suffix":""},{"dropping-particle":"","family":"Tavares","given":"Sílvia","non-dropping-particle":"","parse-names":false,"suffix":""},{"dropping-particle":"","family":"Pereira","given":"Ana Paula","non-dropping-particle":"","parse-names":false,"suffix":""},{"dropping-particle":"","family":"Azinheira","given":"Helena G.","non-dropping-particle":"","parse-names":false,"suffix":""},{"dropping-particle":"","family":"Guerra-Guimarães","given":"Leonor","non-dropping-particle":"","parse-names":false,"suffix":""},{"dropping-particle":"","family":"Várzea","given":"Vítor","non-dropping-particle":"","parse-names":false,"suffix":""},{"dropping-particle":"","family":"Silva","given":"Maria do Céu","non-dropping-particle":"","parse-names":false,"suffix":""}],"container-title":"Molecular Plant Pathology","id":"ITEM-1","issue":"8","issued":{"date-parts":[["2017"]]},"page":"1039-1051","title":"The coffee leaf rust pathogen &lt;i&gt;Hemileia vastatrix&lt;/i&gt;: one and a half centuries around the tropics","type":"article-journal","volume":"18"},"uris":["http://www.mendeley.com/documents/?uuid=0e68ffa5-f30f-4bc0-9427-9b232153fbca"]},{"id":"ITEM-2","itemData":{"DOI":"10.1007/s00484-018-1587-2","ISSN":"00207128","PMID":"30051219","abstract":"Brazil is the major coffee producer in the world, with 2 million hectares cropped, with 75% of this area with Coffea arabica and 25% with Coffea canephora. Coffee leaf rust (CLR) is one of the main diseases that cause yield losses by reducing healthy leaf area. As CLR is highly influenced by weather conditions, this study aimed to determine the best linearization model to estimate the CLR apparent infection rate, to correlate CLR infection rates with weather variables, and to develop and assess the performance of weather-based infection rate models to be used as a disease warning system. The CLR epidemic was analyzed for 88 site-seasons, while progress curves were assessed by linear, monomolecular, logistic, Gompertz, and exponential linearization models for apparent infection rate determination. Correlations between CLR infection rates and weather variables were conducted at different periods. From these correlations, multiple linear regressions were developed to estimate CLR infection rates, using the most weather-correlated variables. The Gompertz growth model had the best fit with CLR progress curves. Minimum temperature and relative humidity were the weather variables most correlated to infection rate and, therefore, chosen to compose a CLR forecast system. Among the models developed, the one for the condition of high coffee yield at a narrow row spacing was the best, with only 9.4% of false negative occurrences for all the months assessed.","author":[{"dropping-particle":"","family":"Hinnah","given":"Fernando Dill","non-dropping-particle":"","parse-names":false,"suffix":""},{"dropping-particle":"","family":"Sentelhas","given":"Paulo Cesar","non-dropping-particle":"","parse-names":false,"suffix":""},{"dropping-particle":"","family":"Meira","given":"Carlos Alberto Alves","non-dropping-particle":"","parse-names":false,"suffix":""},{"dropping-particle":"","family":"Paiva","given":"Rodrigo Naves","non-dropping-particle":"","parse-names":false,"suffix":""}],"container-title":"International Journal of Biometeorology","id":"ITEM-2","issue":"10","issued":{"date-parts":[["2018"]]},"page":"1847-1860","publisher":"International Journal of Biometeorology","title":"Weather-based coffee leaf rust apparent infection rate modeling","type":"article-journal","volume":"62"},"uris":["http://www.mendeley.com/documents/?uuid=c8a5c6ef-9966-40ef-9cc4-308ea01810be"]}],"mendeley":{"formattedCitation":"(Hinnah et al., 2018; Talhinhas et al., 2017)","plainTextFormattedCitation":"(Hinnah et al., 2018; Talhinhas et al., 2017)","previouslyFormattedCitation":"(Hinnah et al., 2018; Talhinhas et al., 2017)"},"properties":{"noteIndex":0},"schema":"https://github.com/citation-style-language/schema/raw/master/csl-citation.json"}</w:instrText>
      </w:r>
      <w:r w:rsidR="00671A0F">
        <w:rPr>
          <w:rFonts w:ascii="Arial" w:hAnsi="Arial" w:cs="Arial"/>
        </w:rPr>
        <w:fldChar w:fldCharType="separate"/>
      </w:r>
      <w:r w:rsidR="00671A0F" w:rsidRPr="00671A0F">
        <w:rPr>
          <w:rFonts w:ascii="Arial" w:hAnsi="Arial" w:cs="Arial"/>
          <w:noProof/>
        </w:rPr>
        <w:t>(Hinnah et al., 2018; Talhinhas et al., 2017)</w:t>
      </w:r>
      <w:r w:rsidR="00671A0F">
        <w:rPr>
          <w:rFonts w:ascii="Arial" w:hAnsi="Arial" w:cs="Arial"/>
        </w:rPr>
        <w:fldChar w:fldCharType="end"/>
      </w:r>
      <w:r w:rsidR="00671A0F">
        <w:rPr>
          <w:rFonts w:ascii="Arial" w:hAnsi="Arial" w:cs="Arial"/>
        </w:rPr>
        <w:t xml:space="preserve">. </w:t>
      </w:r>
      <w:r w:rsidRPr="00133233">
        <w:rPr>
          <w:rFonts w:ascii="Arial" w:hAnsi="Arial" w:cs="Arial"/>
        </w:rPr>
        <w:t>With climate change expected to intensify disease pressure through rising temperatures, altered rainfall and increased humidity</w:t>
      </w:r>
      <w:r>
        <w:rPr>
          <w:rFonts w:ascii="Arial" w:hAnsi="Arial" w:cs="Arial"/>
        </w:rPr>
        <w:t xml:space="preserve"> </w:t>
      </w:r>
      <w:r w:rsidR="00671A0F">
        <w:rPr>
          <w:rFonts w:ascii="Arial" w:hAnsi="Arial" w:cs="Arial"/>
        </w:rPr>
        <w:fldChar w:fldCharType="begin" w:fldLock="1"/>
      </w:r>
      <w:r w:rsidR="009464D6">
        <w:rPr>
          <w:rFonts w:ascii="Arial" w:hAnsi="Arial" w:cs="Arial"/>
        </w:rPr>
        <w:instrText>ADDIN CSL_CITATION {"citationItems":[{"id":"ITEM-1","itemData":{"DOI":"10.1371/journal.pone.0140490","author":[{"dropping-particle":"","family":"Bunn","given":"Christian","non-dropping-particle":"","parse-names":false,"suffix":""},{"dropping-particle":"","family":"Läderach","given":"Peter","non-dropping-particle":"","parse-names":false,"suffix":""},{"dropping-particle":"","family":"Guillermo","given":"Juan","non-dropping-particle":"","parse-names":false,"suffix":""},{"dropping-particle":"","family":"Jimenez","given":"Pérez","non-dropping-particle":"","parse-names":false,"suffix":""},{"dropping-particle":"","family":"Montagnon","given":"Christophe","non-dropping-particle":"","parse-names":false,"suffix":""},{"dropping-particle":"","family":"Schilling","given":"Timothy","non-dropping-particle":"","parse-names":false,"suffix":""}],"container-title":"PLoS ONE","id":"ITEM-1","issue":"10","issued":{"date-parts":[["2015"]]},"page":"e0140490","title":"Multiclass classification of agro-ecological zones for Arabica coffee: an improved understanding of the impacts of climate change","type":"article-journal","volume":"10"},"uris":["http://www.mendeley.com/documents/?uuid=d8a781c2-bb15-4fc2-a410-505884d19198"]},{"id":"ITEM-2","itemData":{"DOI":"10.1007/s12571-015-0446-9","ISSN":"18764525","abstract":"Coffee rust is a leaf disease caused by the fungus, Hemileia vastatrix. Coffee rust epidemics, with intensities higher than previously observed, have affected a number of countries including: Colombia, from 2008 to 2011; Central America and Mexico, in 2012–13; and Peru and Ecuador in 2013. There are many contributing factors to the onset of these epidemics e.g. the state of the economy, crop management decisions and the prevailing weather, and many resulting impacts e.g. on production, on farmers’ and labourers’ income and livelihood, and on food security. Production has been considerably reduced in Colombia (by 31 % on average during the epidemic years compared with 2007) and Central America (by 16 % in 2013 compared with 2011–12 and by 10 % in 2013–14 compared with 2012–13). These reductions have had direct impacts on the livelihoods of thousands of smallholders and harvesters. For these populations, particularly in Central America, coffee is often the only source of income used to buy food and supplies for the cultivation of basic grains. As a result, the coffee rust epidemic has had indirect impacts on food security. The main drivers of these epidemics are economic and meteorological. All the intense epidemics experienced during the last 37 years in Central America and Colombia were concurrent with low coffee profitability periods due to coffee price declines, as was the case in the 2012–13 Central American epidemic, or due to increases in input costs, as in the 2008–11 Colombian epidemics. Low profitability led to suboptimal coffee management, which resulted in increased plant vulnerability to pests and diseases. A common factor in the recent Colombian and Central American epidemics was a reduction in the diurnal thermal amplitude, with higher minimum/lower maximum temperatures (+0.1 °C/-0.5 °C on average during 2008–2011 compared to a low coffee rust incidence period, 1991–1994, in Chinchiná, Colombia; +0.9 °C/-1.2 °C on average in 2012 compared with prevailing climate, in 1224 farms from Guatemala). This likely decreased the latency period of the disease. These epidemics should be considered as a warning for the future, as they were enhanced by weather conditions consistent with climate change. Appropriate actions need to be taken in the near future to address this issue including: the development and establishment of resistant coffee cultivars; the creation of early warning systems; the design of crop management systems adapted to climate change…","author":[{"dropping-particle":"","family":"Avelino","given":"Jacques","non-dropping-particle":"","parse-names":false,"suffix":""},{"dropping-particle":"","family":"Cristancho","given":"Marco","non-dropping-particle":"","parse-names":false,"suffix":""},{"dropping-particle":"","family":"Georgiou","given":"Selena","non-dropping-particle":"","parse-names":false,"suffix":""},{"dropping-particle":"","family":"Imbach","given":"Pablo","non-dropping-particle":"","parse-names":false,"suffix":""},{"dropping-particle":"","family":"Aguilar","given":"Lorena","non-dropping-particle":"","parse-names":false,"suffix":""},{"dropping-particle":"","family":"Bornemann","given":"Gustavo","non-dropping-particle":"","parse-names":false,"suffix":""},{"dropping-particle":"","family":"Läderach","given":"Peter","non-dropping-particle":"","parse-names":false,"suffix":""},{"dropping-particle":"","family":"Anzueto","given":"Francisco","non-dropping-particle":"","parse-names":false,"suffix":""},{"dropping-particle":"","family":"Hruska","given":"Allan J.","non-dropping-particle":"","parse-names":false,"suffix":""},{"dropping-particle":"","family":"Morales","given":"Carmen","non-dropping-particle":"","parse-names":false,"suffix":""}],"container-title":"Food Security","id":"ITEM-2","issue":"2","issued":{"date-parts":[["2015"]]},"page":"303-321","title":"The coffee rust crises in Colombia and Central America (2008–2013): impacts, plausible causes and proposed solutions","type":"article-journal","volume":"7"},"uris":["http://www.mendeley.com/documents/?uuid=ea0c346a-6bcd-4dc5-9f53-12facc371b55"]}],"mendeley":{"formattedCitation":"(Avelino et al., 2015; Bunn et al., 2015)","plainTextFormattedCitation":"(Avelino et al., 2015; Bunn et al., 2015)","previouslyFormattedCitation":"(Avelino et al., 2015; Bunn et al., 2015)"},"properties":{"noteIndex":0},"schema":"https://github.com/citation-style-language/schema/raw/master/csl-citation.json"}</w:instrText>
      </w:r>
      <w:r w:rsidR="00671A0F">
        <w:rPr>
          <w:rFonts w:ascii="Arial" w:hAnsi="Arial" w:cs="Arial"/>
        </w:rPr>
        <w:fldChar w:fldCharType="separate"/>
      </w:r>
      <w:r w:rsidR="00671A0F" w:rsidRPr="00671A0F">
        <w:rPr>
          <w:rFonts w:ascii="Arial" w:hAnsi="Arial" w:cs="Arial"/>
          <w:noProof/>
        </w:rPr>
        <w:t>(Avelino et al., 2015; Bunn et al., 2015)</w:t>
      </w:r>
      <w:r w:rsidR="00671A0F">
        <w:rPr>
          <w:rFonts w:ascii="Arial" w:hAnsi="Arial" w:cs="Arial"/>
        </w:rPr>
        <w:fldChar w:fldCharType="end"/>
      </w:r>
      <w:r w:rsidRPr="00133233">
        <w:rPr>
          <w:rFonts w:ascii="Arial" w:hAnsi="Arial" w:cs="Arial"/>
        </w:rPr>
        <w:t xml:space="preserve">, the risk to </w:t>
      </w:r>
      <w:proofErr w:type="spellStart"/>
      <w:r w:rsidRPr="00133233">
        <w:rPr>
          <w:rFonts w:ascii="Arial" w:hAnsi="Arial" w:cs="Arial"/>
        </w:rPr>
        <w:t>Liberica</w:t>
      </w:r>
      <w:proofErr w:type="spellEnd"/>
      <w:r w:rsidRPr="00133233">
        <w:rPr>
          <w:rFonts w:ascii="Arial" w:hAnsi="Arial" w:cs="Arial"/>
        </w:rPr>
        <w:t xml:space="preserve"> cultivation in Southeast Asia is growing. Yet, despite its economic importance in Malaysia, little is known about how CLR affects </w:t>
      </w:r>
      <w:r w:rsidRPr="00133233">
        <w:rPr>
          <w:rFonts w:ascii="Arial" w:hAnsi="Arial" w:cs="Arial"/>
          <w:i/>
          <w:iCs/>
        </w:rPr>
        <w:t xml:space="preserve">C. </w:t>
      </w:r>
      <w:proofErr w:type="spellStart"/>
      <w:r w:rsidRPr="00133233">
        <w:rPr>
          <w:rFonts w:ascii="Arial" w:hAnsi="Arial" w:cs="Arial"/>
          <w:i/>
          <w:iCs/>
        </w:rPr>
        <w:t>liberica</w:t>
      </w:r>
      <w:proofErr w:type="spellEnd"/>
      <w:r w:rsidRPr="00133233">
        <w:rPr>
          <w:rFonts w:ascii="Arial" w:hAnsi="Arial" w:cs="Arial"/>
        </w:rPr>
        <w:t xml:space="preserve"> yield under field conditions.</w:t>
      </w:r>
    </w:p>
    <w:p w14:paraId="25F14915" w14:textId="77777777" w:rsidR="004341B4" w:rsidRPr="0006342D" w:rsidRDefault="004341B4" w:rsidP="004341B4">
      <w:pPr>
        <w:pBdr>
          <w:top w:val="nil"/>
          <w:left w:val="nil"/>
          <w:bottom w:val="nil"/>
          <w:right w:val="nil"/>
          <w:between w:val="nil"/>
        </w:pBdr>
        <w:spacing w:line="276" w:lineRule="auto"/>
        <w:jc w:val="both"/>
        <w:rPr>
          <w:rFonts w:ascii="Arial" w:eastAsia="Arial" w:hAnsi="Arial" w:cs="Arial"/>
          <w:color w:val="000000"/>
        </w:rPr>
      </w:pPr>
    </w:p>
    <w:p w14:paraId="5EBD3AF4" w14:textId="1BE6C842" w:rsidR="000B6187" w:rsidRDefault="00133233" w:rsidP="00E21A3C">
      <w:pPr>
        <w:pBdr>
          <w:top w:val="nil"/>
          <w:left w:val="nil"/>
          <w:bottom w:val="nil"/>
          <w:right w:val="nil"/>
          <w:between w:val="nil"/>
        </w:pBdr>
        <w:spacing w:line="276" w:lineRule="auto"/>
        <w:jc w:val="both"/>
        <w:rPr>
          <w:rFonts w:ascii="Arial" w:hAnsi="Arial" w:cs="Arial"/>
        </w:rPr>
      </w:pPr>
      <w:r w:rsidRPr="00133233">
        <w:rPr>
          <w:rFonts w:ascii="Arial" w:hAnsi="Arial" w:cs="Arial"/>
        </w:rPr>
        <w:t>Global coffee research has focused primarily on</w:t>
      </w:r>
      <w:r>
        <w:rPr>
          <w:rFonts w:ascii="Arial" w:hAnsi="Arial" w:cs="Arial"/>
        </w:rPr>
        <w:t xml:space="preserve"> </w:t>
      </w:r>
      <w:r w:rsidR="00671A0F" w:rsidRPr="00671A0F">
        <w:rPr>
          <w:rFonts w:ascii="Arial" w:hAnsi="Arial" w:cs="Arial"/>
          <w:i/>
          <w:iCs/>
        </w:rPr>
        <w:t>C. arabica</w:t>
      </w:r>
      <w:r w:rsidR="00671A0F" w:rsidRPr="00671A0F">
        <w:rPr>
          <w:rFonts w:ascii="Arial" w:hAnsi="Arial" w:cs="Arial"/>
        </w:rPr>
        <w:t xml:space="preserve"> and </w:t>
      </w:r>
      <w:r w:rsidR="00671A0F" w:rsidRPr="00671A0F">
        <w:rPr>
          <w:rFonts w:ascii="Arial" w:hAnsi="Arial" w:cs="Arial"/>
          <w:i/>
          <w:iCs/>
        </w:rPr>
        <w:t xml:space="preserve">C. </w:t>
      </w:r>
      <w:proofErr w:type="spellStart"/>
      <w:r w:rsidR="00671A0F" w:rsidRPr="00671A0F">
        <w:rPr>
          <w:rFonts w:ascii="Arial" w:hAnsi="Arial" w:cs="Arial"/>
          <w:i/>
          <w:iCs/>
        </w:rPr>
        <w:t>canephora</w:t>
      </w:r>
      <w:proofErr w:type="spellEnd"/>
      <w:r w:rsidR="00671A0F" w:rsidRPr="00671A0F">
        <w:rPr>
          <w:rFonts w:ascii="Arial" w:hAnsi="Arial" w:cs="Arial"/>
        </w:rPr>
        <w:t xml:space="preserve">, reflecting their dominant market share. </w:t>
      </w:r>
      <w:r w:rsidRPr="00133233">
        <w:rPr>
          <w:rFonts w:ascii="Arial" w:hAnsi="Arial" w:cs="Arial"/>
        </w:rPr>
        <w:t xml:space="preserve">As a result, </w:t>
      </w:r>
      <w:r w:rsidRPr="00133233">
        <w:rPr>
          <w:rFonts w:ascii="Arial" w:hAnsi="Arial" w:cs="Arial"/>
          <w:i/>
          <w:iCs/>
        </w:rPr>
        <w:t xml:space="preserve">C. </w:t>
      </w:r>
      <w:proofErr w:type="spellStart"/>
      <w:r w:rsidRPr="00133233">
        <w:rPr>
          <w:rFonts w:ascii="Arial" w:hAnsi="Arial" w:cs="Arial"/>
          <w:i/>
          <w:iCs/>
        </w:rPr>
        <w:t>liberica</w:t>
      </w:r>
      <w:proofErr w:type="spellEnd"/>
      <w:r w:rsidRPr="00133233">
        <w:rPr>
          <w:rFonts w:ascii="Arial" w:hAnsi="Arial" w:cs="Arial"/>
        </w:rPr>
        <w:t xml:space="preserve"> has been largely neglected in breeding, agronomy, and disease management studies</w:t>
      </w:r>
      <w:r w:rsidR="00671A0F">
        <w:rPr>
          <w:rFonts w:ascii="Arial" w:hAnsi="Arial" w:cs="Arial"/>
        </w:rPr>
        <w:t xml:space="preserve"> </w:t>
      </w:r>
      <w:r w:rsidR="00671A0F">
        <w:rPr>
          <w:rFonts w:ascii="Arial" w:hAnsi="Arial" w:cs="Arial"/>
        </w:rPr>
        <w:fldChar w:fldCharType="begin" w:fldLock="1"/>
      </w:r>
      <w:r w:rsidR="00671A0F">
        <w:rPr>
          <w:rFonts w:ascii="Arial" w:hAnsi="Arial" w:cs="Arial"/>
        </w:rPr>
        <w:instrText>ADDIN CSL_CITATION {"citationItems":[{"id":"ITEM-1","itemData":{"DOI":"10.3389/fpls.2020.00616","ISSN":"1664462X","abstract":"Coffea arabica (Arabica) and C. canephora (robusta) almost entirely dominate global coffee production. Various challenges at the production (farm) level, including the increasing prevalence and severity of disease and pests and climate change, indicate that the coffee crop portfolio needs to be substantially diversified in order to ensure resilience and sustainability. In this study, we use a multidisciplinary approach (herbarium and literature review, fieldwork and DNA sequencing) to elucidate the identity, whereabouts, and potential attributes, of two poorly known coffee crop species: C. affinis and C. stenophylla. We show that despite widespread (albeit small-scale) use as a coffee crop species across Upper West Africa and further afield more than 100 years ago, these species are now extremely rare in the wild and are not being farmed. Fieldwork enabled us to rediscover C. stenophylla in Sierra Leone, which previously had not been recorded in the wild there since 1954. We confirm that C. stenophylla is an indigenous species in Guinea, Sierra Leone, and Ivory Coast. Coffea affinis was discovered in the wild in Sierra Leone for the first time, having previously been found only in Guinea and Ivory Coast. Prior to our rediscovery, C. affinis was last seen in the wild in 1941, although sampling of an unidentified herbarium specimen reveals that it was collected in Guinea-Conakry in 2015. DNA sequencing using plastid and ITS markers was used to: (1) confirm the identity of museum and field collected samples of C. stenophylla; (2) identify new accessions of C. affinis; (3) refute hybrid status for C. affinis; (4) identify accessions confused with C. affinis; (5) show that C. affinis and C. stenophylla are closely related, and possibly a single species; (6) substantiate the hybrid C. stenophylla × C. liberica; (7) demonstrate the use of plastid and nuclear markers as a simple means of identifying F1 and early-generation interspecific hybrids in Coffea; (8) infer that C. liberica is not monophyletic; and (9) show that hybridization is possible across all the major groups of key Africa Coffea species (Coffee Crop Wild Relative Priority Groups I and II). Coffea affinis and C. stenophylla may possess useful traits for coffee crop plant development, including taste differentiation, disease resistance, and climate resilience. These attributes would be best accessed via breeding programs, although the species may have niche-market potential via minimal domestication.","author":[{"dropping-particle":"","family":"Davis","given":"Aaron P.","non-dropping-particle":"","parse-names":false,"suffix":""},{"dropping-particle":"","family":"Gargiulo","given":"Roberta","non-dropping-particle":"","parse-names":false,"suffix":""},{"dropping-particle":"","family":"Fay","given":"Michael F.","non-dropping-particle":"","parse-names":false,"suffix":""},{"dropping-particle":"","family":"Sarmu","given":"Daniel","non-dropping-particle":"","parse-names":false,"suffix":""},{"dropping-particle":"","family":"Haggar","given":"Jeremy","non-dropping-particle":"","parse-names":false,"suffix":""}],"container-title":"Frontiers in Plant Science","id":"ITEM-1","issue":"616","issued":{"date-parts":[["2020"]]},"page":"1-18","title":"Lost and found species of West Africa: &lt;i&gt;Coffea stenophylla&lt;/i&gt; and &lt;i&gt;C. affinis&lt;/i&gt;, the forgotten coffee crop","type":"article-journal","volume":"11"},"uris":["http://www.mendeley.com/documents/?uuid=bdb35a57-4103-4ebc-a07c-4a040420ad59"]}],"mendeley":{"formattedCitation":"(Davis et al., 2020)","plainTextFormattedCitation":"(Davis et al., 2020)","previouslyFormattedCitation":"(Davis et al., 2020)"},"properties":{"noteIndex":0},"schema":"https://github.com/citation-style-language/schema/raw/master/csl-citation.json"}</w:instrText>
      </w:r>
      <w:r w:rsidR="00671A0F">
        <w:rPr>
          <w:rFonts w:ascii="Arial" w:hAnsi="Arial" w:cs="Arial"/>
        </w:rPr>
        <w:fldChar w:fldCharType="separate"/>
      </w:r>
      <w:r w:rsidR="00671A0F" w:rsidRPr="00671A0F">
        <w:rPr>
          <w:rFonts w:ascii="Arial" w:hAnsi="Arial" w:cs="Arial"/>
          <w:noProof/>
        </w:rPr>
        <w:t>(Davis et al., 2020)</w:t>
      </w:r>
      <w:r w:rsidR="00671A0F">
        <w:rPr>
          <w:rFonts w:ascii="Arial" w:hAnsi="Arial" w:cs="Arial"/>
        </w:rPr>
        <w:fldChar w:fldCharType="end"/>
      </w:r>
      <w:r w:rsidR="000B6187" w:rsidRPr="000B6187">
        <w:rPr>
          <w:rFonts w:ascii="Arial" w:hAnsi="Arial" w:cs="Arial"/>
        </w:rPr>
        <w:t xml:space="preserve">. </w:t>
      </w:r>
      <w:r w:rsidRPr="00133233">
        <w:rPr>
          <w:rFonts w:ascii="Arial" w:hAnsi="Arial" w:cs="Arial"/>
        </w:rPr>
        <w:t>The few reports available suggest partial tolerance to CLR, but field-based evidence quantifying yield impacts under natural infection pressure is lacking</w:t>
      </w:r>
      <w:r w:rsidR="00671A0F" w:rsidRPr="00671A0F">
        <w:rPr>
          <w:rFonts w:ascii="Arial" w:hAnsi="Arial" w:cs="Arial"/>
        </w:rPr>
        <w:t xml:space="preserve">. This knowledge gap is particularly critical for Malaysia, where </w:t>
      </w:r>
      <w:r w:rsidR="00671A0F" w:rsidRPr="00671A0F">
        <w:rPr>
          <w:rFonts w:ascii="Arial" w:hAnsi="Arial" w:cs="Arial"/>
          <w:i/>
          <w:iCs/>
        </w:rPr>
        <w:t xml:space="preserve">C. </w:t>
      </w:r>
      <w:proofErr w:type="spellStart"/>
      <w:r w:rsidR="00671A0F" w:rsidRPr="00671A0F">
        <w:rPr>
          <w:rFonts w:ascii="Arial" w:hAnsi="Arial" w:cs="Arial"/>
          <w:i/>
          <w:iCs/>
        </w:rPr>
        <w:t>liberica</w:t>
      </w:r>
      <w:proofErr w:type="spellEnd"/>
      <w:r w:rsidR="00671A0F" w:rsidRPr="00671A0F">
        <w:rPr>
          <w:rFonts w:ascii="Arial" w:hAnsi="Arial" w:cs="Arial"/>
        </w:rPr>
        <w:t xml:space="preserve"> </w:t>
      </w:r>
      <w:r w:rsidRPr="00133233">
        <w:rPr>
          <w:rFonts w:ascii="Arial" w:hAnsi="Arial" w:cs="Arial"/>
        </w:rPr>
        <w:t>accounts for the majority of national production.</w:t>
      </w:r>
      <w:r w:rsidR="00671A0F" w:rsidRPr="00671A0F">
        <w:rPr>
          <w:rFonts w:ascii="Arial" w:hAnsi="Arial" w:cs="Arial"/>
        </w:rPr>
        <w:t xml:space="preserve"> </w:t>
      </w:r>
      <w:r w:rsidRPr="00133233">
        <w:rPr>
          <w:rFonts w:ascii="Arial" w:hAnsi="Arial" w:cs="Arial"/>
        </w:rPr>
        <w:t xml:space="preserve">While the Malaysian Agricultural Research and Development Institute (MARDI) has developed several new </w:t>
      </w:r>
      <w:proofErr w:type="spellStart"/>
      <w:r w:rsidRPr="00133233">
        <w:rPr>
          <w:rFonts w:ascii="Arial" w:hAnsi="Arial" w:cs="Arial"/>
        </w:rPr>
        <w:t>Liberica</w:t>
      </w:r>
      <w:proofErr w:type="spellEnd"/>
      <w:r w:rsidRPr="00133233">
        <w:rPr>
          <w:rFonts w:ascii="Arial" w:hAnsi="Arial" w:cs="Arial"/>
        </w:rPr>
        <w:t xml:space="preserve"> clones to enhance yield and adaptability, their performance under CLR pressure has not been </w:t>
      </w:r>
      <w:r w:rsidR="00BE24C9">
        <w:rPr>
          <w:rFonts w:ascii="Arial" w:hAnsi="Arial" w:cs="Arial"/>
        </w:rPr>
        <w:t xml:space="preserve">fully </w:t>
      </w:r>
      <w:r w:rsidRPr="00133233">
        <w:rPr>
          <w:rFonts w:ascii="Arial" w:hAnsi="Arial" w:cs="Arial"/>
        </w:rPr>
        <w:t>assessed</w:t>
      </w:r>
      <w:r>
        <w:rPr>
          <w:rFonts w:ascii="Arial" w:hAnsi="Arial" w:cs="Arial"/>
        </w:rPr>
        <w:t>.</w:t>
      </w:r>
    </w:p>
    <w:p w14:paraId="6B3411E8" w14:textId="77777777" w:rsidR="00D62A6D" w:rsidRPr="0006342D" w:rsidRDefault="00D62A6D">
      <w:pPr>
        <w:spacing w:line="276" w:lineRule="auto"/>
        <w:jc w:val="both"/>
        <w:rPr>
          <w:rFonts w:ascii="Arial" w:eastAsia="Arial" w:hAnsi="Arial" w:cs="Arial"/>
        </w:rPr>
      </w:pPr>
    </w:p>
    <w:p w14:paraId="4E94AD92" w14:textId="53301579" w:rsidR="009C1ED2" w:rsidRPr="001D05E2" w:rsidRDefault="00AC1BD5">
      <w:pPr>
        <w:spacing w:line="276" w:lineRule="auto"/>
        <w:jc w:val="both"/>
        <w:rPr>
          <w:rFonts w:ascii="Arial" w:eastAsia="Arial" w:hAnsi="Arial" w:cs="Arial"/>
        </w:rPr>
      </w:pPr>
      <w:r w:rsidRPr="00AC1BD5">
        <w:rPr>
          <w:rFonts w:ascii="Arial" w:eastAsia="Arial" w:hAnsi="Arial" w:cs="Arial"/>
        </w:rPr>
        <w:t>This study</w:t>
      </w:r>
      <w:r w:rsidR="000B6187">
        <w:rPr>
          <w:rFonts w:ascii="Arial" w:eastAsia="Arial" w:hAnsi="Arial" w:cs="Arial"/>
        </w:rPr>
        <w:t>,</w:t>
      </w:r>
      <w:r w:rsidRPr="00AC1BD5">
        <w:rPr>
          <w:rFonts w:ascii="Arial" w:eastAsia="Arial" w:hAnsi="Arial" w:cs="Arial"/>
        </w:rPr>
        <w:t xml:space="preserve"> </w:t>
      </w:r>
      <w:r w:rsidR="00133233" w:rsidRPr="00133233">
        <w:rPr>
          <w:rFonts w:ascii="Arial" w:eastAsia="Arial" w:hAnsi="Arial" w:cs="Arial"/>
        </w:rPr>
        <w:t>therefore, evaluated the impact</w:t>
      </w:r>
      <w:r w:rsidR="00133233">
        <w:rPr>
          <w:rFonts w:ascii="Arial" w:eastAsia="Arial" w:hAnsi="Arial" w:cs="Arial"/>
        </w:rPr>
        <w:t xml:space="preserve"> </w:t>
      </w:r>
      <w:r w:rsidR="000B6187" w:rsidRPr="000B6187">
        <w:rPr>
          <w:rFonts w:ascii="Arial" w:eastAsia="Arial" w:hAnsi="Arial" w:cs="Arial"/>
        </w:rPr>
        <w:t xml:space="preserve">of coffee leaf rust on berry yield in newly developed </w:t>
      </w:r>
      <w:r w:rsidR="000B6187" w:rsidRPr="000B6187">
        <w:rPr>
          <w:rFonts w:ascii="Arial" w:eastAsia="Arial" w:hAnsi="Arial" w:cs="Arial"/>
          <w:i/>
          <w:iCs/>
        </w:rPr>
        <w:t xml:space="preserve">C. </w:t>
      </w:r>
      <w:proofErr w:type="spellStart"/>
      <w:r w:rsidR="000B6187" w:rsidRPr="000B6187">
        <w:rPr>
          <w:rFonts w:ascii="Arial" w:eastAsia="Arial" w:hAnsi="Arial" w:cs="Arial"/>
          <w:i/>
          <w:iCs/>
        </w:rPr>
        <w:t>liberica</w:t>
      </w:r>
      <w:proofErr w:type="spellEnd"/>
      <w:r w:rsidR="000B6187" w:rsidRPr="000B6187">
        <w:rPr>
          <w:rFonts w:ascii="Arial" w:eastAsia="Arial" w:hAnsi="Arial" w:cs="Arial"/>
        </w:rPr>
        <w:t xml:space="preserve"> clones under field conditions at MARDI Kluang, Malaysia, over a two-year period. Specifically, the study evaluates </w:t>
      </w:r>
      <w:r w:rsidR="00133233">
        <w:rPr>
          <w:rFonts w:ascii="Arial" w:eastAsia="Arial" w:hAnsi="Arial" w:cs="Arial"/>
        </w:rPr>
        <w:t xml:space="preserve">the </w:t>
      </w:r>
      <w:r w:rsidR="00133233" w:rsidRPr="00133233">
        <w:rPr>
          <w:rFonts w:ascii="Arial" w:eastAsia="Arial" w:hAnsi="Arial" w:cs="Arial"/>
        </w:rPr>
        <w:t>disease incidence, severity and their relationship with yield performance, with the aim of identifying clones that combine high productivity with tolerance to CLR</w:t>
      </w:r>
      <w:r w:rsidR="000B6187" w:rsidRPr="000B6187">
        <w:rPr>
          <w:rFonts w:ascii="Arial" w:eastAsia="Arial" w:hAnsi="Arial" w:cs="Arial"/>
        </w:rPr>
        <w:t xml:space="preserve">. </w:t>
      </w:r>
      <w:r w:rsidR="00133233">
        <w:rPr>
          <w:rFonts w:ascii="Arial" w:eastAsia="Arial" w:hAnsi="Arial" w:cs="Arial"/>
        </w:rPr>
        <w:t>The</w:t>
      </w:r>
      <w:r w:rsidR="000B6187" w:rsidRPr="000B6187">
        <w:rPr>
          <w:rFonts w:ascii="Arial" w:eastAsia="Arial" w:hAnsi="Arial" w:cs="Arial"/>
        </w:rPr>
        <w:t xml:space="preserve"> findings are expected to contribute to breeding strategies, guide cultivar selection for farmers, </w:t>
      </w:r>
      <w:r w:rsidR="00133233" w:rsidRPr="00133233">
        <w:rPr>
          <w:rFonts w:ascii="Arial" w:eastAsia="Arial" w:hAnsi="Arial" w:cs="Arial"/>
        </w:rPr>
        <w:t>and strengthen the long-term sustainability of Malaysia’s coffee industry</w:t>
      </w:r>
      <w:r w:rsidR="00133233">
        <w:rPr>
          <w:rFonts w:ascii="Arial" w:eastAsia="Arial" w:hAnsi="Arial" w:cs="Arial"/>
        </w:rPr>
        <w:t>.</w:t>
      </w:r>
    </w:p>
    <w:p w14:paraId="38D39AC6" w14:textId="77777777" w:rsidR="009C1ED2" w:rsidRDefault="009C1ED2">
      <w:pPr>
        <w:pBdr>
          <w:top w:val="nil"/>
          <w:left w:val="nil"/>
          <w:bottom w:val="nil"/>
          <w:right w:val="nil"/>
          <w:between w:val="nil"/>
        </w:pBdr>
        <w:spacing w:line="276" w:lineRule="auto"/>
        <w:jc w:val="both"/>
        <w:rPr>
          <w:rFonts w:ascii="Arial" w:eastAsia="Arial" w:hAnsi="Arial" w:cs="Arial"/>
          <w:color w:val="000000"/>
        </w:rPr>
      </w:pPr>
    </w:p>
    <w:p w14:paraId="28E56484" w14:textId="74F69C10" w:rsidR="009C1ED2" w:rsidRPr="004C335C"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sidRPr="004C335C">
        <w:rPr>
          <w:rFonts w:ascii="Arial" w:eastAsia="Arial" w:hAnsi="Arial" w:cs="Arial"/>
          <w:b/>
          <w:smallCaps/>
          <w:color w:val="000000"/>
          <w:sz w:val="22"/>
          <w:szCs w:val="22"/>
        </w:rPr>
        <w:lastRenderedPageBreak/>
        <w:t xml:space="preserve">2. </w:t>
      </w:r>
      <w:r w:rsidRPr="00CA4A39">
        <w:rPr>
          <w:rFonts w:ascii="Arial" w:eastAsia="Arial" w:hAnsi="Arial" w:cs="Arial"/>
          <w:b/>
          <w:smallCaps/>
          <w:color w:val="000000"/>
          <w:sz w:val="22"/>
          <w:szCs w:val="22"/>
        </w:rPr>
        <w:t>material and methods</w:t>
      </w:r>
    </w:p>
    <w:p w14:paraId="034DD37B"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5BB6B9A6" w14:textId="77777777" w:rsidR="009C1ED2" w:rsidRDefault="00E37E9E">
      <w:pPr>
        <w:spacing w:line="276" w:lineRule="auto"/>
        <w:jc w:val="both"/>
        <w:rPr>
          <w:rFonts w:ascii="Arial" w:eastAsia="Arial" w:hAnsi="Arial" w:cs="Arial"/>
          <w:b/>
          <w:sz w:val="22"/>
          <w:szCs w:val="22"/>
        </w:rPr>
      </w:pPr>
      <w:r>
        <w:rPr>
          <w:rFonts w:ascii="Arial" w:eastAsia="Arial" w:hAnsi="Arial" w:cs="Arial"/>
          <w:b/>
          <w:smallCaps/>
          <w:sz w:val="22"/>
          <w:szCs w:val="22"/>
        </w:rPr>
        <w:t xml:space="preserve">2.1 </w:t>
      </w:r>
      <w:r>
        <w:rPr>
          <w:rFonts w:ascii="Arial" w:eastAsia="Arial" w:hAnsi="Arial" w:cs="Arial"/>
          <w:b/>
          <w:sz w:val="22"/>
          <w:szCs w:val="22"/>
        </w:rPr>
        <w:t>Study location</w:t>
      </w:r>
    </w:p>
    <w:p w14:paraId="02833AB4" w14:textId="382E57B9" w:rsidR="009C1ED2" w:rsidRDefault="00101554">
      <w:pPr>
        <w:spacing w:line="276" w:lineRule="auto"/>
        <w:jc w:val="both"/>
        <w:rPr>
          <w:rFonts w:ascii="Arial" w:eastAsia="Arial" w:hAnsi="Arial" w:cs="Arial"/>
        </w:rPr>
      </w:pPr>
      <w:bookmarkStart w:id="0" w:name="_heading=h.30j0zll" w:colFirst="0" w:colLast="0"/>
      <w:bookmarkEnd w:id="0"/>
      <w:r w:rsidRPr="00101554">
        <w:rPr>
          <w:rFonts w:ascii="Arial" w:eastAsia="Arial" w:hAnsi="Arial" w:cs="Arial"/>
        </w:rPr>
        <w:t>The experiment was conducted at the MARDI research station in Kluang, Johor, Malaysia (1°</w:t>
      </w:r>
      <w:r w:rsidR="00604B48">
        <w:rPr>
          <w:rFonts w:ascii="Arial" w:eastAsia="Arial" w:hAnsi="Arial" w:cs="Arial"/>
        </w:rPr>
        <w:t>94</w:t>
      </w:r>
      <w:r w:rsidRPr="00101554">
        <w:rPr>
          <w:rFonts w:ascii="Arial" w:eastAsia="Arial" w:hAnsi="Arial" w:cs="Arial"/>
        </w:rPr>
        <w:t>′N, 103°</w:t>
      </w:r>
      <w:r w:rsidR="00604B48">
        <w:rPr>
          <w:rFonts w:ascii="Arial" w:eastAsia="Arial" w:hAnsi="Arial" w:cs="Arial"/>
        </w:rPr>
        <w:t>36</w:t>
      </w:r>
      <w:r w:rsidRPr="00101554">
        <w:rPr>
          <w:rFonts w:ascii="Arial" w:eastAsia="Arial" w:hAnsi="Arial" w:cs="Arial"/>
        </w:rPr>
        <w:t xml:space="preserve">′E; altitude </w:t>
      </w:r>
      <w:r w:rsidR="00604B48">
        <w:rPr>
          <w:rFonts w:ascii="Arial" w:eastAsia="Arial" w:hAnsi="Arial" w:cs="Arial"/>
        </w:rPr>
        <w:t>100</w:t>
      </w:r>
      <w:r w:rsidRPr="00101554">
        <w:rPr>
          <w:rFonts w:ascii="Arial" w:eastAsia="Arial" w:hAnsi="Arial" w:cs="Arial"/>
        </w:rPr>
        <w:t xml:space="preserve"> m </w:t>
      </w:r>
      <w:proofErr w:type="spellStart"/>
      <w:r w:rsidRPr="00101554">
        <w:rPr>
          <w:rFonts w:ascii="Arial" w:eastAsia="Arial" w:hAnsi="Arial" w:cs="Arial"/>
        </w:rPr>
        <w:t>a.s.l</w:t>
      </w:r>
      <w:proofErr w:type="spellEnd"/>
      <w:r w:rsidRPr="00101554">
        <w:rPr>
          <w:rFonts w:ascii="Arial" w:eastAsia="Arial" w:hAnsi="Arial" w:cs="Arial"/>
        </w:rPr>
        <w:t xml:space="preserve">.), which is characterized by a humid tropical climate with an annual rainfall of </w:t>
      </w:r>
      <w:r w:rsidR="00604B48">
        <w:rPr>
          <w:rFonts w:ascii="Arial" w:eastAsia="Arial" w:hAnsi="Arial" w:cs="Arial"/>
        </w:rPr>
        <w:t>&gt;</w:t>
      </w:r>
      <w:r w:rsidRPr="00101554">
        <w:rPr>
          <w:rFonts w:ascii="Arial" w:eastAsia="Arial" w:hAnsi="Arial" w:cs="Arial"/>
        </w:rPr>
        <w:t xml:space="preserve">2,200 mm and mean temperature of 27 ± 2 °C. </w:t>
      </w:r>
      <w:r w:rsidR="00604B48" w:rsidRPr="00604B48">
        <w:rPr>
          <w:rFonts w:ascii="Arial" w:eastAsia="Arial" w:hAnsi="Arial" w:cs="Arial"/>
        </w:rPr>
        <w:t xml:space="preserve">The soils were classified as the </w:t>
      </w:r>
      <w:proofErr w:type="spellStart"/>
      <w:r w:rsidR="00604B48" w:rsidRPr="00604B48">
        <w:rPr>
          <w:rFonts w:ascii="Arial" w:eastAsia="Arial" w:hAnsi="Arial" w:cs="Arial"/>
        </w:rPr>
        <w:t>Rengam</w:t>
      </w:r>
      <w:proofErr w:type="spellEnd"/>
      <w:r w:rsidR="00604B48" w:rsidRPr="00604B48">
        <w:rPr>
          <w:rFonts w:ascii="Arial" w:eastAsia="Arial" w:hAnsi="Arial" w:cs="Arial"/>
        </w:rPr>
        <w:t xml:space="preserve"> Series soil, and the pH ranged between 5 and 6.</w:t>
      </w:r>
    </w:p>
    <w:p w14:paraId="058A169F" w14:textId="77777777" w:rsidR="009C1ED2" w:rsidRDefault="009C1ED2">
      <w:pPr>
        <w:spacing w:line="276" w:lineRule="auto"/>
        <w:jc w:val="both"/>
        <w:rPr>
          <w:rFonts w:ascii="Arial" w:eastAsia="Arial" w:hAnsi="Arial" w:cs="Arial"/>
        </w:rPr>
      </w:pPr>
    </w:p>
    <w:p w14:paraId="1D92852A" w14:textId="3870E39F" w:rsidR="009C1ED2" w:rsidRDefault="00E37E9E">
      <w:pPr>
        <w:spacing w:line="276" w:lineRule="auto"/>
        <w:jc w:val="both"/>
        <w:rPr>
          <w:rFonts w:ascii="Arial" w:eastAsia="Arial" w:hAnsi="Arial" w:cs="Arial"/>
          <w:b/>
        </w:rPr>
      </w:pPr>
      <w:r>
        <w:rPr>
          <w:rFonts w:ascii="Arial" w:eastAsia="Arial" w:hAnsi="Arial" w:cs="Arial"/>
          <w:b/>
          <w:smallCaps/>
          <w:sz w:val="22"/>
          <w:szCs w:val="22"/>
        </w:rPr>
        <w:t xml:space="preserve">2.2 </w:t>
      </w:r>
      <w:r w:rsidR="00D45548" w:rsidRPr="00117034">
        <w:rPr>
          <w:rFonts w:ascii="Arial" w:eastAsia="Arial" w:hAnsi="Arial" w:cs="Arial"/>
          <w:b/>
          <w:sz w:val="22"/>
          <w:szCs w:val="22"/>
        </w:rPr>
        <w:t>Coffee clones</w:t>
      </w:r>
    </w:p>
    <w:p w14:paraId="190B66F7" w14:textId="6835DCA9" w:rsidR="009C1ED2" w:rsidRDefault="006D39E5" w:rsidP="00A7572F">
      <w:pPr>
        <w:spacing w:line="276" w:lineRule="auto"/>
        <w:jc w:val="both"/>
        <w:rPr>
          <w:rFonts w:ascii="Arial" w:eastAsia="Arial" w:hAnsi="Arial" w:cs="Arial"/>
        </w:rPr>
      </w:pPr>
      <w:r w:rsidRPr="006D39E5">
        <w:rPr>
          <w:rFonts w:ascii="Arial" w:eastAsia="Arial" w:hAnsi="Arial" w:cs="Arial"/>
        </w:rPr>
        <w:t xml:space="preserve">Five </w:t>
      </w:r>
      <w:proofErr w:type="spellStart"/>
      <w:r w:rsidRPr="00101554">
        <w:rPr>
          <w:rFonts w:ascii="Arial" w:eastAsia="Arial" w:hAnsi="Arial" w:cs="Arial"/>
          <w:i/>
          <w:iCs/>
        </w:rPr>
        <w:t>Coffea</w:t>
      </w:r>
      <w:proofErr w:type="spellEnd"/>
      <w:r w:rsidRPr="00101554">
        <w:rPr>
          <w:rFonts w:ascii="Arial" w:eastAsia="Arial" w:hAnsi="Arial" w:cs="Arial"/>
          <w:i/>
          <w:iCs/>
        </w:rPr>
        <w:t xml:space="preserve"> </w:t>
      </w:r>
      <w:proofErr w:type="spellStart"/>
      <w:r w:rsidRPr="00101554">
        <w:rPr>
          <w:rFonts w:ascii="Arial" w:eastAsia="Arial" w:hAnsi="Arial" w:cs="Arial"/>
          <w:i/>
          <w:iCs/>
        </w:rPr>
        <w:t>liberica</w:t>
      </w:r>
      <w:proofErr w:type="spellEnd"/>
      <w:r w:rsidRPr="006D39E5">
        <w:rPr>
          <w:rFonts w:ascii="Arial" w:eastAsia="Arial" w:hAnsi="Arial" w:cs="Arial"/>
        </w:rPr>
        <w:t xml:space="preserve"> clones were assessed: four newly developed clones (211, 213, 222, and 224) and one control clone (MKL 7), previously released by MARDI in 2008. All trees were approximately seven years old at the start of the trial. The planting distance was 2.5 m between trees within rows and 3.0 m between rows</w:t>
      </w:r>
      <w:r w:rsidR="007155E7" w:rsidRPr="007155E7">
        <w:t xml:space="preserve"> </w:t>
      </w:r>
      <w:r w:rsidR="007155E7" w:rsidRPr="007155E7">
        <w:rPr>
          <w:rFonts w:ascii="Arial" w:eastAsia="Arial" w:hAnsi="Arial" w:cs="Arial"/>
        </w:rPr>
        <w:t xml:space="preserve">Standard agronomic practices recommended for </w:t>
      </w:r>
      <w:proofErr w:type="spellStart"/>
      <w:r w:rsidR="007155E7" w:rsidRPr="007155E7">
        <w:rPr>
          <w:rFonts w:ascii="Arial" w:eastAsia="Arial" w:hAnsi="Arial" w:cs="Arial"/>
        </w:rPr>
        <w:t>Liberica</w:t>
      </w:r>
      <w:proofErr w:type="spellEnd"/>
      <w:r w:rsidR="007155E7" w:rsidRPr="007155E7">
        <w:rPr>
          <w:rFonts w:ascii="Arial" w:eastAsia="Arial" w:hAnsi="Arial" w:cs="Arial"/>
        </w:rPr>
        <w:t xml:space="preserve"> coffee cultivation (weeding, fertilization and pruning) were applied uniformly across all treatments, and no fungicides were used to allow natural disease development.</w:t>
      </w:r>
    </w:p>
    <w:p w14:paraId="300DC922" w14:textId="77777777" w:rsidR="009C1ED2" w:rsidRDefault="009C1ED2">
      <w:pPr>
        <w:spacing w:line="276" w:lineRule="auto"/>
        <w:jc w:val="both"/>
        <w:rPr>
          <w:rFonts w:ascii="Arial" w:eastAsia="Arial" w:hAnsi="Arial" w:cs="Arial"/>
        </w:rPr>
      </w:pPr>
    </w:p>
    <w:p w14:paraId="5F0F603A" w14:textId="4EBAB34A" w:rsidR="00DF57F6" w:rsidRPr="00117034" w:rsidRDefault="00DF57F6" w:rsidP="00DF57F6">
      <w:pPr>
        <w:spacing w:line="276" w:lineRule="auto"/>
        <w:jc w:val="both"/>
        <w:rPr>
          <w:rFonts w:ascii="Arial" w:eastAsia="Arial" w:hAnsi="Arial" w:cs="Arial"/>
          <w:b/>
          <w:sz w:val="22"/>
          <w:szCs w:val="22"/>
        </w:rPr>
      </w:pPr>
      <w:r w:rsidRPr="00117034">
        <w:rPr>
          <w:rFonts w:ascii="Arial" w:eastAsia="Arial" w:hAnsi="Arial" w:cs="Arial"/>
          <w:b/>
          <w:sz w:val="22"/>
          <w:szCs w:val="22"/>
        </w:rPr>
        <w:t xml:space="preserve">2.3 </w:t>
      </w:r>
      <w:r w:rsidR="005F70AD">
        <w:rPr>
          <w:rFonts w:ascii="Arial" w:eastAsia="Arial" w:hAnsi="Arial" w:cs="Arial"/>
          <w:b/>
          <w:sz w:val="22"/>
          <w:szCs w:val="22"/>
        </w:rPr>
        <w:t>D</w:t>
      </w:r>
      <w:r w:rsidR="005F70AD" w:rsidRPr="00117034">
        <w:rPr>
          <w:rFonts w:ascii="Arial" w:eastAsia="Arial" w:hAnsi="Arial" w:cs="Arial"/>
          <w:b/>
          <w:sz w:val="22"/>
          <w:szCs w:val="22"/>
        </w:rPr>
        <w:t>isease</w:t>
      </w:r>
      <w:r w:rsidR="005F70AD">
        <w:rPr>
          <w:rFonts w:ascii="Arial" w:eastAsia="Arial" w:hAnsi="Arial" w:cs="Arial"/>
          <w:b/>
          <w:sz w:val="22"/>
          <w:szCs w:val="22"/>
        </w:rPr>
        <w:t xml:space="preserve"> and </w:t>
      </w:r>
      <w:r w:rsidR="00CD28C5">
        <w:rPr>
          <w:rFonts w:ascii="Arial" w:eastAsia="Arial" w:hAnsi="Arial" w:cs="Arial"/>
          <w:b/>
          <w:sz w:val="22"/>
          <w:szCs w:val="22"/>
        </w:rPr>
        <w:t xml:space="preserve">yield </w:t>
      </w:r>
      <w:r w:rsidRPr="00117034">
        <w:rPr>
          <w:rFonts w:ascii="Arial" w:eastAsia="Arial" w:hAnsi="Arial" w:cs="Arial"/>
          <w:b/>
          <w:sz w:val="22"/>
          <w:szCs w:val="22"/>
        </w:rPr>
        <w:t>measurement</w:t>
      </w:r>
    </w:p>
    <w:p w14:paraId="39FD1F2C" w14:textId="24C75EC7" w:rsidR="000C1A93" w:rsidRPr="00AF6CA0" w:rsidRDefault="006D39E5" w:rsidP="00117034">
      <w:pPr>
        <w:spacing w:line="276" w:lineRule="auto"/>
        <w:jc w:val="both"/>
        <w:rPr>
          <w:rFonts w:ascii="Arial" w:eastAsia="Arial" w:hAnsi="Arial" w:cs="Arial"/>
        </w:rPr>
      </w:pPr>
      <w:r w:rsidRPr="006D39E5">
        <w:rPr>
          <w:rFonts w:ascii="Arial" w:eastAsia="Arial" w:hAnsi="Arial" w:cs="Arial"/>
        </w:rPr>
        <w:t xml:space="preserve">Data on </w:t>
      </w:r>
      <w:r w:rsidR="00513081">
        <w:rPr>
          <w:rFonts w:ascii="Arial" w:eastAsia="Arial" w:hAnsi="Arial" w:cs="Arial"/>
        </w:rPr>
        <w:t xml:space="preserve">disease </w:t>
      </w:r>
      <w:r w:rsidRPr="006D39E5">
        <w:rPr>
          <w:rFonts w:ascii="Arial" w:eastAsia="Arial" w:hAnsi="Arial" w:cs="Arial"/>
        </w:rPr>
        <w:t>incidence</w:t>
      </w:r>
      <w:r w:rsidR="00513081">
        <w:rPr>
          <w:rFonts w:ascii="Arial" w:eastAsia="Arial" w:hAnsi="Arial" w:cs="Arial"/>
        </w:rPr>
        <w:t xml:space="preserve"> and</w:t>
      </w:r>
      <w:r w:rsidRPr="006D39E5">
        <w:rPr>
          <w:rFonts w:ascii="Arial" w:eastAsia="Arial" w:hAnsi="Arial" w:cs="Arial"/>
        </w:rPr>
        <w:t xml:space="preserve"> severity </w:t>
      </w:r>
      <w:r w:rsidR="00513081" w:rsidRPr="006D39E5">
        <w:rPr>
          <w:rFonts w:ascii="Arial" w:eastAsia="Arial" w:hAnsi="Arial" w:cs="Arial"/>
        </w:rPr>
        <w:t xml:space="preserve">coffee leaf rust (CLR) </w:t>
      </w:r>
      <w:r w:rsidRPr="006D39E5">
        <w:rPr>
          <w:rFonts w:ascii="Arial" w:eastAsia="Arial" w:hAnsi="Arial" w:cs="Arial"/>
        </w:rPr>
        <w:t xml:space="preserve">and </w:t>
      </w:r>
      <w:r w:rsidR="00513081">
        <w:rPr>
          <w:rFonts w:ascii="Arial" w:eastAsia="Arial" w:hAnsi="Arial" w:cs="Arial"/>
        </w:rPr>
        <w:t xml:space="preserve">also </w:t>
      </w:r>
      <w:r w:rsidRPr="006D39E5">
        <w:rPr>
          <w:rFonts w:ascii="Arial" w:eastAsia="Arial" w:hAnsi="Arial" w:cs="Arial"/>
        </w:rPr>
        <w:t xml:space="preserve">berry yield were collected monthly for two consecutive years: July 2021–June 2022 (Year 1) and July 2022–June 2023 (Year 2). To </w:t>
      </w:r>
      <w:proofErr w:type="spellStart"/>
      <w:r w:rsidRPr="006D39E5">
        <w:rPr>
          <w:rFonts w:ascii="Arial" w:eastAsia="Arial" w:hAnsi="Arial" w:cs="Arial"/>
        </w:rPr>
        <w:t>minimise</w:t>
      </w:r>
      <w:proofErr w:type="spellEnd"/>
      <w:r w:rsidRPr="006D39E5">
        <w:rPr>
          <w:rFonts w:ascii="Arial" w:eastAsia="Arial" w:hAnsi="Arial" w:cs="Arial"/>
        </w:rPr>
        <w:t xml:space="preserve"> border effects, disease and yield measurements were taken from trees located at the </w:t>
      </w:r>
      <w:proofErr w:type="spellStart"/>
      <w:r w:rsidRPr="006D39E5">
        <w:rPr>
          <w:rFonts w:ascii="Arial" w:eastAsia="Arial" w:hAnsi="Arial" w:cs="Arial"/>
        </w:rPr>
        <w:t>centre</w:t>
      </w:r>
      <w:proofErr w:type="spellEnd"/>
      <w:r w:rsidRPr="006D39E5">
        <w:rPr>
          <w:rFonts w:ascii="Arial" w:eastAsia="Arial" w:hAnsi="Arial" w:cs="Arial"/>
        </w:rPr>
        <w:t xml:space="preserve"> of each plot, while outer rows served as guard plants.</w:t>
      </w:r>
    </w:p>
    <w:p w14:paraId="02A2CE0E" w14:textId="77777777" w:rsidR="00390B89" w:rsidRPr="00AF6CA0" w:rsidRDefault="00390B89" w:rsidP="00390B89">
      <w:pPr>
        <w:spacing w:line="276" w:lineRule="auto"/>
        <w:jc w:val="both"/>
        <w:rPr>
          <w:rFonts w:ascii="Arial" w:eastAsia="Arial" w:hAnsi="Arial" w:cs="Arial"/>
        </w:rPr>
      </w:pPr>
    </w:p>
    <w:p w14:paraId="49BF8661" w14:textId="2AD14701" w:rsidR="006D39E5" w:rsidRPr="006D39E5" w:rsidRDefault="006D39E5" w:rsidP="006D39E5">
      <w:pPr>
        <w:spacing w:line="276" w:lineRule="auto"/>
        <w:jc w:val="both"/>
        <w:rPr>
          <w:rFonts w:ascii="Arial" w:eastAsia="Arial" w:hAnsi="Arial" w:cs="Arial"/>
          <w:b/>
          <w:bCs/>
          <w:i/>
          <w:iCs/>
        </w:rPr>
      </w:pPr>
      <w:r w:rsidRPr="006D39E5">
        <w:rPr>
          <w:rFonts w:ascii="Arial" w:eastAsia="Arial" w:hAnsi="Arial" w:cs="Arial"/>
          <w:b/>
          <w:bCs/>
          <w:i/>
          <w:iCs/>
        </w:rPr>
        <w:t xml:space="preserve">Yield </w:t>
      </w:r>
      <w:r w:rsidR="007155E7" w:rsidRPr="007155E7">
        <w:rPr>
          <w:rFonts w:ascii="Arial" w:eastAsia="Arial" w:hAnsi="Arial" w:cs="Arial"/>
          <w:b/>
          <w:bCs/>
          <w:i/>
          <w:iCs/>
        </w:rPr>
        <w:t>measurement</w:t>
      </w:r>
    </w:p>
    <w:p w14:paraId="36BD7B35" w14:textId="77777777" w:rsidR="00B51CA7" w:rsidRPr="00B51CA7" w:rsidRDefault="00B51CA7" w:rsidP="00B51CA7">
      <w:pPr>
        <w:spacing w:line="276" w:lineRule="auto"/>
        <w:jc w:val="both"/>
        <w:rPr>
          <w:rFonts w:ascii="Arial" w:eastAsia="Arial" w:hAnsi="Arial" w:cs="Arial"/>
        </w:rPr>
      </w:pPr>
      <w:r w:rsidRPr="00B51CA7">
        <w:rPr>
          <w:rFonts w:ascii="Arial" w:eastAsia="Arial" w:hAnsi="Arial" w:cs="Arial"/>
        </w:rPr>
        <w:t xml:space="preserve">Ripe coffee berries were manually harvested at monthly intervals from July 2021 to June 2023. Harvesting was performed at peak physiological maturity, identified by a uniform transition in skin </w:t>
      </w:r>
      <w:proofErr w:type="spellStart"/>
      <w:r w:rsidRPr="00B51CA7">
        <w:rPr>
          <w:rFonts w:ascii="Arial" w:eastAsia="Arial" w:hAnsi="Arial" w:cs="Arial"/>
        </w:rPr>
        <w:t>colour</w:t>
      </w:r>
      <w:proofErr w:type="spellEnd"/>
      <w:r w:rsidRPr="00B51CA7">
        <w:rPr>
          <w:rFonts w:ascii="Arial" w:eastAsia="Arial" w:hAnsi="Arial" w:cs="Arial"/>
        </w:rPr>
        <w:t xml:space="preserve"> from orange-red to full-red. Immediately after collection, fresh berries were weighed using a digital balance (±0.01 g accuracy) to determine yield per tree.</w:t>
      </w:r>
    </w:p>
    <w:p w14:paraId="1E2C72E7" w14:textId="77777777" w:rsidR="00B51CA7" w:rsidRPr="00B51CA7" w:rsidRDefault="00B51CA7" w:rsidP="00B51CA7">
      <w:pPr>
        <w:spacing w:line="276" w:lineRule="auto"/>
        <w:jc w:val="both"/>
        <w:rPr>
          <w:rFonts w:ascii="Arial" w:eastAsia="Arial" w:hAnsi="Arial" w:cs="Arial"/>
        </w:rPr>
      </w:pPr>
    </w:p>
    <w:p w14:paraId="3912377F" w14:textId="341D1A36" w:rsidR="006D39E5" w:rsidRDefault="0087733E" w:rsidP="00B51CA7">
      <w:pPr>
        <w:spacing w:line="276" w:lineRule="auto"/>
        <w:jc w:val="both"/>
        <w:rPr>
          <w:rFonts w:ascii="Arial" w:eastAsia="Arial" w:hAnsi="Arial" w:cs="Arial"/>
        </w:rPr>
      </w:pPr>
      <w:r>
        <w:rPr>
          <w:rFonts w:ascii="Arial" w:eastAsia="Arial" w:hAnsi="Arial" w:cs="Arial"/>
        </w:rPr>
        <w:t>Y</w:t>
      </w:r>
      <w:r w:rsidR="00B51CA7" w:rsidRPr="00B51CA7">
        <w:rPr>
          <w:rFonts w:ascii="Arial" w:eastAsia="Arial" w:hAnsi="Arial" w:cs="Arial"/>
        </w:rPr>
        <w:t>ield was expressed as mean fresh berry weight per tree per month. Cumulative annual yield for each clone was calculated by summing monthly harvests across the 12-month cycle. Yield stability between years was assessed by comparing mean annual values for Year 1 and Year 2.</w:t>
      </w:r>
    </w:p>
    <w:p w14:paraId="0B774D73" w14:textId="77777777" w:rsidR="00B51CA7" w:rsidRDefault="00B51CA7" w:rsidP="00B51CA7">
      <w:pPr>
        <w:spacing w:line="276" w:lineRule="auto"/>
        <w:jc w:val="both"/>
        <w:rPr>
          <w:rFonts w:ascii="Arial" w:eastAsia="Arial" w:hAnsi="Arial" w:cs="Arial"/>
        </w:rPr>
      </w:pPr>
    </w:p>
    <w:p w14:paraId="1A2189DC" w14:textId="35586C0C" w:rsidR="006D39E5" w:rsidRPr="006D39E5" w:rsidRDefault="00101554" w:rsidP="006D39E5">
      <w:pPr>
        <w:spacing w:line="276" w:lineRule="auto"/>
        <w:jc w:val="both"/>
        <w:rPr>
          <w:rFonts w:ascii="Arial" w:eastAsia="Arial" w:hAnsi="Arial" w:cs="Arial"/>
          <w:b/>
          <w:bCs/>
          <w:i/>
          <w:iCs/>
        </w:rPr>
      </w:pPr>
      <w:r w:rsidRPr="00101554">
        <w:rPr>
          <w:rFonts w:ascii="Arial" w:eastAsia="Arial" w:hAnsi="Arial" w:cs="Arial"/>
          <w:b/>
          <w:bCs/>
          <w:i/>
          <w:iCs/>
        </w:rPr>
        <w:t>Disease assessment</w:t>
      </w:r>
    </w:p>
    <w:p w14:paraId="2236C09F" w14:textId="41539A7C" w:rsidR="00117034" w:rsidRPr="00AF6CA0" w:rsidRDefault="00B51CA7" w:rsidP="006D39E5">
      <w:pPr>
        <w:spacing w:line="276" w:lineRule="auto"/>
        <w:jc w:val="both"/>
        <w:rPr>
          <w:rFonts w:ascii="Arial" w:eastAsia="Arial" w:hAnsi="Arial" w:cs="Arial"/>
        </w:rPr>
      </w:pPr>
      <w:r w:rsidRPr="00B51CA7">
        <w:rPr>
          <w:rFonts w:ascii="Arial" w:eastAsia="Arial" w:hAnsi="Arial" w:cs="Arial"/>
        </w:rPr>
        <w:t xml:space="preserve">Coffee leaf rust (CLR) incidence and severity were assessed monthly on each tree throughout the study period (July 2021–June 2023). </w:t>
      </w:r>
      <w:r w:rsidR="001F607A">
        <w:rPr>
          <w:rFonts w:ascii="Arial" w:eastAsia="Arial" w:hAnsi="Arial" w:cs="Arial"/>
        </w:rPr>
        <w:t>For</w:t>
      </w:r>
      <w:r w:rsidR="001F607A" w:rsidRPr="001F607A">
        <w:rPr>
          <w:rFonts w:ascii="Arial" w:eastAsia="Arial" w:hAnsi="Arial" w:cs="Arial"/>
        </w:rPr>
        <w:t xml:space="preserve"> incidence, fully expanded leaves were sampled from the four canopy quadrants at three vertical positions (upper, middle, and lower plagiotropic branches). The number of symptomatic and asymptomatic leaves was recorded, and disease incidence (DI) was calculated as:</w:t>
      </w:r>
    </w:p>
    <w:p w14:paraId="298849A3" w14:textId="35612EDE" w:rsidR="00117034" w:rsidRPr="00AF6CA0" w:rsidRDefault="00117034" w:rsidP="00117034">
      <w:pPr>
        <w:jc w:val="center"/>
        <w:rPr>
          <w:rFonts w:ascii="Arial" w:eastAsia="Cambria Math" w:hAnsi="Arial" w:cs="Arial"/>
        </w:rPr>
      </w:pPr>
      <m:oMathPara>
        <m:oMath>
          <m:r>
            <w:rPr>
              <w:rFonts w:ascii="Cambria Math" w:eastAsia="Cambria Math" w:hAnsi="Cambria Math" w:cs="Arial"/>
            </w:rPr>
            <m:t xml:space="preserve">DI </m:t>
          </m:r>
          <m:d>
            <m:dPr>
              <m:ctrlPr>
                <w:rPr>
                  <w:rFonts w:ascii="Cambria Math" w:eastAsia="Cambria Math" w:hAnsi="Cambria Math" w:cs="Arial"/>
                </w:rPr>
              </m:ctrlPr>
            </m:dPr>
            <m:e>
              <m:r>
                <w:rPr>
                  <w:rFonts w:ascii="Cambria Math" w:eastAsia="Cambria Math" w:hAnsi="Cambria Math" w:cs="Arial"/>
                </w:rPr>
                <m:t>%</m:t>
              </m:r>
            </m:e>
          </m:d>
          <m:r>
            <w:rPr>
              <w:rFonts w:ascii="Cambria Math" w:eastAsia="Arial" w:hAnsi="Cambria Math" w:cs="Arial"/>
            </w:rPr>
            <m:t>=</m:t>
          </m:r>
          <m:f>
            <m:fPr>
              <m:ctrlPr>
                <w:rPr>
                  <w:rFonts w:ascii="Cambria Math" w:eastAsia="Cambria Math" w:hAnsi="Cambria Math" w:cs="Arial"/>
                </w:rPr>
              </m:ctrlPr>
            </m:fPr>
            <m:num>
              <m:r>
                <w:rPr>
                  <w:rFonts w:ascii="Cambria Math" w:eastAsia="Cambria Math" w:hAnsi="Cambria Math" w:cs="Arial"/>
                </w:rPr>
                <m:t>Total number of infected leaves</m:t>
              </m:r>
            </m:num>
            <m:den>
              <m:r>
                <w:rPr>
                  <w:rFonts w:ascii="Cambria Math" w:eastAsia="Cambria Math" w:hAnsi="Cambria Math" w:cs="Arial"/>
                </w:rPr>
                <m:t>Total number of sampled leaves</m:t>
              </m:r>
            </m:den>
          </m:f>
          <m:r>
            <w:rPr>
              <w:rFonts w:ascii="Cambria Math" w:eastAsia="Cambria Math" w:hAnsi="Cambria Math" w:cs="Arial"/>
            </w:rPr>
            <m:t>×100</m:t>
          </m:r>
        </m:oMath>
      </m:oMathPara>
    </w:p>
    <w:p w14:paraId="2D15F151" w14:textId="77777777" w:rsidR="006D39E5" w:rsidRDefault="006D39E5" w:rsidP="00117034">
      <w:pPr>
        <w:spacing w:line="276" w:lineRule="auto"/>
        <w:jc w:val="both"/>
        <w:rPr>
          <w:rFonts w:ascii="Arial" w:eastAsia="Arial" w:hAnsi="Arial" w:cs="Arial"/>
        </w:rPr>
      </w:pPr>
    </w:p>
    <w:p w14:paraId="1C332D31" w14:textId="6176DF2C" w:rsidR="00117034" w:rsidRPr="00AF6CA0" w:rsidRDefault="006D39E5" w:rsidP="00117034">
      <w:pPr>
        <w:spacing w:line="276" w:lineRule="auto"/>
        <w:jc w:val="both"/>
        <w:rPr>
          <w:rFonts w:ascii="Arial" w:eastAsia="Arial" w:hAnsi="Arial" w:cs="Arial"/>
        </w:rPr>
      </w:pPr>
      <w:r w:rsidRPr="006D39E5">
        <w:rPr>
          <w:rFonts w:ascii="Arial" w:eastAsia="Arial" w:hAnsi="Arial" w:cs="Arial"/>
        </w:rPr>
        <w:t>Rust severity was assessed visually using the 0–9 scale</w:t>
      </w:r>
      <w:r w:rsidR="001F607A">
        <w:rPr>
          <w:rFonts w:ascii="Arial" w:eastAsia="Arial" w:hAnsi="Arial" w:cs="Arial"/>
        </w:rPr>
        <w:t xml:space="preserve"> </w:t>
      </w:r>
      <w:r w:rsidRPr="00AF6CA0">
        <w:rPr>
          <w:rFonts w:ascii="Arial" w:hAnsi="Arial" w:cs="Arial"/>
        </w:rPr>
        <w:fldChar w:fldCharType="begin" w:fldLock="1"/>
      </w:r>
      <w:r w:rsidRPr="00AF6CA0">
        <w:rPr>
          <w:rFonts w:ascii="Arial" w:hAnsi="Arial" w:cs="Arial"/>
        </w:rPr>
        <w:instrText>ADDIN CSL_CITATION {"citationItems":[{"id":"ITEM-1","itemData":{"author":[{"dropping-particle":"","family":"Eskes","given":"A. B.","non-dropping-particle":"","parse-names":false,"suffix":""},{"dropping-particle":"","family":"Toma-Braghini","given":"M.","non-dropping-particle":"","parse-names":false,"suffix":""}],"container-title":"Plant Protection Bulletin FAO","id":"ITEM-1","issue":"3/4","issued":{"date-parts":[["1981"]]},"page":"56-66","title":"Assessment methods for resistance to coffee leaf rust (&lt;i&gt;Hemileia vastatrix&lt;/i&gt; Berk. &amp; Br.)","type":"article-magazine","volume":"29"},"uris":["http://www.mendeley.com/documents/?uuid=7a3d9060-2c46-4caf-84bb-971f60e68395","http://www.mendeley.com/documents/?uuid=af6274e6-c3ff-4b21-b97a-cdf9551b9f4e"]}],"mendeley":{"formattedCitation":"(Eskes &amp; Toma-Braghini, 1981)","manualFormatting":"(Eskes and Toma-Braghini, 1981)","plainTextFormattedCitation":"(Eskes &amp; Toma-Braghini, 1981)","previouslyFormattedCitation":"(Eskes &amp; Toma-Braghini, 1981)"},"properties":{"noteIndex":0},"schema":"https://github.com/citation-style-language/schema/raw/master/csl-citation.json"}</w:instrText>
      </w:r>
      <w:r w:rsidRPr="00AF6CA0">
        <w:rPr>
          <w:rFonts w:ascii="Arial" w:hAnsi="Arial" w:cs="Arial"/>
        </w:rPr>
        <w:fldChar w:fldCharType="separate"/>
      </w:r>
      <w:r w:rsidRPr="00AF6CA0">
        <w:rPr>
          <w:rFonts w:ascii="Arial" w:hAnsi="Arial" w:cs="Arial"/>
          <w:noProof/>
        </w:rPr>
        <w:t>(Eskes and Toma-Braghini, 1981)</w:t>
      </w:r>
      <w:r w:rsidRPr="00AF6CA0">
        <w:rPr>
          <w:rFonts w:ascii="Arial" w:hAnsi="Arial" w:cs="Arial"/>
        </w:rPr>
        <w:fldChar w:fldCharType="end"/>
      </w:r>
      <w:r>
        <w:rPr>
          <w:rFonts w:ascii="Arial" w:eastAsia="Arial" w:hAnsi="Arial" w:cs="Arial"/>
        </w:rPr>
        <w:t xml:space="preserve">, </w:t>
      </w:r>
      <w:r w:rsidRPr="006D39E5">
        <w:rPr>
          <w:rFonts w:ascii="Arial" w:eastAsia="Arial" w:hAnsi="Arial" w:cs="Arial"/>
        </w:rPr>
        <w:t>where 0 = no visible symptoms and 9 = severe sporulation and tissue damage. The disease severity index (DSI) was calculated following</w:t>
      </w:r>
      <w:r>
        <w:rPr>
          <w:rFonts w:ascii="Arial" w:eastAsia="Arial" w:hAnsi="Arial" w:cs="Arial"/>
        </w:rPr>
        <w:t xml:space="preserve"> </w:t>
      </w:r>
      <w:r w:rsidRPr="00AF6CA0">
        <w:rPr>
          <w:rFonts w:ascii="Arial" w:hAnsi="Arial" w:cs="Arial"/>
        </w:rPr>
        <w:fldChar w:fldCharType="begin" w:fldLock="1"/>
      </w:r>
      <w:r w:rsidRPr="00AF6CA0">
        <w:rPr>
          <w:rFonts w:ascii="Arial" w:hAnsi="Arial" w:cs="Arial"/>
        </w:rPr>
        <w:instrText>ADDIN CSL_CITATION {"citationItems":[{"id":"ITEM-1","itemData":{"DOI":"10.1111/j.1365-3059.2011.02472.x","ISSN":"00320862","abstract":"A standard area diagram (SAD) set to aid assessment of the severity of coffee leaf rust (Hemileia vastatrix) was prepared and validated, and the characteristics of the rust lesions on Coffea arabica and C. canephora leaves were compared. The results indicated that the lesions were similar, so one scale could be used to evaluate the severity of rust on both species. The proposed SAD set contains illustrations of leaves with six disease severities (2·5, 5, 10, 20, 40 and 80%). The SAD set was validated by 10 raters with no previous experience of disease evaluation. The severity of rust was first estimated without using the SADs, and the same raters assessed the leaves again using the SADs. Regression analysis and Lin's concordance correlation (ρc) analysis of estimated against actual disease severity showed precision and accuracy was significantly better using the SADs, for most raters, with improvements in both the slope and intercept of the regressions, and the values of u, υ (components of accuracy and precision of the ρc) and ρc improved to 60, 70 and 90% of raters, respectively, when the SADs were used. The absolute error was ≤38% without the SADs, and ≤22% with them. Severity estimates were more reliable using the SADs (R2=0·70-1·00 unaided, and R2=0·80-1·00 using the SADs). The SAD set improved rater assessments for the estimation of arabica and conilon rust severity, and can be used for assessing rust severity for many purposes, including plant breeding, fungicide screening and pathotype characterization. No claim to original US government works. Plant Pathology © 2011 BSPP.","author":[{"dropping-particle":"","family":"Capucho","given":"A. S.","non-dropping-particle":"","parse-names":false,"suffix":""},{"dropping-particle":"","family":"Zambolim","given":"L.","non-dropping-particle":"","parse-names":false,"suffix":""},{"dropping-particle":"","family":"Duarte","given":"H. S.S.","non-dropping-particle":"","parse-names":false,"suffix":""},{"dropping-particle":"","family":"Vaz","given":"G. R.O.","non-dropping-particle":"","parse-names":false,"suffix":""}],"container-title":"Plant Pathology","id":"ITEM-1","issue":"6","issued":{"date-parts":[["2011"]]},"page":"1144-1150","title":"Development and validation of a standard area diagram set to estimate severity of leaf rust in &lt;i&gt;Coffea arabica&lt;/i&gt; and &lt;i&gt;C. canephora&lt;/i&gt;","type":"article-journal","volume":"60"},"uris":["http://www.mendeley.com/documents/?uuid=16a03191-554e-43eb-91e1-ca4c8e422dcc","http://www.mendeley.com/documents/?uuid=c81a9ca0-b439-4a28-b0f0-42de708c1a68"]}],"mendeley":{"formattedCitation":"(Capucho et al., 2011)","plainTextFormattedCitation":"(Capucho et al., 2011)","previouslyFormattedCitation":"(Capucho et al., 2011)"},"properties":{"noteIndex":0},"schema":"https://github.com/citation-style-language/schema/raw/master/csl-citation.json"}</w:instrText>
      </w:r>
      <w:r w:rsidRPr="00AF6CA0">
        <w:rPr>
          <w:rFonts w:ascii="Arial" w:hAnsi="Arial" w:cs="Arial"/>
        </w:rPr>
        <w:fldChar w:fldCharType="separate"/>
      </w:r>
      <w:r w:rsidRPr="00AF6CA0">
        <w:rPr>
          <w:rFonts w:ascii="Arial" w:hAnsi="Arial" w:cs="Arial"/>
          <w:noProof/>
        </w:rPr>
        <w:t>(Capucho et al., 2011)</w:t>
      </w:r>
      <w:r w:rsidRPr="00AF6CA0">
        <w:rPr>
          <w:rFonts w:ascii="Arial" w:hAnsi="Arial" w:cs="Arial"/>
        </w:rPr>
        <w:fldChar w:fldCharType="end"/>
      </w:r>
      <w:r w:rsidR="00373CD1" w:rsidRPr="00AF6CA0">
        <w:rPr>
          <w:rFonts w:ascii="Arial" w:eastAsia="Arial" w:hAnsi="Arial" w:cs="Arial"/>
        </w:rPr>
        <w:t>:</w:t>
      </w:r>
      <w:r w:rsidR="00117034" w:rsidRPr="00AF6CA0">
        <w:rPr>
          <w:rFonts w:ascii="Arial" w:eastAsia="Arial" w:hAnsi="Arial" w:cs="Arial"/>
        </w:rPr>
        <w:t xml:space="preserve"> </w:t>
      </w:r>
    </w:p>
    <w:p w14:paraId="72597043" w14:textId="7EEBE1C7" w:rsidR="00117034" w:rsidRPr="00AF6CA0" w:rsidRDefault="00117034" w:rsidP="00117034">
      <w:pPr>
        <w:jc w:val="center"/>
        <w:rPr>
          <w:rFonts w:ascii="Arial" w:eastAsia="Cambria Math" w:hAnsi="Arial" w:cs="Arial"/>
        </w:rPr>
      </w:pPr>
      <m:oMathPara>
        <m:oMath>
          <m:r>
            <w:rPr>
              <w:rFonts w:ascii="Cambria Math" w:eastAsia="Cambria Math" w:hAnsi="Cambria Math" w:cs="Arial"/>
            </w:rPr>
            <m:t xml:space="preserve">DSI </m:t>
          </m:r>
          <m:d>
            <m:dPr>
              <m:ctrlPr>
                <w:rPr>
                  <w:rFonts w:ascii="Cambria Math" w:eastAsia="Cambria Math" w:hAnsi="Cambria Math" w:cs="Arial"/>
                </w:rPr>
              </m:ctrlPr>
            </m:dPr>
            <m:e>
              <m:r>
                <w:rPr>
                  <w:rFonts w:ascii="Cambria Math" w:eastAsia="Cambria Math" w:hAnsi="Cambria Math" w:cs="Arial"/>
                </w:rPr>
                <m:t>%</m:t>
              </m:r>
            </m:e>
          </m:d>
          <m:r>
            <w:rPr>
              <w:rFonts w:ascii="Cambria Math" w:eastAsia="Arial" w:hAnsi="Cambria Math" w:cs="Arial"/>
            </w:rPr>
            <m:t>=</m:t>
          </m:r>
          <m:f>
            <m:fPr>
              <m:ctrlPr>
                <w:rPr>
                  <w:rFonts w:ascii="Cambria Math" w:eastAsia="Cambria Math" w:hAnsi="Cambria Math" w:cs="Arial"/>
                </w:rPr>
              </m:ctrlPr>
            </m:fPr>
            <m:num>
              <m:r>
                <w:rPr>
                  <w:rFonts w:ascii="Cambria Math" w:eastAsia="Arial" w:hAnsi="Cambria Math" w:cs="Arial"/>
                </w:rPr>
                <m:t>Σ</m:t>
              </m:r>
              <m:d>
                <m:dPr>
                  <m:ctrlPr>
                    <w:rPr>
                      <w:rFonts w:ascii="Cambria Math" w:eastAsia="Cambria Math" w:hAnsi="Cambria Math" w:cs="Arial"/>
                    </w:rPr>
                  </m:ctrlPr>
                </m:dPr>
                <m:e>
                  <m:r>
                    <w:rPr>
                      <w:rFonts w:ascii="Cambria Math" w:eastAsia="Cambria Math" w:hAnsi="Cambria Math" w:cs="Arial"/>
                    </w:rPr>
                    <m:t>a × b</m:t>
                  </m:r>
                </m:e>
              </m:d>
            </m:num>
            <m:den>
              <m:r>
                <w:rPr>
                  <w:rFonts w:ascii="Cambria Math" w:eastAsia="Cambria Math" w:hAnsi="Cambria Math" w:cs="Arial"/>
                </w:rPr>
                <m:t>Z×N</m:t>
              </m:r>
            </m:den>
          </m:f>
          <m:r>
            <w:rPr>
              <w:rFonts w:ascii="Cambria Math" w:eastAsia="Cambria Math" w:hAnsi="Cambria Math" w:cs="Arial"/>
            </w:rPr>
            <m:t>×100</m:t>
          </m:r>
        </m:oMath>
      </m:oMathPara>
    </w:p>
    <w:p w14:paraId="6C34B4C5" w14:textId="1BFB8D73" w:rsidR="00117034" w:rsidRPr="00AF6CA0" w:rsidRDefault="006D39E5" w:rsidP="00390B89">
      <w:pPr>
        <w:jc w:val="both"/>
        <w:rPr>
          <w:rFonts w:ascii="Arial" w:eastAsia="Arial" w:hAnsi="Arial" w:cs="Arial"/>
        </w:rPr>
      </w:pPr>
      <w:r w:rsidRPr="006D39E5">
        <w:rPr>
          <w:rFonts w:ascii="Arial" w:eastAsia="Arial" w:hAnsi="Arial" w:cs="Arial"/>
        </w:rPr>
        <w:t>where a = number of symptomatic leaves, b = severity score, Z = maximum severity score (9), and N = total number of sampled leaves</w:t>
      </w:r>
      <w:r w:rsidR="00117034" w:rsidRPr="00AF6CA0">
        <w:rPr>
          <w:rFonts w:ascii="Arial" w:eastAsia="Arial" w:hAnsi="Arial" w:cs="Arial"/>
        </w:rPr>
        <w:t xml:space="preserve">. </w:t>
      </w:r>
    </w:p>
    <w:p w14:paraId="114F3201" w14:textId="77777777" w:rsidR="000C1A93" w:rsidRDefault="000C1A93" w:rsidP="000C1A93">
      <w:pPr>
        <w:spacing w:line="276" w:lineRule="auto"/>
        <w:jc w:val="both"/>
        <w:rPr>
          <w:rFonts w:ascii="Arial" w:eastAsia="Arial" w:hAnsi="Arial" w:cs="Arial"/>
        </w:rPr>
      </w:pPr>
    </w:p>
    <w:p w14:paraId="399EA414" w14:textId="544263A7" w:rsidR="009C1ED2" w:rsidRDefault="00E37E9E">
      <w:pPr>
        <w:spacing w:line="276" w:lineRule="auto"/>
        <w:jc w:val="both"/>
        <w:rPr>
          <w:rFonts w:ascii="Arial" w:eastAsia="Arial" w:hAnsi="Arial" w:cs="Arial"/>
          <w:b/>
          <w:sz w:val="22"/>
          <w:szCs w:val="22"/>
        </w:rPr>
      </w:pPr>
      <w:r>
        <w:rPr>
          <w:rFonts w:ascii="Arial" w:eastAsia="Arial" w:hAnsi="Arial" w:cs="Arial"/>
          <w:b/>
          <w:sz w:val="22"/>
          <w:szCs w:val="22"/>
        </w:rPr>
        <w:t>2.</w:t>
      </w:r>
      <w:r w:rsidR="00117034">
        <w:rPr>
          <w:rFonts w:ascii="Arial" w:eastAsia="Arial" w:hAnsi="Arial" w:cs="Arial"/>
          <w:b/>
          <w:sz w:val="22"/>
          <w:szCs w:val="22"/>
        </w:rPr>
        <w:t>4</w:t>
      </w:r>
      <w:r>
        <w:rPr>
          <w:rFonts w:ascii="Arial" w:eastAsia="Arial" w:hAnsi="Arial" w:cs="Arial"/>
          <w:b/>
          <w:sz w:val="22"/>
          <w:szCs w:val="22"/>
        </w:rPr>
        <w:t xml:space="preserve"> Experimental design and data analysis</w:t>
      </w:r>
    </w:p>
    <w:p w14:paraId="53AB1D4E" w14:textId="4E2893FC" w:rsidR="006D39E5" w:rsidRDefault="006D39E5" w:rsidP="00A9055C">
      <w:pPr>
        <w:spacing w:line="276" w:lineRule="auto"/>
        <w:jc w:val="both"/>
        <w:rPr>
          <w:rFonts w:ascii="Arial" w:eastAsia="Arial" w:hAnsi="Arial" w:cs="Arial"/>
        </w:rPr>
      </w:pPr>
      <w:r w:rsidRPr="006D39E5">
        <w:rPr>
          <w:rFonts w:ascii="Arial" w:eastAsia="Arial" w:hAnsi="Arial" w:cs="Arial"/>
        </w:rPr>
        <w:t xml:space="preserve">The experiment was arranged in a completely </w:t>
      </w:r>
      <w:proofErr w:type="spellStart"/>
      <w:r w:rsidRPr="006D39E5">
        <w:rPr>
          <w:rFonts w:ascii="Arial" w:eastAsia="Arial" w:hAnsi="Arial" w:cs="Arial"/>
        </w:rPr>
        <w:t>randomised</w:t>
      </w:r>
      <w:proofErr w:type="spellEnd"/>
      <w:r w:rsidRPr="006D39E5">
        <w:rPr>
          <w:rFonts w:ascii="Arial" w:eastAsia="Arial" w:hAnsi="Arial" w:cs="Arial"/>
        </w:rPr>
        <w:t xml:space="preserve"> block design with three replicates. Each block contained five plots, representing the five clones, with each plot comprising at least 20 uniform coffee trees</w:t>
      </w:r>
      <w:r>
        <w:rPr>
          <w:rFonts w:ascii="Arial" w:eastAsia="Arial" w:hAnsi="Arial" w:cs="Arial"/>
        </w:rPr>
        <w:t>.</w:t>
      </w:r>
    </w:p>
    <w:p w14:paraId="2F644DE6" w14:textId="77777777" w:rsidR="006D39E5" w:rsidRDefault="006D39E5" w:rsidP="00A9055C">
      <w:pPr>
        <w:spacing w:line="276" w:lineRule="auto"/>
        <w:jc w:val="both"/>
        <w:rPr>
          <w:rFonts w:ascii="Arial" w:eastAsia="Arial" w:hAnsi="Arial" w:cs="Arial"/>
        </w:rPr>
      </w:pPr>
    </w:p>
    <w:p w14:paraId="7F4A3D67" w14:textId="55C54D91" w:rsidR="009C1ED2" w:rsidRDefault="006D39E5">
      <w:pPr>
        <w:spacing w:line="276" w:lineRule="auto"/>
        <w:jc w:val="both"/>
        <w:rPr>
          <w:rFonts w:ascii="Arial" w:eastAsia="Arial" w:hAnsi="Arial" w:cs="Arial"/>
        </w:rPr>
      </w:pPr>
      <w:r w:rsidRPr="006D39E5">
        <w:rPr>
          <w:rFonts w:ascii="Arial" w:eastAsia="Arial" w:hAnsi="Arial" w:cs="Arial"/>
        </w:rPr>
        <w:t xml:space="preserve">The assumptions of normality and homogeneity of variances were tested prior to analysis. Data on yield, </w:t>
      </w:r>
      <w:r w:rsidR="00C44688">
        <w:rPr>
          <w:rFonts w:ascii="Arial" w:eastAsia="Arial" w:hAnsi="Arial" w:cs="Arial"/>
        </w:rPr>
        <w:t>disease incidence</w:t>
      </w:r>
      <w:r w:rsidRPr="006D39E5">
        <w:rPr>
          <w:rFonts w:ascii="Arial" w:eastAsia="Arial" w:hAnsi="Arial" w:cs="Arial"/>
        </w:rPr>
        <w:t xml:space="preserve"> and </w:t>
      </w:r>
      <w:r w:rsidR="00C44688">
        <w:rPr>
          <w:rFonts w:ascii="Arial" w:eastAsia="Arial" w:hAnsi="Arial" w:cs="Arial"/>
        </w:rPr>
        <w:t>disease severity index</w:t>
      </w:r>
      <w:r w:rsidRPr="006D39E5">
        <w:rPr>
          <w:rFonts w:ascii="Arial" w:eastAsia="Arial" w:hAnsi="Arial" w:cs="Arial"/>
        </w:rPr>
        <w:t xml:space="preserve"> were subjected to analysis of variance (ANOVA). When significant differences were detected, mean separation was performed using Tukey’s test at the 5% probability level. Pearson’s correlation coefficient</w:t>
      </w:r>
      <w:r w:rsidR="00927DBD">
        <w:rPr>
          <w:rFonts w:ascii="Arial" w:eastAsia="Arial" w:hAnsi="Arial" w:cs="Arial"/>
        </w:rPr>
        <w:t>s</w:t>
      </w:r>
      <w:r w:rsidRPr="006D39E5">
        <w:rPr>
          <w:rFonts w:ascii="Arial" w:eastAsia="Arial" w:hAnsi="Arial" w:cs="Arial"/>
        </w:rPr>
        <w:t xml:space="preserve"> (r) </w:t>
      </w:r>
      <w:r w:rsidR="00101554">
        <w:rPr>
          <w:rFonts w:ascii="Arial" w:eastAsia="Arial" w:hAnsi="Arial" w:cs="Arial"/>
        </w:rPr>
        <w:t>w</w:t>
      </w:r>
      <w:r w:rsidR="00927DBD">
        <w:rPr>
          <w:rFonts w:ascii="Arial" w:eastAsia="Arial" w:hAnsi="Arial" w:cs="Arial"/>
        </w:rPr>
        <w:t>ere</w:t>
      </w:r>
      <w:r w:rsidR="00101554">
        <w:rPr>
          <w:rFonts w:ascii="Arial" w:eastAsia="Arial" w:hAnsi="Arial" w:cs="Arial"/>
        </w:rPr>
        <w:t xml:space="preserve"> </w:t>
      </w:r>
      <w:r w:rsidR="00101554">
        <w:rPr>
          <w:rFonts w:ascii="Arial" w:eastAsia="Arial" w:hAnsi="Arial" w:cs="Arial"/>
        </w:rPr>
        <w:lastRenderedPageBreak/>
        <w:t>calculated to assess</w:t>
      </w:r>
      <w:r w:rsidRPr="006D39E5">
        <w:rPr>
          <w:rFonts w:ascii="Arial" w:eastAsia="Arial" w:hAnsi="Arial" w:cs="Arial"/>
        </w:rPr>
        <w:t xml:space="preserve"> the relationships between berry yield and </w:t>
      </w:r>
      <w:r w:rsidR="00101554">
        <w:rPr>
          <w:rFonts w:ascii="Arial" w:eastAsia="Arial" w:hAnsi="Arial" w:cs="Arial"/>
        </w:rPr>
        <w:t>disease</w:t>
      </w:r>
      <w:r w:rsidR="00C44688">
        <w:rPr>
          <w:rFonts w:ascii="Arial" w:eastAsia="Arial" w:hAnsi="Arial" w:cs="Arial"/>
        </w:rPr>
        <w:t xml:space="preserve"> parameters (</w:t>
      </w:r>
      <w:r w:rsidRPr="006D39E5">
        <w:rPr>
          <w:rFonts w:ascii="Arial" w:eastAsia="Arial" w:hAnsi="Arial" w:cs="Arial"/>
        </w:rPr>
        <w:t>incidence and severity</w:t>
      </w:r>
      <w:r w:rsidR="00C44688">
        <w:rPr>
          <w:rFonts w:ascii="Arial" w:eastAsia="Arial" w:hAnsi="Arial" w:cs="Arial"/>
        </w:rPr>
        <w:t>)</w:t>
      </w:r>
      <w:r w:rsidRPr="006D39E5">
        <w:rPr>
          <w:rFonts w:ascii="Arial" w:eastAsia="Arial" w:hAnsi="Arial" w:cs="Arial"/>
        </w:rPr>
        <w:t xml:space="preserve">. </w:t>
      </w:r>
      <w:r w:rsidR="00101554" w:rsidRPr="00101554">
        <w:rPr>
          <w:rFonts w:ascii="Arial" w:eastAsia="Arial" w:hAnsi="Arial" w:cs="Arial"/>
        </w:rPr>
        <w:t>All statistical analyses were performed using</w:t>
      </w:r>
      <w:r w:rsidR="00101554">
        <w:rPr>
          <w:rFonts w:ascii="Arial" w:eastAsia="Arial" w:hAnsi="Arial" w:cs="Arial"/>
        </w:rPr>
        <w:t xml:space="preserve"> </w:t>
      </w:r>
      <w:r w:rsidRPr="006D39E5">
        <w:rPr>
          <w:rFonts w:ascii="Arial" w:eastAsia="Arial" w:hAnsi="Arial" w:cs="Arial"/>
        </w:rPr>
        <w:t>SAS version 9.4 (Statistical Analysis System, Cary, NC, USA).</w:t>
      </w:r>
    </w:p>
    <w:p w14:paraId="49D4684A" w14:textId="77777777" w:rsidR="006D39E5" w:rsidRDefault="006D39E5">
      <w:pPr>
        <w:spacing w:line="276" w:lineRule="auto"/>
        <w:jc w:val="both"/>
        <w:rPr>
          <w:rFonts w:ascii="Arial" w:eastAsia="Arial" w:hAnsi="Arial" w:cs="Arial"/>
        </w:rPr>
      </w:pPr>
    </w:p>
    <w:p w14:paraId="5E22A4FB" w14:textId="77777777"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bookmarkStart w:id="1" w:name="_heading=h.1fob9te" w:colFirst="0" w:colLast="0"/>
      <w:bookmarkEnd w:id="1"/>
      <w:r>
        <w:rPr>
          <w:rFonts w:ascii="Arial" w:eastAsia="Arial" w:hAnsi="Arial" w:cs="Arial"/>
          <w:b/>
          <w:smallCaps/>
          <w:color w:val="000000"/>
          <w:sz w:val="22"/>
          <w:szCs w:val="22"/>
        </w:rPr>
        <w:t>3. results and discussion</w:t>
      </w:r>
    </w:p>
    <w:p w14:paraId="72202818"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56AF04AC" w14:textId="3D80A1AB" w:rsidR="009C1ED2" w:rsidRDefault="00E37E9E">
      <w:pPr>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smallCaps/>
          <w:color w:val="000000"/>
          <w:sz w:val="22"/>
          <w:szCs w:val="22"/>
        </w:rPr>
        <w:t xml:space="preserve">3.1 </w:t>
      </w:r>
      <w:r w:rsidR="00051FB6" w:rsidRPr="00051FB6">
        <w:rPr>
          <w:rFonts w:ascii="Arial" w:eastAsia="Arial" w:hAnsi="Arial" w:cs="Arial"/>
          <w:b/>
          <w:color w:val="000000"/>
          <w:sz w:val="22"/>
          <w:szCs w:val="22"/>
        </w:rPr>
        <w:t xml:space="preserve">Yield </w:t>
      </w:r>
      <w:r w:rsidR="00D14F1C">
        <w:rPr>
          <w:rFonts w:ascii="Arial" w:eastAsia="Arial" w:hAnsi="Arial" w:cs="Arial"/>
          <w:b/>
          <w:color w:val="000000"/>
          <w:sz w:val="22"/>
          <w:szCs w:val="22"/>
        </w:rPr>
        <w:t>dynamics</w:t>
      </w:r>
      <w:r w:rsidR="00051FB6" w:rsidRPr="00051FB6">
        <w:rPr>
          <w:rFonts w:ascii="Arial" w:eastAsia="Arial" w:hAnsi="Arial" w:cs="Arial"/>
          <w:b/>
          <w:color w:val="000000"/>
          <w:sz w:val="22"/>
          <w:szCs w:val="22"/>
        </w:rPr>
        <w:t xml:space="preserve"> of </w:t>
      </w:r>
      <w:proofErr w:type="spellStart"/>
      <w:r w:rsidR="00051FB6" w:rsidRPr="00051FB6">
        <w:rPr>
          <w:rFonts w:ascii="Arial" w:eastAsia="Arial" w:hAnsi="Arial" w:cs="Arial"/>
          <w:b/>
          <w:color w:val="000000"/>
          <w:sz w:val="22"/>
          <w:szCs w:val="22"/>
        </w:rPr>
        <w:t>Liberica</w:t>
      </w:r>
      <w:proofErr w:type="spellEnd"/>
      <w:r w:rsidR="00051FB6" w:rsidRPr="00051FB6">
        <w:rPr>
          <w:rFonts w:ascii="Arial" w:eastAsia="Arial" w:hAnsi="Arial" w:cs="Arial"/>
          <w:b/>
          <w:color w:val="000000"/>
          <w:sz w:val="22"/>
          <w:szCs w:val="22"/>
        </w:rPr>
        <w:t xml:space="preserve"> </w:t>
      </w:r>
      <w:r w:rsidR="00D14F1C">
        <w:rPr>
          <w:rFonts w:ascii="Arial" w:eastAsia="Arial" w:hAnsi="Arial" w:cs="Arial"/>
          <w:b/>
          <w:color w:val="000000"/>
          <w:sz w:val="22"/>
          <w:szCs w:val="22"/>
        </w:rPr>
        <w:t xml:space="preserve">coffee </w:t>
      </w:r>
      <w:r w:rsidR="00051FB6" w:rsidRPr="00051FB6">
        <w:rPr>
          <w:rFonts w:ascii="Arial" w:eastAsia="Arial" w:hAnsi="Arial" w:cs="Arial"/>
          <w:b/>
          <w:color w:val="000000"/>
          <w:sz w:val="22"/>
          <w:szCs w:val="22"/>
        </w:rPr>
        <w:t>clones in relation to disease severity</w:t>
      </w:r>
    </w:p>
    <w:p w14:paraId="46C2E6D1" w14:textId="7C185FC5" w:rsidR="00C86D99" w:rsidRDefault="006A3A2E" w:rsidP="00C86D99">
      <w:pPr>
        <w:spacing w:line="276" w:lineRule="auto"/>
        <w:jc w:val="both"/>
        <w:rPr>
          <w:rFonts w:ascii="Arial" w:eastAsia="Arial" w:hAnsi="Arial" w:cs="Arial"/>
          <w:color w:val="000000"/>
        </w:rPr>
      </w:pPr>
      <w:bookmarkStart w:id="2" w:name="_heading=h.3znysh7" w:colFirst="0" w:colLast="0"/>
      <w:bookmarkEnd w:id="2"/>
      <w:r w:rsidRPr="006A3A2E">
        <w:rPr>
          <w:rFonts w:ascii="Arial" w:eastAsia="Arial" w:hAnsi="Arial" w:cs="Arial"/>
          <w:color w:val="000000"/>
        </w:rPr>
        <w:t>The monthly progression of coffee leaf rust (CLR) severity and berry yield across five</w:t>
      </w:r>
      <w:r>
        <w:rPr>
          <w:rFonts w:ascii="Arial" w:eastAsia="Arial" w:hAnsi="Arial" w:cs="Arial"/>
          <w:color w:val="000000"/>
        </w:rPr>
        <w:t xml:space="preserve"> </w:t>
      </w:r>
      <w:proofErr w:type="spellStart"/>
      <w:r w:rsidR="00226E1C" w:rsidRPr="00BD554D">
        <w:rPr>
          <w:rFonts w:ascii="Arial" w:eastAsia="Arial" w:hAnsi="Arial" w:cs="Arial"/>
          <w:i/>
          <w:iCs/>
          <w:color w:val="000000"/>
        </w:rPr>
        <w:t>Coffea</w:t>
      </w:r>
      <w:proofErr w:type="spellEnd"/>
      <w:r w:rsidR="00226E1C" w:rsidRPr="00BD554D">
        <w:rPr>
          <w:rFonts w:ascii="Arial" w:eastAsia="Arial" w:hAnsi="Arial" w:cs="Arial"/>
          <w:i/>
          <w:iCs/>
          <w:color w:val="000000"/>
        </w:rPr>
        <w:t xml:space="preserve"> </w:t>
      </w:r>
      <w:proofErr w:type="spellStart"/>
      <w:r w:rsidR="00226E1C" w:rsidRPr="00BD554D">
        <w:rPr>
          <w:rFonts w:ascii="Arial" w:eastAsia="Arial" w:hAnsi="Arial" w:cs="Arial"/>
          <w:i/>
          <w:iCs/>
          <w:color w:val="000000"/>
        </w:rPr>
        <w:t>liberica</w:t>
      </w:r>
      <w:proofErr w:type="spellEnd"/>
      <w:r w:rsidR="00226E1C" w:rsidRPr="00226E1C">
        <w:rPr>
          <w:rFonts w:ascii="Arial" w:eastAsia="Arial" w:hAnsi="Arial" w:cs="Arial"/>
          <w:color w:val="000000"/>
        </w:rPr>
        <w:t xml:space="preserve"> clones </w:t>
      </w:r>
      <w:r w:rsidR="00AA70B0" w:rsidRPr="00AA70B0">
        <w:rPr>
          <w:rFonts w:ascii="Arial" w:eastAsia="Arial" w:hAnsi="Arial" w:cs="Arial"/>
          <w:color w:val="000000"/>
        </w:rPr>
        <w:t xml:space="preserve">(211, 213, 222, 224, and MKL 7) </w:t>
      </w:r>
      <w:r w:rsidRPr="006A3A2E">
        <w:rPr>
          <w:rFonts w:ascii="Arial" w:eastAsia="Arial" w:hAnsi="Arial" w:cs="Arial"/>
          <w:color w:val="000000"/>
        </w:rPr>
        <w:t xml:space="preserve">over two years revealed distinct clonal differences in disease response and productivity </w:t>
      </w:r>
      <w:r w:rsidR="00226E1C" w:rsidRPr="00226E1C">
        <w:rPr>
          <w:rFonts w:ascii="Arial" w:eastAsia="Arial" w:hAnsi="Arial" w:cs="Arial"/>
          <w:color w:val="000000"/>
        </w:rPr>
        <w:t xml:space="preserve">(Figure </w:t>
      </w:r>
      <w:r w:rsidR="00587FEE">
        <w:rPr>
          <w:rFonts w:ascii="Arial" w:eastAsia="Arial" w:hAnsi="Arial" w:cs="Arial"/>
          <w:color w:val="000000"/>
        </w:rPr>
        <w:t>1</w:t>
      </w:r>
      <w:r w:rsidR="00226E1C" w:rsidRPr="00226E1C">
        <w:rPr>
          <w:rFonts w:ascii="Arial" w:eastAsia="Arial" w:hAnsi="Arial" w:cs="Arial"/>
          <w:color w:val="000000"/>
        </w:rPr>
        <w:t>).</w:t>
      </w:r>
    </w:p>
    <w:p w14:paraId="2036450D" w14:textId="77777777" w:rsidR="00AA70B0" w:rsidRPr="00C86D99" w:rsidRDefault="00AA70B0" w:rsidP="00C86D99">
      <w:pPr>
        <w:spacing w:line="276" w:lineRule="auto"/>
        <w:jc w:val="both"/>
        <w:rPr>
          <w:rFonts w:ascii="Arial" w:eastAsia="Arial" w:hAnsi="Arial" w:cs="Arial"/>
          <w:color w:val="000000"/>
        </w:rPr>
      </w:pPr>
    </w:p>
    <w:p w14:paraId="71D75653" w14:textId="33EBF60E" w:rsidR="00AA70B0" w:rsidRPr="00AA70B0" w:rsidRDefault="00AA70B0" w:rsidP="00E77C2D">
      <w:pPr>
        <w:pBdr>
          <w:top w:val="nil"/>
          <w:left w:val="nil"/>
          <w:bottom w:val="nil"/>
          <w:right w:val="nil"/>
          <w:between w:val="nil"/>
        </w:pBdr>
        <w:spacing w:line="276" w:lineRule="auto"/>
        <w:jc w:val="both"/>
        <w:rPr>
          <w:rFonts w:ascii="Arial" w:eastAsia="Arial" w:hAnsi="Arial" w:cs="Arial"/>
          <w:color w:val="000000"/>
        </w:rPr>
      </w:pPr>
      <w:r w:rsidRPr="00AA70B0">
        <w:rPr>
          <w:rFonts w:ascii="Arial" w:eastAsia="Arial" w:hAnsi="Arial" w:cs="Arial"/>
          <w:color w:val="000000"/>
        </w:rPr>
        <w:t xml:space="preserve">In Year 1 (July 2021–June 2022), </w:t>
      </w:r>
      <w:r w:rsidR="00226E1C" w:rsidRPr="00226E1C">
        <w:rPr>
          <w:rFonts w:ascii="Arial" w:eastAsia="Arial" w:hAnsi="Arial" w:cs="Arial"/>
          <w:color w:val="000000"/>
        </w:rPr>
        <w:t xml:space="preserve">clone 213 consistently demonstrated superior performance, maintaining the lowest disease severity index (DSI, 3.4–17.0%) while also achieving the highest </w:t>
      </w:r>
      <w:r w:rsidR="007C6016">
        <w:rPr>
          <w:rFonts w:ascii="Arial" w:eastAsia="Arial" w:hAnsi="Arial" w:cs="Arial"/>
          <w:color w:val="000000"/>
        </w:rPr>
        <w:t>yield (</w:t>
      </w:r>
      <w:r w:rsidR="00226E1C" w:rsidRPr="00226E1C">
        <w:rPr>
          <w:rFonts w:ascii="Arial" w:eastAsia="Arial" w:hAnsi="Arial" w:cs="Arial"/>
          <w:color w:val="000000"/>
        </w:rPr>
        <w:t xml:space="preserve">7.58 </w:t>
      </w:r>
      <w:r w:rsidR="003523A9" w:rsidRPr="003523A9">
        <w:rPr>
          <w:rFonts w:ascii="Arial" w:eastAsia="Arial" w:hAnsi="Arial" w:cs="Arial"/>
          <w:color w:val="000000"/>
        </w:rPr>
        <w:t>kg tree</w:t>
      </w:r>
      <w:r w:rsidR="003523A9" w:rsidRPr="003523A9">
        <w:rPr>
          <w:rFonts w:ascii="Cambria Math" w:eastAsia="Arial" w:hAnsi="Cambria Math" w:cs="Cambria Math"/>
          <w:color w:val="000000"/>
        </w:rPr>
        <w:t>⁻</w:t>
      </w:r>
      <w:r w:rsidR="003523A9" w:rsidRPr="003523A9">
        <w:rPr>
          <w:rFonts w:ascii="Arial" w:eastAsia="Arial" w:hAnsi="Arial" w:cs="Arial"/>
          <w:color w:val="000000"/>
        </w:rPr>
        <w:t>¹</w:t>
      </w:r>
      <w:r w:rsidR="003523A9">
        <w:rPr>
          <w:rFonts w:ascii="Arial" w:eastAsia="Arial" w:hAnsi="Arial" w:cs="Arial"/>
          <w:color w:val="000000"/>
        </w:rPr>
        <w:t xml:space="preserve"> </w:t>
      </w:r>
      <w:r w:rsidR="00226E1C" w:rsidRPr="00226E1C">
        <w:rPr>
          <w:rFonts w:ascii="Arial" w:eastAsia="Arial" w:hAnsi="Arial" w:cs="Arial"/>
          <w:color w:val="000000"/>
        </w:rPr>
        <w:t>by June 2022</w:t>
      </w:r>
      <w:r w:rsidR="007C6016">
        <w:rPr>
          <w:rFonts w:ascii="Arial" w:eastAsia="Arial" w:hAnsi="Arial" w:cs="Arial"/>
          <w:color w:val="000000"/>
        </w:rPr>
        <w:t>)</w:t>
      </w:r>
      <w:r w:rsidR="00226E1C" w:rsidRPr="00226E1C">
        <w:rPr>
          <w:rFonts w:ascii="Arial" w:eastAsia="Arial" w:hAnsi="Arial" w:cs="Arial"/>
          <w:color w:val="000000"/>
        </w:rPr>
        <w:t xml:space="preserve">. This </w:t>
      </w:r>
      <w:r w:rsidR="006A3A2E">
        <w:rPr>
          <w:rFonts w:ascii="Arial" w:eastAsia="Arial" w:hAnsi="Arial" w:cs="Arial"/>
          <w:color w:val="000000"/>
        </w:rPr>
        <w:t>indicate</w:t>
      </w:r>
      <w:r w:rsidR="00226E1C" w:rsidRPr="00226E1C">
        <w:rPr>
          <w:rFonts w:ascii="Arial" w:eastAsia="Arial" w:hAnsi="Arial" w:cs="Arial"/>
          <w:color w:val="000000"/>
        </w:rPr>
        <w:t xml:space="preserve">s that clone 213 possesses </w:t>
      </w:r>
      <w:r w:rsidR="007C6016">
        <w:rPr>
          <w:rFonts w:ascii="Arial" w:eastAsia="Arial" w:hAnsi="Arial" w:cs="Arial"/>
          <w:color w:val="000000"/>
        </w:rPr>
        <w:t>strong</w:t>
      </w:r>
      <w:r w:rsidR="00226E1C" w:rsidRPr="00226E1C">
        <w:rPr>
          <w:rFonts w:ascii="Arial" w:eastAsia="Arial" w:hAnsi="Arial" w:cs="Arial"/>
          <w:color w:val="000000"/>
        </w:rPr>
        <w:t xml:space="preserve"> resistance to </w:t>
      </w:r>
      <w:proofErr w:type="spellStart"/>
      <w:r w:rsidR="00226E1C" w:rsidRPr="00BD554D">
        <w:rPr>
          <w:rFonts w:ascii="Arial" w:eastAsia="Arial" w:hAnsi="Arial" w:cs="Arial"/>
          <w:i/>
          <w:iCs/>
          <w:color w:val="000000"/>
        </w:rPr>
        <w:t>Hemileia</w:t>
      </w:r>
      <w:proofErr w:type="spellEnd"/>
      <w:r w:rsidR="00226E1C" w:rsidRPr="00BD554D">
        <w:rPr>
          <w:rFonts w:ascii="Arial" w:eastAsia="Arial" w:hAnsi="Arial" w:cs="Arial"/>
          <w:i/>
          <w:iCs/>
          <w:color w:val="000000"/>
        </w:rPr>
        <w:t xml:space="preserve"> </w:t>
      </w:r>
      <w:proofErr w:type="spellStart"/>
      <w:r w:rsidR="00226E1C" w:rsidRPr="00BD554D">
        <w:rPr>
          <w:rFonts w:ascii="Arial" w:eastAsia="Arial" w:hAnsi="Arial" w:cs="Arial"/>
          <w:i/>
          <w:iCs/>
          <w:color w:val="000000"/>
        </w:rPr>
        <w:t>vastatrix</w:t>
      </w:r>
      <w:proofErr w:type="spellEnd"/>
      <w:r w:rsidR="00226E1C" w:rsidRPr="00226E1C">
        <w:rPr>
          <w:rFonts w:ascii="Arial" w:eastAsia="Arial" w:hAnsi="Arial" w:cs="Arial"/>
          <w:color w:val="000000"/>
        </w:rPr>
        <w:t xml:space="preserve">, enabling it to sustain photosynthetic activity and allocate sufficient assimilates toward berry development </w:t>
      </w:r>
      <w:r w:rsidR="006A3A2E" w:rsidRPr="006A3A2E">
        <w:rPr>
          <w:rFonts w:ascii="Arial" w:eastAsia="Arial" w:hAnsi="Arial" w:cs="Arial"/>
          <w:color w:val="000000"/>
        </w:rPr>
        <w:t>despite infection pressure</w:t>
      </w:r>
      <w:r w:rsidR="00226E1C" w:rsidRPr="00226E1C">
        <w:rPr>
          <w:rFonts w:ascii="Arial" w:eastAsia="Arial" w:hAnsi="Arial" w:cs="Arial"/>
          <w:color w:val="000000"/>
        </w:rPr>
        <w:t>.</w:t>
      </w:r>
      <w:r w:rsidR="00226E1C">
        <w:rPr>
          <w:rFonts w:ascii="Arial" w:eastAsia="Arial" w:hAnsi="Arial" w:cs="Arial"/>
          <w:color w:val="000000"/>
        </w:rPr>
        <w:t xml:space="preserve"> </w:t>
      </w:r>
      <w:r w:rsidR="006A3A2E" w:rsidRPr="006A3A2E">
        <w:rPr>
          <w:rFonts w:ascii="Arial" w:eastAsia="Arial" w:hAnsi="Arial" w:cs="Arial"/>
          <w:color w:val="000000"/>
        </w:rPr>
        <w:t>Such performance supports earlier reports</w:t>
      </w:r>
      <w:r w:rsidR="003523A9">
        <w:rPr>
          <w:rFonts w:ascii="Arial" w:eastAsia="Arial" w:hAnsi="Arial" w:cs="Arial"/>
          <w:color w:val="000000"/>
        </w:rPr>
        <w:t xml:space="preserve"> by</w:t>
      </w:r>
      <w:r w:rsidR="006A3A2E" w:rsidRPr="006A3A2E">
        <w:rPr>
          <w:rFonts w:ascii="Arial" w:eastAsia="Arial" w:hAnsi="Arial" w:cs="Arial"/>
          <w:color w:val="000000"/>
        </w:rPr>
        <w:t xml:space="preserve"> </w:t>
      </w:r>
      <w:r w:rsidR="003523A9">
        <w:rPr>
          <w:rFonts w:ascii="Arial" w:eastAsia="Arial" w:hAnsi="Arial" w:cs="Arial"/>
          <w:color w:val="000000"/>
        </w:rPr>
        <w:fldChar w:fldCharType="begin" w:fldLock="1"/>
      </w:r>
      <w:r w:rsidR="003523A9">
        <w:rPr>
          <w:rFonts w:ascii="Arial" w:eastAsia="Arial" w:hAnsi="Arial" w:cs="Arial"/>
          <w:color w:val="000000"/>
        </w:rPr>
        <w:instrText>ADDIN CSL_CITATION {"citationItems":[{"id":"ITEM-1","itemData":{"DOI":"10.4195/nse2019.01.0102","ISSN":"21688281","author":[{"dropping-particle":"","family":"Sanders","given":"Morgan","non-dropping-particle":"","parse-names":false,"suffix":""}],"container-title":"Natural Sciences Education","id":"ITEM-1","issue":"1","issued":{"date-parts":[["2019"]]},"page":"1-3","title":"Breeding for coffee leaf rust resilience in &lt;i&gt;Coffea sp&lt;/i&gt;.","type":"article-journal","volume":"48"},"uris":["http://www.mendeley.com/documents/?uuid=61b4ce24-78b5-4d2a-b95c-8e704e382ecd","http://www.mendeley.com/documents/?uuid=93e5deb9-5121-471d-b5c1-1ee5fa32514b"]}],"mendeley":{"formattedCitation":"(Sanders, 2019)","manualFormatting":"Sanders (2019)","plainTextFormattedCitation":"(Sanders, 2019)","previouslyFormattedCitation":"(Sanders, 2019)"},"properties":{"noteIndex":0},"schema":"https://github.com/citation-style-language/schema/raw/master/csl-citation.json"}</w:instrText>
      </w:r>
      <w:r w:rsidR="003523A9">
        <w:rPr>
          <w:rFonts w:ascii="Arial" w:eastAsia="Arial" w:hAnsi="Arial" w:cs="Arial"/>
          <w:color w:val="000000"/>
        </w:rPr>
        <w:fldChar w:fldCharType="separate"/>
      </w:r>
      <w:r w:rsidR="003523A9" w:rsidRPr="00782BA8">
        <w:rPr>
          <w:rFonts w:ascii="Arial" w:eastAsia="Arial" w:hAnsi="Arial" w:cs="Arial"/>
          <w:noProof/>
          <w:color w:val="000000"/>
        </w:rPr>
        <w:t xml:space="preserve">Sanders </w:t>
      </w:r>
      <w:r w:rsidR="003523A9">
        <w:rPr>
          <w:rFonts w:ascii="Arial" w:eastAsia="Arial" w:hAnsi="Arial" w:cs="Arial"/>
          <w:noProof/>
          <w:color w:val="000000"/>
        </w:rPr>
        <w:t>(</w:t>
      </w:r>
      <w:r w:rsidR="003523A9" w:rsidRPr="00782BA8">
        <w:rPr>
          <w:rFonts w:ascii="Arial" w:eastAsia="Arial" w:hAnsi="Arial" w:cs="Arial"/>
          <w:noProof/>
          <w:color w:val="000000"/>
        </w:rPr>
        <w:t>2019)</w:t>
      </w:r>
      <w:r w:rsidR="003523A9">
        <w:rPr>
          <w:rFonts w:ascii="Arial" w:eastAsia="Arial" w:hAnsi="Arial" w:cs="Arial"/>
          <w:color w:val="000000"/>
        </w:rPr>
        <w:fldChar w:fldCharType="end"/>
      </w:r>
      <w:r w:rsidR="003523A9">
        <w:rPr>
          <w:rFonts w:ascii="Arial" w:eastAsia="Arial" w:hAnsi="Arial" w:cs="Arial"/>
          <w:color w:val="000000"/>
        </w:rPr>
        <w:t xml:space="preserve"> </w:t>
      </w:r>
      <w:r w:rsidR="006A3A2E" w:rsidRPr="006A3A2E">
        <w:rPr>
          <w:rFonts w:ascii="Arial" w:eastAsia="Arial" w:hAnsi="Arial" w:cs="Arial"/>
          <w:color w:val="000000"/>
        </w:rPr>
        <w:t>that resistant genotypes can minimize yield losses from CLR</w:t>
      </w:r>
      <w:bookmarkStart w:id="3" w:name="_Hlk196855380"/>
      <w:r w:rsidR="00C87F7E">
        <w:rPr>
          <w:rFonts w:ascii="Arial" w:eastAsia="Arial" w:hAnsi="Arial" w:cs="Arial"/>
          <w:color w:val="000000"/>
        </w:rPr>
        <w:t>.</w:t>
      </w:r>
      <w:bookmarkEnd w:id="3"/>
      <w:r w:rsidR="00C87F7E">
        <w:rPr>
          <w:rFonts w:ascii="Arial" w:eastAsia="Arial" w:hAnsi="Arial" w:cs="Arial"/>
          <w:color w:val="000000"/>
        </w:rPr>
        <w:t xml:space="preserve"> </w:t>
      </w:r>
      <w:r w:rsidR="00226E1C" w:rsidRPr="00226E1C">
        <w:rPr>
          <w:rFonts w:ascii="Arial" w:eastAsia="Arial" w:hAnsi="Arial" w:cs="Arial"/>
          <w:color w:val="000000"/>
        </w:rPr>
        <w:t xml:space="preserve">Clone 224 also recorded a high yield peak </w:t>
      </w:r>
      <w:r w:rsidR="007C6016">
        <w:rPr>
          <w:rFonts w:ascii="Arial" w:eastAsia="Arial" w:hAnsi="Arial" w:cs="Arial"/>
          <w:color w:val="000000"/>
        </w:rPr>
        <w:t>(</w:t>
      </w:r>
      <w:r w:rsidR="00226E1C" w:rsidRPr="00226E1C">
        <w:rPr>
          <w:rFonts w:ascii="Arial" w:eastAsia="Arial" w:hAnsi="Arial" w:cs="Arial"/>
          <w:color w:val="000000"/>
        </w:rPr>
        <w:t xml:space="preserve">8.71 </w:t>
      </w:r>
      <w:r w:rsidR="003523A9" w:rsidRPr="003523A9">
        <w:rPr>
          <w:rFonts w:ascii="Arial" w:eastAsia="Arial" w:hAnsi="Arial" w:cs="Arial"/>
          <w:color w:val="000000"/>
        </w:rPr>
        <w:t>kg tree</w:t>
      </w:r>
      <w:r w:rsidR="003523A9" w:rsidRPr="003523A9">
        <w:rPr>
          <w:rFonts w:ascii="Cambria Math" w:eastAsia="Arial" w:hAnsi="Cambria Math" w:cs="Cambria Math"/>
          <w:color w:val="000000"/>
        </w:rPr>
        <w:t>⁻</w:t>
      </w:r>
      <w:r w:rsidR="003523A9" w:rsidRPr="003523A9">
        <w:rPr>
          <w:rFonts w:ascii="Arial" w:eastAsia="Arial" w:hAnsi="Arial" w:cs="Arial"/>
          <w:color w:val="000000"/>
        </w:rPr>
        <w:t>¹</w:t>
      </w:r>
      <w:r w:rsidR="003523A9">
        <w:rPr>
          <w:rFonts w:ascii="Arial" w:eastAsia="Arial" w:hAnsi="Arial" w:cs="Arial"/>
          <w:color w:val="000000"/>
        </w:rPr>
        <w:t xml:space="preserve"> </w:t>
      </w:r>
      <w:r w:rsidR="00226E1C" w:rsidRPr="00226E1C">
        <w:rPr>
          <w:rFonts w:ascii="Arial" w:eastAsia="Arial" w:hAnsi="Arial" w:cs="Arial"/>
          <w:color w:val="000000"/>
        </w:rPr>
        <w:t>in May 2022</w:t>
      </w:r>
      <w:r w:rsidR="007C6016">
        <w:rPr>
          <w:rFonts w:ascii="Arial" w:eastAsia="Arial" w:hAnsi="Arial" w:cs="Arial"/>
          <w:color w:val="000000"/>
        </w:rPr>
        <w:t>)</w:t>
      </w:r>
      <w:r w:rsidR="00226E1C" w:rsidRPr="00226E1C">
        <w:rPr>
          <w:rFonts w:ascii="Arial" w:eastAsia="Arial" w:hAnsi="Arial" w:cs="Arial"/>
          <w:color w:val="000000"/>
        </w:rPr>
        <w:t xml:space="preserve"> despite moderate levels of rust severity (11.9–18.2%)</w:t>
      </w:r>
      <w:r w:rsidR="006A3A2E" w:rsidRPr="006A3A2E">
        <w:rPr>
          <w:rFonts w:ascii="Arial" w:eastAsia="Arial" w:hAnsi="Arial" w:cs="Arial"/>
          <w:color w:val="000000"/>
        </w:rPr>
        <w:t>, suggesting a tolerance mechanism whereby yield is sustained despite disease stress.</w:t>
      </w:r>
      <w:r w:rsidR="006A3A2E">
        <w:rPr>
          <w:rFonts w:ascii="Arial" w:eastAsia="Arial" w:hAnsi="Arial" w:cs="Arial"/>
          <w:color w:val="000000"/>
        </w:rPr>
        <w:t xml:space="preserve"> </w:t>
      </w:r>
      <w:r w:rsidR="00226E1C" w:rsidRPr="00226E1C">
        <w:rPr>
          <w:rFonts w:ascii="Arial" w:eastAsia="Arial" w:hAnsi="Arial" w:cs="Arial"/>
          <w:color w:val="000000"/>
        </w:rPr>
        <w:t xml:space="preserve">In contrast, clones 211 and 222, </w:t>
      </w:r>
      <w:r w:rsidR="006A3A2E">
        <w:rPr>
          <w:rFonts w:ascii="Arial" w:eastAsia="Arial" w:hAnsi="Arial" w:cs="Arial"/>
          <w:color w:val="000000"/>
        </w:rPr>
        <w:t>with</w:t>
      </w:r>
      <w:r w:rsidR="00226E1C" w:rsidRPr="00226E1C">
        <w:rPr>
          <w:rFonts w:ascii="Arial" w:eastAsia="Arial" w:hAnsi="Arial" w:cs="Arial"/>
          <w:color w:val="000000"/>
        </w:rPr>
        <w:t xml:space="preserve"> higher rust </w:t>
      </w:r>
      <w:r w:rsidR="006A3A2E">
        <w:rPr>
          <w:rFonts w:ascii="Arial" w:eastAsia="Arial" w:hAnsi="Arial" w:cs="Arial"/>
          <w:color w:val="000000"/>
        </w:rPr>
        <w:t>severity</w:t>
      </w:r>
      <w:r w:rsidR="00226E1C" w:rsidRPr="00226E1C">
        <w:rPr>
          <w:rFonts w:ascii="Arial" w:eastAsia="Arial" w:hAnsi="Arial" w:cs="Arial"/>
          <w:color w:val="000000"/>
        </w:rPr>
        <w:t xml:space="preserve"> (up to 19.5% and 21.3% DSI, respectively), produced </w:t>
      </w:r>
      <w:r w:rsidR="007C6016">
        <w:rPr>
          <w:rFonts w:ascii="Arial" w:eastAsia="Arial" w:hAnsi="Arial" w:cs="Arial"/>
          <w:color w:val="000000"/>
        </w:rPr>
        <w:t>substantially</w:t>
      </w:r>
      <w:r w:rsidR="00226E1C" w:rsidRPr="00226E1C">
        <w:rPr>
          <w:rFonts w:ascii="Arial" w:eastAsia="Arial" w:hAnsi="Arial" w:cs="Arial"/>
          <w:color w:val="000000"/>
        </w:rPr>
        <w:t xml:space="preserve"> lower yields</w:t>
      </w:r>
      <w:r w:rsidR="006A3A2E">
        <w:rPr>
          <w:rFonts w:ascii="Arial" w:eastAsia="Arial" w:hAnsi="Arial" w:cs="Arial"/>
          <w:color w:val="000000"/>
        </w:rPr>
        <w:t xml:space="preserve"> (</w:t>
      </w:r>
      <w:r w:rsidR="00226E1C" w:rsidRPr="00226E1C">
        <w:rPr>
          <w:rFonts w:ascii="Arial" w:eastAsia="Arial" w:hAnsi="Arial" w:cs="Arial"/>
          <w:color w:val="000000"/>
        </w:rPr>
        <w:t xml:space="preserve">4.71 and 4.17 </w:t>
      </w:r>
      <w:r w:rsidR="003523A9" w:rsidRPr="003523A9">
        <w:rPr>
          <w:rFonts w:ascii="Arial" w:eastAsia="Arial" w:hAnsi="Arial" w:cs="Arial"/>
          <w:color w:val="000000"/>
        </w:rPr>
        <w:t>kg tree</w:t>
      </w:r>
      <w:r w:rsidR="003523A9" w:rsidRPr="003523A9">
        <w:rPr>
          <w:rFonts w:ascii="Cambria Math" w:eastAsia="Arial" w:hAnsi="Cambria Math" w:cs="Cambria Math"/>
          <w:color w:val="000000"/>
        </w:rPr>
        <w:t>⁻</w:t>
      </w:r>
      <w:r w:rsidR="003523A9" w:rsidRPr="003523A9">
        <w:rPr>
          <w:rFonts w:ascii="Arial" w:eastAsia="Arial" w:hAnsi="Arial" w:cs="Arial"/>
          <w:color w:val="000000"/>
        </w:rPr>
        <w:t>¹</w:t>
      </w:r>
      <w:r w:rsidR="003523A9">
        <w:rPr>
          <w:rFonts w:ascii="Arial" w:eastAsia="Arial" w:hAnsi="Arial" w:cs="Arial"/>
          <w:color w:val="000000"/>
        </w:rPr>
        <w:t xml:space="preserve"> </w:t>
      </w:r>
      <w:r w:rsidR="006A3A2E">
        <w:t>at peak)</w:t>
      </w:r>
      <w:r w:rsidR="006A3A2E" w:rsidRPr="006A3A2E">
        <w:rPr>
          <w:rFonts w:ascii="Arial" w:eastAsia="Arial" w:hAnsi="Arial" w:cs="Arial"/>
          <w:color w:val="000000"/>
        </w:rPr>
        <w:t>, consistent with the negative effects of rust on photosynthesis, assimilate supply and fruit development</w:t>
      </w:r>
      <w:r w:rsidR="006A3A2E">
        <w:rPr>
          <w:rFonts w:ascii="Arial" w:eastAsia="Arial" w:hAnsi="Arial" w:cs="Arial"/>
          <w:color w:val="000000"/>
        </w:rPr>
        <w:t xml:space="preserve"> </w:t>
      </w:r>
      <w:r w:rsidR="00F932CE">
        <w:rPr>
          <w:rFonts w:ascii="Arial" w:hAnsi="Arial" w:cs="Arial"/>
        </w:rPr>
        <w:fldChar w:fldCharType="begin" w:fldLock="1"/>
      </w:r>
      <w:r w:rsidR="00F932CE">
        <w:rPr>
          <w:rFonts w:ascii="Arial" w:hAnsi="Arial" w:cs="Arial"/>
        </w:rPr>
        <w:instrText>ADDIN CSL_CITATION {"citationItems":[{"id":"ITEM-1","itemData":{"author":[{"dropping-particle":"","family":"Ribeyre","given":"Fabienne","non-dropping-particle":"","parse-names":false,"suffix":""},{"dropping-particle":"","family":"Avelino","given":"Jacques","non-dropping-particle":"","parse-names":false,"suffix":""}],"container-title":"Specialty coffee: managing quality","id":"ITEM-1","issue":"January","issued":{"date-parts":[["2012"]]},"page":"151 - 176","title":"Impact of field pests and diseases on coffee quality","type":"article-journal"},"uris":["http://www.mendeley.com/documents/?uuid=fc031505-3a5b-4af7-a668-dc9ea858e9f9","http://www.mendeley.com/documents/?uuid=b926dc47-06f0-4c4b-bbb0-292ee6753bbe"]}],"mendeley":{"formattedCitation":"(Ribeyre &amp; Avelino, 2012)","plainTextFormattedCitation":"(Ribeyre &amp; Avelino, 2012)","previouslyFormattedCitation":"(Ribeyre &amp; Avelino, 2012)"},"properties":{"noteIndex":0},"schema":"https://github.com/citation-style-language/schema/raw/master/csl-citation.json"}</w:instrText>
      </w:r>
      <w:r w:rsidR="00F932CE">
        <w:rPr>
          <w:rFonts w:ascii="Arial" w:hAnsi="Arial" w:cs="Arial"/>
        </w:rPr>
        <w:fldChar w:fldCharType="separate"/>
      </w:r>
      <w:r w:rsidR="00F932CE" w:rsidRPr="00F72588">
        <w:rPr>
          <w:rFonts w:ascii="Arial" w:hAnsi="Arial" w:cs="Arial"/>
          <w:noProof/>
        </w:rPr>
        <w:t>(Ribeyre &amp; Avelino, 2012)</w:t>
      </w:r>
      <w:r w:rsidR="00F932CE">
        <w:rPr>
          <w:rFonts w:ascii="Arial" w:hAnsi="Arial" w:cs="Arial"/>
        </w:rPr>
        <w:fldChar w:fldCharType="end"/>
      </w:r>
      <w:r w:rsidR="00F932CE">
        <w:rPr>
          <w:rFonts w:ascii="Arial" w:hAnsi="Arial" w:cs="Arial"/>
        </w:rPr>
        <w:t>.</w:t>
      </w:r>
      <w:r w:rsidR="00E77C2D">
        <w:rPr>
          <w:rFonts w:ascii="Arial" w:hAnsi="Arial" w:cs="Arial"/>
        </w:rPr>
        <w:t xml:space="preserve"> </w:t>
      </w:r>
      <w:r w:rsidR="00226E1C" w:rsidRPr="00226E1C">
        <w:rPr>
          <w:rFonts w:ascii="Arial" w:eastAsia="Arial" w:hAnsi="Arial" w:cs="Arial"/>
          <w:color w:val="000000"/>
        </w:rPr>
        <w:t xml:space="preserve">The control clone, MKL 7, </w:t>
      </w:r>
      <w:r w:rsidR="001A60DA">
        <w:rPr>
          <w:rFonts w:ascii="Arial" w:eastAsia="Arial" w:hAnsi="Arial" w:cs="Arial"/>
          <w:color w:val="000000"/>
        </w:rPr>
        <w:t>showed</w:t>
      </w:r>
      <w:r w:rsidR="00226E1C" w:rsidRPr="00226E1C">
        <w:rPr>
          <w:rFonts w:ascii="Arial" w:eastAsia="Arial" w:hAnsi="Arial" w:cs="Arial"/>
          <w:color w:val="000000"/>
        </w:rPr>
        <w:t xml:space="preserve"> moderate rust infection (7.8–18.2% DSI) but remained consistently less productive, with its maximum yield reaching only 3.51 </w:t>
      </w:r>
      <w:r w:rsidR="003523A9" w:rsidRPr="003523A9">
        <w:rPr>
          <w:rFonts w:ascii="Arial" w:eastAsia="Arial" w:hAnsi="Arial" w:cs="Arial"/>
          <w:color w:val="000000"/>
        </w:rPr>
        <w:t>kg tree</w:t>
      </w:r>
      <w:r w:rsidR="003523A9" w:rsidRPr="003523A9">
        <w:rPr>
          <w:rFonts w:ascii="Cambria Math" w:eastAsia="Arial" w:hAnsi="Cambria Math" w:cs="Cambria Math"/>
          <w:color w:val="000000"/>
        </w:rPr>
        <w:t>⁻</w:t>
      </w:r>
      <w:r w:rsidR="003523A9" w:rsidRPr="003523A9">
        <w:rPr>
          <w:rFonts w:ascii="Arial" w:eastAsia="Arial" w:hAnsi="Arial" w:cs="Arial"/>
          <w:color w:val="000000"/>
        </w:rPr>
        <w:t>¹</w:t>
      </w:r>
      <w:r w:rsidR="00226E1C" w:rsidRPr="00226E1C">
        <w:rPr>
          <w:rFonts w:ascii="Arial" w:eastAsia="Arial" w:hAnsi="Arial" w:cs="Arial"/>
          <w:color w:val="000000"/>
        </w:rPr>
        <w:t>.</w:t>
      </w:r>
    </w:p>
    <w:p w14:paraId="6D1790D5" w14:textId="77777777" w:rsidR="00AA70B0" w:rsidRPr="00AA70B0" w:rsidRDefault="00AA70B0" w:rsidP="00AA70B0">
      <w:pPr>
        <w:spacing w:line="276" w:lineRule="auto"/>
        <w:jc w:val="both"/>
        <w:rPr>
          <w:rFonts w:ascii="Arial" w:eastAsia="Arial" w:hAnsi="Arial" w:cs="Arial"/>
          <w:color w:val="000000"/>
        </w:rPr>
      </w:pPr>
    </w:p>
    <w:p w14:paraId="38FEAF20" w14:textId="15D105D4" w:rsidR="00226E1C" w:rsidRPr="00226E1C" w:rsidRDefault="00226E1C" w:rsidP="00226E1C">
      <w:pPr>
        <w:spacing w:line="276" w:lineRule="auto"/>
        <w:jc w:val="both"/>
        <w:rPr>
          <w:rFonts w:ascii="Arial" w:eastAsia="Arial" w:hAnsi="Arial" w:cs="Arial"/>
          <w:color w:val="000000"/>
        </w:rPr>
      </w:pPr>
      <w:r w:rsidRPr="00226E1C">
        <w:rPr>
          <w:rFonts w:ascii="Arial" w:eastAsia="Arial" w:hAnsi="Arial" w:cs="Arial"/>
          <w:color w:val="000000"/>
        </w:rPr>
        <w:t xml:space="preserve">By Year 2 </w:t>
      </w:r>
      <w:r w:rsidR="00AA70B0" w:rsidRPr="00AA70B0">
        <w:rPr>
          <w:rFonts w:ascii="Arial" w:eastAsia="Arial" w:hAnsi="Arial" w:cs="Arial"/>
          <w:color w:val="000000"/>
        </w:rPr>
        <w:t xml:space="preserve">(July 2022–June 2023), </w:t>
      </w:r>
      <w:r w:rsidRPr="00226E1C">
        <w:rPr>
          <w:rFonts w:ascii="Arial" w:eastAsia="Arial" w:hAnsi="Arial" w:cs="Arial"/>
          <w:color w:val="000000"/>
        </w:rPr>
        <w:t xml:space="preserve">yield declines across all clones, reflecting the biennial bearing nature of coffee </w:t>
      </w:r>
      <w:r w:rsidR="001A60DA">
        <w:rPr>
          <w:rFonts w:ascii="Arial" w:eastAsia="Arial" w:hAnsi="Arial" w:cs="Arial"/>
          <w:color w:val="000000"/>
        </w:rPr>
        <w:t>and</w:t>
      </w:r>
      <w:r w:rsidRPr="00226E1C">
        <w:rPr>
          <w:rFonts w:ascii="Arial" w:eastAsia="Arial" w:hAnsi="Arial" w:cs="Arial"/>
          <w:color w:val="000000"/>
        </w:rPr>
        <w:t xml:space="preserve"> the c</w:t>
      </w:r>
      <w:r w:rsidR="007C6016">
        <w:rPr>
          <w:rFonts w:ascii="Arial" w:eastAsia="Arial" w:hAnsi="Arial" w:cs="Arial"/>
          <w:color w:val="000000"/>
        </w:rPr>
        <w:t>umulative</w:t>
      </w:r>
      <w:r w:rsidRPr="00226E1C">
        <w:rPr>
          <w:rFonts w:ascii="Arial" w:eastAsia="Arial" w:hAnsi="Arial" w:cs="Arial"/>
          <w:color w:val="000000"/>
        </w:rPr>
        <w:t xml:space="preserve"> effects of </w:t>
      </w:r>
      <w:r w:rsidR="007C6016">
        <w:rPr>
          <w:rFonts w:ascii="Arial" w:eastAsia="Arial" w:hAnsi="Arial" w:cs="Arial"/>
          <w:color w:val="000000"/>
        </w:rPr>
        <w:t>disease stress</w:t>
      </w:r>
      <w:r w:rsidRPr="00226E1C">
        <w:rPr>
          <w:rFonts w:ascii="Arial" w:eastAsia="Arial" w:hAnsi="Arial" w:cs="Arial"/>
          <w:color w:val="000000"/>
        </w:rPr>
        <w:t xml:space="preserve">. Despite the overall reduction, clone 213 again </w:t>
      </w:r>
      <w:r w:rsidR="007C6016">
        <w:rPr>
          <w:rFonts w:ascii="Arial" w:eastAsia="Arial" w:hAnsi="Arial" w:cs="Arial"/>
          <w:color w:val="000000"/>
        </w:rPr>
        <w:t>maintained</w:t>
      </w:r>
      <w:r w:rsidRPr="00226E1C">
        <w:rPr>
          <w:rFonts w:ascii="Arial" w:eastAsia="Arial" w:hAnsi="Arial" w:cs="Arial"/>
          <w:color w:val="000000"/>
        </w:rPr>
        <w:t xml:space="preserve"> the lowest rust severity (2.8–6.8% DSI) and the highest yield (2.92 </w:t>
      </w:r>
      <w:r w:rsidR="003523A9" w:rsidRPr="003523A9">
        <w:rPr>
          <w:rFonts w:ascii="Arial" w:eastAsia="Arial" w:hAnsi="Arial" w:cs="Arial"/>
          <w:color w:val="000000"/>
        </w:rPr>
        <w:t>kg tree</w:t>
      </w:r>
      <w:r w:rsidR="003523A9" w:rsidRPr="003523A9">
        <w:rPr>
          <w:rFonts w:ascii="Cambria Math" w:eastAsia="Arial" w:hAnsi="Cambria Math" w:cs="Cambria Math"/>
          <w:color w:val="000000"/>
        </w:rPr>
        <w:t>⁻</w:t>
      </w:r>
      <w:r w:rsidR="003523A9" w:rsidRPr="003523A9">
        <w:rPr>
          <w:rFonts w:ascii="Arial" w:eastAsia="Arial" w:hAnsi="Arial" w:cs="Arial"/>
          <w:color w:val="000000"/>
        </w:rPr>
        <w:t>¹</w:t>
      </w:r>
      <w:r w:rsidR="003523A9">
        <w:rPr>
          <w:rFonts w:ascii="Arial" w:eastAsia="Arial" w:hAnsi="Arial" w:cs="Arial"/>
          <w:color w:val="000000"/>
        </w:rPr>
        <w:t xml:space="preserve"> </w:t>
      </w:r>
      <w:r w:rsidRPr="00226E1C">
        <w:rPr>
          <w:rFonts w:ascii="Arial" w:eastAsia="Arial" w:hAnsi="Arial" w:cs="Arial"/>
          <w:color w:val="000000"/>
        </w:rPr>
        <w:t>in May 2023)</w:t>
      </w:r>
      <w:r w:rsidR="001A60DA" w:rsidRPr="001A60DA">
        <w:rPr>
          <w:rFonts w:ascii="Arial" w:eastAsia="Arial" w:hAnsi="Arial" w:cs="Arial"/>
          <w:color w:val="000000"/>
        </w:rPr>
        <w:t>, confirming its stable resistance and resilience across seasons.</w:t>
      </w:r>
      <w:r>
        <w:rPr>
          <w:rFonts w:ascii="Arial" w:eastAsia="Arial" w:hAnsi="Arial" w:cs="Arial"/>
          <w:color w:val="000000"/>
        </w:rPr>
        <w:t xml:space="preserve"> </w:t>
      </w:r>
      <w:r w:rsidRPr="00226E1C">
        <w:rPr>
          <w:rFonts w:ascii="Arial" w:eastAsia="Arial" w:hAnsi="Arial" w:cs="Arial"/>
          <w:color w:val="000000"/>
        </w:rPr>
        <w:t xml:space="preserve">Meanwhile, clones 211 and 222 suffered severe yield losses by June 2023 </w:t>
      </w:r>
      <w:r w:rsidR="001A60DA">
        <w:rPr>
          <w:rFonts w:ascii="Arial" w:eastAsia="Arial" w:hAnsi="Arial" w:cs="Arial"/>
          <w:color w:val="000000"/>
        </w:rPr>
        <w:t xml:space="preserve">might be </w:t>
      </w:r>
      <w:r w:rsidRPr="00226E1C">
        <w:rPr>
          <w:rFonts w:ascii="Arial" w:eastAsia="Arial" w:hAnsi="Arial" w:cs="Arial"/>
          <w:color w:val="000000"/>
        </w:rPr>
        <w:t xml:space="preserve">due to </w:t>
      </w:r>
      <w:r w:rsidR="007C6016">
        <w:rPr>
          <w:rFonts w:ascii="Arial" w:eastAsia="Arial" w:hAnsi="Arial" w:cs="Arial"/>
          <w:color w:val="000000"/>
        </w:rPr>
        <w:t>high</w:t>
      </w:r>
      <w:r w:rsidRPr="00226E1C">
        <w:rPr>
          <w:rFonts w:ascii="Arial" w:eastAsia="Arial" w:hAnsi="Arial" w:cs="Arial"/>
          <w:color w:val="000000"/>
        </w:rPr>
        <w:t xml:space="preserve"> rust infection. Clone 224, </w:t>
      </w:r>
      <w:r w:rsidR="001A60DA" w:rsidRPr="001A60DA">
        <w:rPr>
          <w:rFonts w:ascii="Arial" w:eastAsia="Arial" w:hAnsi="Arial" w:cs="Arial"/>
          <w:color w:val="000000"/>
        </w:rPr>
        <w:t>though highly productive in Year 1,</w:t>
      </w:r>
      <w:r w:rsidR="001A60DA">
        <w:rPr>
          <w:rFonts w:ascii="Arial" w:eastAsia="Arial" w:hAnsi="Arial" w:cs="Arial"/>
          <w:color w:val="000000"/>
        </w:rPr>
        <w:t xml:space="preserve"> </w:t>
      </w:r>
      <w:r w:rsidR="007C6016">
        <w:rPr>
          <w:rFonts w:ascii="Arial" w:eastAsia="Arial" w:hAnsi="Arial" w:cs="Arial"/>
          <w:color w:val="000000"/>
        </w:rPr>
        <w:t xml:space="preserve">however, </w:t>
      </w:r>
      <w:r w:rsidRPr="00226E1C">
        <w:rPr>
          <w:rFonts w:ascii="Arial" w:eastAsia="Arial" w:hAnsi="Arial" w:cs="Arial"/>
          <w:color w:val="000000"/>
        </w:rPr>
        <w:t xml:space="preserve">experienced a yield drop to 1.24 </w:t>
      </w:r>
      <w:r w:rsidR="003523A9" w:rsidRPr="003523A9">
        <w:rPr>
          <w:rFonts w:ascii="Arial" w:eastAsia="Arial" w:hAnsi="Arial" w:cs="Arial"/>
          <w:color w:val="000000"/>
        </w:rPr>
        <w:t>kg tree</w:t>
      </w:r>
      <w:r w:rsidR="003523A9" w:rsidRPr="003523A9">
        <w:rPr>
          <w:rFonts w:ascii="Cambria Math" w:eastAsia="Arial" w:hAnsi="Cambria Math" w:cs="Cambria Math"/>
          <w:color w:val="000000"/>
        </w:rPr>
        <w:t>⁻</w:t>
      </w:r>
      <w:r w:rsidR="003523A9" w:rsidRPr="003523A9">
        <w:rPr>
          <w:rFonts w:ascii="Arial" w:eastAsia="Arial" w:hAnsi="Arial" w:cs="Arial"/>
          <w:color w:val="000000"/>
        </w:rPr>
        <w:t>¹</w:t>
      </w:r>
      <w:r w:rsidR="003523A9">
        <w:rPr>
          <w:rFonts w:ascii="Arial" w:eastAsia="Arial" w:hAnsi="Arial" w:cs="Arial"/>
          <w:color w:val="000000"/>
        </w:rPr>
        <w:t xml:space="preserve"> </w:t>
      </w:r>
      <w:r w:rsidRPr="00226E1C">
        <w:rPr>
          <w:rFonts w:ascii="Arial" w:eastAsia="Arial" w:hAnsi="Arial" w:cs="Arial"/>
          <w:color w:val="000000"/>
        </w:rPr>
        <w:t xml:space="preserve">in April 2023, </w:t>
      </w:r>
      <w:r w:rsidR="001A60DA" w:rsidRPr="001A60DA">
        <w:rPr>
          <w:rFonts w:ascii="Arial" w:eastAsia="Arial" w:hAnsi="Arial" w:cs="Arial"/>
          <w:color w:val="000000"/>
        </w:rPr>
        <w:t>indicating unstable tolerance.</w:t>
      </w:r>
      <w:r w:rsidR="001A60DA">
        <w:rPr>
          <w:rFonts w:ascii="Arial" w:eastAsia="Arial" w:hAnsi="Arial" w:cs="Arial"/>
          <w:color w:val="000000"/>
        </w:rPr>
        <w:t xml:space="preserve"> </w:t>
      </w:r>
      <w:r w:rsidRPr="00226E1C">
        <w:rPr>
          <w:rFonts w:ascii="Arial" w:eastAsia="Arial" w:hAnsi="Arial" w:cs="Arial"/>
          <w:color w:val="000000"/>
        </w:rPr>
        <w:t xml:space="preserve">Similarly, MKL 7 </w:t>
      </w:r>
      <w:r w:rsidR="001A60DA" w:rsidRPr="001A60DA">
        <w:rPr>
          <w:rFonts w:ascii="Arial" w:eastAsia="Arial" w:hAnsi="Arial" w:cs="Arial"/>
          <w:color w:val="000000"/>
        </w:rPr>
        <w:t xml:space="preserve">showed </w:t>
      </w:r>
      <w:r w:rsidRPr="00226E1C">
        <w:rPr>
          <w:rFonts w:ascii="Arial" w:eastAsia="Arial" w:hAnsi="Arial" w:cs="Arial"/>
          <w:color w:val="000000"/>
        </w:rPr>
        <w:t xml:space="preserve">a transient peak yield of 2.39 </w:t>
      </w:r>
      <w:r w:rsidR="003523A9" w:rsidRPr="003523A9">
        <w:rPr>
          <w:rFonts w:ascii="Arial" w:eastAsia="Arial" w:hAnsi="Arial" w:cs="Arial"/>
          <w:color w:val="000000"/>
        </w:rPr>
        <w:t>kg tree</w:t>
      </w:r>
      <w:r w:rsidR="003523A9" w:rsidRPr="003523A9">
        <w:rPr>
          <w:rFonts w:ascii="Cambria Math" w:eastAsia="Arial" w:hAnsi="Cambria Math" w:cs="Cambria Math"/>
          <w:color w:val="000000"/>
        </w:rPr>
        <w:t>⁻</w:t>
      </w:r>
      <w:r w:rsidR="003523A9" w:rsidRPr="003523A9">
        <w:rPr>
          <w:rFonts w:ascii="Arial" w:eastAsia="Arial" w:hAnsi="Arial" w:cs="Arial"/>
          <w:color w:val="000000"/>
        </w:rPr>
        <w:t>¹</w:t>
      </w:r>
      <w:r w:rsidR="003523A9">
        <w:rPr>
          <w:rFonts w:ascii="Arial" w:eastAsia="Arial" w:hAnsi="Arial" w:cs="Arial"/>
          <w:color w:val="000000"/>
        </w:rPr>
        <w:t xml:space="preserve"> </w:t>
      </w:r>
      <w:r w:rsidRPr="00226E1C">
        <w:rPr>
          <w:rFonts w:ascii="Arial" w:eastAsia="Arial" w:hAnsi="Arial" w:cs="Arial"/>
          <w:color w:val="000000"/>
        </w:rPr>
        <w:t>in October 2022 but d</w:t>
      </w:r>
      <w:r w:rsidR="001A60DA">
        <w:rPr>
          <w:rFonts w:ascii="Arial" w:eastAsia="Arial" w:hAnsi="Arial" w:cs="Arial"/>
          <w:color w:val="000000"/>
        </w:rPr>
        <w:t>ropped</w:t>
      </w:r>
      <w:r w:rsidRPr="00226E1C">
        <w:rPr>
          <w:rFonts w:ascii="Arial" w:eastAsia="Arial" w:hAnsi="Arial" w:cs="Arial"/>
          <w:color w:val="000000"/>
        </w:rPr>
        <w:t xml:space="preserve"> to zero yield by June 2023.</w:t>
      </w:r>
    </w:p>
    <w:p w14:paraId="1D9124D6" w14:textId="77777777" w:rsidR="00226E1C" w:rsidRPr="00226E1C" w:rsidRDefault="00226E1C" w:rsidP="00226E1C">
      <w:pPr>
        <w:spacing w:line="276" w:lineRule="auto"/>
        <w:jc w:val="both"/>
        <w:rPr>
          <w:rFonts w:ascii="Arial" w:eastAsia="Arial" w:hAnsi="Arial" w:cs="Arial"/>
          <w:color w:val="000000"/>
        </w:rPr>
      </w:pPr>
    </w:p>
    <w:p w14:paraId="55CCF4C4" w14:textId="10447D95" w:rsidR="009C1ED2" w:rsidRDefault="004617C9" w:rsidP="004617C9">
      <w:pPr>
        <w:spacing w:line="276" w:lineRule="auto"/>
        <w:jc w:val="both"/>
        <w:rPr>
          <w:rFonts w:ascii="Arial" w:eastAsia="Arial" w:hAnsi="Arial" w:cs="Arial"/>
          <w:color w:val="000000"/>
        </w:rPr>
      </w:pPr>
      <w:r w:rsidRPr="004617C9">
        <w:rPr>
          <w:rFonts w:ascii="Arial" w:eastAsia="Arial" w:hAnsi="Arial" w:cs="Arial"/>
          <w:color w:val="000000"/>
        </w:rPr>
        <w:t>Overall, the</w:t>
      </w:r>
      <w:r w:rsidR="001A60DA">
        <w:rPr>
          <w:rFonts w:ascii="Arial" w:eastAsia="Arial" w:hAnsi="Arial" w:cs="Arial"/>
          <w:color w:val="000000"/>
        </w:rPr>
        <w:t>se</w:t>
      </w:r>
      <w:r w:rsidRPr="004617C9">
        <w:rPr>
          <w:rFonts w:ascii="Arial" w:eastAsia="Arial" w:hAnsi="Arial" w:cs="Arial"/>
          <w:color w:val="000000"/>
        </w:rPr>
        <w:t xml:space="preserve"> results confirm </w:t>
      </w:r>
      <w:r w:rsidR="00226E1C" w:rsidRPr="00226E1C">
        <w:rPr>
          <w:rFonts w:ascii="Arial" w:eastAsia="Arial" w:hAnsi="Arial" w:cs="Arial"/>
          <w:color w:val="000000"/>
        </w:rPr>
        <w:t xml:space="preserve">a negative association between </w:t>
      </w:r>
      <w:r w:rsidR="001A60DA">
        <w:rPr>
          <w:rFonts w:ascii="Arial" w:eastAsia="Arial" w:hAnsi="Arial" w:cs="Arial"/>
          <w:color w:val="000000"/>
        </w:rPr>
        <w:t>CLR</w:t>
      </w:r>
      <w:r w:rsidR="00226E1C" w:rsidRPr="00226E1C">
        <w:rPr>
          <w:rFonts w:ascii="Arial" w:eastAsia="Arial" w:hAnsi="Arial" w:cs="Arial"/>
          <w:color w:val="000000"/>
        </w:rPr>
        <w:t xml:space="preserve"> severity and yield, </w:t>
      </w:r>
      <w:r>
        <w:rPr>
          <w:rFonts w:ascii="Arial" w:eastAsia="Arial" w:hAnsi="Arial" w:cs="Arial"/>
          <w:color w:val="000000"/>
        </w:rPr>
        <w:t>consistent with</w:t>
      </w:r>
      <w:r w:rsidR="00226E1C" w:rsidRPr="00226E1C">
        <w:rPr>
          <w:rFonts w:ascii="Arial" w:eastAsia="Arial" w:hAnsi="Arial" w:cs="Arial"/>
          <w:color w:val="000000"/>
        </w:rPr>
        <w:t xml:space="preserve"> reports </w:t>
      </w:r>
      <w:r w:rsidR="001A60DA" w:rsidRPr="001A60DA">
        <w:rPr>
          <w:rFonts w:ascii="Arial" w:eastAsia="Arial" w:hAnsi="Arial" w:cs="Arial"/>
          <w:color w:val="000000"/>
        </w:rPr>
        <w:t>linking rust epidemics to reduced photosynthetic efficiency, carbohydrate depletion and impaired fruit developmen</w:t>
      </w:r>
      <w:r w:rsidR="001A60DA">
        <w:rPr>
          <w:rFonts w:ascii="Arial" w:eastAsia="Arial" w:hAnsi="Arial" w:cs="Arial"/>
          <w:color w:val="000000"/>
        </w:rPr>
        <w:t>t</w:t>
      </w:r>
      <w:r w:rsidR="001A60DA" w:rsidRPr="001A60DA">
        <w:rPr>
          <w:rFonts w:ascii="Arial" w:eastAsia="Arial" w:hAnsi="Arial" w:cs="Arial"/>
          <w:color w:val="000000"/>
        </w:rPr>
        <w:t xml:space="preserve"> </w:t>
      </w:r>
      <w:r w:rsidR="00226E1C" w:rsidRPr="00226E1C">
        <w:rPr>
          <w:rFonts w:ascii="Arial" w:eastAsia="Arial" w:hAnsi="Arial" w:cs="Arial"/>
          <w:color w:val="000000"/>
        </w:rPr>
        <w:t>(</w:t>
      </w:r>
      <w:proofErr w:type="spellStart"/>
      <w:r w:rsidR="00226E1C" w:rsidRPr="00226E1C">
        <w:rPr>
          <w:rFonts w:ascii="Arial" w:eastAsia="Arial" w:hAnsi="Arial" w:cs="Arial"/>
          <w:color w:val="000000"/>
        </w:rPr>
        <w:t>Ribeyre</w:t>
      </w:r>
      <w:proofErr w:type="spellEnd"/>
      <w:r w:rsidR="00226E1C" w:rsidRPr="00226E1C">
        <w:rPr>
          <w:rFonts w:ascii="Arial" w:eastAsia="Arial" w:hAnsi="Arial" w:cs="Arial"/>
          <w:color w:val="000000"/>
        </w:rPr>
        <w:t xml:space="preserve"> &amp; Avelino, 2012; Silva et al., 2021). </w:t>
      </w:r>
      <w:r w:rsidRPr="004617C9">
        <w:rPr>
          <w:rFonts w:ascii="Arial" w:eastAsia="Arial" w:hAnsi="Arial" w:cs="Arial"/>
          <w:color w:val="000000"/>
        </w:rPr>
        <w:t>Clone 213 emerges as a resilient genotype combining resistance with stable productivity, while clones 224, 211, and 222 illustrate varying degrees of susceptibility or tolerance</w:t>
      </w:r>
      <w:r w:rsidR="001A60DA" w:rsidRPr="001A60DA">
        <w:rPr>
          <w:rFonts w:ascii="Arial" w:eastAsia="Arial" w:hAnsi="Arial" w:cs="Arial"/>
          <w:color w:val="000000"/>
        </w:rPr>
        <w:t xml:space="preserve">, highlighting the importance of integrating genetic resistance into </w:t>
      </w:r>
      <w:proofErr w:type="spellStart"/>
      <w:r w:rsidR="001A60DA" w:rsidRPr="001A60DA">
        <w:rPr>
          <w:rFonts w:ascii="Arial" w:eastAsia="Arial" w:hAnsi="Arial" w:cs="Arial"/>
          <w:color w:val="000000"/>
        </w:rPr>
        <w:t>Liberica</w:t>
      </w:r>
      <w:proofErr w:type="spellEnd"/>
      <w:r w:rsidR="001A60DA" w:rsidRPr="001A60DA">
        <w:rPr>
          <w:rFonts w:ascii="Arial" w:eastAsia="Arial" w:hAnsi="Arial" w:cs="Arial"/>
          <w:color w:val="000000"/>
        </w:rPr>
        <w:t xml:space="preserve"> breeding and management strategies.</w:t>
      </w:r>
    </w:p>
    <w:p w14:paraId="1735DD61" w14:textId="77777777" w:rsidR="00C86D99" w:rsidRDefault="00C86D99" w:rsidP="00C86D99">
      <w:pPr>
        <w:spacing w:line="276" w:lineRule="auto"/>
        <w:jc w:val="both"/>
        <w:rPr>
          <w:rFonts w:ascii="Arial" w:eastAsia="Arial" w:hAnsi="Arial" w:cs="Arial"/>
        </w:rPr>
      </w:pPr>
    </w:p>
    <w:p w14:paraId="32D6DD58" w14:textId="77777777" w:rsidR="009C1ED2" w:rsidRDefault="00E37E9E">
      <w:pPr>
        <w:spacing w:line="276" w:lineRule="auto"/>
        <w:jc w:val="both"/>
        <w:rPr>
          <w:rFonts w:ascii="Arial" w:eastAsia="Arial" w:hAnsi="Arial" w:cs="Arial"/>
        </w:rPr>
      </w:pPr>
      <w:r>
        <w:rPr>
          <w:rFonts w:ascii="Arial" w:eastAsia="Arial" w:hAnsi="Arial" w:cs="Arial"/>
        </w:rPr>
        <w:object w:dxaOrig="3973" w:dyaOrig="2557" w14:anchorId="73FF3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95pt;height:127.6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rism9.Document" ShapeID="_x0000_i1025" DrawAspect="Content" ObjectID="_1817742640" r:id="rId16"/>
        </w:object>
      </w:r>
      <w:r>
        <w:rPr>
          <w:rFonts w:ascii="Arial" w:eastAsia="Arial" w:hAnsi="Arial" w:cs="Arial"/>
        </w:rPr>
        <w:object w:dxaOrig="3973" w:dyaOrig="2557" w14:anchorId="2056888A">
          <v:shape id="_x0000_i1026" type="#_x0000_t75" style="width:198.95pt;height:127.6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rism9.Document" ShapeID="_x0000_i1026" DrawAspect="Content" ObjectID="_1817742641" r:id="rId18"/>
        </w:object>
      </w:r>
    </w:p>
    <w:p w14:paraId="3D07E113" w14:textId="281538B8" w:rsidR="009C1ED2" w:rsidRDefault="00D62381">
      <w:pPr>
        <w:spacing w:line="276" w:lineRule="auto"/>
        <w:jc w:val="both"/>
        <w:rPr>
          <w:rFonts w:ascii="Arial" w:eastAsia="Arial" w:hAnsi="Arial" w:cs="Arial"/>
        </w:rPr>
      </w:pPr>
      <w:r>
        <w:rPr>
          <w:rFonts w:ascii="Arial" w:eastAsia="Arial" w:hAnsi="Arial" w:cs="Arial"/>
        </w:rPr>
        <w:object w:dxaOrig="3973" w:dyaOrig="2557" w14:anchorId="32C0D1B4">
          <v:shape id="_x0000_i1027" type="#_x0000_t75" style="width:198.95pt;height:127.6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rism9.Document" ShapeID="_x0000_i1027" DrawAspect="Content" ObjectID="_1817742642" r:id="rId20"/>
        </w:object>
      </w:r>
      <w:r w:rsidR="00E37E9E">
        <w:rPr>
          <w:rFonts w:ascii="Arial" w:eastAsia="Arial" w:hAnsi="Arial" w:cs="Arial"/>
        </w:rPr>
        <w:object w:dxaOrig="3973" w:dyaOrig="2564" w14:anchorId="2A39A961">
          <v:shape id="_x0000_i1028" type="#_x0000_t75" style="width:198.95pt;height:128.4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rism9.Document" ShapeID="_x0000_i1028" DrawAspect="Content" ObjectID="_1817742643" r:id="rId22"/>
        </w:object>
      </w:r>
    </w:p>
    <w:p w14:paraId="5E146F06" w14:textId="77777777" w:rsidR="009C1ED2" w:rsidRDefault="00E37E9E">
      <w:pPr>
        <w:spacing w:line="276" w:lineRule="auto"/>
        <w:jc w:val="both"/>
        <w:rPr>
          <w:rFonts w:ascii="Arial" w:eastAsia="Arial" w:hAnsi="Arial" w:cs="Arial"/>
        </w:rPr>
      </w:pPr>
      <w:r>
        <w:rPr>
          <w:rFonts w:ascii="Arial" w:eastAsia="Arial" w:hAnsi="Arial" w:cs="Arial"/>
        </w:rPr>
        <w:object w:dxaOrig="3966" w:dyaOrig="2533" w14:anchorId="0123B08E">
          <v:shape id="_x0000_i1029" type="#_x0000_t75" style="width:198.2pt;height:126.9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rism9.Document" ShapeID="_x0000_i1029" DrawAspect="Content" ObjectID="_1817742644" r:id="rId24"/>
        </w:object>
      </w:r>
      <w:r>
        <w:rPr>
          <w:rFonts w:ascii="Arial" w:eastAsia="Arial" w:hAnsi="Arial" w:cs="Arial"/>
        </w:rPr>
        <w:object w:dxaOrig="3973" w:dyaOrig="2541" w14:anchorId="5138E18C">
          <v:shape id="_x0000_i1030" type="#_x0000_t75" style="width:198.95pt;height:126.9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rism9.Document" ShapeID="_x0000_i1030" DrawAspect="Content" ObjectID="_1817742645" r:id="rId26"/>
        </w:object>
      </w:r>
    </w:p>
    <w:p w14:paraId="50F421B4" w14:textId="77777777" w:rsidR="009C1ED2" w:rsidRDefault="00E37E9E">
      <w:pPr>
        <w:spacing w:line="276" w:lineRule="auto"/>
        <w:jc w:val="both"/>
        <w:rPr>
          <w:rFonts w:ascii="Arial" w:eastAsia="Arial" w:hAnsi="Arial" w:cs="Arial"/>
        </w:rPr>
      </w:pPr>
      <w:r>
        <w:rPr>
          <w:rFonts w:ascii="Arial" w:eastAsia="Arial" w:hAnsi="Arial" w:cs="Arial"/>
        </w:rPr>
        <w:object w:dxaOrig="3973" w:dyaOrig="2480" w14:anchorId="0E3186EA">
          <v:shape id="_x0000_i1031" type="#_x0000_t75" style="width:198.95pt;height:123.9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rism9.Document" ShapeID="_x0000_i1031" DrawAspect="Content" ObjectID="_1817742646" r:id="rId28"/>
        </w:object>
      </w:r>
      <w:r>
        <w:rPr>
          <w:rFonts w:ascii="Arial" w:eastAsia="Arial" w:hAnsi="Arial" w:cs="Arial"/>
        </w:rPr>
        <w:object w:dxaOrig="3973" w:dyaOrig="2480" w14:anchorId="1D116FCA">
          <v:shape id="_x0000_i1032" type="#_x0000_t75" style="width:198.95pt;height:123.9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Prism9.Document" ShapeID="_x0000_i1032" DrawAspect="Content" ObjectID="_1817742647" r:id="rId30"/>
        </w:object>
      </w:r>
    </w:p>
    <w:p w14:paraId="4F263F5E" w14:textId="3C353D6C" w:rsidR="009C1ED2" w:rsidRDefault="00E37E9E">
      <w:pPr>
        <w:spacing w:line="276" w:lineRule="auto"/>
        <w:jc w:val="both"/>
        <w:rPr>
          <w:rFonts w:ascii="Arial" w:eastAsia="Arial" w:hAnsi="Arial" w:cs="Arial"/>
        </w:rPr>
      </w:pPr>
      <w:r>
        <w:rPr>
          <w:rFonts w:ascii="Arial" w:eastAsia="Arial" w:hAnsi="Arial" w:cs="Arial"/>
        </w:rPr>
        <w:object w:dxaOrig="3973" w:dyaOrig="2510" w14:anchorId="40FA5560">
          <v:shape id="_x0000_i1033" type="#_x0000_t75" style="width:198.95pt;height:125.4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Prism9.Document" ShapeID="_x0000_i1033" DrawAspect="Content" ObjectID="_1817742648" r:id="rId32"/>
        </w:object>
      </w:r>
      <w:r w:rsidR="00D62381">
        <w:rPr>
          <w:rFonts w:ascii="Arial" w:eastAsia="Arial" w:hAnsi="Arial" w:cs="Arial"/>
        </w:rPr>
        <w:object w:dxaOrig="3973" w:dyaOrig="2503" w14:anchorId="5EAA182B">
          <v:shape id="_x0000_i1034" type="#_x0000_t75" style="width:198.95pt;height:126.2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Prism9.Document" ShapeID="_x0000_i1034" DrawAspect="Content" ObjectID="_1817742649" r:id="rId34"/>
        </w:object>
      </w:r>
    </w:p>
    <w:p w14:paraId="0959EA72" w14:textId="0F02A761" w:rsidR="009C1ED2" w:rsidRDefault="00E37E9E">
      <w:pPr>
        <w:spacing w:line="276" w:lineRule="auto"/>
        <w:jc w:val="both"/>
        <w:rPr>
          <w:rFonts w:ascii="Arial" w:eastAsia="Arial" w:hAnsi="Arial" w:cs="Arial"/>
          <w:b/>
        </w:rPr>
      </w:pPr>
      <w:r>
        <w:rPr>
          <w:rFonts w:ascii="Arial" w:eastAsia="Arial" w:hAnsi="Arial" w:cs="Arial"/>
          <w:b/>
        </w:rPr>
        <w:t xml:space="preserve">Figure </w:t>
      </w:r>
      <w:r w:rsidR="000112F0">
        <w:rPr>
          <w:rFonts w:ascii="Arial" w:eastAsia="Arial" w:hAnsi="Arial" w:cs="Arial"/>
          <w:b/>
        </w:rPr>
        <w:t>1</w:t>
      </w:r>
      <w:r>
        <w:rPr>
          <w:rFonts w:ascii="Arial" w:eastAsia="Arial" w:hAnsi="Arial" w:cs="Arial"/>
          <w:b/>
        </w:rPr>
        <w:t xml:space="preserve">. </w:t>
      </w:r>
      <w:r w:rsidR="00C65A05" w:rsidRPr="00C65A05">
        <w:rPr>
          <w:rFonts w:ascii="Arial" w:eastAsia="Arial" w:hAnsi="Arial" w:cs="Arial"/>
          <w:b/>
        </w:rPr>
        <w:t xml:space="preserve">Monthly progression of coffee leaf rust severity (disease severity index, DSI; solid lines with filled circles, left Y-axis) and fresh berry yield (bars; kg/tree, right Y-axis) in five </w:t>
      </w:r>
      <w:proofErr w:type="spellStart"/>
      <w:r w:rsidR="00C65A05" w:rsidRPr="00C65A05">
        <w:rPr>
          <w:rFonts w:ascii="Arial" w:eastAsia="Arial" w:hAnsi="Arial" w:cs="Arial"/>
          <w:b/>
          <w:i/>
          <w:iCs/>
        </w:rPr>
        <w:t>Coffea</w:t>
      </w:r>
      <w:proofErr w:type="spellEnd"/>
      <w:r w:rsidR="00C65A05" w:rsidRPr="00C65A05">
        <w:rPr>
          <w:rFonts w:ascii="Arial" w:eastAsia="Arial" w:hAnsi="Arial" w:cs="Arial"/>
          <w:b/>
          <w:i/>
          <w:iCs/>
        </w:rPr>
        <w:t xml:space="preserve"> </w:t>
      </w:r>
      <w:proofErr w:type="spellStart"/>
      <w:r w:rsidR="00C65A05" w:rsidRPr="00C65A05">
        <w:rPr>
          <w:rFonts w:ascii="Arial" w:eastAsia="Arial" w:hAnsi="Arial" w:cs="Arial"/>
          <w:b/>
          <w:i/>
          <w:iCs/>
        </w:rPr>
        <w:t>liberica</w:t>
      </w:r>
      <w:proofErr w:type="spellEnd"/>
      <w:r w:rsidR="00C65A05" w:rsidRPr="00C65A05">
        <w:rPr>
          <w:rFonts w:ascii="Arial" w:eastAsia="Arial" w:hAnsi="Arial" w:cs="Arial"/>
          <w:b/>
        </w:rPr>
        <w:t xml:space="preserve"> clones (211, 213, 222, 224, and control MKL 7) across two </w:t>
      </w:r>
      <w:r w:rsidR="00C44688">
        <w:rPr>
          <w:rFonts w:ascii="Arial" w:eastAsia="Arial" w:hAnsi="Arial" w:cs="Arial"/>
          <w:b/>
        </w:rPr>
        <w:t>year</w:t>
      </w:r>
      <w:r w:rsidR="00C65A05" w:rsidRPr="00C65A05">
        <w:rPr>
          <w:rFonts w:ascii="Arial" w:eastAsia="Arial" w:hAnsi="Arial" w:cs="Arial"/>
          <w:b/>
        </w:rPr>
        <w:t>s (Year 1: July 2021–June 2022; Year 2: July 2022–June 2023)</w:t>
      </w:r>
      <w:r w:rsidR="00D14F1C" w:rsidRPr="00D14F1C">
        <w:rPr>
          <w:rFonts w:ascii="Arial" w:eastAsia="Arial" w:hAnsi="Arial" w:cs="Arial"/>
          <w:b/>
        </w:rPr>
        <w:t xml:space="preserve">. </w:t>
      </w:r>
      <w:r w:rsidR="00D14F1C">
        <w:rPr>
          <w:rFonts w:ascii="Arial" w:eastAsia="Arial" w:hAnsi="Arial" w:cs="Arial"/>
          <w:b/>
        </w:rPr>
        <w:t>Figure</w:t>
      </w:r>
      <w:r w:rsidR="00D14F1C" w:rsidRPr="00D14F1C">
        <w:rPr>
          <w:rFonts w:ascii="Arial" w:eastAsia="Arial" w:hAnsi="Arial" w:cs="Arial"/>
          <w:b/>
        </w:rPr>
        <w:t xml:space="preserve">s A, C, E, G, I correspond to Year 1 and </w:t>
      </w:r>
      <w:r w:rsidR="00D14F1C">
        <w:rPr>
          <w:rFonts w:ascii="Arial" w:eastAsia="Arial" w:hAnsi="Arial" w:cs="Arial"/>
          <w:b/>
        </w:rPr>
        <w:t>Figure</w:t>
      </w:r>
      <w:r w:rsidR="00D14F1C" w:rsidRPr="00D14F1C">
        <w:rPr>
          <w:rFonts w:ascii="Arial" w:eastAsia="Arial" w:hAnsi="Arial" w:cs="Arial"/>
          <w:b/>
        </w:rPr>
        <w:t xml:space="preserve">s B, D, F, H, J to Year 2. </w:t>
      </w:r>
    </w:p>
    <w:p w14:paraId="2D4A8EFF" w14:textId="77777777" w:rsidR="00B10B08" w:rsidRDefault="00B10B08" w:rsidP="00B10B08">
      <w:pPr>
        <w:spacing w:line="276" w:lineRule="auto"/>
        <w:jc w:val="both"/>
        <w:rPr>
          <w:rFonts w:ascii="Arial" w:eastAsia="Arial" w:hAnsi="Arial" w:cs="Arial"/>
          <w:b/>
        </w:rPr>
      </w:pPr>
    </w:p>
    <w:p w14:paraId="262F5FEE" w14:textId="789239A3" w:rsidR="009C1ED2" w:rsidRDefault="00E37E9E">
      <w:pPr>
        <w:spacing w:line="276" w:lineRule="auto"/>
        <w:jc w:val="both"/>
        <w:rPr>
          <w:rFonts w:ascii="Arial" w:eastAsia="Arial" w:hAnsi="Arial" w:cs="Arial"/>
          <w:b/>
          <w:sz w:val="22"/>
          <w:szCs w:val="22"/>
        </w:rPr>
      </w:pPr>
      <w:r>
        <w:rPr>
          <w:rFonts w:ascii="Arial" w:eastAsia="Arial" w:hAnsi="Arial" w:cs="Arial"/>
          <w:b/>
          <w:smallCaps/>
          <w:sz w:val="22"/>
          <w:szCs w:val="22"/>
        </w:rPr>
        <w:t xml:space="preserve">3.2 </w:t>
      </w:r>
      <w:r w:rsidR="00896D07" w:rsidRPr="00896D07">
        <w:rPr>
          <w:rFonts w:ascii="Arial" w:eastAsia="Arial" w:hAnsi="Arial" w:cs="Arial"/>
          <w:b/>
          <w:sz w:val="22"/>
          <w:szCs w:val="22"/>
        </w:rPr>
        <w:t xml:space="preserve">Clonal variability in </w:t>
      </w:r>
      <w:r w:rsidR="00BD554D" w:rsidRPr="00BD554D">
        <w:rPr>
          <w:rFonts w:ascii="Arial" w:eastAsia="Arial" w:hAnsi="Arial" w:cs="Arial"/>
          <w:b/>
          <w:sz w:val="22"/>
          <w:szCs w:val="22"/>
        </w:rPr>
        <w:t>mean yield and disease parameters</w:t>
      </w:r>
      <w:r w:rsidR="00896D07" w:rsidRPr="00896D07">
        <w:rPr>
          <w:rFonts w:ascii="Arial" w:eastAsia="Arial" w:hAnsi="Arial" w:cs="Arial"/>
          <w:b/>
          <w:sz w:val="22"/>
          <w:szCs w:val="22"/>
        </w:rPr>
        <w:t xml:space="preserve"> </w:t>
      </w:r>
    </w:p>
    <w:p w14:paraId="7B4A06A4" w14:textId="49ED2489" w:rsidR="00B10B08" w:rsidRDefault="00FC438A">
      <w:pPr>
        <w:spacing w:line="276" w:lineRule="auto"/>
        <w:jc w:val="both"/>
        <w:rPr>
          <w:rFonts w:ascii="Arial" w:eastAsia="Arial" w:hAnsi="Arial" w:cs="Arial"/>
        </w:rPr>
      </w:pPr>
      <w:r w:rsidRPr="00FC438A">
        <w:rPr>
          <w:rFonts w:ascii="Arial" w:eastAsia="Arial" w:hAnsi="Arial" w:cs="Arial"/>
        </w:rPr>
        <w:t xml:space="preserve">The mean values of fresh berry yield, disease incidence, and DSI confirmed strong clonal variability among the evaluated </w:t>
      </w:r>
      <w:r w:rsidRPr="00FC438A">
        <w:rPr>
          <w:rFonts w:ascii="Arial" w:eastAsia="Arial" w:hAnsi="Arial" w:cs="Arial"/>
          <w:i/>
          <w:iCs/>
        </w:rPr>
        <w:t xml:space="preserve">C. </w:t>
      </w:r>
      <w:proofErr w:type="spellStart"/>
      <w:r w:rsidRPr="00FC438A">
        <w:rPr>
          <w:rFonts w:ascii="Arial" w:eastAsia="Arial" w:hAnsi="Arial" w:cs="Arial"/>
          <w:i/>
          <w:iCs/>
        </w:rPr>
        <w:t>liberica</w:t>
      </w:r>
      <w:proofErr w:type="spellEnd"/>
      <w:r w:rsidRPr="00FC438A">
        <w:rPr>
          <w:rFonts w:ascii="Arial" w:eastAsia="Arial" w:hAnsi="Arial" w:cs="Arial"/>
        </w:rPr>
        <w:t xml:space="preserve"> clones (Table 1).</w:t>
      </w:r>
    </w:p>
    <w:p w14:paraId="0E7E1332" w14:textId="77777777" w:rsidR="00FC438A" w:rsidRDefault="00FC438A">
      <w:pPr>
        <w:spacing w:line="276" w:lineRule="auto"/>
        <w:jc w:val="both"/>
        <w:rPr>
          <w:rFonts w:ascii="Arial" w:eastAsia="Arial" w:hAnsi="Arial" w:cs="Arial"/>
        </w:rPr>
      </w:pPr>
    </w:p>
    <w:p w14:paraId="05428854" w14:textId="063C9B37" w:rsidR="009C1ED2" w:rsidRDefault="004656BC">
      <w:pPr>
        <w:spacing w:line="276" w:lineRule="auto"/>
        <w:jc w:val="both"/>
        <w:rPr>
          <w:rFonts w:ascii="Arial" w:eastAsia="Arial" w:hAnsi="Arial" w:cs="Arial"/>
        </w:rPr>
      </w:pPr>
      <w:r w:rsidRPr="004656BC">
        <w:rPr>
          <w:rFonts w:ascii="Arial" w:eastAsia="Arial" w:hAnsi="Arial" w:cs="Arial"/>
        </w:rPr>
        <w:t>In Year 1</w:t>
      </w:r>
      <w:r w:rsidR="00F96154">
        <w:rPr>
          <w:rFonts w:ascii="Arial" w:eastAsia="Arial" w:hAnsi="Arial" w:cs="Arial"/>
        </w:rPr>
        <w:t xml:space="preserve"> </w:t>
      </w:r>
      <w:r w:rsidR="00F96154" w:rsidRPr="00F96154">
        <w:rPr>
          <w:rFonts w:ascii="Arial" w:eastAsia="Arial" w:hAnsi="Arial" w:cs="Arial"/>
        </w:rPr>
        <w:t>(July 2021–June 2022),</w:t>
      </w:r>
      <w:r w:rsidRPr="004656BC">
        <w:rPr>
          <w:rFonts w:ascii="Arial" w:eastAsia="Arial" w:hAnsi="Arial" w:cs="Arial"/>
        </w:rPr>
        <w:t xml:space="preserve"> </w:t>
      </w:r>
      <w:r w:rsidR="00F96CD1">
        <w:rPr>
          <w:rFonts w:ascii="Arial" w:eastAsia="Arial" w:hAnsi="Arial" w:cs="Arial"/>
        </w:rPr>
        <w:t xml:space="preserve">clone 213 </w:t>
      </w:r>
      <w:r w:rsidR="0036642B" w:rsidRPr="0036642B">
        <w:rPr>
          <w:rFonts w:ascii="Arial" w:eastAsia="Arial" w:hAnsi="Arial" w:cs="Arial"/>
        </w:rPr>
        <w:t>achieved the highest mean yield (1.420 kg tree</w:t>
      </w:r>
      <w:r w:rsidR="0036642B" w:rsidRPr="0036642B">
        <w:rPr>
          <w:rFonts w:ascii="Cambria Math" w:eastAsia="Arial" w:hAnsi="Cambria Math" w:cs="Cambria Math"/>
        </w:rPr>
        <w:t>⁻</w:t>
      </w:r>
      <w:r w:rsidR="0036642B" w:rsidRPr="0036642B">
        <w:rPr>
          <w:rFonts w:ascii="Arial" w:eastAsia="Arial" w:hAnsi="Arial" w:cs="Arial"/>
        </w:rPr>
        <w:t>¹),</w:t>
      </w:r>
      <w:r w:rsidR="00F96CD1">
        <w:rPr>
          <w:rFonts w:ascii="Arial" w:eastAsia="Arial" w:hAnsi="Arial" w:cs="Arial"/>
        </w:rPr>
        <w:t xml:space="preserve"> with </w:t>
      </w:r>
      <w:r w:rsidR="00226E1C" w:rsidRPr="00226E1C">
        <w:rPr>
          <w:rFonts w:ascii="Arial" w:eastAsia="Arial" w:hAnsi="Arial" w:cs="Arial"/>
        </w:rPr>
        <w:t xml:space="preserve">the lowest incidence (27.18%) and DSI (9.24%). </w:t>
      </w:r>
      <w:r w:rsidR="00F6524B" w:rsidRPr="00F6524B">
        <w:rPr>
          <w:rFonts w:ascii="Arial" w:eastAsia="Arial" w:hAnsi="Arial" w:cs="Arial"/>
        </w:rPr>
        <w:t>This reflects strong resistance to CLR, which preserved photosynthetic capacity and enabled efficient assimilate partitioning toward fruiting.</w:t>
      </w:r>
      <w:r w:rsidR="00226E1C" w:rsidRPr="00226E1C">
        <w:rPr>
          <w:rFonts w:ascii="Arial" w:eastAsia="Arial" w:hAnsi="Arial" w:cs="Arial"/>
        </w:rPr>
        <w:t xml:space="preserve"> In contrast</w:t>
      </w:r>
      <w:r w:rsidR="00F96154" w:rsidRPr="00F96154">
        <w:t xml:space="preserve"> </w:t>
      </w:r>
      <w:r w:rsidR="0036642B" w:rsidRPr="0036642B">
        <w:rPr>
          <w:rFonts w:ascii="Arial" w:eastAsia="Arial" w:hAnsi="Arial" w:cs="Arial"/>
        </w:rPr>
        <w:t>clone 222, with high incidence (37.58%) and DSI (14.27%), recorded the lowest yield (0.720 kg tree</w:t>
      </w:r>
      <w:r w:rsidR="0036642B" w:rsidRPr="0036642B">
        <w:rPr>
          <w:rFonts w:ascii="Cambria Math" w:eastAsia="Arial" w:hAnsi="Cambria Math" w:cs="Cambria Math"/>
        </w:rPr>
        <w:t>⁻</w:t>
      </w:r>
      <w:r w:rsidR="0036642B" w:rsidRPr="0036642B">
        <w:rPr>
          <w:rFonts w:ascii="Arial" w:eastAsia="Arial" w:hAnsi="Arial" w:cs="Arial"/>
        </w:rPr>
        <w:t xml:space="preserve">¹), clearly reflecting susceptibility. Clone 211 </w:t>
      </w:r>
      <w:r w:rsidR="0044435C">
        <w:rPr>
          <w:rFonts w:ascii="Arial" w:eastAsia="Arial" w:hAnsi="Arial" w:cs="Arial"/>
        </w:rPr>
        <w:t>showed</w:t>
      </w:r>
      <w:r w:rsidR="0036642B" w:rsidRPr="0036642B">
        <w:rPr>
          <w:rFonts w:ascii="Arial" w:eastAsia="Arial" w:hAnsi="Arial" w:cs="Arial"/>
        </w:rPr>
        <w:t xml:space="preserve"> similarly high disease levels </w:t>
      </w:r>
      <w:r w:rsidR="0036642B" w:rsidRPr="0036642B">
        <w:rPr>
          <w:rFonts w:ascii="Arial" w:eastAsia="Arial" w:hAnsi="Arial" w:cs="Arial"/>
        </w:rPr>
        <w:lastRenderedPageBreak/>
        <w:t>(40.61% incidence; 15.09% DSI) but a slightly higher yield (1.078 kg tree</w:t>
      </w:r>
      <w:r w:rsidR="0036642B" w:rsidRPr="0036642B">
        <w:rPr>
          <w:rFonts w:ascii="Cambria Math" w:eastAsia="Arial" w:hAnsi="Cambria Math" w:cs="Cambria Math"/>
        </w:rPr>
        <w:t>⁻</w:t>
      </w:r>
      <w:r w:rsidR="0036642B" w:rsidRPr="0036642B">
        <w:rPr>
          <w:rFonts w:ascii="Arial" w:eastAsia="Arial" w:hAnsi="Arial" w:cs="Arial"/>
        </w:rPr>
        <w:t>¹),</w:t>
      </w:r>
      <w:r w:rsidR="00F96154" w:rsidRPr="00F96154">
        <w:rPr>
          <w:rFonts w:ascii="Arial" w:eastAsia="Arial" w:hAnsi="Arial" w:cs="Arial"/>
        </w:rPr>
        <w:t xml:space="preserve"> indicating that</w:t>
      </w:r>
      <w:r w:rsidR="00F96154">
        <w:rPr>
          <w:rFonts w:ascii="Arial" w:eastAsia="Arial" w:hAnsi="Arial" w:cs="Arial"/>
        </w:rPr>
        <w:t xml:space="preserve"> high CLR levels consistently limits productivity</w:t>
      </w:r>
      <w:r w:rsidR="00226E1C" w:rsidRPr="00226E1C">
        <w:rPr>
          <w:rFonts w:ascii="Arial" w:eastAsia="Arial" w:hAnsi="Arial" w:cs="Arial"/>
        </w:rPr>
        <w:t>.</w:t>
      </w:r>
      <w:r w:rsidRPr="004656BC">
        <w:rPr>
          <w:rFonts w:ascii="Arial" w:eastAsia="Arial" w:hAnsi="Arial" w:cs="Arial"/>
        </w:rPr>
        <w:t xml:space="preserve"> Interestingly, </w:t>
      </w:r>
      <w:r w:rsidR="00F96154" w:rsidRPr="00F96154">
        <w:rPr>
          <w:rFonts w:ascii="Arial" w:eastAsia="Arial" w:hAnsi="Arial" w:cs="Arial"/>
        </w:rPr>
        <w:t>clone 224 maintained a relatively high yield (1.331 kg tree</w:t>
      </w:r>
      <w:r w:rsidR="00F96154" w:rsidRPr="00F96154">
        <w:rPr>
          <w:rFonts w:ascii="Cambria Math" w:eastAsia="Arial" w:hAnsi="Cambria Math" w:cs="Cambria Math"/>
        </w:rPr>
        <w:t>⁻</w:t>
      </w:r>
      <w:r w:rsidR="00F96154" w:rsidRPr="00F96154">
        <w:rPr>
          <w:rFonts w:ascii="Arial" w:eastAsia="Arial" w:hAnsi="Arial" w:cs="Arial"/>
        </w:rPr>
        <w:t xml:space="preserve">¹) despite high disease incidence (39.66%) and DSI (14.43%), suggesting </w:t>
      </w:r>
      <w:r w:rsidR="00226E1C" w:rsidRPr="00226E1C">
        <w:rPr>
          <w:rFonts w:ascii="Arial" w:eastAsia="Arial" w:hAnsi="Arial" w:cs="Arial"/>
        </w:rPr>
        <w:t>tolerance</w:t>
      </w:r>
      <w:r w:rsidR="00F96154">
        <w:rPr>
          <w:rFonts w:ascii="Arial" w:eastAsia="Arial" w:hAnsi="Arial" w:cs="Arial"/>
        </w:rPr>
        <w:t xml:space="preserve">, </w:t>
      </w:r>
      <w:r w:rsidR="00F6524B">
        <w:rPr>
          <w:rFonts w:ascii="Arial" w:eastAsia="Arial" w:hAnsi="Arial" w:cs="Arial"/>
        </w:rPr>
        <w:t>an</w:t>
      </w:r>
      <w:r w:rsidR="00226E1C" w:rsidRPr="00226E1C">
        <w:rPr>
          <w:rFonts w:ascii="Arial" w:eastAsia="Arial" w:hAnsi="Arial" w:cs="Arial"/>
        </w:rPr>
        <w:t xml:space="preserve"> ability to</w:t>
      </w:r>
      <w:r w:rsidR="0036642B">
        <w:rPr>
          <w:rFonts w:ascii="Arial" w:eastAsia="Arial" w:hAnsi="Arial" w:cs="Arial"/>
        </w:rPr>
        <w:t xml:space="preserve"> sustain</w:t>
      </w:r>
      <w:r w:rsidR="00226E1C" w:rsidRPr="00226E1C">
        <w:rPr>
          <w:rFonts w:ascii="Arial" w:eastAsia="Arial" w:hAnsi="Arial" w:cs="Arial"/>
        </w:rPr>
        <w:t xml:space="preserve"> yield despite substantial disease pressure. The control MKL 7, </w:t>
      </w:r>
      <w:r w:rsidR="00F96154">
        <w:rPr>
          <w:rFonts w:ascii="Arial" w:eastAsia="Arial" w:hAnsi="Arial" w:cs="Arial"/>
        </w:rPr>
        <w:t>meanwhile, showed</w:t>
      </w:r>
      <w:r w:rsidR="00226E1C" w:rsidRPr="00226E1C">
        <w:rPr>
          <w:rFonts w:ascii="Arial" w:eastAsia="Arial" w:hAnsi="Arial" w:cs="Arial"/>
        </w:rPr>
        <w:t xml:space="preserve"> </w:t>
      </w:r>
      <w:r w:rsidR="0036642B" w:rsidRPr="0036642B">
        <w:rPr>
          <w:rFonts w:ascii="Arial" w:eastAsia="Arial" w:hAnsi="Arial" w:cs="Arial"/>
        </w:rPr>
        <w:t xml:space="preserve">intermediate </w:t>
      </w:r>
      <w:r w:rsidR="00F6524B" w:rsidRPr="00F6524B">
        <w:rPr>
          <w:rFonts w:ascii="Arial" w:eastAsia="Arial" w:hAnsi="Arial" w:cs="Arial"/>
        </w:rPr>
        <w:t>performance</w:t>
      </w:r>
      <w:r w:rsidR="0036642B" w:rsidRPr="0036642B">
        <w:rPr>
          <w:rFonts w:ascii="Arial" w:eastAsia="Arial" w:hAnsi="Arial" w:cs="Arial"/>
        </w:rPr>
        <w:t xml:space="preserve"> (0.908 kg tree</w:t>
      </w:r>
      <w:r w:rsidR="0036642B" w:rsidRPr="0036642B">
        <w:rPr>
          <w:rFonts w:ascii="Cambria Math" w:eastAsia="Arial" w:hAnsi="Cambria Math" w:cs="Cambria Math"/>
        </w:rPr>
        <w:t>⁻</w:t>
      </w:r>
      <w:r w:rsidR="0036642B" w:rsidRPr="0036642B">
        <w:rPr>
          <w:rFonts w:ascii="Arial" w:eastAsia="Arial" w:hAnsi="Arial" w:cs="Arial"/>
        </w:rPr>
        <w:t xml:space="preserve">¹; 33.20% incidence; 11.55% DSI), consistent with its role as a moderately productive </w:t>
      </w:r>
      <w:r w:rsidR="00F6524B">
        <w:rPr>
          <w:rFonts w:ascii="Arial" w:eastAsia="Arial" w:hAnsi="Arial" w:cs="Arial"/>
        </w:rPr>
        <w:t>bu</w:t>
      </w:r>
      <w:r w:rsidR="0036642B" w:rsidRPr="0036642B">
        <w:rPr>
          <w:rFonts w:ascii="Arial" w:eastAsia="Arial" w:hAnsi="Arial" w:cs="Arial"/>
        </w:rPr>
        <w:t>t susceptible benchmark.</w:t>
      </w:r>
    </w:p>
    <w:p w14:paraId="25CD76A9" w14:textId="77777777" w:rsidR="004656BC" w:rsidRDefault="004656BC">
      <w:pPr>
        <w:spacing w:line="276" w:lineRule="auto"/>
        <w:jc w:val="both"/>
        <w:rPr>
          <w:rFonts w:ascii="Arial" w:eastAsia="Arial" w:hAnsi="Arial" w:cs="Arial"/>
        </w:rPr>
      </w:pPr>
    </w:p>
    <w:p w14:paraId="7B6EA159" w14:textId="3DD8214E" w:rsidR="00226E1C" w:rsidRPr="00226E1C" w:rsidRDefault="004656BC" w:rsidP="00226E1C">
      <w:pPr>
        <w:spacing w:line="276" w:lineRule="auto"/>
        <w:jc w:val="both"/>
        <w:rPr>
          <w:rFonts w:ascii="Arial" w:eastAsia="Arial" w:hAnsi="Arial" w:cs="Arial"/>
        </w:rPr>
      </w:pPr>
      <w:r w:rsidRPr="004656BC">
        <w:rPr>
          <w:rFonts w:ascii="Arial" w:eastAsia="Arial" w:hAnsi="Arial" w:cs="Arial"/>
        </w:rPr>
        <w:t xml:space="preserve">In Year 2 (July 2022–June 2023), </w:t>
      </w:r>
      <w:r w:rsidR="00226E1C" w:rsidRPr="00226E1C">
        <w:rPr>
          <w:rFonts w:ascii="Arial" w:eastAsia="Arial" w:hAnsi="Arial" w:cs="Arial"/>
        </w:rPr>
        <w:t xml:space="preserve">overall yields declined </w:t>
      </w:r>
      <w:r w:rsidR="00F6524B">
        <w:rPr>
          <w:rFonts w:ascii="Arial" w:eastAsia="Arial" w:hAnsi="Arial" w:cs="Arial"/>
        </w:rPr>
        <w:t xml:space="preserve">across </w:t>
      </w:r>
      <w:r w:rsidR="00226E1C" w:rsidRPr="00226E1C">
        <w:rPr>
          <w:rFonts w:ascii="Arial" w:eastAsia="Arial" w:hAnsi="Arial" w:cs="Arial"/>
        </w:rPr>
        <w:t xml:space="preserve">all clones, </w:t>
      </w:r>
      <w:r w:rsidR="00F6524B" w:rsidRPr="00F6524B">
        <w:rPr>
          <w:rFonts w:ascii="Arial" w:eastAsia="Arial" w:hAnsi="Arial" w:cs="Arial"/>
        </w:rPr>
        <w:t>reflecting the combined effects of</w:t>
      </w:r>
      <w:r w:rsidR="00F6524B">
        <w:rPr>
          <w:rFonts w:ascii="Arial" w:eastAsia="Arial" w:hAnsi="Arial" w:cs="Arial"/>
        </w:rPr>
        <w:t xml:space="preserve"> </w:t>
      </w:r>
      <w:r w:rsidR="00226E1C" w:rsidRPr="00226E1C">
        <w:rPr>
          <w:rFonts w:ascii="Arial" w:eastAsia="Arial" w:hAnsi="Arial" w:cs="Arial"/>
        </w:rPr>
        <w:t>biennial bearing and cumulative disease stress. Clone 213</w:t>
      </w:r>
      <w:r w:rsidR="00925117">
        <w:rPr>
          <w:rFonts w:ascii="Arial" w:eastAsia="Arial" w:hAnsi="Arial" w:cs="Arial"/>
        </w:rPr>
        <w:t xml:space="preserve"> again achieved the</w:t>
      </w:r>
      <w:r w:rsidR="00226E1C" w:rsidRPr="00226E1C">
        <w:rPr>
          <w:rFonts w:ascii="Arial" w:eastAsia="Arial" w:hAnsi="Arial" w:cs="Arial"/>
        </w:rPr>
        <w:t xml:space="preserve"> </w:t>
      </w:r>
      <w:r w:rsidR="00925117" w:rsidRPr="00925117">
        <w:rPr>
          <w:rFonts w:ascii="Arial" w:eastAsia="Arial" w:hAnsi="Arial" w:cs="Arial"/>
        </w:rPr>
        <w:t xml:space="preserve">highest mean yield </w:t>
      </w:r>
      <w:r w:rsidR="0036642B" w:rsidRPr="0036642B">
        <w:rPr>
          <w:rFonts w:ascii="Arial" w:eastAsia="Arial" w:hAnsi="Arial" w:cs="Arial"/>
        </w:rPr>
        <w:t>(0.623 kg tree</w:t>
      </w:r>
      <w:r w:rsidR="0036642B" w:rsidRPr="0036642B">
        <w:rPr>
          <w:rFonts w:ascii="Cambria Math" w:eastAsia="Arial" w:hAnsi="Cambria Math" w:cs="Cambria Math"/>
        </w:rPr>
        <w:t>⁻</w:t>
      </w:r>
      <w:r w:rsidR="0036642B" w:rsidRPr="0036642B">
        <w:rPr>
          <w:rFonts w:ascii="Arial" w:eastAsia="Arial" w:hAnsi="Arial" w:cs="Arial"/>
        </w:rPr>
        <w:t xml:space="preserve">¹), </w:t>
      </w:r>
      <w:r w:rsidR="00901100">
        <w:rPr>
          <w:rFonts w:ascii="Arial" w:eastAsia="Arial" w:hAnsi="Arial" w:cs="Arial"/>
        </w:rPr>
        <w:t xml:space="preserve">with the </w:t>
      </w:r>
      <w:r w:rsidR="0036642B" w:rsidRPr="0036642B">
        <w:rPr>
          <w:rFonts w:ascii="Arial" w:eastAsia="Arial" w:hAnsi="Arial" w:cs="Arial"/>
        </w:rPr>
        <w:t>lowest incidence (19.43%) and DSI (4.56%)</w:t>
      </w:r>
      <w:r w:rsidR="00F6524B" w:rsidRPr="00F6524B">
        <w:rPr>
          <w:rFonts w:ascii="Arial" w:eastAsia="Arial" w:hAnsi="Arial" w:cs="Arial"/>
        </w:rPr>
        <w:t>, confirming durable resistance and relative yield stability, despite a &gt;50% reduction compared with Year 1</w:t>
      </w:r>
      <w:r w:rsidR="00FC438A" w:rsidRPr="00FC438A">
        <w:rPr>
          <w:rFonts w:ascii="Arial" w:eastAsia="Arial" w:hAnsi="Arial" w:cs="Arial"/>
        </w:rPr>
        <w:t>.</w:t>
      </w:r>
      <w:r w:rsidR="00FC438A">
        <w:rPr>
          <w:rFonts w:ascii="Arial" w:eastAsia="Arial" w:hAnsi="Arial" w:cs="Arial"/>
        </w:rPr>
        <w:t xml:space="preserve"> </w:t>
      </w:r>
      <w:r w:rsidR="0036642B" w:rsidRPr="0036642B">
        <w:rPr>
          <w:rFonts w:ascii="Arial" w:eastAsia="Arial" w:hAnsi="Arial" w:cs="Arial"/>
        </w:rPr>
        <w:t xml:space="preserve">Clone 224, however, </w:t>
      </w:r>
      <w:r w:rsidR="00FC438A">
        <w:rPr>
          <w:rFonts w:ascii="Arial" w:eastAsia="Arial" w:hAnsi="Arial" w:cs="Arial"/>
        </w:rPr>
        <w:t>showed</w:t>
      </w:r>
      <w:r w:rsidR="0036642B" w:rsidRPr="0036642B">
        <w:rPr>
          <w:rFonts w:ascii="Arial" w:eastAsia="Arial" w:hAnsi="Arial" w:cs="Arial"/>
        </w:rPr>
        <w:t xml:space="preserve"> the </w:t>
      </w:r>
      <w:r w:rsidR="00F6524B" w:rsidRPr="00F6524B">
        <w:rPr>
          <w:rFonts w:ascii="Arial" w:eastAsia="Arial" w:hAnsi="Arial" w:cs="Arial"/>
        </w:rPr>
        <w:t>steepest</w:t>
      </w:r>
      <w:r w:rsidR="0036642B" w:rsidRPr="0036642B">
        <w:rPr>
          <w:rFonts w:ascii="Arial" w:eastAsia="Arial" w:hAnsi="Arial" w:cs="Arial"/>
        </w:rPr>
        <w:t xml:space="preserve"> </w:t>
      </w:r>
      <w:r w:rsidR="00FC438A">
        <w:rPr>
          <w:rFonts w:ascii="Arial" w:eastAsia="Arial" w:hAnsi="Arial" w:cs="Arial"/>
        </w:rPr>
        <w:t xml:space="preserve">yield </w:t>
      </w:r>
      <w:r w:rsidR="0036642B" w:rsidRPr="0036642B">
        <w:rPr>
          <w:rFonts w:ascii="Arial" w:eastAsia="Arial" w:hAnsi="Arial" w:cs="Arial"/>
        </w:rPr>
        <w:t>decline (from 1.331 to 0.259 kg tree</w:t>
      </w:r>
      <w:r w:rsidR="0036642B" w:rsidRPr="0036642B">
        <w:rPr>
          <w:rFonts w:ascii="Cambria Math" w:eastAsia="Arial" w:hAnsi="Cambria Math" w:cs="Cambria Math"/>
        </w:rPr>
        <w:t>⁻</w:t>
      </w:r>
      <w:r w:rsidR="0036642B" w:rsidRPr="0036642B">
        <w:rPr>
          <w:rFonts w:ascii="Arial" w:eastAsia="Arial" w:hAnsi="Arial" w:cs="Arial"/>
        </w:rPr>
        <w:t xml:space="preserve">¹), </w:t>
      </w:r>
      <w:r w:rsidR="00F6524B" w:rsidRPr="00F6524B">
        <w:rPr>
          <w:rFonts w:ascii="Arial" w:eastAsia="Arial" w:hAnsi="Arial" w:cs="Arial"/>
        </w:rPr>
        <w:t>suggesting strong sensitivity to environmental and disease pressures.</w:t>
      </w:r>
      <w:r w:rsidR="00F6524B">
        <w:rPr>
          <w:rFonts w:ascii="Arial" w:eastAsia="Arial" w:hAnsi="Arial" w:cs="Arial"/>
        </w:rPr>
        <w:t xml:space="preserve"> </w:t>
      </w:r>
      <w:r w:rsidR="00226E1C" w:rsidRPr="00226E1C">
        <w:rPr>
          <w:rFonts w:ascii="Arial" w:eastAsia="Arial" w:hAnsi="Arial" w:cs="Arial"/>
        </w:rPr>
        <w:t xml:space="preserve">Clone 211 </w:t>
      </w:r>
      <w:r w:rsidR="00FC438A" w:rsidRPr="00FC438A">
        <w:rPr>
          <w:rFonts w:ascii="Arial" w:eastAsia="Arial" w:hAnsi="Arial" w:cs="Arial"/>
        </w:rPr>
        <w:t>remained among the most susceptible</w:t>
      </w:r>
      <w:r w:rsidR="00226E1C" w:rsidRPr="00226E1C">
        <w:rPr>
          <w:rFonts w:ascii="Arial" w:eastAsia="Arial" w:hAnsi="Arial" w:cs="Arial"/>
        </w:rPr>
        <w:t xml:space="preserve"> (</w:t>
      </w:r>
      <w:r w:rsidR="0044435C" w:rsidRPr="0044435C">
        <w:rPr>
          <w:rFonts w:ascii="Arial" w:eastAsia="Arial" w:hAnsi="Arial" w:cs="Arial"/>
        </w:rPr>
        <w:t>0.706 kg tree</w:t>
      </w:r>
      <w:r w:rsidR="0044435C" w:rsidRPr="0044435C">
        <w:rPr>
          <w:rFonts w:ascii="Cambria Math" w:eastAsia="Arial" w:hAnsi="Cambria Math" w:cs="Cambria Math"/>
        </w:rPr>
        <w:t>⁻</w:t>
      </w:r>
      <w:r w:rsidR="0044435C" w:rsidRPr="0044435C">
        <w:rPr>
          <w:rFonts w:ascii="Arial" w:eastAsia="Arial" w:hAnsi="Arial" w:cs="Arial"/>
        </w:rPr>
        <w:t>¹;</w:t>
      </w:r>
      <w:r w:rsidR="00226E1C" w:rsidRPr="00226E1C">
        <w:rPr>
          <w:rFonts w:ascii="Arial" w:eastAsia="Arial" w:hAnsi="Arial" w:cs="Arial"/>
        </w:rPr>
        <w:t xml:space="preserve"> 12.96% DSI), while MKL 7 </w:t>
      </w:r>
      <w:r w:rsidR="0044435C">
        <w:rPr>
          <w:rFonts w:ascii="Arial" w:eastAsia="Arial" w:hAnsi="Arial" w:cs="Arial"/>
        </w:rPr>
        <w:t xml:space="preserve">moderate but </w:t>
      </w:r>
      <w:r w:rsidR="00FC438A" w:rsidRPr="00FC438A">
        <w:rPr>
          <w:rFonts w:ascii="Arial" w:eastAsia="Arial" w:hAnsi="Arial" w:cs="Arial"/>
        </w:rPr>
        <w:t>maintained</w:t>
      </w:r>
      <w:r w:rsidR="00226E1C" w:rsidRPr="00226E1C">
        <w:rPr>
          <w:rFonts w:ascii="Arial" w:eastAsia="Arial" w:hAnsi="Arial" w:cs="Arial"/>
        </w:rPr>
        <w:t xml:space="preserve"> relatively stable </w:t>
      </w:r>
      <w:r w:rsidR="0044435C">
        <w:rPr>
          <w:rFonts w:ascii="Arial" w:eastAsia="Arial" w:hAnsi="Arial" w:cs="Arial"/>
        </w:rPr>
        <w:t>yields</w:t>
      </w:r>
      <w:r w:rsidR="00226E1C" w:rsidRPr="00226E1C">
        <w:rPr>
          <w:rFonts w:ascii="Arial" w:eastAsia="Arial" w:hAnsi="Arial" w:cs="Arial"/>
        </w:rPr>
        <w:t xml:space="preserve"> across</w:t>
      </w:r>
      <w:r w:rsidR="0044435C">
        <w:rPr>
          <w:rFonts w:ascii="Arial" w:eastAsia="Arial" w:hAnsi="Arial" w:cs="Arial"/>
        </w:rPr>
        <w:t xml:space="preserve"> both</w:t>
      </w:r>
      <w:r w:rsidR="00226E1C" w:rsidRPr="00226E1C">
        <w:rPr>
          <w:rFonts w:ascii="Arial" w:eastAsia="Arial" w:hAnsi="Arial" w:cs="Arial"/>
        </w:rPr>
        <w:t xml:space="preserve"> years.</w:t>
      </w:r>
    </w:p>
    <w:p w14:paraId="5E30BBA1" w14:textId="77777777" w:rsidR="00226E1C" w:rsidRDefault="00226E1C" w:rsidP="00226E1C">
      <w:pPr>
        <w:spacing w:line="276" w:lineRule="auto"/>
        <w:jc w:val="both"/>
        <w:rPr>
          <w:rFonts w:ascii="Arial" w:eastAsia="Arial" w:hAnsi="Arial" w:cs="Arial"/>
        </w:rPr>
      </w:pPr>
    </w:p>
    <w:p w14:paraId="15109E95" w14:textId="3C0BB423" w:rsidR="0044435C" w:rsidRDefault="00F6524B" w:rsidP="00226E1C">
      <w:pPr>
        <w:spacing w:line="276" w:lineRule="auto"/>
        <w:jc w:val="both"/>
        <w:rPr>
          <w:rFonts w:ascii="Arial" w:eastAsia="Arial" w:hAnsi="Arial" w:cs="Arial"/>
        </w:rPr>
      </w:pPr>
      <w:r w:rsidRPr="00F6524B">
        <w:rPr>
          <w:rFonts w:ascii="Arial" w:eastAsia="Arial" w:hAnsi="Arial" w:cs="Arial"/>
        </w:rPr>
        <w:t>Seasonal patterns revealed that yield reductions were strongly influenced by biennial bearing, with disease severity closely tracking fruit load. In Year 1, heavier fruiting coincided with higher CLR severity, whereas in Year 2, reduced fruiting was associated with lower DSI values. The pronounced decline in clone 224 highlights its vulnerability not only to biennial effects but also to unfavorable climatic conditions such as drought or excessive rainfall, both of which are known to reduce coffee productivity.</w:t>
      </w:r>
    </w:p>
    <w:p w14:paraId="1352F58A" w14:textId="77777777" w:rsidR="00F6524B" w:rsidRDefault="00F6524B" w:rsidP="00226E1C">
      <w:pPr>
        <w:spacing w:line="276" w:lineRule="auto"/>
        <w:jc w:val="both"/>
        <w:rPr>
          <w:rFonts w:ascii="Arial" w:eastAsia="Arial" w:hAnsi="Arial" w:cs="Arial"/>
        </w:rPr>
      </w:pPr>
    </w:p>
    <w:p w14:paraId="260B47A0" w14:textId="34C0CC1A" w:rsidR="00FC438A" w:rsidRDefault="0044435C" w:rsidP="00226E1C">
      <w:pPr>
        <w:spacing w:line="276" w:lineRule="auto"/>
        <w:jc w:val="both"/>
        <w:rPr>
          <w:rFonts w:ascii="Arial" w:eastAsia="Arial" w:hAnsi="Arial" w:cs="Arial"/>
        </w:rPr>
      </w:pPr>
      <w:r w:rsidRPr="0044435C">
        <w:rPr>
          <w:rFonts w:ascii="Arial" w:eastAsia="Arial" w:hAnsi="Arial" w:cs="Arial"/>
        </w:rPr>
        <w:t>Biennial bearing, characterized by alternating years of high and low fruiting due to resource reallocation</w:t>
      </w:r>
      <w:r>
        <w:rPr>
          <w:rFonts w:ascii="Arial" w:eastAsia="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{"citationItems":[{"id":"ITEM-1","itemData":{"author":[{"dropping-particle":"","family":"Picini","given":"Angelica Giarolla","non-dropping-particle":"","parse-names":false,"suffix":""}],"id":"ITEM-1","issued":{"date-parts":[["1998"]]},"number-of-pages":"132","publisher":"Universidade de São Paulo","title":"Desenvolvimento e teste de modelos agrometeorológicos para a estimativa de produtividade do cafeeiro (&lt;i&gt;Coffea arabica&lt;/i&gt; L.) a partir do monitoramento da disponibilidade hidrica do solo","type":"thesis"},"uris":["http://www.mendeley.com/documents/?uuid=434d2f87-72d5-4d31-a5d9-88e047abdfa3","http://www.mendeley.com/documents/?uuid=ea38c3e5-47a5-4a52-af26-94e6ae4ce0f6"]}],"mendeley":{"formattedCitation":"(Picini, 1998)","plainTextFormattedCitation":"(Picini, 1998)","previouslyFormattedCitation":"(Picini, 1998)"},"properties":{"noteIndex":0},"schema":"https://github.com/citation-style-language/schema/raw/master/csl-citation.json"}</w:instrText>
      </w:r>
      <w:r>
        <w:rPr>
          <w:rFonts w:ascii="Arial" w:hAnsi="Arial" w:cs="Arial"/>
        </w:rPr>
        <w:fldChar w:fldCharType="separate"/>
      </w:r>
      <w:r w:rsidRPr="00030D24">
        <w:rPr>
          <w:rFonts w:ascii="Arial" w:hAnsi="Arial" w:cs="Arial"/>
          <w:noProof/>
        </w:rPr>
        <w:t>(Picini, 1998)</w:t>
      </w:r>
      <w:r>
        <w:rPr>
          <w:rFonts w:ascii="Arial" w:hAnsi="Arial" w:cs="Arial"/>
        </w:rPr>
        <w:fldChar w:fldCharType="end"/>
      </w:r>
      <w:r>
        <w:rPr>
          <w:rFonts w:ascii="Arial" w:hAnsi="Arial" w:cs="Arial"/>
        </w:rPr>
        <w:t xml:space="preserve">, </w:t>
      </w:r>
      <w:r w:rsidRPr="00FC438A">
        <w:rPr>
          <w:rFonts w:ascii="Arial" w:hAnsi="Arial" w:cs="Arial"/>
        </w:rPr>
        <w:t>likely contributed to these fluctuations.</w:t>
      </w:r>
      <w:r w:rsidRPr="006226D2">
        <w:rPr>
          <w:rFonts w:ascii="Arial" w:hAnsi="Arial" w:cs="Arial"/>
        </w:rPr>
        <w:t xml:space="preserve"> </w:t>
      </w:r>
      <w:r w:rsidR="00B31800" w:rsidRPr="00B31800">
        <w:rPr>
          <w:rFonts w:ascii="Arial" w:eastAsia="Arial" w:hAnsi="Arial" w:cs="Arial"/>
        </w:rPr>
        <w:t>High fruit loads have consistently been linked to increased CLR severity, as reproductive effort diverts assimilates away from defense, thereby weakening host resistance</w:t>
      </w:r>
      <w:r>
        <w:rPr>
          <w:rFonts w:ascii="Arial" w:eastAsia="Arial" w:hAnsi="Arial" w:cs="Arial"/>
        </w:rPr>
        <w:t xml:space="preserve"> </w:t>
      </w:r>
      <w:r>
        <w:rPr>
          <w:rFonts w:ascii="Arial" w:eastAsia="Arial" w:hAnsi="Arial" w:cs="Arial"/>
        </w:rPr>
        <w:fldChar w:fldCharType="begin" w:fldLock="1"/>
      </w:r>
      <w:r w:rsidR="004C17BF">
        <w:rPr>
          <w:rFonts w:ascii="Arial" w:eastAsia="Arial" w:hAnsi="Arial" w:cs="Arial"/>
        </w:rPr>
        <w:instrText>ADDIN CSL_CITATION {"citationItems":[{"id":"ITEM-1","itemData":{"DOI":"10.1079/planthealthcases.2023.0005","abstract":"Coffee ( Coffea spp.) originates from the tropical montane rainforest understorey. In this shaded environment, the coffee plant has co-evolved with a wide array of pests and diseases. The fungal pathogen Hemileia vastatrix is the most notorious of all known coffee plant diseases. With a rich history rooted in colonial trade and power struggles, H. vastatrix has had its lion’s share of research and scrutiny by the plant pathology community. Though this disease was discovered more than 150 years ago, many unknowns concerning its spread and persistence across the tropics still exist today. Despite its relevance to coffee production, there is little global data that synthesizes the impact of this disease on coffee yield and plant health. Best practices for control of coffee leaf rust are contentious. Genetic resistance has been breaking down in cultivars across the coffee belt over the past decade. How can farmers best control outbreaks of the disease? Are these practices at odds with new trends and challenges in coffee farming (e.g. organic, biodiversity-friendly, agroforestry etc.). What are the future prospects of our global coffee supply under pressure from this rampant disease? All these questions are examined in this case study using pertinent literature sources and supplemented by coffee farmers or extension service providers in Latin America and Africa.","author":[{"dropping-particle":"","family":"Koutouleas","given":"Athina","non-dropping-particle":"","parse-names":false,"suffix":""}],"container-title":"Plant Health Cases","id":"ITEM-1","issue":"May","issued":{"date-parts":[["2023"]]},"number-of-pages":"12","publisher":"The Author 2023","title":"Coffee leaf rust: wreaking havoc in coffee production areas across the tropics","type":"book"},"uris":["http://www.mendeley.com/documents/?uuid=52a7c647-c3b0-4c64-b826-027eab855f37","http://www.mendeley.com/documents/?uuid=7ab683f0-a054-4bc7-9d7b-726df739785e"]},{"id":"ITEM-2","itemData":{"DOI":"10.1094/PHYTO-03-19-0094-R","ISSN":"0031949X","PMID":"31502519","abstract":"Crop health management systems can be designed according to practices that help to reduce crop losses by restricting pathogen development and promoting host plant growth. A good understanding of pathogen and host dynamics, which are interdependent, is therefore needed. In this article, we used a holistic approach to explain the behavior of coffee leaf rust (CLR), a major coffee disease. We monitored coffee plant and CLR dynamics simultaneously in plots under different disease management and agroforestry systems. Diseased leaves were also collected to characterize inoculum stock and rust life stages (latent rust area, area with uredospores, necrosis due to rust) through picture analysis. We used structural equation modeling to obtain an overview of CLR pathosystem functioning on a plant scale. This overview integrates processes such as disease dilution by host leaf renewal, direct and indirect effects of fruit load on CLR development, antagonistic effects of shading depending on rust life stages, the tonic effect of copper-based fungicides on leaf retention, and effects on rust life stages depending on fungicide types. From our results, we also deduced that the inoculum stock could be calculated in unsprayed plots from the rust area with uredospores, with uredospores at 58 × 103 cm_2, on average.","author":[{"dropping-particle":"","family":"Merle","given":"Isabelle","non-dropping-particle":"","parse-names":false,"suffix":""},{"dropping-particle":"","family":"Pico","given":"Jimmy","non-dropping-particle":"","parse-names":false,"suffix":""},{"dropping-particle":"","family":"Granados","given":"Eduardo","non-dropping-particle":"","parse-names":false,"suffix":""},{"dropping-particle":"","family":"Boudrot","given":"Audrey","non-dropping-particle":"","parse-names":false,"suffix":""},{"dropping-particle":"","family":"Tixier","given":"Philippe","non-dropping-particle":"","parse-names":false,"suffix":""},{"dropping-particle":"","family":"Melo Virginio Filho","given":"Elías","non-dropping-particle":"de","parse-names":false,"suffix":""},{"dropping-particle":"","family":"Cilas","given":"Christian","non-dropping-particle":"","parse-names":false,"suffix":""},{"dropping-particle":"","family":"Avelino","given":"Jacques","non-dropping-particle":"","parse-names":false,"suffix":""}],"container-title":"Phytopathology","id":"ITEM-2","issue":"2","issued":{"date-parts":[["2020"]]},"page":"418-427","title":"Unraveling the complexity of coffee leaf rust behavior and development in different Coffea arabica agroecosystems","type":"article-journal","volume":"110"},"uris":["http://www.mendeley.com/documents/?uuid=929c41e2-bfa1-4ad8-8e82-a40e99835114"]}],"mendeley":{"formattedCitation":"(Koutouleas, 2023; Merle et al., 2020)","plainTextFormattedCitation":"(Koutouleas, 2023; Merle et al., 2020)","previouslyFormattedCitation":"(Koutouleas, 2023; Merle et al., 2020)"},"properties":{"noteIndex":0},"schema":"https://github.com/citation-style-language/schema/raw/master/csl-citation.json"}</w:instrText>
      </w:r>
      <w:r>
        <w:rPr>
          <w:rFonts w:ascii="Arial" w:eastAsia="Arial" w:hAnsi="Arial" w:cs="Arial"/>
        </w:rPr>
        <w:fldChar w:fldCharType="separate"/>
      </w:r>
      <w:r w:rsidRPr="00FC438A">
        <w:rPr>
          <w:rFonts w:ascii="Arial" w:eastAsia="Arial" w:hAnsi="Arial" w:cs="Arial"/>
          <w:noProof/>
        </w:rPr>
        <w:t>(Koutouleas, 2023; Merle et al., 2020)</w:t>
      </w:r>
      <w:r>
        <w:rPr>
          <w:rFonts w:ascii="Arial" w:eastAsia="Arial" w:hAnsi="Arial" w:cs="Arial"/>
        </w:rPr>
        <w:fldChar w:fldCharType="end"/>
      </w:r>
      <w:r w:rsidRPr="00BC20AC">
        <w:rPr>
          <w:rFonts w:ascii="Arial" w:eastAsia="Arial" w:hAnsi="Arial" w:cs="Arial"/>
        </w:rPr>
        <w:t>.</w:t>
      </w:r>
      <w:r>
        <w:rPr>
          <w:rFonts w:ascii="Arial" w:eastAsia="Arial" w:hAnsi="Arial" w:cs="Arial"/>
        </w:rPr>
        <w:t xml:space="preserve"> </w:t>
      </w:r>
      <w:r w:rsidR="00B31800" w:rsidRPr="00B31800">
        <w:rPr>
          <w:rFonts w:ascii="Arial" w:eastAsia="Arial" w:hAnsi="Arial" w:cs="Arial"/>
        </w:rPr>
        <w:t>This reflects established physiological trade-offs: when resources are directed toward fruit development, assimilate depletion and nutritional imbalances reduce the plant’s ability to regenerate leaves and maintain defense mechanisms, ultimately intensifying CLR impact on yield</w:t>
      </w:r>
      <w:r w:rsidR="00FC438A">
        <w:rPr>
          <w:rFonts w:ascii="Arial" w:eastAsia="Arial" w:hAnsi="Arial" w:cs="Arial"/>
        </w:rPr>
        <w:t xml:space="preserve"> </w:t>
      </w:r>
      <w:r w:rsidR="00F932CE">
        <w:rPr>
          <w:rFonts w:ascii="Arial" w:hAnsi="Arial" w:cs="Arial"/>
        </w:rPr>
        <w:fldChar w:fldCharType="begin" w:fldLock="1"/>
      </w:r>
      <w:r w:rsidR="00F932CE">
        <w:rPr>
          <w:rFonts w:ascii="Arial" w:hAnsi="Arial" w:cs="Arial"/>
        </w:rPr>
        <w:instrText>ADDIN CSL_CITATION {"citationItems":[{"id":"ITEM-1","itemData":{"author":[{"dropping-particle":"","family":"Pozza","given":"E. A. A.","non-dropping-particle":"","parse-names":false,"suffix":""}],"container-title":"Brasília: Sociedade brasileira de Fitopatologia","id":"ITEM-1","issued":{"date-parts":[["2008"]]},"page":"81-94","title":"Importância das doenças foliares do cafeeiro. Núcleo de estudos em fitopatologia","type":"article-journal","volume":"1"},"uris":["http://www.mendeley.com/documents/?uuid=57eae317-150c-436a-9052-895d300d9e2e","http://www.mendeley.com/documents/?uuid=e3e32500-21ce-4e7c-8b28-6961006a0d38"]},{"id":"ITEM-2","itemData":{"DOI":"10.1590/S1982-56762008000200005","ISSN":"19825676","abstract":"A decision tree was developed to aid the understanding of coffee rust epidemics caused by Hemileia vastatrix. Infection rates calculated from monthly assessments of rust incidence were grouped into three classes: reduction or stagnation - TX1; moderate growth (up to 5pp) - TX2; and accelerated growth (above 5pp) - TX3. Meteorological data, expected yield and space between plants were used as explanatory variables for the infection rate classes. The decision tree was trained using 364 examples prepared from data collected in coffee-growing areas between October 1998 and October 2006. The model correctly classified 78% of the training data set and its accuracy was estimated at 73% for the classification of new examples. The success rates of the model were 88%, 57% and 79%, respectively, for the infection rate classes TX1, TX2 and TX3. The most important explanatory variables were mean temperature during leaf wetness periods, expected yield, mean of maximum temperatures during the incubation period and relative air humidity. The decision tree demonstrated its potential as a symbolic and interpretable model. Its model representation identified the existing decision boundaries in the data and the logic underlying them, helping to understand which variables, and interactions between these variables, led to coffee rust epidemics in the field. Copyright by the Brazilian Phytopathological Society.","author":[{"dropping-particle":"","family":"Meira","given":"Carlos A.A.","non-dropping-particle":"","parse-names":false,"suffix":""},{"dropping-particle":"","family":"Rodrigues","given":"Luiz H.A.","non-dropping-particle":"","parse-names":false,"suffix":""},{"dropping-particle":"","family":"Moraes","given":"Sérgio A.","non-dropping-particle":"","parse-names":false,"suffix":""}],"container-title":"Tropical Plant Pathology","id":"ITEM-2","issue":"2","issued":{"date-parts":[["2008"]]},"page":"114-124","title":"Análise da epidemia da ferrugem do cafeeiro com árvore de decisão","type":"article-journal","volume":"33"},"uris":["http://www.mendeley.com/documents/?uuid=5a329b05-6a1c-4ac8-a97c-9c04cbeee384","http://www.mendeley.com/documents/?uuid=8c85a1cb-1143-4e1e-b27c-b748e5909cc5"]},{"id":"ITEM-3","itemData":{"ISSN":"14590263","abstract":"The fertilization with micronutrients in coffee plantations is a widespread practice; however, the benefits provided by these elements, as well as their sources, requires broader and deeper studies. Therefore, the objective of this study was to evaluate the influence of different sources of copper (Cu) on the growth, crop yield and intensity of leaf rust on Arabica coffee plants. The experiment was conducted at the “Eloy Carlos Heringer” Centre for Coffee Research (Centro de Pesquisas Cafeeiras “Eloy Carlos Heringer” – CEPEC) in municipality of Martins Soares, Minas Gerais State, Brazil. The experimental design used was a randomised block, with treatments consisting of seven copper sources: COC = copper carbonate; HOCp = copper hydroxide (powder); HOCl = copper hydroxide (liquid); OCC = copper oxychloride; SCO = copper sulphate; SCO + CAL = copper sulphate + lime, and OXC = cuprous oxide, with three replications. The treatments were applied in three sprayings, spaced at 30-day intervals. Before the first application and 30 days after each spraying, leaves were collected for nutritional analysis. Periodically, morphological and agrochemical parameters were assessed, where the count of vegetative internodes, number of leaves, and incidence and severity of rust were performed. At harvest, the crop yield, weight of unripe, dry and ripe fruits, percentage of floating fruits, and sieve classification were evaluated. For the studied conditions, the treatments with OCC and HOCp provided greater reductions in the intensity of rust; treatments with HOCp, HOCl and OCC promoted greater increases in crop yield; and HOCl promoted higher uniformity of ripening.","author":[{"dropping-particle":"","family":"Brinate","given":"Sebastião V.B.","non-dropping-particle":"","parse-names":false,"suffix":""},{"dropping-particle":"","family":"Martins","given":"Lima D.","non-dropping-particle":"","parse-names":false,"suffix":""},{"dropping-particle":"","family":"Rodrigues","given":"Wagner N.","non-dropping-particle":"","parse-names":false,"suffix":""},{"dropping-particle":"V.","family":"Colodetti","given":"Tafarel","non-dropping-particle":"","parse-names":false,"suffix":""},{"dropping-particle":"V.","family":"Cunha","given":"Vinícius","non-dropping-particle":"","parse-names":false,"suffix":""},{"dropping-particle":"","family":"Rosa","given":"Gustavo N.G.P.","non-dropping-particle":"","parse-names":false,"suffix":""},{"dropping-particle":"","family":"Junior","given":"Waldir C.J.","non-dropping-particle":"","parse-names":false,"suffix":""},{"dropping-particle":"","family":"Tomaz","given":"Marcelo A.","non-dropping-particle":"","parse-names":false,"suffix":""}],"container-title":"Journal of Food, Agriculture and Environment","id":"ITEM-3","issue":"2","issued":{"date-parts":[["2015"]]},"page":"184-189","title":"Influence of copper sources on the management of leaf rust, growth and crop yield of Arabica coffee","type":"article-journal","volume":"13"},"uris":["http://www.mendeley.com/documents/?uuid=172f26b4-014b-4845-b80f-27682fec75e7","http://www.mendeley.com/documents/?uuid=bb6c3e37-bd68-4c20-9b90-6944c07367ed"]}],"mendeley":{"formattedCitation":"(Brinate et al., 2015; Meira et al., 2008; Pozza, 2008)","plainTextFormattedCitation":"(Brinate et al., 2015; Meira et al., 2008; Pozza, 2008)","previouslyFormattedCitation":"(Brinate et al., 2015; Meira et al., 2008; Pozza, 2008)"},"properties":{"noteIndex":0},"schema":"https://github.com/citation-style-language/schema/raw/master/csl-citation.json"}</w:instrText>
      </w:r>
      <w:r w:rsidR="00F932CE">
        <w:rPr>
          <w:rFonts w:ascii="Arial" w:hAnsi="Arial" w:cs="Arial"/>
        </w:rPr>
        <w:fldChar w:fldCharType="separate"/>
      </w:r>
      <w:r w:rsidR="00F932CE" w:rsidRPr="00DF6C2B">
        <w:rPr>
          <w:rFonts w:ascii="Arial" w:hAnsi="Arial" w:cs="Arial"/>
          <w:noProof/>
        </w:rPr>
        <w:t>(Brinate et al., 2015; Meira et al., 2008; Pozza, 2008)</w:t>
      </w:r>
      <w:r w:rsidR="00F932CE">
        <w:rPr>
          <w:rFonts w:ascii="Arial" w:hAnsi="Arial" w:cs="Arial"/>
        </w:rPr>
        <w:fldChar w:fldCharType="end"/>
      </w:r>
      <w:r w:rsidR="00F932CE" w:rsidRPr="00AD6737">
        <w:rPr>
          <w:rFonts w:ascii="Arial" w:hAnsi="Arial" w:cs="Arial"/>
        </w:rPr>
        <w:t>.</w:t>
      </w:r>
    </w:p>
    <w:p w14:paraId="32218EA5" w14:textId="77777777" w:rsidR="00FC438A" w:rsidRDefault="00FC438A" w:rsidP="00226E1C">
      <w:pPr>
        <w:spacing w:line="276" w:lineRule="auto"/>
        <w:jc w:val="both"/>
        <w:rPr>
          <w:rFonts w:ascii="Arial" w:eastAsia="Arial" w:hAnsi="Arial" w:cs="Arial"/>
        </w:rPr>
      </w:pPr>
    </w:p>
    <w:p w14:paraId="04ADD05F" w14:textId="3F83FD3A" w:rsidR="004656BC" w:rsidRDefault="0036642B">
      <w:pPr>
        <w:spacing w:line="276" w:lineRule="auto"/>
        <w:jc w:val="both"/>
        <w:rPr>
          <w:rFonts w:ascii="Arial" w:eastAsia="Arial" w:hAnsi="Arial" w:cs="Arial"/>
        </w:rPr>
      </w:pPr>
      <w:r>
        <w:rPr>
          <w:rFonts w:ascii="Arial" w:eastAsia="Arial" w:hAnsi="Arial" w:cs="Arial"/>
        </w:rPr>
        <w:t>T</w:t>
      </w:r>
      <w:r w:rsidRPr="0036642B">
        <w:rPr>
          <w:rFonts w:ascii="Arial" w:eastAsia="Arial" w:hAnsi="Arial" w:cs="Arial"/>
        </w:rPr>
        <w:t xml:space="preserve">hese </w:t>
      </w:r>
      <w:r w:rsidR="00B31800" w:rsidRPr="00B31800">
        <w:rPr>
          <w:rFonts w:ascii="Arial" w:eastAsia="Arial" w:hAnsi="Arial" w:cs="Arial"/>
        </w:rPr>
        <w:t>findings indicate distinct host–pathogen interaction strategies among clones:</w:t>
      </w:r>
      <w:r w:rsidR="00B31800">
        <w:rPr>
          <w:rFonts w:ascii="Arial" w:eastAsia="Arial" w:hAnsi="Arial" w:cs="Arial"/>
        </w:rPr>
        <w:t xml:space="preserve"> </w:t>
      </w:r>
      <w:r w:rsidRPr="0036642B">
        <w:rPr>
          <w:rFonts w:ascii="Arial" w:eastAsia="Arial" w:hAnsi="Arial" w:cs="Arial"/>
        </w:rPr>
        <w:t xml:space="preserve">resistance in clone 213 (low severity with stable yield), tolerance in clone 224 (moderate yield under disease but environmentally unstable), and susceptibility in clones 211 and 222 (high severity with reduced yield). </w:t>
      </w:r>
      <w:r w:rsidR="00B31800" w:rsidRPr="00B31800">
        <w:rPr>
          <w:rFonts w:ascii="Arial" w:eastAsia="Arial" w:hAnsi="Arial" w:cs="Arial"/>
        </w:rPr>
        <w:t xml:space="preserve">This highlights the importance of integrating genetic resistance with agronomic practices to stabilize productivity under both biennial and climatic variability, providing a foundation for targeted </w:t>
      </w:r>
      <w:r w:rsidR="00B31800" w:rsidRPr="00B31800">
        <w:rPr>
          <w:rFonts w:ascii="Arial" w:eastAsia="Arial" w:hAnsi="Arial" w:cs="Arial"/>
          <w:i/>
          <w:iCs/>
        </w:rPr>
        <w:t xml:space="preserve">C. </w:t>
      </w:r>
      <w:proofErr w:type="spellStart"/>
      <w:r w:rsidR="00B31800" w:rsidRPr="00B31800">
        <w:rPr>
          <w:rFonts w:ascii="Arial" w:eastAsia="Arial" w:hAnsi="Arial" w:cs="Arial"/>
          <w:i/>
          <w:iCs/>
        </w:rPr>
        <w:t>liberica</w:t>
      </w:r>
      <w:proofErr w:type="spellEnd"/>
      <w:r w:rsidR="00B31800" w:rsidRPr="00B31800">
        <w:rPr>
          <w:rFonts w:ascii="Arial" w:eastAsia="Arial" w:hAnsi="Arial" w:cs="Arial"/>
        </w:rPr>
        <w:t xml:space="preserve"> breeding and management strategies.</w:t>
      </w:r>
    </w:p>
    <w:p w14:paraId="26305A13" w14:textId="77777777" w:rsidR="004617C9" w:rsidRDefault="004617C9">
      <w:pPr>
        <w:spacing w:line="276" w:lineRule="auto"/>
        <w:jc w:val="both"/>
        <w:rPr>
          <w:rFonts w:ascii="Arial" w:eastAsia="Arial" w:hAnsi="Arial" w:cs="Arial"/>
        </w:rPr>
      </w:pPr>
    </w:p>
    <w:p w14:paraId="7ACF5EA7" w14:textId="0570CA58" w:rsidR="009C1ED2" w:rsidRDefault="00E37E9E">
      <w:pPr>
        <w:tabs>
          <w:tab w:val="left" w:pos="1080"/>
        </w:tabs>
        <w:spacing w:line="276" w:lineRule="auto"/>
        <w:jc w:val="both"/>
        <w:rPr>
          <w:rFonts w:ascii="Arial" w:eastAsia="Arial" w:hAnsi="Arial" w:cs="Arial"/>
        </w:rPr>
      </w:pPr>
      <w:r>
        <w:rPr>
          <w:rFonts w:ascii="Arial" w:eastAsia="Arial" w:hAnsi="Arial" w:cs="Arial"/>
          <w:b/>
        </w:rPr>
        <w:t>Table 1</w:t>
      </w:r>
      <w:r w:rsidR="00D14F1C">
        <w:rPr>
          <w:rFonts w:ascii="Arial" w:eastAsia="Arial" w:hAnsi="Arial" w:cs="Arial"/>
          <w:b/>
        </w:rPr>
        <w:t xml:space="preserve">. </w:t>
      </w:r>
      <w:r w:rsidR="0028587E" w:rsidRPr="0028587E">
        <w:rPr>
          <w:rFonts w:ascii="Arial" w:eastAsia="Arial" w:hAnsi="Arial" w:cs="Arial"/>
          <w:b/>
        </w:rPr>
        <w:t xml:space="preserve">Mean fresh berry yield, disease incidence and disease severity index (DSI) of five </w:t>
      </w:r>
      <w:proofErr w:type="spellStart"/>
      <w:r w:rsidR="0028587E" w:rsidRPr="0028587E">
        <w:rPr>
          <w:rFonts w:ascii="Arial" w:eastAsia="Arial" w:hAnsi="Arial" w:cs="Arial"/>
          <w:b/>
          <w:i/>
          <w:iCs/>
        </w:rPr>
        <w:t>Coffea</w:t>
      </w:r>
      <w:proofErr w:type="spellEnd"/>
      <w:r w:rsidR="0028587E" w:rsidRPr="0028587E">
        <w:rPr>
          <w:rFonts w:ascii="Arial" w:eastAsia="Arial" w:hAnsi="Arial" w:cs="Arial"/>
          <w:b/>
          <w:i/>
          <w:iCs/>
        </w:rPr>
        <w:t xml:space="preserve"> </w:t>
      </w:r>
      <w:proofErr w:type="spellStart"/>
      <w:r w:rsidR="0028587E" w:rsidRPr="0028587E">
        <w:rPr>
          <w:rFonts w:ascii="Arial" w:eastAsia="Arial" w:hAnsi="Arial" w:cs="Arial"/>
          <w:b/>
          <w:i/>
          <w:iCs/>
        </w:rPr>
        <w:t>liberica</w:t>
      </w:r>
      <w:proofErr w:type="spellEnd"/>
      <w:r w:rsidR="0028587E" w:rsidRPr="0028587E">
        <w:rPr>
          <w:rFonts w:ascii="Arial" w:eastAsia="Arial" w:hAnsi="Arial" w:cs="Arial"/>
          <w:b/>
        </w:rPr>
        <w:t xml:space="preserve"> clones over two consecutive seasons (Year 1: July 2021–June 2022; Year 2: July 2022–June 2023).</w:t>
      </w:r>
    </w:p>
    <w:p w14:paraId="006F3139" w14:textId="77777777" w:rsidR="009C1ED2" w:rsidRDefault="009C1ED2">
      <w:pPr>
        <w:tabs>
          <w:tab w:val="left" w:pos="1080"/>
        </w:tabs>
        <w:spacing w:line="276" w:lineRule="auto"/>
        <w:jc w:val="both"/>
        <w:rPr>
          <w:rFonts w:ascii="Arial" w:eastAsia="Arial" w:hAnsi="Arial" w:cs="Arial"/>
        </w:rPr>
      </w:pPr>
    </w:p>
    <w:tbl>
      <w:tblPr>
        <w:tblStyle w:val="2"/>
        <w:tblW w:w="5000" w:type="pct"/>
        <w:jc w:val="center"/>
        <w:tblBorders>
          <w:top w:val="single" w:sz="4" w:space="0" w:color="000000"/>
          <w:left w:val="nil"/>
          <w:bottom w:val="single" w:sz="4" w:space="0" w:color="000000"/>
          <w:right w:val="nil"/>
          <w:insideH w:val="nil"/>
          <w:insideV w:val="nil"/>
        </w:tblBorders>
        <w:tblLook w:val="0420" w:firstRow="1" w:lastRow="0" w:firstColumn="0" w:lastColumn="0" w:noHBand="0" w:noVBand="1"/>
      </w:tblPr>
      <w:tblGrid>
        <w:gridCol w:w="1122"/>
        <w:gridCol w:w="1733"/>
        <w:gridCol w:w="1591"/>
        <w:gridCol w:w="1590"/>
        <w:gridCol w:w="1434"/>
        <w:gridCol w:w="1665"/>
        <w:gridCol w:w="1665"/>
      </w:tblGrid>
      <w:tr w:rsidR="009C1ED2" w14:paraId="5900E4B6" w14:textId="77777777" w:rsidTr="00FA5B2E">
        <w:trPr>
          <w:cnfStyle w:val="100000000000" w:firstRow="1" w:lastRow="0" w:firstColumn="0" w:lastColumn="0" w:oddVBand="0" w:evenVBand="0" w:oddHBand="0" w:evenHBand="0" w:firstRowFirstColumn="0" w:firstRowLastColumn="0" w:lastRowFirstColumn="0" w:lastRowLastColumn="0"/>
          <w:trHeight w:val="388"/>
          <w:jc w:val="center"/>
        </w:trPr>
        <w:tc>
          <w:tcPr>
            <w:tcW w:w="519" w:type="pct"/>
            <w:tcBorders>
              <w:top w:val="single" w:sz="4" w:space="0" w:color="000000"/>
              <w:bottom w:val="nil"/>
              <w:right w:val="single" w:sz="4" w:space="0" w:color="auto"/>
            </w:tcBorders>
          </w:tcPr>
          <w:p w14:paraId="44BFFCCC" w14:textId="77777777" w:rsidR="009C1ED2" w:rsidRDefault="009C1ED2">
            <w:pPr>
              <w:spacing w:line="276" w:lineRule="auto"/>
              <w:jc w:val="both"/>
              <w:rPr>
                <w:rFonts w:ascii="Arial" w:eastAsia="Arial" w:hAnsi="Arial" w:cs="Arial"/>
                <w:sz w:val="20"/>
                <w:szCs w:val="20"/>
              </w:rPr>
            </w:pPr>
          </w:p>
        </w:tc>
        <w:tc>
          <w:tcPr>
            <w:tcW w:w="1538" w:type="pct"/>
            <w:gridSpan w:val="2"/>
            <w:tcBorders>
              <w:top w:val="single" w:sz="4" w:space="0" w:color="000000"/>
              <w:left w:val="single" w:sz="4" w:space="0" w:color="auto"/>
              <w:bottom w:val="single" w:sz="4" w:space="0" w:color="000000"/>
              <w:right w:val="single" w:sz="4" w:space="0" w:color="auto"/>
            </w:tcBorders>
          </w:tcPr>
          <w:p w14:paraId="1451F495" w14:textId="65159736"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Fresh berry yield</w:t>
            </w:r>
          </w:p>
          <w:p w14:paraId="2720A83C" w14:textId="44B240E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(kg</w:t>
            </w:r>
            <w:r w:rsidR="009730DD">
              <w:rPr>
                <w:rFonts w:ascii="Arial" w:eastAsia="Arial" w:hAnsi="Arial" w:cs="Arial"/>
                <w:sz w:val="20"/>
                <w:szCs w:val="20"/>
              </w:rPr>
              <w:t xml:space="preserve"> tree</w:t>
            </w:r>
            <w:r w:rsidR="009730DD">
              <w:rPr>
                <w:rFonts w:ascii="Arial" w:eastAsia="Arial" w:hAnsi="Arial" w:cs="Arial"/>
                <w:sz w:val="20"/>
                <w:szCs w:val="20"/>
                <w:vertAlign w:val="superscript"/>
              </w:rPr>
              <w:t>-1</w:t>
            </w:r>
            <w:r>
              <w:rPr>
                <w:rFonts w:ascii="Arial" w:eastAsia="Arial" w:hAnsi="Arial" w:cs="Arial"/>
                <w:sz w:val="20"/>
                <w:szCs w:val="20"/>
              </w:rPr>
              <w:t>)</w:t>
            </w:r>
          </w:p>
        </w:tc>
        <w:tc>
          <w:tcPr>
            <w:tcW w:w="1400" w:type="pct"/>
            <w:gridSpan w:val="2"/>
            <w:tcBorders>
              <w:top w:val="single" w:sz="4" w:space="0" w:color="000000"/>
              <w:left w:val="single" w:sz="4" w:space="0" w:color="auto"/>
              <w:bottom w:val="single" w:sz="4" w:space="0" w:color="000000"/>
              <w:right w:val="single" w:sz="4" w:space="0" w:color="auto"/>
            </w:tcBorders>
          </w:tcPr>
          <w:p w14:paraId="2AE2D0CD"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Disease incidence</w:t>
            </w:r>
          </w:p>
          <w:p w14:paraId="5A711B7E"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w:t>
            </w:r>
          </w:p>
        </w:tc>
        <w:tc>
          <w:tcPr>
            <w:tcW w:w="1542" w:type="pct"/>
            <w:gridSpan w:val="2"/>
            <w:tcBorders>
              <w:top w:val="single" w:sz="4" w:space="0" w:color="000000"/>
              <w:left w:val="single" w:sz="4" w:space="0" w:color="auto"/>
              <w:bottom w:val="single" w:sz="4" w:space="0" w:color="000000"/>
            </w:tcBorders>
          </w:tcPr>
          <w:p w14:paraId="40389481"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Disease severity index</w:t>
            </w:r>
          </w:p>
          <w:p w14:paraId="55A5E9A3"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(DSI, %)</w:t>
            </w:r>
          </w:p>
        </w:tc>
      </w:tr>
      <w:tr w:rsidR="009C1ED2" w14:paraId="1E19110B" w14:textId="77777777" w:rsidTr="00FA5B2E">
        <w:trPr>
          <w:trHeight w:val="388"/>
          <w:jc w:val="center"/>
        </w:trPr>
        <w:tc>
          <w:tcPr>
            <w:tcW w:w="519" w:type="pct"/>
            <w:tcBorders>
              <w:top w:val="nil"/>
              <w:bottom w:val="single" w:sz="4" w:space="0" w:color="000000"/>
              <w:right w:val="single" w:sz="4" w:space="0" w:color="auto"/>
            </w:tcBorders>
          </w:tcPr>
          <w:p w14:paraId="1252F36F" w14:textId="77777777" w:rsidR="009C1ED2" w:rsidRDefault="00E37E9E">
            <w:pPr>
              <w:spacing w:line="276" w:lineRule="auto"/>
              <w:jc w:val="both"/>
              <w:rPr>
                <w:rFonts w:ascii="Arial" w:eastAsia="Arial" w:hAnsi="Arial" w:cs="Arial"/>
                <w:b/>
                <w:sz w:val="20"/>
                <w:szCs w:val="20"/>
              </w:rPr>
            </w:pPr>
            <w:r>
              <w:rPr>
                <w:rFonts w:ascii="Arial" w:eastAsia="Arial" w:hAnsi="Arial" w:cs="Arial"/>
                <w:b/>
                <w:sz w:val="20"/>
                <w:szCs w:val="20"/>
              </w:rPr>
              <w:t>Clone</w:t>
            </w:r>
          </w:p>
        </w:tc>
        <w:tc>
          <w:tcPr>
            <w:tcW w:w="802" w:type="pct"/>
            <w:tcBorders>
              <w:top w:val="single" w:sz="4" w:space="0" w:color="000000"/>
              <w:left w:val="single" w:sz="4" w:space="0" w:color="auto"/>
              <w:bottom w:val="single" w:sz="4" w:space="0" w:color="000000"/>
              <w:right w:val="single" w:sz="4" w:space="0" w:color="auto"/>
            </w:tcBorders>
          </w:tcPr>
          <w:p w14:paraId="1351B096"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1</w:t>
            </w:r>
          </w:p>
        </w:tc>
        <w:tc>
          <w:tcPr>
            <w:tcW w:w="736" w:type="pct"/>
            <w:tcBorders>
              <w:top w:val="single" w:sz="4" w:space="0" w:color="000000"/>
              <w:left w:val="single" w:sz="4" w:space="0" w:color="auto"/>
              <w:bottom w:val="single" w:sz="4" w:space="0" w:color="000000"/>
              <w:right w:val="single" w:sz="4" w:space="0" w:color="auto"/>
            </w:tcBorders>
          </w:tcPr>
          <w:p w14:paraId="3FF01401"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2</w:t>
            </w:r>
          </w:p>
        </w:tc>
        <w:tc>
          <w:tcPr>
            <w:tcW w:w="736" w:type="pct"/>
            <w:tcBorders>
              <w:top w:val="single" w:sz="4" w:space="0" w:color="000000"/>
              <w:left w:val="single" w:sz="4" w:space="0" w:color="auto"/>
              <w:bottom w:val="single" w:sz="4" w:space="0" w:color="000000"/>
              <w:right w:val="single" w:sz="4" w:space="0" w:color="auto"/>
            </w:tcBorders>
          </w:tcPr>
          <w:p w14:paraId="783C35F6"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1</w:t>
            </w:r>
          </w:p>
        </w:tc>
        <w:tc>
          <w:tcPr>
            <w:tcW w:w="664" w:type="pct"/>
            <w:tcBorders>
              <w:top w:val="single" w:sz="4" w:space="0" w:color="000000"/>
              <w:left w:val="single" w:sz="4" w:space="0" w:color="auto"/>
              <w:bottom w:val="single" w:sz="4" w:space="0" w:color="000000"/>
              <w:right w:val="single" w:sz="4" w:space="0" w:color="auto"/>
            </w:tcBorders>
          </w:tcPr>
          <w:p w14:paraId="38EF2923"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2</w:t>
            </w:r>
          </w:p>
        </w:tc>
        <w:tc>
          <w:tcPr>
            <w:tcW w:w="771" w:type="pct"/>
            <w:tcBorders>
              <w:top w:val="single" w:sz="4" w:space="0" w:color="000000"/>
              <w:left w:val="single" w:sz="4" w:space="0" w:color="auto"/>
              <w:bottom w:val="single" w:sz="4" w:space="0" w:color="000000"/>
              <w:right w:val="single" w:sz="4" w:space="0" w:color="auto"/>
            </w:tcBorders>
          </w:tcPr>
          <w:p w14:paraId="4A09E67A"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1</w:t>
            </w:r>
          </w:p>
        </w:tc>
        <w:tc>
          <w:tcPr>
            <w:tcW w:w="771" w:type="pct"/>
            <w:tcBorders>
              <w:top w:val="single" w:sz="4" w:space="0" w:color="000000"/>
              <w:left w:val="single" w:sz="4" w:space="0" w:color="auto"/>
              <w:bottom w:val="single" w:sz="4" w:space="0" w:color="000000"/>
            </w:tcBorders>
          </w:tcPr>
          <w:p w14:paraId="78DBAA16"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2</w:t>
            </w:r>
          </w:p>
        </w:tc>
      </w:tr>
      <w:tr w:rsidR="009C1ED2" w14:paraId="6C9B4B83" w14:textId="77777777" w:rsidTr="00FA5B2E">
        <w:trPr>
          <w:trHeight w:val="397"/>
          <w:jc w:val="center"/>
        </w:trPr>
        <w:tc>
          <w:tcPr>
            <w:tcW w:w="519" w:type="pct"/>
            <w:tcBorders>
              <w:top w:val="single" w:sz="4" w:space="0" w:color="000000"/>
              <w:right w:val="single" w:sz="4" w:space="0" w:color="auto"/>
            </w:tcBorders>
          </w:tcPr>
          <w:p w14:paraId="42AFA0FF" w14:textId="77777777" w:rsidR="009C1ED2" w:rsidRDefault="00E37E9E">
            <w:pPr>
              <w:spacing w:line="276" w:lineRule="auto"/>
              <w:jc w:val="both"/>
              <w:rPr>
                <w:rFonts w:ascii="Arial" w:eastAsia="Arial" w:hAnsi="Arial" w:cs="Arial"/>
                <w:sz w:val="20"/>
                <w:szCs w:val="20"/>
              </w:rPr>
            </w:pPr>
            <w:r>
              <w:rPr>
                <w:rFonts w:ascii="Arial" w:eastAsia="Arial" w:hAnsi="Arial" w:cs="Arial"/>
                <w:sz w:val="20"/>
                <w:szCs w:val="20"/>
              </w:rPr>
              <w:t>211</w:t>
            </w:r>
          </w:p>
        </w:tc>
        <w:tc>
          <w:tcPr>
            <w:tcW w:w="802" w:type="pct"/>
            <w:tcBorders>
              <w:top w:val="single" w:sz="4" w:space="0" w:color="000000"/>
              <w:left w:val="single" w:sz="4" w:space="0" w:color="auto"/>
              <w:right w:val="single" w:sz="4" w:space="0" w:color="auto"/>
            </w:tcBorders>
          </w:tcPr>
          <w:p w14:paraId="66C033D8"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1.078 </w:t>
            </w:r>
            <w:proofErr w:type="spellStart"/>
            <w:r>
              <w:rPr>
                <w:rFonts w:ascii="Arial" w:eastAsia="Arial" w:hAnsi="Arial" w:cs="Arial"/>
                <w:sz w:val="20"/>
                <w:szCs w:val="20"/>
              </w:rPr>
              <w:t>abcA</w:t>
            </w:r>
            <w:proofErr w:type="spellEnd"/>
          </w:p>
        </w:tc>
        <w:tc>
          <w:tcPr>
            <w:tcW w:w="736" w:type="pct"/>
            <w:tcBorders>
              <w:top w:val="single" w:sz="4" w:space="0" w:color="000000"/>
              <w:left w:val="single" w:sz="4" w:space="0" w:color="auto"/>
              <w:right w:val="single" w:sz="4" w:space="0" w:color="auto"/>
            </w:tcBorders>
          </w:tcPr>
          <w:p w14:paraId="7691E42B"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0.706 </w:t>
            </w:r>
            <w:proofErr w:type="spellStart"/>
            <w:r>
              <w:rPr>
                <w:rFonts w:ascii="Arial" w:eastAsia="Arial" w:hAnsi="Arial" w:cs="Arial"/>
                <w:sz w:val="20"/>
                <w:szCs w:val="20"/>
              </w:rPr>
              <w:t>abB</w:t>
            </w:r>
            <w:proofErr w:type="spellEnd"/>
          </w:p>
        </w:tc>
        <w:tc>
          <w:tcPr>
            <w:tcW w:w="736" w:type="pct"/>
            <w:tcBorders>
              <w:top w:val="single" w:sz="4" w:space="0" w:color="000000"/>
              <w:left w:val="single" w:sz="4" w:space="0" w:color="auto"/>
              <w:right w:val="single" w:sz="4" w:space="0" w:color="auto"/>
            </w:tcBorders>
          </w:tcPr>
          <w:p w14:paraId="55EB4BBE"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40.61 </w:t>
            </w:r>
            <w:proofErr w:type="spellStart"/>
            <w:r>
              <w:rPr>
                <w:rFonts w:ascii="Arial" w:eastAsia="Arial" w:hAnsi="Arial" w:cs="Arial"/>
                <w:sz w:val="20"/>
                <w:szCs w:val="20"/>
              </w:rPr>
              <w:t>aA</w:t>
            </w:r>
            <w:proofErr w:type="spellEnd"/>
          </w:p>
        </w:tc>
        <w:tc>
          <w:tcPr>
            <w:tcW w:w="664" w:type="pct"/>
            <w:tcBorders>
              <w:top w:val="single" w:sz="4" w:space="0" w:color="000000"/>
              <w:left w:val="single" w:sz="4" w:space="0" w:color="auto"/>
              <w:right w:val="single" w:sz="4" w:space="0" w:color="auto"/>
            </w:tcBorders>
          </w:tcPr>
          <w:p w14:paraId="3EC59742"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38.37 </w:t>
            </w:r>
            <w:proofErr w:type="spellStart"/>
            <w:r>
              <w:rPr>
                <w:rFonts w:ascii="Arial" w:eastAsia="Arial" w:hAnsi="Arial" w:cs="Arial"/>
                <w:sz w:val="20"/>
                <w:szCs w:val="20"/>
              </w:rPr>
              <w:t>aB</w:t>
            </w:r>
            <w:proofErr w:type="spellEnd"/>
          </w:p>
        </w:tc>
        <w:tc>
          <w:tcPr>
            <w:tcW w:w="771" w:type="pct"/>
            <w:tcBorders>
              <w:top w:val="single" w:sz="4" w:space="0" w:color="000000"/>
              <w:left w:val="single" w:sz="4" w:space="0" w:color="auto"/>
              <w:right w:val="single" w:sz="4" w:space="0" w:color="auto"/>
            </w:tcBorders>
          </w:tcPr>
          <w:p w14:paraId="3D4893A5"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15.09 </w:t>
            </w:r>
            <w:proofErr w:type="spellStart"/>
            <w:r>
              <w:rPr>
                <w:rFonts w:ascii="Arial" w:eastAsia="Arial" w:hAnsi="Arial" w:cs="Arial"/>
                <w:sz w:val="20"/>
                <w:szCs w:val="20"/>
              </w:rPr>
              <w:t>aA</w:t>
            </w:r>
            <w:proofErr w:type="spellEnd"/>
          </w:p>
        </w:tc>
        <w:tc>
          <w:tcPr>
            <w:tcW w:w="771" w:type="pct"/>
            <w:tcBorders>
              <w:top w:val="single" w:sz="4" w:space="0" w:color="000000"/>
              <w:left w:val="single" w:sz="4" w:space="0" w:color="auto"/>
            </w:tcBorders>
          </w:tcPr>
          <w:p w14:paraId="24550486"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12.96 </w:t>
            </w:r>
            <w:proofErr w:type="spellStart"/>
            <w:r>
              <w:rPr>
                <w:rFonts w:ascii="Arial" w:eastAsia="Arial" w:hAnsi="Arial" w:cs="Arial"/>
                <w:sz w:val="20"/>
                <w:szCs w:val="20"/>
              </w:rPr>
              <w:t>aB</w:t>
            </w:r>
            <w:proofErr w:type="spellEnd"/>
          </w:p>
        </w:tc>
      </w:tr>
      <w:tr w:rsidR="009C1ED2" w14:paraId="75D0FE28" w14:textId="77777777" w:rsidTr="00FA5B2E">
        <w:trPr>
          <w:trHeight w:val="397"/>
          <w:jc w:val="center"/>
        </w:trPr>
        <w:tc>
          <w:tcPr>
            <w:tcW w:w="519" w:type="pct"/>
            <w:tcBorders>
              <w:right w:val="single" w:sz="4" w:space="0" w:color="auto"/>
            </w:tcBorders>
          </w:tcPr>
          <w:p w14:paraId="1CACE1B2" w14:textId="77777777" w:rsidR="009C1ED2" w:rsidRDefault="00E37E9E">
            <w:pPr>
              <w:spacing w:line="276" w:lineRule="auto"/>
              <w:jc w:val="both"/>
              <w:rPr>
                <w:rFonts w:ascii="Arial" w:eastAsia="Arial" w:hAnsi="Arial" w:cs="Arial"/>
                <w:sz w:val="20"/>
                <w:szCs w:val="20"/>
              </w:rPr>
            </w:pPr>
            <w:r>
              <w:rPr>
                <w:rFonts w:ascii="Arial" w:eastAsia="Arial" w:hAnsi="Arial" w:cs="Arial"/>
                <w:sz w:val="20"/>
                <w:szCs w:val="20"/>
              </w:rPr>
              <w:t>213</w:t>
            </w:r>
          </w:p>
        </w:tc>
        <w:tc>
          <w:tcPr>
            <w:tcW w:w="802" w:type="pct"/>
            <w:tcBorders>
              <w:left w:val="single" w:sz="4" w:space="0" w:color="auto"/>
              <w:right w:val="single" w:sz="4" w:space="0" w:color="auto"/>
            </w:tcBorders>
          </w:tcPr>
          <w:p w14:paraId="2F5B1BF1"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1.420 </w:t>
            </w:r>
            <w:proofErr w:type="spellStart"/>
            <w:r>
              <w:rPr>
                <w:rFonts w:ascii="Arial" w:eastAsia="Arial" w:hAnsi="Arial" w:cs="Arial"/>
                <w:sz w:val="20"/>
                <w:szCs w:val="20"/>
              </w:rPr>
              <w:t>aA</w:t>
            </w:r>
            <w:proofErr w:type="spellEnd"/>
          </w:p>
        </w:tc>
        <w:tc>
          <w:tcPr>
            <w:tcW w:w="736" w:type="pct"/>
            <w:tcBorders>
              <w:left w:val="single" w:sz="4" w:space="0" w:color="auto"/>
              <w:right w:val="single" w:sz="4" w:space="0" w:color="auto"/>
            </w:tcBorders>
          </w:tcPr>
          <w:p w14:paraId="554BC1D1"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0.623 </w:t>
            </w:r>
            <w:proofErr w:type="spellStart"/>
            <w:r>
              <w:rPr>
                <w:rFonts w:ascii="Arial" w:eastAsia="Arial" w:hAnsi="Arial" w:cs="Arial"/>
                <w:sz w:val="20"/>
                <w:szCs w:val="20"/>
              </w:rPr>
              <w:t>abB</w:t>
            </w:r>
            <w:proofErr w:type="spellEnd"/>
          </w:p>
        </w:tc>
        <w:tc>
          <w:tcPr>
            <w:tcW w:w="736" w:type="pct"/>
            <w:tcBorders>
              <w:left w:val="single" w:sz="4" w:space="0" w:color="auto"/>
              <w:right w:val="single" w:sz="4" w:space="0" w:color="auto"/>
            </w:tcBorders>
          </w:tcPr>
          <w:p w14:paraId="565763E3"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27.18 </w:t>
            </w:r>
            <w:proofErr w:type="spellStart"/>
            <w:r>
              <w:rPr>
                <w:rFonts w:ascii="Arial" w:eastAsia="Arial" w:hAnsi="Arial" w:cs="Arial"/>
                <w:sz w:val="20"/>
                <w:szCs w:val="20"/>
              </w:rPr>
              <w:t>dA</w:t>
            </w:r>
            <w:proofErr w:type="spellEnd"/>
          </w:p>
        </w:tc>
        <w:tc>
          <w:tcPr>
            <w:tcW w:w="664" w:type="pct"/>
            <w:tcBorders>
              <w:left w:val="single" w:sz="4" w:space="0" w:color="auto"/>
              <w:right w:val="single" w:sz="4" w:space="0" w:color="auto"/>
            </w:tcBorders>
          </w:tcPr>
          <w:p w14:paraId="719FEA0E"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19.43 </w:t>
            </w:r>
            <w:proofErr w:type="spellStart"/>
            <w:r>
              <w:rPr>
                <w:rFonts w:ascii="Arial" w:eastAsia="Arial" w:hAnsi="Arial" w:cs="Arial"/>
                <w:sz w:val="20"/>
                <w:szCs w:val="20"/>
              </w:rPr>
              <w:t>cB</w:t>
            </w:r>
            <w:proofErr w:type="spellEnd"/>
          </w:p>
        </w:tc>
        <w:tc>
          <w:tcPr>
            <w:tcW w:w="771" w:type="pct"/>
            <w:tcBorders>
              <w:left w:val="single" w:sz="4" w:space="0" w:color="auto"/>
              <w:right w:val="single" w:sz="4" w:space="0" w:color="auto"/>
            </w:tcBorders>
          </w:tcPr>
          <w:p w14:paraId="1EE31F30"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9.24 </w:t>
            </w:r>
            <w:proofErr w:type="spellStart"/>
            <w:r>
              <w:rPr>
                <w:rFonts w:ascii="Arial" w:eastAsia="Arial" w:hAnsi="Arial" w:cs="Arial"/>
                <w:sz w:val="20"/>
                <w:szCs w:val="20"/>
              </w:rPr>
              <w:t>cA</w:t>
            </w:r>
            <w:proofErr w:type="spellEnd"/>
          </w:p>
        </w:tc>
        <w:tc>
          <w:tcPr>
            <w:tcW w:w="771" w:type="pct"/>
            <w:tcBorders>
              <w:left w:val="single" w:sz="4" w:space="0" w:color="auto"/>
            </w:tcBorders>
          </w:tcPr>
          <w:p w14:paraId="0A3030E9"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4.56 </w:t>
            </w:r>
            <w:proofErr w:type="spellStart"/>
            <w:r>
              <w:rPr>
                <w:rFonts w:ascii="Arial" w:eastAsia="Arial" w:hAnsi="Arial" w:cs="Arial"/>
                <w:sz w:val="20"/>
                <w:szCs w:val="20"/>
              </w:rPr>
              <w:t>cB</w:t>
            </w:r>
            <w:proofErr w:type="spellEnd"/>
          </w:p>
        </w:tc>
      </w:tr>
      <w:tr w:rsidR="009C1ED2" w14:paraId="12659E0C" w14:textId="77777777" w:rsidTr="00FA5B2E">
        <w:trPr>
          <w:trHeight w:val="397"/>
          <w:jc w:val="center"/>
        </w:trPr>
        <w:tc>
          <w:tcPr>
            <w:tcW w:w="519" w:type="pct"/>
            <w:tcBorders>
              <w:right w:val="single" w:sz="4" w:space="0" w:color="auto"/>
            </w:tcBorders>
          </w:tcPr>
          <w:p w14:paraId="6DB3487A" w14:textId="77777777" w:rsidR="009C1ED2" w:rsidRDefault="00E37E9E">
            <w:pPr>
              <w:spacing w:line="276" w:lineRule="auto"/>
              <w:jc w:val="both"/>
              <w:rPr>
                <w:rFonts w:ascii="Arial" w:eastAsia="Arial" w:hAnsi="Arial" w:cs="Arial"/>
                <w:sz w:val="20"/>
                <w:szCs w:val="20"/>
              </w:rPr>
            </w:pPr>
            <w:r>
              <w:rPr>
                <w:rFonts w:ascii="Arial" w:eastAsia="Arial" w:hAnsi="Arial" w:cs="Arial"/>
                <w:sz w:val="20"/>
                <w:szCs w:val="20"/>
              </w:rPr>
              <w:t>222</w:t>
            </w:r>
          </w:p>
        </w:tc>
        <w:tc>
          <w:tcPr>
            <w:tcW w:w="802" w:type="pct"/>
            <w:tcBorders>
              <w:left w:val="single" w:sz="4" w:space="0" w:color="auto"/>
              <w:right w:val="single" w:sz="4" w:space="0" w:color="auto"/>
            </w:tcBorders>
          </w:tcPr>
          <w:p w14:paraId="11F06B95"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0.720 </w:t>
            </w:r>
            <w:proofErr w:type="spellStart"/>
            <w:r>
              <w:rPr>
                <w:rFonts w:ascii="Arial" w:eastAsia="Arial" w:hAnsi="Arial" w:cs="Arial"/>
                <w:sz w:val="20"/>
                <w:szCs w:val="20"/>
              </w:rPr>
              <w:t>cA</w:t>
            </w:r>
            <w:proofErr w:type="spellEnd"/>
          </w:p>
        </w:tc>
        <w:tc>
          <w:tcPr>
            <w:tcW w:w="736" w:type="pct"/>
            <w:tcBorders>
              <w:left w:val="single" w:sz="4" w:space="0" w:color="auto"/>
              <w:right w:val="single" w:sz="4" w:space="0" w:color="auto"/>
            </w:tcBorders>
          </w:tcPr>
          <w:p w14:paraId="4F5BDEF6"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0.496 </w:t>
            </w:r>
            <w:proofErr w:type="spellStart"/>
            <w:r>
              <w:rPr>
                <w:rFonts w:ascii="Arial" w:eastAsia="Arial" w:hAnsi="Arial" w:cs="Arial"/>
                <w:sz w:val="20"/>
                <w:szCs w:val="20"/>
              </w:rPr>
              <w:t>abB</w:t>
            </w:r>
            <w:proofErr w:type="spellEnd"/>
          </w:p>
        </w:tc>
        <w:tc>
          <w:tcPr>
            <w:tcW w:w="736" w:type="pct"/>
            <w:tcBorders>
              <w:left w:val="single" w:sz="4" w:space="0" w:color="auto"/>
              <w:right w:val="single" w:sz="4" w:space="0" w:color="auto"/>
            </w:tcBorders>
          </w:tcPr>
          <w:p w14:paraId="1285672D"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37.58 </w:t>
            </w:r>
            <w:proofErr w:type="spellStart"/>
            <w:r>
              <w:rPr>
                <w:rFonts w:ascii="Arial" w:eastAsia="Arial" w:hAnsi="Arial" w:cs="Arial"/>
                <w:sz w:val="20"/>
                <w:szCs w:val="20"/>
              </w:rPr>
              <w:t>bA</w:t>
            </w:r>
            <w:proofErr w:type="spellEnd"/>
          </w:p>
        </w:tc>
        <w:tc>
          <w:tcPr>
            <w:tcW w:w="664" w:type="pct"/>
            <w:tcBorders>
              <w:left w:val="single" w:sz="4" w:space="0" w:color="auto"/>
              <w:right w:val="single" w:sz="4" w:space="0" w:color="auto"/>
            </w:tcBorders>
          </w:tcPr>
          <w:p w14:paraId="22D3DABA"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30.14 </w:t>
            </w:r>
            <w:proofErr w:type="spellStart"/>
            <w:r>
              <w:rPr>
                <w:rFonts w:ascii="Arial" w:eastAsia="Arial" w:hAnsi="Arial" w:cs="Arial"/>
                <w:sz w:val="20"/>
                <w:szCs w:val="20"/>
              </w:rPr>
              <w:t>bB</w:t>
            </w:r>
            <w:proofErr w:type="spellEnd"/>
          </w:p>
        </w:tc>
        <w:tc>
          <w:tcPr>
            <w:tcW w:w="771" w:type="pct"/>
            <w:tcBorders>
              <w:left w:val="single" w:sz="4" w:space="0" w:color="auto"/>
              <w:right w:val="single" w:sz="4" w:space="0" w:color="auto"/>
            </w:tcBorders>
          </w:tcPr>
          <w:p w14:paraId="347ADFF2"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14.27 </w:t>
            </w:r>
            <w:proofErr w:type="spellStart"/>
            <w:r>
              <w:rPr>
                <w:rFonts w:ascii="Arial" w:eastAsia="Arial" w:hAnsi="Arial" w:cs="Arial"/>
                <w:sz w:val="20"/>
                <w:szCs w:val="20"/>
              </w:rPr>
              <w:t>aA</w:t>
            </w:r>
            <w:proofErr w:type="spellEnd"/>
          </w:p>
        </w:tc>
        <w:tc>
          <w:tcPr>
            <w:tcW w:w="771" w:type="pct"/>
            <w:tcBorders>
              <w:left w:val="single" w:sz="4" w:space="0" w:color="auto"/>
            </w:tcBorders>
          </w:tcPr>
          <w:p w14:paraId="68EE209A"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9.89 </w:t>
            </w:r>
            <w:proofErr w:type="spellStart"/>
            <w:r>
              <w:rPr>
                <w:rFonts w:ascii="Arial" w:eastAsia="Arial" w:hAnsi="Arial" w:cs="Arial"/>
                <w:sz w:val="20"/>
                <w:szCs w:val="20"/>
              </w:rPr>
              <w:t>bB</w:t>
            </w:r>
            <w:proofErr w:type="spellEnd"/>
          </w:p>
        </w:tc>
      </w:tr>
      <w:tr w:rsidR="009C1ED2" w14:paraId="7ECB2954" w14:textId="77777777" w:rsidTr="00FA5B2E">
        <w:trPr>
          <w:trHeight w:val="397"/>
          <w:jc w:val="center"/>
        </w:trPr>
        <w:tc>
          <w:tcPr>
            <w:tcW w:w="519" w:type="pct"/>
            <w:tcBorders>
              <w:right w:val="single" w:sz="4" w:space="0" w:color="auto"/>
            </w:tcBorders>
          </w:tcPr>
          <w:p w14:paraId="5F6CEDA0" w14:textId="77777777" w:rsidR="009C1ED2" w:rsidRDefault="00E37E9E">
            <w:pPr>
              <w:spacing w:line="276" w:lineRule="auto"/>
              <w:jc w:val="both"/>
              <w:rPr>
                <w:rFonts w:ascii="Arial" w:eastAsia="Arial" w:hAnsi="Arial" w:cs="Arial"/>
                <w:sz w:val="20"/>
                <w:szCs w:val="20"/>
              </w:rPr>
            </w:pPr>
            <w:r>
              <w:rPr>
                <w:rFonts w:ascii="Arial" w:eastAsia="Arial" w:hAnsi="Arial" w:cs="Arial"/>
                <w:sz w:val="20"/>
                <w:szCs w:val="20"/>
              </w:rPr>
              <w:t>224</w:t>
            </w:r>
          </w:p>
        </w:tc>
        <w:tc>
          <w:tcPr>
            <w:tcW w:w="802" w:type="pct"/>
            <w:tcBorders>
              <w:left w:val="single" w:sz="4" w:space="0" w:color="auto"/>
              <w:right w:val="single" w:sz="4" w:space="0" w:color="auto"/>
            </w:tcBorders>
          </w:tcPr>
          <w:p w14:paraId="70E506F6"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1.331 </w:t>
            </w:r>
            <w:proofErr w:type="spellStart"/>
            <w:r>
              <w:rPr>
                <w:rFonts w:ascii="Arial" w:eastAsia="Arial" w:hAnsi="Arial" w:cs="Arial"/>
                <w:sz w:val="20"/>
                <w:szCs w:val="20"/>
              </w:rPr>
              <w:t>abA</w:t>
            </w:r>
            <w:proofErr w:type="spellEnd"/>
          </w:p>
        </w:tc>
        <w:tc>
          <w:tcPr>
            <w:tcW w:w="736" w:type="pct"/>
            <w:tcBorders>
              <w:left w:val="single" w:sz="4" w:space="0" w:color="auto"/>
              <w:right w:val="single" w:sz="4" w:space="0" w:color="auto"/>
            </w:tcBorders>
          </w:tcPr>
          <w:p w14:paraId="1D490487"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0.259 </w:t>
            </w:r>
            <w:proofErr w:type="spellStart"/>
            <w:r>
              <w:rPr>
                <w:rFonts w:ascii="Arial" w:eastAsia="Arial" w:hAnsi="Arial" w:cs="Arial"/>
                <w:sz w:val="20"/>
                <w:szCs w:val="20"/>
              </w:rPr>
              <w:t>bB</w:t>
            </w:r>
            <w:proofErr w:type="spellEnd"/>
          </w:p>
        </w:tc>
        <w:tc>
          <w:tcPr>
            <w:tcW w:w="736" w:type="pct"/>
            <w:tcBorders>
              <w:left w:val="single" w:sz="4" w:space="0" w:color="auto"/>
              <w:right w:val="single" w:sz="4" w:space="0" w:color="auto"/>
            </w:tcBorders>
          </w:tcPr>
          <w:p w14:paraId="153F7DF2"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39.66 </w:t>
            </w:r>
            <w:proofErr w:type="spellStart"/>
            <w:r>
              <w:rPr>
                <w:rFonts w:ascii="Arial" w:eastAsia="Arial" w:hAnsi="Arial" w:cs="Arial"/>
                <w:sz w:val="20"/>
                <w:szCs w:val="20"/>
              </w:rPr>
              <w:t>abA</w:t>
            </w:r>
            <w:proofErr w:type="spellEnd"/>
          </w:p>
        </w:tc>
        <w:tc>
          <w:tcPr>
            <w:tcW w:w="664" w:type="pct"/>
            <w:tcBorders>
              <w:left w:val="single" w:sz="4" w:space="0" w:color="auto"/>
              <w:right w:val="single" w:sz="4" w:space="0" w:color="auto"/>
            </w:tcBorders>
          </w:tcPr>
          <w:p w14:paraId="3FCF6AA8"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33.14 </w:t>
            </w:r>
            <w:proofErr w:type="spellStart"/>
            <w:r>
              <w:rPr>
                <w:rFonts w:ascii="Arial" w:eastAsia="Arial" w:hAnsi="Arial" w:cs="Arial"/>
                <w:sz w:val="20"/>
                <w:szCs w:val="20"/>
              </w:rPr>
              <w:t>bB</w:t>
            </w:r>
            <w:proofErr w:type="spellEnd"/>
          </w:p>
        </w:tc>
        <w:tc>
          <w:tcPr>
            <w:tcW w:w="771" w:type="pct"/>
            <w:tcBorders>
              <w:left w:val="single" w:sz="4" w:space="0" w:color="auto"/>
              <w:right w:val="single" w:sz="4" w:space="0" w:color="auto"/>
            </w:tcBorders>
          </w:tcPr>
          <w:p w14:paraId="133B7C49"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14.43 </w:t>
            </w:r>
            <w:proofErr w:type="spellStart"/>
            <w:r>
              <w:rPr>
                <w:rFonts w:ascii="Arial" w:eastAsia="Arial" w:hAnsi="Arial" w:cs="Arial"/>
                <w:sz w:val="20"/>
                <w:szCs w:val="20"/>
              </w:rPr>
              <w:t>aA</w:t>
            </w:r>
            <w:proofErr w:type="spellEnd"/>
          </w:p>
        </w:tc>
        <w:tc>
          <w:tcPr>
            <w:tcW w:w="771" w:type="pct"/>
            <w:tcBorders>
              <w:left w:val="single" w:sz="4" w:space="0" w:color="auto"/>
            </w:tcBorders>
          </w:tcPr>
          <w:p w14:paraId="6C1BBA68"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10.74 </w:t>
            </w:r>
            <w:proofErr w:type="spellStart"/>
            <w:r>
              <w:rPr>
                <w:rFonts w:ascii="Arial" w:eastAsia="Arial" w:hAnsi="Arial" w:cs="Arial"/>
                <w:sz w:val="20"/>
                <w:szCs w:val="20"/>
              </w:rPr>
              <w:t>bB</w:t>
            </w:r>
            <w:proofErr w:type="spellEnd"/>
          </w:p>
        </w:tc>
      </w:tr>
      <w:tr w:rsidR="009C1ED2" w14:paraId="00206F8E" w14:textId="77777777" w:rsidTr="00FA5B2E">
        <w:trPr>
          <w:trHeight w:val="397"/>
          <w:jc w:val="center"/>
        </w:trPr>
        <w:tc>
          <w:tcPr>
            <w:tcW w:w="519" w:type="pct"/>
            <w:tcBorders>
              <w:bottom w:val="single" w:sz="4" w:space="0" w:color="000000"/>
              <w:right w:val="single" w:sz="4" w:space="0" w:color="auto"/>
            </w:tcBorders>
          </w:tcPr>
          <w:p w14:paraId="52FD7DF7" w14:textId="77777777" w:rsidR="009C1ED2" w:rsidRDefault="00E37E9E">
            <w:pPr>
              <w:spacing w:line="276" w:lineRule="auto"/>
              <w:jc w:val="both"/>
              <w:rPr>
                <w:rFonts w:ascii="Arial" w:eastAsia="Arial" w:hAnsi="Arial" w:cs="Arial"/>
                <w:sz w:val="20"/>
                <w:szCs w:val="20"/>
              </w:rPr>
            </w:pPr>
            <w:r>
              <w:rPr>
                <w:rFonts w:ascii="Arial" w:eastAsia="Arial" w:hAnsi="Arial" w:cs="Arial"/>
                <w:sz w:val="20"/>
                <w:szCs w:val="20"/>
              </w:rPr>
              <w:t>MKL 7</w:t>
            </w:r>
          </w:p>
        </w:tc>
        <w:tc>
          <w:tcPr>
            <w:tcW w:w="802" w:type="pct"/>
            <w:tcBorders>
              <w:left w:val="single" w:sz="4" w:space="0" w:color="auto"/>
              <w:bottom w:val="single" w:sz="4" w:space="0" w:color="000000"/>
              <w:right w:val="single" w:sz="4" w:space="0" w:color="auto"/>
            </w:tcBorders>
          </w:tcPr>
          <w:p w14:paraId="61D64FB6"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0.908 </w:t>
            </w:r>
            <w:proofErr w:type="spellStart"/>
            <w:r>
              <w:rPr>
                <w:rFonts w:ascii="Arial" w:eastAsia="Arial" w:hAnsi="Arial" w:cs="Arial"/>
                <w:sz w:val="20"/>
                <w:szCs w:val="20"/>
              </w:rPr>
              <w:t>bcA</w:t>
            </w:r>
            <w:proofErr w:type="spellEnd"/>
          </w:p>
        </w:tc>
        <w:tc>
          <w:tcPr>
            <w:tcW w:w="736" w:type="pct"/>
            <w:tcBorders>
              <w:left w:val="single" w:sz="4" w:space="0" w:color="auto"/>
              <w:bottom w:val="single" w:sz="4" w:space="0" w:color="000000"/>
              <w:right w:val="single" w:sz="4" w:space="0" w:color="auto"/>
            </w:tcBorders>
          </w:tcPr>
          <w:p w14:paraId="75BCD0EE"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0.788 </w:t>
            </w:r>
            <w:proofErr w:type="spellStart"/>
            <w:r>
              <w:rPr>
                <w:rFonts w:ascii="Arial" w:eastAsia="Arial" w:hAnsi="Arial" w:cs="Arial"/>
                <w:sz w:val="20"/>
                <w:szCs w:val="20"/>
              </w:rPr>
              <w:t>aA</w:t>
            </w:r>
            <w:proofErr w:type="spellEnd"/>
          </w:p>
        </w:tc>
        <w:tc>
          <w:tcPr>
            <w:tcW w:w="736" w:type="pct"/>
            <w:tcBorders>
              <w:left w:val="single" w:sz="4" w:space="0" w:color="auto"/>
              <w:bottom w:val="single" w:sz="4" w:space="0" w:color="000000"/>
              <w:right w:val="single" w:sz="4" w:space="0" w:color="auto"/>
            </w:tcBorders>
          </w:tcPr>
          <w:p w14:paraId="67A8362A"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33.20 </w:t>
            </w:r>
            <w:proofErr w:type="spellStart"/>
            <w:r>
              <w:rPr>
                <w:rFonts w:ascii="Arial" w:eastAsia="Arial" w:hAnsi="Arial" w:cs="Arial"/>
                <w:sz w:val="20"/>
                <w:szCs w:val="20"/>
              </w:rPr>
              <w:t>cA</w:t>
            </w:r>
            <w:proofErr w:type="spellEnd"/>
          </w:p>
        </w:tc>
        <w:tc>
          <w:tcPr>
            <w:tcW w:w="664" w:type="pct"/>
            <w:tcBorders>
              <w:left w:val="single" w:sz="4" w:space="0" w:color="auto"/>
              <w:bottom w:val="single" w:sz="4" w:space="0" w:color="000000"/>
              <w:right w:val="single" w:sz="4" w:space="0" w:color="auto"/>
            </w:tcBorders>
          </w:tcPr>
          <w:p w14:paraId="3B32E544"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31.10 </w:t>
            </w:r>
            <w:proofErr w:type="spellStart"/>
            <w:r>
              <w:rPr>
                <w:rFonts w:ascii="Arial" w:eastAsia="Arial" w:hAnsi="Arial" w:cs="Arial"/>
                <w:sz w:val="20"/>
                <w:szCs w:val="20"/>
              </w:rPr>
              <w:t>bB</w:t>
            </w:r>
            <w:proofErr w:type="spellEnd"/>
          </w:p>
        </w:tc>
        <w:tc>
          <w:tcPr>
            <w:tcW w:w="771" w:type="pct"/>
            <w:tcBorders>
              <w:left w:val="single" w:sz="4" w:space="0" w:color="auto"/>
              <w:bottom w:val="single" w:sz="4" w:space="0" w:color="000000"/>
              <w:right w:val="single" w:sz="4" w:space="0" w:color="auto"/>
            </w:tcBorders>
          </w:tcPr>
          <w:p w14:paraId="2A922CC8"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11.55 </w:t>
            </w:r>
            <w:proofErr w:type="spellStart"/>
            <w:r>
              <w:rPr>
                <w:rFonts w:ascii="Arial" w:eastAsia="Arial" w:hAnsi="Arial" w:cs="Arial"/>
                <w:sz w:val="20"/>
                <w:szCs w:val="20"/>
              </w:rPr>
              <w:t>bA</w:t>
            </w:r>
            <w:proofErr w:type="spellEnd"/>
          </w:p>
        </w:tc>
        <w:tc>
          <w:tcPr>
            <w:tcW w:w="771" w:type="pct"/>
            <w:tcBorders>
              <w:left w:val="single" w:sz="4" w:space="0" w:color="auto"/>
              <w:bottom w:val="single" w:sz="4" w:space="0" w:color="000000"/>
            </w:tcBorders>
          </w:tcPr>
          <w:p w14:paraId="44CCCEA5"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10.02 </w:t>
            </w:r>
            <w:proofErr w:type="spellStart"/>
            <w:r>
              <w:rPr>
                <w:rFonts w:ascii="Arial" w:eastAsia="Arial" w:hAnsi="Arial" w:cs="Arial"/>
                <w:sz w:val="20"/>
                <w:szCs w:val="20"/>
              </w:rPr>
              <w:t>bB</w:t>
            </w:r>
            <w:proofErr w:type="spellEnd"/>
          </w:p>
        </w:tc>
      </w:tr>
    </w:tbl>
    <w:p w14:paraId="13862EAA" w14:textId="2A8947CE" w:rsidR="000C6E1C" w:rsidRPr="000C6E1C" w:rsidRDefault="000C6E1C">
      <w:pPr>
        <w:spacing w:line="276" w:lineRule="auto"/>
        <w:jc w:val="both"/>
        <w:rPr>
          <w:rFonts w:ascii="Arial" w:eastAsia="Arial" w:hAnsi="Arial" w:cs="Arial"/>
          <w:i/>
          <w:iCs/>
          <w:sz w:val="18"/>
          <w:szCs w:val="18"/>
        </w:rPr>
      </w:pPr>
      <w:r w:rsidRPr="000C6E1C">
        <w:rPr>
          <w:rFonts w:ascii="Arial" w:eastAsia="Arial" w:hAnsi="Arial" w:cs="Arial"/>
          <w:i/>
          <w:iCs/>
          <w:sz w:val="18"/>
          <w:szCs w:val="18"/>
        </w:rPr>
        <w:t xml:space="preserve">Means followed </w:t>
      </w:r>
      <w:r w:rsidR="00D14F1C">
        <w:rPr>
          <w:rFonts w:ascii="Arial" w:eastAsia="Arial" w:hAnsi="Arial" w:cs="Arial"/>
          <w:i/>
          <w:iCs/>
          <w:sz w:val="18"/>
          <w:szCs w:val="18"/>
        </w:rPr>
        <w:t>by d</w:t>
      </w:r>
      <w:r w:rsidR="00D14F1C" w:rsidRPr="00D14F1C">
        <w:rPr>
          <w:rFonts w:ascii="Arial" w:eastAsia="Arial" w:hAnsi="Arial" w:cs="Arial"/>
          <w:i/>
          <w:iCs/>
          <w:sz w:val="18"/>
          <w:szCs w:val="18"/>
        </w:rPr>
        <w:t>ifferent lowercase letters within columns and uppercase letters within rows denote significant differences according to Tukey’s test (p ≤ 0.05).</w:t>
      </w:r>
    </w:p>
    <w:p w14:paraId="3C12FBD9" w14:textId="77777777" w:rsidR="000C6E1C" w:rsidRDefault="000C6E1C">
      <w:pPr>
        <w:spacing w:line="276" w:lineRule="auto"/>
        <w:jc w:val="both"/>
        <w:rPr>
          <w:rFonts w:ascii="Arial" w:eastAsia="Arial" w:hAnsi="Arial" w:cs="Arial"/>
        </w:rPr>
      </w:pPr>
    </w:p>
    <w:p w14:paraId="640D127A" w14:textId="013D5B12" w:rsidR="009C1ED2" w:rsidRDefault="00E37E9E">
      <w:pPr>
        <w:spacing w:line="276" w:lineRule="auto"/>
        <w:jc w:val="both"/>
        <w:rPr>
          <w:rFonts w:ascii="Arial" w:eastAsia="Arial" w:hAnsi="Arial" w:cs="Arial"/>
          <w:b/>
          <w:sz w:val="22"/>
          <w:szCs w:val="22"/>
        </w:rPr>
      </w:pPr>
      <w:r>
        <w:rPr>
          <w:rFonts w:ascii="Arial" w:eastAsia="Arial" w:hAnsi="Arial" w:cs="Arial"/>
          <w:b/>
          <w:smallCaps/>
          <w:sz w:val="22"/>
          <w:szCs w:val="22"/>
        </w:rPr>
        <w:t xml:space="preserve">3.3 </w:t>
      </w:r>
      <w:r w:rsidR="00DB27FA" w:rsidRPr="00DB27FA">
        <w:rPr>
          <w:rFonts w:ascii="Arial" w:eastAsia="Arial" w:hAnsi="Arial" w:cs="Arial"/>
          <w:b/>
          <w:sz w:val="22"/>
          <w:szCs w:val="22"/>
        </w:rPr>
        <w:t>Disease–yield relationships and seasonal effects</w:t>
      </w:r>
    </w:p>
    <w:p w14:paraId="39A1D40C" w14:textId="367D7A63" w:rsidR="009C1ED2" w:rsidRDefault="00896D07">
      <w:pPr>
        <w:spacing w:line="276" w:lineRule="auto"/>
        <w:jc w:val="both"/>
        <w:rPr>
          <w:rFonts w:ascii="Arial" w:eastAsia="Arial" w:hAnsi="Arial" w:cs="Arial"/>
        </w:rPr>
      </w:pPr>
      <w:r w:rsidRPr="00896D07">
        <w:rPr>
          <w:rFonts w:ascii="Arial" w:eastAsia="Arial" w:hAnsi="Arial" w:cs="Arial"/>
        </w:rPr>
        <w:t xml:space="preserve">Correlation analysis provided further insights into the relationship between disease pressure and yield (Table 2), showing </w:t>
      </w:r>
      <w:r w:rsidR="00464AD3" w:rsidRPr="00464AD3">
        <w:rPr>
          <w:rFonts w:ascii="Arial" w:eastAsia="Arial" w:hAnsi="Arial" w:cs="Arial"/>
        </w:rPr>
        <w:t>that the impact of CLR on yield varied by both clone and season</w:t>
      </w:r>
      <w:r w:rsidRPr="00896D07">
        <w:rPr>
          <w:rFonts w:ascii="Arial" w:eastAsia="Arial" w:hAnsi="Arial" w:cs="Arial"/>
        </w:rPr>
        <w:t>.</w:t>
      </w:r>
    </w:p>
    <w:p w14:paraId="011151DF" w14:textId="77777777" w:rsidR="004656BC" w:rsidRDefault="004656BC">
      <w:pPr>
        <w:spacing w:line="276" w:lineRule="auto"/>
        <w:jc w:val="both"/>
        <w:rPr>
          <w:rFonts w:ascii="Arial" w:eastAsia="Arial" w:hAnsi="Arial" w:cs="Arial"/>
        </w:rPr>
      </w:pPr>
    </w:p>
    <w:p w14:paraId="7F879040" w14:textId="1701CFD2" w:rsidR="009C1ED2" w:rsidRDefault="0043538E" w:rsidP="0043538E">
      <w:pPr>
        <w:spacing w:line="276" w:lineRule="auto"/>
        <w:jc w:val="both"/>
        <w:rPr>
          <w:rFonts w:ascii="Arial" w:eastAsia="Arial" w:hAnsi="Arial" w:cs="Arial"/>
        </w:rPr>
      </w:pPr>
      <w:r w:rsidRPr="0043538E">
        <w:rPr>
          <w:rFonts w:ascii="Arial" w:eastAsia="Arial" w:hAnsi="Arial" w:cs="Arial"/>
        </w:rPr>
        <w:t xml:space="preserve">In Year 1 (July 2021–June 2022), </w:t>
      </w:r>
      <w:r w:rsidR="00E147AF" w:rsidRPr="00E147AF">
        <w:rPr>
          <w:rFonts w:ascii="Arial" w:eastAsia="Arial" w:hAnsi="Arial" w:cs="Arial"/>
        </w:rPr>
        <w:t xml:space="preserve">no significant correlations were observed between yield and disease parameters (incidence or severity), </w:t>
      </w:r>
      <w:r w:rsidR="00464AD3" w:rsidRPr="00464AD3">
        <w:rPr>
          <w:rFonts w:ascii="Arial" w:eastAsia="Arial" w:hAnsi="Arial" w:cs="Arial"/>
        </w:rPr>
        <w:t>indicating that yield was mainly driven by fruit load rather than disease.</w:t>
      </w:r>
      <w:r w:rsidR="00E147AF" w:rsidRPr="00E147AF">
        <w:rPr>
          <w:rFonts w:ascii="Arial" w:eastAsia="Arial" w:hAnsi="Arial" w:cs="Arial"/>
        </w:rPr>
        <w:t xml:space="preserve"> </w:t>
      </w:r>
      <w:r w:rsidR="00963112" w:rsidRPr="00963112">
        <w:rPr>
          <w:rFonts w:ascii="Arial" w:eastAsia="Arial" w:hAnsi="Arial" w:cs="Arial"/>
        </w:rPr>
        <w:t>Clone 211, for example,</w:t>
      </w:r>
      <w:r w:rsidR="00963112">
        <w:rPr>
          <w:rFonts w:ascii="Arial" w:eastAsia="Arial" w:hAnsi="Arial" w:cs="Arial"/>
        </w:rPr>
        <w:t xml:space="preserve"> </w:t>
      </w:r>
      <w:r w:rsidR="00E147AF" w:rsidRPr="00E147AF">
        <w:rPr>
          <w:rFonts w:ascii="Arial" w:eastAsia="Arial" w:hAnsi="Arial" w:cs="Arial"/>
        </w:rPr>
        <w:t>showed negligible associations (INC: r = 0.27; DSI: r = –0.03), while clone 213 also displayed near-zero values (INC: r = 0.05; DSI: r = –0.10). Interestingly, MKL 7 even showed weak positive trends with both incidence and severity (r = 0.41; r = 0.22)</w:t>
      </w:r>
      <w:r w:rsidR="00963112" w:rsidRPr="00963112">
        <w:rPr>
          <w:rFonts w:ascii="Arial" w:eastAsia="Arial" w:hAnsi="Arial" w:cs="Arial"/>
        </w:rPr>
        <w:t>, further indicating that CLR did not constrain yield in this season of high fruiting</w:t>
      </w:r>
      <w:r w:rsidR="00963112">
        <w:rPr>
          <w:rFonts w:ascii="Arial" w:eastAsia="Arial" w:hAnsi="Arial" w:cs="Arial"/>
        </w:rPr>
        <w:t>.</w:t>
      </w:r>
    </w:p>
    <w:p w14:paraId="50558D94" w14:textId="77777777" w:rsidR="0043538E" w:rsidRDefault="0043538E">
      <w:pPr>
        <w:spacing w:line="276" w:lineRule="auto"/>
        <w:rPr>
          <w:rFonts w:ascii="Arial" w:eastAsia="Arial" w:hAnsi="Arial" w:cs="Arial"/>
        </w:rPr>
      </w:pPr>
    </w:p>
    <w:p w14:paraId="4FA17308" w14:textId="48C0E6AC" w:rsidR="00D922D1" w:rsidRPr="00D922D1" w:rsidRDefault="0043538E" w:rsidP="00D922D1">
      <w:pPr>
        <w:spacing w:line="276" w:lineRule="auto"/>
        <w:jc w:val="both"/>
        <w:rPr>
          <w:rFonts w:ascii="Arial" w:eastAsia="Arial" w:hAnsi="Arial" w:cs="Arial"/>
        </w:rPr>
      </w:pPr>
      <w:r>
        <w:rPr>
          <w:rFonts w:ascii="Arial" w:eastAsia="Arial" w:hAnsi="Arial" w:cs="Arial"/>
        </w:rPr>
        <w:t>I</w:t>
      </w:r>
      <w:r w:rsidRPr="0043538E">
        <w:rPr>
          <w:rFonts w:ascii="Arial" w:eastAsia="Arial" w:hAnsi="Arial" w:cs="Arial"/>
        </w:rPr>
        <w:t xml:space="preserve">n Year 2 (July 2022–June 2023), </w:t>
      </w:r>
      <w:r w:rsidR="006A6FD8">
        <w:rPr>
          <w:rFonts w:ascii="Arial" w:eastAsia="Arial" w:hAnsi="Arial" w:cs="Arial"/>
        </w:rPr>
        <w:t xml:space="preserve">however, </w:t>
      </w:r>
      <w:r w:rsidR="00963112" w:rsidRPr="00963112">
        <w:rPr>
          <w:rFonts w:ascii="Arial" w:eastAsia="Arial" w:hAnsi="Arial" w:cs="Arial"/>
        </w:rPr>
        <w:t>when overall yields declined due to biennial bearing and cumulative stress, correlations between disease and yield became more evident.</w:t>
      </w:r>
      <w:r w:rsidR="00DB27FA" w:rsidRPr="00DB27FA">
        <w:rPr>
          <w:rFonts w:ascii="Arial" w:eastAsia="Arial" w:hAnsi="Arial" w:cs="Arial"/>
        </w:rPr>
        <w:t xml:space="preserve"> Clone 211 showed weak negative correlations (INC: r = –0.23; DSI: r = –0.36), </w:t>
      </w:r>
      <w:r w:rsidR="00464AD3" w:rsidRPr="00464AD3">
        <w:rPr>
          <w:rFonts w:ascii="Arial" w:eastAsia="Arial" w:hAnsi="Arial" w:cs="Arial"/>
        </w:rPr>
        <w:t>reflecting its susceptibility</w:t>
      </w:r>
      <w:r w:rsidR="00DB27FA" w:rsidRPr="00DB27FA">
        <w:rPr>
          <w:rFonts w:ascii="Arial" w:eastAsia="Arial" w:hAnsi="Arial" w:cs="Arial"/>
        </w:rPr>
        <w:t xml:space="preserve">. </w:t>
      </w:r>
      <w:r w:rsidR="00963112" w:rsidRPr="00963112">
        <w:rPr>
          <w:rFonts w:ascii="Arial" w:eastAsia="Arial" w:hAnsi="Arial" w:cs="Arial"/>
        </w:rPr>
        <w:t>Clone 213, however, showed moderate positive correlations (INC: r = 0.57; DSI: r = 0.49), indicating that higher yields coincided with higher CLR levels, possibly reflecting its resistance mechanisms that minimized yield losses despite infection.</w:t>
      </w:r>
      <w:r w:rsidR="00963112">
        <w:rPr>
          <w:rFonts w:ascii="Arial" w:eastAsia="Arial" w:hAnsi="Arial" w:cs="Arial"/>
        </w:rPr>
        <w:t xml:space="preserve"> </w:t>
      </w:r>
      <w:r w:rsidR="00963112" w:rsidRPr="00963112">
        <w:rPr>
          <w:rFonts w:ascii="Arial" w:eastAsia="Arial" w:hAnsi="Arial" w:cs="Arial"/>
        </w:rPr>
        <w:t>Clone 222 showed weak positive associations, while clone 224 remained largely unaffected by disease pressure.</w:t>
      </w:r>
      <w:r w:rsidR="00963112">
        <w:rPr>
          <w:rFonts w:ascii="Arial" w:eastAsia="Arial" w:hAnsi="Arial" w:cs="Arial"/>
        </w:rPr>
        <w:t xml:space="preserve"> </w:t>
      </w:r>
      <w:r w:rsidR="00E147AF" w:rsidRPr="00E147AF">
        <w:rPr>
          <w:rFonts w:ascii="Arial" w:eastAsia="Arial" w:hAnsi="Arial" w:cs="Arial"/>
        </w:rPr>
        <w:t xml:space="preserve">MKL 7 showed </w:t>
      </w:r>
      <w:r w:rsidR="00963112" w:rsidRPr="00963112">
        <w:rPr>
          <w:rFonts w:ascii="Arial" w:eastAsia="Arial" w:hAnsi="Arial" w:cs="Arial"/>
        </w:rPr>
        <w:t>most notable response</w:t>
      </w:r>
      <w:r w:rsidR="00963112">
        <w:rPr>
          <w:rFonts w:ascii="Arial" w:eastAsia="Arial" w:hAnsi="Arial" w:cs="Arial"/>
        </w:rPr>
        <w:t xml:space="preserve">, which displayed </w:t>
      </w:r>
      <w:r w:rsidR="00E147AF" w:rsidRPr="00E147AF">
        <w:rPr>
          <w:rFonts w:ascii="Arial" w:eastAsia="Arial" w:hAnsi="Arial" w:cs="Arial"/>
        </w:rPr>
        <w:t xml:space="preserve">a significant negative correlation with incidence (r = –0.60, p &lt; 0.05), confirming its vulnerability to yield </w:t>
      </w:r>
      <w:r w:rsidR="00505FDC" w:rsidRPr="00505FDC">
        <w:rPr>
          <w:rFonts w:ascii="Arial" w:eastAsia="Arial" w:hAnsi="Arial" w:cs="Arial"/>
        </w:rPr>
        <w:t>under elevated CLR pressure</w:t>
      </w:r>
      <w:r w:rsidR="00E147AF" w:rsidRPr="00E147AF">
        <w:rPr>
          <w:rFonts w:ascii="Arial" w:eastAsia="Arial" w:hAnsi="Arial" w:cs="Arial"/>
        </w:rPr>
        <w:t>.</w:t>
      </w:r>
    </w:p>
    <w:p w14:paraId="7FC6D9D0" w14:textId="77777777" w:rsidR="00D922D1" w:rsidRPr="00D922D1" w:rsidRDefault="00D922D1" w:rsidP="00D922D1">
      <w:pPr>
        <w:spacing w:line="276" w:lineRule="auto"/>
        <w:jc w:val="both"/>
        <w:rPr>
          <w:rFonts w:ascii="Arial" w:eastAsia="Arial" w:hAnsi="Arial" w:cs="Arial"/>
        </w:rPr>
      </w:pPr>
    </w:p>
    <w:p w14:paraId="11ED58B5" w14:textId="0613A1B2" w:rsidR="0039128B" w:rsidRDefault="00505FDC" w:rsidP="00505FDC">
      <w:pPr>
        <w:spacing w:line="276" w:lineRule="auto"/>
        <w:jc w:val="both"/>
        <w:rPr>
          <w:rFonts w:ascii="Arial" w:hAnsi="Arial" w:cs="Arial"/>
        </w:rPr>
      </w:pPr>
      <w:r w:rsidRPr="00505FDC">
        <w:rPr>
          <w:rFonts w:ascii="Arial" w:eastAsia="Arial" w:hAnsi="Arial" w:cs="Arial"/>
        </w:rPr>
        <w:t>These contrasting seasonal patterns underscore that the relationship between CLR and yield is not uniform but instead shaped by host genotype × environment × pathogen interactions.</w:t>
      </w:r>
      <w:r>
        <w:rPr>
          <w:rFonts w:ascii="Arial" w:eastAsia="Arial" w:hAnsi="Arial" w:cs="Arial"/>
        </w:rPr>
        <w:t xml:space="preserve"> </w:t>
      </w:r>
      <w:bookmarkStart w:id="4" w:name="_Hlk206746927"/>
      <w:r w:rsidRPr="00505FDC">
        <w:rPr>
          <w:rFonts w:ascii="Arial" w:eastAsia="Arial" w:hAnsi="Arial" w:cs="Arial"/>
        </w:rPr>
        <w:t>The absence of significant correlations in Year 1 reflects the dominance of fruit load in regulating yield, while the stronger associations in Year 2 demonstrate how disease effects become more apparent when productivity declines. Such variability is consistent with reports that CLR epidemics are closely modulated by climatic drivers including rainfall, temperature, and relative humidity</w:t>
      </w:r>
      <w:r>
        <w:rPr>
          <w:rFonts w:ascii="Arial" w:eastAsia="Arial" w:hAnsi="Arial" w:cs="Arial"/>
        </w:rPr>
        <w:t xml:space="preserve"> </w:t>
      </w:r>
      <w:r w:rsidR="0039128B">
        <w:rPr>
          <w:rFonts w:ascii="Arial" w:hAnsi="Arial" w:cs="Arial"/>
        </w:rPr>
        <w:fldChar w:fldCharType="begin" w:fldLock="1"/>
      </w:r>
      <w:r w:rsidR="00FC438A">
        <w:rPr>
          <w:rFonts w:ascii="Arial" w:hAnsi="Arial" w:cs="Arial"/>
        </w:rPr>
        <w:instrText>ADDIN CSL_CITATION {"citationItems":[{"id":"ITEM-1","itemData":{"DOI":"10.24154/JHS.V16I2.968","ISSN":"0973354X","abstract":"Four F1 hybrids of arabica coffee (Coffea arabica L.) developed with the primary objective of pyramiding the SH3 gene for leaf rust resistance in a commercial variety 'Chandragiri' for achieving the long-lasting resistance to leaf rust, have been evaluated in field. Two hybrids (S.5083 and S.5084) were derived from a donor heterozygous to SH3, while the other two hybrids (S.5085 and S.5086) were developed from donor homozygous to SH3. Among the hybrids, S.5086 recorded superior yield performance during individual years with a maximum yield of 1611 kg/ha during 2020-21 and the four year mean yield of 1313 kg/ha. The hybrid exhibited maximum heterosis over mid parent (29.10%) and better parent (17.12%) and S.5086 progeny also manifested high field tolerance to leaf rust pathogen as the entire plant population was free from the disease incidence throughout the study period. The findings of the present study established the efficiency of F1 breeding strategy with simultaneous pyramiding of rust resistance genes for development of vigorous, high yielding and durable rust resistant F1 hybrids in arabica. The F1 hybrid, S.5086 with promising performance in terms of crop yield and high field tolerance to leaf rust has potential implications for commercial exploitation.","author":[{"dropping-particle":"","family":"Das","given":"Divya K.","non-dropping-particle":"","parse-names":false,"suffix":""},{"dropping-particle":"","family":"Shivanna","given":"M. B.","non-dropping-particle":"","parse-names":false,"suffix":""},{"dropping-particle":"","family":"Prakash","given":"N. S.","non-dropping-particle":"","parse-names":false,"suffix":""}],"container-title":"Journal of Horticultural Sciences","id":"ITEM-1","issue":"2","issued":{"date-parts":[["2021"]]},"page":"301-308","title":"Vegetative vigour, yield and field tolerance to leaf rust in four F1 hybrids of coffee (&lt;i&gt;Coffea arabica&lt;/i&gt; L.) in India","type":"article-journal","volume":"16"},"uris":["http://www.mendeley.com/documents/?uuid=5b16aa51-5d97-4db1-9de8-c7dd839d441a","http://www.mendeley.com/documents/?uuid=323610d6-3b0d-4442-a2ea-29ae6b490a17"]},{"id":"ITEM-2","itemData":{"DOI":"10.1080/24694452.2020.1775543","ISSN":"24694460","abstract":"Since September 2012, the Jamaican coffee industry has been grappling with the coffee leaf rust (CLR) epidemic caused by the fungal pathogen Hemileia vastatrix. The first widespread outbreak affected more than one third of coffee plants across the island, resulting in millions of dollars in lost revenues for the sector. The emergence and spread of the disease have been linked to a confluence of factors ranging from changing climatic conditions to impacts from extreme weather events, improper farm management practices, and institutional and market constraints that restrict control measures. In this article, we use the case of the CLR epidemic to illustrate how its emergence and continued presence in the Jamaican Blue Mountains is inextricably tied to the wider political–economic and ecological conditions under which coffee production takes place and how H. vastatrix’s complex pathogenesis makes the disease difficult to control. Drawing on an empirical study comprising household surveys, focus groups, archival research, and interviews, we demonstrate how smallholder farmers’ ability to manage rust impacts was severely compromised by ecological pressures, resource constraints, bounded knowledge systems, and market and regulatory limitations.","author":[{"dropping-particle":"","family":"Rhiney","given":"Kevon","non-dropping-particle":"","parse-names":false,"suffix":""},{"dropping-particle":"","family":"Knudson","given":"Chris","non-dropping-particle":"","parse-names":false,"suffix":""},{"dropping-particle":"","family":"Guido","given":"Zack","non-dropping-particle":"","parse-names":false,"suffix":""}],"container-title":"Annals of the American Association of Geographers","id":"ITEM-2","issue":"2","issued":{"date-parts":[["2020"]]},"page":"440-458","publisher":"Routledge","title":"Cultivating crisis: Coffee, smallholder vulnerability, and the uneven sociomaterial consequences of the leaf rust epidemic in Jamaica","type":"article-journal","volume":"111"},"uris":["http://www.mendeley.com/documents/?uuid=5fb02058-cb5c-4f9a-b366-e6b46dd41a78","http://www.mendeley.com/documents/?uuid=1775a0fc-2963-4b4f-9988-8453751871a9"]},{"id":"ITEM-3","itemData":{"DOI":"10.15517/AM.V31I3.39726","ISBN":"0000000221","ISSN":"22153608","abstract":"Introduction. Coffee (Coffea arabica L.) is an important crop in producing countries like Peru, where approximately two million families depend on its production, distribution, and marketing. But in recent years, climate change has increased the presence of coffee leaf rust - CLR (H. vastatrix), a disease that has decreased Peruvian production by up to 27%. Objective. Monitor the severity of CLR in different genotypes of coffee cv. Typica from April-2017 to March-2018. Material and methods. The experiment was carried out in the coffee germplasm bank at the Development Regional Institute (IRD)-Selva of the Universidad Nacional Agraria La Molina. The severity and the area under the disease progress curve (AUDPC) in the lower, middle, and upper part of coffee trees were quantified. Result. There was high severity and AUDPC in the dry season (low precipitation) compared to the rainy season (high precipitation). Severity and AUDPC gradually decreased from the bottom to the top of the plant (lower&gt;middle&gt;upper). Also, UNACAF-24A, UNACAF-16, UNACAF-158, and UNACAF-162 genotypes stood out by showing lowest severity (0-1.1 %) and AUDPC (0-714) in the experiment. Conclusion. In this experiment, the genotypes in dry season presented high peaks of severity and UDPC of CLR, meanwhile, in rainy season the presence of CLR was lower. However, in both seasons, severity and AUDPC gradually decreased from the lower third to the upper thirf of the plant. Finally, UNACAF-24A, UNACAF-16, UNACAF-158, and UNACAF-162 presented the lowest degrees of severity of CLR.","author":[{"dropping-particle":"","family":"Alvarado-Huamán","given":"Leonel","non-dropping-particle":"","parse-names":false,"suffix":""},{"dropping-particle":"","family":"Borjas-Ventura","given":"Ricardo","non-dropping-particle":"","parse-names":false,"suffix":""},{"dropping-particle":"","family":"Castro-Cepero","given":"Viviana","non-dropping-particle":"","parse-names":false,"suffix":""},{"dropping-particle":"","family":"García-Nieves","given":"Leslie","non-dropping-particle":"","parse-names":false,"suffix":""},{"dropping-particle":"","family":"Jiménez-Dávalos","given":"Jorge","non-dropping-particle":"","parse-names":false,"suffix":""},{"dropping-particle":"","family":"Julca-Otiniano","given":"Alberto","non-dropping-particle":"","parse-names":false,"suffix":""},{"dropping-particle":"","family":"Gómez-Pando","given":"Luz","non-dropping-particle":"","parse-names":false,"suffix":""}],"container-title":"Agronomia Mesoamericana","id":"ITEM-3","issue":"3","issued":{"date-parts":[["2020"]]},"page":"517-529","title":"Dynamics of severity of coffee leaf rust (&lt;i&gt;Hemileia vastatrix&lt;/i&gt;) on Coffee, in Chanchamayo (Junin-Peru)","type":"article-journal","volume":"31"},"uris":["http://www.mendeley.com/documents/?uuid=f4b2821c-f5ce-47cc-b956-5df70f9991f6","http://www.mendeley.com/documents/?uuid=d63b4c5f-815f-4b30-94cb-c797a462d52d"]},{"id":"ITEM-4","itemData":{"DOI":"10.1007/s12571-015-0446-9","ISSN":"18764525","abstract":"Coffee rust is a leaf disease caused by the fungus, Hemileia vastatrix. Coffee rust epidemics, with intensities higher than previously observed, have affected a number of countries including: Colombia, from 2008 to 2011; Central America and Mexico, in 2012–13; and Peru and Ecuador in 2013. There are many contributing factors to the onset of these epidemics e.g. the state of the economy, crop management decisions and the prevailing weather, and many resulting impacts e.g. on production, on farmers’ and labourers’ income and livelihood, and on food security. Production has been considerably reduced in Colombia (by 31 % on average during the epidemic years compared with 2007) and Central America (by 16 % in 2013 compared with 2011–12 and by 10 % in 2013–14 compared with 2012–13). These reductions have had direct impacts on the livelihoods of thousands of smallholders and harvesters. For these populations, particularly in Central America, coffee is often the only source of income used to buy food and supplies for the cultivation of basic grains. As a result, the coffee rust epidemic has had indirect impacts on food security. The main drivers of these epidemics are economic and meteorological. All the intense epidemics experienced during the last 37 years in Central America and Colombia were concurrent with low coffee profitability periods due to coffee price declines, as was the case in the 2012–13 Central American epidemic, or due to increases in input costs, as in the 2008–11 Colombian epidemics. Low profitability led to suboptimal coffee management, which resulted in increased plant vulnerability to pests and diseases. A common factor in the recent Colombian and Central American epidemics was a reduction in the diurnal thermal amplitude, with higher minimum/lower maximum temperatures (+0.1 °C/-0.5 °C on average during 2008–2011 compared to a low coffee rust incidence period, 1991–1994, in Chinchiná, Colombia; +0.9 °C/-1.2 °C on average in 2012 compared with prevailing climate, in 1224 farms from Guatemala). This likely decreased the latency period of the disease. These epidemics should be considered as a warning for the future, as they were enhanced by weather conditions consistent with climate change. Appropriate actions need to be taken in the near future to address this issue including: the development and establishment of resistant coffee cultivars; the creation of early warning systems; the design of crop management systems adapted to climate change…","author":[{"dropping-particle":"","family":"Avelino","given":"Jacques","non-dropping-particle":"","parse-names":false,"suffix":""},{"dropping-particle":"","family":"Cristancho","given":"Marco","non-dropping-particle":"","parse-names":false,"suffix":""},{"dropping-particle":"","family":"Georgiou","given":"Selena","non-dropping-particle":"","parse-names":false,"suffix":""},{"dropping-particle":"","family":"Imbach","given":"Pablo","non-dropping-particle":"","parse-names":false,"suffix":""},{"dropping-particle":"","family":"Aguilar","given":"Lorena","non-dropping-particle":"","parse-names":false,"suffix":""},{"dropping-particle":"","family":"Bornemann","given":"Gustavo","non-dropping-particle":"","parse-names":false,"suffix":""},{"dropping-particle":"","family":"Läderach","given":"Peter","non-dropping-particle":"","parse-names":false,"suffix":""},{"dropping-particle":"","family":"Anzueto","given":"Francisco","non-dropping-particle":"","parse-names":false,"suffix":""},{"dropping-particle":"","family":"Hruska","given":"Allan J.","non-dropping-particle":"","parse-names":false,"suffix":""},{"dropping-particle":"","family":"Morales","given":"Carmen","non-dropping-particle":"","parse-names":false,"suffix":""}],"container-title":"Food Security","id":"ITEM-4","issue":"2","issued":{"date-parts":[["2015"]]},"page":"303-321","title":"The coffee rust crises in Colombia and Central America (2008–2013): impacts, plausible causes and proposed solutions","type":"article-journal","volume":"7"},"uris":["http://www.mendeley.com/documents/?uuid=c4ef84d2-f551-4754-b7b1-9d794dda20e7","http://www.mendeley.com/documents/?uuid=ea0c346a-6bcd-4dc5-9f53-12facc371b55"]}],"mendeley":{"formattedCitation":"(Alvarado-Huamán et al., 2020; Avelino et al., 2015; Das et al., 2021; Rhiney et al., 2020)","plainTextFormattedCitation":"(Alvarado-Huamán et al., 2020; Avelino et al., 2015; Das et al., 2021; Rhiney et al., 2020)","previouslyFormattedCitation":"(Alvarado-Huamán et al., 2020; Avelino et al., 2015; Das et al., 2021; Rhiney et al., 2020)"},"properties":{"noteIndex":0},"schema":"https://github.com/citation-style-language/schema/raw/master/csl-citation.json"}</w:instrText>
      </w:r>
      <w:r w:rsidR="0039128B">
        <w:rPr>
          <w:rFonts w:ascii="Arial" w:hAnsi="Arial" w:cs="Arial"/>
        </w:rPr>
        <w:fldChar w:fldCharType="separate"/>
      </w:r>
      <w:r w:rsidR="006A3A2E" w:rsidRPr="006A3A2E">
        <w:rPr>
          <w:rFonts w:ascii="Arial" w:hAnsi="Arial" w:cs="Arial"/>
          <w:noProof/>
        </w:rPr>
        <w:t>(Alvarado-Huamán et al., 2020; Avelino et al., 2015; Das et al., 2021; Rhiney et al., 2020)</w:t>
      </w:r>
      <w:r w:rsidR="0039128B">
        <w:rPr>
          <w:rFonts w:ascii="Arial" w:hAnsi="Arial" w:cs="Arial"/>
        </w:rPr>
        <w:fldChar w:fldCharType="end"/>
      </w:r>
      <w:r>
        <w:rPr>
          <w:rFonts w:ascii="Arial" w:hAnsi="Arial" w:cs="Arial"/>
        </w:rPr>
        <w:t>.</w:t>
      </w:r>
      <w:r w:rsidR="004617C9" w:rsidRPr="004617C9">
        <w:rPr>
          <w:rFonts w:ascii="Arial" w:hAnsi="Arial" w:cs="Arial"/>
        </w:rPr>
        <w:t xml:space="preserve"> </w:t>
      </w:r>
      <w:bookmarkEnd w:id="4"/>
      <w:r w:rsidRPr="00505FDC">
        <w:rPr>
          <w:rFonts w:ascii="Arial" w:hAnsi="Arial" w:cs="Arial"/>
        </w:rPr>
        <w:t xml:space="preserve">Epidemic development is particularly </w:t>
      </w:r>
      <w:proofErr w:type="spellStart"/>
      <w:r w:rsidRPr="00505FDC">
        <w:rPr>
          <w:rFonts w:ascii="Arial" w:hAnsi="Arial" w:cs="Arial"/>
        </w:rPr>
        <w:t>favo</w:t>
      </w:r>
      <w:r>
        <w:rPr>
          <w:rFonts w:ascii="Arial" w:hAnsi="Arial" w:cs="Arial"/>
        </w:rPr>
        <w:t>u</w:t>
      </w:r>
      <w:r w:rsidRPr="00505FDC">
        <w:rPr>
          <w:rFonts w:ascii="Arial" w:hAnsi="Arial" w:cs="Arial"/>
        </w:rPr>
        <w:t>red</w:t>
      </w:r>
      <w:proofErr w:type="spellEnd"/>
      <w:r w:rsidRPr="00505FDC">
        <w:rPr>
          <w:rFonts w:ascii="Arial" w:hAnsi="Arial" w:cs="Arial"/>
        </w:rPr>
        <w:t xml:space="preserve"> when moderate temperatures (22–24 °C) coincide with high relative humidity (&gt;80%), conditions known to optimize spore germination and infection</w:t>
      </w:r>
      <w:r>
        <w:rPr>
          <w:rFonts w:ascii="Arial" w:hAnsi="Arial" w:cs="Arial"/>
        </w:rPr>
        <w:t xml:space="preserve"> </w:t>
      </w:r>
      <w:r w:rsidR="0039128B" w:rsidRPr="00D67622">
        <w:rPr>
          <w:rFonts w:ascii="Arial" w:hAnsi="Arial" w:cs="Arial"/>
        </w:rPr>
        <w:fldChar w:fldCharType="begin" w:fldLock="1"/>
      </w:r>
      <w:r w:rsidR="0039128B">
        <w:rPr>
          <w:rFonts w:ascii="Arial" w:hAnsi="Arial" w:cs="Arial"/>
        </w:rPr>
        <w:instrText>ADDIN CSL_CITATION {"citationItems":[{"id":"ITEM-1","itemData":{"DOI":"10.1007/BF00021478","ISSN":"15735060","abstract":"Incomplete resistance of the hybrid coffee population Icatu to race II of coffee leaf rust (Hemileia vastatrix) was studied in the field, greenhouse and laboratory. The resistance components observed were: latency period (LP), lesion density (LD), sporulating lesion density (LSD) and relative sporulation lesion efficiency (RSLE=100. SLD/LD). RSLE is an indicator for the heterogeneity of the reaction. Disease score in the field was highly correlated with RSLE, less with LP and SLD, and not with LD. LP was highly correlated with RSLE. A new rust race (Is. 2), isolated in the field from Icatu in 1979, was more virulent than race II on some resistant, moderately resistant or moderately susceptible genotypes. This indicates that incomplete resistance, at different levels, can be race specific. Resistance was affected by leaf age and light intensity. Inheritance studies suggest that incomplete resistance in Icatu might be related to major genes, the effectiveness of which may depend on gene dose and genetic background. It is concluded that selection for incomplete resistance to coffee leaf rust in Icatu may not lead to durable resistance. © 1983 Veenman B.V., Wageningen.","author":[{"dropping-particle":"","family":"Eskes","given":"A. B.","non-dropping-particle":"","parse-names":false,"suffix":""},{"dropping-particle":"","family":"Costa","given":"W. M.","non-dropping-particle":"Da","parse-names":false,"suffix":""}],"container-title":"Euphytica","id":"ITEM-1","issue":"2","issued":{"date-parts":[["1983"]]},"page":"649-657","title":"8. Characterization of incomplete resistance to &lt;i&gt;Hemileia vastatrix&lt;/i&gt; in the Icatu coffee population","type":"article-journal","volume":"32"},"uris":["http://www.mendeley.com/documents/?uuid=2648fa4a-5ffe-4cc2-b434-c7c2a2434b2d","http://www.mendeley.com/documents/?uuid=dd32d38c-7342-4cf1-950e-c416fd8194d3"]},{"id":"ITEM-2","itemData":{"DOI":"10.1111/jph.12024","ISSN":"09311785","abstract":"Since 2008, Colombia has been experiencing an epidemic of the coffee rust Hemileia vastatrix. The altitude range of the disease has expanded, and nursery and young plants that were usually not attacked by the disease are now significantly affected. To determine whether this new epidemic has been caused by a new pathogenic isolate, the molecular diversity of the pathogen causing the epidemic in different regions of the country was assessed, using AFLP molecular markers on isolates collected from coffee fields prior and after the year 2008. We also evaluated the aggressiveness of isolates collected from diverse coffee-producing areas and from different coffee genotypes. Isolates collected before and during the present epidemic were quite similar both genetically and with regard to their aggressiveness. Out of a total of 349 fragments amplified from 6 AFLP primer combinations, 48 (13.2%) were polymorphic and only 18 were unique among H. vastatrix isolates representative of pre-2008 and post-2008 epidemic populations. We conclude that the epidemic was caused by the excessive rainfall that has occurred in Colombia since 2006 and that extended to 2011 and not by the arrival of a new isolate of the pathogen or a change in virulence of the species present in the country. © 2012 Blackwell Verlag GmbH.","author":[{"dropping-particle":"","family":"Rozo","given":"Yomara","non-dropping-particle":"","parse-names":false,"suffix":""},{"dropping-particle":"","family":"Escobar","given":"Carolina","non-dropping-particle":"","parse-names":false,"suffix":""},{"dropping-particle":"","family":"Gaitán","given":"Álvaro","non-dropping-particle":"","parse-names":false,"suffix":""},{"dropping-particle":"","family":"Cristancho","given":"Marco","non-dropping-particle":"","parse-names":false,"suffix":""}],"container-title":"Journal of Phytopathology","id":"ITEM-2","issue":"11-12","issued":{"date-parts":[["2012"]]},"page":"732-740","title":"Aggressiveness and genetic diversity of &lt;i&gt;Hemileia vastatrix&lt;/i&gt; during an epidemic in Colombia","type":"article-journal","volume":"160"},"uris":["http://www.mendeley.com/documents/?uuid=ab17320c-82b6-4c74-9622-a9ade56e6145","http://www.mendeley.com/documents/?uuid=7dcd257e-39ee-4cd0-93db-a97c54565c2b"]},{"id":"ITEM-3","itemData":{"DOI":"10.24154/JHS.V16I2.968","ISSN":"0973354X","abstract":"Four F1 hybrids of arabica coffee (Coffea arabica L.) developed with the primary objective of pyramiding the SH3 gene for leaf rust resistance in a commercial variety 'Chandragiri' for achieving the long-lasting resistance to leaf rust, have been evaluated in field. Two hybrids (S.5083 and S.5084) were derived from a donor heterozygous to SH3, while the other two hybrids (S.5085 and S.5086) were developed from donor homozygous to SH3. Among the hybrids, S.5086 recorded superior yield performance during individual years with a maximum yield of 1611 kg/ha during 2020-21 and the four year mean yield of 1313 kg/ha. The hybrid exhibited maximum heterosis over mid parent (29.10%) and better parent (17.12%) and S.5086 progeny also manifested high field tolerance to leaf rust pathogen as the entire plant population was free from the disease incidence throughout the study period. The findings of the present study established the efficiency of F1 breeding strategy with simultaneous pyramiding of rust resistance genes for development of vigorous, high yielding and durable rust resistant F1 hybrids in arabica. The F1 hybrid, S.5086 with promising performance in terms of crop yield and high field tolerance to leaf rust has potential implications for commercial exploitation.","author":[{"dropping-particle":"","family":"Das","given":"Divya K.","non-dropping-particle":"","parse-names":false,"suffix":""},{"dropping-particle":"","family":"Shivanna","given":"M. B.","non-dropping-particle":"","parse-names":false,"suffix":""},{"dropping-particle":"","family":"Prakash","given":"N. S.","non-dropping-particle":"","parse-names":false,"suffix":""}],"container-title":"Journal of Horticultural Sciences","id":"ITEM-3","issue":"2","issued":{"date-parts":[["2021"]]},"page":"301-308","title":"Vegetative vigour, yield and field tolerance to leaf rust in four F1 hybrids of coffee (&lt;i&gt;Coffea arabica&lt;/i&gt; L.) in India","type":"article-journal","volume":"16"},"uris":["http://www.mendeley.com/documents/?uuid=323610d6-3b0d-4442-a2ea-29ae6b490a17","http://www.mendeley.com/documents/?uuid=5b16aa51-5d97-4db1-9de8-c7dd839d441a"]}],"mendeley":{"formattedCitation":"(Das et al., 2021; Eskes &amp; Da Costa, 1983; Rozo et al., 2012)","manualFormatting":"(Das et al., 2021; Eskes and Da Costa, 1983; Rozo et al., 2012)","plainTextFormattedCitation":"(Das et al., 2021; Eskes &amp; Da Costa, 1983; Rozo et al., 2012)","previouslyFormattedCitation":"(Das et al., 2021; Eskes &amp; Da Costa, 1983; Rozo et al., 2012)"},"properties":{"noteIndex":0},"schema":"https://github.com/citation-style-language/schema/raw/master/csl-citation.json"}</w:instrText>
      </w:r>
      <w:r w:rsidR="0039128B" w:rsidRPr="00D67622">
        <w:rPr>
          <w:rFonts w:ascii="Arial" w:hAnsi="Arial" w:cs="Arial"/>
        </w:rPr>
        <w:fldChar w:fldCharType="separate"/>
      </w:r>
      <w:r w:rsidR="0039128B" w:rsidRPr="00D67622">
        <w:rPr>
          <w:rFonts w:ascii="Arial" w:hAnsi="Arial" w:cs="Arial"/>
          <w:noProof/>
        </w:rPr>
        <w:t>(Das et al., 2021; Eskes and Da Costa, 1983; Rozo et al., 2012)</w:t>
      </w:r>
      <w:r w:rsidR="0039128B" w:rsidRPr="00D67622">
        <w:rPr>
          <w:rFonts w:ascii="Arial" w:hAnsi="Arial" w:cs="Arial"/>
        </w:rPr>
        <w:fldChar w:fldCharType="end"/>
      </w:r>
      <w:r w:rsidR="0039128B" w:rsidRPr="00D67622">
        <w:rPr>
          <w:rFonts w:ascii="Arial" w:hAnsi="Arial" w:cs="Arial"/>
        </w:rPr>
        <w:t>.</w:t>
      </w:r>
    </w:p>
    <w:p w14:paraId="4A15E56E" w14:textId="77777777" w:rsidR="0039128B" w:rsidRPr="0039128B" w:rsidRDefault="0039128B" w:rsidP="0039128B">
      <w:pPr>
        <w:spacing w:line="276" w:lineRule="auto"/>
        <w:jc w:val="both"/>
        <w:rPr>
          <w:rFonts w:ascii="Arial" w:hAnsi="Arial" w:cs="Arial"/>
        </w:rPr>
      </w:pPr>
    </w:p>
    <w:p w14:paraId="2F4BA242" w14:textId="2DE14676" w:rsidR="0039128B" w:rsidRDefault="00505FDC" w:rsidP="0039128B">
      <w:pPr>
        <w:spacing w:line="276" w:lineRule="auto"/>
        <w:jc w:val="both"/>
        <w:rPr>
          <w:rFonts w:ascii="Arial" w:hAnsi="Arial" w:cs="Arial"/>
        </w:rPr>
      </w:pPr>
      <w:r>
        <w:rPr>
          <w:rFonts w:ascii="Arial" w:hAnsi="Arial" w:cs="Arial"/>
        </w:rPr>
        <w:t>Overall, c</w:t>
      </w:r>
      <w:r w:rsidR="0039128B" w:rsidRPr="0039128B">
        <w:rPr>
          <w:rFonts w:ascii="Arial" w:hAnsi="Arial" w:cs="Arial"/>
        </w:rPr>
        <w:t>lone 213 consistently demonstrated resilience, combining low CLR severity with stable yield, making it the most promising candidate for commercial planting. In contrast, the susceptibility of clones 211 and 222 and the unstable tolerance of clone 224 emphasize the need to balance genetic resistance with yield potential in clonal selection and breeding strategies. These findings underscore the importance of integrating host resistance with adaptive management practices that account for climatic variability in CLR-prone environments.</w:t>
      </w:r>
    </w:p>
    <w:p w14:paraId="13F2A6C9" w14:textId="77777777" w:rsidR="00896D07" w:rsidRDefault="00896D07">
      <w:pPr>
        <w:spacing w:line="276" w:lineRule="auto"/>
        <w:rPr>
          <w:rFonts w:ascii="Arial" w:eastAsia="Arial" w:hAnsi="Arial" w:cs="Arial"/>
        </w:rPr>
      </w:pPr>
    </w:p>
    <w:p w14:paraId="3DB02C93" w14:textId="2033FA81" w:rsidR="009C1ED2" w:rsidRDefault="00E37E9E">
      <w:pPr>
        <w:spacing w:line="276" w:lineRule="auto"/>
        <w:jc w:val="both"/>
        <w:rPr>
          <w:rFonts w:ascii="Arial" w:eastAsia="Arial" w:hAnsi="Arial" w:cs="Arial"/>
        </w:rPr>
      </w:pPr>
      <w:r>
        <w:rPr>
          <w:rFonts w:ascii="Arial" w:eastAsia="Arial" w:hAnsi="Arial" w:cs="Arial"/>
          <w:b/>
        </w:rPr>
        <w:t>Table 2.</w:t>
      </w:r>
      <w:r>
        <w:rPr>
          <w:rFonts w:ascii="Arial" w:eastAsia="Arial" w:hAnsi="Arial" w:cs="Arial"/>
        </w:rPr>
        <w:t xml:space="preserve"> </w:t>
      </w:r>
      <w:r w:rsidR="00505FDC" w:rsidRPr="00505FDC">
        <w:rPr>
          <w:rFonts w:ascii="Arial" w:eastAsia="Arial" w:hAnsi="Arial" w:cs="Arial"/>
        </w:rPr>
        <w:t xml:space="preserve">Pearson correlation coefficients (r) </w:t>
      </w:r>
      <w:r w:rsidR="00771C02">
        <w:rPr>
          <w:rFonts w:ascii="Arial" w:eastAsia="Arial" w:hAnsi="Arial" w:cs="Arial"/>
        </w:rPr>
        <w:t>b</w:t>
      </w:r>
      <w:r w:rsidR="00771C02" w:rsidRPr="00771C02">
        <w:rPr>
          <w:rFonts w:ascii="Arial" w:eastAsia="Arial" w:hAnsi="Arial" w:cs="Arial"/>
        </w:rPr>
        <w:t xml:space="preserve">etween fresh berry yield and coffee leaf rust incidence (INC) and disease severity index (DSI) in five </w:t>
      </w:r>
      <w:proofErr w:type="spellStart"/>
      <w:r w:rsidR="00771C02" w:rsidRPr="00771C02">
        <w:rPr>
          <w:rFonts w:ascii="Arial" w:eastAsia="Arial" w:hAnsi="Arial" w:cs="Arial"/>
          <w:i/>
          <w:iCs/>
        </w:rPr>
        <w:t>Coffea</w:t>
      </w:r>
      <w:proofErr w:type="spellEnd"/>
      <w:r w:rsidR="00771C02" w:rsidRPr="00771C02">
        <w:rPr>
          <w:rFonts w:ascii="Arial" w:eastAsia="Arial" w:hAnsi="Arial" w:cs="Arial"/>
          <w:i/>
          <w:iCs/>
        </w:rPr>
        <w:t xml:space="preserve"> </w:t>
      </w:r>
      <w:proofErr w:type="spellStart"/>
      <w:r w:rsidR="00771C02" w:rsidRPr="00771C02">
        <w:rPr>
          <w:rFonts w:ascii="Arial" w:eastAsia="Arial" w:hAnsi="Arial" w:cs="Arial"/>
          <w:i/>
          <w:iCs/>
        </w:rPr>
        <w:t>liberica</w:t>
      </w:r>
      <w:proofErr w:type="spellEnd"/>
      <w:r w:rsidR="00771C02" w:rsidRPr="00771C02">
        <w:rPr>
          <w:rFonts w:ascii="Arial" w:eastAsia="Arial" w:hAnsi="Arial" w:cs="Arial"/>
        </w:rPr>
        <w:t xml:space="preserve"> clones across two seasons.</w:t>
      </w:r>
    </w:p>
    <w:p w14:paraId="66E073E5" w14:textId="77777777" w:rsidR="009730DD" w:rsidRDefault="009730DD">
      <w:pPr>
        <w:spacing w:line="276" w:lineRule="auto"/>
        <w:jc w:val="both"/>
        <w:rPr>
          <w:rFonts w:ascii="Arial" w:eastAsia="Arial" w:hAnsi="Arial" w:cs="Arial"/>
        </w:rPr>
      </w:pPr>
    </w:p>
    <w:tbl>
      <w:tblPr>
        <w:tblStyle w:v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95"/>
        <w:gridCol w:w="983"/>
        <w:gridCol w:w="983"/>
        <w:gridCol w:w="905"/>
        <w:gridCol w:w="983"/>
        <w:gridCol w:w="905"/>
        <w:gridCol w:w="983"/>
        <w:gridCol w:w="983"/>
        <w:gridCol w:w="983"/>
        <w:gridCol w:w="914"/>
        <w:gridCol w:w="983"/>
      </w:tblGrid>
      <w:tr w:rsidR="00844CF7" w14:paraId="759B8FA8" w14:textId="77777777" w:rsidTr="00760931">
        <w:tc>
          <w:tcPr>
            <w:tcW w:w="553" w:type="pct"/>
            <w:tcBorders>
              <w:top w:val="single" w:sz="4" w:space="0" w:color="auto"/>
              <w:left w:val="nil"/>
              <w:bottom w:val="single" w:sz="4" w:space="0" w:color="auto"/>
              <w:right w:val="single" w:sz="4" w:space="0" w:color="auto"/>
            </w:tcBorders>
          </w:tcPr>
          <w:p w14:paraId="23BD4F35" w14:textId="77777777" w:rsidR="00844CF7" w:rsidRDefault="00844CF7" w:rsidP="00CB6CFD">
            <w:pPr>
              <w:spacing w:line="276" w:lineRule="auto"/>
              <w:jc w:val="both"/>
              <w:rPr>
                <w:rFonts w:ascii="Arial Narrow" w:eastAsia="Arial Narrow" w:hAnsi="Arial Narrow" w:cs="Arial Narrow"/>
                <w:b/>
                <w:sz w:val="20"/>
                <w:szCs w:val="20"/>
              </w:rPr>
            </w:pPr>
          </w:p>
        </w:tc>
        <w:tc>
          <w:tcPr>
            <w:tcW w:w="910" w:type="pct"/>
            <w:gridSpan w:val="2"/>
            <w:tcBorders>
              <w:top w:val="single" w:sz="4" w:space="0" w:color="auto"/>
              <w:left w:val="single" w:sz="4" w:space="0" w:color="auto"/>
              <w:bottom w:val="single" w:sz="4" w:space="0" w:color="auto"/>
            </w:tcBorders>
          </w:tcPr>
          <w:p w14:paraId="30946525"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Clone 211</w:t>
            </w:r>
          </w:p>
        </w:tc>
        <w:tc>
          <w:tcPr>
            <w:tcW w:w="874" w:type="pct"/>
            <w:gridSpan w:val="2"/>
            <w:tcBorders>
              <w:top w:val="single" w:sz="4" w:space="0" w:color="auto"/>
              <w:bottom w:val="single" w:sz="4" w:space="0" w:color="auto"/>
            </w:tcBorders>
          </w:tcPr>
          <w:p w14:paraId="47F91275"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Clone 213</w:t>
            </w:r>
          </w:p>
        </w:tc>
        <w:tc>
          <w:tcPr>
            <w:tcW w:w="874" w:type="pct"/>
            <w:gridSpan w:val="2"/>
            <w:tcBorders>
              <w:top w:val="single" w:sz="4" w:space="0" w:color="auto"/>
              <w:bottom w:val="single" w:sz="4" w:space="0" w:color="auto"/>
            </w:tcBorders>
          </w:tcPr>
          <w:p w14:paraId="3946006D"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Clone 222</w:t>
            </w:r>
          </w:p>
        </w:tc>
        <w:tc>
          <w:tcPr>
            <w:tcW w:w="910" w:type="pct"/>
            <w:gridSpan w:val="2"/>
            <w:tcBorders>
              <w:top w:val="single" w:sz="4" w:space="0" w:color="auto"/>
              <w:bottom w:val="single" w:sz="4" w:space="0" w:color="auto"/>
              <w:right w:val="nil"/>
            </w:tcBorders>
          </w:tcPr>
          <w:p w14:paraId="4D8B1AFB"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Clone 224</w:t>
            </w:r>
          </w:p>
        </w:tc>
        <w:tc>
          <w:tcPr>
            <w:tcW w:w="878" w:type="pct"/>
            <w:gridSpan w:val="2"/>
            <w:tcBorders>
              <w:top w:val="single" w:sz="4" w:space="0" w:color="auto"/>
              <w:left w:val="nil"/>
              <w:bottom w:val="single" w:sz="4" w:space="0" w:color="auto"/>
              <w:right w:val="nil"/>
            </w:tcBorders>
          </w:tcPr>
          <w:p w14:paraId="6C96F0AA"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MKL 7</w:t>
            </w:r>
          </w:p>
        </w:tc>
      </w:tr>
      <w:tr w:rsidR="00844CF7" w14:paraId="1995D479" w14:textId="77777777" w:rsidTr="00760931">
        <w:tc>
          <w:tcPr>
            <w:tcW w:w="553" w:type="pct"/>
            <w:tcBorders>
              <w:top w:val="single" w:sz="4" w:space="0" w:color="auto"/>
              <w:left w:val="nil"/>
              <w:bottom w:val="single" w:sz="4" w:space="0" w:color="auto"/>
              <w:right w:val="single" w:sz="4" w:space="0" w:color="auto"/>
            </w:tcBorders>
          </w:tcPr>
          <w:p w14:paraId="6BE3216E" w14:textId="77777777" w:rsidR="00844CF7" w:rsidRDefault="00844CF7" w:rsidP="00CB6CFD">
            <w:pPr>
              <w:spacing w:line="276" w:lineRule="auto"/>
              <w:jc w:val="both"/>
              <w:rPr>
                <w:rFonts w:ascii="Arial Narrow" w:eastAsia="Arial Narrow" w:hAnsi="Arial Narrow" w:cs="Arial Narrow"/>
                <w:b/>
                <w:sz w:val="20"/>
                <w:szCs w:val="20"/>
              </w:rPr>
            </w:pPr>
          </w:p>
        </w:tc>
        <w:tc>
          <w:tcPr>
            <w:tcW w:w="455" w:type="pct"/>
            <w:tcBorders>
              <w:top w:val="single" w:sz="4" w:space="0" w:color="auto"/>
              <w:left w:val="single" w:sz="4" w:space="0" w:color="auto"/>
              <w:bottom w:val="single" w:sz="4" w:space="0" w:color="auto"/>
            </w:tcBorders>
          </w:tcPr>
          <w:p w14:paraId="03866D7A"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INC</w:t>
            </w:r>
          </w:p>
        </w:tc>
        <w:tc>
          <w:tcPr>
            <w:tcW w:w="455" w:type="pct"/>
            <w:tcBorders>
              <w:top w:val="single" w:sz="4" w:space="0" w:color="auto"/>
              <w:bottom w:val="single" w:sz="4" w:space="0" w:color="auto"/>
            </w:tcBorders>
          </w:tcPr>
          <w:p w14:paraId="5722A62E"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DSI</w:t>
            </w:r>
          </w:p>
        </w:tc>
        <w:tc>
          <w:tcPr>
            <w:tcW w:w="419" w:type="pct"/>
            <w:tcBorders>
              <w:top w:val="single" w:sz="4" w:space="0" w:color="auto"/>
              <w:bottom w:val="single" w:sz="4" w:space="0" w:color="auto"/>
            </w:tcBorders>
          </w:tcPr>
          <w:p w14:paraId="674E09C7"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INC</w:t>
            </w:r>
          </w:p>
        </w:tc>
        <w:tc>
          <w:tcPr>
            <w:tcW w:w="455" w:type="pct"/>
            <w:tcBorders>
              <w:top w:val="single" w:sz="4" w:space="0" w:color="auto"/>
              <w:bottom w:val="single" w:sz="4" w:space="0" w:color="auto"/>
            </w:tcBorders>
          </w:tcPr>
          <w:p w14:paraId="37D9F3AE"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DSI</w:t>
            </w:r>
          </w:p>
        </w:tc>
        <w:tc>
          <w:tcPr>
            <w:tcW w:w="419" w:type="pct"/>
            <w:tcBorders>
              <w:top w:val="single" w:sz="4" w:space="0" w:color="auto"/>
              <w:bottom w:val="single" w:sz="4" w:space="0" w:color="auto"/>
            </w:tcBorders>
          </w:tcPr>
          <w:p w14:paraId="3F6632A0"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INC</w:t>
            </w:r>
          </w:p>
        </w:tc>
        <w:tc>
          <w:tcPr>
            <w:tcW w:w="455" w:type="pct"/>
            <w:tcBorders>
              <w:top w:val="single" w:sz="4" w:space="0" w:color="auto"/>
              <w:bottom w:val="single" w:sz="4" w:space="0" w:color="auto"/>
            </w:tcBorders>
          </w:tcPr>
          <w:p w14:paraId="4EB10ADA"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DSI</w:t>
            </w:r>
          </w:p>
        </w:tc>
        <w:tc>
          <w:tcPr>
            <w:tcW w:w="455" w:type="pct"/>
            <w:tcBorders>
              <w:top w:val="single" w:sz="4" w:space="0" w:color="auto"/>
              <w:bottom w:val="single" w:sz="4" w:space="0" w:color="auto"/>
            </w:tcBorders>
          </w:tcPr>
          <w:p w14:paraId="78FA2828"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INC</w:t>
            </w:r>
          </w:p>
        </w:tc>
        <w:tc>
          <w:tcPr>
            <w:tcW w:w="455" w:type="pct"/>
            <w:tcBorders>
              <w:top w:val="single" w:sz="4" w:space="0" w:color="auto"/>
              <w:bottom w:val="single" w:sz="4" w:space="0" w:color="auto"/>
            </w:tcBorders>
          </w:tcPr>
          <w:p w14:paraId="2FE37401"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DSI</w:t>
            </w:r>
          </w:p>
        </w:tc>
        <w:tc>
          <w:tcPr>
            <w:tcW w:w="423" w:type="pct"/>
            <w:tcBorders>
              <w:top w:val="single" w:sz="4" w:space="0" w:color="auto"/>
              <w:bottom w:val="single" w:sz="4" w:space="0" w:color="auto"/>
              <w:right w:val="single" w:sz="4" w:space="0" w:color="auto"/>
            </w:tcBorders>
          </w:tcPr>
          <w:p w14:paraId="43E60C60"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INC</w:t>
            </w:r>
          </w:p>
        </w:tc>
        <w:tc>
          <w:tcPr>
            <w:tcW w:w="455" w:type="pct"/>
            <w:tcBorders>
              <w:top w:val="single" w:sz="4" w:space="0" w:color="auto"/>
              <w:left w:val="single" w:sz="4" w:space="0" w:color="auto"/>
              <w:bottom w:val="single" w:sz="4" w:space="0" w:color="auto"/>
              <w:right w:val="nil"/>
            </w:tcBorders>
          </w:tcPr>
          <w:p w14:paraId="6B7599B0"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DSI</w:t>
            </w:r>
          </w:p>
        </w:tc>
      </w:tr>
      <w:tr w:rsidR="00844CF7" w14:paraId="0B64E384" w14:textId="77777777" w:rsidTr="00760931">
        <w:tc>
          <w:tcPr>
            <w:tcW w:w="553" w:type="pct"/>
            <w:tcBorders>
              <w:top w:val="single" w:sz="4" w:space="0" w:color="auto"/>
              <w:left w:val="nil"/>
              <w:bottom w:val="single" w:sz="4" w:space="0" w:color="auto"/>
              <w:right w:val="single" w:sz="4" w:space="0" w:color="auto"/>
            </w:tcBorders>
          </w:tcPr>
          <w:p w14:paraId="2404F037" w14:textId="77777777" w:rsidR="00844CF7" w:rsidRDefault="00844CF7" w:rsidP="00CB6CFD">
            <w:pPr>
              <w:spacing w:line="276"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Yield Y1</w:t>
            </w:r>
          </w:p>
        </w:tc>
        <w:tc>
          <w:tcPr>
            <w:tcW w:w="455" w:type="pct"/>
            <w:tcBorders>
              <w:top w:val="single" w:sz="4" w:space="0" w:color="auto"/>
              <w:left w:val="single" w:sz="4" w:space="0" w:color="auto"/>
              <w:bottom w:val="single" w:sz="4" w:space="0" w:color="auto"/>
            </w:tcBorders>
          </w:tcPr>
          <w:p w14:paraId="6C8021A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0.27</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tcPr>
          <w:p w14:paraId="0A98F6CB"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-0.03</w:t>
            </w:r>
            <w:r>
              <w:rPr>
                <w:rFonts w:ascii="Arial Narrow" w:eastAsia="Arial Narrow" w:hAnsi="Arial Narrow" w:cs="Arial Narrow"/>
                <w:sz w:val="20"/>
                <w:szCs w:val="20"/>
                <w:vertAlign w:val="superscript"/>
              </w:rPr>
              <w:t>ns</w:t>
            </w:r>
          </w:p>
        </w:tc>
        <w:tc>
          <w:tcPr>
            <w:tcW w:w="419" w:type="pct"/>
            <w:tcBorders>
              <w:top w:val="single" w:sz="4" w:space="0" w:color="auto"/>
              <w:bottom w:val="single" w:sz="4" w:space="0" w:color="auto"/>
            </w:tcBorders>
          </w:tcPr>
          <w:p w14:paraId="2940707C"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0.05</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tcPr>
          <w:p w14:paraId="28281B5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-0.10</w:t>
            </w:r>
            <w:r>
              <w:rPr>
                <w:rFonts w:ascii="Arial Narrow" w:eastAsia="Arial Narrow" w:hAnsi="Arial Narrow" w:cs="Arial Narrow"/>
                <w:sz w:val="20"/>
                <w:szCs w:val="20"/>
                <w:vertAlign w:val="superscript"/>
              </w:rPr>
              <w:t>ns</w:t>
            </w:r>
          </w:p>
        </w:tc>
        <w:tc>
          <w:tcPr>
            <w:tcW w:w="419" w:type="pct"/>
            <w:tcBorders>
              <w:top w:val="single" w:sz="4" w:space="0" w:color="auto"/>
              <w:bottom w:val="single" w:sz="4" w:space="0" w:color="auto"/>
            </w:tcBorders>
          </w:tcPr>
          <w:p w14:paraId="25AEA238"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0.08</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tcPr>
          <w:p w14:paraId="3791F33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-0.11</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752D7480"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-0.15</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6BDB50AD"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-0.37</w:t>
            </w:r>
            <w:r>
              <w:rPr>
                <w:rFonts w:ascii="Arial Narrow" w:eastAsia="Arial Narrow" w:hAnsi="Arial Narrow" w:cs="Arial Narrow"/>
                <w:sz w:val="20"/>
                <w:szCs w:val="20"/>
                <w:vertAlign w:val="superscript"/>
              </w:rPr>
              <w:t>ns</w:t>
            </w:r>
          </w:p>
        </w:tc>
        <w:tc>
          <w:tcPr>
            <w:tcW w:w="423" w:type="pct"/>
            <w:tcBorders>
              <w:top w:val="single" w:sz="4" w:space="0" w:color="auto"/>
              <w:bottom w:val="single" w:sz="4" w:space="0" w:color="auto"/>
              <w:right w:val="single" w:sz="4" w:space="0" w:color="auto"/>
            </w:tcBorders>
            <w:vAlign w:val="bottom"/>
          </w:tcPr>
          <w:p w14:paraId="57B2F88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0.41</w:t>
            </w:r>
            <w:r>
              <w:rPr>
                <w:rFonts w:ascii="Arial Narrow" w:eastAsia="Arial Narrow" w:hAnsi="Arial Narrow" w:cs="Arial Narrow"/>
                <w:sz w:val="20"/>
                <w:szCs w:val="20"/>
                <w:vertAlign w:val="superscript"/>
              </w:rPr>
              <w:t>ns</w:t>
            </w:r>
          </w:p>
        </w:tc>
        <w:tc>
          <w:tcPr>
            <w:tcW w:w="455" w:type="pct"/>
            <w:tcBorders>
              <w:top w:val="single" w:sz="4" w:space="0" w:color="auto"/>
              <w:left w:val="single" w:sz="4" w:space="0" w:color="auto"/>
              <w:bottom w:val="single" w:sz="4" w:space="0" w:color="auto"/>
              <w:right w:val="nil"/>
            </w:tcBorders>
            <w:vAlign w:val="bottom"/>
          </w:tcPr>
          <w:p w14:paraId="07F6353C"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0.22</w:t>
            </w:r>
            <w:r>
              <w:rPr>
                <w:rFonts w:ascii="Arial Narrow" w:eastAsia="Arial Narrow" w:hAnsi="Arial Narrow" w:cs="Arial Narrow"/>
                <w:sz w:val="20"/>
                <w:szCs w:val="20"/>
                <w:vertAlign w:val="superscript"/>
              </w:rPr>
              <w:t>ns</w:t>
            </w:r>
          </w:p>
        </w:tc>
      </w:tr>
      <w:tr w:rsidR="00844CF7" w14:paraId="2D190A0A" w14:textId="77777777" w:rsidTr="00760931">
        <w:tc>
          <w:tcPr>
            <w:tcW w:w="553" w:type="pct"/>
            <w:tcBorders>
              <w:top w:val="single" w:sz="4" w:space="0" w:color="auto"/>
              <w:left w:val="nil"/>
              <w:bottom w:val="single" w:sz="4" w:space="0" w:color="auto"/>
              <w:right w:val="single" w:sz="4" w:space="0" w:color="auto"/>
            </w:tcBorders>
          </w:tcPr>
          <w:p w14:paraId="3878F294" w14:textId="77777777" w:rsidR="00844CF7" w:rsidRDefault="00844CF7" w:rsidP="00CB6CFD">
            <w:pPr>
              <w:spacing w:line="276"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Yield Y2</w:t>
            </w:r>
          </w:p>
        </w:tc>
        <w:tc>
          <w:tcPr>
            <w:tcW w:w="455" w:type="pct"/>
            <w:tcBorders>
              <w:top w:val="single" w:sz="4" w:space="0" w:color="auto"/>
              <w:left w:val="single" w:sz="4" w:space="0" w:color="auto"/>
              <w:bottom w:val="single" w:sz="4" w:space="0" w:color="auto"/>
            </w:tcBorders>
            <w:vAlign w:val="bottom"/>
          </w:tcPr>
          <w:p w14:paraId="12FEF761"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-0.23</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5A64EF05"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-0.36</w:t>
            </w:r>
            <w:r>
              <w:rPr>
                <w:rFonts w:ascii="Arial Narrow" w:eastAsia="Arial Narrow" w:hAnsi="Arial Narrow" w:cs="Arial Narrow"/>
                <w:sz w:val="20"/>
                <w:szCs w:val="20"/>
                <w:vertAlign w:val="superscript"/>
              </w:rPr>
              <w:t>ns</w:t>
            </w:r>
          </w:p>
        </w:tc>
        <w:tc>
          <w:tcPr>
            <w:tcW w:w="419" w:type="pct"/>
            <w:tcBorders>
              <w:top w:val="single" w:sz="4" w:space="0" w:color="auto"/>
              <w:bottom w:val="single" w:sz="4" w:space="0" w:color="auto"/>
            </w:tcBorders>
          </w:tcPr>
          <w:p w14:paraId="6D328827"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0.57</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tcPr>
          <w:p w14:paraId="469E2B3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0.49</w:t>
            </w:r>
            <w:r>
              <w:rPr>
                <w:rFonts w:ascii="Arial Narrow" w:eastAsia="Arial Narrow" w:hAnsi="Arial Narrow" w:cs="Arial Narrow"/>
                <w:sz w:val="20"/>
                <w:szCs w:val="20"/>
                <w:vertAlign w:val="superscript"/>
              </w:rPr>
              <w:t>ns</w:t>
            </w:r>
          </w:p>
        </w:tc>
        <w:tc>
          <w:tcPr>
            <w:tcW w:w="419" w:type="pct"/>
            <w:tcBorders>
              <w:top w:val="single" w:sz="4" w:space="0" w:color="auto"/>
              <w:bottom w:val="single" w:sz="4" w:space="0" w:color="auto"/>
            </w:tcBorders>
            <w:vAlign w:val="bottom"/>
          </w:tcPr>
          <w:p w14:paraId="3CEDB2BB"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0.36</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05EE752C"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0.16</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2811C62B"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0.08</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4CEC2767"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0.16</w:t>
            </w:r>
            <w:r>
              <w:rPr>
                <w:rFonts w:ascii="Arial Narrow" w:eastAsia="Arial Narrow" w:hAnsi="Arial Narrow" w:cs="Arial Narrow"/>
                <w:sz w:val="20"/>
                <w:szCs w:val="20"/>
                <w:vertAlign w:val="superscript"/>
              </w:rPr>
              <w:t>ns</w:t>
            </w:r>
          </w:p>
        </w:tc>
        <w:tc>
          <w:tcPr>
            <w:tcW w:w="423" w:type="pct"/>
            <w:tcBorders>
              <w:top w:val="single" w:sz="4" w:space="0" w:color="auto"/>
              <w:bottom w:val="single" w:sz="4" w:space="0" w:color="auto"/>
              <w:right w:val="single" w:sz="4" w:space="0" w:color="auto"/>
            </w:tcBorders>
            <w:vAlign w:val="bottom"/>
          </w:tcPr>
          <w:p w14:paraId="1AB074B6"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-0.60*</w:t>
            </w:r>
          </w:p>
        </w:tc>
        <w:tc>
          <w:tcPr>
            <w:tcW w:w="455" w:type="pct"/>
            <w:tcBorders>
              <w:top w:val="single" w:sz="4" w:space="0" w:color="auto"/>
              <w:left w:val="single" w:sz="4" w:space="0" w:color="auto"/>
              <w:bottom w:val="single" w:sz="4" w:space="0" w:color="auto"/>
              <w:right w:val="nil"/>
            </w:tcBorders>
            <w:vAlign w:val="bottom"/>
          </w:tcPr>
          <w:p w14:paraId="7E7A18D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-0.54</w:t>
            </w:r>
            <w:r>
              <w:rPr>
                <w:rFonts w:ascii="Arial Narrow" w:eastAsia="Arial Narrow" w:hAnsi="Arial Narrow" w:cs="Arial Narrow"/>
                <w:sz w:val="20"/>
                <w:szCs w:val="20"/>
                <w:vertAlign w:val="superscript"/>
              </w:rPr>
              <w:t>ns</w:t>
            </w:r>
          </w:p>
        </w:tc>
      </w:tr>
    </w:tbl>
    <w:p w14:paraId="300C2D34" w14:textId="0B93AC40" w:rsidR="009C1ED2" w:rsidRDefault="00505FDC">
      <w:pPr>
        <w:spacing w:line="276" w:lineRule="auto"/>
        <w:jc w:val="both"/>
        <w:rPr>
          <w:rFonts w:ascii="Arial" w:eastAsia="Arial" w:hAnsi="Arial" w:cs="Arial"/>
        </w:rPr>
      </w:pPr>
      <w:r w:rsidRPr="00505FDC">
        <w:rPr>
          <w:rFonts w:ascii="Arial" w:eastAsia="Arial" w:hAnsi="Arial" w:cs="Arial"/>
          <w:i/>
          <w:sz w:val="18"/>
          <w:szCs w:val="18"/>
        </w:rPr>
        <w:t>ns = not significant (P &gt; 0.05); * = significant (P &lt; 0.05). Correlation strength: 0.90–1.00 = very high, 0.70–0.89 = high, 0.50–0.69 = moderate, 0.30–0.49 = low, 0.00–0.29 = negligible</w:t>
      </w:r>
      <w:r w:rsidR="00E37E9E">
        <w:rPr>
          <w:rFonts w:ascii="Arial" w:eastAsia="Arial" w:hAnsi="Arial" w:cs="Arial"/>
        </w:rPr>
        <w:t>.</w:t>
      </w:r>
    </w:p>
    <w:p w14:paraId="5E2F01A0" w14:textId="77777777" w:rsidR="009C1ED2" w:rsidRDefault="009C1ED2">
      <w:pPr>
        <w:spacing w:line="276" w:lineRule="auto"/>
        <w:jc w:val="both"/>
        <w:rPr>
          <w:rFonts w:ascii="Arial" w:eastAsia="Arial" w:hAnsi="Arial" w:cs="Arial"/>
        </w:rPr>
      </w:pPr>
    </w:p>
    <w:p w14:paraId="642397E5" w14:textId="2999C571"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4487188A"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502D3F5F" w14:textId="2E291B53" w:rsidR="009C1ED2" w:rsidRDefault="00B51CA7">
      <w:pPr>
        <w:keepNext/>
        <w:pBdr>
          <w:top w:val="nil"/>
          <w:left w:val="nil"/>
          <w:bottom w:val="nil"/>
          <w:right w:val="nil"/>
          <w:between w:val="nil"/>
        </w:pBdr>
        <w:spacing w:line="276" w:lineRule="auto"/>
        <w:jc w:val="both"/>
        <w:rPr>
          <w:rFonts w:ascii="Arial" w:eastAsia="Arial" w:hAnsi="Arial" w:cs="Arial"/>
          <w:color w:val="000000"/>
        </w:rPr>
      </w:pPr>
      <w:r w:rsidRPr="00B51CA7">
        <w:rPr>
          <w:rFonts w:ascii="Arial" w:eastAsia="Arial" w:hAnsi="Arial" w:cs="Arial"/>
          <w:color w:val="000000"/>
        </w:rPr>
        <w:t xml:space="preserve">This study </w:t>
      </w:r>
      <w:r w:rsidR="002D6999">
        <w:rPr>
          <w:rFonts w:ascii="Arial" w:eastAsia="Arial" w:hAnsi="Arial" w:cs="Arial"/>
          <w:color w:val="000000"/>
        </w:rPr>
        <w:t>showed</w:t>
      </w:r>
      <w:r w:rsidRPr="00B51CA7">
        <w:rPr>
          <w:rFonts w:ascii="Arial" w:eastAsia="Arial" w:hAnsi="Arial" w:cs="Arial"/>
          <w:color w:val="000000"/>
        </w:rPr>
        <w:t xml:space="preserve"> </w:t>
      </w:r>
      <w:r w:rsidR="002D6999">
        <w:rPr>
          <w:rFonts w:ascii="Arial" w:eastAsia="Arial" w:hAnsi="Arial" w:cs="Arial"/>
          <w:color w:val="000000"/>
        </w:rPr>
        <w:t xml:space="preserve">the impact of </w:t>
      </w:r>
      <w:r w:rsidRPr="00B51CA7">
        <w:rPr>
          <w:rFonts w:ascii="Arial" w:eastAsia="Arial" w:hAnsi="Arial" w:cs="Arial"/>
          <w:color w:val="000000"/>
        </w:rPr>
        <w:t xml:space="preserve">coffee leaf rust (CLR) on </w:t>
      </w:r>
      <w:r w:rsidR="002D6999">
        <w:rPr>
          <w:rFonts w:ascii="Arial" w:eastAsia="Arial" w:hAnsi="Arial" w:cs="Arial"/>
          <w:color w:val="000000"/>
        </w:rPr>
        <w:t>yield</w:t>
      </w:r>
      <w:r w:rsidRPr="00B51CA7">
        <w:rPr>
          <w:rFonts w:ascii="Arial" w:eastAsia="Arial" w:hAnsi="Arial" w:cs="Arial"/>
          <w:color w:val="000000"/>
        </w:rPr>
        <w:t xml:space="preserve"> </w:t>
      </w:r>
      <w:r w:rsidR="002D6999">
        <w:rPr>
          <w:rFonts w:ascii="Arial" w:eastAsia="Arial" w:hAnsi="Arial" w:cs="Arial"/>
          <w:color w:val="000000"/>
        </w:rPr>
        <w:t xml:space="preserve">performance </w:t>
      </w:r>
      <w:r w:rsidRPr="00B51CA7">
        <w:rPr>
          <w:rFonts w:ascii="Arial" w:eastAsia="Arial" w:hAnsi="Arial" w:cs="Arial"/>
          <w:color w:val="000000"/>
        </w:rPr>
        <w:t xml:space="preserve">of newly developed </w:t>
      </w:r>
      <w:proofErr w:type="spellStart"/>
      <w:r w:rsidRPr="00B51CA7">
        <w:rPr>
          <w:rFonts w:ascii="Arial" w:eastAsia="Arial" w:hAnsi="Arial" w:cs="Arial"/>
          <w:i/>
          <w:iCs/>
          <w:color w:val="000000"/>
        </w:rPr>
        <w:t>Coffea</w:t>
      </w:r>
      <w:proofErr w:type="spellEnd"/>
      <w:r w:rsidRPr="00B51CA7">
        <w:rPr>
          <w:rFonts w:ascii="Arial" w:eastAsia="Arial" w:hAnsi="Arial" w:cs="Arial"/>
          <w:i/>
          <w:iCs/>
          <w:color w:val="000000"/>
        </w:rPr>
        <w:t xml:space="preserve"> </w:t>
      </w:r>
      <w:proofErr w:type="spellStart"/>
      <w:r w:rsidRPr="00B51CA7">
        <w:rPr>
          <w:rFonts w:ascii="Arial" w:eastAsia="Arial" w:hAnsi="Arial" w:cs="Arial"/>
          <w:i/>
          <w:iCs/>
          <w:color w:val="000000"/>
        </w:rPr>
        <w:t>liberica</w:t>
      </w:r>
      <w:proofErr w:type="spellEnd"/>
      <w:r w:rsidRPr="00B51CA7">
        <w:rPr>
          <w:rFonts w:ascii="Arial" w:eastAsia="Arial" w:hAnsi="Arial" w:cs="Arial"/>
          <w:color w:val="000000"/>
        </w:rPr>
        <w:t xml:space="preserve"> clones under Malaysian field conditions. </w:t>
      </w:r>
      <w:r w:rsidR="002D6999">
        <w:rPr>
          <w:rFonts w:ascii="Arial" w:eastAsia="Arial" w:hAnsi="Arial" w:cs="Arial"/>
          <w:color w:val="000000"/>
        </w:rPr>
        <w:t>Clone</w:t>
      </w:r>
      <w:r w:rsidRPr="00B51CA7">
        <w:rPr>
          <w:rFonts w:ascii="Arial" w:eastAsia="Arial" w:hAnsi="Arial" w:cs="Arial"/>
          <w:color w:val="000000"/>
        </w:rPr>
        <w:t xml:space="preserve"> 213 consistently combined low rust severity with stable yields across two cropping cycles, making it the most promising candidate for sustainable cultivation. In contrast, clones 211 and 222 were highly susceptible, while clone 224, despite initial tolerance, showed strong environmental sensitivity. </w:t>
      </w:r>
      <w:r w:rsidR="002D6999" w:rsidRPr="002D6999">
        <w:rPr>
          <w:rFonts w:ascii="Arial" w:eastAsia="Arial" w:hAnsi="Arial" w:cs="Arial"/>
          <w:color w:val="000000"/>
        </w:rPr>
        <w:t>Correlation patterns indicated that CLR-driven yield losses varied with host resistance and environmental factors, with biennial bearing further amplifying seasonal fluctuations. These findings highlight the importance of integrating resistant clones with adaptive management practices to ensure stable productivity under rust pressure and climate variability.</w:t>
      </w:r>
    </w:p>
    <w:p w14:paraId="6F4BC627" w14:textId="77777777" w:rsidR="00BA403C" w:rsidRDefault="00BA403C">
      <w:pPr>
        <w:keepNext/>
        <w:pBdr>
          <w:top w:val="nil"/>
          <w:left w:val="nil"/>
          <w:bottom w:val="nil"/>
          <w:right w:val="nil"/>
          <w:between w:val="nil"/>
        </w:pBdr>
        <w:spacing w:line="276" w:lineRule="auto"/>
        <w:jc w:val="both"/>
        <w:rPr>
          <w:rFonts w:ascii="Arial" w:eastAsia="Arial" w:hAnsi="Arial" w:cs="Arial"/>
          <w:color w:val="000000"/>
        </w:rPr>
      </w:pPr>
    </w:p>
    <w:p w14:paraId="06760786" w14:textId="77777777" w:rsidR="009C1ED2" w:rsidRDefault="009C1ED2">
      <w:pPr>
        <w:pBdr>
          <w:top w:val="nil"/>
          <w:left w:val="nil"/>
          <w:bottom w:val="nil"/>
          <w:right w:val="nil"/>
          <w:between w:val="nil"/>
        </w:pBdr>
        <w:spacing w:line="276" w:lineRule="auto"/>
        <w:jc w:val="both"/>
        <w:rPr>
          <w:rFonts w:ascii="Arial" w:eastAsia="Arial" w:hAnsi="Arial" w:cs="Arial"/>
          <w:color w:val="000000"/>
        </w:rPr>
      </w:pPr>
      <w:bookmarkStart w:id="5" w:name="_GoBack"/>
      <w:bookmarkEnd w:id="5"/>
    </w:p>
    <w:p w14:paraId="66D40336" w14:textId="77777777" w:rsidR="009C1ED2" w:rsidRDefault="009C1ED2">
      <w:pPr>
        <w:keepNext/>
        <w:pBdr>
          <w:top w:val="nil"/>
          <w:left w:val="nil"/>
          <w:bottom w:val="nil"/>
          <w:right w:val="nil"/>
          <w:between w:val="nil"/>
        </w:pBdr>
        <w:spacing w:line="276" w:lineRule="auto"/>
        <w:jc w:val="both"/>
        <w:rPr>
          <w:rFonts w:ascii="Arial" w:eastAsia="Arial" w:hAnsi="Arial" w:cs="Arial"/>
          <w:color w:val="000000"/>
        </w:rPr>
      </w:pPr>
    </w:p>
    <w:p w14:paraId="6E8C1C16" w14:textId="77777777"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Consent </w:t>
      </w:r>
    </w:p>
    <w:p w14:paraId="101E604C"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7860F116" w14:textId="77777777" w:rsidR="009C1ED2" w:rsidRDefault="00E37E9E">
      <w:pPr>
        <w:keepNext/>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All authors declare that written consent is not applicable in this study.</w:t>
      </w:r>
    </w:p>
    <w:p w14:paraId="3A0DE303" w14:textId="77777777" w:rsidR="009C1ED2" w:rsidRDefault="009C1ED2">
      <w:pPr>
        <w:keepNext/>
        <w:pBdr>
          <w:top w:val="nil"/>
          <w:left w:val="nil"/>
          <w:bottom w:val="nil"/>
          <w:right w:val="nil"/>
          <w:between w:val="nil"/>
        </w:pBdr>
        <w:spacing w:line="276" w:lineRule="auto"/>
        <w:jc w:val="both"/>
        <w:rPr>
          <w:rFonts w:ascii="Arial" w:eastAsia="Arial" w:hAnsi="Arial" w:cs="Arial"/>
          <w:color w:val="000000"/>
        </w:rPr>
      </w:pPr>
    </w:p>
    <w:p w14:paraId="41CAB40B" w14:textId="77777777"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Ethical approval</w:t>
      </w:r>
    </w:p>
    <w:p w14:paraId="1869EE8D"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32F167EC" w14:textId="77777777" w:rsidR="009C1ED2" w:rsidRDefault="00E37E9E">
      <w:pPr>
        <w:keepNext/>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All authors hereby declare ethical approval is not applicable in this study.</w:t>
      </w:r>
    </w:p>
    <w:p w14:paraId="722C9442"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3340ABC7" w14:textId="77777777"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381835B7" w14:textId="6AA5B24A"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eastAsia="Arial" w:hAnsi="Arial" w:cs="Arial"/>
          <w:b/>
          <w:smallCaps/>
          <w:color w:val="000000"/>
        </w:rPr>
        <w:fldChar w:fldCharType="begin" w:fldLock="1"/>
      </w:r>
      <w:r w:rsidRPr="00F2116B">
        <w:rPr>
          <w:rFonts w:ascii="Arial" w:eastAsia="Arial" w:hAnsi="Arial" w:cs="Arial"/>
          <w:b/>
          <w:smallCaps/>
          <w:color w:val="000000"/>
        </w:rPr>
        <w:instrText xml:space="preserve">ADDIN Mendeley Bibliography CSL_BIBLIOGRAPHY </w:instrText>
      </w:r>
      <w:r w:rsidRPr="00F2116B">
        <w:rPr>
          <w:rFonts w:ascii="Arial" w:eastAsia="Arial" w:hAnsi="Arial" w:cs="Arial"/>
          <w:b/>
          <w:smallCaps/>
          <w:color w:val="000000"/>
        </w:rPr>
        <w:fldChar w:fldCharType="separate"/>
      </w:r>
      <w:r w:rsidRPr="00F2116B">
        <w:rPr>
          <w:rFonts w:ascii="Arial" w:hAnsi="Arial" w:cs="Arial"/>
          <w:noProof/>
        </w:rPr>
        <w:t>Alvarado-Huamán, L., Borjas-Ventura, R., Castro-Cepero, V., García-Nieves, L., Jiménez-Dávalos, J., Julca-Otiniano, A., &amp; Gómez-Pando, L. (2020). Dynamics of severity of coffee leaf rust (</w:t>
      </w:r>
      <w:r w:rsidRPr="00F2116B">
        <w:rPr>
          <w:rFonts w:ascii="Arial" w:hAnsi="Arial" w:cs="Arial"/>
          <w:i/>
          <w:iCs/>
          <w:noProof/>
        </w:rPr>
        <w:t>Hemileia vastatrix</w:t>
      </w:r>
      <w:r w:rsidRPr="00F2116B">
        <w:rPr>
          <w:rFonts w:ascii="Arial" w:hAnsi="Arial" w:cs="Arial"/>
          <w:noProof/>
        </w:rPr>
        <w:t xml:space="preserve">) on Coffee, in Chanchamayo (Junin-Peru). </w:t>
      </w:r>
      <w:r w:rsidRPr="00F2116B">
        <w:rPr>
          <w:rFonts w:ascii="Arial" w:hAnsi="Arial" w:cs="Arial"/>
          <w:i/>
          <w:iCs/>
          <w:noProof/>
        </w:rPr>
        <w:t>Agronomia Mesoamericana</w:t>
      </w:r>
      <w:r w:rsidRPr="00F2116B">
        <w:rPr>
          <w:rFonts w:ascii="Arial" w:hAnsi="Arial" w:cs="Arial"/>
          <w:noProof/>
        </w:rPr>
        <w:t xml:space="preserve">, </w:t>
      </w:r>
      <w:r w:rsidRPr="00F2116B">
        <w:rPr>
          <w:rFonts w:ascii="Arial" w:hAnsi="Arial" w:cs="Arial"/>
          <w:i/>
          <w:iCs/>
          <w:noProof/>
        </w:rPr>
        <w:t>31</w:t>
      </w:r>
      <w:r w:rsidRPr="00F2116B">
        <w:rPr>
          <w:rFonts w:ascii="Arial" w:hAnsi="Arial" w:cs="Arial"/>
          <w:noProof/>
        </w:rPr>
        <w:t>(3), 517–529. https://doi.org/10.15517/AM.V31I3.39726</w:t>
      </w:r>
    </w:p>
    <w:p w14:paraId="13D16E26"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Avelino, J., Cristancho, M., Georgiou, S., Imbach, P., Aguilar, L., Bornemann, G., Läderach, P., Anzueto, F., Hruska, A. J., &amp; Morales, C. (2015). The coffee rust crises in Colombia and Central America (2008–2013): impacts, plausible causes and proposed solutions. </w:t>
      </w:r>
      <w:r w:rsidRPr="00F2116B">
        <w:rPr>
          <w:rFonts w:ascii="Arial" w:hAnsi="Arial" w:cs="Arial"/>
          <w:i/>
          <w:iCs/>
          <w:noProof/>
        </w:rPr>
        <w:t>Food Security</w:t>
      </w:r>
      <w:r w:rsidRPr="00F2116B">
        <w:rPr>
          <w:rFonts w:ascii="Arial" w:hAnsi="Arial" w:cs="Arial"/>
          <w:noProof/>
        </w:rPr>
        <w:t xml:space="preserve">, </w:t>
      </w:r>
      <w:r w:rsidRPr="00F2116B">
        <w:rPr>
          <w:rFonts w:ascii="Arial" w:hAnsi="Arial" w:cs="Arial"/>
          <w:i/>
          <w:iCs/>
          <w:noProof/>
        </w:rPr>
        <w:t>7</w:t>
      </w:r>
      <w:r w:rsidRPr="00F2116B">
        <w:rPr>
          <w:rFonts w:ascii="Arial" w:hAnsi="Arial" w:cs="Arial"/>
          <w:noProof/>
        </w:rPr>
        <w:t>(2), 303–321. https://doi.org/10.1007/s12571-015-0446-9</w:t>
      </w:r>
    </w:p>
    <w:p w14:paraId="647B51EA"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Avelino, J., Zelaya, H., Merlo, A., Pineda, A., Ordoñez, M., &amp; Savary, S. (2006). The intensity of a coffee rust epidemic is dependent on production situations. </w:t>
      </w:r>
      <w:r w:rsidRPr="00F2116B">
        <w:rPr>
          <w:rFonts w:ascii="Arial" w:hAnsi="Arial" w:cs="Arial"/>
          <w:i/>
          <w:iCs/>
          <w:noProof/>
        </w:rPr>
        <w:t>Ecological Modelling</w:t>
      </w:r>
      <w:r w:rsidRPr="00F2116B">
        <w:rPr>
          <w:rFonts w:ascii="Arial" w:hAnsi="Arial" w:cs="Arial"/>
          <w:noProof/>
        </w:rPr>
        <w:t xml:space="preserve">, </w:t>
      </w:r>
      <w:r w:rsidRPr="00F2116B">
        <w:rPr>
          <w:rFonts w:ascii="Arial" w:hAnsi="Arial" w:cs="Arial"/>
          <w:i/>
          <w:iCs/>
          <w:noProof/>
        </w:rPr>
        <w:t>197</w:t>
      </w:r>
      <w:r w:rsidRPr="00F2116B">
        <w:rPr>
          <w:rFonts w:ascii="Arial" w:hAnsi="Arial" w:cs="Arial"/>
          <w:noProof/>
        </w:rPr>
        <w:t>(3–4), 431–447. https://doi.org/10.1016/j.ecolmodel.2006.03.013</w:t>
      </w:r>
    </w:p>
    <w:p w14:paraId="6A025AFE"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Bebber, D. P., Castillo, Á. D., &amp; Gurr, S. J. (2016). Modelling coffee leaf rust risk in Colombia with climate reanalysis data. </w:t>
      </w:r>
      <w:r w:rsidRPr="00F2116B">
        <w:rPr>
          <w:rFonts w:ascii="Arial" w:hAnsi="Arial" w:cs="Arial"/>
          <w:i/>
          <w:iCs/>
          <w:noProof/>
        </w:rPr>
        <w:t>Philosophical Transactions of the Royal Society B: Biological Sciences</w:t>
      </w:r>
      <w:r w:rsidRPr="00F2116B">
        <w:rPr>
          <w:rFonts w:ascii="Arial" w:hAnsi="Arial" w:cs="Arial"/>
          <w:noProof/>
        </w:rPr>
        <w:t xml:space="preserve">, </w:t>
      </w:r>
      <w:r w:rsidRPr="00F2116B">
        <w:rPr>
          <w:rFonts w:ascii="Arial" w:hAnsi="Arial" w:cs="Arial"/>
          <w:i/>
          <w:iCs/>
          <w:noProof/>
        </w:rPr>
        <w:t>371</w:t>
      </w:r>
      <w:r w:rsidRPr="00F2116B">
        <w:rPr>
          <w:rFonts w:ascii="Arial" w:hAnsi="Arial" w:cs="Arial"/>
          <w:noProof/>
        </w:rPr>
        <w:t>(1709). https://doi.org/10.1098/rstb.2015.0458</w:t>
      </w:r>
    </w:p>
    <w:p w14:paraId="7769AC12"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Bernardes, T., Moreira, M. A., Adami, M., Giarolla, A., &amp; Rudorff, B. F. T. (2012). Monitoring biennial bearing effect on coffee yield using MODIS remote sensing imagery. </w:t>
      </w:r>
      <w:r w:rsidRPr="00F2116B">
        <w:rPr>
          <w:rFonts w:ascii="Arial" w:hAnsi="Arial" w:cs="Arial"/>
          <w:i/>
          <w:iCs/>
          <w:noProof/>
        </w:rPr>
        <w:t>Remote Sensing</w:t>
      </w:r>
      <w:r w:rsidRPr="00F2116B">
        <w:rPr>
          <w:rFonts w:ascii="Arial" w:hAnsi="Arial" w:cs="Arial"/>
          <w:noProof/>
        </w:rPr>
        <w:t xml:space="preserve">, </w:t>
      </w:r>
      <w:r w:rsidRPr="00F2116B">
        <w:rPr>
          <w:rFonts w:ascii="Arial" w:hAnsi="Arial" w:cs="Arial"/>
          <w:i/>
          <w:iCs/>
          <w:noProof/>
        </w:rPr>
        <w:t>4</w:t>
      </w:r>
      <w:r w:rsidRPr="00F2116B">
        <w:rPr>
          <w:rFonts w:ascii="Arial" w:hAnsi="Arial" w:cs="Arial"/>
          <w:noProof/>
        </w:rPr>
        <w:t>(9), 2492–2509. https://doi.org/10.3390/rs4092492</w:t>
      </w:r>
    </w:p>
    <w:p w14:paraId="2BFB1AAA"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Brinate, S. V. B., Martins, L. D., Rodrigues, W. N., Colodetti, T. V., Cunha, V. V., Rosa, G. N. G. P., Junior, W. C. J., &amp; Tomaz, M. A. (2015). Influence of copper sources on the management of leaf rust, growth and crop yield of Arabica coffee. </w:t>
      </w:r>
      <w:r w:rsidRPr="00F2116B">
        <w:rPr>
          <w:rFonts w:ascii="Arial" w:hAnsi="Arial" w:cs="Arial"/>
          <w:i/>
          <w:iCs/>
          <w:noProof/>
        </w:rPr>
        <w:t>Journal of Food, Agriculture and Environment</w:t>
      </w:r>
      <w:r w:rsidRPr="00F2116B">
        <w:rPr>
          <w:rFonts w:ascii="Arial" w:hAnsi="Arial" w:cs="Arial"/>
          <w:noProof/>
        </w:rPr>
        <w:t xml:space="preserve">, </w:t>
      </w:r>
      <w:r w:rsidRPr="00F2116B">
        <w:rPr>
          <w:rFonts w:ascii="Arial" w:hAnsi="Arial" w:cs="Arial"/>
          <w:i/>
          <w:iCs/>
          <w:noProof/>
        </w:rPr>
        <w:t>13</w:t>
      </w:r>
      <w:r w:rsidRPr="00F2116B">
        <w:rPr>
          <w:rFonts w:ascii="Arial" w:hAnsi="Arial" w:cs="Arial"/>
          <w:noProof/>
        </w:rPr>
        <w:t>(2), 184–189.</w:t>
      </w:r>
    </w:p>
    <w:p w14:paraId="5B3AA36E"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Brown, J. S., Whan, J. H., Kenny, M. K., &amp; Merriman, P. R. (1995). The effect of coffee leaf rust on foliation and yield of coffee in Papua New Guinea. </w:t>
      </w:r>
      <w:r w:rsidRPr="00F2116B">
        <w:rPr>
          <w:rFonts w:ascii="Arial" w:hAnsi="Arial" w:cs="Arial"/>
          <w:i/>
          <w:iCs/>
          <w:noProof/>
        </w:rPr>
        <w:t>Crop Protection</w:t>
      </w:r>
      <w:r w:rsidRPr="00F2116B">
        <w:rPr>
          <w:rFonts w:ascii="Arial" w:hAnsi="Arial" w:cs="Arial"/>
          <w:noProof/>
        </w:rPr>
        <w:t xml:space="preserve">, </w:t>
      </w:r>
      <w:r w:rsidRPr="00F2116B">
        <w:rPr>
          <w:rFonts w:ascii="Arial" w:hAnsi="Arial" w:cs="Arial"/>
          <w:i/>
          <w:iCs/>
          <w:noProof/>
        </w:rPr>
        <w:t>14</w:t>
      </w:r>
      <w:r w:rsidRPr="00F2116B">
        <w:rPr>
          <w:rFonts w:ascii="Arial" w:hAnsi="Arial" w:cs="Arial"/>
          <w:noProof/>
        </w:rPr>
        <w:t>(7), 589–592. https://doi.org/10.1016/0261-2194(95)00040-2</w:t>
      </w:r>
    </w:p>
    <w:p w14:paraId="739C8B39"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Bunn, C., Läderach, P., Guillermo, J., Jimenez, P., Montagnon, C., &amp; Schilling, T. (2015). Multiclass classification of agro-ecological zones for Arabica coffee: an improved understanding of the impacts of climate change. </w:t>
      </w:r>
      <w:r w:rsidRPr="00F2116B">
        <w:rPr>
          <w:rFonts w:ascii="Arial" w:hAnsi="Arial" w:cs="Arial"/>
          <w:i/>
          <w:iCs/>
          <w:noProof/>
        </w:rPr>
        <w:t>PLoS ONE</w:t>
      </w:r>
      <w:r w:rsidRPr="00F2116B">
        <w:rPr>
          <w:rFonts w:ascii="Arial" w:hAnsi="Arial" w:cs="Arial"/>
          <w:noProof/>
        </w:rPr>
        <w:t xml:space="preserve">, </w:t>
      </w:r>
      <w:r w:rsidRPr="00F2116B">
        <w:rPr>
          <w:rFonts w:ascii="Arial" w:hAnsi="Arial" w:cs="Arial"/>
          <w:i/>
          <w:iCs/>
          <w:noProof/>
        </w:rPr>
        <w:t>10</w:t>
      </w:r>
      <w:r w:rsidRPr="00F2116B">
        <w:rPr>
          <w:rFonts w:ascii="Arial" w:hAnsi="Arial" w:cs="Arial"/>
          <w:noProof/>
        </w:rPr>
        <w:t>(10), e0140490. https://doi.org/10.1371/journal.pone.0140490</w:t>
      </w:r>
    </w:p>
    <w:p w14:paraId="579608DC"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Cao, E. P., Constantino-Santos, D. M., Ramos, L. A. P., Santos, B. S., Quilang, J. P., &amp; Mojica, R. M. (2014). Molecular and morphological differentiation among </w:t>
      </w:r>
      <w:r w:rsidRPr="00F2116B">
        <w:rPr>
          <w:rFonts w:ascii="Arial" w:hAnsi="Arial" w:cs="Arial"/>
          <w:i/>
          <w:iCs/>
          <w:noProof/>
        </w:rPr>
        <w:t>Coffea</w:t>
      </w:r>
      <w:r w:rsidRPr="00F2116B">
        <w:rPr>
          <w:rFonts w:ascii="Arial" w:hAnsi="Arial" w:cs="Arial"/>
          <w:noProof/>
        </w:rPr>
        <w:t xml:space="preserve"> (Rubiaceae) varieties grown in the farms of Cavite Province, Philippines. </w:t>
      </w:r>
      <w:r w:rsidRPr="00F2116B">
        <w:rPr>
          <w:rFonts w:ascii="Arial" w:hAnsi="Arial" w:cs="Arial"/>
          <w:i/>
          <w:iCs/>
          <w:noProof/>
        </w:rPr>
        <w:t>Philippine Science Letters</w:t>
      </w:r>
      <w:r w:rsidRPr="00F2116B">
        <w:rPr>
          <w:rFonts w:ascii="Arial" w:hAnsi="Arial" w:cs="Arial"/>
          <w:noProof/>
        </w:rPr>
        <w:t xml:space="preserve">, </w:t>
      </w:r>
      <w:r w:rsidRPr="00F2116B">
        <w:rPr>
          <w:rFonts w:ascii="Arial" w:hAnsi="Arial" w:cs="Arial"/>
          <w:i/>
          <w:iCs/>
          <w:noProof/>
        </w:rPr>
        <w:t>7</w:t>
      </w:r>
      <w:r w:rsidRPr="00F2116B">
        <w:rPr>
          <w:rFonts w:ascii="Arial" w:hAnsi="Arial" w:cs="Arial"/>
          <w:noProof/>
        </w:rPr>
        <w:t>(2), 387–397.</w:t>
      </w:r>
    </w:p>
    <w:p w14:paraId="31DEC334"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Capucho, A. S., Zambolim, L., Duarte, H. S. S., &amp; Vaz, G. R. O. (2011). Development and validation of a standard area diagram set to estimate severity of leaf rust in </w:t>
      </w:r>
      <w:r w:rsidRPr="00F2116B">
        <w:rPr>
          <w:rFonts w:ascii="Arial" w:hAnsi="Arial" w:cs="Arial"/>
          <w:i/>
          <w:iCs/>
          <w:noProof/>
        </w:rPr>
        <w:t>Coffea arabica</w:t>
      </w:r>
      <w:r w:rsidRPr="00F2116B">
        <w:rPr>
          <w:rFonts w:ascii="Arial" w:hAnsi="Arial" w:cs="Arial"/>
          <w:noProof/>
        </w:rPr>
        <w:t xml:space="preserve"> and </w:t>
      </w:r>
      <w:r w:rsidRPr="00F2116B">
        <w:rPr>
          <w:rFonts w:ascii="Arial" w:hAnsi="Arial" w:cs="Arial"/>
          <w:i/>
          <w:iCs/>
          <w:noProof/>
        </w:rPr>
        <w:t>C. canephora</w:t>
      </w:r>
      <w:r w:rsidRPr="00F2116B">
        <w:rPr>
          <w:rFonts w:ascii="Arial" w:hAnsi="Arial" w:cs="Arial"/>
          <w:noProof/>
        </w:rPr>
        <w:t xml:space="preserve">. </w:t>
      </w:r>
      <w:r w:rsidRPr="00F2116B">
        <w:rPr>
          <w:rFonts w:ascii="Arial" w:hAnsi="Arial" w:cs="Arial"/>
          <w:i/>
          <w:iCs/>
          <w:noProof/>
        </w:rPr>
        <w:t>Plant Pathology</w:t>
      </w:r>
      <w:r w:rsidRPr="00F2116B">
        <w:rPr>
          <w:rFonts w:ascii="Arial" w:hAnsi="Arial" w:cs="Arial"/>
          <w:noProof/>
        </w:rPr>
        <w:t xml:space="preserve">, </w:t>
      </w:r>
      <w:r w:rsidRPr="00F2116B">
        <w:rPr>
          <w:rFonts w:ascii="Arial" w:hAnsi="Arial" w:cs="Arial"/>
          <w:i/>
          <w:iCs/>
          <w:noProof/>
        </w:rPr>
        <w:t>60</w:t>
      </w:r>
      <w:r w:rsidRPr="00F2116B">
        <w:rPr>
          <w:rFonts w:ascii="Arial" w:hAnsi="Arial" w:cs="Arial"/>
          <w:noProof/>
        </w:rPr>
        <w:t>(6), 1144–1150. https://doi.org/10.1111/j.1365-3059.2011.02472.x</w:t>
      </w:r>
    </w:p>
    <w:p w14:paraId="49F36F37"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Cerda, R., Avelino, J., Gary, C., Tixier, P., Lechevallier, E., &amp; Allinne, C. (2017). Primary and secondary yield losses caused by pests and diseases: Assessment and modeling in coffee. </w:t>
      </w:r>
      <w:r w:rsidRPr="00F2116B">
        <w:rPr>
          <w:rFonts w:ascii="Arial" w:hAnsi="Arial" w:cs="Arial"/>
          <w:i/>
          <w:iCs/>
          <w:noProof/>
        </w:rPr>
        <w:t>PLoS ONE</w:t>
      </w:r>
      <w:r w:rsidRPr="00F2116B">
        <w:rPr>
          <w:rFonts w:ascii="Arial" w:hAnsi="Arial" w:cs="Arial"/>
          <w:noProof/>
        </w:rPr>
        <w:t xml:space="preserve">, </w:t>
      </w:r>
      <w:r w:rsidRPr="00F2116B">
        <w:rPr>
          <w:rFonts w:ascii="Arial" w:hAnsi="Arial" w:cs="Arial"/>
          <w:i/>
          <w:iCs/>
          <w:noProof/>
        </w:rPr>
        <w:t>12</w:t>
      </w:r>
      <w:r w:rsidRPr="00F2116B">
        <w:rPr>
          <w:rFonts w:ascii="Arial" w:hAnsi="Arial" w:cs="Arial"/>
          <w:noProof/>
        </w:rPr>
        <w:t>(1), 1–17. https://doi.org/10.1371/journal.pone.0169133</w:t>
      </w:r>
    </w:p>
    <w:p w14:paraId="1AFE7C35"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Costa, M. J. N., Zambolim, L., &amp; Rodrigues, F. A. (2006). Effect of levels of coffee berry removals on the incidence of rust and on the level of nutrients, carbohydrates and reductor sugar. </w:t>
      </w:r>
      <w:r w:rsidRPr="00F2116B">
        <w:rPr>
          <w:rFonts w:ascii="Arial" w:hAnsi="Arial" w:cs="Arial"/>
          <w:i/>
          <w:iCs/>
          <w:noProof/>
        </w:rPr>
        <w:t>Fitopatologia Brasileira</w:t>
      </w:r>
      <w:r w:rsidRPr="00F2116B">
        <w:rPr>
          <w:rFonts w:ascii="Arial" w:hAnsi="Arial" w:cs="Arial"/>
          <w:noProof/>
        </w:rPr>
        <w:t xml:space="preserve">, </w:t>
      </w:r>
      <w:r w:rsidRPr="00F2116B">
        <w:rPr>
          <w:rFonts w:ascii="Arial" w:hAnsi="Arial" w:cs="Arial"/>
          <w:i/>
          <w:iCs/>
          <w:noProof/>
        </w:rPr>
        <w:t>31</w:t>
      </w:r>
      <w:r w:rsidRPr="00F2116B">
        <w:rPr>
          <w:rFonts w:ascii="Arial" w:hAnsi="Arial" w:cs="Arial"/>
          <w:noProof/>
        </w:rPr>
        <w:t>(6), 564–571.</w:t>
      </w:r>
    </w:p>
    <w:p w14:paraId="2FEFADF5"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Das, D. K., Shivanna, M. B., &amp; Prakash, N. S. (2021). Vegetative vigour, yield and field tolerance to leaf rust in four F1 hybrids of coffee (</w:t>
      </w:r>
      <w:r w:rsidRPr="00F2116B">
        <w:rPr>
          <w:rFonts w:ascii="Arial" w:hAnsi="Arial" w:cs="Arial"/>
          <w:i/>
          <w:iCs/>
          <w:noProof/>
        </w:rPr>
        <w:t>Coffea arabica</w:t>
      </w:r>
      <w:r w:rsidRPr="00F2116B">
        <w:rPr>
          <w:rFonts w:ascii="Arial" w:hAnsi="Arial" w:cs="Arial"/>
          <w:noProof/>
        </w:rPr>
        <w:t xml:space="preserve"> L.) in India. </w:t>
      </w:r>
      <w:r w:rsidRPr="00F2116B">
        <w:rPr>
          <w:rFonts w:ascii="Arial" w:hAnsi="Arial" w:cs="Arial"/>
          <w:i/>
          <w:iCs/>
          <w:noProof/>
        </w:rPr>
        <w:t>Journal of Horticultural Sciences</w:t>
      </w:r>
      <w:r w:rsidRPr="00F2116B">
        <w:rPr>
          <w:rFonts w:ascii="Arial" w:hAnsi="Arial" w:cs="Arial"/>
          <w:noProof/>
        </w:rPr>
        <w:t xml:space="preserve">, </w:t>
      </w:r>
      <w:r w:rsidRPr="00F2116B">
        <w:rPr>
          <w:rFonts w:ascii="Arial" w:hAnsi="Arial" w:cs="Arial"/>
          <w:i/>
          <w:iCs/>
          <w:noProof/>
        </w:rPr>
        <w:t>16</w:t>
      </w:r>
      <w:r w:rsidRPr="00F2116B">
        <w:rPr>
          <w:rFonts w:ascii="Arial" w:hAnsi="Arial" w:cs="Arial"/>
          <w:noProof/>
        </w:rPr>
        <w:t>(2), 301–308. https://doi.org/10.24154/JHS.V16I2.968</w:t>
      </w:r>
    </w:p>
    <w:p w14:paraId="18F16C65"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Davis, A. P., Gargiulo, R., Fay, M. F., Sarmu, D., &amp; Haggar, J. (2020). Lost and found species of West Africa: </w:t>
      </w:r>
      <w:r w:rsidRPr="00F2116B">
        <w:rPr>
          <w:rFonts w:ascii="Arial" w:hAnsi="Arial" w:cs="Arial"/>
          <w:i/>
          <w:iCs/>
          <w:noProof/>
        </w:rPr>
        <w:t>Coffea stenophylla</w:t>
      </w:r>
      <w:r w:rsidRPr="00F2116B">
        <w:rPr>
          <w:rFonts w:ascii="Arial" w:hAnsi="Arial" w:cs="Arial"/>
          <w:noProof/>
        </w:rPr>
        <w:t xml:space="preserve"> and </w:t>
      </w:r>
      <w:r w:rsidRPr="00F2116B">
        <w:rPr>
          <w:rFonts w:ascii="Arial" w:hAnsi="Arial" w:cs="Arial"/>
          <w:i/>
          <w:iCs/>
          <w:noProof/>
        </w:rPr>
        <w:t>C. affinis</w:t>
      </w:r>
      <w:r w:rsidRPr="00F2116B">
        <w:rPr>
          <w:rFonts w:ascii="Arial" w:hAnsi="Arial" w:cs="Arial"/>
          <w:noProof/>
        </w:rPr>
        <w:t xml:space="preserve">, the forgotten coffee crop. </w:t>
      </w:r>
      <w:r w:rsidRPr="00F2116B">
        <w:rPr>
          <w:rFonts w:ascii="Arial" w:hAnsi="Arial" w:cs="Arial"/>
          <w:i/>
          <w:iCs/>
          <w:noProof/>
        </w:rPr>
        <w:t>Frontiers in Plant Science</w:t>
      </w:r>
      <w:r w:rsidRPr="00F2116B">
        <w:rPr>
          <w:rFonts w:ascii="Arial" w:hAnsi="Arial" w:cs="Arial"/>
          <w:noProof/>
        </w:rPr>
        <w:t xml:space="preserve">, </w:t>
      </w:r>
      <w:r w:rsidRPr="00F2116B">
        <w:rPr>
          <w:rFonts w:ascii="Arial" w:hAnsi="Arial" w:cs="Arial"/>
          <w:i/>
          <w:iCs/>
          <w:noProof/>
        </w:rPr>
        <w:t>11</w:t>
      </w:r>
      <w:r w:rsidRPr="00F2116B">
        <w:rPr>
          <w:rFonts w:ascii="Arial" w:hAnsi="Arial" w:cs="Arial"/>
          <w:noProof/>
        </w:rPr>
        <w:t>(616), 1–18. https://doi.org/10.3389/fpls.2020.00616</w:t>
      </w:r>
    </w:p>
    <w:p w14:paraId="00D810BF"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Davis, A. P., &amp; Rakotonasolo, F. (2021). Six new species of coffee (</w:t>
      </w:r>
      <w:r w:rsidRPr="00F2116B">
        <w:rPr>
          <w:rFonts w:ascii="Arial" w:hAnsi="Arial" w:cs="Arial"/>
          <w:i/>
          <w:iCs/>
          <w:noProof/>
        </w:rPr>
        <w:t>Coffea</w:t>
      </w:r>
      <w:r w:rsidRPr="00F2116B">
        <w:rPr>
          <w:rFonts w:ascii="Arial" w:hAnsi="Arial" w:cs="Arial"/>
          <w:noProof/>
        </w:rPr>
        <w:t xml:space="preserve">) from northern Madagascar. </w:t>
      </w:r>
      <w:r w:rsidRPr="00F2116B">
        <w:rPr>
          <w:rFonts w:ascii="Arial" w:hAnsi="Arial" w:cs="Arial"/>
          <w:i/>
          <w:iCs/>
          <w:noProof/>
        </w:rPr>
        <w:t>Kew Buletin</w:t>
      </w:r>
      <w:r w:rsidRPr="00F2116B">
        <w:rPr>
          <w:rFonts w:ascii="Arial" w:hAnsi="Arial" w:cs="Arial"/>
          <w:noProof/>
        </w:rPr>
        <w:t xml:space="preserve">, </w:t>
      </w:r>
      <w:r w:rsidRPr="00F2116B">
        <w:rPr>
          <w:rFonts w:ascii="Arial" w:hAnsi="Arial" w:cs="Arial"/>
          <w:i/>
          <w:iCs/>
          <w:noProof/>
        </w:rPr>
        <w:t>5974</w:t>
      </w:r>
      <w:r w:rsidRPr="00F2116B">
        <w:rPr>
          <w:rFonts w:ascii="Arial" w:hAnsi="Arial" w:cs="Arial"/>
          <w:noProof/>
        </w:rPr>
        <w:t>, 497–511. https://doi.org/10.1007/S12225-021-09952-5</w:t>
      </w:r>
    </w:p>
    <w:p w14:paraId="7C072FBF"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Djuikem, C., Grognard, F., Wafo, R. T., Touzeau, S., &amp; Bowong, S. (2021). Modelling coffee leaf rust dynamics to control its spread. </w:t>
      </w:r>
      <w:r w:rsidRPr="00F2116B">
        <w:rPr>
          <w:rFonts w:ascii="Arial" w:hAnsi="Arial" w:cs="Arial"/>
          <w:i/>
          <w:iCs/>
          <w:noProof/>
        </w:rPr>
        <w:t>Mathematical Modelling of Natural Phenomena</w:t>
      </w:r>
      <w:r w:rsidRPr="00F2116B">
        <w:rPr>
          <w:rFonts w:ascii="Arial" w:hAnsi="Arial" w:cs="Arial"/>
          <w:noProof/>
        </w:rPr>
        <w:t xml:space="preserve">, </w:t>
      </w:r>
      <w:r w:rsidRPr="00F2116B">
        <w:rPr>
          <w:rFonts w:ascii="Arial" w:hAnsi="Arial" w:cs="Arial"/>
          <w:i/>
          <w:iCs/>
          <w:noProof/>
        </w:rPr>
        <w:t>16</w:t>
      </w:r>
      <w:r w:rsidRPr="00F2116B">
        <w:rPr>
          <w:rFonts w:ascii="Arial" w:hAnsi="Arial" w:cs="Arial"/>
          <w:noProof/>
        </w:rPr>
        <w:t>. https://doi.org/10.1051/mmnp/2021018</w:t>
      </w:r>
    </w:p>
    <w:p w14:paraId="3ABFB3B7"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Eskes, A. B., &amp; Da Costa, W. M. (1983). 8. Characterization of incomplete resistance to </w:t>
      </w:r>
      <w:r w:rsidRPr="00F2116B">
        <w:rPr>
          <w:rFonts w:ascii="Arial" w:hAnsi="Arial" w:cs="Arial"/>
          <w:i/>
          <w:iCs/>
          <w:noProof/>
        </w:rPr>
        <w:t>Hemileia vastatrix</w:t>
      </w:r>
      <w:r w:rsidRPr="00F2116B">
        <w:rPr>
          <w:rFonts w:ascii="Arial" w:hAnsi="Arial" w:cs="Arial"/>
          <w:noProof/>
        </w:rPr>
        <w:t xml:space="preserve"> in the Icatu coffee population. </w:t>
      </w:r>
      <w:r w:rsidRPr="00F2116B">
        <w:rPr>
          <w:rFonts w:ascii="Arial" w:hAnsi="Arial" w:cs="Arial"/>
          <w:i/>
          <w:iCs/>
          <w:noProof/>
        </w:rPr>
        <w:t>Euphytica</w:t>
      </w:r>
      <w:r w:rsidRPr="00F2116B">
        <w:rPr>
          <w:rFonts w:ascii="Arial" w:hAnsi="Arial" w:cs="Arial"/>
          <w:noProof/>
        </w:rPr>
        <w:t xml:space="preserve">, </w:t>
      </w:r>
      <w:r w:rsidRPr="00F2116B">
        <w:rPr>
          <w:rFonts w:ascii="Arial" w:hAnsi="Arial" w:cs="Arial"/>
          <w:i/>
          <w:iCs/>
          <w:noProof/>
        </w:rPr>
        <w:t>32</w:t>
      </w:r>
      <w:r w:rsidRPr="00F2116B">
        <w:rPr>
          <w:rFonts w:ascii="Arial" w:hAnsi="Arial" w:cs="Arial"/>
          <w:noProof/>
        </w:rPr>
        <w:t>(2), 649–657. https://doi.org/10.1007/BF00021478</w:t>
      </w:r>
    </w:p>
    <w:p w14:paraId="675E4620"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Eskes, A. B., &amp; Toma-Braghini, M. (1981). Assessment methods for resistance to coffee leaf rust (</w:t>
      </w:r>
      <w:r w:rsidRPr="00F2116B">
        <w:rPr>
          <w:rFonts w:ascii="Arial" w:hAnsi="Arial" w:cs="Arial"/>
          <w:i/>
          <w:iCs/>
          <w:noProof/>
        </w:rPr>
        <w:t>Hemileia vastatrix</w:t>
      </w:r>
      <w:r w:rsidRPr="00F2116B">
        <w:rPr>
          <w:rFonts w:ascii="Arial" w:hAnsi="Arial" w:cs="Arial"/>
          <w:noProof/>
        </w:rPr>
        <w:t xml:space="preserve"> Berk. &amp; Br.). </w:t>
      </w:r>
      <w:r w:rsidRPr="00F2116B">
        <w:rPr>
          <w:rFonts w:ascii="Arial" w:hAnsi="Arial" w:cs="Arial"/>
          <w:i/>
          <w:iCs/>
          <w:noProof/>
        </w:rPr>
        <w:t>Plant Protection Bulletin FAO</w:t>
      </w:r>
      <w:r w:rsidRPr="00F2116B">
        <w:rPr>
          <w:rFonts w:ascii="Arial" w:hAnsi="Arial" w:cs="Arial"/>
          <w:noProof/>
        </w:rPr>
        <w:t xml:space="preserve">, </w:t>
      </w:r>
      <w:r w:rsidRPr="00F2116B">
        <w:rPr>
          <w:rFonts w:ascii="Arial" w:hAnsi="Arial" w:cs="Arial"/>
          <w:i/>
          <w:iCs/>
          <w:noProof/>
        </w:rPr>
        <w:t>29</w:t>
      </w:r>
      <w:r w:rsidRPr="00F2116B">
        <w:rPr>
          <w:rFonts w:ascii="Arial" w:hAnsi="Arial" w:cs="Arial"/>
          <w:noProof/>
        </w:rPr>
        <w:t>(3/4), 56–66.</w:t>
      </w:r>
    </w:p>
    <w:p w14:paraId="26B520E1"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Haile, M., &amp; Kang, W. H. (2019). The role of microbes in coffee fermentation and their impact on coffee quality. </w:t>
      </w:r>
      <w:r w:rsidRPr="00F2116B">
        <w:rPr>
          <w:rFonts w:ascii="Arial" w:hAnsi="Arial" w:cs="Arial"/>
          <w:i/>
          <w:iCs/>
          <w:noProof/>
        </w:rPr>
        <w:t xml:space="preserve">Journal of </w:t>
      </w:r>
      <w:r w:rsidRPr="00F2116B">
        <w:rPr>
          <w:rFonts w:ascii="Arial" w:hAnsi="Arial" w:cs="Arial"/>
          <w:i/>
          <w:iCs/>
          <w:noProof/>
        </w:rPr>
        <w:lastRenderedPageBreak/>
        <w:t>Food Quality</w:t>
      </w:r>
      <w:r w:rsidRPr="00F2116B">
        <w:rPr>
          <w:rFonts w:ascii="Arial" w:hAnsi="Arial" w:cs="Arial"/>
          <w:noProof/>
        </w:rPr>
        <w:t xml:space="preserve">, </w:t>
      </w:r>
      <w:r w:rsidRPr="00F2116B">
        <w:rPr>
          <w:rFonts w:ascii="Arial" w:hAnsi="Arial" w:cs="Arial"/>
          <w:i/>
          <w:iCs/>
          <w:noProof/>
        </w:rPr>
        <w:t>1</w:t>
      </w:r>
      <w:r w:rsidRPr="00F2116B">
        <w:rPr>
          <w:rFonts w:ascii="Arial" w:hAnsi="Arial" w:cs="Arial"/>
          <w:noProof/>
        </w:rPr>
        <w:t>(4836709), 1–6. https://doi.org/10.1155/2019/4836709</w:t>
      </w:r>
    </w:p>
    <w:p w14:paraId="0DBB16C2"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Hinnah, F. D., Sentelhas, P. C., Meira, C. A. A., &amp; Paiva, R. N. (2018). Weather-based coffee leaf rust apparent infection rate modeling. </w:t>
      </w:r>
      <w:r w:rsidRPr="00F2116B">
        <w:rPr>
          <w:rFonts w:ascii="Arial" w:hAnsi="Arial" w:cs="Arial"/>
          <w:i/>
          <w:iCs/>
          <w:noProof/>
        </w:rPr>
        <w:t>International Journal of Biometeorology</w:t>
      </w:r>
      <w:r w:rsidRPr="00F2116B">
        <w:rPr>
          <w:rFonts w:ascii="Arial" w:hAnsi="Arial" w:cs="Arial"/>
          <w:noProof/>
        </w:rPr>
        <w:t xml:space="preserve">, </w:t>
      </w:r>
      <w:r w:rsidRPr="00F2116B">
        <w:rPr>
          <w:rFonts w:ascii="Arial" w:hAnsi="Arial" w:cs="Arial"/>
          <w:i/>
          <w:iCs/>
          <w:noProof/>
        </w:rPr>
        <w:t>62</w:t>
      </w:r>
      <w:r w:rsidRPr="00F2116B">
        <w:rPr>
          <w:rFonts w:ascii="Arial" w:hAnsi="Arial" w:cs="Arial"/>
          <w:noProof/>
        </w:rPr>
        <w:t>(10), 1847–1860. https://doi.org/10.1007/s00484-018-1587-2</w:t>
      </w:r>
    </w:p>
    <w:p w14:paraId="5D64BABC"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ICO. (2022). Coffee Market Report. In </w:t>
      </w:r>
      <w:r w:rsidRPr="00F2116B">
        <w:rPr>
          <w:rFonts w:ascii="Arial" w:hAnsi="Arial" w:cs="Arial"/>
          <w:i/>
          <w:iCs/>
          <w:noProof/>
        </w:rPr>
        <w:t>International Coffee Organization</w:t>
      </w:r>
      <w:r w:rsidRPr="00F2116B">
        <w:rPr>
          <w:rFonts w:ascii="Arial" w:hAnsi="Arial" w:cs="Arial"/>
          <w:noProof/>
        </w:rPr>
        <w:t xml:space="preserve"> (Issue June).</w:t>
      </w:r>
    </w:p>
    <w:p w14:paraId="7C5CA937"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Koutouleas, A. (2023). Coffee leaf rust: wreaking havoc in coffee production areas across the tropics. In </w:t>
      </w:r>
      <w:r w:rsidRPr="00F2116B">
        <w:rPr>
          <w:rFonts w:ascii="Arial" w:hAnsi="Arial" w:cs="Arial"/>
          <w:i/>
          <w:iCs/>
          <w:noProof/>
        </w:rPr>
        <w:t>Plant Health Cases</w:t>
      </w:r>
      <w:r w:rsidRPr="00F2116B">
        <w:rPr>
          <w:rFonts w:ascii="Arial" w:hAnsi="Arial" w:cs="Arial"/>
          <w:noProof/>
        </w:rPr>
        <w:t xml:space="preserve"> (Issue May). The Author 2023. https://doi.org/10.1079/planthealthcases.2023.0005</w:t>
      </w:r>
    </w:p>
    <w:p w14:paraId="09D4AAE7"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McCook, S. (2006). Global rust belt: </w:t>
      </w:r>
      <w:r w:rsidRPr="00F2116B">
        <w:rPr>
          <w:rFonts w:ascii="Arial" w:hAnsi="Arial" w:cs="Arial"/>
          <w:i/>
          <w:iCs/>
          <w:noProof/>
        </w:rPr>
        <w:t>Hemileia vastatrix</w:t>
      </w:r>
      <w:r w:rsidRPr="00F2116B">
        <w:rPr>
          <w:rFonts w:ascii="Arial" w:hAnsi="Arial" w:cs="Arial"/>
          <w:noProof/>
        </w:rPr>
        <w:t xml:space="preserve"> and the ecological integration of world coffee production since 1850. </w:t>
      </w:r>
      <w:r w:rsidRPr="00F2116B">
        <w:rPr>
          <w:rFonts w:ascii="Arial" w:hAnsi="Arial" w:cs="Arial"/>
          <w:i/>
          <w:iCs/>
          <w:noProof/>
        </w:rPr>
        <w:t>Journal of Global History</w:t>
      </w:r>
      <w:r w:rsidRPr="00F2116B">
        <w:rPr>
          <w:rFonts w:ascii="Arial" w:hAnsi="Arial" w:cs="Arial"/>
          <w:noProof/>
        </w:rPr>
        <w:t xml:space="preserve">, </w:t>
      </w:r>
      <w:r w:rsidRPr="00F2116B">
        <w:rPr>
          <w:rFonts w:ascii="Arial" w:hAnsi="Arial" w:cs="Arial"/>
          <w:i/>
          <w:iCs/>
          <w:noProof/>
        </w:rPr>
        <w:t>1</w:t>
      </w:r>
      <w:r w:rsidRPr="00F2116B">
        <w:rPr>
          <w:rFonts w:ascii="Arial" w:hAnsi="Arial" w:cs="Arial"/>
          <w:noProof/>
        </w:rPr>
        <w:t>(2), 177–195. https://doi.org/10.1017/S174002280600012X</w:t>
      </w:r>
    </w:p>
    <w:p w14:paraId="3EAD2693"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Meira, C. A. A., Rodrigues, L. H. A., &amp; Moraes, S. A. (2008). Análise da epidemia da ferrugem do cafeeiro com árvore de decisão. </w:t>
      </w:r>
      <w:r w:rsidRPr="00F2116B">
        <w:rPr>
          <w:rFonts w:ascii="Arial" w:hAnsi="Arial" w:cs="Arial"/>
          <w:i/>
          <w:iCs/>
          <w:noProof/>
        </w:rPr>
        <w:t>Tropical Plant Pathology</w:t>
      </w:r>
      <w:r w:rsidRPr="00F2116B">
        <w:rPr>
          <w:rFonts w:ascii="Arial" w:hAnsi="Arial" w:cs="Arial"/>
          <w:noProof/>
        </w:rPr>
        <w:t xml:space="preserve">, </w:t>
      </w:r>
      <w:r w:rsidRPr="00F2116B">
        <w:rPr>
          <w:rFonts w:ascii="Arial" w:hAnsi="Arial" w:cs="Arial"/>
          <w:i/>
          <w:iCs/>
          <w:noProof/>
        </w:rPr>
        <w:t>33</w:t>
      </w:r>
      <w:r w:rsidRPr="00F2116B">
        <w:rPr>
          <w:rFonts w:ascii="Arial" w:hAnsi="Arial" w:cs="Arial"/>
          <w:noProof/>
        </w:rPr>
        <w:t>(2), 114–124. https://doi.org/10.1590/S1982-56762008000200005</w:t>
      </w:r>
    </w:p>
    <w:p w14:paraId="13ADBA42"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Merle, I., Pico, J., Granados, E., Boudrot, A., Tixier, P., de Melo Virginio Filho, E., Cilas, C., &amp; Avelino, J. (2020). Unraveling the complexity of coffee leaf rust behavior and development in different Coffea arabica agroecosystems. </w:t>
      </w:r>
      <w:r w:rsidRPr="00F2116B">
        <w:rPr>
          <w:rFonts w:ascii="Arial" w:hAnsi="Arial" w:cs="Arial"/>
          <w:i/>
          <w:iCs/>
          <w:noProof/>
        </w:rPr>
        <w:t>Phytopathology</w:t>
      </w:r>
      <w:r w:rsidRPr="00F2116B">
        <w:rPr>
          <w:rFonts w:ascii="Arial" w:hAnsi="Arial" w:cs="Arial"/>
          <w:noProof/>
        </w:rPr>
        <w:t xml:space="preserve">, </w:t>
      </w:r>
      <w:r w:rsidRPr="00F2116B">
        <w:rPr>
          <w:rFonts w:ascii="Arial" w:hAnsi="Arial" w:cs="Arial"/>
          <w:i/>
          <w:iCs/>
          <w:noProof/>
        </w:rPr>
        <w:t>110</w:t>
      </w:r>
      <w:r w:rsidRPr="00F2116B">
        <w:rPr>
          <w:rFonts w:ascii="Arial" w:hAnsi="Arial" w:cs="Arial"/>
          <w:noProof/>
        </w:rPr>
        <w:t>(2), 418–427. https://doi.org/10.1094/PHYTO-03-19-0094-R</w:t>
      </w:r>
    </w:p>
    <w:p w14:paraId="0ACF3C30"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Partelli, F. L., Oliveira, M. G., Covre, A. M., Vieira, H. D., Machado Dias, J. R., &amp; Braun, H. (2018). Nutritional standards and nutritional diagnosis of the Conilon coffee plants in phenological growth stages. </w:t>
      </w:r>
      <w:r w:rsidRPr="00F2116B">
        <w:rPr>
          <w:rFonts w:ascii="Arial" w:hAnsi="Arial" w:cs="Arial"/>
          <w:i/>
          <w:iCs/>
          <w:noProof/>
        </w:rPr>
        <w:t>Journal of Plant Nutrition</w:t>
      </w:r>
      <w:r w:rsidRPr="00F2116B">
        <w:rPr>
          <w:rFonts w:ascii="Arial" w:hAnsi="Arial" w:cs="Arial"/>
          <w:noProof/>
        </w:rPr>
        <w:t xml:space="preserve">, </w:t>
      </w:r>
      <w:r w:rsidRPr="00F2116B">
        <w:rPr>
          <w:rFonts w:ascii="Arial" w:hAnsi="Arial" w:cs="Arial"/>
          <w:i/>
          <w:iCs/>
          <w:noProof/>
        </w:rPr>
        <w:t>41</w:t>
      </w:r>
      <w:r w:rsidRPr="00F2116B">
        <w:rPr>
          <w:rFonts w:ascii="Arial" w:hAnsi="Arial" w:cs="Arial"/>
          <w:noProof/>
        </w:rPr>
        <w:t>(19), 2536–2546. https://doi.org/10.1080/01904167.2018.1510513</w:t>
      </w:r>
    </w:p>
    <w:p w14:paraId="4B44B87B"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Picini, A. G. (1998). </w:t>
      </w:r>
      <w:r w:rsidRPr="00F2116B">
        <w:rPr>
          <w:rFonts w:ascii="Arial" w:hAnsi="Arial" w:cs="Arial"/>
          <w:i/>
          <w:iCs/>
          <w:noProof/>
        </w:rPr>
        <w:t>Desenvolvimento e teste de modelos agrometeorológicos para a estimativa de produtividade do cafeeiro (</w:t>
      </w:r>
      <w:r w:rsidRPr="00F2116B">
        <w:rPr>
          <w:rFonts w:ascii="Arial" w:hAnsi="Arial" w:cs="Arial"/>
          <w:noProof/>
        </w:rPr>
        <w:t>Coffea arabica</w:t>
      </w:r>
      <w:r w:rsidRPr="00F2116B">
        <w:rPr>
          <w:rFonts w:ascii="Arial" w:hAnsi="Arial" w:cs="Arial"/>
          <w:i/>
          <w:iCs/>
          <w:noProof/>
        </w:rPr>
        <w:t xml:space="preserve"> L.) a partir do monitoramento da disponibilidade hidrica do solo</w:t>
      </w:r>
      <w:r w:rsidRPr="00F2116B">
        <w:rPr>
          <w:rFonts w:ascii="Arial" w:hAnsi="Arial" w:cs="Arial"/>
          <w:noProof/>
        </w:rPr>
        <w:t>. Universidade de São Paulo.</w:t>
      </w:r>
    </w:p>
    <w:p w14:paraId="2666259F"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Pozza, E. A. A. (2008). Importância das doenças foliares do cafeeiro. Núcleo de estudos em fitopatologia. </w:t>
      </w:r>
      <w:r w:rsidRPr="00F2116B">
        <w:rPr>
          <w:rFonts w:ascii="Arial" w:hAnsi="Arial" w:cs="Arial"/>
          <w:i/>
          <w:iCs/>
          <w:noProof/>
        </w:rPr>
        <w:t>Brasília: Sociedade Brasileira de Fitopatologia</w:t>
      </w:r>
      <w:r w:rsidRPr="00F2116B">
        <w:rPr>
          <w:rFonts w:ascii="Arial" w:hAnsi="Arial" w:cs="Arial"/>
          <w:noProof/>
        </w:rPr>
        <w:t xml:space="preserve">, </w:t>
      </w:r>
      <w:r w:rsidRPr="00F2116B">
        <w:rPr>
          <w:rFonts w:ascii="Arial" w:hAnsi="Arial" w:cs="Arial"/>
          <w:i/>
          <w:iCs/>
          <w:noProof/>
        </w:rPr>
        <w:t>1</w:t>
      </w:r>
      <w:r w:rsidRPr="00F2116B">
        <w:rPr>
          <w:rFonts w:ascii="Arial" w:hAnsi="Arial" w:cs="Arial"/>
          <w:noProof/>
        </w:rPr>
        <w:t>, 81–94.</w:t>
      </w:r>
    </w:p>
    <w:p w14:paraId="37BDFD8F"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Rhiney, K., Knudson, C., &amp; Guido, Z. (2020). Cultivating crisis: Coffee, smallholder vulnerability, and the uneven sociomaterial consequences of the leaf rust epidemic in Jamaica. </w:t>
      </w:r>
      <w:r w:rsidRPr="00F2116B">
        <w:rPr>
          <w:rFonts w:ascii="Arial" w:hAnsi="Arial" w:cs="Arial"/>
          <w:i/>
          <w:iCs/>
          <w:noProof/>
        </w:rPr>
        <w:t>Annals of the American Association of Geographers</w:t>
      </w:r>
      <w:r w:rsidRPr="00F2116B">
        <w:rPr>
          <w:rFonts w:ascii="Arial" w:hAnsi="Arial" w:cs="Arial"/>
          <w:noProof/>
        </w:rPr>
        <w:t xml:space="preserve">, </w:t>
      </w:r>
      <w:r w:rsidRPr="00F2116B">
        <w:rPr>
          <w:rFonts w:ascii="Arial" w:hAnsi="Arial" w:cs="Arial"/>
          <w:i/>
          <w:iCs/>
          <w:noProof/>
        </w:rPr>
        <w:t>111</w:t>
      </w:r>
      <w:r w:rsidRPr="00F2116B">
        <w:rPr>
          <w:rFonts w:ascii="Arial" w:hAnsi="Arial" w:cs="Arial"/>
          <w:noProof/>
        </w:rPr>
        <w:t>(2), 440–458. https://doi.org/10.1080/24694452.2020.1775543</w:t>
      </w:r>
    </w:p>
    <w:p w14:paraId="0EB524A7"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Ribeyre, F., &amp; Avelino, J. (2012). Impact of field pests and diseases on coffee quality. </w:t>
      </w:r>
      <w:r w:rsidRPr="00F2116B">
        <w:rPr>
          <w:rFonts w:ascii="Arial" w:hAnsi="Arial" w:cs="Arial"/>
          <w:i/>
          <w:iCs/>
          <w:noProof/>
        </w:rPr>
        <w:t>Specialty Coffee: Managing Quality</w:t>
      </w:r>
      <w:r w:rsidRPr="00F2116B">
        <w:rPr>
          <w:rFonts w:ascii="Arial" w:hAnsi="Arial" w:cs="Arial"/>
          <w:noProof/>
        </w:rPr>
        <w:t xml:space="preserve">, </w:t>
      </w:r>
      <w:r w:rsidRPr="00F2116B">
        <w:rPr>
          <w:rFonts w:ascii="Arial" w:hAnsi="Arial" w:cs="Arial"/>
          <w:i/>
          <w:iCs/>
          <w:noProof/>
        </w:rPr>
        <w:t>January</w:t>
      </w:r>
      <w:r w:rsidRPr="00F2116B">
        <w:rPr>
          <w:rFonts w:ascii="Arial" w:hAnsi="Arial" w:cs="Arial"/>
          <w:noProof/>
        </w:rPr>
        <w:t>, 151–176.</w:t>
      </w:r>
    </w:p>
    <w:p w14:paraId="564BDC01"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Rozo, Y., Escobar, C., Gaitán, Á., &amp; Cristancho, M. (2012). Aggressiveness and genetic diversity of </w:t>
      </w:r>
      <w:r w:rsidRPr="00F2116B">
        <w:rPr>
          <w:rFonts w:ascii="Arial" w:hAnsi="Arial" w:cs="Arial"/>
          <w:i/>
          <w:iCs/>
          <w:noProof/>
        </w:rPr>
        <w:t>Hemileia vastatrix</w:t>
      </w:r>
      <w:r w:rsidRPr="00F2116B">
        <w:rPr>
          <w:rFonts w:ascii="Arial" w:hAnsi="Arial" w:cs="Arial"/>
          <w:noProof/>
        </w:rPr>
        <w:t xml:space="preserve"> during an epidemic in Colombia. </w:t>
      </w:r>
      <w:r w:rsidRPr="00F2116B">
        <w:rPr>
          <w:rFonts w:ascii="Arial" w:hAnsi="Arial" w:cs="Arial"/>
          <w:i/>
          <w:iCs/>
          <w:noProof/>
        </w:rPr>
        <w:t>Journal of Phytopathology</w:t>
      </w:r>
      <w:r w:rsidRPr="00F2116B">
        <w:rPr>
          <w:rFonts w:ascii="Arial" w:hAnsi="Arial" w:cs="Arial"/>
          <w:noProof/>
        </w:rPr>
        <w:t xml:space="preserve">, </w:t>
      </w:r>
      <w:r w:rsidRPr="00F2116B">
        <w:rPr>
          <w:rFonts w:ascii="Arial" w:hAnsi="Arial" w:cs="Arial"/>
          <w:i/>
          <w:iCs/>
          <w:noProof/>
        </w:rPr>
        <w:t>160</w:t>
      </w:r>
      <w:r w:rsidRPr="00F2116B">
        <w:rPr>
          <w:rFonts w:ascii="Arial" w:hAnsi="Arial" w:cs="Arial"/>
          <w:noProof/>
        </w:rPr>
        <w:t>(11–12), 732–740. https://doi.org/10.1111/jph.12024</w:t>
      </w:r>
    </w:p>
    <w:p w14:paraId="3743FB30"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Sanders, M. (2019). Breeding for coffee leaf rust resilience in </w:t>
      </w:r>
      <w:r w:rsidRPr="00F2116B">
        <w:rPr>
          <w:rFonts w:ascii="Arial" w:hAnsi="Arial" w:cs="Arial"/>
          <w:i/>
          <w:iCs/>
          <w:noProof/>
        </w:rPr>
        <w:t>Coffea sp</w:t>
      </w:r>
      <w:r w:rsidRPr="00F2116B">
        <w:rPr>
          <w:rFonts w:ascii="Arial" w:hAnsi="Arial" w:cs="Arial"/>
          <w:noProof/>
        </w:rPr>
        <w:t xml:space="preserve">. </w:t>
      </w:r>
      <w:r w:rsidRPr="00F2116B">
        <w:rPr>
          <w:rFonts w:ascii="Arial" w:hAnsi="Arial" w:cs="Arial"/>
          <w:i/>
          <w:iCs/>
          <w:noProof/>
        </w:rPr>
        <w:t>Natural Sciences Education</w:t>
      </w:r>
      <w:r w:rsidRPr="00F2116B">
        <w:rPr>
          <w:rFonts w:ascii="Arial" w:hAnsi="Arial" w:cs="Arial"/>
          <w:noProof/>
        </w:rPr>
        <w:t xml:space="preserve">, </w:t>
      </w:r>
      <w:r w:rsidRPr="00F2116B">
        <w:rPr>
          <w:rFonts w:ascii="Arial" w:hAnsi="Arial" w:cs="Arial"/>
          <w:i/>
          <w:iCs/>
          <w:noProof/>
        </w:rPr>
        <w:t>48</w:t>
      </w:r>
      <w:r w:rsidRPr="00F2116B">
        <w:rPr>
          <w:rFonts w:ascii="Arial" w:hAnsi="Arial" w:cs="Arial"/>
          <w:noProof/>
        </w:rPr>
        <w:t>(1), 1–3. https://doi.org/10.4195/nse2019.01.0102</w:t>
      </w:r>
    </w:p>
    <w:p w14:paraId="46083EB2"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Silva, M. D. C., Guerra-Guimarães, L., Diniz, I., Loureiro, A., Azinheira, H., Pereira, A. P., Tavares, S., Batista, D., &amp; Várzea, V. (2022). An overview of the mechanisms involved in Coffee-</w:t>
      </w:r>
      <w:r w:rsidRPr="00F2116B">
        <w:rPr>
          <w:rFonts w:ascii="Arial" w:hAnsi="Arial" w:cs="Arial"/>
          <w:i/>
          <w:iCs/>
          <w:noProof/>
        </w:rPr>
        <w:t>Hemileia vastatrix</w:t>
      </w:r>
      <w:r w:rsidRPr="00F2116B">
        <w:rPr>
          <w:rFonts w:ascii="Arial" w:hAnsi="Arial" w:cs="Arial"/>
          <w:noProof/>
        </w:rPr>
        <w:t xml:space="preserve"> interactions: Plant and pathogen perspectives. </w:t>
      </w:r>
      <w:r w:rsidRPr="00F2116B">
        <w:rPr>
          <w:rFonts w:ascii="Arial" w:hAnsi="Arial" w:cs="Arial"/>
          <w:i/>
          <w:iCs/>
          <w:noProof/>
        </w:rPr>
        <w:t>Agronomy</w:t>
      </w:r>
      <w:r w:rsidRPr="00F2116B">
        <w:rPr>
          <w:rFonts w:ascii="Arial" w:hAnsi="Arial" w:cs="Arial"/>
          <w:noProof/>
        </w:rPr>
        <w:t xml:space="preserve">, </w:t>
      </w:r>
      <w:r w:rsidRPr="00F2116B">
        <w:rPr>
          <w:rFonts w:ascii="Arial" w:hAnsi="Arial" w:cs="Arial"/>
          <w:i/>
          <w:iCs/>
          <w:noProof/>
        </w:rPr>
        <w:t>12</w:t>
      </w:r>
      <w:r w:rsidRPr="00F2116B">
        <w:rPr>
          <w:rFonts w:ascii="Arial" w:hAnsi="Arial" w:cs="Arial"/>
          <w:noProof/>
        </w:rPr>
        <w:t>(2), 1–31. https://doi.org/10.3390/agronomy12020326</w:t>
      </w:r>
    </w:p>
    <w:p w14:paraId="455A1FD6"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Talhinhas, P., Batista, D., Diniz, I., Vieira, A., Silva, D. N., Loureiro, A., Tavares, S., Pereira, A. P., Azinheira, H. G., Guerra-Guimarães, L., Várzea, V., &amp; Silva, M. do C. (2017). The coffee leaf rust pathogen </w:t>
      </w:r>
      <w:r w:rsidRPr="00F2116B">
        <w:rPr>
          <w:rFonts w:ascii="Arial" w:hAnsi="Arial" w:cs="Arial"/>
          <w:i/>
          <w:iCs/>
          <w:noProof/>
        </w:rPr>
        <w:t>Hemileia vastatrix</w:t>
      </w:r>
      <w:r w:rsidRPr="00F2116B">
        <w:rPr>
          <w:rFonts w:ascii="Arial" w:hAnsi="Arial" w:cs="Arial"/>
          <w:noProof/>
        </w:rPr>
        <w:t xml:space="preserve">: one and a half centuries around the tropics. </w:t>
      </w:r>
      <w:r w:rsidRPr="00F2116B">
        <w:rPr>
          <w:rFonts w:ascii="Arial" w:hAnsi="Arial" w:cs="Arial"/>
          <w:i/>
          <w:iCs/>
          <w:noProof/>
        </w:rPr>
        <w:t>Molecular Plant Pathology</w:t>
      </w:r>
      <w:r w:rsidRPr="00F2116B">
        <w:rPr>
          <w:rFonts w:ascii="Arial" w:hAnsi="Arial" w:cs="Arial"/>
          <w:noProof/>
        </w:rPr>
        <w:t xml:space="preserve">, </w:t>
      </w:r>
      <w:r w:rsidRPr="00F2116B">
        <w:rPr>
          <w:rFonts w:ascii="Arial" w:hAnsi="Arial" w:cs="Arial"/>
          <w:i/>
          <w:iCs/>
          <w:noProof/>
        </w:rPr>
        <w:t>18</w:t>
      </w:r>
      <w:r w:rsidRPr="00F2116B">
        <w:rPr>
          <w:rFonts w:ascii="Arial" w:hAnsi="Arial" w:cs="Arial"/>
          <w:noProof/>
        </w:rPr>
        <w:t>(8), 1039–1051. https://doi.org/10.1111/mpp.12512</w:t>
      </w:r>
    </w:p>
    <w:p w14:paraId="2D84212C" w14:textId="77777777" w:rsidR="004C17BF" w:rsidRPr="00F2116B" w:rsidRDefault="004C17BF" w:rsidP="004C17BF">
      <w:pPr>
        <w:widowControl w:val="0"/>
        <w:autoSpaceDE w:val="0"/>
        <w:autoSpaceDN w:val="0"/>
        <w:adjustRightInd w:val="0"/>
        <w:ind w:left="480" w:hanging="480"/>
        <w:jc w:val="both"/>
        <w:rPr>
          <w:rFonts w:ascii="Arial" w:hAnsi="Arial" w:cs="Arial"/>
          <w:noProof/>
        </w:rPr>
      </w:pPr>
      <w:r w:rsidRPr="00F2116B">
        <w:rPr>
          <w:rFonts w:ascii="Arial" w:hAnsi="Arial" w:cs="Arial"/>
          <w:noProof/>
        </w:rPr>
        <w:t xml:space="preserve">Wahab, M. A. M. A., &amp; Nor, N. A. A. M. (2016). Exploring the potential of coffee industry in Malaysia. </w:t>
      </w:r>
      <w:r w:rsidRPr="00F2116B">
        <w:rPr>
          <w:rFonts w:ascii="Arial" w:hAnsi="Arial" w:cs="Arial"/>
          <w:i/>
          <w:iCs/>
          <w:noProof/>
        </w:rPr>
        <w:t>Economics and Social Science Research Centre</w:t>
      </w:r>
      <w:r w:rsidRPr="00F2116B">
        <w:rPr>
          <w:rFonts w:ascii="Arial" w:hAnsi="Arial" w:cs="Arial"/>
          <w:noProof/>
        </w:rPr>
        <w:t xml:space="preserve">, </w:t>
      </w:r>
      <w:r w:rsidRPr="00F2116B">
        <w:rPr>
          <w:rFonts w:ascii="Arial" w:hAnsi="Arial" w:cs="Arial"/>
          <w:i/>
          <w:iCs/>
          <w:noProof/>
        </w:rPr>
        <w:t>1016</w:t>
      </w:r>
      <w:r w:rsidRPr="00F2116B">
        <w:rPr>
          <w:rFonts w:ascii="Arial" w:hAnsi="Arial" w:cs="Arial"/>
          <w:noProof/>
        </w:rPr>
        <w:t>, 1–5.</w:t>
      </w:r>
    </w:p>
    <w:p w14:paraId="14DF8532" w14:textId="317E4449" w:rsidR="009C1ED2" w:rsidRDefault="004C17BF" w:rsidP="004C17BF">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sidRPr="00F2116B">
        <w:rPr>
          <w:rFonts w:ascii="Arial" w:eastAsia="Arial" w:hAnsi="Arial" w:cs="Arial"/>
          <w:b/>
          <w:smallCaps/>
          <w:color w:val="000000"/>
        </w:rPr>
        <w:fldChar w:fldCharType="end"/>
      </w:r>
    </w:p>
    <w:p w14:paraId="6A61F411" w14:textId="77777777" w:rsidR="009C1ED2" w:rsidRDefault="009C1ED2">
      <w:pPr>
        <w:keepNext/>
        <w:pBdr>
          <w:top w:val="nil"/>
          <w:left w:val="nil"/>
          <w:bottom w:val="nil"/>
          <w:right w:val="nil"/>
          <w:between w:val="nil"/>
        </w:pBdr>
        <w:spacing w:line="276" w:lineRule="auto"/>
        <w:jc w:val="both"/>
        <w:rPr>
          <w:rFonts w:ascii="Arial" w:eastAsia="Arial" w:hAnsi="Arial" w:cs="Arial"/>
          <w:smallCaps/>
          <w:color w:val="000000"/>
          <w:sz w:val="22"/>
          <w:szCs w:val="22"/>
        </w:rPr>
      </w:pPr>
    </w:p>
    <w:sectPr w:rsidR="009C1ED2" w:rsidSect="00D53D5F">
      <w:headerReference w:type="even" r:id="rId35"/>
      <w:headerReference w:type="default" r:id="rId36"/>
      <w:footerReference w:type="default" r:id="rId37"/>
      <w:headerReference w:type="first" r:id="rId38"/>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896EF" w14:textId="77777777" w:rsidR="004D5680" w:rsidRDefault="004D5680">
      <w:r>
        <w:separator/>
      </w:r>
    </w:p>
  </w:endnote>
  <w:endnote w:type="continuationSeparator" w:id="0">
    <w:p w14:paraId="14939992" w14:textId="77777777" w:rsidR="004D5680" w:rsidRDefault="004D5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62A7A9B7-935B-4C33-A4AF-DEBDE75BB553}"/>
    <w:embedBold r:id="rId2" w:fontKey="{93718201-46C2-4C15-BB50-AD90555DBCA2}"/>
    <w:embedItalic r:id="rId3" w:fontKey="{B80BB911-0DCC-4B25-AF22-39C31CB0326E}"/>
  </w:font>
  <w:font w:name="Helvetica">
    <w:panose1 w:val="020B0604020202020204"/>
    <w:charset w:val="00"/>
    <w:family w:val="swiss"/>
    <w:pitch w:val="variable"/>
    <w:sig w:usb0="E0002EFF" w:usb1="C000785B" w:usb2="00000009" w:usb3="00000000" w:csb0="000001FF" w:csb1="00000000"/>
    <w:embedRegular r:id="rId4" w:fontKey="{767268B1-B5F8-4B31-A96A-45EBA199B97A}"/>
    <w:embedBold r:id="rId5" w:fontKey="{468246ED-118B-455F-BBF5-FC4C70D5A83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7D64C0C-1AA0-4755-8A39-3B3E3CF785FB}"/>
    <w:embedItalic r:id="rId7" w:fontKey="{CEC64393-4E5A-41DF-B62D-7D51C79443B7}"/>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8" w:fontKey="{B4AF1FD5-543F-48F6-8C6D-8A2826C9E6F6}"/>
    <w:embedBold r:id="rId9" w:fontKey="{80741422-B6CC-4A5A-B011-D8958CFEA4A7}"/>
  </w:font>
  <w:font w:name="Tahoma">
    <w:panose1 w:val="020B0604030504040204"/>
    <w:charset w:val="00"/>
    <w:family w:val="swiss"/>
    <w:pitch w:val="variable"/>
    <w:sig w:usb0="E1002EFF" w:usb1="C000605B" w:usb2="00000029" w:usb3="00000000" w:csb0="000101FF" w:csb1="00000000"/>
    <w:embedRegular r:id="rId10" w:fontKey="{CB5B0886-6AD3-4E4E-9369-CD7C27A0DC5F}"/>
  </w:font>
  <w:font w:name="Georgia">
    <w:panose1 w:val="02040502050405020303"/>
    <w:charset w:val="00"/>
    <w:family w:val="roman"/>
    <w:pitch w:val="variable"/>
    <w:sig w:usb0="00000287" w:usb1="00000000" w:usb2="00000000" w:usb3="00000000" w:csb0="0000009F" w:csb1="00000000"/>
    <w:embedRegular r:id="rId11" w:fontKey="{660EBA07-2032-4F69-9D29-4A7EDF92D558}"/>
    <w:embedItalic r:id="rId12" w:fontKey="{799E64DC-5EE0-4EB2-B6F4-974D828EB1DD}"/>
  </w:font>
  <w:font w:name="Cambria Math">
    <w:panose1 w:val="02040503050406030204"/>
    <w:charset w:val="00"/>
    <w:family w:val="roman"/>
    <w:pitch w:val="variable"/>
    <w:sig w:usb0="E00002FF" w:usb1="420024FF" w:usb2="00000000" w:usb3="00000000" w:csb0="0000019F" w:csb1="00000000"/>
    <w:embedRegular r:id="rId13" w:fontKey="{E35E35FE-4D56-4B72-94CA-6B30C939C79D}"/>
    <w:embedItalic r:id="rId14" w:fontKey="{238864D9-E8FA-4429-9BE1-E01AAF90AF8C}"/>
  </w:font>
  <w:font w:name="Arial Narrow">
    <w:panose1 w:val="020B0606020202030204"/>
    <w:charset w:val="00"/>
    <w:family w:val="swiss"/>
    <w:pitch w:val="variable"/>
    <w:sig w:usb0="00000287" w:usb1="00000800" w:usb2="00000000" w:usb3="00000000" w:csb0="0000009F" w:csb1="00000000"/>
    <w:embedRegular r:id="rId15" w:fontKey="{3DC06C33-741E-4163-85D7-692E883540C4}"/>
    <w:embedBold r:id="rId16" w:fontKey="{037217E3-F908-45C6-8F37-4CE037F101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04155" w14:textId="77777777" w:rsidR="00D53D5F" w:rsidRDefault="00D53D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9502D" w14:textId="77777777" w:rsidR="00D53D5F" w:rsidRDefault="00D53D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4A77A" w14:textId="77777777" w:rsidR="009C1ED2" w:rsidRDefault="009C1ED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F99AC0B" w14:textId="77777777" w:rsidR="009C1ED2" w:rsidRDefault="00E37E9E">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569E8BB" w14:textId="77777777" w:rsidR="009C1ED2" w:rsidRDefault="009C1ED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B121364" w14:textId="77777777" w:rsidR="009C1ED2" w:rsidRDefault="00E37E9E">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C7314" w14:textId="77777777" w:rsidR="009C1ED2" w:rsidRDefault="009C1ED2">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1695D" w14:textId="77777777" w:rsidR="004D5680" w:rsidRDefault="004D5680">
      <w:r>
        <w:separator/>
      </w:r>
    </w:p>
  </w:footnote>
  <w:footnote w:type="continuationSeparator" w:id="0">
    <w:p w14:paraId="2FE2CA98" w14:textId="77777777" w:rsidR="004D5680" w:rsidRDefault="004D5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DC577" w14:textId="1AF550CD" w:rsidR="00D53D5F" w:rsidRDefault="00D53D5F">
    <w:pPr>
      <w:pStyle w:val="Header"/>
    </w:pPr>
    <w:r>
      <w:rPr>
        <w:noProof/>
      </w:rPr>
      <w:pict w14:anchorId="1707A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07"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DF3CF" w14:textId="2D3F8764" w:rsidR="00D53D5F" w:rsidRDefault="00D53D5F">
    <w:pPr>
      <w:pStyle w:val="Header"/>
    </w:pPr>
    <w:r>
      <w:rPr>
        <w:noProof/>
      </w:rPr>
      <w:pict w14:anchorId="64766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08"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C1DEF" w14:textId="1D11BD1B" w:rsidR="009C1ED2" w:rsidRDefault="00D53D5F">
    <w:pPr>
      <w:ind w:left="2160"/>
      <w:jc w:val="center"/>
      <w:rPr>
        <w:rFonts w:ascii="Times New Roman" w:eastAsia="Times New Roman" w:hAnsi="Times New Roman" w:cs="Times New Roman"/>
        <w:i/>
        <w:sz w:val="18"/>
        <w:szCs w:val="18"/>
      </w:rPr>
    </w:pPr>
    <w:r>
      <w:rPr>
        <w:noProof/>
      </w:rPr>
      <w:pict w14:anchorId="1C2045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06"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FC52893" w14:textId="77777777" w:rsidR="009C1ED2" w:rsidRDefault="00E37E9E">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9B26593" w14:textId="77777777" w:rsidR="009C1ED2" w:rsidRDefault="00E37E9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BEF6789" w14:textId="77777777" w:rsidR="009C1ED2" w:rsidRDefault="00E37E9E">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A63AFE9" w14:textId="77777777" w:rsidR="009C1ED2" w:rsidRDefault="00E37E9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D605FE0" w14:textId="77777777" w:rsidR="009C1ED2" w:rsidRDefault="00E37E9E">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54AF33C" w14:textId="77777777" w:rsidR="009C1ED2" w:rsidRDefault="00E37E9E">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27698" w14:textId="5167DE39" w:rsidR="00D53D5F" w:rsidRDefault="00D53D5F">
    <w:pPr>
      <w:pStyle w:val="Header"/>
    </w:pPr>
    <w:r>
      <w:rPr>
        <w:noProof/>
      </w:rPr>
      <w:pict w14:anchorId="4FE2F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10"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3166B" w14:textId="423BE22F" w:rsidR="00D53D5F" w:rsidRDefault="00D53D5F">
    <w:pPr>
      <w:pStyle w:val="Header"/>
    </w:pPr>
    <w:r>
      <w:rPr>
        <w:noProof/>
      </w:rPr>
      <w:pict w14:anchorId="1365C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11"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299B3" w14:textId="3B4BA1BB" w:rsidR="00D53D5F" w:rsidRDefault="00D53D5F">
    <w:pPr>
      <w:pStyle w:val="Header"/>
    </w:pPr>
    <w:r>
      <w:rPr>
        <w:noProof/>
      </w:rPr>
      <w:pict w14:anchorId="53FA10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09"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CC69A3"/>
    <w:multiLevelType w:val="multilevel"/>
    <w:tmpl w:val="BF325CE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ED2"/>
    <w:rsid w:val="00005D77"/>
    <w:rsid w:val="000112F0"/>
    <w:rsid w:val="00024432"/>
    <w:rsid w:val="00046888"/>
    <w:rsid w:val="00051FB6"/>
    <w:rsid w:val="0006342D"/>
    <w:rsid w:val="00080964"/>
    <w:rsid w:val="00090DC5"/>
    <w:rsid w:val="00094841"/>
    <w:rsid w:val="000B067D"/>
    <w:rsid w:val="000B6187"/>
    <w:rsid w:val="000C1A93"/>
    <w:rsid w:val="000C3C96"/>
    <w:rsid w:val="000C5CA8"/>
    <w:rsid w:val="000C6E1C"/>
    <w:rsid w:val="000E29E5"/>
    <w:rsid w:val="00101554"/>
    <w:rsid w:val="00110713"/>
    <w:rsid w:val="0011413B"/>
    <w:rsid w:val="00117034"/>
    <w:rsid w:val="00121D64"/>
    <w:rsid w:val="00133233"/>
    <w:rsid w:val="00197607"/>
    <w:rsid w:val="001A1E09"/>
    <w:rsid w:val="001A3E32"/>
    <w:rsid w:val="001A60DA"/>
    <w:rsid w:val="001B724A"/>
    <w:rsid w:val="001D05E2"/>
    <w:rsid w:val="001D7735"/>
    <w:rsid w:val="001E413A"/>
    <w:rsid w:val="001F406E"/>
    <w:rsid w:val="001F607A"/>
    <w:rsid w:val="00214AA3"/>
    <w:rsid w:val="002211B8"/>
    <w:rsid w:val="00226E1C"/>
    <w:rsid w:val="00246B0F"/>
    <w:rsid w:val="002660A4"/>
    <w:rsid w:val="00270374"/>
    <w:rsid w:val="0028587E"/>
    <w:rsid w:val="002D6999"/>
    <w:rsid w:val="002F3838"/>
    <w:rsid w:val="00300BF9"/>
    <w:rsid w:val="00327C87"/>
    <w:rsid w:val="0034665E"/>
    <w:rsid w:val="003523A9"/>
    <w:rsid w:val="00352532"/>
    <w:rsid w:val="0035281F"/>
    <w:rsid w:val="003534B6"/>
    <w:rsid w:val="00357B01"/>
    <w:rsid w:val="0036642B"/>
    <w:rsid w:val="00373CD1"/>
    <w:rsid w:val="00377EA6"/>
    <w:rsid w:val="0038665E"/>
    <w:rsid w:val="00390B89"/>
    <w:rsid w:val="0039128B"/>
    <w:rsid w:val="003914AA"/>
    <w:rsid w:val="00394E94"/>
    <w:rsid w:val="003A0EB6"/>
    <w:rsid w:val="003A7C15"/>
    <w:rsid w:val="003F03F7"/>
    <w:rsid w:val="003F6DE1"/>
    <w:rsid w:val="004341B4"/>
    <w:rsid w:val="0043538E"/>
    <w:rsid w:val="00436AA8"/>
    <w:rsid w:val="0044435C"/>
    <w:rsid w:val="004617C9"/>
    <w:rsid w:val="00464AD3"/>
    <w:rsid w:val="004656BC"/>
    <w:rsid w:val="00475097"/>
    <w:rsid w:val="0048485D"/>
    <w:rsid w:val="004944CE"/>
    <w:rsid w:val="00497B05"/>
    <w:rsid w:val="004B331C"/>
    <w:rsid w:val="004B7342"/>
    <w:rsid w:val="004C17BF"/>
    <w:rsid w:val="004C335C"/>
    <w:rsid w:val="004D1FCF"/>
    <w:rsid w:val="004D5680"/>
    <w:rsid w:val="00505FDC"/>
    <w:rsid w:val="00513081"/>
    <w:rsid w:val="00513675"/>
    <w:rsid w:val="005256FF"/>
    <w:rsid w:val="005261D5"/>
    <w:rsid w:val="005318AC"/>
    <w:rsid w:val="00561C21"/>
    <w:rsid w:val="00563EB7"/>
    <w:rsid w:val="0056418C"/>
    <w:rsid w:val="00565BE3"/>
    <w:rsid w:val="00587FEE"/>
    <w:rsid w:val="005B0D8F"/>
    <w:rsid w:val="005C064D"/>
    <w:rsid w:val="005C333E"/>
    <w:rsid w:val="005C75D2"/>
    <w:rsid w:val="005D37F2"/>
    <w:rsid w:val="005F70AD"/>
    <w:rsid w:val="00601D90"/>
    <w:rsid w:val="00604B48"/>
    <w:rsid w:val="00647449"/>
    <w:rsid w:val="006617D9"/>
    <w:rsid w:val="00671A0F"/>
    <w:rsid w:val="00690688"/>
    <w:rsid w:val="00692FEE"/>
    <w:rsid w:val="006A3A2E"/>
    <w:rsid w:val="006A6FD8"/>
    <w:rsid w:val="006B1646"/>
    <w:rsid w:val="006B23D8"/>
    <w:rsid w:val="006C4B6E"/>
    <w:rsid w:val="006D39E5"/>
    <w:rsid w:val="006E3017"/>
    <w:rsid w:val="006E6F39"/>
    <w:rsid w:val="0070639B"/>
    <w:rsid w:val="007155E7"/>
    <w:rsid w:val="0071753E"/>
    <w:rsid w:val="00746743"/>
    <w:rsid w:val="00751C63"/>
    <w:rsid w:val="007542ED"/>
    <w:rsid w:val="00760931"/>
    <w:rsid w:val="00771C02"/>
    <w:rsid w:val="0077248E"/>
    <w:rsid w:val="00772FEE"/>
    <w:rsid w:val="00782BA8"/>
    <w:rsid w:val="007A5576"/>
    <w:rsid w:val="007A7413"/>
    <w:rsid w:val="007C1A8C"/>
    <w:rsid w:val="007C6016"/>
    <w:rsid w:val="00806862"/>
    <w:rsid w:val="00806AF4"/>
    <w:rsid w:val="00815732"/>
    <w:rsid w:val="00817F01"/>
    <w:rsid w:val="0082713B"/>
    <w:rsid w:val="00844CF7"/>
    <w:rsid w:val="0084658A"/>
    <w:rsid w:val="00861C66"/>
    <w:rsid w:val="008655C1"/>
    <w:rsid w:val="00871F29"/>
    <w:rsid w:val="0087733E"/>
    <w:rsid w:val="00882C78"/>
    <w:rsid w:val="00896D07"/>
    <w:rsid w:val="008C2EB2"/>
    <w:rsid w:val="008C7ECB"/>
    <w:rsid w:val="00901100"/>
    <w:rsid w:val="009127B8"/>
    <w:rsid w:val="0092165F"/>
    <w:rsid w:val="00924082"/>
    <w:rsid w:val="00924579"/>
    <w:rsid w:val="00925117"/>
    <w:rsid w:val="00926112"/>
    <w:rsid w:val="00927DBD"/>
    <w:rsid w:val="009424B5"/>
    <w:rsid w:val="009464D6"/>
    <w:rsid w:val="0094701E"/>
    <w:rsid w:val="00954188"/>
    <w:rsid w:val="00963112"/>
    <w:rsid w:val="00964F90"/>
    <w:rsid w:val="00970AF9"/>
    <w:rsid w:val="009730DD"/>
    <w:rsid w:val="00987872"/>
    <w:rsid w:val="009B4F48"/>
    <w:rsid w:val="009B6BE8"/>
    <w:rsid w:val="009B71A6"/>
    <w:rsid w:val="009C0ED7"/>
    <w:rsid w:val="009C1ED2"/>
    <w:rsid w:val="00A13AC5"/>
    <w:rsid w:val="00A251D7"/>
    <w:rsid w:val="00A3404A"/>
    <w:rsid w:val="00A34550"/>
    <w:rsid w:val="00A3552E"/>
    <w:rsid w:val="00A615C1"/>
    <w:rsid w:val="00A70081"/>
    <w:rsid w:val="00A7572F"/>
    <w:rsid w:val="00A9055C"/>
    <w:rsid w:val="00A97C59"/>
    <w:rsid w:val="00AA70B0"/>
    <w:rsid w:val="00AC1BD5"/>
    <w:rsid w:val="00AD41F7"/>
    <w:rsid w:val="00AD6789"/>
    <w:rsid w:val="00AF6CA0"/>
    <w:rsid w:val="00B00B85"/>
    <w:rsid w:val="00B10536"/>
    <w:rsid w:val="00B10B08"/>
    <w:rsid w:val="00B31800"/>
    <w:rsid w:val="00B51CA7"/>
    <w:rsid w:val="00B64EF2"/>
    <w:rsid w:val="00B66518"/>
    <w:rsid w:val="00BA403C"/>
    <w:rsid w:val="00BB5F98"/>
    <w:rsid w:val="00BC20AC"/>
    <w:rsid w:val="00BD554D"/>
    <w:rsid w:val="00BE225C"/>
    <w:rsid w:val="00BE24C9"/>
    <w:rsid w:val="00C016B8"/>
    <w:rsid w:val="00C0400E"/>
    <w:rsid w:val="00C17ADA"/>
    <w:rsid w:val="00C2484E"/>
    <w:rsid w:val="00C3223F"/>
    <w:rsid w:val="00C44688"/>
    <w:rsid w:val="00C55E81"/>
    <w:rsid w:val="00C65A05"/>
    <w:rsid w:val="00C860E4"/>
    <w:rsid w:val="00C86D99"/>
    <w:rsid w:val="00C87F7E"/>
    <w:rsid w:val="00CA2AF6"/>
    <w:rsid w:val="00CA4A39"/>
    <w:rsid w:val="00CD28C5"/>
    <w:rsid w:val="00CD653F"/>
    <w:rsid w:val="00CD7A6B"/>
    <w:rsid w:val="00D11D93"/>
    <w:rsid w:val="00D14F1C"/>
    <w:rsid w:val="00D45548"/>
    <w:rsid w:val="00D51169"/>
    <w:rsid w:val="00D5126D"/>
    <w:rsid w:val="00D53D5F"/>
    <w:rsid w:val="00D62381"/>
    <w:rsid w:val="00D62A6D"/>
    <w:rsid w:val="00D872B0"/>
    <w:rsid w:val="00D922D1"/>
    <w:rsid w:val="00DB27FA"/>
    <w:rsid w:val="00DB5DF1"/>
    <w:rsid w:val="00DC6B84"/>
    <w:rsid w:val="00DD4CD9"/>
    <w:rsid w:val="00DF57F6"/>
    <w:rsid w:val="00E147AF"/>
    <w:rsid w:val="00E16287"/>
    <w:rsid w:val="00E1786F"/>
    <w:rsid w:val="00E21A3C"/>
    <w:rsid w:val="00E24520"/>
    <w:rsid w:val="00E37E9E"/>
    <w:rsid w:val="00E44C9E"/>
    <w:rsid w:val="00E54BFE"/>
    <w:rsid w:val="00E77C2D"/>
    <w:rsid w:val="00EE71DE"/>
    <w:rsid w:val="00F203DF"/>
    <w:rsid w:val="00F2116B"/>
    <w:rsid w:val="00F27CA2"/>
    <w:rsid w:val="00F27DCD"/>
    <w:rsid w:val="00F52FBE"/>
    <w:rsid w:val="00F619A4"/>
    <w:rsid w:val="00F6524B"/>
    <w:rsid w:val="00F7305E"/>
    <w:rsid w:val="00F767FE"/>
    <w:rsid w:val="00F77919"/>
    <w:rsid w:val="00F90CAB"/>
    <w:rsid w:val="00F932CE"/>
    <w:rsid w:val="00F96154"/>
    <w:rsid w:val="00F96CD1"/>
    <w:rsid w:val="00FA5B2E"/>
    <w:rsid w:val="00FB050D"/>
    <w:rsid w:val="00FB603C"/>
    <w:rsid w:val="00FC438A"/>
    <w:rsid w:val="00FD0CD4"/>
    <w:rsid w:val="00FD11CB"/>
    <w:rsid w:val="00FD2F4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CBBA091"/>
  <w15:docId w15:val="{3A47E393-2D4D-47EA-9F48-C083245BD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MY"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4810D8"/>
    <w:pPr>
      <w:keepNext/>
      <w:keepLines/>
      <w:spacing w:before="40" w:line="259" w:lineRule="auto"/>
      <w:outlineLvl w:val="3"/>
    </w:pPr>
    <w:rPr>
      <w:rFonts w:asciiTheme="majorHAnsi" w:eastAsiaTheme="majorEastAsia" w:hAnsiTheme="majorHAnsi" w:cstheme="majorBidi"/>
      <w:i/>
      <w:iCs/>
      <w:color w:val="365F91" w:themeColor="accent1" w:themeShade="BF"/>
      <w:kern w:val="2"/>
      <w:sz w:val="22"/>
      <w:szCs w:val="22"/>
      <w:lang w:val="en-MY"/>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3A4F5E"/>
    <w:pPr>
      <w:spacing w:before="100" w:beforeAutospacing="1" w:after="100" w:afterAutospacing="1"/>
    </w:pPr>
    <w:rPr>
      <w:rFonts w:ascii="Times New Roman" w:hAnsi="Times New Roman"/>
      <w:sz w:val="24"/>
      <w:szCs w:val="24"/>
      <w:lang w:val="en-MY"/>
    </w:rPr>
  </w:style>
  <w:style w:type="character" w:customStyle="1" w:styleId="Heading4Char">
    <w:name w:val="Heading 4 Char"/>
    <w:basedOn w:val="DefaultParagraphFont"/>
    <w:link w:val="Heading4"/>
    <w:uiPriority w:val="9"/>
    <w:semiHidden/>
    <w:rsid w:val="004810D8"/>
    <w:rPr>
      <w:rFonts w:asciiTheme="majorHAnsi" w:eastAsiaTheme="majorEastAsia" w:hAnsiTheme="majorHAnsi" w:cstheme="majorBidi"/>
      <w:i/>
      <w:iCs/>
      <w:color w:val="365F91" w:themeColor="accent1" w:themeShade="BF"/>
      <w:kern w:val="2"/>
      <w:sz w:val="22"/>
      <w:szCs w:val="22"/>
      <w:lang w:val="en-MY"/>
    </w:rPr>
  </w:style>
  <w:style w:type="character" w:customStyle="1" w:styleId="Heading1Char">
    <w:name w:val="Heading 1 Char"/>
    <w:basedOn w:val="DefaultParagraphFont"/>
    <w:link w:val="Heading1"/>
    <w:uiPriority w:val="9"/>
    <w:rsid w:val="004810D8"/>
    <w:rPr>
      <w:rFonts w:ascii="Arial" w:hAnsi="Arial"/>
      <w:b/>
      <w:kern w:val="28"/>
      <w:sz w:val="28"/>
    </w:rPr>
  </w:style>
  <w:style w:type="table" w:styleId="ListTable6Colorful">
    <w:name w:val="List Table 6 Colorful"/>
    <w:basedOn w:val="TableNormal"/>
    <w:uiPriority w:val="51"/>
    <w:rsid w:val="004810D8"/>
    <w:rPr>
      <w:rFonts w:asciiTheme="minorHAnsi" w:eastAsiaTheme="minorHAnsi" w:hAnsiTheme="minorHAnsi" w:cstheme="minorBidi"/>
      <w:color w:val="000000" w:themeColor="text1"/>
      <w:kern w:val="2"/>
      <w:sz w:val="22"/>
      <w:szCs w:val="22"/>
      <w:lang w:val="en-MY"/>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4810D8"/>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TOC2">
    <w:name w:val="toc 2"/>
    <w:basedOn w:val="Normal"/>
    <w:next w:val="Normal"/>
    <w:autoRedefine/>
    <w:uiPriority w:val="39"/>
    <w:unhideWhenUsed/>
    <w:rsid w:val="004810D8"/>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4810D8"/>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4810D8"/>
    <w:pPr>
      <w:spacing w:after="100" w:line="259" w:lineRule="auto"/>
      <w:ind w:left="440"/>
    </w:pPr>
    <w:rPr>
      <w:rFonts w:asciiTheme="minorHAnsi" w:eastAsiaTheme="minorEastAsia" w:hAnsiTheme="minorHAnsi"/>
      <w:sz w:val="22"/>
      <w:szCs w:val="22"/>
    </w:rPr>
  </w:style>
  <w:style w:type="table" w:styleId="GridTable1Light">
    <w:name w:val="Grid Table 1 Light"/>
    <w:basedOn w:val="TableNormal"/>
    <w:uiPriority w:val="46"/>
    <w:rsid w:val="004810D8"/>
    <w:rPr>
      <w:rFonts w:asciiTheme="minorHAnsi" w:eastAsiaTheme="minorHAnsi" w:hAnsiTheme="minorHAnsi" w:cstheme="minorBidi"/>
      <w:kern w:val="2"/>
      <w:sz w:val="22"/>
      <w:szCs w:val="22"/>
      <w:lang w:val="en-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810D8"/>
    <w:rPr>
      <w:b/>
      <w:bCs/>
    </w:rPr>
  </w:style>
  <w:style w:type="table" w:styleId="ListTable7Colorful">
    <w:name w:val="List Table 7 Colorful"/>
    <w:basedOn w:val="TableNormal"/>
    <w:uiPriority w:val="52"/>
    <w:rsid w:val="004810D8"/>
    <w:rPr>
      <w:rFonts w:asciiTheme="minorHAnsi" w:eastAsiaTheme="minorHAnsi" w:hAnsiTheme="minorHAnsi" w:cstheme="minorBidi"/>
      <w:color w:val="000000" w:themeColor="text1"/>
      <w:kern w:val="2"/>
      <w:sz w:val="22"/>
      <w:szCs w:val="22"/>
      <w:lang w:val="en-MY"/>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erChar">
    <w:name w:val="Header Char"/>
    <w:basedOn w:val="DefaultParagraphFont"/>
    <w:link w:val="Header"/>
    <w:uiPriority w:val="99"/>
    <w:rsid w:val="004810D8"/>
    <w:rPr>
      <w:rFonts w:ascii="Helvetica" w:hAnsi="Helvetica"/>
    </w:rPr>
  </w:style>
  <w:style w:type="character" w:customStyle="1" w:styleId="FooterChar">
    <w:name w:val="Footer Char"/>
    <w:basedOn w:val="DefaultParagraphFont"/>
    <w:link w:val="Footer"/>
    <w:uiPriority w:val="99"/>
    <w:rsid w:val="004810D8"/>
    <w:rPr>
      <w:rFonts w:ascii="Helvetica" w:hAnsi="Helvetica"/>
    </w:rPr>
  </w:style>
  <w:style w:type="paragraph" w:styleId="Revision">
    <w:name w:val="Revision"/>
    <w:hidden/>
    <w:uiPriority w:val="99"/>
    <w:semiHidden/>
    <w:rsid w:val="004810D8"/>
    <w:rPr>
      <w:rFonts w:asciiTheme="minorHAnsi" w:eastAsiaTheme="minorHAnsi" w:hAnsiTheme="minorHAnsi" w:cstheme="minorBidi"/>
      <w:kern w:val="2"/>
      <w:sz w:val="22"/>
      <w:szCs w:val="22"/>
      <w:lang w:val="en-MY"/>
    </w:rPr>
  </w:style>
  <w:style w:type="paragraph" w:styleId="FootnoteText">
    <w:name w:val="footnote text"/>
    <w:basedOn w:val="Normal"/>
    <w:link w:val="FootnoteTextChar"/>
    <w:uiPriority w:val="99"/>
    <w:semiHidden/>
    <w:unhideWhenUsed/>
    <w:rsid w:val="004810D8"/>
    <w:rPr>
      <w:rFonts w:asciiTheme="minorHAnsi" w:eastAsiaTheme="minorHAnsi" w:hAnsiTheme="minorHAnsi" w:cstheme="minorBidi"/>
      <w:kern w:val="2"/>
      <w:lang w:val="en-MY"/>
    </w:rPr>
  </w:style>
  <w:style w:type="character" w:customStyle="1" w:styleId="FootnoteTextChar">
    <w:name w:val="Footnote Text Char"/>
    <w:basedOn w:val="DefaultParagraphFont"/>
    <w:link w:val="FootnoteText"/>
    <w:uiPriority w:val="99"/>
    <w:semiHidden/>
    <w:rsid w:val="004810D8"/>
    <w:rPr>
      <w:rFonts w:asciiTheme="minorHAnsi" w:eastAsiaTheme="minorHAnsi" w:hAnsiTheme="minorHAnsi" w:cstheme="minorBidi"/>
      <w:kern w:val="2"/>
      <w:lang w:val="en-MY"/>
    </w:rPr>
  </w:style>
  <w:style w:type="character" w:styleId="FootnoteReference">
    <w:name w:val="footnote reference"/>
    <w:basedOn w:val="DefaultParagraphFont"/>
    <w:uiPriority w:val="99"/>
    <w:semiHidden/>
    <w:unhideWhenUsed/>
    <w:rsid w:val="004810D8"/>
    <w:rPr>
      <w:vertAlign w:val="superscript"/>
    </w:rPr>
  </w:style>
  <w:style w:type="character" w:customStyle="1" w:styleId="anchor-text">
    <w:name w:val="anchor-text"/>
    <w:basedOn w:val="DefaultParagraphFont"/>
    <w:rsid w:val="004810D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rPr>
      <w:rFonts w:ascii="Calibri" w:eastAsia="Calibri" w:hAnsi="Calibri" w:cs="Calibri"/>
      <w:sz w:val="22"/>
      <w:szCs w:val="22"/>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1">
    <w:name w:val="1"/>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ntTable" Target="fontTable.xml"/><Relationship Id="rId21" Type="http://schemas.openxmlformats.org/officeDocument/2006/relationships/image" Target="media/image4.emf"/><Relationship Id="rId34" Type="http://schemas.openxmlformats.org/officeDocument/2006/relationships/oleObject" Target="embeddings/oleObject10.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7.bin"/><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oleObject" Target="embeddings/oleObject8.bin"/><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525"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E795FB3B-9312-4712-A7BC-3CFDC18BA38E}">
  <we:reference id="wa200001361" version="2.129.3.0" store="en-MY" storeType="OMEX"/>
  <we:alternateReferences>
    <we:reference id="wa200001361" version="2.129.3.0" store="WA200001361" storeType="OMEX"/>
  </we:alternateReferences>
  <we:properties>
    <we:property name="paperpal-document-id" value="&quot;ad326081-ec69-45af-a8ec-8ca9b1a41f6b&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E113C233-E20C-4CA6-89BA-460C426675E8}">
  <we:reference id="wa200000368" version="1.0.0.0" store="en-MY"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tTDIFPhE+p9mk3wnNwLxGCUk6Q==">CgMxLjAaJAoBMBIfCh0IB0IZCgVBcmlhbBIQQXJpYWwgVW5pY29kZSBNUxokCgExEh8KHQgHQhkKBUFyaWFsEhBBcmlhbCBVbmljb2RlIE1TMghoLmdqZGd4czIJaC4zMGowemxsMgloLjFmb2I5dGUyCWguM3pueXNoNzIJaC4yZXQ5MnAwMghoLnR5amN3dDgAciExZVg3SU52X1BLUVl2Nk5OZVpiT3lTbHRIb0lXLXpDdzU=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F531C6-F736-4E99-83CB-561BB58F5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1427</TotalTime>
  <Pages>9</Pages>
  <Words>20840</Words>
  <Characters>118794</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dc:creator>
  <cp:keywords/>
  <dc:description/>
  <cp:lastModifiedBy>SDI 1084</cp:lastModifiedBy>
  <cp:revision>46</cp:revision>
  <dcterms:created xsi:type="dcterms:W3CDTF">2025-08-20T01:29:00Z</dcterms:created>
  <dcterms:modified xsi:type="dcterms:W3CDTF">2025-08-26T14:14:00Z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5a4ec725-a660-3554-82ea-ace865c4cb7f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