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F0BD5" w14:textId="77777777" w:rsidR="00754C9A" w:rsidRDefault="00754C9A" w:rsidP="00441B6F">
      <w:pPr>
        <w:pStyle w:val="Title"/>
        <w:spacing w:after="0"/>
        <w:jc w:val="both"/>
        <w:rPr>
          <w:rFonts w:ascii="Arial" w:hAnsi="Arial" w:cs="Arial"/>
        </w:rPr>
      </w:pPr>
    </w:p>
    <w:p w14:paraId="5D2EE7A7" w14:textId="77777777" w:rsidR="00D27081" w:rsidRPr="00D27081" w:rsidRDefault="00D27081" w:rsidP="00D27081">
      <w:pPr>
        <w:jc w:val="both"/>
        <w:rPr>
          <w:rFonts w:asciiTheme="minorBidi" w:hAnsiTheme="minorBidi" w:cstheme="minorBidi"/>
          <w:b/>
          <w:bCs/>
          <w:iCs/>
          <w:sz w:val="36"/>
          <w:szCs w:val="36"/>
        </w:rPr>
      </w:pPr>
      <w:r w:rsidRPr="00D27081">
        <w:rPr>
          <w:rFonts w:asciiTheme="minorBidi" w:hAnsiTheme="minorBidi" w:cstheme="minorBidi"/>
          <w:b/>
          <w:bCs/>
          <w:iCs/>
          <w:color w:val="231F20"/>
          <w:sz w:val="36"/>
          <w:szCs w:val="36"/>
        </w:rPr>
        <w:t>Efficacy</w:t>
      </w:r>
      <w:r w:rsidRPr="00D27081">
        <w:rPr>
          <w:rFonts w:asciiTheme="minorBidi" w:hAnsiTheme="minorBidi" w:cstheme="minorBidi"/>
          <w:b/>
          <w:bCs/>
          <w:iCs/>
          <w:color w:val="231F20"/>
          <w:spacing w:val="-12"/>
          <w:sz w:val="36"/>
          <w:szCs w:val="36"/>
        </w:rPr>
        <w:t xml:space="preserve"> </w:t>
      </w:r>
      <w:r w:rsidRPr="00D27081">
        <w:rPr>
          <w:rFonts w:asciiTheme="minorBidi" w:hAnsiTheme="minorBidi" w:cstheme="minorBidi"/>
          <w:b/>
          <w:bCs/>
          <w:iCs/>
          <w:color w:val="231F20"/>
          <w:sz w:val="36"/>
          <w:szCs w:val="36"/>
        </w:rPr>
        <w:t>of</w:t>
      </w:r>
      <w:r w:rsidRPr="00D27081">
        <w:rPr>
          <w:rFonts w:asciiTheme="minorBidi" w:hAnsiTheme="minorBidi" w:cstheme="minorBidi"/>
          <w:b/>
          <w:bCs/>
          <w:iCs/>
          <w:color w:val="231F20"/>
          <w:spacing w:val="-12"/>
          <w:sz w:val="36"/>
          <w:szCs w:val="36"/>
        </w:rPr>
        <w:t xml:space="preserve"> </w:t>
      </w:r>
      <w:proofErr w:type="spellStart"/>
      <w:r w:rsidRPr="00D27081">
        <w:rPr>
          <w:rFonts w:asciiTheme="minorBidi" w:hAnsiTheme="minorBidi" w:cstheme="minorBidi"/>
          <w:b/>
          <w:bCs/>
          <w:iCs/>
          <w:color w:val="231F20"/>
          <w:sz w:val="36"/>
          <w:szCs w:val="36"/>
        </w:rPr>
        <w:t>Fadenoperation</w:t>
      </w:r>
      <w:proofErr w:type="spellEnd"/>
      <w:r w:rsidRPr="00D27081">
        <w:rPr>
          <w:rFonts w:asciiTheme="minorBidi" w:hAnsiTheme="minorBidi" w:cstheme="minorBidi"/>
          <w:b/>
          <w:bCs/>
          <w:iCs/>
          <w:color w:val="231F20"/>
          <w:spacing w:val="-12"/>
          <w:sz w:val="36"/>
          <w:szCs w:val="36"/>
        </w:rPr>
        <w:t xml:space="preserve"> </w:t>
      </w:r>
      <w:r w:rsidRPr="00D27081">
        <w:rPr>
          <w:rFonts w:asciiTheme="minorBidi" w:hAnsiTheme="minorBidi" w:cstheme="minorBidi"/>
          <w:b/>
          <w:bCs/>
          <w:iCs/>
          <w:color w:val="231F20"/>
          <w:sz w:val="36"/>
          <w:szCs w:val="36"/>
        </w:rPr>
        <w:t>associated</w:t>
      </w:r>
      <w:r w:rsidRPr="00D27081">
        <w:rPr>
          <w:rFonts w:asciiTheme="minorBidi" w:hAnsiTheme="minorBidi" w:cstheme="minorBidi"/>
          <w:b/>
          <w:bCs/>
          <w:iCs/>
          <w:color w:val="231F20"/>
          <w:spacing w:val="-12"/>
          <w:sz w:val="36"/>
          <w:szCs w:val="36"/>
        </w:rPr>
        <w:t xml:space="preserve"> </w:t>
      </w:r>
      <w:r w:rsidRPr="00D27081">
        <w:rPr>
          <w:rFonts w:asciiTheme="minorBidi" w:hAnsiTheme="minorBidi" w:cstheme="minorBidi"/>
          <w:b/>
          <w:bCs/>
          <w:iCs/>
          <w:color w:val="231F20"/>
          <w:sz w:val="36"/>
          <w:szCs w:val="36"/>
        </w:rPr>
        <w:t>to</w:t>
      </w:r>
      <w:r w:rsidRPr="00D27081">
        <w:rPr>
          <w:rFonts w:asciiTheme="minorBidi" w:hAnsiTheme="minorBidi" w:cstheme="minorBidi"/>
          <w:b/>
          <w:bCs/>
          <w:iCs/>
          <w:color w:val="231F20"/>
          <w:spacing w:val="-12"/>
          <w:sz w:val="36"/>
          <w:szCs w:val="36"/>
        </w:rPr>
        <w:t xml:space="preserve"> </w:t>
      </w:r>
      <w:r w:rsidRPr="00D27081">
        <w:rPr>
          <w:rFonts w:asciiTheme="minorBidi" w:hAnsiTheme="minorBidi" w:cstheme="minorBidi"/>
          <w:b/>
          <w:bCs/>
          <w:iCs/>
          <w:color w:val="231F20"/>
          <w:sz w:val="36"/>
          <w:szCs w:val="36"/>
        </w:rPr>
        <w:t>conventional</w:t>
      </w:r>
      <w:r w:rsidRPr="00D27081">
        <w:rPr>
          <w:rFonts w:asciiTheme="minorBidi" w:hAnsiTheme="minorBidi" w:cstheme="minorBidi"/>
          <w:b/>
          <w:bCs/>
          <w:iCs/>
          <w:color w:val="231F20"/>
          <w:spacing w:val="-12"/>
          <w:sz w:val="36"/>
          <w:szCs w:val="36"/>
        </w:rPr>
        <w:t xml:space="preserve"> </w:t>
      </w:r>
      <w:r w:rsidRPr="00D27081">
        <w:rPr>
          <w:rFonts w:asciiTheme="minorBidi" w:hAnsiTheme="minorBidi" w:cstheme="minorBidi"/>
          <w:b/>
          <w:bCs/>
          <w:iCs/>
          <w:color w:val="231F20"/>
          <w:sz w:val="36"/>
          <w:szCs w:val="36"/>
        </w:rPr>
        <w:t>surgery</w:t>
      </w:r>
      <w:r w:rsidRPr="00D27081">
        <w:rPr>
          <w:rFonts w:asciiTheme="minorBidi" w:hAnsiTheme="minorBidi" w:cstheme="minorBidi"/>
          <w:b/>
          <w:bCs/>
          <w:iCs/>
          <w:color w:val="231F20"/>
          <w:spacing w:val="-12"/>
          <w:sz w:val="36"/>
          <w:szCs w:val="36"/>
        </w:rPr>
        <w:t xml:space="preserve"> </w:t>
      </w:r>
      <w:r w:rsidRPr="00D27081">
        <w:rPr>
          <w:rFonts w:asciiTheme="minorBidi" w:hAnsiTheme="minorBidi" w:cstheme="minorBidi"/>
          <w:b/>
          <w:bCs/>
          <w:iCs/>
          <w:color w:val="231F20"/>
          <w:sz w:val="36"/>
          <w:szCs w:val="36"/>
        </w:rPr>
        <w:t>in the</w:t>
      </w:r>
      <w:r w:rsidRPr="00D27081">
        <w:rPr>
          <w:rFonts w:asciiTheme="minorBidi" w:hAnsiTheme="minorBidi" w:cstheme="minorBidi"/>
          <w:b/>
          <w:bCs/>
          <w:iCs/>
          <w:color w:val="231F20"/>
          <w:spacing w:val="-16"/>
          <w:sz w:val="36"/>
          <w:szCs w:val="36"/>
        </w:rPr>
        <w:t xml:space="preserve"> </w:t>
      </w:r>
      <w:r w:rsidRPr="00D27081">
        <w:rPr>
          <w:rFonts w:asciiTheme="minorBidi" w:hAnsiTheme="minorBidi" w:cstheme="minorBidi"/>
          <w:b/>
          <w:bCs/>
          <w:iCs/>
          <w:color w:val="231F20"/>
          <w:sz w:val="36"/>
          <w:szCs w:val="36"/>
        </w:rPr>
        <w:t>treatment</w:t>
      </w:r>
      <w:r w:rsidRPr="00D27081">
        <w:rPr>
          <w:rFonts w:asciiTheme="minorBidi" w:hAnsiTheme="minorBidi" w:cstheme="minorBidi"/>
          <w:b/>
          <w:bCs/>
          <w:iCs/>
          <w:color w:val="231F20"/>
          <w:spacing w:val="-11"/>
          <w:sz w:val="36"/>
          <w:szCs w:val="36"/>
        </w:rPr>
        <w:t xml:space="preserve"> </w:t>
      </w:r>
      <w:r w:rsidRPr="00D27081">
        <w:rPr>
          <w:rFonts w:asciiTheme="minorBidi" w:hAnsiTheme="minorBidi" w:cstheme="minorBidi"/>
          <w:b/>
          <w:bCs/>
          <w:iCs/>
          <w:color w:val="231F20"/>
          <w:sz w:val="36"/>
          <w:szCs w:val="36"/>
        </w:rPr>
        <w:t>of</w:t>
      </w:r>
      <w:r w:rsidRPr="00D27081">
        <w:rPr>
          <w:rFonts w:asciiTheme="minorBidi" w:hAnsiTheme="minorBidi" w:cstheme="minorBidi"/>
          <w:b/>
          <w:bCs/>
          <w:iCs/>
          <w:color w:val="231F20"/>
          <w:spacing w:val="-10"/>
          <w:sz w:val="36"/>
          <w:szCs w:val="36"/>
        </w:rPr>
        <w:t xml:space="preserve"> </w:t>
      </w:r>
      <w:r w:rsidRPr="00D27081">
        <w:rPr>
          <w:rFonts w:asciiTheme="minorBidi" w:hAnsiTheme="minorBidi" w:cstheme="minorBidi"/>
          <w:b/>
          <w:bCs/>
          <w:iCs/>
          <w:color w:val="231F20"/>
          <w:sz w:val="36"/>
          <w:szCs w:val="36"/>
        </w:rPr>
        <w:t>esotropia</w:t>
      </w:r>
      <w:r w:rsidRPr="00D27081">
        <w:rPr>
          <w:rFonts w:asciiTheme="minorBidi" w:hAnsiTheme="minorBidi" w:cstheme="minorBidi"/>
          <w:b/>
          <w:bCs/>
          <w:iCs/>
          <w:color w:val="231F20"/>
          <w:spacing w:val="-11"/>
          <w:sz w:val="36"/>
          <w:szCs w:val="36"/>
        </w:rPr>
        <w:t xml:space="preserve"> </w:t>
      </w:r>
      <w:r w:rsidRPr="00D27081">
        <w:rPr>
          <w:rFonts w:asciiTheme="minorBidi" w:hAnsiTheme="minorBidi" w:cstheme="minorBidi"/>
          <w:b/>
          <w:bCs/>
          <w:iCs/>
          <w:color w:val="231F20"/>
          <w:sz w:val="36"/>
          <w:szCs w:val="36"/>
        </w:rPr>
        <w:t>with</w:t>
      </w:r>
      <w:r w:rsidRPr="00D27081">
        <w:rPr>
          <w:rFonts w:asciiTheme="minorBidi" w:hAnsiTheme="minorBidi" w:cstheme="minorBidi"/>
          <w:b/>
          <w:bCs/>
          <w:iCs/>
          <w:color w:val="231F20"/>
          <w:spacing w:val="-10"/>
          <w:sz w:val="36"/>
          <w:szCs w:val="36"/>
        </w:rPr>
        <w:t xml:space="preserve"> </w:t>
      </w:r>
      <w:r w:rsidRPr="00D27081">
        <w:rPr>
          <w:rFonts w:asciiTheme="minorBidi" w:hAnsiTheme="minorBidi" w:cstheme="minorBidi"/>
          <w:b/>
          <w:bCs/>
          <w:iCs/>
          <w:color w:val="231F20"/>
          <w:sz w:val="36"/>
          <w:szCs w:val="36"/>
        </w:rPr>
        <w:t>distance-near</w:t>
      </w:r>
      <w:r w:rsidRPr="00D27081">
        <w:rPr>
          <w:rFonts w:asciiTheme="minorBidi" w:hAnsiTheme="minorBidi" w:cstheme="minorBidi"/>
          <w:b/>
          <w:bCs/>
          <w:iCs/>
          <w:color w:val="231F20"/>
          <w:spacing w:val="-11"/>
          <w:sz w:val="36"/>
          <w:szCs w:val="36"/>
        </w:rPr>
        <w:t xml:space="preserve"> </w:t>
      </w:r>
      <w:r w:rsidRPr="00D27081">
        <w:rPr>
          <w:rFonts w:asciiTheme="minorBidi" w:hAnsiTheme="minorBidi" w:cstheme="minorBidi"/>
          <w:b/>
          <w:bCs/>
          <w:iCs/>
          <w:color w:val="231F20"/>
          <w:sz w:val="36"/>
          <w:szCs w:val="36"/>
        </w:rPr>
        <w:t>incomitance</w:t>
      </w:r>
    </w:p>
    <w:p w14:paraId="3149EA89" w14:textId="77777777" w:rsidR="00A258C3" w:rsidRPr="00790ADA" w:rsidRDefault="00A258C3" w:rsidP="00441B6F">
      <w:pPr>
        <w:pStyle w:val="Author"/>
        <w:spacing w:line="240" w:lineRule="auto"/>
        <w:jc w:val="both"/>
        <w:rPr>
          <w:rFonts w:ascii="Arial" w:hAnsi="Arial" w:cs="Arial"/>
          <w:sz w:val="36"/>
        </w:rPr>
      </w:pPr>
    </w:p>
    <w:p w14:paraId="286511C7" w14:textId="114B502A" w:rsidR="00B01FCD" w:rsidRPr="00FB3A86" w:rsidRDefault="00BF00B4" w:rsidP="00441B6F">
      <w:pPr>
        <w:pStyle w:val="Copyright"/>
        <w:spacing w:after="0" w:line="240" w:lineRule="auto"/>
        <w:jc w:val="both"/>
        <w:rPr>
          <w:rFonts w:ascii="Arial" w:hAnsi="Arial" w:cs="Arial"/>
        </w:rPr>
        <w:sectPr w:rsidR="00B01FCD" w:rsidRPr="00FB3A86" w:rsidSect="00D93A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94F3D20" wp14:editId="368E6F29">
                <wp:extent cx="5303520" cy="635"/>
                <wp:effectExtent l="13335" t="13335" r="17145" b="15240"/>
                <wp:docPr id="24176187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C509F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867D5AF" w14:textId="05956DF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27D84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BA45743" w14:textId="77777777" w:rsidTr="001E44FE">
        <w:tc>
          <w:tcPr>
            <w:tcW w:w="9576" w:type="dxa"/>
            <w:shd w:val="clear" w:color="auto" w:fill="F2F2F2"/>
          </w:tcPr>
          <w:p w14:paraId="67525575" w14:textId="77777777" w:rsidR="00E3114E" w:rsidRDefault="00E3114E" w:rsidP="00441B6F">
            <w:pPr>
              <w:pStyle w:val="Body"/>
              <w:spacing w:after="0"/>
              <w:rPr>
                <w:rFonts w:ascii="Arial" w:eastAsia="Calibri" w:hAnsi="Arial" w:cs="Arial"/>
                <w:b/>
                <w:szCs w:val="22"/>
              </w:rPr>
            </w:pPr>
          </w:p>
          <w:p w14:paraId="5CA568BB" w14:textId="26C18DF7" w:rsidR="00BA1B01" w:rsidRPr="00BA1B01" w:rsidRDefault="00BA1B01" w:rsidP="006C4463">
            <w:pPr>
              <w:pStyle w:val="Body"/>
              <w:spacing w:after="0"/>
              <w:rPr>
                <w:rFonts w:ascii="Arial" w:eastAsia="Calibri" w:hAnsi="Arial" w:cs="Arial"/>
                <w:szCs w:val="22"/>
              </w:rPr>
            </w:pPr>
            <w:r w:rsidRPr="00BA1B01">
              <w:rPr>
                <w:rFonts w:ascii="Arial" w:eastAsia="Calibri" w:hAnsi="Arial" w:cs="Arial"/>
                <w:b/>
                <w:szCs w:val="22"/>
              </w:rPr>
              <w:t xml:space="preserve">Aims: </w:t>
            </w:r>
            <w:r w:rsidR="006C4463" w:rsidRPr="007B0283">
              <w:rPr>
                <w:rFonts w:asciiTheme="minorBidi" w:hAnsiTheme="minorBidi"/>
              </w:rPr>
              <w:t xml:space="preserve">To evaluate the postoperative outcomes of posterior </w:t>
            </w:r>
            <w:proofErr w:type="spellStart"/>
            <w:r w:rsidR="006C4463" w:rsidRPr="007B0283">
              <w:rPr>
                <w:rFonts w:asciiTheme="minorBidi" w:hAnsiTheme="minorBidi"/>
              </w:rPr>
              <w:t>myopexy</w:t>
            </w:r>
            <w:proofErr w:type="spellEnd"/>
            <w:r w:rsidR="006C4463" w:rsidRPr="007B0283">
              <w:rPr>
                <w:rFonts w:asciiTheme="minorBidi" w:hAnsiTheme="minorBidi"/>
              </w:rPr>
              <w:t xml:space="preserve"> in terms of surgical success and stability at short, medium, and long-term follow-up</w:t>
            </w:r>
            <w:r w:rsidR="00315186">
              <w:rPr>
                <w:rFonts w:ascii="Arial" w:eastAsia="Calibri" w:hAnsi="Arial" w:cs="Arial"/>
                <w:szCs w:val="22"/>
              </w:rPr>
              <w:t xml:space="preserve"> </w:t>
            </w:r>
          </w:p>
          <w:p w14:paraId="50AFB81B" w14:textId="1EB7185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C4463" w:rsidRPr="007B0283">
              <w:rPr>
                <w:rFonts w:asciiTheme="minorBidi" w:hAnsiTheme="minorBidi"/>
              </w:rPr>
              <w:t>Retrospective observational study</w:t>
            </w:r>
            <w:r w:rsidR="006C4463" w:rsidRPr="007B0283">
              <w:rPr>
                <w:rFonts w:asciiTheme="minorBidi" w:hAnsiTheme="minorBidi"/>
                <w:b/>
                <w:bCs/>
              </w:rPr>
              <w:t>.</w:t>
            </w:r>
          </w:p>
          <w:p w14:paraId="00F6D68A" w14:textId="77777777" w:rsidR="00366726" w:rsidRPr="00905C80" w:rsidRDefault="00BA1B01" w:rsidP="00366726">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66726" w:rsidRPr="00905C80">
              <w:rPr>
                <w:rFonts w:ascii="Arial" w:eastAsia="Calibri" w:hAnsi="Arial" w:cs="Arial"/>
                <w:szCs w:val="22"/>
              </w:rPr>
              <w:t>Ophthalmology Department, Regional Hospital of Kasserine, Tunisia; surgeries performed between 2019 and 2021, with follow-up ranging from 5 months to 2 years (mean: 1.2 years).</w:t>
            </w:r>
          </w:p>
          <w:p w14:paraId="514CA180" w14:textId="07A86A0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6C4463" w:rsidRPr="007B0283">
              <w:rPr>
                <w:rFonts w:asciiTheme="minorBidi" w:hAnsiTheme="minorBidi"/>
              </w:rPr>
              <w:t xml:space="preserve">We retrospectively reviewed the medical records of </w:t>
            </w:r>
            <w:r w:rsidR="006C4463">
              <w:rPr>
                <w:rFonts w:asciiTheme="minorBidi" w:hAnsiTheme="minorBidi"/>
              </w:rPr>
              <w:t>20</w:t>
            </w:r>
            <w:r w:rsidR="006C4463" w:rsidRPr="007B0283">
              <w:rPr>
                <w:rFonts w:asciiTheme="minorBidi" w:hAnsiTheme="minorBidi"/>
              </w:rPr>
              <w:t xml:space="preserve"> patients with concomitant esotropia associated with distance-near incomitance and/or medial rectus muscle spasm who underwent posterior </w:t>
            </w:r>
            <w:proofErr w:type="spellStart"/>
            <w:r w:rsidR="006C4463" w:rsidRPr="007B0283">
              <w:rPr>
                <w:rFonts w:asciiTheme="minorBidi" w:hAnsiTheme="minorBidi"/>
              </w:rPr>
              <w:t>myopexy</w:t>
            </w:r>
            <w:proofErr w:type="spellEnd"/>
            <w:r w:rsidR="006C4463" w:rsidRPr="007B0283">
              <w:rPr>
                <w:rFonts w:asciiTheme="minorBidi" w:hAnsiTheme="minorBidi"/>
              </w:rPr>
              <w:t xml:space="preserve"> combined with conventional horizontal strabismus surgery. Pre- and postoperative deviations were measured using prism cover testing. Postoperative alignment was assessed at 3, 6, and 1</w:t>
            </w:r>
            <w:r w:rsidR="006C4463">
              <w:rPr>
                <w:rFonts w:asciiTheme="minorBidi" w:hAnsiTheme="minorBidi"/>
              </w:rPr>
              <w:t>2</w:t>
            </w:r>
            <w:r w:rsidR="006C4463" w:rsidRPr="007B0283">
              <w:rPr>
                <w:rFonts w:asciiTheme="minorBidi" w:hAnsiTheme="minorBidi"/>
              </w:rPr>
              <w:t xml:space="preserve"> months of follow-up. Surgical success was defined as a residual deviation ≤ 10 prism diopters (PD). Stability was defined as a difference ≤ 6 PD in distance deviation between 1 and 12 months</w:t>
            </w:r>
            <w:r w:rsidRPr="00BA1B01">
              <w:rPr>
                <w:rFonts w:ascii="Arial" w:eastAsia="Calibri" w:hAnsi="Arial" w:cs="Arial"/>
                <w:szCs w:val="22"/>
              </w:rPr>
              <w:t>.</w:t>
            </w:r>
          </w:p>
          <w:p w14:paraId="4417C2CB" w14:textId="62C813A6" w:rsidR="00765BAE" w:rsidRDefault="00BA1B01" w:rsidP="00765BAE">
            <w:pPr>
              <w:pStyle w:val="Body"/>
              <w:spacing w:after="0"/>
              <w:rPr>
                <w:rFonts w:asciiTheme="minorBidi" w:hAnsiTheme="minorBidi"/>
              </w:rPr>
            </w:pPr>
            <w:r w:rsidRPr="00BA1B01">
              <w:rPr>
                <w:rFonts w:ascii="Arial" w:eastAsia="Calibri" w:hAnsi="Arial" w:cs="Arial"/>
                <w:b/>
                <w:bCs/>
                <w:szCs w:val="22"/>
              </w:rPr>
              <w:t>Results:</w:t>
            </w:r>
            <w:r w:rsidR="00765BAE" w:rsidRPr="007B0283">
              <w:rPr>
                <w:rFonts w:asciiTheme="minorBidi" w:hAnsiTheme="minorBidi"/>
              </w:rPr>
              <w:t xml:space="preserve"> </w:t>
            </w:r>
            <w:r w:rsidR="00765BAE" w:rsidRPr="00765BAE">
              <w:rPr>
                <w:rFonts w:asciiTheme="minorBidi" w:hAnsiTheme="minorBidi"/>
              </w:rPr>
              <w:t xml:space="preserve">Twenty patients were included (mean surgical age: 8.9 ± 2.1 years; mean follow-up: 1.2 ± 1.1 years), of whom 8 had early esotropia, 11 partially accommodative esotropia, and 1 acquired non-accommodative esotropia. Preoperatively, the mean deviations under full optical correction were 30.4 PD at distance, 37.2 PD at near, with a mean distance–near incomitance of 9 PD. All patients underwent bilateral posterior </w:t>
            </w:r>
            <w:proofErr w:type="spellStart"/>
            <w:r w:rsidR="00765BAE" w:rsidRPr="00765BAE">
              <w:rPr>
                <w:rFonts w:asciiTheme="minorBidi" w:hAnsiTheme="minorBidi"/>
              </w:rPr>
              <w:t>myopexy</w:t>
            </w:r>
            <w:proofErr w:type="spellEnd"/>
            <w:r w:rsidR="00765BAE" w:rsidRPr="00765BAE">
              <w:rPr>
                <w:rFonts w:asciiTheme="minorBidi" w:hAnsiTheme="minorBidi"/>
              </w:rPr>
              <w:t>, performed as an isolated procedure in 3 cases and combined with horizontal muscle surgery in 17 cases. Postoperatively, the mean residual deviations were ≤ 7.5 PD at all follow-ups, and distance–near incomitance was nearly abolished. Surgical success (residual deviation and incomitance &lt; 10 PD) was achieved in 95% of patients at 3 months and 85% at 12 months, with stable alignment in 19 of 20 cases. No significant intraoperative or postoperative complications were observed, and patients reported high aesthetic and psychological satisfaction</w:t>
            </w:r>
          </w:p>
          <w:p w14:paraId="3CF4662D" w14:textId="26DC4059" w:rsidR="006C4463" w:rsidRDefault="00BA1B01" w:rsidP="006C4463">
            <w:pPr>
              <w:pStyle w:val="Body"/>
              <w:spacing w:after="0"/>
              <w:rPr>
                <w:rFonts w:ascii="Arial" w:eastAsia="Calibri" w:hAnsi="Arial" w:cs="Arial"/>
                <w:color w:val="FF0000"/>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C4463" w:rsidRPr="007B0283">
              <w:rPr>
                <w:rFonts w:asciiTheme="minorBidi" w:hAnsiTheme="minorBidi"/>
              </w:rPr>
              <w:t xml:space="preserve">Posterior </w:t>
            </w:r>
            <w:proofErr w:type="spellStart"/>
            <w:r w:rsidR="006C4463" w:rsidRPr="007B0283">
              <w:rPr>
                <w:rFonts w:asciiTheme="minorBidi" w:hAnsiTheme="minorBidi"/>
              </w:rPr>
              <w:t>myopexy</w:t>
            </w:r>
            <w:proofErr w:type="spellEnd"/>
            <w:r w:rsidR="006C4463" w:rsidRPr="007B0283">
              <w:rPr>
                <w:rFonts w:asciiTheme="minorBidi" w:hAnsiTheme="minorBidi"/>
              </w:rPr>
              <w:t xml:space="preserve"> combined with conventional horizontal strabismus surgery appears to provide a high rate of surgical success and long-term angular stability in patients with concomitant esotropia associated with distance-near incomitance greater than 10 PD or medial rectus</w:t>
            </w:r>
          </w:p>
          <w:p w14:paraId="07009016" w14:textId="778DA8B2"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2AB472D1" w14:textId="77777777" w:rsidR="00636EB2" w:rsidRDefault="00636EB2" w:rsidP="00441B6F">
      <w:pPr>
        <w:pStyle w:val="Body"/>
        <w:spacing w:after="0"/>
        <w:rPr>
          <w:rFonts w:ascii="Arial" w:hAnsi="Arial" w:cs="Arial"/>
          <w:i/>
        </w:rPr>
      </w:pPr>
    </w:p>
    <w:p w14:paraId="67A58EB8" w14:textId="5761AA7E" w:rsidR="00A24E7E" w:rsidRDefault="00A24E7E" w:rsidP="00441B6F">
      <w:pPr>
        <w:pStyle w:val="Body"/>
        <w:spacing w:after="0"/>
        <w:rPr>
          <w:rFonts w:ascii="Arial" w:hAnsi="Arial" w:cs="Arial"/>
          <w:i/>
        </w:rPr>
      </w:pPr>
      <w:r>
        <w:rPr>
          <w:rFonts w:ascii="Arial" w:hAnsi="Arial" w:cs="Arial"/>
          <w:i/>
        </w:rPr>
        <w:t>Keywords: [</w:t>
      </w:r>
      <w:r w:rsidR="00237FB8" w:rsidRPr="007B0283">
        <w:rPr>
          <w:rFonts w:asciiTheme="minorBidi" w:hAnsiTheme="minorBidi"/>
        </w:rPr>
        <w:t xml:space="preserve">Posterior </w:t>
      </w:r>
      <w:proofErr w:type="spellStart"/>
      <w:r w:rsidR="00237FB8" w:rsidRPr="007B0283">
        <w:rPr>
          <w:rFonts w:asciiTheme="minorBidi" w:hAnsiTheme="minorBidi"/>
        </w:rPr>
        <w:t>myopexy</w:t>
      </w:r>
      <w:proofErr w:type="spellEnd"/>
      <w:r w:rsidR="00237FB8" w:rsidRPr="007B0283">
        <w:rPr>
          <w:rFonts w:asciiTheme="minorBidi" w:hAnsiTheme="minorBidi"/>
        </w:rPr>
        <w:t xml:space="preserve">; </w:t>
      </w:r>
      <w:proofErr w:type="spellStart"/>
      <w:r w:rsidR="00237FB8" w:rsidRPr="007B0283">
        <w:rPr>
          <w:rFonts w:asciiTheme="minorBidi" w:hAnsiTheme="minorBidi"/>
        </w:rPr>
        <w:t>Fadenoperation</w:t>
      </w:r>
      <w:proofErr w:type="spellEnd"/>
      <w:r w:rsidR="00237FB8" w:rsidRPr="007B0283">
        <w:rPr>
          <w:rFonts w:asciiTheme="minorBidi" w:hAnsiTheme="minorBidi"/>
        </w:rPr>
        <w:t xml:space="preserve">; </w:t>
      </w:r>
      <w:proofErr w:type="spellStart"/>
      <w:r w:rsidR="00237FB8" w:rsidRPr="007B0283">
        <w:rPr>
          <w:rFonts w:asciiTheme="minorBidi" w:hAnsiTheme="minorBidi"/>
        </w:rPr>
        <w:t>Cüppers</w:t>
      </w:r>
      <w:proofErr w:type="spellEnd"/>
      <w:r w:rsidR="00237FB8" w:rsidRPr="007B0283">
        <w:rPr>
          <w:rFonts w:asciiTheme="minorBidi" w:hAnsiTheme="minorBidi"/>
        </w:rPr>
        <w:t>’ suture procedure; Distance-near incomitance; Partially accommodative esotropia; Non-accommodative esotropia</w:t>
      </w:r>
      <w:r w:rsidR="00237FB8">
        <w:rPr>
          <w:rFonts w:ascii="Arial" w:hAnsi="Arial" w:cs="Arial"/>
          <w:i/>
        </w:rPr>
        <w:t>]</w:t>
      </w:r>
    </w:p>
    <w:p w14:paraId="55611E08" w14:textId="77777777" w:rsidR="00790ADA" w:rsidRDefault="00790ADA" w:rsidP="00441B6F">
      <w:pPr>
        <w:pStyle w:val="Body"/>
        <w:spacing w:after="0"/>
        <w:rPr>
          <w:rFonts w:ascii="Arial" w:hAnsi="Arial" w:cs="Arial"/>
          <w:i/>
        </w:rPr>
      </w:pPr>
    </w:p>
    <w:p w14:paraId="654EFA40" w14:textId="77777777" w:rsidR="0024282C" w:rsidRDefault="0024282C" w:rsidP="00441B6F">
      <w:pPr>
        <w:pStyle w:val="Body"/>
        <w:spacing w:after="0"/>
        <w:rPr>
          <w:rFonts w:ascii="Arial" w:hAnsi="Arial" w:cs="Arial"/>
          <w:i/>
          <w:sz w:val="18"/>
        </w:rPr>
      </w:pPr>
    </w:p>
    <w:p w14:paraId="21E359DF" w14:textId="77777777" w:rsidR="00505F06" w:rsidRPr="00A24E7E" w:rsidRDefault="00505F06" w:rsidP="00441B6F">
      <w:pPr>
        <w:pStyle w:val="Body"/>
        <w:spacing w:after="0"/>
        <w:rPr>
          <w:rFonts w:ascii="Arial" w:hAnsi="Arial" w:cs="Arial"/>
          <w:i/>
        </w:rPr>
      </w:pPr>
    </w:p>
    <w:p w14:paraId="29FB73B7" w14:textId="34E8B9B4"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E92F3B2" w14:textId="77777777" w:rsidR="00790ADA" w:rsidRPr="00FB3A86" w:rsidRDefault="00790ADA" w:rsidP="00441B6F">
      <w:pPr>
        <w:pStyle w:val="AbstHead"/>
        <w:spacing w:after="0"/>
        <w:jc w:val="both"/>
        <w:rPr>
          <w:rFonts w:ascii="Arial" w:hAnsi="Arial" w:cs="Arial"/>
        </w:rPr>
      </w:pPr>
    </w:p>
    <w:p w14:paraId="4E99FFE1" w14:textId="732E190E" w:rsidR="00E2190A" w:rsidRPr="00A3675E" w:rsidRDefault="00E2190A" w:rsidP="00E2190A">
      <w:pPr>
        <w:spacing w:before="176" w:after="160" w:line="259" w:lineRule="auto"/>
        <w:rPr>
          <w:rFonts w:asciiTheme="minorBidi" w:hAnsiTheme="minorBidi"/>
          <w:color w:val="231F20"/>
          <w:spacing w:val="-2"/>
        </w:rPr>
      </w:pPr>
      <w:r>
        <w:rPr>
          <w:rFonts w:asciiTheme="minorBidi" w:hAnsiTheme="minorBidi"/>
          <w:color w:val="231F20"/>
          <w:spacing w:val="-2"/>
        </w:rPr>
        <w:t>T</w:t>
      </w:r>
      <w:r w:rsidRPr="00A3675E">
        <w:rPr>
          <w:rFonts w:asciiTheme="minorBidi" w:hAnsiTheme="minorBidi"/>
          <w:color w:val="231F20"/>
          <w:spacing w:val="-2"/>
        </w:rPr>
        <w:t xml:space="preserve">he </w:t>
      </w:r>
      <w:proofErr w:type="spellStart"/>
      <w:r w:rsidRPr="00A3675E">
        <w:rPr>
          <w:rFonts w:asciiTheme="minorBidi" w:hAnsiTheme="minorBidi"/>
          <w:color w:val="231F20"/>
          <w:spacing w:val="-2"/>
        </w:rPr>
        <w:t>Fadenoperation</w:t>
      </w:r>
      <w:proofErr w:type="spellEnd"/>
      <w:r w:rsidRPr="00A3675E">
        <w:rPr>
          <w:rFonts w:asciiTheme="minorBidi" w:hAnsiTheme="minorBidi"/>
          <w:color w:val="231F20"/>
          <w:spacing w:val="-2"/>
        </w:rPr>
        <w:t xml:space="preserve">, also referred to as posterior </w:t>
      </w:r>
      <w:proofErr w:type="spellStart"/>
      <w:r w:rsidRPr="00A3675E">
        <w:rPr>
          <w:rFonts w:asciiTheme="minorBidi" w:hAnsiTheme="minorBidi"/>
          <w:color w:val="231F20"/>
          <w:spacing w:val="-2"/>
        </w:rPr>
        <w:t>myopexy</w:t>
      </w:r>
      <w:proofErr w:type="spellEnd"/>
      <w:r w:rsidRPr="00A3675E">
        <w:rPr>
          <w:rFonts w:asciiTheme="minorBidi" w:hAnsiTheme="minorBidi"/>
          <w:color w:val="231F20"/>
          <w:spacing w:val="-2"/>
        </w:rPr>
        <w:t xml:space="preserve"> or </w:t>
      </w:r>
      <w:proofErr w:type="spellStart"/>
      <w:r w:rsidRPr="00A3675E">
        <w:rPr>
          <w:rFonts w:asciiTheme="minorBidi" w:hAnsiTheme="minorBidi"/>
          <w:color w:val="231F20"/>
          <w:spacing w:val="-2"/>
        </w:rPr>
        <w:t>Cüppers</w:t>
      </w:r>
      <w:proofErr w:type="spellEnd"/>
      <w:r w:rsidRPr="00A3675E">
        <w:rPr>
          <w:rFonts w:asciiTheme="minorBidi" w:hAnsiTheme="minorBidi"/>
          <w:color w:val="231F20"/>
          <w:spacing w:val="-2"/>
        </w:rPr>
        <w:t xml:space="preserve">’ suture procedure, was first introduced in the 1960s by </w:t>
      </w:r>
      <w:proofErr w:type="spellStart"/>
      <w:r w:rsidRPr="00A3675E">
        <w:rPr>
          <w:rFonts w:asciiTheme="minorBidi" w:hAnsiTheme="minorBidi"/>
          <w:color w:val="231F20"/>
          <w:spacing w:val="-2"/>
        </w:rPr>
        <w:t>Cüppers</w:t>
      </w:r>
      <w:proofErr w:type="spellEnd"/>
      <w:r w:rsidRPr="00A3675E">
        <w:rPr>
          <w:rFonts w:asciiTheme="minorBidi" w:hAnsiTheme="minorBidi"/>
          <w:color w:val="231F20"/>
          <w:spacing w:val="-2"/>
        </w:rPr>
        <w:t xml:space="preserve"> (</w:t>
      </w:r>
      <w:proofErr w:type="spellStart"/>
      <w:r w:rsidRPr="00A3675E">
        <w:rPr>
          <w:rFonts w:asciiTheme="minorBidi" w:hAnsiTheme="minorBidi"/>
          <w:color w:val="231F20"/>
          <w:spacing w:val="-2"/>
        </w:rPr>
        <w:t>Cüppers</w:t>
      </w:r>
      <w:proofErr w:type="spellEnd"/>
      <w:r w:rsidRPr="00A3675E">
        <w:rPr>
          <w:rFonts w:asciiTheme="minorBidi" w:hAnsiTheme="minorBidi"/>
          <w:color w:val="231F20"/>
          <w:spacing w:val="-2"/>
        </w:rPr>
        <w:t xml:space="preserve">, 1981). This technique, applied to a hyperkinetic rectus muscle, restrains its action by modifying the effective lever arm rather than altering muscle force (Scott, 1977). Unlike conventional strabismus procedures that primarily act on active or passive muscle forces, posterior </w:t>
      </w:r>
      <w:proofErr w:type="spellStart"/>
      <w:r w:rsidRPr="00A3675E">
        <w:rPr>
          <w:rFonts w:asciiTheme="minorBidi" w:hAnsiTheme="minorBidi"/>
          <w:color w:val="231F20"/>
          <w:spacing w:val="-2"/>
        </w:rPr>
        <w:t>myopexy</w:t>
      </w:r>
      <w:proofErr w:type="spellEnd"/>
      <w:r w:rsidRPr="00A3675E">
        <w:rPr>
          <w:rFonts w:asciiTheme="minorBidi" w:hAnsiTheme="minorBidi"/>
          <w:color w:val="231F20"/>
          <w:spacing w:val="-2"/>
        </w:rPr>
        <w:t xml:space="preserve"> produces a progressive limitation of motility within the operative field (von Noorden, 1976).</w:t>
      </w:r>
    </w:p>
    <w:p w14:paraId="04FA442B" w14:textId="77777777" w:rsidR="00E2190A" w:rsidRPr="00A3675E" w:rsidRDefault="00E2190A" w:rsidP="00E2190A">
      <w:pPr>
        <w:spacing w:before="176" w:after="160" w:line="259" w:lineRule="auto"/>
        <w:rPr>
          <w:rFonts w:asciiTheme="minorBidi" w:hAnsiTheme="minorBidi"/>
          <w:color w:val="231F20"/>
          <w:spacing w:val="-2"/>
        </w:rPr>
      </w:pPr>
      <w:r w:rsidRPr="00A3675E">
        <w:rPr>
          <w:rFonts w:asciiTheme="minorBidi" w:hAnsiTheme="minorBidi"/>
          <w:color w:val="231F20"/>
          <w:spacing w:val="-2"/>
        </w:rPr>
        <w:t xml:space="preserve">Its main indication is concomitant esotropia with variable deviation, particularly cases presenting with distance–near incomitance, where it is often combined with conventional surgery addressing the minimum distance deviation (Ing &amp; Costenbader, 1976). However, reported outcomes are inconsistent, with a tendency for the effect on distance–near disparity to decrease over time (Kushner, 1999). These discrepancies may be related to the type of strabismus, the surgical technique used, or tissue remodeling processes at the </w:t>
      </w:r>
      <w:proofErr w:type="spellStart"/>
      <w:r w:rsidRPr="00A3675E">
        <w:rPr>
          <w:rFonts w:asciiTheme="minorBidi" w:hAnsiTheme="minorBidi"/>
          <w:color w:val="231F20"/>
          <w:spacing w:val="-2"/>
        </w:rPr>
        <w:t>myopexy</w:t>
      </w:r>
      <w:proofErr w:type="spellEnd"/>
      <w:r w:rsidRPr="00A3675E">
        <w:rPr>
          <w:rFonts w:asciiTheme="minorBidi" w:hAnsiTheme="minorBidi"/>
          <w:color w:val="231F20"/>
          <w:spacing w:val="-2"/>
        </w:rPr>
        <w:t xml:space="preserve"> site (Nishimura &amp; Rosenbaum, 2002).</w:t>
      </w:r>
    </w:p>
    <w:p w14:paraId="1015C88A" w14:textId="77777777" w:rsidR="00E2190A" w:rsidRPr="00A3675E" w:rsidRDefault="00E2190A" w:rsidP="00E2190A">
      <w:pPr>
        <w:spacing w:before="176" w:after="160" w:line="259" w:lineRule="auto"/>
        <w:rPr>
          <w:rFonts w:asciiTheme="minorBidi" w:hAnsiTheme="minorBidi"/>
          <w:color w:val="231F20"/>
          <w:spacing w:val="-2"/>
        </w:rPr>
      </w:pPr>
      <w:r w:rsidRPr="00A3675E">
        <w:rPr>
          <w:rFonts w:asciiTheme="minorBidi" w:hAnsiTheme="minorBidi"/>
          <w:color w:val="231F20"/>
          <w:spacing w:val="-2"/>
        </w:rPr>
        <w:t xml:space="preserve">The purpose of the present study was therefore to evaluate the short-, medium-, and long-term effectiveness of posterior </w:t>
      </w:r>
      <w:proofErr w:type="spellStart"/>
      <w:r w:rsidRPr="00A3675E">
        <w:rPr>
          <w:rFonts w:asciiTheme="minorBidi" w:hAnsiTheme="minorBidi"/>
          <w:color w:val="231F20"/>
          <w:spacing w:val="-2"/>
        </w:rPr>
        <w:t>myopexy</w:t>
      </w:r>
      <w:proofErr w:type="spellEnd"/>
      <w:r w:rsidRPr="00A3675E">
        <w:rPr>
          <w:rFonts w:asciiTheme="minorBidi" w:hAnsiTheme="minorBidi"/>
          <w:color w:val="231F20"/>
          <w:spacing w:val="-2"/>
        </w:rPr>
        <w:t xml:space="preserve"> combined with conventional strabismus surgery in patients with partially accommodative or non-accommodative esotropia associated with distance–near incomitance.</w:t>
      </w:r>
    </w:p>
    <w:p w14:paraId="791E7472" w14:textId="77777777" w:rsidR="00790ADA" w:rsidRPr="00FB3A86" w:rsidRDefault="00790ADA" w:rsidP="00441B6F">
      <w:pPr>
        <w:pStyle w:val="Body"/>
        <w:spacing w:after="0"/>
        <w:rPr>
          <w:rFonts w:ascii="Arial" w:hAnsi="Arial" w:cs="Arial"/>
        </w:rPr>
      </w:pPr>
    </w:p>
    <w:p w14:paraId="08E3406F" w14:textId="79BA96FC" w:rsidR="00790ADA" w:rsidRPr="00FB3A86" w:rsidRDefault="00902823" w:rsidP="004C6842">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F2E937E"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This is a retrospective study including 20 cases of esotropia surgically treated by a single surgeon. Medical records were reviewed at the Ophthalmology Department of the Regional Hospital of Kasserine over a two-year period, from 2019 to 2021.</w:t>
      </w:r>
    </w:p>
    <w:p w14:paraId="08DCF74F" w14:textId="77777777" w:rsidR="00693BCE" w:rsidRPr="0062024A" w:rsidRDefault="00693BCE" w:rsidP="00693BCE">
      <w:pPr>
        <w:spacing w:before="176"/>
        <w:rPr>
          <w:rFonts w:asciiTheme="minorBidi" w:hAnsiTheme="minorBidi" w:cstheme="minorBidi"/>
          <w:b/>
          <w:bCs/>
          <w:color w:val="231F20"/>
          <w:spacing w:val="-2"/>
        </w:rPr>
      </w:pPr>
      <w:r w:rsidRPr="0062024A">
        <w:rPr>
          <w:rFonts w:asciiTheme="minorBidi" w:hAnsiTheme="minorBidi" w:cstheme="minorBidi"/>
          <w:b/>
          <w:bCs/>
          <w:color w:val="231F20"/>
          <w:spacing w:val="-2"/>
        </w:rPr>
        <w:t>Inclusion criteria</w:t>
      </w:r>
    </w:p>
    <w:p w14:paraId="20083D76"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-Patients presenting with esotropia</w:t>
      </w:r>
    </w:p>
    <w:p w14:paraId="772A8E56" w14:textId="77777777" w:rsidR="00693BCE" w:rsidRPr="0062024A" w:rsidRDefault="00693BCE" w:rsidP="00693BCE">
      <w:pPr>
        <w:spacing w:before="176"/>
        <w:rPr>
          <w:rFonts w:asciiTheme="minorBidi" w:hAnsiTheme="minorBidi" w:cstheme="minorBidi"/>
          <w:b/>
          <w:bCs/>
          <w:color w:val="231F20"/>
          <w:spacing w:val="-2"/>
        </w:rPr>
      </w:pPr>
      <w:r w:rsidRPr="0062024A">
        <w:rPr>
          <w:rFonts w:asciiTheme="minorBidi" w:hAnsiTheme="minorBidi" w:cstheme="minorBidi"/>
          <w:b/>
          <w:bCs/>
          <w:color w:val="231F20"/>
          <w:spacing w:val="-2"/>
        </w:rPr>
        <w:t>Exclusion criteria</w:t>
      </w:r>
    </w:p>
    <w:p w14:paraId="36A37B78"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-Incomplete preoperative clinical or orthoptic assessment</w:t>
      </w:r>
    </w:p>
    <w:p w14:paraId="38C478BF"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-Postoperative follow-up less than three months</w:t>
      </w:r>
    </w:p>
    <w:p w14:paraId="6458FC2B"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 xml:space="preserve">-Paralytic or </w:t>
      </w:r>
      <w:proofErr w:type="spellStart"/>
      <w:r w:rsidRPr="0062024A">
        <w:rPr>
          <w:rFonts w:asciiTheme="minorBidi" w:hAnsiTheme="minorBidi" w:cstheme="minorBidi"/>
          <w:color w:val="231F20"/>
          <w:spacing w:val="-2"/>
        </w:rPr>
        <w:t>incomitant</w:t>
      </w:r>
      <w:proofErr w:type="spellEnd"/>
      <w:r w:rsidRPr="0062024A">
        <w:rPr>
          <w:rFonts w:asciiTheme="minorBidi" w:hAnsiTheme="minorBidi" w:cstheme="minorBidi"/>
          <w:color w:val="231F20"/>
          <w:spacing w:val="-2"/>
        </w:rPr>
        <w:t xml:space="preserve"> strabismus</w:t>
      </w:r>
    </w:p>
    <w:p w14:paraId="44CEF415"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-Strabismus of anatomical origin (muscular and/or orbital)</w:t>
      </w:r>
    </w:p>
    <w:p w14:paraId="5276AA23"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-Microtropia</w:t>
      </w:r>
    </w:p>
    <w:p w14:paraId="2D69D8C2"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-Pure accommodative strabismus</w:t>
      </w:r>
    </w:p>
    <w:p w14:paraId="50AD4E5C" w14:textId="77777777" w:rsidR="00693BCE" w:rsidRPr="0062024A" w:rsidRDefault="00693BCE" w:rsidP="00693BCE">
      <w:pPr>
        <w:spacing w:before="176"/>
        <w:rPr>
          <w:rFonts w:cstheme="minorHAnsi"/>
          <w:color w:val="231F20"/>
          <w:spacing w:val="-2"/>
        </w:rPr>
      </w:pPr>
      <w:r w:rsidRPr="00C35BF9">
        <w:rPr>
          <w:rFonts w:cstheme="minorHAnsi"/>
          <w:color w:val="231F20"/>
          <w:spacing w:val="-2"/>
          <w:sz w:val="24"/>
          <w:szCs w:val="24"/>
        </w:rPr>
        <w:t>-</w:t>
      </w:r>
      <w:r w:rsidRPr="0062024A">
        <w:rPr>
          <w:rFonts w:cstheme="minorHAnsi"/>
          <w:color w:val="231F20"/>
          <w:spacing w:val="-2"/>
        </w:rPr>
        <w:t>Incomplete medical records</w:t>
      </w:r>
    </w:p>
    <w:p w14:paraId="23A40EFE" w14:textId="77777777" w:rsidR="00693BCE" w:rsidRPr="0062024A" w:rsidRDefault="00693BCE" w:rsidP="00693BCE">
      <w:pPr>
        <w:spacing w:before="176"/>
        <w:rPr>
          <w:rFonts w:asciiTheme="minorBidi" w:hAnsiTheme="minorBidi" w:cstheme="minorBidi"/>
          <w:color w:val="231F20"/>
          <w:spacing w:val="-2"/>
        </w:rPr>
      </w:pPr>
      <w:r w:rsidRPr="0062024A">
        <w:rPr>
          <w:rFonts w:cstheme="minorHAnsi"/>
          <w:color w:val="231F20"/>
          <w:spacing w:val="-2"/>
        </w:rPr>
        <w:t xml:space="preserve">All patients underwent a detailed medical history, comprehensive ophthalmological examination, preoperative and postoperative sensory </w:t>
      </w:r>
      <w:r w:rsidRPr="0062024A">
        <w:rPr>
          <w:rFonts w:asciiTheme="minorBidi" w:hAnsiTheme="minorBidi" w:cstheme="minorBidi"/>
          <w:color w:val="231F20"/>
          <w:spacing w:val="-2"/>
        </w:rPr>
        <w:t>and motor orthoptic evaluation</w:t>
      </w:r>
      <w:r w:rsidRPr="00C35BF9">
        <w:rPr>
          <w:rFonts w:cstheme="minorHAnsi"/>
          <w:color w:val="231F20"/>
          <w:spacing w:val="-2"/>
          <w:sz w:val="24"/>
          <w:szCs w:val="24"/>
        </w:rPr>
        <w:t xml:space="preserve">. </w:t>
      </w:r>
      <w:r w:rsidRPr="0062024A">
        <w:rPr>
          <w:rFonts w:asciiTheme="minorBidi" w:hAnsiTheme="minorBidi" w:cstheme="minorBidi"/>
          <w:color w:val="231F20"/>
          <w:spacing w:val="-2"/>
        </w:rPr>
        <w:t>This assessment was completed in all cases by an intraoperative examination under deep general anesthesia.</w:t>
      </w:r>
    </w:p>
    <w:p w14:paraId="67DFEB81"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lastRenderedPageBreak/>
        <w:t xml:space="preserve">Management included a medical component aimed at treating amblyopia and improving binocular function, and a surgical component targeting </w:t>
      </w:r>
      <w:proofErr w:type="spellStart"/>
      <w:r w:rsidRPr="0062024A">
        <w:rPr>
          <w:rFonts w:asciiTheme="minorBidi" w:hAnsiTheme="minorBidi" w:cstheme="minorBidi"/>
          <w:color w:val="231F20"/>
          <w:spacing w:val="-2"/>
        </w:rPr>
        <w:t>orthotropia</w:t>
      </w:r>
      <w:proofErr w:type="spellEnd"/>
      <w:r w:rsidRPr="0062024A">
        <w:rPr>
          <w:rFonts w:asciiTheme="minorBidi" w:hAnsiTheme="minorBidi" w:cstheme="minorBidi"/>
          <w:color w:val="231F20"/>
          <w:spacing w:val="-2"/>
        </w:rPr>
        <w:t>.</w:t>
      </w:r>
    </w:p>
    <w:p w14:paraId="145AADC6" w14:textId="77777777" w:rsidR="00693BCE" w:rsidRPr="0062024A" w:rsidRDefault="00693BCE" w:rsidP="00693BCE">
      <w:pPr>
        <w:spacing w:before="176"/>
        <w:rPr>
          <w:rFonts w:asciiTheme="minorBidi" w:hAnsiTheme="minorBidi" w:cstheme="minorBidi"/>
          <w:b/>
          <w:bCs/>
          <w:color w:val="231F20"/>
          <w:spacing w:val="-2"/>
        </w:rPr>
      </w:pPr>
      <w:r w:rsidRPr="0062024A">
        <w:rPr>
          <w:rFonts w:asciiTheme="minorBidi" w:hAnsiTheme="minorBidi" w:cstheme="minorBidi"/>
          <w:b/>
          <w:bCs/>
          <w:color w:val="231F20"/>
          <w:spacing w:val="-2"/>
        </w:rPr>
        <w:t>Surgical procedure</w:t>
      </w:r>
    </w:p>
    <w:p w14:paraId="75C94CB5"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All surgeries were performed under deep general anesthesia by the same surgeon.</w:t>
      </w:r>
    </w:p>
    <w:p w14:paraId="4690BC68" w14:textId="77777777" w:rsidR="00693BCE" w:rsidRPr="004C6842" w:rsidRDefault="00693BCE" w:rsidP="00693BCE">
      <w:pPr>
        <w:spacing w:before="176"/>
        <w:rPr>
          <w:rFonts w:asciiTheme="minorBidi" w:hAnsiTheme="minorBidi" w:cstheme="minorBidi"/>
          <w:b/>
          <w:bCs/>
          <w:color w:val="231F20"/>
          <w:spacing w:val="-2"/>
        </w:rPr>
      </w:pPr>
      <w:r w:rsidRPr="004C6842">
        <w:rPr>
          <w:rFonts w:asciiTheme="minorBidi" w:hAnsiTheme="minorBidi" w:cstheme="minorBidi"/>
          <w:b/>
          <w:bCs/>
          <w:color w:val="231F20"/>
          <w:spacing w:val="-2"/>
        </w:rPr>
        <w:t>1. Surgical equipment</w:t>
      </w:r>
    </w:p>
    <w:p w14:paraId="3998B6FA"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All procedures were performed using an operating microscope. Absorbable sutures (</w:t>
      </w:r>
      <w:proofErr w:type="spellStart"/>
      <w:r w:rsidRPr="0062024A">
        <w:rPr>
          <w:rFonts w:asciiTheme="minorBidi" w:hAnsiTheme="minorBidi" w:cstheme="minorBidi"/>
          <w:color w:val="231F20"/>
          <w:spacing w:val="-2"/>
        </w:rPr>
        <w:t>Vicryl</w:t>
      </w:r>
      <w:proofErr w:type="spellEnd"/>
      <w:r w:rsidRPr="0062024A">
        <w:rPr>
          <w:rFonts w:asciiTheme="minorBidi" w:hAnsiTheme="minorBidi" w:cstheme="minorBidi"/>
          <w:color w:val="231F20"/>
          <w:spacing w:val="-2"/>
        </w:rPr>
        <w:t xml:space="preserve"> 6-0, 3/8 circle, double-armed with spatulated needle) were used for extraocular muscles. Posterior </w:t>
      </w:r>
      <w:proofErr w:type="spellStart"/>
      <w:r w:rsidRPr="0062024A">
        <w:rPr>
          <w:rFonts w:asciiTheme="minorBidi" w:hAnsiTheme="minorBidi" w:cstheme="minorBidi"/>
          <w:color w:val="231F20"/>
          <w:spacing w:val="-2"/>
        </w:rPr>
        <w:t>myopexy</w:t>
      </w:r>
      <w:proofErr w:type="spellEnd"/>
      <w:r w:rsidRPr="0062024A">
        <w:rPr>
          <w:rFonts w:asciiTheme="minorBidi" w:hAnsiTheme="minorBidi" w:cstheme="minorBidi"/>
          <w:color w:val="231F20"/>
          <w:spacing w:val="-2"/>
        </w:rPr>
        <w:t xml:space="preserve"> was performed using non-absorbable 4-0 suture, and conjunctival closure was performed with 10-0 suture.</w:t>
      </w:r>
    </w:p>
    <w:p w14:paraId="32B05C74" w14:textId="77777777" w:rsidR="00693BCE" w:rsidRPr="004C6842" w:rsidRDefault="00693BCE" w:rsidP="00693BCE">
      <w:pPr>
        <w:spacing w:before="176"/>
        <w:rPr>
          <w:rFonts w:asciiTheme="minorBidi" w:hAnsiTheme="minorBidi" w:cstheme="minorBidi"/>
          <w:b/>
          <w:bCs/>
          <w:color w:val="231F20"/>
          <w:spacing w:val="-2"/>
        </w:rPr>
      </w:pPr>
      <w:r w:rsidRPr="004C6842">
        <w:rPr>
          <w:rFonts w:asciiTheme="minorBidi" w:hAnsiTheme="minorBidi" w:cstheme="minorBidi"/>
          <w:b/>
          <w:bCs/>
          <w:color w:val="231F20"/>
          <w:spacing w:val="-2"/>
        </w:rPr>
        <w:t>2. Preoperative tests</w:t>
      </w:r>
    </w:p>
    <w:p w14:paraId="32D79A7E" w14:textId="77777777" w:rsidR="00693BCE" w:rsidRPr="0062024A" w:rsidRDefault="00693BCE" w:rsidP="00693BCE">
      <w:pPr>
        <w:spacing w:before="176"/>
        <w:rPr>
          <w:rFonts w:asciiTheme="minorBidi" w:hAnsiTheme="minorBidi" w:cstheme="minorBidi"/>
          <w:b/>
          <w:bCs/>
          <w:i/>
          <w:iCs/>
          <w:color w:val="231F20"/>
          <w:spacing w:val="-2"/>
        </w:rPr>
      </w:pPr>
      <w:r w:rsidRPr="0062024A">
        <w:rPr>
          <w:rFonts w:asciiTheme="minorBidi" w:hAnsiTheme="minorBidi" w:cstheme="minorBidi"/>
          <w:b/>
          <w:bCs/>
          <w:i/>
          <w:iCs/>
          <w:color w:val="231F20"/>
          <w:spacing w:val="-2"/>
        </w:rPr>
        <w:t>2.1. Anesthesia sign</w:t>
      </w:r>
    </w:p>
    <w:p w14:paraId="56E4983F" w14:textId="77777777" w:rsidR="0062024A" w:rsidRDefault="00693BCE" w:rsidP="0062024A">
      <w:pPr>
        <w:spacing w:before="176"/>
        <w:rPr>
          <w:rFonts w:asciiTheme="minorBidi" w:hAnsiTheme="minorBidi" w:cstheme="minorBidi"/>
          <w:color w:val="231F20"/>
          <w:spacing w:val="-2"/>
        </w:rPr>
      </w:pPr>
      <w:r w:rsidRPr="0062024A">
        <w:rPr>
          <w:rFonts w:asciiTheme="minorBidi" w:hAnsiTheme="minorBidi" w:cstheme="minorBidi"/>
          <w:color w:val="231F20"/>
          <w:spacing w:val="-2"/>
        </w:rPr>
        <w:t xml:space="preserve">For unilateral or asymmetric bilateral surgery, the anesthesia sign was used to identify the eye to operate </w:t>
      </w:r>
      <w:proofErr w:type="gramStart"/>
      <w:r w:rsidRPr="0062024A">
        <w:rPr>
          <w:rFonts w:asciiTheme="minorBidi" w:hAnsiTheme="minorBidi" w:cstheme="minorBidi"/>
          <w:color w:val="231F20"/>
          <w:spacing w:val="-2"/>
        </w:rPr>
        <w:t>on(</w:t>
      </w:r>
      <w:proofErr w:type="gramEnd"/>
      <w:r w:rsidRPr="0062024A">
        <w:rPr>
          <w:rFonts w:asciiTheme="minorBidi" w:hAnsiTheme="minorBidi" w:cstheme="minorBidi"/>
          <w:color w:val="231F20"/>
          <w:spacing w:val="-2"/>
        </w:rPr>
        <w:t xml:space="preserve">the eye showing the greatest deviation under deep general anesthesia). </w:t>
      </w:r>
    </w:p>
    <w:p w14:paraId="144EB123" w14:textId="179C0125" w:rsidR="00693BCE" w:rsidRDefault="00693BCE" w:rsidP="0062024A">
      <w:pPr>
        <w:spacing w:before="176"/>
        <w:rPr>
          <w:rFonts w:cstheme="minorHAnsi"/>
          <w:color w:val="231F20"/>
          <w:spacing w:val="-2"/>
          <w:sz w:val="24"/>
          <w:szCs w:val="24"/>
        </w:rPr>
      </w:pPr>
      <w:r w:rsidRPr="0062024A">
        <w:rPr>
          <w:rFonts w:asciiTheme="minorBidi" w:hAnsiTheme="minorBidi" w:cstheme="minorBidi"/>
          <w:color w:val="231F20"/>
          <w:spacing w:val="-2"/>
        </w:rPr>
        <w:t>Figure</w:t>
      </w:r>
      <w:r>
        <w:rPr>
          <w:rFonts w:cstheme="minorHAnsi"/>
          <w:color w:val="231F20"/>
          <w:spacing w:val="-2"/>
          <w:sz w:val="24"/>
          <w:szCs w:val="24"/>
        </w:rPr>
        <w:t xml:space="preserve"> 1</w:t>
      </w:r>
    </w:p>
    <w:p w14:paraId="29EE4BA1" w14:textId="77777777" w:rsidR="00693BCE" w:rsidRDefault="00693BCE" w:rsidP="00693BCE">
      <w:pPr>
        <w:spacing w:before="176"/>
        <w:rPr>
          <w:rFonts w:cstheme="minorHAnsi"/>
          <w:color w:val="231F20"/>
          <w:spacing w:val="-2"/>
          <w:sz w:val="24"/>
          <w:szCs w:val="24"/>
        </w:rPr>
      </w:pPr>
      <w:r w:rsidRPr="00416DD7">
        <w:rPr>
          <w:noProof/>
          <w:sz w:val="32"/>
          <w:szCs w:val="32"/>
        </w:rPr>
        <w:drawing>
          <wp:anchor distT="0" distB="0" distL="114300" distR="114300" simplePos="0" relativeHeight="251659264" behindDoc="1" locked="0" layoutInCell="1" allowOverlap="1" wp14:anchorId="17C6545E" wp14:editId="2E9F4921">
            <wp:simplePos x="0" y="0"/>
            <wp:positionH relativeFrom="column">
              <wp:posOffset>-25400</wp:posOffset>
            </wp:positionH>
            <wp:positionV relativeFrom="paragraph">
              <wp:posOffset>234188</wp:posOffset>
            </wp:positionV>
            <wp:extent cx="3166745" cy="1663065"/>
            <wp:effectExtent l="0" t="0" r="0" b="0"/>
            <wp:wrapTight wrapText="bothSides">
              <wp:wrapPolygon edited="0">
                <wp:start x="0" y="0"/>
                <wp:lineTo x="0" y="21278"/>
                <wp:lineTo x="21440" y="21278"/>
                <wp:lineTo x="21440" y="0"/>
                <wp:lineTo x="0" y="0"/>
              </wp:wrapPolygon>
            </wp:wrapTight>
            <wp:docPr id="602391714" name="Image 1" descr="Une image contenant personne, jeune enfant, enfant, p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1714" name="Image 1" descr="Une image contenant personne, jeune enfant, enfant, peau&#10;&#10;Le contenu généré par l’IA peut être incorrect."/>
                    <pic:cNvPicPr/>
                  </pic:nvPicPr>
                  <pic:blipFill rotWithShape="1">
                    <a:blip r:embed="rId14">
                      <a:extLst>
                        <a:ext uri="{28A0092B-C50C-407E-A947-70E740481C1C}">
                          <a14:useLocalDpi xmlns:a14="http://schemas.microsoft.com/office/drawing/2010/main" val="0"/>
                        </a:ext>
                      </a:extLst>
                    </a:blip>
                    <a:srcRect l="13460" t="35987" r="22231"/>
                    <a:stretch>
                      <a:fillRect/>
                    </a:stretch>
                  </pic:blipFill>
                  <pic:spPr bwMode="auto">
                    <a:xfrm>
                      <a:off x="0" y="0"/>
                      <a:ext cx="3166745" cy="166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83701" w14:textId="77777777" w:rsidR="00693BCE" w:rsidRDefault="00693BCE" w:rsidP="00693BCE">
      <w:pPr>
        <w:spacing w:before="176"/>
        <w:rPr>
          <w:rFonts w:cstheme="minorHAnsi"/>
          <w:color w:val="231F20"/>
          <w:spacing w:val="-2"/>
          <w:sz w:val="24"/>
          <w:szCs w:val="24"/>
        </w:rPr>
      </w:pPr>
    </w:p>
    <w:p w14:paraId="42C30132" w14:textId="77777777" w:rsidR="00693BCE" w:rsidRDefault="00693BCE" w:rsidP="00693BCE">
      <w:pPr>
        <w:spacing w:before="176"/>
        <w:rPr>
          <w:rFonts w:cstheme="minorHAnsi"/>
          <w:color w:val="231F20"/>
          <w:spacing w:val="-2"/>
          <w:sz w:val="24"/>
          <w:szCs w:val="24"/>
        </w:rPr>
      </w:pPr>
    </w:p>
    <w:p w14:paraId="4E11C137" w14:textId="77777777" w:rsidR="00693BCE" w:rsidRDefault="00693BCE" w:rsidP="00693BCE">
      <w:pPr>
        <w:spacing w:before="176"/>
        <w:rPr>
          <w:rFonts w:cstheme="minorHAnsi"/>
          <w:color w:val="231F20"/>
          <w:spacing w:val="-2"/>
          <w:sz w:val="24"/>
          <w:szCs w:val="24"/>
        </w:rPr>
      </w:pPr>
    </w:p>
    <w:p w14:paraId="1A2E43F5" w14:textId="77777777" w:rsidR="00693BCE" w:rsidRDefault="00693BCE" w:rsidP="00693BCE">
      <w:pPr>
        <w:spacing w:before="176"/>
        <w:rPr>
          <w:rFonts w:cstheme="minorHAnsi"/>
          <w:color w:val="231F20"/>
          <w:spacing w:val="-2"/>
          <w:sz w:val="24"/>
          <w:szCs w:val="24"/>
        </w:rPr>
      </w:pPr>
    </w:p>
    <w:p w14:paraId="7BF1D3D5" w14:textId="77777777" w:rsidR="00693BCE" w:rsidRPr="00C35BF9" w:rsidRDefault="00693BCE" w:rsidP="00693BCE">
      <w:pPr>
        <w:spacing w:before="176"/>
        <w:rPr>
          <w:rFonts w:cstheme="minorHAnsi"/>
          <w:color w:val="231F20"/>
          <w:spacing w:val="-2"/>
          <w:sz w:val="24"/>
          <w:szCs w:val="24"/>
        </w:rPr>
      </w:pPr>
    </w:p>
    <w:p w14:paraId="07589DAD" w14:textId="77777777" w:rsidR="00693BCE" w:rsidRDefault="00693BCE" w:rsidP="00693BCE">
      <w:pPr>
        <w:spacing w:before="176"/>
        <w:rPr>
          <w:b/>
          <w:bCs/>
          <w:sz w:val="24"/>
          <w:szCs w:val="24"/>
        </w:rPr>
      </w:pPr>
    </w:p>
    <w:p w14:paraId="6DA59CBC" w14:textId="77777777" w:rsidR="00693BCE" w:rsidRPr="00196B5C" w:rsidRDefault="00693BCE" w:rsidP="00693BCE">
      <w:pPr>
        <w:spacing w:before="176"/>
        <w:rPr>
          <w:rFonts w:asciiTheme="minorBidi" w:hAnsiTheme="minorBidi" w:cstheme="minorBidi"/>
          <w:b/>
          <w:bCs/>
          <w:i/>
          <w:iCs/>
          <w:color w:val="231F20"/>
          <w:spacing w:val="-2"/>
        </w:rPr>
      </w:pPr>
      <w:r w:rsidRPr="00196B5C">
        <w:rPr>
          <w:rFonts w:asciiTheme="minorBidi" w:hAnsiTheme="minorBidi" w:cstheme="minorBidi"/>
          <w:b/>
          <w:bCs/>
        </w:rPr>
        <w:t xml:space="preserve">Figure </w:t>
      </w:r>
      <w:proofErr w:type="gramStart"/>
      <w:r w:rsidRPr="00196B5C">
        <w:rPr>
          <w:rFonts w:asciiTheme="minorBidi" w:hAnsiTheme="minorBidi" w:cstheme="minorBidi"/>
          <w:b/>
          <w:bCs/>
        </w:rPr>
        <w:t>1 :</w:t>
      </w:r>
      <w:proofErr w:type="gramEnd"/>
      <w:r w:rsidRPr="00196B5C">
        <w:rPr>
          <w:rFonts w:asciiTheme="minorBidi" w:hAnsiTheme="minorBidi" w:cstheme="minorBidi"/>
          <w:b/>
          <w:bCs/>
        </w:rPr>
        <w:t xml:space="preserve"> Bilateral </w:t>
      </w:r>
      <w:proofErr w:type="spellStart"/>
      <w:r w:rsidRPr="00196B5C">
        <w:rPr>
          <w:rFonts w:asciiTheme="minorBidi" w:hAnsiTheme="minorBidi" w:cstheme="minorBidi"/>
          <w:b/>
          <w:bCs/>
        </w:rPr>
        <w:t>orthotropia</w:t>
      </w:r>
      <w:proofErr w:type="spellEnd"/>
      <w:r w:rsidRPr="00196B5C">
        <w:rPr>
          <w:rFonts w:asciiTheme="minorBidi" w:hAnsiTheme="minorBidi" w:cstheme="minorBidi"/>
          <w:b/>
          <w:bCs/>
        </w:rPr>
        <w:t xml:space="preserve"> observed under general anesthesia in a patient with manifest esotropia.</w:t>
      </w:r>
    </w:p>
    <w:p w14:paraId="057ABC8E" w14:textId="77777777" w:rsidR="00693BCE" w:rsidRPr="00196B5C" w:rsidRDefault="00693BCE" w:rsidP="00693BCE">
      <w:pPr>
        <w:spacing w:before="176"/>
        <w:rPr>
          <w:rFonts w:asciiTheme="minorBidi" w:hAnsiTheme="minorBidi" w:cstheme="minorBidi"/>
          <w:b/>
          <w:bCs/>
          <w:i/>
          <w:iCs/>
          <w:color w:val="231F20"/>
          <w:spacing w:val="-2"/>
        </w:rPr>
      </w:pPr>
      <w:r w:rsidRPr="00196B5C">
        <w:rPr>
          <w:rFonts w:asciiTheme="minorBidi" w:hAnsiTheme="minorBidi" w:cstheme="minorBidi"/>
          <w:b/>
          <w:bCs/>
          <w:i/>
          <w:iCs/>
          <w:color w:val="231F20"/>
          <w:spacing w:val="-2"/>
        </w:rPr>
        <w:t>2.2. Forced duction test</w:t>
      </w:r>
    </w:p>
    <w:p w14:paraId="50A0488F" w14:textId="77777777" w:rsidR="00693BCE" w:rsidRPr="00196B5C" w:rsidRDefault="00693BCE" w:rsidP="00693BCE">
      <w:pPr>
        <w:spacing w:before="176"/>
        <w:rPr>
          <w:rFonts w:asciiTheme="minorBidi" w:hAnsiTheme="minorBidi" w:cstheme="minorBidi"/>
          <w:color w:val="231F20"/>
          <w:spacing w:val="-2"/>
        </w:rPr>
      </w:pPr>
      <w:r w:rsidRPr="00196B5C">
        <w:rPr>
          <w:rFonts w:asciiTheme="minorBidi" w:hAnsiTheme="minorBidi" w:cstheme="minorBidi"/>
          <w:color w:val="231F20"/>
          <w:spacing w:val="-2"/>
        </w:rPr>
        <w:t xml:space="preserve">Performed prior to conjunctival incision, this test assessed the mobility of the muscle and its </w:t>
      </w:r>
      <w:proofErr w:type="spellStart"/>
      <w:r w:rsidRPr="00196B5C">
        <w:rPr>
          <w:rFonts w:asciiTheme="minorBidi" w:hAnsiTheme="minorBidi" w:cstheme="minorBidi"/>
          <w:color w:val="231F20"/>
          <w:spacing w:val="-2"/>
        </w:rPr>
        <w:t>capsulotenon</w:t>
      </w:r>
      <w:proofErr w:type="spellEnd"/>
      <w:r w:rsidRPr="00196B5C">
        <w:rPr>
          <w:rFonts w:asciiTheme="minorBidi" w:hAnsiTheme="minorBidi" w:cstheme="minorBidi"/>
          <w:color w:val="231F20"/>
          <w:spacing w:val="-2"/>
        </w:rPr>
        <w:t xml:space="preserve"> system. It was particularly important in cases of consecutive or residual strabismus to detect </w:t>
      </w:r>
      <w:proofErr w:type="spellStart"/>
      <w:r w:rsidRPr="00196B5C">
        <w:rPr>
          <w:rFonts w:asciiTheme="minorBidi" w:hAnsiTheme="minorBidi" w:cstheme="minorBidi"/>
          <w:color w:val="231F20"/>
          <w:spacing w:val="-2"/>
        </w:rPr>
        <w:t>conjunctivo</w:t>
      </w:r>
      <w:proofErr w:type="spellEnd"/>
      <w:r w:rsidRPr="00196B5C">
        <w:rPr>
          <w:rFonts w:asciiTheme="minorBidi" w:hAnsiTheme="minorBidi" w:cstheme="minorBidi"/>
          <w:color w:val="231F20"/>
          <w:spacing w:val="-2"/>
        </w:rPr>
        <w:t>-tenon adhesions from previous surgeries.</w:t>
      </w:r>
    </w:p>
    <w:p w14:paraId="300C7FE6" w14:textId="77777777" w:rsidR="00693BCE" w:rsidRPr="00196B5C" w:rsidRDefault="00693BCE" w:rsidP="00693BCE">
      <w:pPr>
        <w:spacing w:before="176"/>
        <w:rPr>
          <w:rFonts w:asciiTheme="minorBidi" w:hAnsiTheme="minorBidi" w:cstheme="minorBidi"/>
          <w:b/>
          <w:bCs/>
          <w:i/>
          <w:iCs/>
          <w:color w:val="231F20"/>
          <w:spacing w:val="-2"/>
        </w:rPr>
      </w:pPr>
      <w:r w:rsidRPr="00196B5C">
        <w:rPr>
          <w:rFonts w:asciiTheme="minorBidi" w:hAnsiTheme="minorBidi" w:cstheme="minorBidi"/>
          <w:b/>
          <w:bCs/>
          <w:i/>
          <w:iCs/>
          <w:color w:val="231F20"/>
          <w:spacing w:val="-2"/>
        </w:rPr>
        <w:t>2.3. Muscle elongation test</w:t>
      </w:r>
    </w:p>
    <w:p w14:paraId="6A936E3F" w14:textId="77777777" w:rsidR="00693BCE" w:rsidRPr="00C35BF9" w:rsidRDefault="00693BCE" w:rsidP="00693BCE">
      <w:pPr>
        <w:spacing w:before="176"/>
        <w:rPr>
          <w:rFonts w:cstheme="minorHAnsi"/>
          <w:color w:val="231F20"/>
          <w:spacing w:val="-2"/>
          <w:sz w:val="24"/>
          <w:szCs w:val="24"/>
        </w:rPr>
      </w:pPr>
      <w:r w:rsidRPr="00196B5C">
        <w:rPr>
          <w:rFonts w:asciiTheme="minorBidi" w:hAnsiTheme="minorBidi" w:cstheme="minorBidi"/>
          <w:color w:val="231F20"/>
          <w:spacing w:val="-2"/>
        </w:rPr>
        <w:t>Performed systematically, this test allowed evaluation of hypo- or hyper-elongation of the muscle. A hook was placed under the muscle, and movement was referenced to an instrument aligned with the pupillary center or the center-light reflex under the microscope</w:t>
      </w:r>
      <w:r w:rsidRPr="00C35BF9">
        <w:rPr>
          <w:rFonts w:cstheme="minorHAnsi"/>
          <w:color w:val="231F20"/>
          <w:spacing w:val="-2"/>
          <w:sz w:val="24"/>
          <w:szCs w:val="24"/>
        </w:rPr>
        <w:t>.</w:t>
      </w:r>
    </w:p>
    <w:p w14:paraId="34F962F8" w14:textId="77777777" w:rsidR="00693BCE" w:rsidRPr="004C6842" w:rsidRDefault="00693BCE" w:rsidP="00693BCE">
      <w:pPr>
        <w:spacing w:before="176"/>
        <w:rPr>
          <w:rFonts w:asciiTheme="minorBidi" w:hAnsiTheme="minorBidi" w:cstheme="minorBidi"/>
          <w:b/>
          <w:bCs/>
          <w:color w:val="231F20"/>
          <w:spacing w:val="-2"/>
        </w:rPr>
      </w:pPr>
      <w:r w:rsidRPr="004C6842">
        <w:rPr>
          <w:rFonts w:asciiTheme="minorBidi" w:hAnsiTheme="minorBidi" w:cstheme="minorBidi"/>
          <w:b/>
          <w:bCs/>
          <w:color w:val="231F20"/>
          <w:spacing w:val="-2"/>
        </w:rPr>
        <w:t>3. Surgical protocols</w:t>
      </w:r>
    </w:p>
    <w:p w14:paraId="5E569624" w14:textId="77777777" w:rsidR="00693BCE" w:rsidRPr="0062024A"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 xml:space="preserve">Conventional surgery was performed to correct the minimum distance deviation. Depending on the angle, this consisted of unilateral or bilateral medial rectus recession; when bilateral recession was insufficient, lateral rectus plication was added. In amblyopic cases, a unilateral </w:t>
      </w:r>
      <w:r w:rsidRPr="0062024A">
        <w:rPr>
          <w:rFonts w:asciiTheme="minorBidi" w:hAnsiTheme="minorBidi" w:cstheme="minorBidi"/>
          <w:color w:val="231F20"/>
          <w:spacing w:val="-2"/>
        </w:rPr>
        <w:lastRenderedPageBreak/>
        <w:t>medial rectus recession combined with lateral rectus plication was performed on the amblyopic eye.</w:t>
      </w:r>
    </w:p>
    <w:p w14:paraId="3ACAB8F2" w14:textId="77777777" w:rsidR="00693BCE" w:rsidRDefault="00693BCE" w:rsidP="00693BCE">
      <w:pPr>
        <w:spacing w:before="176"/>
        <w:rPr>
          <w:rFonts w:asciiTheme="minorBidi" w:hAnsiTheme="minorBidi" w:cstheme="minorBidi"/>
          <w:color w:val="231F20"/>
          <w:spacing w:val="-2"/>
        </w:rPr>
      </w:pPr>
      <w:r w:rsidRPr="0062024A">
        <w:rPr>
          <w:rFonts w:asciiTheme="minorBidi" w:hAnsiTheme="minorBidi" w:cstheme="minorBidi"/>
          <w:color w:val="231F20"/>
          <w:spacing w:val="-2"/>
        </w:rPr>
        <w:t xml:space="preserve">Posterior </w:t>
      </w:r>
      <w:proofErr w:type="spellStart"/>
      <w:r w:rsidRPr="0062024A">
        <w:rPr>
          <w:rFonts w:asciiTheme="minorBidi" w:hAnsiTheme="minorBidi" w:cstheme="minorBidi"/>
          <w:color w:val="231F20"/>
          <w:spacing w:val="-2"/>
        </w:rPr>
        <w:t>myopexy</w:t>
      </w:r>
      <w:proofErr w:type="spellEnd"/>
      <w:r w:rsidRPr="0062024A">
        <w:rPr>
          <w:rFonts w:asciiTheme="minorBidi" w:hAnsiTheme="minorBidi" w:cstheme="minorBidi"/>
          <w:color w:val="231F20"/>
          <w:spacing w:val="-2"/>
        </w:rPr>
        <w:t xml:space="preserve"> (</w:t>
      </w:r>
      <w:proofErr w:type="spellStart"/>
      <w:r w:rsidRPr="0062024A">
        <w:rPr>
          <w:rFonts w:asciiTheme="minorBidi" w:hAnsiTheme="minorBidi" w:cstheme="minorBidi"/>
          <w:color w:val="231F20"/>
          <w:spacing w:val="-2"/>
        </w:rPr>
        <w:t>Fadenoperation</w:t>
      </w:r>
      <w:proofErr w:type="spellEnd"/>
      <w:r w:rsidRPr="0062024A">
        <w:rPr>
          <w:rFonts w:asciiTheme="minorBidi" w:hAnsiTheme="minorBidi" w:cstheme="minorBidi"/>
          <w:color w:val="231F20"/>
          <w:spacing w:val="-2"/>
        </w:rPr>
        <w:t xml:space="preserve">) was performed using Quéré’s muscle slinging technique with a non-absorbable 5-0 </w:t>
      </w:r>
      <w:proofErr w:type="spellStart"/>
      <w:r w:rsidRPr="0062024A">
        <w:rPr>
          <w:rFonts w:asciiTheme="minorBidi" w:hAnsiTheme="minorBidi" w:cstheme="minorBidi"/>
          <w:color w:val="231F20"/>
          <w:spacing w:val="-2"/>
        </w:rPr>
        <w:t>Ethilon</w:t>
      </w:r>
      <w:proofErr w:type="spellEnd"/>
      <w:r w:rsidRPr="0062024A">
        <w:rPr>
          <w:rFonts w:asciiTheme="minorBidi" w:hAnsiTheme="minorBidi" w:cstheme="minorBidi"/>
          <w:color w:val="231F20"/>
          <w:spacing w:val="-2"/>
        </w:rPr>
        <w:t xml:space="preserve"> suture. Two symmetric scleral passes were made 11.5–14 mm posterior to the medial rectus insertion, near the Tenon’s pulley, beginning 2 mm lateral to the muscle edge. The needle was passed at mid-scleral thickness over 4–5 mm, between the vortex vein and the course of the long posterior ciliary artery. The sling was then passed beneath and above the muscle and tied over its belly. If necessary, medial rectus recession was performed after sling placement, followed by tightening of the suture (figure 2).</w:t>
      </w:r>
    </w:p>
    <w:p w14:paraId="30E18CA5" w14:textId="77777777" w:rsidR="00765BAE" w:rsidRDefault="00765BAE" w:rsidP="00693BCE">
      <w:pPr>
        <w:spacing w:before="176"/>
        <w:rPr>
          <w:rFonts w:asciiTheme="minorBidi" w:hAnsiTheme="minorBidi" w:cstheme="minorBidi"/>
          <w:color w:val="231F20"/>
          <w:spacing w:val="-2"/>
        </w:rPr>
      </w:pPr>
    </w:p>
    <w:p w14:paraId="393F5EA2" w14:textId="77777777" w:rsidR="00765BAE" w:rsidRDefault="00765BAE" w:rsidP="00693BCE">
      <w:pPr>
        <w:spacing w:before="176"/>
        <w:rPr>
          <w:rFonts w:asciiTheme="minorBidi" w:hAnsiTheme="minorBidi" w:cstheme="minorBidi"/>
          <w:color w:val="231F20"/>
          <w:spacing w:val="-2"/>
        </w:rPr>
      </w:pPr>
    </w:p>
    <w:p w14:paraId="4FF73C50" w14:textId="77777777" w:rsidR="00765BAE" w:rsidRPr="0062024A" w:rsidRDefault="00765BAE" w:rsidP="00693BCE">
      <w:pPr>
        <w:spacing w:before="176"/>
        <w:rPr>
          <w:rFonts w:asciiTheme="minorBidi" w:hAnsiTheme="minorBidi" w:cstheme="minorBidi"/>
          <w:color w:val="231F20"/>
          <w:spacing w:val="-2"/>
        </w:rPr>
      </w:pPr>
    </w:p>
    <w:p w14:paraId="0E25FBE7" w14:textId="77777777" w:rsidR="00693BCE" w:rsidRDefault="00693BCE" w:rsidP="00693BCE">
      <w:pPr>
        <w:spacing w:before="176"/>
        <w:rPr>
          <w:rFonts w:cstheme="minorHAnsi"/>
          <w:color w:val="231F20"/>
          <w:spacing w:val="-2"/>
          <w:sz w:val="24"/>
          <w:szCs w:val="24"/>
        </w:rPr>
      </w:pPr>
      <w:r>
        <w:rPr>
          <w:i/>
          <w:iCs/>
          <w:noProof/>
          <w:sz w:val="28"/>
          <w:szCs w:val="28"/>
        </w:rPr>
        <w:drawing>
          <wp:anchor distT="0" distB="0" distL="114300" distR="114300" simplePos="0" relativeHeight="251660288" behindDoc="1" locked="0" layoutInCell="1" allowOverlap="1" wp14:anchorId="2FC54C8F" wp14:editId="3F16CE0F">
            <wp:simplePos x="0" y="0"/>
            <wp:positionH relativeFrom="column">
              <wp:posOffset>0</wp:posOffset>
            </wp:positionH>
            <wp:positionV relativeFrom="paragraph">
              <wp:posOffset>117221</wp:posOffset>
            </wp:positionV>
            <wp:extent cx="2893695" cy="2275840"/>
            <wp:effectExtent l="0" t="0" r="0" b="0"/>
            <wp:wrapTight wrapText="bothSides">
              <wp:wrapPolygon edited="0">
                <wp:start x="0" y="0"/>
                <wp:lineTo x="0" y="21335"/>
                <wp:lineTo x="21472" y="21335"/>
                <wp:lineTo x="21472" y="0"/>
                <wp:lineTo x="0" y="0"/>
              </wp:wrapPolygon>
            </wp:wrapTight>
            <wp:docPr id="7903628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695" cy="2275840"/>
                    </a:xfrm>
                    <a:prstGeom prst="rect">
                      <a:avLst/>
                    </a:prstGeom>
                    <a:noFill/>
                  </pic:spPr>
                </pic:pic>
              </a:graphicData>
            </a:graphic>
            <wp14:sizeRelH relativeFrom="margin">
              <wp14:pctWidth>0</wp14:pctWidth>
            </wp14:sizeRelH>
            <wp14:sizeRelV relativeFrom="margin">
              <wp14:pctHeight>0</wp14:pctHeight>
            </wp14:sizeRelV>
          </wp:anchor>
        </w:drawing>
      </w:r>
    </w:p>
    <w:p w14:paraId="623D742E" w14:textId="77777777" w:rsidR="00693BCE" w:rsidRDefault="00693BCE" w:rsidP="00693BCE">
      <w:pPr>
        <w:spacing w:before="176"/>
        <w:rPr>
          <w:rFonts w:cstheme="minorHAnsi"/>
          <w:color w:val="231F20"/>
          <w:spacing w:val="-2"/>
          <w:sz w:val="24"/>
          <w:szCs w:val="24"/>
        </w:rPr>
      </w:pPr>
    </w:p>
    <w:p w14:paraId="6A9EE971" w14:textId="77777777" w:rsidR="00693BCE" w:rsidRDefault="00693BCE" w:rsidP="00693BCE">
      <w:pPr>
        <w:spacing w:before="176"/>
        <w:rPr>
          <w:rFonts w:cstheme="minorHAnsi"/>
          <w:color w:val="231F20"/>
          <w:spacing w:val="-2"/>
          <w:sz w:val="24"/>
          <w:szCs w:val="24"/>
        </w:rPr>
      </w:pPr>
    </w:p>
    <w:p w14:paraId="6D6E80FE" w14:textId="77777777" w:rsidR="00693BCE" w:rsidRDefault="00693BCE" w:rsidP="00693BCE">
      <w:pPr>
        <w:spacing w:before="176"/>
        <w:rPr>
          <w:rFonts w:cstheme="minorHAnsi"/>
          <w:color w:val="231F20"/>
          <w:spacing w:val="-2"/>
          <w:sz w:val="24"/>
          <w:szCs w:val="24"/>
        </w:rPr>
      </w:pPr>
    </w:p>
    <w:p w14:paraId="43579486" w14:textId="77777777" w:rsidR="00693BCE" w:rsidRDefault="00693BCE" w:rsidP="00693BCE">
      <w:pPr>
        <w:spacing w:before="176"/>
        <w:rPr>
          <w:rFonts w:cstheme="minorHAnsi"/>
          <w:color w:val="231F20"/>
          <w:spacing w:val="-2"/>
          <w:sz w:val="24"/>
          <w:szCs w:val="24"/>
        </w:rPr>
      </w:pPr>
    </w:p>
    <w:p w14:paraId="11E9A316" w14:textId="77777777" w:rsidR="00693BCE" w:rsidRDefault="00693BCE" w:rsidP="00693BCE">
      <w:pPr>
        <w:spacing w:before="176"/>
        <w:rPr>
          <w:rFonts w:cstheme="minorHAnsi"/>
          <w:color w:val="231F20"/>
          <w:spacing w:val="-2"/>
          <w:sz w:val="24"/>
          <w:szCs w:val="24"/>
        </w:rPr>
      </w:pPr>
    </w:p>
    <w:p w14:paraId="4B2244A1" w14:textId="77777777" w:rsidR="00693BCE" w:rsidRDefault="00693BCE" w:rsidP="00693BCE">
      <w:pPr>
        <w:spacing w:before="176"/>
        <w:rPr>
          <w:rFonts w:cstheme="minorHAnsi"/>
          <w:color w:val="231F20"/>
          <w:spacing w:val="-2"/>
          <w:sz w:val="24"/>
          <w:szCs w:val="24"/>
        </w:rPr>
      </w:pPr>
    </w:p>
    <w:p w14:paraId="7CAFB2D2" w14:textId="77777777" w:rsidR="00693BCE" w:rsidRDefault="00693BCE" w:rsidP="00693BCE">
      <w:pPr>
        <w:spacing w:before="176"/>
        <w:rPr>
          <w:rFonts w:cstheme="minorHAnsi"/>
          <w:color w:val="231F20"/>
          <w:spacing w:val="-2"/>
          <w:sz w:val="24"/>
          <w:szCs w:val="24"/>
        </w:rPr>
      </w:pPr>
    </w:p>
    <w:p w14:paraId="7F00596C" w14:textId="77777777" w:rsidR="00693BCE" w:rsidRDefault="00693BCE" w:rsidP="00693BCE">
      <w:pPr>
        <w:spacing w:before="176"/>
        <w:rPr>
          <w:rFonts w:cstheme="minorHAnsi"/>
          <w:color w:val="231F20"/>
          <w:spacing w:val="-2"/>
          <w:sz w:val="24"/>
          <w:szCs w:val="24"/>
        </w:rPr>
      </w:pPr>
    </w:p>
    <w:p w14:paraId="7B6C166D" w14:textId="77777777" w:rsidR="00693BCE" w:rsidRDefault="00693BCE" w:rsidP="00693BCE">
      <w:pPr>
        <w:spacing w:before="176"/>
        <w:rPr>
          <w:rFonts w:asciiTheme="minorBidi" w:hAnsiTheme="minorBidi" w:cstheme="minorBidi"/>
          <w:b/>
          <w:bCs/>
          <w:color w:val="231F20"/>
          <w:spacing w:val="-2"/>
        </w:rPr>
      </w:pPr>
      <w:r w:rsidRPr="00693BCE">
        <w:rPr>
          <w:rFonts w:asciiTheme="minorBidi" w:hAnsiTheme="minorBidi" w:cstheme="minorBidi"/>
          <w:b/>
          <w:bCs/>
        </w:rPr>
        <w:t xml:space="preserve">Figure 2: </w:t>
      </w:r>
      <w:r w:rsidRPr="00693BCE">
        <w:rPr>
          <w:rFonts w:asciiTheme="minorBidi" w:hAnsiTheme="minorBidi" w:cstheme="minorBidi"/>
          <w:b/>
          <w:bCs/>
          <w:color w:val="231F20"/>
          <w:spacing w:val="-2"/>
        </w:rPr>
        <w:t xml:space="preserve">Posterior </w:t>
      </w:r>
      <w:proofErr w:type="spellStart"/>
      <w:r w:rsidRPr="00693BCE">
        <w:rPr>
          <w:rFonts w:asciiTheme="minorBidi" w:hAnsiTheme="minorBidi" w:cstheme="minorBidi"/>
          <w:b/>
          <w:bCs/>
          <w:color w:val="231F20"/>
          <w:spacing w:val="-2"/>
        </w:rPr>
        <w:t>Myopexy</w:t>
      </w:r>
      <w:proofErr w:type="spellEnd"/>
      <w:r w:rsidRPr="00693BCE">
        <w:rPr>
          <w:rFonts w:asciiTheme="minorBidi" w:hAnsiTheme="minorBidi" w:cstheme="minorBidi"/>
          <w:b/>
          <w:bCs/>
          <w:color w:val="231F20"/>
          <w:spacing w:val="-2"/>
        </w:rPr>
        <w:t xml:space="preserve"> according to </w:t>
      </w:r>
      <w:proofErr w:type="spellStart"/>
      <w:r w:rsidRPr="00693BCE">
        <w:rPr>
          <w:rFonts w:asciiTheme="minorBidi" w:hAnsiTheme="minorBidi" w:cstheme="minorBidi"/>
          <w:b/>
          <w:bCs/>
          <w:color w:val="231F20"/>
          <w:spacing w:val="-2"/>
        </w:rPr>
        <w:t>Castiella</w:t>
      </w:r>
      <w:proofErr w:type="spellEnd"/>
      <w:r w:rsidRPr="00693BCE">
        <w:rPr>
          <w:rFonts w:asciiTheme="minorBidi" w:hAnsiTheme="minorBidi" w:cstheme="minorBidi"/>
          <w:b/>
          <w:bCs/>
          <w:color w:val="231F20"/>
          <w:spacing w:val="-2"/>
        </w:rPr>
        <w:t xml:space="preserve"> and </w:t>
      </w:r>
      <w:proofErr w:type="spellStart"/>
      <w:r w:rsidRPr="00693BCE">
        <w:rPr>
          <w:rFonts w:asciiTheme="minorBidi" w:hAnsiTheme="minorBidi" w:cstheme="minorBidi"/>
          <w:b/>
          <w:bCs/>
          <w:color w:val="231F20"/>
          <w:spacing w:val="-2"/>
        </w:rPr>
        <w:t>Polenghi</w:t>
      </w:r>
      <w:proofErr w:type="spellEnd"/>
    </w:p>
    <w:p w14:paraId="25793C70" w14:textId="77777777" w:rsidR="00765BAE" w:rsidRPr="00693BCE" w:rsidRDefault="00765BAE" w:rsidP="00693BCE">
      <w:pPr>
        <w:spacing w:before="176"/>
        <w:rPr>
          <w:rFonts w:asciiTheme="minorBidi" w:hAnsiTheme="minorBidi" w:cstheme="minorBidi"/>
          <w:color w:val="231F20"/>
          <w:spacing w:val="-2"/>
        </w:rPr>
      </w:pPr>
    </w:p>
    <w:p w14:paraId="7CA5426A" w14:textId="77777777" w:rsidR="00693BCE" w:rsidRPr="004C6842" w:rsidRDefault="00693BCE" w:rsidP="00693BCE">
      <w:pPr>
        <w:spacing w:before="176"/>
        <w:rPr>
          <w:rFonts w:asciiTheme="minorBidi" w:hAnsiTheme="minorBidi" w:cstheme="minorBidi"/>
          <w:b/>
          <w:bCs/>
          <w:i/>
          <w:iCs/>
          <w:color w:val="231F20"/>
          <w:spacing w:val="-2"/>
        </w:rPr>
      </w:pPr>
      <w:r w:rsidRPr="004C6842">
        <w:rPr>
          <w:rFonts w:asciiTheme="minorBidi" w:hAnsiTheme="minorBidi" w:cstheme="minorBidi"/>
          <w:b/>
          <w:bCs/>
          <w:color w:val="231F20"/>
          <w:spacing w:val="-2"/>
        </w:rPr>
        <w:t>4-Postoperative evaluation</w:t>
      </w:r>
    </w:p>
    <w:p w14:paraId="73D2A7B1" w14:textId="77777777" w:rsidR="00693BCE" w:rsidRDefault="00693BCE" w:rsidP="00693BCE">
      <w:pPr>
        <w:spacing w:before="176"/>
        <w:rPr>
          <w:rFonts w:asciiTheme="minorBidi" w:hAnsiTheme="minorBidi" w:cstheme="minorBidi"/>
          <w:color w:val="231F20"/>
          <w:spacing w:val="-2"/>
        </w:rPr>
      </w:pPr>
      <w:r w:rsidRPr="00693BCE">
        <w:rPr>
          <w:rFonts w:asciiTheme="minorBidi" w:hAnsiTheme="minorBidi" w:cstheme="minorBidi"/>
          <w:color w:val="231F20"/>
          <w:spacing w:val="-2"/>
        </w:rPr>
        <w:t>The surgical success rate was defined as the percentage of patients with a postoperative distance deviation and distance–near incomitance of less than 10 prism diopters (PD)</w:t>
      </w:r>
    </w:p>
    <w:p w14:paraId="6AF1CF39" w14:textId="077D7A8A" w:rsidR="00693BCE" w:rsidRPr="00693BCE" w:rsidRDefault="00693BCE" w:rsidP="00693BCE">
      <w:pPr>
        <w:spacing w:before="176"/>
        <w:rPr>
          <w:rFonts w:asciiTheme="minorBidi" w:hAnsiTheme="minorBidi" w:cstheme="minorBidi"/>
          <w:color w:val="231F20"/>
          <w:spacing w:val="-2"/>
        </w:rPr>
      </w:pPr>
      <w:r w:rsidRPr="00693BCE">
        <w:rPr>
          <w:rFonts w:asciiTheme="minorBidi" w:hAnsiTheme="minorBidi" w:cstheme="minorBidi"/>
          <w:color w:val="231F20"/>
          <w:spacing w:val="-2"/>
        </w:rPr>
        <w:t xml:space="preserve"> (Figure 3).</w:t>
      </w:r>
    </w:p>
    <w:p w14:paraId="0DF7A167" w14:textId="2160C1CB" w:rsidR="00693BCE" w:rsidRPr="00693BCE" w:rsidRDefault="00693BCE" w:rsidP="00693BCE">
      <w:pPr>
        <w:spacing w:before="176"/>
        <w:rPr>
          <w:rFonts w:asciiTheme="minorBidi" w:hAnsiTheme="minorBidi" w:cstheme="minorBidi"/>
          <w:b/>
        </w:rPr>
      </w:pPr>
      <w:r>
        <w:rPr>
          <w:bCs/>
          <w:i/>
          <w:iCs/>
          <w:noProof/>
          <w:sz w:val="28"/>
          <w:szCs w:val="28"/>
        </w:rPr>
        <w:lastRenderedPageBreak/>
        <mc:AlternateContent>
          <mc:Choice Requires="wps">
            <w:drawing>
              <wp:anchor distT="0" distB="0" distL="114300" distR="114300" simplePos="0" relativeHeight="251665408" behindDoc="0" locked="0" layoutInCell="1" allowOverlap="1" wp14:anchorId="68EBF38F" wp14:editId="3EEB942F">
                <wp:simplePos x="0" y="0"/>
                <wp:positionH relativeFrom="column">
                  <wp:posOffset>3623183</wp:posOffset>
                </wp:positionH>
                <wp:positionV relativeFrom="paragraph">
                  <wp:posOffset>144145</wp:posOffset>
                </wp:positionV>
                <wp:extent cx="316865" cy="353060"/>
                <wp:effectExtent l="4445" t="0" r="2540" b="635"/>
                <wp:wrapNone/>
                <wp:docPr id="19895984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2EA3" w14:textId="77777777" w:rsidR="00693BCE" w:rsidRPr="00D41559" w:rsidRDefault="00693BCE" w:rsidP="00693BCE">
                            <w:pPr>
                              <w:rPr>
                                <w:b/>
                                <w:bCs/>
                                <w:sz w:val="28"/>
                                <w:szCs w:val="28"/>
                              </w:rPr>
                            </w:pPr>
                            <w:r>
                              <w:rPr>
                                <w:b/>
                                <w:bCs/>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BF38F" id="_x0000_t202" coordsize="21600,21600" o:spt="202" path="m,l,21600r21600,l21600,xe">
                <v:stroke joinstyle="miter"/>
                <v:path gradientshapeok="t" o:connecttype="rect"/>
              </v:shapetype>
              <v:shape id="Text Box 26" o:spid="_x0000_s1026" type="#_x0000_t202" style="position:absolute;margin-left:285.3pt;margin-top:11.35pt;width:24.95pt;height: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" filled="f" stroked="f">
                <v:textbox>
                  <w:txbxContent>
                    <w:p w14:paraId="4D352EA3" w14:textId="77777777" w:rsidR="00693BCE" w:rsidRPr="00D41559" w:rsidRDefault="00693BCE" w:rsidP="00693BCE">
                      <w:pPr>
                        <w:rPr>
                          <w:b/>
                          <w:bCs/>
                          <w:sz w:val="28"/>
                          <w:szCs w:val="28"/>
                        </w:rPr>
                      </w:pPr>
                      <w:r>
                        <w:rPr>
                          <w:b/>
                          <w:bCs/>
                          <w:sz w:val="28"/>
                          <w:szCs w:val="28"/>
                        </w:rPr>
                        <w:t>c</w:t>
                      </w:r>
                    </w:p>
                  </w:txbxContent>
                </v:textbox>
              </v:shape>
            </w:pict>
          </mc:Fallback>
        </mc:AlternateContent>
      </w:r>
      <w:r>
        <w:rPr>
          <w:bCs/>
          <w:i/>
          <w:iCs/>
          <w:noProof/>
          <w:sz w:val="28"/>
          <w:szCs w:val="28"/>
        </w:rPr>
        <mc:AlternateContent>
          <mc:Choice Requires="wps">
            <w:drawing>
              <wp:anchor distT="0" distB="0" distL="114300" distR="114300" simplePos="0" relativeHeight="251666432" behindDoc="0" locked="0" layoutInCell="1" allowOverlap="1" wp14:anchorId="6EA0A3BE" wp14:editId="23B6939B">
                <wp:simplePos x="0" y="0"/>
                <wp:positionH relativeFrom="column">
                  <wp:posOffset>1867535</wp:posOffset>
                </wp:positionH>
                <wp:positionV relativeFrom="paragraph">
                  <wp:posOffset>171450</wp:posOffset>
                </wp:positionV>
                <wp:extent cx="316865" cy="353060"/>
                <wp:effectExtent l="4445" t="0" r="2540" b="635"/>
                <wp:wrapNone/>
                <wp:docPr id="17764181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CC93" w14:textId="77777777" w:rsidR="00693BCE" w:rsidRPr="00D41559" w:rsidRDefault="00693BCE" w:rsidP="00693BCE">
                            <w:pPr>
                              <w:rPr>
                                <w:b/>
                                <w:bCs/>
                                <w:sz w:val="28"/>
                                <w:szCs w:val="28"/>
                              </w:rPr>
                            </w:pPr>
                            <w:r>
                              <w:rPr>
                                <w:b/>
                                <w:bCs/>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A3BE" id="_x0000_s1027" type="#_x0000_t202" style="position:absolute;margin-left:147.05pt;margin-top:13.5pt;width:24.95pt;height: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" filled="f" stroked="f">
                <v:textbox>
                  <w:txbxContent>
                    <w:p w14:paraId="3741CC93" w14:textId="77777777" w:rsidR="00693BCE" w:rsidRPr="00D41559" w:rsidRDefault="00693BCE" w:rsidP="00693BCE">
                      <w:pPr>
                        <w:rPr>
                          <w:b/>
                          <w:bCs/>
                          <w:sz w:val="28"/>
                          <w:szCs w:val="28"/>
                        </w:rPr>
                      </w:pPr>
                      <w:r>
                        <w:rPr>
                          <w:b/>
                          <w:bCs/>
                          <w:sz w:val="28"/>
                          <w:szCs w:val="28"/>
                        </w:rPr>
                        <w:t>b</w:t>
                      </w:r>
                    </w:p>
                  </w:txbxContent>
                </v:textbox>
              </v:shape>
            </w:pict>
          </mc:Fallback>
        </mc:AlternateContent>
      </w:r>
      <w:r>
        <w:rPr>
          <w:bCs/>
          <w:i/>
          <w:iCs/>
          <w:noProof/>
          <w:sz w:val="28"/>
          <w:szCs w:val="28"/>
        </w:rPr>
        <mc:AlternateContent>
          <mc:Choice Requires="wps">
            <w:drawing>
              <wp:anchor distT="0" distB="0" distL="114300" distR="114300" simplePos="0" relativeHeight="251664384" behindDoc="0" locked="0" layoutInCell="1" allowOverlap="1" wp14:anchorId="2E496439" wp14:editId="50969A0D">
                <wp:simplePos x="0" y="0"/>
                <wp:positionH relativeFrom="column">
                  <wp:posOffset>-32766</wp:posOffset>
                </wp:positionH>
                <wp:positionV relativeFrom="paragraph">
                  <wp:posOffset>137668</wp:posOffset>
                </wp:positionV>
                <wp:extent cx="316865" cy="353060"/>
                <wp:effectExtent l="4445" t="0" r="2540" b="635"/>
                <wp:wrapNone/>
                <wp:docPr id="16236021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40A50" w14:textId="77777777" w:rsidR="00693BCE" w:rsidRPr="00D41559" w:rsidRDefault="00693BCE" w:rsidP="00693BCE">
                            <w:pPr>
                              <w:rPr>
                                <w:b/>
                                <w:bCs/>
                                <w:sz w:val="28"/>
                                <w:szCs w:val="28"/>
                              </w:rPr>
                            </w:pPr>
                            <w:r w:rsidRPr="00D41559">
                              <w:rPr>
                                <w:b/>
                                <w:bCs/>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96439" id="_x0000_s1028" type="#_x0000_t202" style="position:absolute;margin-left:-2.6pt;margin-top:10.85pt;width:24.95pt;height:2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XQwQIAAMk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" filled="f" stroked="f">
                <v:textbox>
                  <w:txbxContent>
                    <w:p w14:paraId="4B340A50" w14:textId="77777777" w:rsidR="00693BCE" w:rsidRPr="00D41559" w:rsidRDefault="00693BCE" w:rsidP="00693BCE">
                      <w:pPr>
                        <w:rPr>
                          <w:b/>
                          <w:bCs/>
                          <w:sz w:val="28"/>
                          <w:szCs w:val="28"/>
                        </w:rPr>
                      </w:pPr>
                      <w:r w:rsidRPr="00D41559">
                        <w:rPr>
                          <w:b/>
                          <w:bCs/>
                          <w:sz w:val="28"/>
                          <w:szCs w:val="28"/>
                        </w:rPr>
                        <w:t>a</w:t>
                      </w:r>
                    </w:p>
                  </w:txbxContent>
                </v:textbox>
              </v:shape>
            </w:pict>
          </mc:Fallback>
        </mc:AlternateContent>
      </w:r>
      <w:r w:rsidRPr="007D5B35">
        <w:rPr>
          <w:b/>
          <w:noProof/>
          <w:sz w:val="32"/>
          <w:szCs w:val="32"/>
        </w:rPr>
        <w:drawing>
          <wp:anchor distT="0" distB="0" distL="114300" distR="114300" simplePos="0" relativeHeight="251663360" behindDoc="1" locked="0" layoutInCell="1" allowOverlap="1" wp14:anchorId="3CA0B92B" wp14:editId="7CEC754B">
            <wp:simplePos x="0" y="0"/>
            <wp:positionH relativeFrom="column">
              <wp:posOffset>3586480</wp:posOffset>
            </wp:positionH>
            <wp:positionV relativeFrom="paragraph">
              <wp:posOffset>89789</wp:posOffset>
            </wp:positionV>
            <wp:extent cx="1871345" cy="2289175"/>
            <wp:effectExtent l="0" t="0" r="0" b="0"/>
            <wp:wrapTight wrapText="bothSides">
              <wp:wrapPolygon edited="0">
                <wp:start x="0" y="0"/>
                <wp:lineTo x="0" y="21390"/>
                <wp:lineTo x="21329" y="21390"/>
                <wp:lineTo x="21329" y="0"/>
                <wp:lineTo x="0" y="0"/>
              </wp:wrapPolygon>
            </wp:wrapTight>
            <wp:docPr id="61355005" name="Image 1" descr="Une image contenant Visage humain, personne, Front, sourci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5005" name="Image 1" descr="Une image contenant Visage humain, personne, Front, sourcil&#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71345" cy="228917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2336" behindDoc="1" locked="0" layoutInCell="1" allowOverlap="1" wp14:anchorId="165CB3D0" wp14:editId="7D6AE5E3">
            <wp:simplePos x="0" y="0"/>
            <wp:positionH relativeFrom="column">
              <wp:posOffset>1781175</wp:posOffset>
            </wp:positionH>
            <wp:positionV relativeFrom="paragraph">
              <wp:posOffset>95377</wp:posOffset>
            </wp:positionV>
            <wp:extent cx="1805305" cy="2265680"/>
            <wp:effectExtent l="0" t="0" r="4445" b="1270"/>
            <wp:wrapTight wrapText="bothSides">
              <wp:wrapPolygon edited="0">
                <wp:start x="0" y="0"/>
                <wp:lineTo x="0" y="21430"/>
                <wp:lineTo x="21425" y="21430"/>
                <wp:lineTo x="21425" y="0"/>
                <wp:lineTo x="0" y="0"/>
              </wp:wrapPolygon>
            </wp:wrapTight>
            <wp:docPr id="15139641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5305" cy="226568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1312" behindDoc="1" locked="0" layoutInCell="1" allowOverlap="1" wp14:anchorId="09021F91" wp14:editId="3181B8F2">
            <wp:simplePos x="0" y="0"/>
            <wp:positionH relativeFrom="column">
              <wp:posOffset>-85979</wp:posOffset>
            </wp:positionH>
            <wp:positionV relativeFrom="paragraph">
              <wp:posOffset>81661</wp:posOffset>
            </wp:positionV>
            <wp:extent cx="1866265" cy="2281555"/>
            <wp:effectExtent l="0" t="0" r="635" b="4445"/>
            <wp:wrapTight wrapText="bothSides">
              <wp:wrapPolygon edited="0">
                <wp:start x="0" y="0"/>
                <wp:lineTo x="0" y="21462"/>
                <wp:lineTo x="21387" y="21462"/>
                <wp:lineTo x="21387" y="0"/>
                <wp:lineTo x="0" y="0"/>
              </wp:wrapPolygon>
            </wp:wrapTight>
            <wp:docPr id="71340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265" cy="2281555"/>
                    </a:xfrm>
                    <a:prstGeom prst="rect">
                      <a:avLst/>
                    </a:prstGeom>
                    <a:noFill/>
                  </pic:spPr>
                </pic:pic>
              </a:graphicData>
            </a:graphic>
            <wp14:sizeRelH relativeFrom="margin">
              <wp14:pctWidth>0</wp14:pctWidth>
            </wp14:sizeRelH>
            <wp14:sizeRelV relativeFrom="margin">
              <wp14:pctHeight>0</wp14:pctHeight>
            </wp14:sizeRelV>
          </wp:anchor>
        </w:drawing>
      </w:r>
      <w:r w:rsidRPr="00693BCE">
        <w:rPr>
          <w:rFonts w:asciiTheme="minorBidi" w:hAnsiTheme="minorBidi" w:cstheme="minorBidi"/>
          <w:b/>
        </w:rPr>
        <w:t>Figure 3. Early esotropia associated with angle variability.</w:t>
      </w:r>
      <w:r w:rsidRPr="00693BCE">
        <w:rPr>
          <w:rFonts w:asciiTheme="minorBidi" w:hAnsiTheme="minorBidi" w:cstheme="minorBidi"/>
          <w:b/>
        </w:rPr>
        <w:br/>
        <w:t xml:space="preserve">Surgical protocol: bilateral medial rectus recession combined with bilateral </w:t>
      </w:r>
      <w:proofErr w:type="spellStart"/>
      <w:r w:rsidRPr="00693BCE">
        <w:rPr>
          <w:rFonts w:asciiTheme="minorBidi" w:hAnsiTheme="minorBidi" w:cstheme="minorBidi"/>
          <w:b/>
        </w:rPr>
        <w:t>Fadenoperation</w:t>
      </w:r>
      <w:proofErr w:type="spellEnd"/>
      <w:r w:rsidRPr="00693BCE">
        <w:rPr>
          <w:rFonts w:asciiTheme="minorBidi" w:hAnsiTheme="minorBidi" w:cstheme="minorBidi"/>
          <w:b/>
        </w:rPr>
        <w:t>.</w:t>
      </w:r>
      <w:r w:rsidR="00196B5C">
        <w:rPr>
          <w:rFonts w:asciiTheme="minorBidi" w:hAnsiTheme="minorBidi" w:cstheme="minorBidi"/>
          <w:b/>
        </w:rPr>
        <w:t xml:space="preserve"> </w:t>
      </w:r>
      <w:r w:rsidRPr="00693BCE">
        <w:rPr>
          <w:rFonts w:asciiTheme="minorBidi" w:hAnsiTheme="minorBidi" w:cstheme="minorBidi"/>
          <w:b/>
        </w:rPr>
        <w:t xml:space="preserve">a: preoperative appearance; b: postoperative day 1; c: 1-year postoperative appearance  </w:t>
      </w:r>
      <w:bookmarkStart w:id="1" w:name="_Hlk161839708"/>
    </w:p>
    <w:bookmarkEnd w:id="1"/>
    <w:p w14:paraId="09D204F6" w14:textId="77777777" w:rsidR="00693BCE" w:rsidRPr="004C6842" w:rsidRDefault="00693BCE" w:rsidP="00693BCE">
      <w:pPr>
        <w:spacing w:before="176"/>
        <w:rPr>
          <w:rFonts w:asciiTheme="minorBidi" w:hAnsiTheme="minorBidi" w:cstheme="minorBidi"/>
          <w:b/>
          <w:bCs/>
          <w:i/>
          <w:iCs/>
          <w:color w:val="231F20"/>
          <w:spacing w:val="-2"/>
        </w:rPr>
      </w:pPr>
      <w:r w:rsidRPr="004C6842">
        <w:rPr>
          <w:rFonts w:asciiTheme="minorBidi" w:hAnsiTheme="minorBidi" w:cstheme="minorBidi"/>
          <w:b/>
          <w:bCs/>
          <w:i/>
          <w:iCs/>
          <w:color w:val="231F20"/>
          <w:spacing w:val="-2"/>
        </w:rPr>
        <w:t>Data analysis</w:t>
      </w:r>
    </w:p>
    <w:p w14:paraId="59150DFC" w14:textId="77777777" w:rsidR="00693BCE" w:rsidRPr="00693BCE" w:rsidRDefault="00693BCE" w:rsidP="00693BCE">
      <w:pPr>
        <w:spacing w:before="176"/>
        <w:rPr>
          <w:rFonts w:asciiTheme="minorBidi" w:hAnsiTheme="minorBidi" w:cstheme="minorBidi"/>
          <w:color w:val="231F20"/>
          <w:spacing w:val="-2"/>
        </w:rPr>
      </w:pPr>
      <w:r w:rsidRPr="00693BCE">
        <w:rPr>
          <w:rFonts w:asciiTheme="minorBidi" w:hAnsiTheme="minorBidi" w:cstheme="minorBidi"/>
          <w:color w:val="231F20"/>
          <w:spacing w:val="-2"/>
        </w:rPr>
        <w:t xml:space="preserve">Data were entered and analyzed using IBM© SPSS Statistics version 21. Simple and relative frequencies (%) were calculated for qualitative variables. Means, medians, standard deviations, and ranges (minimum–maximum) were calculated for quantitative variables. Associations between qualitative variables were assessed using the χ² test. For quantitative variables, Pearson correlation coefficient was used for normally distributed data and Spearman’s test for non-normal data, ranging from -1 (perfect negative correlation) to +1 (perfect positive correlation). Associations between quantitative and qualitative variables were analyzed using one-way ANOVA (F-test). </w:t>
      </w:r>
    </w:p>
    <w:p w14:paraId="1B674B49" w14:textId="77777777" w:rsidR="00693BCE" w:rsidRDefault="00693BCE" w:rsidP="00441B6F">
      <w:pPr>
        <w:pStyle w:val="Body"/>
        <w:spacing w:after="0"/>
        <w:rPr>
          <w:rFonts w:ascii="Arial" w:eastAsia="Calibri" w:hAnsi="Arial" w:cs="Arial"/>
          <w:szCs w:val="22"/>
        </w:rPr>
      </w:pPr>
    </w:p>
    <w:p w14:paraId="3B5013BD" w14:textId="77777777" w:rsidR="00693BCE" w:rsidRDefault="00693BCE" w:rsidP="00441B6F">
      <w:pPr>
        <w:pStyle w:val="Body"/>
        <w:spacing w:after="0"/>
        <w:rPr>
          <w:rFonts w:ascii="Arial" w:eastAsia="Calibri" w:hAnsi="Arial" w:cs="Arial"/>
          <w:szCs w:val="22"/>
        </w:rPr>
      </w:pPr>
    </w:p>
    <w:p w14:paraId="7ABEA0CF" w14:textId="6CD0F31F" w:rsidR="00790ADA" w:rsidRPr="00FB3A86" w:rsidRDefault="0066510A" w:rsidP="00693BCE">
      <w:pPr>
        <w:pStyle w:val="Body"/>
        <w:spacing w:after="0"/>
        <w:rPr>
          <w:rFonts w:ascii="Arial" w:hAnsi="Arial" w:cs="Arial"/>
        </w:rPr>
      </w:pPr>
      <w:r w:rsidRPr="00B95236">
        <w:rPr>
          <w:rFonts w:ascii="Arial" w:hAnsi="Arial" w:cs="Arial"/>
        </w:rPr>
        <w:t xml:space="preserve"> </w:t>
      </w:r>
    </w:p>
    <w:p w14:paraId="7E2C0F72" w14:textId="4F85B4F3"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B597821" w14:textId="77777777" w:rsidR="00790ADA" w:rsidRPr="00FB3A86" w:rsidRDefault="00790ADA" w:rsidP="00441B6F">
      <w:pPr>
        <w:pStyle w:val="Head1"/>
        <w:spacing w:after="0"/>
        <w:jc w:val="both"/>
        <w:rPr>
          <w:rFonts w:ascii="Arial" w:hAnsi="Arial" w:cs="Arial"/>
        </w:rPr>
      </w:pPr>
    </w:p>
    <w:p w14:paraId="485CBC08" w14:textId="77777777" w:rsidR="00ED6D74" w:rsidRPr="00E479D1"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Among the 20 patients, 8 presented with early</w:t>
      </w:r>
      <w:r w:rsidRPr="00CF7D40">
        <w:rPr>
          <w:rFonts w:asciiTheme="minorBidi" w:hAnsiTheme="minorBidi" w:cstheme="minorBidi"/>
          <w:color w:val="231F20"/>
        </w:rPr>
        <w:t xml:space="preserve"> </w:t>
      </w:r>
      <w:r w:rsidRPr="00E479D1">
        <w:rPr>
          <w:rFonts w:asciiTheme="minorBidi" w:eastAsia="Trebuchet MS" w:hAnsiTheme="minorBidi" w:cstheme="minorBidi"/>
          <w:color w:val="231F20"/>
        </w:rPr>
        <w:t>esotropia (ET), 11 with partially accommodative esotropia (PAET), and 1 with acquired non-accommodative esotropia (ANAET). The preoperative examination of these children, performed under full optical correction, revealed a mean minimum distance deviation of 30.4 PD, a mean minimum near deviation of 37.2 PD, and a mean distance-near incomitance of 9 PD. The mean age at surgery was 8.9 years. All patients were followed for a minimum period of 6 months. The mean follow-up duration was 1.2 years (Table 1).</w:t>
      </w:r>
    </w:p>
    <w:p w14:paraId="3FD80D97" w14:textId="77777777" w:rsidR="00CF7D40" w:rsidRDefault="00CF7D40"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04CDA195" w14:textId="77777777" w:rsidR="00CF7D40" w:rsidRDefault="00CF7D40"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5B16242D" w14:textId="77777777" w:rsidR="00CF7D40" w:rsidRDefault="00CF7D40"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041C7BC6" w14:textId="77777777" w:rsidR="00CF7D40" w:rsidRDefault="00CF7D40"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28A65586" w14:textId="55AA5F72" w:rsidR="00ED6D74" w:rsidRPr="00E479D1"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E479D1">
        <w:rPr>
          <w:rFonts w:asciiTheme="minorBidi" w:eastAsia="Trebuchet MS" w:hAnsiTheme="minorBidi" w:cstheme="minorBidi"/>
          <w:b/>
          <w:bCs/>
          <w:color w:val="231F20"/>
        </w:rPr>
        <w:lastRenderedPageBreak/>
        <w:t>Table 1:</w:t>
      </w:r>
      <w:r w:rsidRPr="00E479D1">
        <w:rPr>
          <w:rFonts w:asciiTheme="minorBidi" w:eastAsia="Trebuchet MS" w:hAnsiTheme="minorBidi" w:cstheme="minorBidi"/>
          <w:color w:val="231F20"/>
        </w:rPr>
        <w:t xml:space="preserve"> Preoperative clinical data and strabismic angles under full optical correction </w:t>
      </w:r>
    </w:p>
    <w:tbl>
      <w:tblPr>
        <w:tblW w:w="0" w:type="auto"/>
        <w:tblCellMar>
          <w:top w:w="15" w:type="dxa"/>
          <w:left w:w="15" w:type="dxa"/>
          <w:bottom w:w="15" w:type="dxa"/>
          <w:right w:w="15" w:type="dxa"/>
        </w:tblCellMar>
        <w:tblLook w:val="04A0" w:firstRow="1" w:lastRow="0" w:firstColumn="1" w:lastColumn="0" w:noHBand="0" w:noVBand="1"/>
      </w:tblPr>
      <w:tblGrid>
        <w:gridCol w:w="4060"/>
        <w:gridCol w:w="1720"/>
        <w:gridCol w:w="1244"/>
      </w:tblGrid>
      <w:tr w:rsidR="00ED6D74" w:rsidRPr="00E479D1" w14:paraId="00336ED8" w14:textId="77777777" w:rsidTr="002E3352">
        <w:trPr>
          <w:tblHeader/>
        </w:trPr>
        <w:tc>
          <w:tcPr>
            <w:tcW w:w="0" w:type="auto"/>
            <w:tcBorders>
              <w:top w:val="nil"/>
            </w:tcBorders>
            <w:tcMar>
              <w:top w:w="150" w:type="dxa"/>
              <w:left w:w="0" w:type="dxa"/>
              <w:bottom w:w="150" w:type="dxa"/>
              <w:right w:w="240" w:type="dxa"/>
            </w:tcMar>
            <w:vAlign w:val="center"/>
            <w:hideMark/>
          </w:tcPr>
          <w:p w14:paraId="102BCE9F"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p>
        </w:tc>
        <w:tc>
          <w:tcPr>
            <w:tcW w:w="0" w:type="auto"/>
            <w:tcBorders>
              <w:top w:val="nil"/>
            </w:tcBorders>
            <w:tcMar>
              <w:top w:w="150" w:type="dxa"/>
              <w:left w:w="240" w:type="dxa"/>
              <w:bottom w:w="150" w:type="dxa"/>
              <w:right w:w="240" w:type="dxa"/>
            </w:tcMar>
            <w:vAlign w:val="center"/>
            <w:hideMark/>
          </w:tcPr>
          <w:p w14:paraId="7BA27489"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b/>
                <w:bCs/>
                <w:color w:val="231F20"/>
              </w:rPr>
            </w:pPr>
            <w:r w:rsidRPr="00E479D1">
              <w:rPr>
                <w:rFonts w:asciiTheme="minorBidi" w:eastAsia="Trebuchet MS" w:hAnsiTheme="minorBidi" w:cstheme="minorBidi"/>
                <w:b/>
                <w:bCs/>
                <w:color w:val="231F20"/>
              </w:rPr>
              <w:t>Value</w:t>
            </w:r>
          </w:p>
        </w:tc>
        <w:tc>
          <w:tcPr>
            <w:tcW w:w="0" w:type="auto"/>
            <w:tcBorders>
              <w:top w:val="nil"/>
            </w:tcBorders>
            <w:tcMar>
              <w:top w:w="150" w:type="dxa"/>
              <w:left w:w="240" w:type="dxa"/>
              <w:bottom w:w="150" w:type="dxa"/>
              <w:right w:w="240" w:type="dxa"/>
            </w:tcMar>
            <w:vAlign w:val="center"/>
            <w:hideMark/>
          </w:tcPr>
          <w:p w14:paraId="225DB69D"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b/>
                <w:bCs/>
                <w:color w:val="231F20"/>
              </w:rPr>
            </w:pPr>
            <w:r w:rsidRPr="00E479D1">
              <w:rPr>
                <w:rFonts w:asciiTheme="minorBidi" w:eastAsia="Trebuchet MS" w:hAnsiTheme="minorBidi" w:cstheme="minorBidi"/>
                <w:b/>
                <w:bCs/>
                <w:color w:val="231F20"/>
              </w:rPr>
              <w:t>Unit</w:t>
            </w:r>
          </w:p>
        </w:tc>
      </w:tr>
      <w:tr w:rsidR="00ED6D74" w:rsidRPr="00E479D1" w14:paraId="461EE1C7" w14:textId="77777777" w:rsidTr="002E3352">
        <w:tc>
          <w:tcPr>
            <w:tcW w:w="0" w:type="auto"/>
            <w:tcMar>
              <w:top w:w="150" w:type="dxa"/>
              <w:left w:w="0" w:type="dxa"/>
              <w:bottom w:w="150" w:type="dxa"/>
              <w:right w:w="240" w:type="dxa"/>
            </w:tcMar>
            <w:vAlign w:val="center"/>
            <w:hideMark/>
          </w:tcPr>
          <w:p w14:paraId="503004B9"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b/>
                <w:bCs/>
                <w:color w:val="231F20"/>
              </w:rPr>
              <w:t>Mean Preoperative Angles with FC</w:t>
            </w:r>
          </w:p>
        </w:tc>
        <w:tc>
          <w:tcPr>
            <w:tcW w:w="0" w:type="auto"/>
            <w:tcMar>
              <w:top w:w="150" w:type="dxa"/>
              <w:left w:w="240" w:type="dxa"/>
              <w:bottom w:w="150" w:type="dxa"/>
              <w:right w:w="240" w:type="dxa"/>
            </w:tcMar>
            <w:vAlign w:val="center"/>
            <w:hideMark/>
          </w:tcPr>
          <w:p w14:paraId="5D320626"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p>
        </w:tc>
        <w:tc>
          <w:tcPr>
            <w:tcW w:w="0" w:type="auto"/>
            <w:tcMar>
              <w:top w:w="150" w:type="dxa"/>
              <w:left w:w="240" w:type="dxa"/>
              <w:bottom w:w="150" w:type="dxa"/>
              <w:right w:w="240" w:type="dxa"/>
            </w:tcMar>
            <w:vAlign w:val="center"/>
            <w:hideMark/>
          </w:tcPr>
          <w:p w14:paraId="6322B8F8"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p>
        </w:tc>
      </w:tr>
      <w:tr w:rsidR="00ED6D74" w:rsidRPr="00E479D1" w14:paraId="2C64A49A" w14:textId="77777777" w:rsidTr="002E3352">
        <w:tc>
          <w:tcPr>
            <w:tcW w:w="0" w:type="auto"/>
            <w:tcMar>
              <w:top w:w="150" w:type="dxa"/>
              <w:left w:w="0" w:type="dxa"/>
              <w:bottom w:w="150" w:type="dxa"/>
              <w:right w:w="240" w:type="dxa"/>
            </w:tcMar>
            <w:vAlign w:val="center"/>
            <w:hideMark/>
          </w:tcPr>
          <w:p w14:paraId="29C86769"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E479D1">
              <w:rPr>
                <w:rFonts w:asciiTheme="minorBidi" w:eastAsia="Trebuchet MS" w:hAnsiTheme="minorBidi" w:cstheme="minorBidi"/>
                <w:color w:val="231F20"/>
              </w:rPr>
              <w:t>Distance</w:t>
            </w:r>
          </w:p>
        </w:tc>
        <w:tc>
          <w:tcPr>
            <w:tcW w:w="0" w:type="auto"/>
            <w:tcMar>
              <w:top w:w="150" w:type="dxa"/>
              <w:left w:w="240" w:type="dxa"/>
              <w:bottom w:w="150" w:type="dxa"/>
              <w:right w:w="240" w:type="dxa"/>
            </w:tcMar>
            <w:vAlign w:val="center"/>
            <w:hideMark/>
          </w:tcPr>
          <w:p w14:paraId="0833F200"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30.4 (±3.4)</w:t>
            </w:r>
          </w:p>
        </w:tc>
        <w:tc>
          <w:tcPr>
            <w:tcW w:w="0" w:type="auto"/>
            <w:tcMar>
              <w:top w:w="150" w:type="dxa"/>
              <w:left w:w="240" w:type="dxa"/>
              <w:bottom w:w="150" w:type="dxa"/>
              <w:right w:w="240" w:type="dxa"/>
            </w:tcMar>
            <w:vAlign w:val="center"/>
            <w:hideMark/>
          </w:tcPr>
          <w:p w14:paraId="4BD7AF15"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PD</w:t>
            </w:r>
          </w:p>
        </w:tc>
      </w:tr>
      <w:tr w:rsidR="00ED6D74" w:rsidRPr="00E479D1" w14:paraId="6469C1F6" w14:textId="77777777" w:rsidTr="002E3352">
        <w:tc>
          <w:tcPr>
            <w:tcW w:w="0" w:type="auto"/>
            <w:tcMar>
              <w:top w:w="150" w:type="dxa"/>
              <w:left w:w="0" w:type="dxa"/>
              <w:bottom w:w="150" w:type="dxa"/>
              <w:right w:w="240" w:type="dxa"/>
            </w:tcMar>
            <w:vAlign w:val="center"/>
            <w:hideMark/>
          </w:tcPr>
          <w:p w14:paraId="2C0B77F8"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E479D1">
              <w:rPr>
                <w:rFonts w:asciiTheme="minorBidi" w:eastAsia="Trebuchet MS" w:hAnsiTheme="minorBidi" w:cstheme="minorBidi"/>
                <w:color w:val="231F20"/>
              </w:rPr>
              <w:t>Near</w:t>
            </w:r>
          </w:p>
        </w:tc>
        <w:tc>
          <w:tcPr>
            <w:tcW w:w="0" w:type="auto"/>
            <w:tcMar>
              <w:top w:w="150" w:type="dxa"/>
              <w:left w:w="240" w:type="dxa"/>
              <w:bottom w:w="150" w:type="dxa"/>
              <w:right w:w="240" w:type="dxa"/>
            </w:tcMar>
            <w:vAlign w:val="center"/>
            <w:hideMark/>
          </w:tcPr>
          <w:p w14:paraId="4F063EA2"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37.2 (±5.8)</w:t>
            </w:r>
          </w:p>
        </w:tc>
        <w:tc>
          <w:tcPr>
            <w:tcW w:w="0" w:type="auto"/>
            <w:tcMar>
              <w:top w:w="150" w:type="dxa"/>
              <w:left w:w="240" w:type="dxa"/>
              <w:bottom w:w="150" w:type="dxa"/>
              <w:right w:w="240" w:type="dxa"/>
            </w:tcMar>
            <w:vAlign w:val="center"/>
            <w:hideMark/>
          </w:tcPr>
          <w:p w14:paraId="3D9DA904"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PD</w:t>
            </w:r>
          </w:p>
        </w:tc>
      </w:tr>
      <w:tr w:rsidR="00ED6D74" w:rsidRPr="00E479D1" w14:paraId="30695CF8" w14:textId="77777777" w:rsidTr="002E3352">
        <w:tc>
          <w:tcPr>
            <w:tcW w:w="0" w:type="auto"/>
            <w:tcMar>
              <w:top w:w="150" w:type="dxa"/>
              <w:left w:w="0" w:type="dxa"/>
              <w:bottom w:w="150" w:type="dxa"/>
              <w:right w:w="240" w:type="dxa"/>
            </w:tcMar>
            <w:vAlign w:val="center"/>
            <w:hideMark/>
          </w:tcPr>
          <w:p w14:paraId="4842ED75"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E479D1">
              <w:rPr>
                <w:rFonts w:asciiTheme="minorBidi" w:eastAsia="Trebuchet MS" w:hAnsiTheme="minorBidi" w:cstheme="minorBidi"/>
                <w:color w:val="231F20"/>
              </w:rPr>
              <w:t>Distance-Near Incomitance</w:t>
            </w:r>
          </w:p>
        </w:tc>
        <w:tc>
          <w:tcPr>
            <w:tcW w:w="0" w:type="auto"/>
            <w:tcMar>
              <w:top w:w="150" w:type="dxa"/>
              <w:left w:w="240" w:type="dxa"/>
              <w:bottom w:w="150" w:type="dxa"/>
              <w:right w:w="240" w:type="dxa"/>
            </w:tcMar>
            <w:vAlign w:val="center"/>
            <w:hideMark/>
          </w:tcPr>
          <w:p w14:paraId="4A9C7B58"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9 (±3.1)</w:t>
            </w:r>
          </w:p>
        </w:tc>
        <w:tc>
          <w:tcPr>
            <w:tcW w:w="0" w:type="auto"/>
            <w:tcMar>
              <w:top w:w="150" w:type="dxa"/>
              <w:left w:w="240" w:type="dxa"/>
              <w:bottom w:w="150" w:type="dxa"/>
              <w:right w:w="240" w:type="dxa"/>
            </w:tcMar>
            <w:vAlign w:val="center"/>
            <w:hideMark/>
          </w:tcPr>
          <w:p w14:paraId="7034B0A3"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PD</w:t>
            </w:r>
          </w:p>
        </w:tc>
      </w:tr>
      <w:tr w:rsidR="00ED6D74" w:rsidRPr="00E479D1" w14:paraId="5156E40B" w14:textId="77777777" w:rsidTr="002E3352">
        <w:tc>
          <w:tcPr>
            <w:tcW w:w="0" w:type="auto"/>
            <w:tcMar>
              <w:top w:w="150" w:type="dxa"/>
              <w:left w:w="0" w:type="dxa"/>
              <w:bottom w:w="150" w:type="dxa"/>
              <w:right w:w="240" w:type="dxa"/>
            </w:tcMar>
            <w:vAlign w:val="center"/>
            <w:hideMark/>
          </w:tcPr>
          <w:p w14:paraId="55206465"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b/>
                <w:bCs/>
                <w:color w:val="231F20"/>
              </w:rPr>
              <w:t>Mean Surgical Age</w:t>
            </w:r>
          </w:p>
        </w:tc>
        <w:tc>
          <w:tcPr>
            <w:tcW w:w="0" w:type="auto"/>
            <w:tcMar>
              <w:top w:w="150" w:type="dxa"/>
              <w:left w:w="240" w:type="dxa"/>
              <w:bottom w:w="150" w:type="dxa"/>
              <w:right w:w="240" w:type="dxa"/>
            </w:tcMar>
            <w:vAlign w:val="center"/>
            <w:hideMark/>
          </w:tcPr>
          <w:p w14:paraId="56B84969"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8.9 (±2.1)</w:t>
            </w:r>
          </w:p>
        </w:tc>
        <w:tc>
          <w:tcPr>
            <w:tcW w:w="0" w:type="auto"/>
            <w:tcMar>
              <w:top w:w="150" w:type="dxa"/>
              <w:left w:w="240" w:type="dxa"/>
              <w:bottom w:w="150" w:type="dxa"/>
              <w:right w:w="240" w:type="dxa"/>
            </w:tcMar>
            <w:vAlign w:val="center"/>
            <w:hideMark/>
          </w:tcPr>
          <w:p w14:paraId="76E52F5C"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years</w:t>
            </w:r>
          </w:p>
        </w:tc>
      </w:tr>
      <w:tr w:rsidR="00ED6D74" w:rsidRPr="00E479D1" w14:paraId="75CEB742" w14:textId="77777777" w:rsidTr="002E3352">
        <w:tc>
          <w:tcPr>
            <w:tcW w:w="0" w:type="auto"/>
            <w:tcMar>
              <w:top w:w="150" w:type="dxa"/>
              <w:left w:w="0" w:type="dxa"/>
              <w:bottom w:w="150" w:type="dxa"/>
              <w:right w:w="240" w:type="dxa"/>
            </w:tcMar>
            <w:vAlign w:val="center"/>
            <w:hideMark/>
          </w:tcPr>
          <w:p w14:paraId="0D774B26"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b/>
                <w:bCs/>
                <w:color w:val="231F20"/>
              </w:rPr>
              <w:t>Mean Follow-up Duration</w:t>
            </w:r>
          </w:p>
        </w:tc>
        <w:tc>
          <w:tcPr>
            <w:tcW w:w="0" w:type="auto"/>
            <w:tcMar>
              <w:top w:w="150" w:type="dxa"/>
              <w:left w:w="240" w:type="dxa"/>
              <w:bottom w:w="150" w:type="dxa"/>
              <w:right w:w="240" w:type="dxa"/>
            </w:tcMar>
            <w:vAlign w:val="center"/>
            <w:hideMark/>
          </w:tcPr>
          <w:p w14:paraId="348A996B"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1.2 (±1.1)</w:t>
            </w:r>
          </w:p>
        </w:tc>
        <w:tc>
          <w:tcPr>
            <w:tcW w:w="0" w:type="auto"/>
            <w:tcMar>
              <w:top w:w="150" w:type="dxa"/>
              <w:left w:w="240" w:type="dxa"/>
              <w:bottom w:w="150" w:type="dxa"/>
              <w:right w:w="240" w:type="dxa"/>
            </w:tcMar>
            <w:vAlign w:val="center"/>
            <w:hideMark/>
          </w:tcPr>
          <w:p w14:paraId="442C6295"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color w:val="231F20"/>
              </w:rPr>
              <w:t>years</w:t>
            </w:r>
          </w:p>
        </w:tc>
      </w:tr>
      <w:tr w:rsidR="00ED6D74" w:rsidRPr="00E479D1" w14:paraId="63C526EB" w14:textId="77777777" w:rsidTr="002E3352">
        <w:tc>
          <w:tcPr>
            <w:tcW w:w="0" w:type="auto"/>
            <w:tcMar>
              <w:top w:w="150" w:type="dxa"/>
              <w:left w:w="0" w:type="dxa"/>
              <w:bottom w:w="150" w:type="dxa"/>
              <w:right w:w="240" w:type="dxa"/>
            </w:tcMar>
            <w:vAlign w:val="center"/>
            <w:hideMark/>
          </w:tcPr>
          <w:p w14:paraId="1659439C"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r w:rsidRPr="00E479D1">
              <w:rPr>
                <w:rFonts w:asciiTheme="minorBidi" w:eastAsia="Trebuchet MS" w:hAnsiTheme="minorBidi" w:cstheme="minorBidi"/>
                <w:i/>
                <w:iCs/>
                <w:color w:val="231F20"/>
              </w:rPr>
              <w:t>FC: Full Correction; PD: Prism Diopters.</w:t>
            </w:r>
          </w:p>
        </w:tc>
        <w:tc>
          <w:tcPr>
            <w:tcW w:w="0" w:type="auto"/>
            <w:vAlign w:val="center"/>
            <w:hideMark/>
          </w:tcPr>
          <w:p w14:paraId="7983690C"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p>
        </w:tc>
        <w:tc>
          <w:tcPr>
            <w:tcW w:w="0" w:type="auto"/>
            <w:vAlign w:val="center"/>
            <w:hideMark/>
          </w:tcPr>
          <w:p w14:paraId="4161E619" w14:textId="77777777" w:rsidR="00ED6D74" w:rsidRPr="00E479D1" w:rsidRDefault="00ED6D74" w:rsidP="002E3352">
            <w:pPr>
              <w:pStyle w:val="BodyText"/>
              <w:widowControl w:val="0"/>
              <w:autoSpaceDE w:val="0"/>
              <w:autoSpaceDN w:val="0"/>
              <w:spacing w:before="201"/>
              <w:ind w:left="59" w:right="215"/>
              <w:jc w:val="both"/>
              <w:rPr>
                <w:rFonts w:asciiTheme="minorBidi" w:eastAsia="Trebuchet MS" w:hAnsiTheme="minorBidi" w:cstheme="minorBidi"/>
                <w:color w:val="231F20"/>
              </w:rPr>
            </w:pPr>
          </w:p>
        </w:tc>
      </w:tr>
    </w:tbl>
    <w:p w14:paraId="1D72FD69" w14:textId="77777777" w:rsidR="00ED6D74" w:rsidRPr="007B3C3A"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7B3C3A">
        <w:rPr>
          <w:rFonts w:asciiTheme="minorBidi" w:eastAsia="Trebuchet MS" w:hAnsiTheme="minorBidi" w:cstheme="minorBidi"/>
          <w:b/>
          <w:bCs/>
          <w:color w:val="231F20"/>
        </w:rPr>
        <w:t xml:space="preserve"> Surgical </w:t>
      </w:r>
      <w:r w:rsidRPr="00CF7D40">
        <w:rPr>
          <w:rFonts w:asciiTheme="minorBidi" w:hAnsiTheme="minorBidi" w:cstheme="minorBidi"/>
          <w:b/>
          <w:bCs/>
          <w:color w:val="231F20"/>
        </w:rPr>
        <w:t>Protocol:</w:t>
      </w:r>
    </w:p>
    <w:p w14:paraId="5F70582B" w14:textId="77777777" w:rsidR="00ED6D74" w:rsidRPr="007B3C3A"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CF7D40">
        <w:rPr>
          <w:rFonts w:asciiTheme="minorBidi" w:hAnsiTheme="minorBidi" w:cstheme="minorBidi"/>
          <w:color w:val="231F20"/>
        </w:rPr>
        <w:t>-</w:t>
      </w:r>
      <w:r w:rsidRPr="007B3C3A">
        <w:rPr>
          <w:rFonts w:asciiTheme="minorBidi" w:eastAsia="Trebuchet MS" w:hAnsiTheme="minorBidi" w:cstheme="minorBidi"/>
          <w:color w:val="231F20"/>
        </w:rPr>
        <w:t xml:space="preserve">Posterior </w:t>
      </w:r>
      <w:proofErr w:type="spellStart"/>
      <w:r w:rsidRPr="007B3C3A">
        <w:rPr>
          <w:rFonts w:asciiTheme="minorBidi" w:eastAsia="Trebuchet MS" w:hAnsiTheme="minorBidi" w:cstheme="minorBidi"/>
          <w:color w:val="231F20"/>
        </w:rPr>
        <w:t>myopexy</w:t>
      </w:r>
      <w:proofErr w:type="spellEnd"/>
      <w:r w:rsidRPr="007B3C3A">
        <w:rPr>
          <w:rFonts w:asciiTheme="minorBidi" w:eastAsia="Trebuchet MS" w:hAnsiTheme="minorBidi" w:cstheme="minorBidi"/>
          <w:color w:val="231F20"/>
        </w:rPr>
        <w:t xml:space="preserve"> (</w:t>
      </w:r>
      <w:proofErr w:type="spellStart"/>
      <w:r w:rsidRPr="007B3C3A">
        <w:rPr>
          <w:rFonts w:asciiTheme="minorBidi" w:eastAsia="Trebuchet MS" w:hAnsiTheme="minorBidi" w:cstheme="minorBidi"/>
          <w:color w:val="231F20"/>
        </w:rPr>
        <w:t>retroequatorial</w:t>
      </w:r>
      <w:proofErr w:type="spellEnd"/>
      <w:r w:rsidRPr="007B3C3A">
        <w:rPr>
          <w:rFonts w:asciiTheme="minorBidi" w:eastAsia="Trebuchet MS" w:hAnsiTheme="minorBidi" w:cstheme="minorBidi"/>
          <w:color w:val="231F20"/>
        </w:rPr>
        <w:t xml:space="preserve"> </w:t>
      </w:r>
      <w:proofErr w:type="spellStart"/>
      <w:r w:rsidRPr="007B3C3A">
        <w:rPr>
          <w:rFonts w:asciiTheme="minorBidi" w:eastAsia="Trebuchet MS" w:hAnsiTheme="minorBidi" w:cstheme="minorBidi"/>
          <w:color w:val="231F20"/>
        </w:rPr>
        <w:t>myopexy</w:t>
      </w:r>
      <w:proofErr w:type="spellEnd"/>
      <w:r w:rsidRPr="007B3C3A">
        <w:rPr>
          <w:rFonts w:asciiTheme="minorBidi" w:eastAsia="Trebuchet MS" w:hAnsiTheme="minorBidi" w:cstheme="minorBidi"/>
          <w:color w:val="231F20"/>
        </w:rPr>
        <w:t>) was performed to correct the distance-near incomitance concurrently with conventional horizontal muscle surgery targeting the minimum distance angle.</w:t>
      </w:r>
    </w:p>
    <w:p w14:paraId="73F35E35" w14:textId="77777777" w:rsidR="00ED6D74" w:rsidRPr="007B3C3A" w:rsidRDefault="00ED6D74" w:rsidP="00ED6D74">
      <w:pPr>
        <w:pStyle w:val="BodyText"/>
        <w:widowControl w:val="0"/>
        <w:autoSpaceDE w:val="0"/>
        <w:autoSpaceDN w:val="0"/>
        <w:spacing w:before="201" w:line="230" w:lineRule="auto"/>
        <w:ind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7B3C3A">
        <w:rPr>
          <w:rFonts w:asciiTheme="minorBidi" w:eastAsia="Trebuchet MS" w:hAnsiTheme="minorBidi" w:cstheme="minorBidi"/>
          <w:color w:val="231F20"/>
        </w:rPr>
        <w:t xml:space="preserve">Posterior </w:t>
      </w:r>
      <w:proofErr w:type="spellStart"/>
      <w:r w:rsidRPr="007B3C3A">
        <w:rPr>
          <w:rFonts w:asciiTheme="minorBidi" w:eastAsia="Trebuchet MS" w:hAnsiTheme="minorBidi" w:cstheme="minorBidi"/>
          <w:color w:val="231F20"/>
        </w:rPr>
        <w:t>myopexy</w:t>
      </w:r>
      <w:proofErr w:type="spellEnd"/>
      <w:r w:rsidRPr="007B3C3A">
        <w:rPr>
          <w:rFonts w:asciiTheme="minorBidi" w:eastAsia="Trebuchet MS" w:hAnsiTheme="minorBidi" w:cstheme="minorBidi"/>
          <w:color w:val="231F20"/>
        </w:rPr>
        <w:t xml:space="preserve"> was performed as an isolated procedure in 3 cases for deviation angles ranging from 15 to 30 PD (mean 21.6 PD).</w:t>
      </w:r>
    </w:p>
    <w:p w14:paraId="5A72095E" w14:textId="77777777" w:rsidR="00ED6D74" w:rsidRPr="007B3C3A" w:rsidRDefault="00ED6D74" w:rsidP="00ED6D74">
      <w:pPr>
        <w:pStyle w:val="BodyText"/>
        <w:widowControl w:val="0"/>
        <w:autoSpaceDE w:val="0"/>
        <w:autoSpaceDN w:val="0"/>
        <w:spacing w:before="201" w:line="230" w:lineRule="auto"/>
        <w:ind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7B3C3A">
        <w:rPr>
          <w:rFonts w:asciiTheme="minorBidi" w:eastAsia="Trebuchet MS" w:hAnsiTheme="minorBidi" w:cstheme="minorBidi"/>
          <w:color w:val="231F20"/>
        </w:rPr>
        <w:t xml:space="preserve">Posterior </w:t>
      </w:r>
      <w:proofErr w:type="spellStart"/>
      <w:r w:rsidRPr="007B3C3A">
        <w:rPr>
          <w:rFonts w:asciiTheme="minorBidi" w:eastAsia="Trebuchet MS" w:hAnsiTheme="minorBidi" w:cstheme="minorBidi"/>
          <w:color w:val="231F20"/>
        </w:rPr>
        <w:t>myopexy</w:t>
      </w:r>
      <w:proofErr w:type="spellEnd"/>
      <w:r w:rsidRPr="007B3C3A">
        <w:rPr>
          <w:rFonts w:asciiTheme="minorBidi" w:eastAsia="Trebuchet MS" w:hAnsiTheme="minorBidi" w:cstheme="minorBidi"/>
          <w:color w:val="231F20"/>
        </w:rPr>
        <w:t xml:space="preserve"> combined with horizontal muscle surgery was performed in 17 cases for deviation angles ranging from 20 to 70 PD (mean 42.8 PD).</w:t>
      </w:r>
    </w:p>
    <w:p w14:paraId="63DE4D90" w14:textId="77777777" w:rsidR="00ED6D74" w:rsidRPr="007B3C3A" w:rsidRDefault="00ED6D74" w:rsidP="00ED6D74">
      <w:pPr>
        <w:pStyle w:val="BodyText"/>
        <w:widowControl w:val="0"/>
        <w:autoSpaceDE w:val="0"/>
        <w:autoSpaceDN w:val="0"/>
        <w:spacing w:before="201" w:line="230" w:lineRule="auto"/>
        <w:ind w:right="215"/>
        <w:jc w:val="both"/>
        <w:rPr>
          <w:rFonts w:asciiTheme="minorBidi" w:eastAsia="Trebuchet MS" w:hAnsiTheme="minorBidi" w:cstheme="minorBidi"/>
          <w:color w:val="231F20"/>
        </w:rPr>
      </w:pPr>
      <w:r w:rsidRPr="00CF7D40">
        <w:rPr>
          <w:rFonts w:asciiTheme="minorBidi" w:hAnsiTheme="minorBidi" w:cstheme="minorBidi"/>
          <w:color w:val="231F20"/>
        </w:rPr>
        <w:t xml:space="preserve"> -</w:t>
      </w:r>
      <w:r w:rsidRPr="007B3C3A">
        <w:rPr>
          <w:rFonts w:asciiTheme="minorBidi" w:eastAsia="Trebuchet MS" w:hAnsiTheme="minorBidi" w:cstheme="minorBidi"/>
          <w:color w:val="231F20"/>
        </w:rPr>
        <w:t xml:space="preserve">Bilateral posterior </w:t>
      </w:r>
      <w:proofErr w:type="spellStart"/>
      <w:r w:rsidRPr="007B3C3A">
        <w:rPr>
          <w:rFonts w:asciiTheme="minorBidi" w:eastAsia="Trebuchet MS" w:hAnsiTheme="minorBidi" w:cstheme="minorBidi"/>
          <w:color w:val="231F20"/>
        </w:rPr>
        <w:t>myopexy</w:t>
      </w:r>
      <w:proofErr w:type="spellEnd"/>
      <w:r w:rsidRPr="007B3C3A">
        <w:rPr>
          <w:rFonts w:asciiTheme="minorBidi" w:eastAsia="Trebuchet MS" w:hAnsiTheme="minorBidi" w:cstheme="minorBidi"/>
          <w:color w:val="231F20"/>
        </w:rPr>
        <w:t xml:space="preserve"> was performed in all cases.</w:t>
      </w:r>
    </w:p>
    <w:p w14:paraId="214ACBEF" w14:textId="77777777" w:rsidR="000D685B" w:rsidRDefault="000D685B"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70125C95" w14:textId="77777777" w:rsidR="000D685B" w:rsidRDefault="000D685B"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282E75CE" w14:textId="77777777" w:rsidR="000D685B" w:rsidRDefault="000D685B"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2DE4F8AC" w14:textId="77777777" w:rsidR="000D685B" w:rsidRDefault="000D685B"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50B64318" w14:textId="77777777" w:rsidR="000D685B" w:rsidRDefault="000D685B"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b/>
          <w:bCs/>
          <w:color w:val="231F20"/>
        </w:rPr>
      </w:pPr>
    </w:p>
    <w:p w14:paraId="62527529" w14:textId="5E7F3237" w:rsidR="00ED6D74" w:rsidRPr="007B3C3A"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7B3C3A">
        <w:rPr>
          <w:rFonts w:asciiTheme="minorBidi" w:eastAsia="Trebuchet MS" w:hAnsiTheme="minorBidi" w:cstheme="minorBidi"/>
          <w:b/>
          <w:bCs/>
          <w:color w:val="231F20"/>
        </w:rPr>
        <w:lastRenderedPageBreak/>
        <w:t>Table 2:</w:t>
      </w:r>
      <w:r w:rsidRPr="007B3C3A">
        <w:rPr>
          <w:rFonts w:asciiTheme="minorBidi" w:eastAsia="Trebuchet MS" w:hAnsiTheme="minorBidi" w:cstheme="minorBidi"/>
          <w:color w:val="231F20"/>
        </w:rPr>
        <w:t> Surgical protocol according to the clinical type of esotropia (ET)</w:t>
      </w:r>
    </w:p>
    <w:tbl>
      <w:tblPr>
        <w:tblW w:w="10041" w:type="dxa"/>
        <w:tblCellMar>
          <w:top w:w="15" w:type="dxa"/>
          <w:left w:w="15" w:type="dxa"/>
          <w:bottom w:w="15" w:type="dxa"/>
          <w:right w:w="15" w:type="dxa"/>
        </w:tblCellMar>
        <w:tblLook w:val="04A0" w:firstRow="1" w:lastRow="0" w:firstColumn="1" w:lastColumn="0" w:noHBand="0" w:noVBand="1"/>
      </w:tblPr>
      <w:tblGrid>
        <w:gridCol w:w="3604"/>
        <w:gridCol w:w="2248"/>
        <w:gridCol w:w="2066"/>
        <w:gridCol w:w="2123"/>
      </w:tblGrid>
      <w:tr w:rsidR="00ED6D74" w:rsidRPr="007B3C3A" w14:paraId="4D9AF79D" w14:textId="77777777" w:rsidTr="002E3352">
        <w:trPr>
          <w:trHeight w:val="752"/>
          <w:tblHeader/>
        </w:trPr>
        <w:tc>
          <w:tcPr>
            <w:tcW w:w="0" w:type="auto"/>
            <w:tcBorders>
              <w:top w:val="nil"/>
            </w:tcBorders>
            <w:tcMar>
              <w:top w:w="150" w:type="dxa"/>
              <w:left w:w="0" w:type="dxa"/>
              <w:bottom w:w="150" w:type="dxa"/>
              <w:right w:w="240" w:type="dxa"/>
            </w:tcMar>
            <w:vAlign w:val="center"/>
            <w:hideMark/>
          </w:tcPr>
          <w:p w14:paraId="10659CA9"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b/>
                <w:bCs/>
                <w:color w:val="231F20"/>
                <w:sz w:val="24"/>
                <w:szCs w:val="24"/>
                <w:lang w:val="fr-FR"/>
              </w:rPr>
            </w:pPr>
            <w:r>
              <w:rPr>
                <w:rFonts w:ascii="Calibri" w:hAnsi="Calibri" w:cs="Calibri"/>
                <w:b/>
                <w:bCs/>
                <w:color w:val="231F20"/>
                <w:sz w:val="24"/>
                <w:szCs w:val="24"/>
              </w:rPr>
              <w:t xml:space="preserve">   </w:t>
            </w:r>
            <w:proofErr w:type="spellStart"/>
            <w:r w:rsidRPr="007B3C3A">
              <w:rPr>
                <w:rFonts w:ascii="Calibri" w:eastAsia="Trebuchet MS" w:hAnsi="Calibri" w:cs="Calibri"/>
                <w:b/>
                <w:bCs/>
                <w:color w:val="231F20"/>
                <w:sz w:val="24"/>
                <w:szCs w:val="24"/>
                <w:lang w:val="fr-FR"/>
              </w:rPr>
              <w:t>Surgical</w:t>
            </w:r>
            <w:proofErr w:type="spellEnd"/>
            <w:r w:rsidRPr="007B3C3A">
              <w:rPr>
                <w:rFonts w:ascii="Calibri" w:eastAsia="Trebuchet MS" w:hAnsi="Calibri" w:cs="Calibri"/>
                <w:b/>
                <w:bCs/>
                <w:color w:val="231F20"/>
                <w:sz w:val="24"/>
                <w:szCs w:val="24"/>
                <w:lang w:val="fr-FR"/>
              </w:rPr>
              <w:t xml:space="preserve"> </w:t>
            </w:r>
            <w:proofErr w:type="spellStart"/>
            <w:r w:rsidRPr="007B3C3A">
              <w:rPr>
                <w:rFonts w:ascii="Calibri" w:eastAsia="Trebuchet MS" w:hAnsi="Calibri" w:cs="Calibri"/>
                <w:b/>
                <w:bCs/>
                <w:color w:val="231F20"/>
                <w:sz w:val="24"/>
                <w:szCs w:val="24"/>
                <w:lang w:val="fr-FR"/>
              </w:rPr>
              <w:t>Procedure</w:t>
            </w:r>
            <w:proofErr w:type="spellEnd"/>
          </w:p>
        </w:tc>
        <w:tc>
          <w:tcPr>
            <w:tcW w:w="0" w:type="auto"/>
            <w:tcBorders>
              <w:top w:val="nil"/>
            </w:tcBorders>
            <w:tcMar>
              <w:top w:w="150" w:type="dxa"/>
              <w:left w:w="240" w:type="dxa"/>
              <w:bottom w:w="150" w:type="dxa"/>
              <w:right w:w="240" w:type="dxa"/>
            </w:tcMar>
            <w:vAlign w:val="center"/>
            <w:hideMark/>
          </w:tcPr>
          <w:p w14:paraId="2537AF0D"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b/>
                <w:bCs/>
                <w:color w:val="231F20"/>
                <w:sz w:val="24"/>
                <w:szCs w:val="24"/>
                <w:lang w:val="fr-FR"/>
              </w:rPr>
            </w:pPr>
            <w:proofErr w:type="spellStart"/>
            <w:r w:rsidRPr="007B3C3A">
              <w:rPr>
                <w:rFonts w:ascii="Calibri" w:eastAsia="Trebuchet MS" w:hAnsi="Calibri" w:cs="Calibri"/>
                <w:b/>
                <w:bCs/>
                <w:color w:val="231F20"/>
                <w:sz w:val="24"/>
                <w:szCs w:val="24"/>
                <w:lang w:val="fr-FR"/>
              </w:rPr>
              <w:t>Early</w:t>
            </w:r>
            <w:proofErr w:type="spellEnd"/>
            <w:r w:rsidRPr="007B3C3A">
              <w:rPr>
                <w:rFonts w:ascii="Calibri" w:eastAsia="Trebuchet MS" w:hAnsi="Calibri" w:cs="Calibri"/>
                <w:b/>
                <w:bCs/>
                <w:color w:val="231F20"/>
                <w:sz w:val="24"/>
                <w:szCs w:val="24"/>
                <w:lang w:val="fr-FR"/>
              </w:rPr>
              <w:t>-ET (n=8)</w:t>
            </w:r>
          </w:p>
        </w:tc>
        <w:tc>
          <w:tcPr>
            <w:tcW w:w="0" w:type="auto"/>
            <w:tcBorders>
              <w:top w:val="nil"/>
            </w:tcBorders>
            <w:tcMar>
              <w:top w:w="150" w:type="dxa"/>
              <w:left w:w="240" w:type="dxa"/>
              <w:bottom w:w="150" w:type="dxa"/>
              <w:right w:w="240" w:type="dxa"/>
            </w:tcMar>
            <w:vAlign w:val="center"/>
            <w:hideMark/>
          </w:tcPr>
          <w:p w14:paraId="64434D47"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b/>
                <w:bCs/>
                <w:color w:val="231F20"/>
                <w:sz w:val="24"/>
                <w:szCs w:val="24"/>
                <w:lang w:val="fr-FR"/>
              </w:rPr>
            </w:pPr>
            <w:r w:rsidRPr="007B3C3A">
              <w:rPr>
                <w:rFonts w:ascii="Calibri" w:eastAsia="Trebuchet MS" w:hAnsi="Calibri" w:cs="Calibri"/>
                <w:b/>
                <w:bCs/>
                <w:color w:val="231F20"/>
                <w:sz w:val="24"/>
                <w:szCs w:val="24"/>
                <w:lang w:val="fr-FR"/>
              </w:rPr>
              <w:t>PAET (n=11)</w:t>
            </w:r>
          </w:p>
        </w:tc>
        <w:tc>
          <w:tcPr>
            <w:tcW w:w="0" w:type="auto"/>
            <w:tcBorders>
              <w:top w:val="nil"/>
            </w:tcBorders>
            <w:tcMar>
              <w:top w:w="150" w:type="dxa"/>
              <w:left w:w="240" w:type="dxa"/>
              <w:bottom w:w="150" w:type="dxa"/>
              <w:right w:w="240" w:type="dxa"/>
            </w:tcMar>
            <w:vAlign w:val="center"/>
            <w:hideMark/>
          </w:tcPr>
          <w:p w14:paraId="04F8888B"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b/>
                <w:bCs/>
                <w:color w:val="231F20"/>
                <w:sz w:val="24"/>
                <w:szCs w:val="24"/>
                <w:lang w:val="fr-FR"/>
              </w:rPr>
            </w:pPr>
            <w:r w:rsidRPr="007B3C3A">
              <w:rPr>
                <w:rFonts w:ascii="Calibri" w:eastAsia="Trebuchet MS" w:hAnsi="Calibri" w:cs="Calibri"/>
                <w:b/>
                <w:bCs/>
                <w:color w:val="231F20"/>
                <w:sz w:val="24"/>
                <w:szCs w:val="24"/>
                <w:lang w:val="fr-FR"/>
              </w:rPr>
              <w:t>ANAET (n=1)</w:t>
            </w:r>
          </w:p>
        </w:tc>
      </w:tr>
      <w:tr w:rsidR="00ED6D74" w:rsidRPr="007B3C3A" w14:paraId="2B0962B9" w14:textId="77777777" w:rsidTr="002E3352">
        <w:trPr>
          <w:trHeight w:val="743"/>
        </w:trPr>
        <w:tc>
          <w:tcPr>
            <w:tcW w:w="0" w:type="auto"/>
            <w:tcMar>
              <w:top w:w="150" w:type="dxa"/>
              <w:left w:w="0" w:type="dxa"/>
              <w:bottom w:w="150" w:type="dxa"/>
              <w:right w:w="240" w:type="dxa"/>
            </w:tcMar>
            <w:vAlign w:val="center"/>
            <w:hideMark/>
          </w:tcPr>
          <w:p w14:paraId="4D1A27F0" w14:textId="77777777" w:rsidR="00ED6D74" w:rsidRPr="007B3C3A" w:rsidRDefault="00ED6D74" w:rsidP="00284286">
            <w:pPr>
              <w:pStyle w:val="BodyText"/>
              <w:widowControl w:val="0"/>
              <w:autoSpaceDE w:val="0"/>
              <w:autoSpaceDN w:val="0"/>
              <w:spacing w:before="201"/>
              <w:ind w:left="59" w:right="215"/>
              <w:rPr>
                <w:rFonts w:ascii="Calibri" w:eastAsia="Trebuchet MS" w:hAnsi="Calibri" w:cs="Calibri"/>
                <w:color w:val="231F20"/>
                <w:sz w:val="24"/>
                <w:szCs w:val="24"/>
                <w:lang w:val="fr-FR"/>
              </w:rPr>
            </w:pPr>
            <w:r>
              <w:rPr>
                <w:rFonts w:ascii="Calibri" w:hAnsi="Calibri" w:cs="Calibri"/>
                <w:color w:val="231F20"/>
                <w:sz w:val="24"/>
                <w:szCs w:val="24"/>
              </w:rPr>
              <w:t xml:space="preserve">   -</w:t>
            </w:r>
            <w:proofErr w:type="spellStart"/>
            <w:r w:rsidRPr="007B3C3A">
              <w:rPr>
                <w:rFonts w:ascii="Calibri" w:eastAsia="Trebuchet MS" w:hAnsi="Calibri" w:cs="Calibri"/>
                <w:color w:val="231F20"/>
                <w:sz w:val="24"/>
                <w:szCs w:val="24"/>
                <w:lang w:val="fr-FR"/>
              </w:rPr>
              <w:t>Isolated</w:t>
            </w:r>
            <w:proofErr w:type="spellEnd"/>
            <w:r w:rsidRPr="007B3C3A">
              <w:rPr>
                <w:rFonts w:ascii="Calibri" w:eastAsia="Trebuchet MS" w:hAnsi="Calibri" w:cs="Calibri"/>
                <w:color w:val="231F20"/>
                <w:sz w:val="24"/>
                <w:szCs w:val="24"/>
                <w:lang w:val="fr-FR"/>
              </w:rPr>
              <w:t xml:space="preserve"> </w:t>
            </w:r>
            <w:proofErr w:type="spellStart"/>
            <w:r w:rsidRPr="007B3C3A">
              <w:rPr>
                <w:rFonts w:ascii="Calibri" w:eastAsia="Trebuchet MS" w:hAnsi="Calibri" w:cs="Calibri"/>
                <w:color w:val="231F20"/>
                <w:sz w:val="24"/>
                <w:szCs w:val="24"/>
                <w:lang w:val="fr-FR"/>
              </w:rPr>
              <w:t>posterior</w:t>
            </w:r>
            <w:proofErr w:type="spellEnd"/>
            <w:r w:rsidRPr="007B3C3A">
              <w:rPr>
                <w:rFonts w:ascii="Calibri" w:eastAsia="Trebuchet MS" w:hAnsi="Calibri" w:cs="Calibri"/>
                <w:color w:val="231F20"/>
                <w:sz w:val="24"/>
                <w:szCs w:val="24"/>
                <w:lang w:val="fr-FR"/>
              </w:rPr>
              <w:t xml:space="preserve"> </w:t>
            </w:r>
            <w:proofErr w:type="spellStart"/>
            <w:r w:rsidRPr="007B3C3A">
              <w:rPr>
                <w:rFonts w:ascii="Calibri" w:eastAsia="Trebuchet MS" w:hAnsi="Calibri" w:cs="Calibri"/>
                <w:color w:val="231F20"/>
                <w:sz w:val="24"/>
                <w:szCs w:val="24"/>
                <w:lang w:val="fr-FR"/>
              </w:rPr>
              <w:t>myopexy</w:t>
            </w:r>
            <w:proofErr w:type="spellEnd"/>
          </w:p>
        </w:tc>
        <w:tc>
          <w:tcPr>
            <w:tcW w:w="0" w:type="auto"/>
            <w:tcMar>
              <w:top w:w="150" w:type="dxa"/>
              <w:left w:w="240" w:type="dxa"/>
              <w:bottom w:w="150" w:type="dxa"/>
              <w:right w:w="240" w:type="dxa"/>
            </w:tcMar>
            <w:vAlign w:val="center"/>
            <w:hideMark/>
          </w:tcPr>
          <w:p w14:paraId="7F7AFD39"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1</w:t>
            </w:r>
          </w:p>
        </w:tc>
        <w:tc>
          <w:tcPr>
            <w:tcW w:w="0" w:type="auto"/>
            <w:tcMar>
              <w:top w:w="150" w:type="dxa"/>
              <w:left w:w="240" w:type="dxa"/>
              <w:bottom w:w="150" w:type="dxa"/>
              <w:right w:w="240" w:type="dxa"/>
            </w:tcMar>
            <w:vAlign w:val="center"/>
            <w:hideMark/>
          </w:tcPr>
          <w:p w14:paraId="2C516826"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Pr>
                <w:rFonts w:ascii="Calibri" w:hAnsi="Calibri" w:cs="Calibri"/>
                <w:color w:val="231F20"/>
                <w:sz w:val="24"/>
                <w:szCs w:val="24"/>
              </w:rPr>
              <w:t>3</w:t>
            </w:r>
          </w:p>
        </w:tc>
        <w:tc>
          <w:tcPr>
            <w:tcW w:w="0" w:type="auto"/>
            <w:tcMar>
              <w:top w:w="150" w:type="dxa"/>
              <w:left w:w="240" w:type="dxa"/>
              <w:bottom w:w="150" w:type="dxa"/>
              <w:right w:w="240" w:type="dxa"/>
            </w:tcMar>
            <w:vAlign w:val="center"/>
            <w:hideMark/>
          </w:tcPr>
          <w:p w14:paraId="4A1537C5"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0</w:t>
            </w:r>
          </w:p>
        </w:tc>
      </w:tr>
      <w:tr w:rsidR="00ED6D74" w:rsidRPr="007B3C3A" w14:paraId="2F38AD8C" w14:textId="77777777" w:rsidTr="002E3352">
        <w:trPr>
          <w:trHeight w:val="952"/>
        </w:trPr>
        <w:tc>
          <w:tcPr>
            <w:tcW w:w="0" w:type="auto"/>
            <w:tcMar>
              <w:top w:w="150" w:type="dxa"/>
              <w:left w:w="0" w:type="dxa"/>
              <w:bottom w:w="150" w:type="dxa"/>
              <w:right w:w="240" w:type="dxa"/>
            </w:tcMar>
            <w:vAlign w:val="center"/>
            <w:hideMark/>
          </w:tcPr>
          <w:p w14:paraId="221D2B1A" w14:textId="77777777" w:rsidR="00ED6D74" w:rsidRDefault="00ED6D74" w:rsidP="00284286">
            <w:pPr>
              <w:pStyle w:val="BodyText"/>
              <w:spacing w:before="201"/>
              <w:ind w:left="59" w:right="215"/>
              <w:jc w:val="both"/>
              <w:rPr>
                <w:rFonts w:ascii="Calibri" w:hAnsi="Calibri" w:cs="Calibri"/>
                <w:color w:val="231F20"/>
                <w:sz w:val="24"/>
                <w:szCs w:val="24"/>
              </w:rPr>
            </w:pPr>
            <w:r>
              <w:rPr>
                <w:rFonts w:ascii="Calibri" w:hAnsi="Calibri" w:cs="Calibri"/>
                <w:color w:val="231F20"/>
                <w:sz w:val="24"/>
                <w:szCs w:val="24"/>
              </w:rPr>
              <w:t xml:space="preserve">    -</w:t>
            </w:r>
            <w:proofErr w:type="spellStart"/>
            <w:r w:rsidRPr="007B3C3A">
              <w:rPr>
                <w:rFonts w:ascii="Calibri" w:eastAsia="Trebuchet MS" w:hAnsi="Calibri" w:cs="Calibri"/>
                <w:color w:val="231F20"/>
                <w:sz w:val="24"/>
                <w:szCs w:val="24"/>
                <w:lang w:val="fr-FR"/>
              </w:rPr>
              <w:t>Posterior</w:t>
            </w:r>
            <w:proofErr w:type="spellEnd"/>
            <w:r w:rsidRPr="007B3C3A">
              <w:rPr>
                <w:rFonts w:ascii="Calibri" w:eastAsia="Trebuchet MS" w:hAnsi="Calibri" w:cs="Calibri"/>
                <w:color w:val="231F20"/>
                <w:sz w:val="24"/>
                <w:szCs w:val="24"/>
                <w:lang w:val="fr-FR"/>
              </w:rPr>
              <w:t xml:space="preserve"> </w:t>
            </w:r>
            <w:proofErr w:type="spellStart"/>
            <w:r w:rsidRPr="007B3C3A">
              <w:rPr>
                <w:rFonts w:ascii="Calibri" w:eastAsia="Trebuchet MS" w:hAnsi="Calibri" w:cs="Calibri"/>
                <w:color w:val="231F20"/>
                <w:sz w:val="24"/>
                <w:szCs w:val="24"/>
                <w:lang w:val="fr-FR"/>
              </w:rPr>
              <w:t>myopexy</w:t>
            </w:r>
            <w:proofErr w:type="spellEnd"/>
            <w:r w:rsidRPr="007B3C3A">
              <w:rPr>
                <w:rFonts w:ascii="Calibri" w:eastAsia="Trebuchet MS" w:hAnsi="Calibri" w:cs="Calibri"/>
                <w:color w:val="231F20"/>
                <w:sz w:val="24"/>
                <w:szCs w:val="24"/>
                <w:lang w:val="fr-FR"/>
              </w:rPr>
              <w:t xml:space="preserve"> </w:t>
            </w:r>
          </w:p>
          <w:p w14:paraId="540B3A65"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 xml:space="preserve">+ horizontal </w:t>
            </w:r>
            <w:proofErr w:type="spellStart"/>
            <w:r w:rsidRPr="007B3C3A">
              <w:rPr>
                <w:rFonts w:ascii="Calibri" w:eastAsia="Trebuchet MS" w:hAnsi="Calibri" w:cs="Calibri"/>
                <w:color w:val="231F20"/>
                <w:sz w:val="24"/>
                <w:szCs w:val="24"/>
                <w:lang w:val="fr-FR"/>
              </w:rPr>
              <w:t>surgery</w:t>
            </w:r>
            <w:proofErr w:type="spellEnd"/>
          </w:p>
        </w:tc>
        <w:tc>
          <w:tcPr>
            <w:tcW w:w="0" w:type="auto"/>
            <w:tcMar>
              <w:top w:w="150" w:type="dxa"/>
              <w:left w:w="240" w:type="dxa"/>
              <w:bottom w:w="150" w:type="dxa"/>
              <w:right w:w="240" w:type="dxa"/>
            </w:tcMar>
            <w:vAlign w:val="center"/>
            <w:hideMark/>
          </w:tcPr>
          <w:p w14:paraId="4DCC0623"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7</w:t>
            </w:r>
          </w:p>
        </w:tc>
        <w:tc>
          <w:tcPr>
            <w:tcW w:w="0" w:type="auto"/>
            <w:tcMar>
              <w:top w:w="150" w:type="dxa"/>
              <w:left w:w="240" w:type="dxa"/>
              <w:bottom w:w="150" w:type="dxa"/>
              <w:right w:w="240" w:type="dxa"/>
            </w:tcMar>
            <w:vAlign w:val="center"/>
            <w:hideMark/>
          </w:tcPr>
          <w:p w14:paraId="27145790"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8</w:t>
            </w:r>
          </w:p>
        </w:tc>
        <w:tc>
          <w:tcPr>
            <w:tcW w:w="0" w:type="auto"/>
            <w:tcMar>
              <w:top w:w="150" w:type="dxa"/>
              <w:left w:w="240" w:type="dxa"/>
              <w:bottom w:w="150" w:type="dxa"/>
              <w:right w:w="240" w:type="dxa"/>
            </w:tcMar>
            <w:vAlign w:val="center"/>
            <w:hideMark/>
          </w:tcPr>
          <w:p w14:paraId="527009E6"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lang w:val="fr-FR"/>
              </w:rPr>
            </w:pPr>
            <w:r w:rsidRPr="007B3C3A">
              <w:rPr>
                <w:rFonts w:ascii="Calibri" w:eastAsia="Trebuchet MS" w:hAnsi="Calibri" w:cs="Calibri"/>
                <w:color w:val="231F20"/>
                <w:sz w:val="24"/>
                <w:szCs w:val="24"/>
                <w:lang w:val="fr-FR"/>
              </w:rPr>
              <w:t>1</w:t>
            </w:r>
          </w:p>
        </w:tc>
      </w:tr>
      <w:tr w:rsidR="00ED6D74" w:rsidRPr="007B3C3A" w14:paraId="6448FE78" w14:textId="77777777" w:rsidTr="002E3352">
        <w:trPr>
          <w:trHeight w:hRule="exact" w:val="9"/>
        </w:trPr>
        <w:tc>
          <w:tcPr>
            <w:tcW w:w="0" w:type="auto"/>
            <w:tcMar>
              <w:top w:w="150" w:type="dxa"/>
              <w:left w:w="0" w:type="dxa"/>
              <w:bottom w:w="150" w:type="dxa"/>
              <w:right w:w="240" w:type="dxa"/>
            </w:tcMar>
            <w:vAlign w:val="center"/>
            <w:hideMark/>
          </w:tcPr>
          <w:p w14:paraId="2C66AA67"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rPr>
            </w:pPr>
          </w:p>
        </w:tc>
        <w:tc>
          <w:tcPr>
            <w:tcW w:w="0" w:type="auto"/>
            <w:vAlign w:val="center"/>
            <w:hideMark/>
          </w:tcPr>
          <w:p w14:paraId="79A40363"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rPr>
            </w:pPr>
          </w:p>
        </w:tc>
        <w:tc>
          <w:tcPr>
            <w:tcW w:w="0" w:type="auto"/>
            <w:vAlign w:val="center"/>
            <w:hideMark/>
          </w:tcPr>
          <w:p w14:paraId="2422E23B"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rPr>
            </w:pPr>
          </w:p>
        </w:tc>
        <w:tc>
          <w:tcPr>
            <w:tcW w:w="0" w:type="auto"/>
            <w:vAlign w:val="center"/>
            <w:hideMark/>
          </w:tcPr>
          <w:p w14:paraId="694DAF3F" w14:textId="77777777" w:rsidR="00ED6D74" w:rsidRPr="007B3C3A" w:rsidRDefault="00ED6D74" w:rsidP="00284286">
            <w:pPr>
              <w:pStyle w:val="BodyText"/>
              <w:widowControl w:val="0"/>
              <w:autoSpaceDE w:val="0"/>
              <w:autoSpaceDN w:val="0"/>
              <w:spacing w:before="201"/>
              <w:ind w:left="59" w:right="215"/>
              <w:jc w:val="both"/>
              <w:rPr>
                <w:rFonts w:ascii="Calibri" w:eastAsia="Trebuchet MS" w:hAnsi="Calibri" w:cs="Calibri"/>
                <w:color w:val="231F20"/>
                <w:sz w:val="24"/>
                <w:szCs w:val="24"/>
              </w:rPr>
            </w:pPr>
          </w:p>
        </w:tc>
      </w:tr>
    </w:tbl>
    <w:p w14:paraId="5F5721BA" w14:textId="77777777" w:rsidR="00ED6D74" w:rsidRPr="000D685B" w:rsidRDefault="00ED6D74" w:rsidP="00ED6D74">
      <w:pPr>
        <w:pStyle w:val="BodyText"/>
        <w:spacing w:before="201" w:line="230" w:lineRule="auto"/>
        <w:ind w:left="59" w:right="215"/>
        <w:jc w:val="both"/>
        <w:rPr>
          <w:rFonts w:asciiTheme="minorBidi" w:hAnsiTheme="minorBidi" w:cstheme="minorBidi"/>
          <w:color w:val="231F20"/>
        </w:rPr>
      </w:pPr>
      <w:r w:rsidRPr="007B3C3A">
        <w:rPr>
          <w:rFonts w:asciiTheme="minorBidi" w:eastAsia="Trebuchet MS" w:hAnsiTheme="minorBidi" w:cstheme="minorBidi"/>
          <w:color w:val="231F20"/>
        </w:rPr>
        <w:t xml:space="preserve">Postoperatively, the mean distance angle was 6.75 PD (p &lt; 0.001) at 3 months, 6.2 PD at 6 months, and 7.1 PD at 1 year. The mean near angle was 6.7 PD at 3 months, 7.2 PD at 6 months, and 7.1 PD (p &lt; 0.05) at 1 </w:t>
      </w:r>
      <w:proofErr w:type="spellStart"/>
      <w:proofErr w:type="gramStart"/>
      <w:r w:rsidRPr="007B3C3A">
        <w:rPr>
          <w:rFonts w:asciiTheme="minorBidi" w:eastAsia="Trebuchet MS" w:hAnsiTheme="minorBidi" w:cstheme="minorBidi"/>
          <w:color w:val="231F20"/>
        </w:rPr>
        <w:t>year.The</w:t>
      </w:r>
      <w:proofErr w:type="spellEnd"/>
      <w:proofErr w:type="gramEnd"/>
      <w:r w:rsidRPr="007B3C3A">
        <w:rPr>
          <w:rFonts w:asciiTheme="minorBidi" w:eastAsia="Trebuchet MS" w:hAnsiTheme="minorBidi" w:cstheme="minorBidi"/>
          <w:color w:val="231F20"/>
        </w:rPr>
        <w:t xml:space="preserve"> mean distance-near incomitance was nearly eliminated: 0 PD at 3 months, 1 PD at 6 months, and 0.3 PD at 1 year (Figure 3).</w:t>
      </w:r>
    </w:p>
    <w:p w14:paraId="3014B9D0" w14:textId="77777777" w:rsidR="00ED6D74" w:rsidRDefault="00ED6D74" w:rsidP="00ED6D74">
      <w:pPr>
        <w:pStyle w:val="BodyText"/>
        <w:spacing w:before="201" w:line="230" w:lineRule="auto"/>
        <w:ind w:left="59" w:right="215"/>
        <w:jc w:val="both"/>
        <w:rPr>
          <w:rFonts w:ascii="Calibri" w:hAnsi="Calibri" w:cs="Calibri"/>
          <w:color w:val="FFFFFF" w:themeColor="background1"/>
          <w:sz w:val="24"/>
          <w:szCs w:val="24"/>
          <w14:textFill>
            <w14:noFill/>
          </w14:textFill>
        </w:rPr>
      </w:pPr>
    </w:p>
    <w:p w14:paraId="26291CE2" w14:textId="77777777" w:rsidR="00ED6D74" w:rsidRDefault="00ED6D74" w:rsidP="00ED6D74">
      <w:pPr>
        <w:pStyle w:val="BodyText"/>
        <w:spacing w:before="201" w:line="230" w:lineRule="auto"/>
        <w:ind w:left="59" w:right="215"/>
        <w:jc w:val="both"/>
        <w:rPr>
          <w:rFonts w:ascii="Calibri" w:hAnsi="Calibri" w:cs="Calibri"/>
          <w:color w:val="FFFFFF" w:themeColor="background1"/>
          <w:sz w:val="24"/>
          <w:szCs w:val="24"/>
          <w14:textFill>
            <w14:noFill/>
          </w14:textFill>
        </w:rPr>
      </w:pPr>
    </w:p>
    <w:p w14:paraId="1245C60C" w14:textId="77777777" w:rsidR="00ED6D74" w:rsidRDefault="00ED6D74" w:rsidP="00ED6D74">
      <w:pPr>
        <w:pStyle w:val="BodyText"/>
        <w:spacing w:before="201" w:line="230" w:lineRule="auto"/>
        <w:ind w:left="59" w:right="215"/>
        <w:jc w:val="both"/>
        <w:rPr>
          <w:rFonts w:ascii="Calibri" w:hAnsi="Calibri" w:cs="Calibri"/>
          <w:color w:val="FFFFFF" w:themeColor="background1"/>
          <w:sz w:val="24"/>
          <w:szCs w:val="24"/>
          <w14:textFill>
            <w14:noFill/>
          </w14:textFill>
        </w:rPr>
      </w:pPr>
      <w:r>
        <w:rPr>
          <w:noProof/>
        </w:rPr>
        <mc:AlternateContent>
          <mc:Choice Requires="wps">
            <w:drawing>
              <wp:inline distT="0" distB="0" distL="0" distR="0" wp14:anchorId="3B7D1A98" wp14:editId="4972080B">
                <wp:extent cx="304800" cy="304800"/>
                <wp:effectExtent l="0" t="0" r="0" b="0"/>
                <wp:docPr id="2051862165" name="Rectangle 16"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E8A92E" id="Rectangle 16"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6AB6B22" wp14:editId="6939C8B9">
                <wp:extent cx="304800" cy="304800"/>
                <wp:effectExtent l="0" t="0" r="0" b="0"/>
                <wp:docPr id="1759803347" name="AutoShape 3"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24FEAB" id="AutoShape 3"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alibri" w:hAnsi="Calibri" w:cs="Calibri"/>
          <w:noProof/>
          <w:color w:val="FFFFFF" w:themeColor="background1"/>
          <w:sz w:val="24"/>
          <w:szCs w:val="24"/>
          <w14:textFill>
            <w14:noFill/>
          </w14:textFill>
        </w:rPr>
        <w:drawing>
          <wp:inline distT="0" distB="0" distL="0" distR="0" wp14:anchorId="68D64516" wp14:editId="767888BA">
            <wp:extent cx="4338751" cy="2585720"/>
            <wp:effectExtent l="0" t="0" r="5080" b="5080"/>
            <wp:docPr id="510971028" name="Image 17" descr="Une image contenant text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71028" name="Image 17" descr="Une image contenant texte, capture d’écran, ligne, Tracé&#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8751" cy="2585720"/>
                    </a:xfrm>
                    <a:prstGeom prst="rect">
                      <a:avLst/>
                    </a:prstGeom>
                    <a:noFill/>
                  </pic:spPr>
                </pic:pic>
              </a:graphicData>
            </a:graphic>
          </wp:inline>
        </w:drawing>
      </w:r>
    </w:p>
    <w:p w14:paraId="19CB79D4" w14:textId="61140B52" w:rsidR="00ED6D74" w:rsidRPr="005643AA" w:rsidRDefault="00ED6D74" w:rsidP="00ED6D74">
      <w:pPr>
        <w:tabs>
          <w:tab w:val="left" w:pos="1107"/>
        </w:tabs>
        <w:spacing w:before="165" w:line="256" w:lineRule="auto"/>
        <w:ind w:left="227" w:right="47"/>
        <w:rPr>
          <w:rFonts w:asciiTheme="minorBidi" w:hAnsiTheme="minorBidi" w:cstheme="minorBidi"/>
        </w:rPr>
      </w:pPr>
      <w:r w:rsidRPr="005643AA">
        <w:rPr>
          <w:rFonts w:asciiTheme="minorBidi" w:hAnsiTheme="minorBidi" w:cstheme="minorBidi"/>
          <w:b/>
          <w:bCs/>
        </w:rPr>
        <w:t xml:space="preserve">Figure </w:t>
      </w:r>
      <w:r w:rsidR="0030249B">
        <w:rPr>
          <w:rFonts w:asciiTheme="minorBidi" w:hAnsiTheme="minorBidi" w:cstheme="minorBidi"/>
          <w:b/>
          <w:bCs/>
        </w:rPr>
        <w:t>4</w:t>
      </w:r>
      <w:r w:rsidRPr="005643AA">
        <w:rPr>
          <w:rFonts w:asciiTheme="minorBidi" w:hAnsiTheme="minorBidi" w:cstheme="minorBidi"/>
          <w:b/>
          <w:bCs/>
        </w:rPr>
        <w:t>.</w:t>
      </w:r>
      <w:r w:rsidRPr="005643AA">
        <w:rPr>
          <w:rFonts w:asciiTheme="minorBidi" w:hAnsiTheme="minorBidi" w:cstheme="minorBidi"/>
          <w:b/>
        </w:rPr>
        <w:t> Mean preoperative and postoperative (3, 6, and 12 months) prism diopter (PD) values for the distance deviation, near deviation, and distance-near incomitance.</w:t>
      </w:r>
      <w:r w:rsidRPr="005643AA">
        <w:rPr>
          <w:rFonts w:asciiTheme="minorBidi" w:hAnsiTheme="minorBidi" w:cstheme="minorBidi"/>
          <w:b/>
        </w:rPr>
        <w:tab/>
      </w:r>
    </w:p>
    <w:p w14:paraId="2E8C6F06" w14:textId="77777777" w:rsidR="00284286" w:rsidRDefault="00284286"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p>
    <w:p w14:paraId="114B8C68" w14:textId="77777777" w:rsidR="00284286" w:rsidRDefault="00284286"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p>
    <w:p w14:paraId="0FD34A00" w14:textId="77777777" w:rsidR="00284286" w:rsidRDefault="00284286"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p>
    <w:p w14:paraId="5350F667" w14:textId="7E3D46D5" w:rsidR="00ED6D74" w:rsidRPr="007B3C3A" w:rsidRDefault="00ED6D74" w:rsidP="00ED6D74">
      <w:pPr>
        <w:pStyle w:val="BodyText"/>
        <w:widowControl w:val="0"/>
        <w:autoSpaceDE w:val="0"/>
        <w:autoSpaceDN w:val="0"/>
        <w:spacing w:before="201" w:after="0" w:line="230" w:lineRule="auto"/>
        <w:ind w:left="59" w:right="215"/>
        <w:jc w:val="both"/>
        <w:rPr>
          <w:rFonts w:asciiTheme="minorBidi" w:eastAsia="Trebuchet MS" w:hAnsiTheme="minorBidi" w:cstheme="minorBidi"/>
          <w:color w:val="231F20"/>
        </w:rPr>
      </w:pPr>
      <w:r w:rsidRPr="007B3C3A">
        <w:rPr>
          <w:rFonts w:asciiTheme="minorBidi" w:eastAsia="Trebuchet MS" w:hAnsiTheme="minorBidi" w:cstheme="minorBidi"/>
          <w:color w:val="231F20"/>
        </w:rPr>
        <w:lastRenderedPageBreak/>
        <w:t>The success rate, defined as the percentage of patients with a postoperative distance deviation and a distance-near incomitance each less than 10 PD, was 95% at 3 months, 85% at 6 months, and 85% at 1 year, respectively (Figure 3). A satisfactory ocular alignment (deviation ≤ 10 PD for both distance and near) was achieved with a single surgical procedure in 19 patients (95%).</w:t>
      </w:r>
    </w:p>
    <w:p w14:paraId="6409B138" w14:textId="77777777" w:rsidR="00ED6D74" w:rsidRPr="007B3C3A" w:rsidRDefault="00ED6D74" w:rsidP="00ED6D74">
      <w:pPr>
        <w:pStyle w:val="BodyText"/>
        <w:widowControl w:val="0"/>
        <w:autoSpaceDE w:val="0"/>
        <w:autoSpaceDN w:val="0"/>
        <w:spacing w:before="201" w:line="230" w:lineRule="auto"/>
        <w:ind w:right="215"/>
        <w:jc w:val="both"/>
        <w:rPr>
          <w:rFonts w:asciiTheme="minorBidi" w:eastAsia="Trebuchet MS" w:hAnsiTheme="minorBidi" w:cstheme="minorBidi"/>
          <w:color w:val="231F20"/>
        </w:rPr>
      </w:pPr>
      <w:r w:rsidRPr="007B3C3A">
        <w:rPr>
          <w:rFonts w:asciiTheme="minorBidi" w:eastAsia="Trebuchet MS" w:hAnsiTheme="minorBidi" w:cstheme="minorBidi"/>
          <w:color w:val="231F20"/>
        </w:rPr>
        <w:t>A second surgical intervention was required in one case of acquired non-accommodative esotropia, which recurred 6 months postoperatively. The initial deviation in this case was 45 PD. The reoperation consisted of a bilateral lateral rectus resection for a deviation of 35 PD, which yielded a good surgical outcome.</w:t>
      </w:r>
    </w:p>
    <w:p w14:paraId="62E0AF72" w14:textId="77777777" w:rsidR="00ED6D74" w:rsidRPr="007B3C3A" w:rsidRDefault="00ED6D74" w:rsidP="00ED6D74">
      <w:pPr>
        <w:pStyle w:val="BodyText"/>
        <w:widowControl w:val="0"/>
        <w:autoSpaceDE w:val="0"/>
        <w:autoSpaceDN w:val="0"/>
        <w:spacing w:before="201" w:after="0" w:line="230" w:lineRule="auto"/>
        <w:ind w:left="59" w:right="215"/>
        <w:rPr>
          <w:rFonts w:asciiTheme="minorBidi" w:eastAsia="Trebuchet MS" w:hAnsiTheme="minorBidi" w:cstheme="minorBidi"/>
          <w:color w:val="231F20"/>
        </w:rPr>
      </w:pPr>
      <w:r w:rsidRPr="007B3C3A">
        <w:rPr>
          <w:rFonts w:asciiTheme="minorBidi" w:eastAsia="Trebuchet MS" w:hAnsiTheme="minorBidi" w:cstheme="minorBidi"/>
          <w:b/>
          <w:bCs/>
          <w:color w:val="231F20"/>
        </w:rPr>
        <w:t xml:space="preserve">Aesthetic </w:t>
      </w:r>
      <w:r w:rsidRPr="00ED6D74">
        <w:rPr>
          <w:rFonts w:asciiTheme="minorBidi" w:hAnsiTheme="minorBidi" w:cstheme="minorBidi"/>
          <w:b/>
          <w:bCs/>
          <w:color w:val="231F20"/>
        </w:rPr>
        <w:t>o</w:t>
      </w:r>
      <w:r w:rsidRPr="007B3C3A">
        <w:rPr>
          <w:rFonts w:asciiTheme="minorBidi" w:eastAsia="Trebuchet MS" w:hAnsiTheme="minorBidi" w:cstheme="minorBidi"/>
          <w:b/>
          <w:bCs/>
          <w:color w:val="231F20"/>
        </w:rPr>
        <w:t>utcomes:</w:t>
      </w:r>
      <w:r w:rsidRPr="007B3C3A">
        <w:rPr>
          <w:rFonts w:asciiTheme="minorBidi" w:eastAsia="Trebuchet MS" w:hAnsiTheme="minorBidi" w:cstheme="minorBidi"/>
          <w:color w:val="231F20"/>
        </w:rPr>
        <w:br/>
        <w:t>All patients, including those with a residual angle, reported a high degree of satisfaction.</w:t>
      </w:r>
    </w:p>
    <w:p w14:paraId="60B79D27" w14:textId="77777777" w:rsidR="00ED6D74" w:rsidRPr="007B3C3A" w:rsidRDefault="00ED6D74" w:rsidP="00ED6D74">
      <w:pPr>
        <w:pStyle w:val="BodyText"/>
        <w:widowControl w:val="0"/>
        <w:autoSpaceDE w:val="0"/>
        <w:autoSpaceDN w:val="0"/>
        <w:spacing w:before="201" w:after="0" w:line="230" w:lineRule="auto"/>
        <w:ind w:left="59" w:right="215"/>
        <w:rPr>
          <w:rFonts w:asciiTheme="minorBidi" w:eastAsia="Trebuchet MS" w:hAnsiTheme="minorBidi" w:cstheme="minorBidi"/>
          <w:color w:val="231F20"/>
        </w:rPr>
      </w:pPr>
      <w:r w:rsidRPr="007B3C3A">
        <w:rPr>
          <w:rFonts w:asciiTheme="minorBidi" w:eastAsia="Trebuchet MS" w:hAnsiTheme="minorBidi" w:cstheme="minorBidi"/>
          <w:b/>
          <w:bCs/>
          <w:color w:val="231F20"/>
        </w:rPr>
        <w:t xml:space="preserve">Psychological </w:t>
      </w:r>
      <w:r w:rsidRPr="00ED6D74">
        <w:rPr>
          <w:rFonts w:asciiTheme="minorBidi" w:hAnsiTheme="minorBidi" w:cstheme="minorBidi"/>
          <w:b/>
          <w:bCs/>
          <w:color w:val="231F20"/>
        </w:rPr>
        <w:t>o</w:t>
      </w:r>
      <w:r w:rsidRPr="007B3C3A">
        <w:rPr>
          <w:rFonts w:asciiTheme="minorBidi" w:eastAsia="Trebuchet MS" w:hAnsiTheme="minorBidi" w:cstheme="minorBidi"/>
          <w:b/>
          <w:bCs/>
          <w:color w:val="231F20"/>
        </w:rPr>
        <w:t>utcomes:</w:t>
      </w:r>
      <w:r w:rsidRPr="007B3C3A">
        <w:rPr>
          <w:rFonts w:asciiTheme="minorBidi" w:eastAsia="Trebuchet MS" w:hAnsiTheme="minorBidi" w:cstheme="minorBidi"/>
          <w:color w:val="231F20"/>
        </w:rPr>
        <w:br/>
        <w:t>A marked improvement was observed in the majority of our patients, characterized by easier social interaction, smiling, the disappearance of feelings of inferiority, and improved behavior and academic performance.</w:t>
      </w:r>
    </w:p>
    <w:p w14:paraId="7F14BADB" w14:textId="77777777" w:rsidR="00ED6D74" w:rsidRPr="007B3C3A" w:rsidRDefault="00ED6D74" w:rsidP="00ED6D74">
      <w:pPr>
        <w:pStyle w:val="BodyText"/>
        <w:widowControl w:val="0"/>
        <w:autoSpaceDE w:val="0"/>
        <w:autoSpaceDN w:val="0"/>
        <w:spacing w:before="201" w:after="0" w:line="230" w:lineRule="auto"/>
        <w:ind w:left="59" w:right="215"/>
        <w:rPr>
          <w:rFonts w:asciiTheme="minorBidi" w:eastAsia="Trebuchet MS" w:hAnsiTheme="minorBidi" w:cstheme="minorBidi"/>
          <w:color w:val="231F20"/>
        </w:rPr>
      </w:pPr>
      <w:r w:rsidRPr="007B3C3A">
        <w:rPr>
          <w:rFonts w:asciiTheme="minorBidi" w:eastAsia="Trebuchet MS" w:hAnsiTheme="minorBidi" w:cstheme="minorBidi"/>
          <w:b/>
          <w:bCs/>
          <w:color w:val="231F20"/>
        </w:rPr>
        <w:t xml:space="preserve">Postoperative </w:t>
      </w:r>
      <w:r w:rsidRPr="00ED6D74">
        <w:rPr>
          <w:rFonts w:asciiTheme="minorBidi" w:hAnsiTheme="minorBidi" w:cstheme="minorBidi"/>
          <w:b/>
          <w:bCs/>
          <w:color w:val="231F20"/>
        </w:rPr>
        <w:t>d</w:t>
      </w:r>
      <w:r w:rsidRPr="007B3C3A">
        <w:rPr>
          <w:rFonts w:asciiTheme="minorBidi" w:eastAsia="Trebuchet MS" w:hAnsiTheme="minorBidi" w:cstheme="minorBidi"/>
          <w:b/>
          <w:bCs/>
          <w:color w:val="231F20"/>
        </w:rPr>
        <w:t>iplopia:</w:t>
      </w:r>
      <w:r w:rsidRPr="007B3C3A">
        <w:rPr>
          <w:rFonts w:asciiTheme="minorBidi" w:eastAsia="Trebuchet MS" w:hAnsiTheme="minorBidi" w:cstheme="minorBidi"/>
          <w:color w:val="231F20"/>
        </w:rPr>
        <w:br/>
        <w:t>No cases of postoperative diplopia were reported.</w:t>
      </w:r>
    </w:p>
    <w:p w14:paraId="2B1EF6C6" w14:textId="3D72E6D4" w:rsidR="00ED6D74" w:rsidRDefault="00ED6D74" w:rsidP="00ED6D74">
      <w:pPr>
        <w:pStyle w:val="BodyText"/>
        <w:widowControl w:val="0"/>
        <w:autoSpaceDE w:val="0"/>
        <w:autoSpaceDN w:val="0"/>
        <w:spacing w:before="201" w:line="230" w:lineRule="auto"/>
        <w:ind w:left="59" w:right="215"/>
        <w:jc w:val="both"/>
        <w:rPr>
          <w:rFonts w:ascii="Calibri" w:eastAsia="Trebuchet MS" w:hAnsi="Calibri" w:cs="Calibri"/>
          <w:color w:val="231F20"/>
          <w:sz w:val="24"/>
          <w:szCs w:val="24"/>
        </w:rPr>
      </w:pPr>
      <w:r w:rsidRPr="007B3C3A">
        <w:rPr>
          <w:rFonts w:asciiTheme="minorBidi" w:eastAsia="Trebuchet MS" w:hAnsiTheme="minorBidi" w:cstheme="minorBidi"/>
          <w:b/>
          <w:bCs/>
          <w:color w:val="231F20"/>
        </w:rPr>
        <w:t>Complications:</w:t>
      </w:r>
      <w:r w:rsidRPr="007B3C3A">
        <w:rPr>
          <w:rFonts w:asciiTheme="minorBidi" w:eastAsia="Trebuchet MS" w:hAnsiTheme="minorBidi" w:cstheme="minorBidi"/>
          <w:color w:val="231F20"/>
        </w:rPr>
        <w:br/>
        <w:t>No serious intraoperative complications were observed. Specifically, there were no cases of scleral perforation (even in highly myopic eyes), muscle injury, or significant hemorrhage. No cases of postoperative conjunctival granuloma were observed</w:t>
      </w:r>
      <w:r w:rsidRPr="007B3C3A">
        <w:rPr>
          <w:rFonts w:ascii="Calibri" w:eastAsia="Trebuchet MS" w:hAnsi="Calibri" w:cs="Calibri"/>
          <w:color w:val="231F20"/>
          <w:sz w:val="24"/>
          <w:szCs w:val="24"/>
        </w:rPr>
        <w:t>.</w:t>
      </w:r>
    </w:p>
    <w:p w14:paraId="7C74731A" w14:textId="77777777" w:rsidR="00284286" w:rsidRPr="00284286" w:rsidRDefault="00284286" w:rsidP="00284286">
      <w:pPr>
        <w:pStyle w:val="Heading1"/>
        <w:spacing w:before="109"/>
        <w:rPr>
          <w:rFonts w:asciiTheme="minorBidi" w:hAnsiTheme="minorBidi" w:cstheme="minorBidi"/>
          <w:sz w:val="22"/>
          <w:szCs w:val="22"/>
        </w:rPr>
      </w:pPr>
      <w:r w:rsidRPr="00284286">
        <w:rPr>
          <w:rFonts w:asciiTheme="minorBidi" w:hAnsiTheme="minorBidi" w:cstheme="minorBidi"/>
          <w:spacing w:val="-2"/>
          <w:sz w:val="22"/>
          <w:szCs w:val="22"/>
        </w:rPr>
        <w:t>DISCUSSION</w:t>
      </w:r>
    </w:p>
    <w:p w14:paraId="1A709A4B" w14:textId="77777777" w:rsidR="00284286" w:rsidRPr="00284286" w:rsidRDefault="00284286" w:rsidP="00284286">
      <w:pPr>
        <w:jc w:val="both"/>
        <w:rPr>
          <w:rFonts w:asciiTheme="minorBidi" w:hAnsiTheme="minorBidi" w:cstheme="minorBidi"/>
          <w:color w:val="231F20"/>
        </w:rPr>
      </w:pPr>
    </w:p>
    <w:p w14:paraId="6CDBEDCF" w14:textId="2489FDF7" w:rsidR="00284286" w:rsidRPr="00A3675E" w:rsidRDefault="00284286" w:rsidP="00284286">
      <w:pPr>
        <w:spacing w:after="160" w:line="259" w:lineRule="auto"/>
        <w:jc w:val="both"/>
        <w:rPr>
          <w:rFonts w:asciiTheme="minorBidi" w:hAnsiTheme="minorBidi" w:cstheme="minorBidi"/>
          <w:color w:val="231F20"/>
        </w:rPr>
      </w:pPr>
      <w:r w:rsidRPr="00A3675E">
        <w:rPr>
          <w:rFonts w:asciiTheme="minorBidi" w:hAnsiTheme="minorBidi" w:cstheme="minorBidi"/>
          <w:color w:val="231F20"/>
        </w:rPr>
        <w:t>The management of esotropia with distance</w:t>
      </w:r>
      <w:r>
        <w:rPr>
          <w:rFonts w:asciiTheme="minorBidi" w:hAnsiTheme="minorBidi" w:cstheme="minorBidi"/>
          <w:color w:val="231F20"/>
        </w:rPr>
        <w:t>-</w:t>
      </w:r>
      <w:r w:rsidRPr="00A3675E">
        <w:rPr>
          <w:rFonts w:asciiTheme="minorBidi" w:hAnsiTheme="minorBidi" w:cstheme="minorBidi"/>
          <w:color w:val="231F20"/>
        </w:rPr>
        <w:t xml:space="preserve">near incomitance is not yet standardized. Conventional surgery based solely on the distance deviation often leads to </w:t>
      </w:r>
      <w:proofErr w:type="spellStart"/>
      <w:r w:rsidRPr="00A3675E">
        <w:rPr>
          <w:rFonts w:asciiTheme="minorBidi" w:hAnsiTheme="minorBidi" w:cstheme="minorBidi"/>
          <w:color w:val="231F20"/>
        </w:rPr>
        <w:t>undercorrection</w:t>
      </w:r>
      <w:proofErr w:type="spellEnd"/>
      <w:r w:rsidRPr="00A3675E">
        <w:rPr>
          <w:rFonts w:asciiTheme="minorBidi" w:hAnsiTheme="minorBidi" w:cstheme="minorBidi"/>
          <w:color w:val="231F20"/>
        </w:rPr>
        <w:t xml:space="preserve"> at near (</w:t>
      </w:r>
      <w:proofErr w:type="spellStart"/>
      <w:r w:rsidRPr="00A3675E">
        <w:rPr>
          <w:rFonts w:asciiTheme="minorBidi" w:hAnsiTheme="minorBidi" w:cstheme="minorBidi"/>
          <w:color w:val="231F20"/>
        </w:rPr>
        <w:t>Oguz</w:t>
      </w:r>
      <w:proofErr w:type="spellEnd"/>
      <w:r w:rsidRPr="00A3675E">
        <w:rPr>
          <w:rFonts w:asciiTheme="minorBidi" w:hAnsiTheme="minorBidi" w:cstheme="minorBidi"/>
          <w:color w:val="231F20"/>
        </w:rPr>
        <w:t xml:space="preserve"> et al., 1999; Gharabaghi &amp; Zanjani, 2006). Several surgical approaches have been proposed to address this issue, including augmented medial rectus recession, additional oblique muscle reinsertion, or posterior </w:t>
      </w:r>
      <w:proofErr w:type="spellStart"/>
      <w:r w:rsidRPr="00A3675E">
        <w:rPr>
          <w:rFonts w:asciiTheme="minorBidi" w:hAnsiTheme="minorBidi" w:cstheme="minorBidi"/>
          <w:color w:val="231F20"/>
        </w:rPr>
        <w:t>myopexy</w:t>
      </w:r>
      <w:proofErr w:type="spellEnd"/>
      <w:r w:rsidRPr="00A3675E">
        <w:rPr>
          <w:rFonts w:asciiTheme="minorBidi" w:hAnsiTheme="minorBidi" w:cstheme="minorBidi"/>
          <w:color w:val="231F20"/>
        </w:rPr>
        <w:t>. These different procedures have been reported with highly variable success rates (Oguz et al., 1999; De Decker, 1981).</w:t>
      </w:r>
    </w:p>
    <w:p w14:paraId="4C3F11BD" w14:textId="77777777" w:rsidR="00284286" w:rsidRPr="00A3675E" w:rsidRDefault="00284286" w:rsidP="00284286">
      <w:pPr>
        <w:spacing w:after="160" w:line="259" w:lineRule="auto"/>
        <w:jc w:val="both"/>
        <w:rPr>
          <w:rFonts w:asciiTheme="minorBidi" w:hAnsiTheme="minorBidi" w:cstheme="minorBidi"/>
          <w:color w:val="231F20"/>
        </w:rPr>
      </w:pPr>
      <w:r w:rsidRPr="00A3675E">
        <w:rPr>
          <w:rFonts w:asciiTheme="minorBidi" w:hAnsiTheme="minorBidi" w:cstheme="minorBidi"/>
          <w:color w:val="231F20"/>
        </w:rPr>
        <w:t xml:space="preserve">When posterior </w:t>
      </w:r>
      <w:proofErr w:type="spellStart"/>
      <w:r w:rsidRPr="00A3675E">
        <w:rPr>
          <w:rFonts w:asciiTheme="minorBidi" w:hAnsiTheme="minorBidi" w:cstheme="minorBidi"/>
          <w:color w:val="231F20"/>
        </w:rPr>
        <w:t>myopexy</w:t>
      </w:r>
      <w:proofErr w:type="spellEnd"/>
      <w:r w:rsidRPr="00A3675E">
        <w:rPr>
          <w:rFonts w:asciiTheme="minorBidi" w:hAnsiTheme="minorBidi" w:cstheme="minorBidi"/>
          <w:color w:val="231F20"/>
        </w:rPr>
        <w:t xml:space="preserve"> is combined with conventional surgery, it mainly acts by restraining muscle action through scleral anchoring behind the arc of contact, thereby reducing incomitance related to medial rectus overaction in its field of action (Bérard et al., 1976; Quéré et al., 1977; Clark et al., 1999). However, </w:t>
      </w:r>
      <w:proofErr w:type="spellStart"/>
      <w:r w:rsidRPr="00A3675E">
        <w:rPr>
          <w:rFonts w:asciiTheme="minorBidi" w:hAnsiTheme="minorBidi" w:cstheme="minorBidi"/>
          <w:color w:val="231F20"/>
        </w:rPr>
        <w:t>Fadenoperation</w:t>
      </w:r>
      <w:proofErr w:type="spellEnd"/>
      <w:r w:rsidRPr="00A3675E">
        <w:rPr>
          <w:rFonts w:asciiTheme="minorBidi" w:hAnsiTheme="minorBidi" w:cstheme="minorBidi"/>
          <w:color w:val="231F20"/>
        </w:rPr>
        <w:t xml:space="preserve"> may exert a minor effect on the distance angle, while conventional surgery can also influence distance–near incomitance (</w:t>
      </w:r>
      <w:proofErr w:type="spellStart"/>
      <w:r w:rsidRPr="00A3675E">
        <w:rPr>
          <w:rFonts w:asciiTheme="minorBidi" w:hAnsiTheme="minorBidi" w:cstheme="minorBidi"/>
          <w:color w:val="231F20"/>
        </w:rPr>
        <w:t>Klainguti</w:t>
      </w:r>
      <w:proofErr w:type="spellEnd"/>
      <w:r w:rsidRPr="00A3675E">
        <w:rPr>
          <w:rFonts w:asciiTheme="minorBidi" w:hAnsiTheme="minorBidi" w:cstheme="minorBidi"/>
          <w:color w:val="231F20"/>
        </w:rPr>
        <w:t xml:space="preserve"> et al., 1991; Steffen et al., 1998). This overlap makes it difficult to distinguish the individual contribution of each procedure to the final outcome.</w:t>
      </w:r>
    </w:p>
    <w:p w14:paraId="2A985D19" w14:textId="77777777" w:rsidR="00284286" w:rsidRPr="00A3675E" w:rsidRDefault="00284286" w:rsidP="00284286">
      <w:pPr>
        <w:spacing w:after="160" w:line="259" w:lineRule="auto"/>
        <w:jc w:val="both"/>
        <w:rPr>
          <w:rFonts w:asciiTheme="minorBidi" w:hAnsiTheme="minorBidi" w:cstheme="minorBidi"/>
          <w:color w:val="231F20"/>
        </w:rPr>
      </w:pPr>
      <w:r w:rsidRPr="00A3675E">
        <w:rPr>
          <w:rFonts w:asciiTheme="minorBidi" w:hAnsiTheme="minorBidi" w:cstheme="minorBidi"/>
          <w:color w:val="231F20"/>
        </w:rPr>
        <w:t xml:space="preserve">Our patients presented with partially accommodative and non-accommodative esotropia associated with distance–near incomitance. This incomitance may result from excessive accommodative convergence in patients with a high AC/A ratio or from non-accommodative convergence spasm with a normal AC/A ratio (Steffen et al., 1998; </w:t>
      </w:r>
      <w:proofErr w:type="spellStart"/>
      <w:r w:rsidRPr="00A3675E">
        <w:rPr>
          <w:rFonts w:asciiTheme="minorBidi" w:hAnsiTheme="minorBidi" w:cstheme="minorBidi"/>
          <w:color w:val="231F20"/>
        </w:rPr>
        <w:t>Stärk</w:t>
      </w:r>
      <w:proofErr w:type="spellEnd"/>
      <w:r w:rsidRPr="00A3675E">
        <w:rPr>
          <w:rFonts w:asciiTheme="minorBidi" w:hAnsiTheme="minorBidi" w:cstheme="minorBidi"/>
          <w:color w:val="231F20"/>
        </w:rPr>
        <w:t xml:space="preserve"> et al., 1999). A near deviation greater than 10 PD may become persistent and lead to loss of binocular potential, with an increased risk of suppression, anomalous retinal correspondence, and amblyopia (Leitsch et al., 1990).</w:t>
      </w:r>
    </w:p>
    <w:p w14:paraId="32384EF7" w14:textId="3DEED03C" w:rsidR="00284286" w:rsidRPr="00A3675E" w:rsidRDefault="00284286" w:rsidP="00284286">
      <w:pPr>
        <w:spacing w:after="160" w:line="259" w:lineRule="auto"/>
        <w:jc w:val="both"/>
        <w:rPr>
          <w:rFonts w:asciiTheme="minorBidi" w:hAnsiTheme="minorBidi" w:cstheme="minorBidi"/>
          <w:color w:val="231F20"/>
        </w:rPr>
      </w:pPr>
      <w:r w:rsidRPr="00A3675E">
        <w:rPr>
          <w:rFonts w:asciiTheme="minorBidi" w:hAnsiTheme="minorBidi" w:cstheme="minorBidi"/>
          <w:color w:val="231F20"/>
        </w:rPr>
        <w:t xml:space="preserve">Treatment involves full optical correction to address the distance and near deviation as much as possible. The minimum distance angle is managed by conventional surgery, either medial </w:t>
      </w:r>
      <w:r w:rsidRPr="00A3675E">
        <w:rPr>
          <w:rFonts w:asciiTheme="minorBidi" w:hAnsiTheme="minorBidi" w:cstheme="minorBidi"/>
          <w:color w:val="231F20"/>
        </w:rPr>
        <w:lastRenderedPageBreak/>
        <w:t xml:space="preserve">rectus recession or lateral rectus plication (De Decker, 1981; Oguz et al., 1999). Excessive accommodative convergence can be treated either with posterior </w:t>
      </w:r>
      <w:proofErr w:type="spellStart"/>
      <w:r w:rsidRPr="00A3675E">
        <w:rPr>
          <w:rFonts w:asciiTheme="minorBidi" w:hAnsiTheme="minorBidi" w:cstheme="minorBidi"/>
          <w:color w:val="231F20"/>
        </w:rPr>
        <w:t>myopexy</w:t>
      </w:r>
      <w:proofErr w:type="spellEnd"/>
      <w:r w:rsidRPr="00A3675E">
        <w:rPr>
          <w:rFonts w:asciiTheme="minorBidi" w:hAnsiTheme="minorBidi" w:cstheme="minorBidi"/>
          <w:color w:val="231F20"/>
        </w:rPr>
        <w:t xml:space="preserve"> or with a near addition of approximately +2.50 to +3.00 D if the AC/A ratio is elevated. A +3.00 D addition to full optical correction is more appropriate in purely accommodative esotropia with convergence excess, which does not require conventional surgery for the distance deviation</w:t>
      </w:r>
      <w:r w:rsidR="00140CE0">
        <w:rPr>
          <w:rFonts w:asciiTheme="minorBidi" w:hAnsiTheme="minorBidi" w:cstheme="minorBidi"/>
          <w:color w:val="231F20"/>
        </w:rPr>
        <w:t xml:space="preserve"> </w:t>
      </w:r>
      <w:r w:rsidRPr="00A3675E">
        <w:rPr>
          <w:rFonts w:asciiTheme="minorBidi" w:hAnsiTheme="minorBidi" w:cstheme="minorBidi"/>
          <w:color w:val="231F20"/>
        </w:rPr>
        <w:t xml:space="preserve">unlike in our cohort. In contrast, when conventional surgery is indicated for distance deviation, posterior </w:t>
      </w:r>
      <w:proofErr w:type="spellStart"/>
      <w:r w:rsidRPr="00A3675E">
        <w:rPr>
          <w:rFonts w:asciiTheme="minorBidi" w:hAnsiTheme="minorBidi" w:cstheme="minorBidi"/>
          <w:color w:val="231F20"/>
        </w:rPr>
        <w:t>myopexy</w:t>
      </w:r>
      <w:proofErr w:type="spellEnd"/>
      <w:r w:rsidRPr="00A3675E">
        <w:rPr>
          <w:rFonts w:asciiTheme="minorBidi" w:hAnsiTheme="minorBidi" w:cstheme="minorBidi"/>
          <w:color w:val="231F20"/>
        </w:rPr>
        <w:t xml:space="preserve"> may be added to simultaneously address accommodative convergence excess (Steffen et al., 1998; </w:t>
      </w:r>
      <w:proofErr w:type="spellStart"/>
      <w:r w:rsidRPr="00A3675E">
        <w:rPr>
          <w:rFonts w:asciiTheme="minorBidi" w:hAnsiTheme="minorBidi" w:cstheme="minorBidi"/>
          <w:color w:val="231F20"/>
        </w:rPr>
        <w:t>Klainguti</w:t>
      </w:r>
      <w:proofErr w:type="spellEnd"/>
      <w:r w:rsidRPr="00A3675E">
        <w:rPr>
          <w:rFonts w:asciiTheme="minorBidi" w:hAnsiTheme="minorBidi" w:cstheme="minorBidi"/>
          <w:color w:val="231F20"/>
        </w:rPr>
        <w:t xml:space="preserve"> et al., 1998; Akar et al., 2013).</w:t>
      </w:r>
    </w:p>
    <w:p w14:paraId="353A2D20" w14:textId="77777777" w:rsidR="00284286" w:rsidRPr="00A3675E" w:rsidRDefault="00284286" w:rsidP="00284286">
      <w:pPr>
        <w:spacing w:after="160" w:line="259" w:lineRule="auto"/>
        <w:jc w:val="both"/>
        <w:rPr>
          <w:rFonts w:asciiTheme="minorBidi" w:hAnsiTheme="minorBidi" w:cstheme="minorBidi"/>
          <w:color w:val="231F20"/>
        </w:rPr>
      </w:pPr>
      <w:r w:rsidRPr="00A3675E">
        <w:rPr>
          <w:rFonts w:asciiTheme="minorBidi" w:hAnsiTheme="minorBidi" w:cstheme="minorBidi"/>
          <w:color w:val="231F20"/>
        </w:rPr>
        <w:t xml:space="preserve">In our series, consecutive exotropia occurred in 5% of cases, a result comparable to reports in the international literature despite our relatively limited sample size (Happe &amp; Suleiman, 1999; </w:t>
      </w:r>
      <w:proofErr w:type="spellStart"/>
      <w:r w:rsidRPr="00A3675E">
        <w:rPr>
          <w:rFonts w:asciiTheme="minorBidi" w:hAnsiTheme="minorBidi" w:cstheme="minorBidi"/>
          <w:color w:val="231F20"/>
        </w:rPr>
        <w:t>Paliaga</w:t>
      </w:r>
      <w:proofErr w:type="spellEnd"/>
      <w:r w:rsidRPr="00A3675E">
        <w:rPr>
          <w:rFonts w:asciiTheme="minorBidi" w:hAnsiTheme="minorBidi" w:cstheme="minorBidi"/>
          <w:color w:val="231F20"/>
        </w:rPr>
        <w:t xml:space="preserve"> &amp; Braga, 1989). This early-onset persistent exotropia likely resulted from surgical overcorrection and required reoperation, occasionally involving removal of the </w:t>
      </w:r>
      <w:proofErr w:type="spellStart"/>
      <w:r w:rsidRPr="00A3675E">
        <w:rPr>
          <w:rFonts w:asciiTheme="minorBidi" w:hAnsiTheme="minorBidi" w:cstheme="minorBidi"/>
          <w:color w:val="231F20"/>
        </w:rPr>
        <w:t>Cüppers</w:t>
      </w:r>
      <w:proofErr w:type="spellEnd"/>
      <w:r w:rsidRPr="00A3675E">
        <w:rPr>
          <w:rFonts w:asciiTheme="minorBidi" w:hAnsiTheme="minorBidi" w:cstheme="minorBidi"/>
          <w:color w:val="231F20"/>
        </w:rPr>
        <w:t>’ suture (</w:t>
      </w:r>
      <w:proofErr w:type="spellStart"/>
      <w:r w:rsidRPr="00A3675E">
        <w:rPr>
          <w:rFonts w:asciiTheme="minorBidi" w:hAnsiTheme="minorBidi" w:cstheme="minorBidi"/>
          <w:color w:val="231F20"/>
        </w:rPr>
        <w:t>Happe</w:t>
      </w:r>
      <w:proofErr w:type="spellEnd"/>
      <w:r w:rsidRPr="00A3675E">
        <w:rPr>
          <w:rFonts w:asciiTheme="minorBidi" w:hAnsiTheme="minorBidi" w:cstheme="minorBidi"/>
          <w:color w:val="231F20"/>
        </w:rPr>
        <w:t xml:space="preserve"> &amp; Suleiman, 1999). This condition should be differentiated from transient postoperative exotropia, more frequently observed, which is due to hysteresis and transient inhibition of muscles subjected to posterior fixation. The latter tends to regress as muscle function normalizes and may ultimately prove beneficial in the long term (Happe &amp; Suleiman, 1999; Steffen et al., 1998).</w:t>
      </w:r>
    </w:p>
    <w:p w14:paraId="13E204D6" w14:textId="1B7DBD66" w:rsidR="00284286" w:rsidRPr="00A3675E" w:rsidRDefault="00284286" w:rsidP="00284286">
      <w:pPr>
        <w:spacing w:after="160" w:line="259" w:lineRule="auto"/>
        <w:jc w:val="both"/>
        <w:rPr>
          <w:rFonts w:asciiTheme="minorBidi" w:hAnsiTheme="minorBidi" w:cstheme="minorBidi"/>
          <w:color w:val="231F20"/>
        </w:rPr>
      </w:pPr>
      <w:r w:rsidRPr="00A3675E">
        <w:rPr>
          <w:rFonts w:asciiTheme="minorBidi" w:hAnsiTheme="minorBidi" w:cstheme="minorBidi"/>
          <w:color w:val="231F20"/>
        </w:rPr>
        <w:t xml:space="preserve">The effectiveness of posterior </w:t>
      </w:r>
      <w:proofErr w:type="spellStart"/>
      <w:r w:rsidRPr="00A3675E">
        <w:rPr>
          <w:rFonts w:asciiTheme="minorBidi" w:hAnsiTheme="minorBidi" w:cstheme="minorBidi"/>
          <w:color w:val="231F20"/>
        </w:rPr>
        <w:t>myopexy</w:t>
      </w:r>
      <w:proofErr w:type="spellEnd"/>
      <w:r w:rsidRPr="00A3675E">
        <w:rPr>
          <w:rFonts w:asciiTheme="minorBidi" w:hAnsiTheme="minorBidi" w:cstheme="minorBidi"/>
          <w:color w:val="231F20"/>
        </w:rPr>
        <w:t xml:space="preserve"> combined with conventional surgery is known to be unpredictable and to vary over time. Gharabaghi and Zanjani reported satisfactory results in 78% of cases at 10 months (Gharabaghi &amp; Zanjani, 2006). Oguz et al. observed 86% success at 2 years (Oguz et al., 1999). </w:t>
      </w:r>
      <w:proofErr w:type="spellStart"/>
      <w:r w:rsidRPr="00A3675E">
        <w:rPr>
          <w:rFonts w:asciiTheme="minorBidi" w:hAnsiTheme="minorBidi" w:cstheme="minorBidi"/>
          <w:color w:val="231F20"/>
        </w:rPr>
        <w:t>Klainguti</w:t>
      </w:r>
      <w:proofErr w:type="spellEnd"/>
      <w:r w:rsidRPr="00A3675E">
        <w:rPr>
          <w:rFonts w:asciiTheme="minorBidi" w:hAnsiTheme="minorBidi" w:cstheme="minorBidi"/>
          <w:color w:val="231F20"/>
        </w:rPr>
        <w:t xml:space="preserve"> et al. reported a 62% success rate at 6 years (</w:t>
      </w:r>
      <w:proofErr w:type="spellStart"/>
      <w:r w:rsidRPr="00A3675E">
        <w:rPr>
          <w:rFonts w:asciiTheme="minorBidi" w:hAnsiTheme="minorBidi" w:cstheme="minorBidi"/>
          <w:color w:val="231F20"/>
        </w:rPr>
        <w:t>Klainguti</w:t>
      </w:r>
      <w:proofErr w:type="spellEnd"/>
      <w:r w:rsidRPr="00A3675E">
        <w:rPr>
          <w:rFonts w:asciiTheme="minorBidi" w:hAnsiTheme="minorBidi" w:cstheme="minorBidi"/>
          <w:color w:val="231F20"/>
        </w:rPr>
        <w:t xml:space="preserve"> et al., 1991). In De Decker’s series, 76–86% of patients with convergence excess maintained satisfactory near ocular alignment for 2–3 years postoperatively (De Decker, 1981). Happe and Suleiman described anterior migration of the muscle</w:t>
      </w:r>
      <w:r w:rsidR="00080659">
        <w:rPr>
          <w:rFonts w:asciiTheme="minorBidi" w:hAnsiTheme="minorBidi" w:cstheme="minorBidi"/>
          <w:color w:val="231F20"/>
        </w:rPr>
        <w:t xml:space="preserve"> </w:t>
      </w:r>
      <w:r w:rsidRPr="00A3675E">
        <w:rPr>
          <w:rFonts w:asciiTheme="minorBidi" w:hAnsiTheme="minorBidi" w:cstheme="minorBidi"/>
          <w:color w:val="231F20"/>
        </w:rPr>
        <w:t xml:space="preserve">sclera scar and concluded that posterior </w:t>
      </w:r>
      <w:proofErr w:type="spellStart"/>
      <w:r w:rsidRPr="00A3675E">
        <w:rPr>
          <w:rFonts w:asciiTheme="minorBidi" w:hAnsiTheme="minorBidi" w:cstheme="minorBidi"/>
          <w:color w:val="231F20"/>
        </w:rPr>
        <w:t>myopexy</w:t>
      </w:r>
      <w:proofErr w:type="spellEnd"/>
      <w:r w:rsidRPr="00A3675E">
        <w:rPr>
          <w:rFonts w:asciiTheme="minorBidi" w:hAnsiTheme="minorBidi" w:cstheme="minorBidi"/>
          <w:color w:val="231F20"/>
        </w:rPr>
        <w:t xml:space="preserve"> loses effectiveness over time (Happe &amp; Suleiman, 1999). Similarly, </w:t>
      </w:r>
      <w:proofErr w:type="spellStart"/>
      <w:r w:rsidRPr="00A3675E">
        <w:rPr>
          <w:rFonts w:asciiTheme="minorBidi" w:hAnsiTheme="minorBidi" w:cstheme="minorBidi"/>
          <w:color w:val="231F20"/>
        </w:rPr>
        <w:t>Paliaga</w:t>
      </w:r>
      <w:proofErr w:type="spellEnd"/>
      <w:r w:rsidRPr="00A3675E">
        <w:rPr>
          <w:rFonts w:asciiTheme="minorBidi" w:hAnsiTheme="minorBidi" w:cstheme="minorBidi"/>
          <w:color w:val="231F20"/>
        </w:rPr>
        <w:t xml:space="preserve"> and Braga reported a progressive decline in long-term efficacy (</w:t>
      </w:r>
      <w:proofErr w:type="spellStart"/>
      <w:r w:rsidRPr="00A3675E">
        <w:rPr>
          <w:rFonts w:asciiTheme="minorBidi" w:hAnsiTheme="minorBidi" w:cstheme="minorBidi"/>
          <w:color w:val="231F20"/>
        </w:rPr>
        <w:t>Paliaga</w:t>
      </w:r>
      <w:proofErr w:type="spellEnd"/>
      <w:r w:rsidRPr="00A3675E">
        <w:rPr>
          <w:rFonts w:asciiTheme="minorBidi" w:hAnsiTheme="minorBidi" w:cstheme="minorBidi"/>
          <w:color w:val="231F20"/>
        </w:rPr>
        <w:t xml:space="preserve"> &amp; Braga, 1989).</w:t>
      </w:r>
    </w:p>
    <w:p w14:paraId="60E041E8" w14:textId="77777777" w:rsidR="00284286" w:rsidRPr="00A3675E" w:rsidRDefault="00284286" w:rsidP="00284286">
      <w:pPr>
        <w:spacing w:after="160" w:line="259" w:lineRule="auto"/>
        <w:jc w:val="both"/>
        <w:rPr>
          <w:rFonts w:asciiTheme="minorBidi" w:hAnsiTheme="minorBidi" w:cstheme="minorBidi"/>
          <w:color w:val="231F20"/>
        </w:rPr>
      </w:pPr>
      <w:r w:rsidRPr="00A3675E">
        <w:rPr>
          <w:rFonts w:asciiTheme="minorBidi" w:hAnsiTheme="minorBidi" w:cstheme="minorBidi"/>
          <w:color w:val="231F20"/>
        </w:rPr>
        <w:t>In our series, the mean postoperative distance deviation remained below 10 PD at 3, 6, and 12 months, with a significant reduction compared to preoperative values. Postoperative distance–near incomitance increased slightly over time but remained below 10 PD at all follow-ups.</w:t>
      </w:r>
    </w:p>
    <w:p w14:paraId="164D5C04" w14:textId="77777777" w:rsidR="00284286" w:rsidRPr="00A3675E" w:rsidRDefault="00284286" w:rsidP="00284286">
      <w:pPr>
        <w:spacing w:after="160" w:line="259" w:lineRule="auto"/>
        <w:jc w:val="both"/>
        <w:rPr>
          <w:rFonts w:asciiTheme="minorBidi" w:hAnsiTheme="minorBidi" w:cstheme="minorBidi"/>
          <w:color w:val="231F20"/>
        </w:rPr>
      </w:pPr>
      <w:r w:rsidRPr="00A3675E">
        <w:rPr>
          <w:rFonts w:asciiTheme="minorBidi" w:hAnsiTheme="minorBidi" w:cstheme="minorBidi"/>
          <w:color w:val="231F20"/>
        </w:rPr>
        <w:t>Using the predefined surgical success criterion (distance deviation and distance–near incomitance each &lt; 10 PD), our success rates of 95% at 3 months and 85% at 12 months are comparable with published data (</w:t>
      </w:r>
      <w:proofErr w:type="spellStart"/>
      <w:r w:rsidRPr="00A3675E">
        <w:rPr>
          <w:rFonts w:asciiTheme="minorBidi" w:hAnsiTheme="minorBidi" w:cstheme="minorBidi"/>
          <w:color w:val="231F20"/>
        </w:rPr>
        <w:t>Klainguti</w:t>
      </w:r>
      <w:proofErr w:type="spellEnd"/>
      <w:r w:rsidRPr="00A3675E">
        <w:rPr>
          <w:rFonts w:asciiTheme="minorBidi" w:hAnsiTheme="minorBidi" w:cstheme="minorBidi"/>
          <w:color w:val="231F20"/>
        </w:rPr>
        <w:t xml:space="preserve"> et al., 1991; Akar et al., 2013). The progressive decline in surgical success over time likely reflects the natural course of esotropia, constant stress exerted by medial rectus contraction on fixation sutures, and tissue remodeling after surgery (</w:t>
      </w:r>
      <w:proofErr w:type="spellStart"/>
      <w:r w:rsidRPr="00A3675E">
        <w:rPr>
          <w:rFonts w:asciiTheme="minorBidi" w:hAnsiTheme="minorBidi" w:cstheme="minorBidi"/>
          <w:color w:val="231F20"/>
        </w:rPr>
        <w:t>Klainguti</w:t>
      </w:r>
      <w:proofErr w:type="spellEnd"/>
      <w:r w:rsidRPr="00A3675E">
        <w:rPr>
          <w:rFonts w:asciiTheme="minorBidi" w:hAnsiTheme="minorBidi" w:cstheme="minorBidi"/>
          <w:color w:val="231F20"/>
        </w:rPr>
        <w:t xml:space="preserve"> et al., 1991; Happe &amp; Suleiman, 1999). Furthermore, the force exerted by the muscle on posterior fixation sutures beyond the normal arc of contact can be resolved into a decreasing rotational component and an increasing tearing component as the globe rotates toward the operated muscle. This tearing force may disrupt scleral fixation or cause its progressive anterior migration, thereby diminishing the long-term effectiveness of posterior </w:t>
      </w:r>
      <w:proofErr w:type="spellStart"/>
      <w:r w:rsidRPr="00A3675E">
        <w:rPr>
          <w:rFonts w:asciiTheme="minorBidi" w:hAnsiTheme="minorBidi" w:cstheme="minorBidi"/>
          <w:color w:val="231F20"/>
        </w:rPr>
        <w:t>myopexy</w:t>
      </w:r>
      <w:proofErr w:type="spellEnd"/>
      <w:r w:rsidRPr="00A3675E">
        <w:rPr>
          <w:rFonts w:asciiTheme="minorBidi" w:hAnsiTheme="minorBidi" w:cstheme="minorBidi"/>
          <w:color w:val="231F20"/>
        </w:rPr>
        <w:t xml:space="preserve"> (</w:t>
      </w:r>
      <w:proofErr w:type="spellStart"/>
      <w:r w:rsidRPr="00A3675E">
        <w:rPr>
          <w:rFonts w:asciiTheme="minorBidi" w:hAnsiTheme="minorBidi" w:cstheme="minorBidi"/>
          <w:color w:val="231F20"/>
        </w:rPr>
        <w:t>Bérard</w:t>
      </w:r>
      <w:proofErr w:type="spellEnd"/>
      <w:r w:rsidRPr="00A3675E">
        <w:rPr>
          <w:rFonts w:asciiTheme="minorBidi" w:hAnsiTheme="minorBidi" w:cstheme="minorBidi"/>
          <w:color w:val="231F20"/>
        </w:rPr>
        <w:t xml:space="preserve"> et al., 1976; Quéré et al., 1977; Clark et al., 1999; </w:t>
      </w:r>
      <w:proofErr w:type="spellStart"/>
      <w:r w:rsidRPr="00A3675E">
        <w:rPr>
          <w:rFonts w:asciiTheme="minorBidi" w:hAnsiTheme="minorBidi" w:cstheme="minorBidi"/>
          <w:color w:val="231F20"/>
        </w:rPr>
        <w:t>Klainguti</w:t>
      </w:r>
      <w:proofErr w:type="spellEnd"/>
      <w:r w:rsidRPr="00A3675E">
        <w:rPr>
          <w:rFonts w:asciiTheme="minorBidi" w:hAnsiTheme="minorBidi" w:cstheme="minorBidi"/>
          <w:color w:val="231F20"/>
        </w:rPr>
        <w:t xml:space="preserve"> et al., 1991).</w:t>
      </w:r>
    </w:p>
    <w:p w14:paraId="30CFCD29" w14:textId="77777777" w:rsidR="00284286" w:rsidRPr="00284286" w:rsidRDefault="00284286" w:rsidP="00284286">
      <w:pPr>
        <w:pStyle w:val="BodyText"/>
        <w:spacing w:before="152" w:line="252" w:lineRule="auto"/>
        <w:ind w:right="38"/>
        <w:jc w:val="both"/>
        <w:rPr>
          <w:rFonts w:asciiTheme="minorBidi" w:hAnsiTheme="minorBidi" w:cstheme="minorBidi"/>
          <w:b/>
          <w:bCs/>
        </w:rPr>
      </w:pPr>
    </w:p>
    <w:p w14:paraId="6FDE0856" w14:textId="77777777" w:rsidR="00284286" w:rsidRPr="007B3C3A" w:rsidRDefault="00284286" w:rsidP="00ED6D74">
      <w:pPr>
        <w:pStyle w:val="BodyText"/>
        <w:widowControl w:val="0"/>
        <w:autoSpaceDE w:val="0"/>
        <w:autoSpaceDN w:val="0"/>
        <w:spacing w:before="201" w:line="230" w:lineRule="auto"/>
        <w:ind w:left="59" w:right="215"/>
        <w:jc w:val="both"/>
        <w:rPr>
          <w:rFonts w:ascii="Calibri" w:eastAsia="Trebuchet MS" w:hAnsi="Calibri" w:cs="Calibri"/>
          <w:color w:val="231F20"/>
          <w:sz w:val="24"/>
          <w:szCs w:val="24"/>
        </w:rPr>
      </w:pPr>
    </w:p>
    <w:p w14:paraId="656689F8" w14:textId="5DEDD468" w:rsidR="00790ADA" w:rsidRPr="00ED6D74" w:rsidRDefault="00790ADA" w:rsidP="00ED6D74">
      <w:pPr>
        <w:pStyle w:val="Body"/>
        <w:spacing w:after="0"/>
        <w:rPr>
          <w:rFonts w:asciiTheme="minorBidi" w:hAnsiTheme="minorBidi" w:cstheme="minorBidi"/>
        </w:rPr>
      </w:pPr>
    </w:p>
    <w:p w14:paraId="29C7D167"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71B91BE1" w14:textId="77777777" w:rsidR="00790ADA" w:rsidRPr="00FB3A86" w:rsidRDefault="00790ADA" w:rsidP="00441B6F">
      <w:pPr>
        <w:pStyle w:val="ConcHead"/>
        <w:spacing w:after="0"/>
        <w:jc w:val="both"/>
        <w:rPr>
          <w:rFonts w:ascii="Arial" w:hAnsi="Arial" w:cs="Arial"/>
        </w:rPr>
      </w:pPr>
    </w:p>
    <w:p w14:paraId="5A5C4ABB" w14:textId="00763CD4" w:rsidR="00080659" w:rsidRPr="00080659" w:rsidRDefault="00080659" w:rsidP="00441B6F">
      <w:pPr>
        <w:pStyle w:val="Body"/>
        <w:spacing w:after="0"/>
        <w:rPr>
          <w:rFonts w:asciiTheme="minorBidi" w:hAnsiTheme="minorBidi" w:cstheme="minorBidi"/>
        </w:rPr>
      </w:pPr>
      <w:r w:rsidRPr="00080659">
        <w:rPr>
          <w:rFonts w:asciiTheme="minorBidi" w:hAnsiTheme="minorBidi" w:cstheme="minorBidi"/>
        </w:rPr>
        <w:t xml:space="preserve">Posterior </w:t>
      </w:r>
      <w:proofErr w:type="spellStart"/>
      <w:r w:rsidRPr="00080659">
        <w:rPr>
          <w:rFonts w:asciiTheme="minorBidi" w:hAnsiTheme="minorBidi" w:cstheme="minorBidi"/>
        </w:rPr>
        <w:t>myopexy</w:t>
      </w:r>
      <w:proofErr w:type="spellEnd"/>
      <w:r w:rsidRPr="00080659">
        <w:rPr>
          <w:rFonts w:asciiTheme="minorBidi" w:hAnsiTheme="minorBidi" w:cstheme="minorBidi"/>
        </w:rPr>
        <w:t xml:space="preserve"> combined with conventional horizontal strabismus surgery appears to provide a high rate of surgical success and long-term angular stability in patients with concomitant esotropia associated with distance–near incomitance greater than 10 prism diopters or medial rectus spasm. Our findings confirm that this combined approach not only corrects the primary deviation but also attenuates tonic overaction of the medial rectus, thereby improving binocular alignment in different gaze positions. Nevertheless, the gradual decline in success rates observed over extended follow-up highlights the influence of long-term muscle biomechanics, tissue remodeling, and suture migration on surgical outcomes. These results underscore the importance of individualized surgical planning, long-term follow-up, and further prospective studies to optimize the indications, techniques, and durability of posterior </w:t>
      </w:r>
      <w:proofErr w:type="spellStart"/>
      <w:r w:rsidRPr="00080659">
        <w:rPr>
          <w:rFonts w:asciiTheme="minorBidi" w:hAnsiTheme="minorBidi" w:cstheme="minorBidi"/>
        </w:rPr>
        <w:t>myopexy</w:t>
      </w:r>
      <w:proofErr w:type="spellEnd"/>
      <w:r w:rsidRPr="00080659">
        <w:rPr>
          <w:rFonts w:asciiTheme="minorBidi" w:hAnsiTheme="minorBidi" w:cstheme="minorBidi"/>
        </w:rPr>
        <w:t xml:space="preserve"> in complex forms of esotropia</w:t>
      </w:r>
    </w:p>
    <w:p w14:paraId="3779EDBC" w14:textId="48F9ACA0" w:rsidR="002B685A" w:rsidRDefault="002B685A" w:rsidP="00441B6F">
      <w:pPr>
        <w:pStyle w:val="ReferHead"/>
        <w:spacing w:after="0"/>
        <w:jc w:val="both"/>
        <w:rPr>
          <w:rFonts w:ascii="Arial" w:hAnsi="Arial" w:cs="Arial"/>
          <w:b w:val="0"/>
          <w:caps w:val="0"/>
          <w:sz w:val="20"/>
        </w:rPr>
      </w:pPr>
    </w:p>
    <w:p w14:paraId="2D606013" w14:textId="77777777" w:rsidR="00D93A71" w:rsidRDefault="00D93A71" w:rsidP="00441B6F">
      <w:pPr>
        <w:pStyle w:val="ReferHead"/>
        <w:spacing w:after="0"/>
        <w:jc w:val="both"/>
        <w:rPr>
          <w:rFonts w:ascii="Arial" w:hAnsi="Arial" w:cs="Arial"/>
          <w:b w:val="0"/>
          <w:caps w:val="0"/>
          <w:sz w:val="20"/>
        </w:rPr>
      </w:pPr>
    </w:p>
    <w:p w14:paraId="5BA219AA" w14:textId="34C12121" w:rsidR="002B685A" w:rsidRDefault="002B685A" w:rsidP="008E5ECA">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4BF7CD3" w14:textId="77777777" w:rsidR="002B685A" w:rsidRPr="002B685A" w:rsidRDefault="002B685A" w:rsidP="00441B6F">
      <w:pPr>
        <w:pStyle w:val="ReferHead"/>
        <w:spacing w:after="0"/>
        <w:jc w:val="both"/>
        <w:rPr>
          <w:rFonts w:ascii="Arial" w:hAnsi="Arial" w:cs="Arial"/>
          <w:bCs/>
        </w:rPr>
      </w:pPr>
    </w:p>
    <w:p w14:paraId="071CD097" w14:textId="77777777" w:rsidR="008E5ECA" w:rsidRDefault="008E5ECA" w:rsidP="008E5ECA">
      <w:pPr>
        <w:pStyle w:val="Body"/>
        <w:rPr>
          <w:rFonts w:ascii="Arial" w:hAnsi="Arial" w:cs="Arial"/>
        </w:rPr>
      </w:pPr>
      <w:r w:rsidRPr="00727821">
        <w:rPr>
          <w:rFonts w:ascii="Arial" w:hAnsi="Arial" w:cs="Arial"/>
        </w:rPr>
        <w:t>The patients have given their written informed consent on admission to use their data base and files for research work</w:t>
      </w:r>
    </w:p>
    <w:p w14:paraId="0C83B8EB" w14:textId="77777777" w:rsidR="005C784C" w:rsidRDefault="005C784C" w:rsidP="00441B6F">
      <w:pPr>
        <w:pStyle w:val="ReferHead"/>
        <w:spacing w:after="0"/>
        <w:jc w:val="both"/>
        <w:rPr>
          <w:rFonts w:ascii="Arial" w:hAnsi="Arial" w:cs="Arial"/>
          <w:b w:val="0"/>
          <w:caps w:val="0"/>
          <w:sz w:val="20"/>
        </w:rPr>
      </w:pPr>
    </w:p>
    <w:p w14:paraId="3459B9B5" w14:textId="5F20A23B" w:rsidR="005C784C" w:rsidRDefault="005C784C" w:rsidP="008E5ECA">
      <w:pPr>
        <w:pStyle w:val="ReferHead"/>
        <w:spacing w:after="0"/>
        <w:jc w:val="both"/>
        <w:rPr>
          <w:rFonts w:ascii="Arial" w:hAnsi="Arial" w:cs="Arial"/>
          <w:bCs/>
        </w:rPr>
      </w:pPr>
      <w:r>
        <w:rPr>
          <w:rFonts w:ascii="Arial" w:hAnsi="Arial" w:cs="Arial"/>
          <w:bCs/>
        </w:rPr>
        <w:t xml:space="preserve">Ethical approval </w:t>
      </w:r>
    </w:p>
    <w:p w14:paraId="71362047" w14:textId="77777777" w:rsidR="005C784C" w:rsidRPr="002B685A" w:rsidRDefault="005C784C" w:rsidP="00441B6F">
      <w:pPr>
        <w:pStyle w:val="ReferHead"/>
        <w:spacing w:after="0"/>
        <w:jc w:val="both"/>
        <w:rPr>
          <w:rFonts w:ascii="Arial" w:hAnsi="Arial" w:cs="Arial"/>
          <w:bCs/>
        </w:rPr>
      </w:pPr>
    </w:p>
    <w:p w14:paraId="07FE5DC3" w14:textId="77777777" w:rsidR="008E5ECA" w:rsidRPr="004D6751" w:rsidRDefault="008E5ECA" w:rsidP="008E5ECA">
      <w:pPr>
        <w:pStyle w:val="ReferHead"/>
        <w:spacing w:after="0"/>
        <w:jc w:val="both"/>
        <w:rPr>
          <w:rFonts w:ascii="Arial" w:hAnsi="Arial" w:cs="Arial"/>
          <w:b w:val="0"/>
          <w:bCs/>
          <w:sz w:val="20"/>
        </w:rPr>
      </w:pPr>
      <w:r w:rsidRPr="004D6751">
        <w:rPr>
          <w:rFonts w:ascii="Arial" w:hAnsi="Arial" w:cs="Arial"/>
          <w:b w:val="0"/>
          <w:bCs/>
          <w:caps w:val="0"/>
          <w:sz w:val="20"/>
        </w:rPr>
        <w:t xml:space="preserve">Ethical approval: all procedures performed in studies involving human participants were in accordance with the ethical standards of the institutional and/or national research committee and with the 1964 </w:t>
      </w:r>
      <w:proofErr w:type="spellStart"/>
      <w:r w:rsidRPr="004D6751">
        <w:rPr>
          <w:rFonts w:ascii="Arial" w:hAnsi="Arial" w:cs="Arial"/>
          <w:b w:val="0"/>
          <w:bCs/>
          <w:caps w:val="0"/>
          <w:sz w:val="20"/>
        </w:rPr>
        <w:t>helsinki</w:t>
      </w:r>
      <w:proofErr w:type="spellEnd"/>
      <w:r w:rsidRPr="004D6751">
        <w:rPr>
          <w:rFonts w:ascii="Arial" w:hAnsi="Arial" w:cs="Arial"/>
          <w:b w:val="0"/>
          <w:bCs/>
          <w:caps w:val="0"/>
          <w:sz w:val="20"/>
        </w:rPr>
        <w:t xml:space="preserve"> declaration and its later amendments or comparable ethical standards.</w:t>
      </w:r>
    </w:p>
    <w:p w14:paraId="445FB085" w14:textId="77777777" w:rsidR="008E5ECA" w:rsidRPr="004D6751" w:rsidRDefault="008E5ECA" w:rsidP="008E5ECA">
      <w:pPr>
        <w:pStyle w:val="ReferHead"/>
        <w:spacing w:after="0"/>
        <w:jc w:val="both"/>
        <w:rPr>
          <w:rFonts w:ascii="Arial" w:hAnsi="Arial" w:cs="Arial"/>
          <w:b w:val="0"/>
          <w:bCs/>
          <w:sz w:val="20"/>
        </w:rPr>
      </w:pPr>
      <w:r w:rsidRPr="004D6751">
        <w:rPr>
          <w:rFonts w:ascii="Arial" w:hAnsi="Arial" w:cs="Arial"/>
          <w:b w:val="0"/>
          <w:bCs/>
          <w:caps w:val="0"/>
          <w:sz w:val="20"/>
        </w:rPr>
        <w:t>This retrospective analysis did not require ethical approval as it involved only anonymized data from routine clinical practice, with no intervention or identifiable information disclosed</w:t>
      </w:r>
    </w:p>
    <w:p w14:paraId="2603BE60" w14:textId="77777777" w:rsidR="008E5ECA" w:rsidRPr="004D6751" w:rsidRDefault="008E5ECA" w:rsidP="008E5ECA">
      <w:pPr>
        <w:pStyle w:val="ReferHead"/>
        <w:spacing w:after="0"/>
        <w:jc w:val="both"/>
        <w:rPr>
          <w:rFonts w:ascii="Arial" w:hAnsi="Arial" w:cs="Arial"/>
          <w:b w:val="0"/>
          <w:bCs/>
          <w:sz w:val="20"/>
        </w:rPr>
      </w:pPr>
      <w:r w:rsidRPr="004D6751">
        <w:rPr>
          <w:rFonts w:ascii="Arial" w:hAnsi="Arial" w:cs="Arial"/>
          <w:b w:val="0"/>
          <w:bCs/>
          <w:caps w:val="0"/>
          <w:sz w:val="20"/>
        </w:rPr>
        <w:t>-Patients’ privacy was fully respected.</w:t>
      </w:r>
    </w:p>
    <w:p w14:paraId="78AB3D77" w14:textId="77777777" w:rsidR="008E5ECA" w:rsidRPr="004D6751" w:rsidRDefault="008E5ECA" w:rsidP="008E5ECA">
      <w:pPr>
        <w:pStyle w:val="ReferHead"/>
        <w:spacing w:after="0"/>
        <w:jc w:val="both"/>
        <w:rPr>
          <w:rFonts w:ascii="Arial" w:hAnsi="Arial" w:cs="Arial"/>
          <w:b w:val="0"/>
          <w:bCs/>
          <w:sz w:val="20"/>
        </w:rPr>
      </w:pPr>
      <w:r w:rsidRPr="004D6751">
        <w:rPr>
          <w:rFonts w:ascii="Arial" w:hAnsi="Arial" w:cs="Arial"/>
          <w:b w:val="0"/>
          <w:bCs/>
          <w:caps w:val="0"/>
          <w:sz w:val="20"/>
        </w:rPr>
        <w:t>-</w:t>
      </w:r>
      <w:r>
        <w:rPr>
          <w:rFonts w:ascii="Arial" w:hAnsi="Arial" w:cs="Arial"/>
          <w:b w:val="0"/>
          <w:bCs/>
          <w:caps w:val="0"/>
          <w:sz w:val="20"/>
        </w:rPr>
        <w:t>T</w:t>
      </w:r>
      <w:r w:rsidRPr="004D6751">
        <w:rPr>
          <w:rFonts w:ascii="Arial" w:hAnsi="Arial" w:cs="Arial"/>
          <w:b w:val="0"/>
          <w:bCs/>
          <w:caps w:val="0"/>
          <w:sz w:val="20"/>
        </w:rPr>
        <w:t>here are no identifying details in our study</w:t>
      </w:r>
    </w:p>
    <w:p w14:paraId="2EA4592D" w14:textId="77777777" w:rsidR="0041027F" w:rsidRDefault="0041027F" w:rsidP="00441B6F">
      <w:pPr>
        <w:pStyle w:val="ReferHead"/>
        <w:spacing w:after="0"/>
        <w:jc w:val="both"/>
        <w:rPr>
          <w:rFonts w:ascii="Arial" w:hAnsi="Arial" w:cs="Arial"/>
          <w:b w:val="0"/>
          <w:caps w:val="0"/>
          <w:sz w:val="20"/>
        </w:rPr>
      </w:pPr>
    </w:p>
    <w:p w14:paraId="2DCA6FB7" w14:textId="77777777" w:rsidR="00860000" w:rsidRDefault="00860000" w:rsidP="00441B6F">
      <w:pPr>
        <w:pStyle w:val="ReferHead"/>
        <w:spacing w:after="0"/>
        <w:jc w:val="both"/>
        <w:rPr>
          <w:rFonts w:ascii="Arial" w:hAnsi="Arial" w:cs="Arial"/>
        </w:rPr>
      </w:pPr>
    </w:p>
    <w:p w14:paraId="4A2C785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711E95E" w14:textId="77777777" w:rsidR="00790ADA" w:rsidRDefault="00790ADA" w:rsidP="00441B6F">
      <w:pPr>
        <w:pStyle w:val="ReferHead"/>
        <w:spacing w:after="0"/>
        <w:jc w:val="both"/>
        <w:rPr>
          <w:rFonts w:ascii="Arial" w:hAnsi="Arial" w:cs="Arial"/>
        </w:rPr>
      </w:pPr>
    </w:p>
    <w:p w14:paraId="094ADAB4"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proofErr w:type="spellStart"/>
      <w:r w:rsidRPr="003433BD">
        <w:rPr>
          <w:rFonts w:asciiTheme="minorBidi" w:hAnsiTheme="minorBidi" w:cstheme="minorBidi"/>
        </w:rPr>
        <w:t>Cüppers</w:t>
      </w:r>
      <w:proofErr w:type="spellEnd"/>
      <w:r w:rsidRPr="003433BD">
        <w:rPr>
          <w:rFonts w:asciiTheme="minorBidi" w:hAnsiTheme="minorBidi" w:cstheme="minorBidi"/>
        </w:rPr>
        <w:t xml:space="preserve"> C. The so-called “</w:t>
      </w:r>
      <w:proofErr w:type="spellStart"/>
      <w:r w:rsidRPr="003433BD">
        <w:rPr>
          <w:rFonts w:asciiTheme="minorBidi" w:hAnsiTheme="minorBidi" w:cstheme="minorBidi"/>
        </w:rPr>
        <w:t>Fadenoperation</w:t>
      </w:r>
      <w:proofErr w:type="spellEnd"/>
      <w:r w:rsidRPr="003433BD">
        <w:rPr>
          <w:rFonts w:asciiTheme="minorBidi" w:hAnsiTheme="minorBidi" w:cstheme="minorBidi"/>
        </w:rPr>
        <w:t xml:space="preserve">”: a new approach to strabismus surgery. Dev Ophthalmol. </w:t>
      </w:r>
      <w:proofErr w:type="gramStart"/>
      <w:r w:rsidRPr="003433BD">
        <w:rPr>
          <w:rFonts w:asciiTheme="minorBidi" w:hAnsiTheme="minorBidi" w:cstheme="minorBidi"/>
        </w:rPr>
        <w:t>1981;2:70</w:t>
      </w:r>
      <w:proofErr w:type="gramEnd"/>
      <w:r w:rsidRPr="003433BD">
        <w:rPr>
          <w:rFonts w:asciiTheme="minorBidi" w:hAnsiTheme="minorBidi" w:cstheme="minorBidi"/>
        </w:rPr>
        <w:t>-75. doi:10.1159/000400464.</w:t>
      </w:r>
    </w:p>
    <w:p w14:paraId="17B4E58A"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r w:rsidRPr="003433BD">
        <w:rPr>
          <w:rFonts w:asciiTheme="minorBidi" w:hAnsiTheme="minorBidi" w:cstheme="minorBidi"/>
        </w:rPr>
        <w:t xml:space="preserve">Scott AB. Posterior fixation sutures. Arch </w:t>
      </w:r>
      <w:proofErr w:type="spellStart"/>
      <w:r w:rsidRPr="003433BD">
        <w:rPr>
          <w:rFonts w:asciiTheme="minorBidi" w:hAnsiTheme="minorBidi" w:cstheme="minorBidi"/>
        </w:rPr>
        <w:t>Ophthalmol</w:t>
      </w:r>
      <w:proofErr w:type="spellEnd"/>
      <w:r w:rsidRPr="003433BD">
        <w:rPr>
          <w:rFonts w:asciiTheme="minorBidi" w:hAnsiTheme="minorBidi" w:cstheme="minorBidi"/>
        </w:rPr>
        <w:t>. 1977;95(5):813-816. doi:10.1001/archopht.1977.04450050087013.</w:t>
      </w:r>
    </w:p>
    <w:p w14:paraId="11D690D0"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r w:rsidRPr="003433BD">
        <w:rPr>
          <w:rFonts w:asciiTheme="minorBidi" w:hAnsiTheme="minorBidi" w:cstheme="minorBidi"/>
        </w:rPr>
        <w:t xml:space="preserve">von Noorden GK. Posterior fixation sutures in strabismus surgery. Am J </w:t>
      </w:r>
      <w:proofErr w:type="spellStart"/>
      <w:r w:rsidRPr="003433BD">
        <w:rPr>
          <w:rFonts w:asciiTheme="minorBidi" w:hAnsiTheme="minorBidi" w:cstheme="minorBidi"/>
        </w:rPr>
        <w:t>Ophthalmol</w:t>
      </w:r>
      <w:proofErr w:type="spellEnd"/>
      <w:r w:rsidRPr="003433BD">
        <w:rPr>
          <w:rFonts w:asciiTheme="minorBidi" w:hAnsiTheme="minorBidi" w:cstheme="minorBidi"/>
        </w:rPr>
        <w:t>. 1976;82(5):736-740. doi:10.1016/0002-9394(76)90023-0.</w:t>
      </w:r>
    </w:p>
    <w:p w14:paraId="6F7E3F72"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r w:rsidRPr="003433BD">
        <w:rPr>
          <w:rFonts w:asciiTheme="minorBidi" w:hAnsiTheme="minorBidi" w:cstheme="minorBidi"/>
        </w:rPr>
        <w:t xml:space="preserve">Ing MR, Costenbader FD. Posterior fixation sutures in the treatment of esotropia with distance-near disparity. Arch </w:t>
      </w:r>
      <w:proofErr w:type="spellStart"/>
      <w:r w:rsidRPr="003433BD">
        <w:rPr>
          <w:rFonts w:asciiTheme="minorBidi" w:hAnsiTheme="minorBidi" w:cstheme="minorBidi"/>
        </w:rPr>
        <w:t>Ophthalmol</w:t>
      </w:r>
      <w:proofErr w:type="spellEnd"/>
      <w:r w:rsidRPr="003433BD">
        <w:rPr>
          <w:rFonts w:asciiTheme="minorBidi" w:hAnsiTheme="minorBidi" w:cstheme="minorBidi"/>
        </w:rPr>
        <w:t>. 1976;94(5):738-742. doi:10.1001/archopht.1976.03910050102005.</w:t>
      </w:r>
    </w:p>
    <w:p w14:paraId="5954E7FB"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r w:rsidRPr="003433BD">
        <w:rPr>
          <w:rFonts w:asciiTheme="minorBidi" w:hAnsiTheme="minorBidi" w:cstheme="minorBidi"/>
        </w:rPr>
        <w:t xml:space="preserve">Kushner BJ. The efficacy of posterior fixation sutures in esotropia with high accommodative convergence/accommodation ratio. Arch </w:t>
      </w:r>
      <w:proofErr w:type="spellStart"/>
      <w:r w:rsidRPr="003433BD">
        <w:rPr>
          <w:rFonts w:asciiTheme="minorBidi" w:hAnsiTheme="minorBidi" w:cstheme="minorBidi"/>
        </w:rPr>
        <w:t>Ophthalmol</w:t>
      </w:r>
      <w:proofErr w:type="spellEnd"/>
      <w:r w:rsidRPr="003433BD">
        <w:rPr>
          <w:rFonts w:asciiTheme="minorBidi" w:hAnsiTheme="minorBidi" w:cstheme="minorBidi"/>
        </w:rPr>
        <w:t>. 1999;117(6):734-738. doi:10.1001/archopht.117.6.734.</w:t>
      </w:r>
    </w:p>
    <w:p w14:paraId="295473DB"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lang w:val="fr-FR"/>
        </w:rPr>
      </w:pPr>
      <w:r w:rsidRPr="003433BD">
        <w:rPr>
          <w:rFonts w:asciiTheme="minorBidi" w:hAnsiTheme="minorBidi" w:cstheme="minorBidi"/>
        </w:rPr>
        <w:t xml:space="preserve">Nishimura J, Rosenbaum AL. Posterior fixation sutures: a review of 91 consecutive </w:t>
      </w:r>
      <w:r w:rsidRPr="003433BD">
        <w:rPr>
          <w:rFonts w:asciiTheme="minorBidi" w:hAnsiTheme="minorBidi" w:cstheme="minorBidi"/>
        </w:rPr>
        <w:lastRenderedPageBreak/>
        <w:t xml:space="preserve">cases. </w:t>
      </w:r>
      <w:r w:rsidRPr="003433BD">
        <w:rPr>
          <w:rFonts w:asciiTheme="minorBidi" w:hAnsiTheme="minorBidi" w:cstheme="minorBidi"/>
          <w:lang w:val="fr-FR"/>
        </w:rPr>
        <w:t xml:space="preserve">J </w:t>
      </w:r>
      <w:proofErr w:type="spellStart"/>
      <w:r w:rsidRPr="003433BD">
        <w:rPr>
          <w:rFonts w:asciiTheme="minorBidi" w:hAnsiTheme="minorBidi" w:cstheme="minorBidi"/>
          <w:lang w:val="fr-FR"/>
        </w:rPr>
        <w:t>Pediatr</w:t>
      </w:r>
      <w:proofErr w:type="spellEnd"/>
      <w:r w:rsidRPr="003433BD">
        <w:rPr>
          <w:rFonts w:asciiTheme="minorBidi" w:hAnsiTheme="minorBidi" w:cstheme="minorBidi"/>
          <w:lang w:val="fr-FR"/>
        </w:rPr>
        <w:t xml:space="preserve"> </w:t>
      </w:r>
      <w:proofErr w:type="spellStart"/>
      <w:r w:rsidRPr="003433BD">
        <w:rPr>
          <w:rFonts w:asciiTheme="minorBidi" w:hAnsiTheme="minorBidi" w:cstheme="minorBidi"/>
          <w:lang w:val="fr-FR"/>
        </w:rPr>
        <w:t>Ophthalmol</w:t>
      </w:r>
      <w:proofErr w:type="spellEnd"/>
      <w:r w:rsidRPr="003433BD">
        <w:rPr>
          <w:rFonts w:asciiTheme="minorBidi" w:hAnsiTheme="minorBidi" w:cstheme="minorBidi"/>
          <w:lang w:val="fr-FR"/>
        </w:rPr>
        <w:t xml:space="preserve"> </w:t>
      </w:r>
      <w:proofErr w:type="spellStart"/>
      <w:r w:rsidRPr="003433BD">
        <w:rPr>
          <w:rFonts w:asciiTheme="minorBidi" w:hAnsiTheme="minorBidi" w:cstheme="minorBidi"/>
          <w:lang w:val="fr-FR"/>
        </w:rPr>
        <w:t>Strabismus</w:t>
      </w:r>
      <w:proofErr w:type="spellEnd"/>
      <w:r w:rsidRPr="003433BD">
        <w:rPr>
          <w:rFonts w:asciiTheme="minorBidi" w:hAnsiTheme="minorBidi" w:cstheme="minorBidi"/>
          <w:lang w:val="fr-FR"/>
        </w:rPr>
        <w:t xml:space="preserve">. </w:t>
      </w:r>
      <w:proofErr w:type="gramStart"/>
      <w:r w:rsidRPr="003433BD">
        <w:rPr>
          <w:rFonts w:asciiTheme="minorBidi" w:hAnsiTheme="minorBidi" w:cstheme="minorBidi"/>
          <w:lang w:val="fr-FR"/>
        </w:rPr>
        <w:t>2002;</w:t>
      </w:r>
      <w:proofErr w:type="gramEnd"/>
      <w:r w:rsidRPr="003433BD">
        <w:rPr>
          <w:rFonts w:asciiTheme="minorBidi" w:hAnsiTheme="minorBidi" w:cstheme="minorBidi"/>
          <w:lang w:val="fr-FR"/>
        </w:rPr>
        <w:t xml:space="preserve">39(2):81-88. </w:t>
      </w:r>
      <w:proofErr w:type="gramStart"/>
      <w:r w:rsidRPr="003433BD">
        <w:rPr>
          <w:rFonts w:asciiTheme="minorBidi" w:hAnsiTheme="minorBidi" w:cstheme="minorBidi"/>
          <w:lang w:val="fr-FR"/>
        </w:rPr>
        <w:t>doi:</w:t>
      </w:r>
      <w:proofErr w:type="gramEnd"/>
      <w:r w:rsidRPr="003433BD">
        <w:rPr>
          <w:rFonts w:asciiTheme="minorBidi" w:hAnsiTheme="minorBidi" w:cstheme="minorBidi"/>
          <w:lang w:val="fr-FR"/>
        </w:rPr>
        <w:t>10.3928/0191-3913-20020301-07.</w:t>
      </w:r>
    </w:p>
    <w:p w14:paraId="27ED7313"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lang w:val="fr-FR"/>
        </w:rPr>
      </w:pPr>
      <w:r w:rsidRPr="003433BD">
        <w:rPr>
          <w:rFonts w:asciiTheme="minorBidi" w:hAnsiTheme="minorBidi" w:cstheme="minorBidi"/>
          <w:lang w:val="fr-FR"/>
        </w:rPr>
        <w:t xml:space="preserve">Bérard PV, Spielmann A, </w:t>
      </w:r>
      <w:proofErr w:type="spellStart"/>
      <w:r w:rsidRPr="003433BD">
        <w:rPr>
          <w:rFonts w:asciiTheme="minorBidi" w:hAnsiTheme="minorBidi" w:cstheme="minorBidi"/>
          <w:lang w:val="fr-FR"/>
        </w:rPr>
        <w:t>Reydy</w:t>
      </w:r>
      <w:proofErr w:type="spellEnd"/>
      <w:r w:rsidRPr="003433BD">
        <w:rPr>
          <w:rFonts w:asciiTheme="minorBidi" w:hAnsiTheme="minorBidi" w:cstheme="minorBidi"/>
          <w:lang w:val="fr-FR"/>
        </w:rPr>
        <w:t xml:space="preserve"> R. L’opération du fil de </w:t>
      </w:r>
      <w:proofErr w:type="spellStart"/>
      <w:r w:rsidRPr="003433BD">
        <w:rPr>
          <w:rFonts w:asciiTheme="minorBidi" w:hAnsiTheme="minorBidi" w:cstheme="minorBidi"/>
          <w:lang w:val="fr-FR"/>
        </w:rPr>
        <w:t>Cüppers</w:t>
      </w:r>
      <w:proofErr w:type="spellEnd"/>
      <w:r w:rsidRPr="003433BD">
        <w:rPr>
          <w:rFonts w:asciiTheme="minorBidi" w:hAnsiTheme="minorBidi" w:cstheme="minorBidi"/>
          <w:lang w:val="fr-FR"/>
        </w:rPr>
        <w:t xml:space="preserve">. Bull Soc </w:t>
      </w:r>
      <w:proofErr w:type="spellStart"/>
      <w:r w:rsidRPr="003433BD">
        <w:rPr>
          <w:rFonts w:asciiTheme="minorBidi" w:hAnsiTheme="minorBidi" w:cstheme="minorBidi"/>
          <w:lang w:val="fr-FR"/>
        </w:rPr>
        <w:t>Ophtalmol</w:t>
      </w:r>
      <w:proofErr w:type="spellEnd"/>
      <w:r w:rsidRPr="003433BD">
        <w:rPr>
          <w:rFonts w:asciiTheme="minorBidi" w:hAnsiTheme="minorBidi" w:cstheme="minorBidi"/>
          <w:lang w:val="fr-FR"/>
        </w:rPr>
        <w:t xml:space="preserve"> Fr. </w:t>
      </w:r>
      <w:proofErr w:type="gramStart"/>
      <w:r w:rsidRPr="003433BD">
        <w:rPr>
          <w:rFonts w:asciiTheme="minorBidi" w:hAnsiTheme="minorBidi" w:cstheme="minorBidi"/>
          <w:lang w:val="fr-FR"/>
        </w:rPr>
        <w:t>1976;</w:t>
      </w:r>
      <w:proofErr w:type="gramEnd"/>
      <w:r w:rsidRPr="003433BD">
        <w:rPr>
          <w:rFonts w:asciiTheme="minorBidi" w:hAnsiTheme="minorBidi" w:cstheme="minorBidi"/>
          <w:lang w:val="fr-FR"/>
        </w:rPr>
        <w:t>12:1111-1116.</w:t>
      </w:r>
    </w:p>
    <w:p w14:paraId="5B646390"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lang w:val="fr-FR"/>
        </w:rPr>
      </w:pPr>
      <w:proofErr w:type="spellStart"/>
      <w:r w:rsidRPr="003433BD">
        <w:rPr>
          <w:rFonts w:asciiTheme="minorBidi" w:hAnsiTheme="minorBidi" w:cstheme="minorBidi"/>
          <w:lang w:val="fr-FR"/>
        </w:rPr>
        <w:t>Quéré</w:t>
      </w:r>
      <w:proofErr w:type="spellEnd"/>
      <w:r w:rsidRPr="003433BD">
        <w:rPr>
          <w:rFonts w:asciiTheme="minorBidi" w:hAnsiTheme="minorBidi" w:cstheme="minorBidi"/>
          <w:lang w:val="fr-FR"/>
        </w:rPr>
        <w:t xml:space="preserve"> MA, Clergeau G, </w:t>
      </w:r>
      <w:proofErr w:type="spellStart"/>
      <w:r w:rsidRPr="003433BD">
        <w:rPr>
          <w:rFonts w:asciiTheme="minorBidi" w:hAnsiTheme="minorBidi" w:cstheme="minorBidi"/>
          <w:lang w:val="fr-FR"/>
        </w:rPr>
        <w:t>Fontenaille</w:t>
      </w:r>
      <w:proofErr w:type="spellEnd"/>
      <w:r w:rsidRPr="003433BD">
        <w:rPr>
          <w:rFonts w:asciiTheme="minorBidi" w:hAnsiTheme="minorBidi" w:cstheme="minorBidi"/>
          <w:lang w:val="fr-FR"/>
        </w:rPr>
        <w:t xml:space="preserve"> N, </w:t>
      </w:r>
      <w:proofErr w:type="spellStart"/>
      <w:r w:rsidRPr="003433BD">
        <w:rPr>
          <w:rFonts w:asciiTheme="minorBidi" w:hAnsiTheme="minorBidi" w:cstheme="minorBidi"/>
          <w:lang w:val="fr-FR"/>
        </w:rPr>
        <w:t>Pechereau</w:t>
      </w:r>
      <w:proofErr w:type="spellEnd"/>
      <w:r w:rsidRPr="003433BD">
        <w:rPr>
          <w:rFonts w:asciiTheme="minorBidi" w:hAnsiTheme="minorBidi" w:cstheme="minorBidi"/>
          <w:lang w:val="fr-FR"/>
        </w:rPr>
        <w:t xml:space="preserve"> A. La </w:t>
      </w:r>
      <w:proofErr w:type="spellStart"/>
      <w:r w:rsidRPr="003433BD">
        <w:rPr>
          <w:rFonts w:asciiTheme="minorBidi" w:hAnsiTheme="minorBidi" w:cstheme="minorBidi"/>
          <w:lang w:val="fr-FR"/>
        </w:rPr>
        <w:t>Fadenoperation</w:t>
      </w:r>
      <w:proofErr w:type="spellEnd"/>
      <w:r w:rsidRPr="003433BD">
        <w:rPr>
          <w:rFonts w:asciiTheme="minorBidi" w:hAnsiTheme="minorBidi" w:cstheme="minorBidi"/>
          <w:lang w:val="fr-FR"/>
        </w:rPr>
        <w:t xml:space="preserve">. Bull Soc </w:t>
      </w:r>
      <w:proofErr w:type="spellStart"/>
      <w:r w:rsidRPr="003433BD">
        <w:rPr>
          <w:rFonts w:asciiTheme="minorBidi" w:hAnsiTheme="minorBidi" w:cstheme="minorBidi"/>
          <w:lang w:val="fr-FR"/>
        </w:rPr>
        <w:t>Ophtalmol</w:t>
      </w:r>
      <w:proofErr w:type="spellEnd"/>
      <w:r w:rsidRPr="003433BD">
        <w:rPr>
          <w:rFonts w:asciiTheme="minorBidi" w:hAnsiTheme="minorBidi" w:cstheme="minorBidi"/>
          <w:lang w:val="fr-FR"/>
        </w:rPr>
        <w:t xml:space="preserve"> Fr. </w:t>
      </w:r>
      <w:proofErr w:type="gramStart"/>
      <w:r w:rsidRPr="003433BD">
        <w:rPr>
          <w:rFonts w:asciiTheme="minorBidi" w:hAnsiTheme="minorBidi" w:cstheme="minorBidi"/>
          <w:lang w:val="fr-FR"/>
        </w:rPr>
        <w:t>1977;</w:t>
      </w:r>
      <w:proofErr w:type="gramEnd"/>
      <w:r w:rsidRPr="003433BD">
        <w:rPr>
          <w:rFonts w:asciiTheme="minorBidi" w:hAnsiTheme="minorBidi" w:cstheme="minorBidi"/>
          <w:lang w:val="fr-FR"/>
        </w:rPr>
        <w:t>77:777-780.</w:t>
      </w:r>
    </w:p>
    <w:p w14:paraId="354C65FA"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r w:rsidRPr="003433BD">
        <w:rPr>
          <w:rFonts w:asciiTheme="minorBidi" w:hAnsiTheme="minorBidi" w:cstheme="minorBidi"/>
        </w:rPr>
        <w:t xml:space="preserve">Clark RA, Isenberg SJ, Rosenbaum AL, Demer JL. Posterior fixation sutures: a revised mechanical explanation for the </w:t>
      </w:r>
      <w:proofErr w:type="spellStart"/>
      <w:r w:rsidRPr="003433BD">
        <w:rPr>
          <w:rFonts w:asciiTheme="minorBidi" w:hAnsiTheme="minorBidi" w:cstheme="minorBidi"/>
        </w:rPr>
        <w:t>Fadenoperation</w:t>
      </w:r>
      <w:proofErr w:type="spellEnd"/>
      <w:r w:rsidRPr="003433BD">
        <w:rPr>
          <w:rFonts w:asciiTheme="minorBidi" w:hAnsiTheme="minorBidi" w:cstheme="minorBidi"/>
        </w:rPr>
        <w:t xml:space="preserve"> based on rectus extraocular muscle pulleys. Am J </w:t>
      </w:r>
      <w:proofErr w:type="spellStart"/>
      <w:r w:rsidRPr="003433BD">
        <w:rPr>
          <w:rFonts w:asciiTheme="minorBidi" w:hAnsiTheme="minorBidi" w:cstheme="minorBidi"/>
        </w:rPr>
        <w:t>Ophthalmol</w:t>
      </w:r>
      <w:proofErr w:type="spellEnd"/>
      <w:r w:rsidRPr="003433BD">
        <w:rPr>
          <w:rFonts w:asciiTheme="minorBidi" w:hAnsiTheme="minorBidi" w:cstheme="minorBidi"/>
        </w:rPr>
        <w:t>. 1999;128(6):702-714. doi:10.1016/s0002-9394(99)00274-1.</w:t>
      </w:r>
    </w:p>
    <w:p w14:paraId="4EF0F96B"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proofErr w:type="spellStart"/>
      <w:r w:rsidRPr="003433BD">
        <w:rPr>
          <w:rFonts w:asciiTheme="minorBidi" w:hAnsiTheme="minorBidi" w:cstheme="minorBidi"/>
        </w:rPr>
        <w:t>Klainguti</w:t>
      </w:r>
      <w:proofErr w:type="spellEnd"/>
      <w:r w:rsidRPr="003433BD">
        <w:rPr>
          <w:rFonts w:asciiTheme="minorBidi" w:hAnsiTheme="minorBidi" w:cstheme="minorBidi"/>
        </w:rPr>
        <w:t xml:space="preserve"> G, </w:t>
      </w:r>
      <w:proofErr w:type="spellStart"/>
      <w:r w:rsidRPr="003433BD">
        <w:rPr>
          <w:rFonts w:asciiTheme="minorBidi" w:hAnsiTheme="minorBidi" w:cstheme="minorBidi"/>
        </w:rPr>
        <w:t>Chamero</w:t>
      </w:r>
      <w:proofErr w:type="spellEnd"/>
      <w:r w:rsidRPr="003433BD">
        <w:rPr>
          <w:rFonts w:asciiTheme="minorBidi" w:hAnsiTheme="minorBidi" w:cstheme="minorBidi"/>
        </w:rPr>
        <w:t xml:space="preserve"> J, Deller M. Short- and intermediate-term angular results of </w:t>
      </w:r>
      <w:proofErr w:type="spellStart"/>
      <w:r w:rsidRPr="003433BD">
        <w:rPr>
          <w:rFonts w:asciiTheme="minorBidi" w:hAnsiTheme="minorBidi" w:cstheme="minorBidi"/>
        </w:rPr>
        <w:t>Cüppers</w:t>
      </w:r>
      <w:proofErr w:type="spellEnd"/>
      <w:r w:rsidRPr="003433BD">
        <w:rPr>
          <w:rFonts w:asciiTheme="minorBidi" w:hAnsiTheme="minorBidi" w:cstheme="minorBidi"/>
        </w:rPr>
        <w:t xml:space="preserve"> retro-equatorial </w:t>
      </w:r>
      <w:proofErr w:type="spellStart"/>
      <w:r w:rsidRPr="003433BD">
        <w:rPr>
          <w:rFonts w:asciiTheme="minorBidi" w:hAnsiTheme="minorBidi" w:cstheme="minorBidi"/>
        </w:rPr>
        <w:t>myopexy</w:t>
      </w:r>
      <w:proofErr w:type="spellEnd"/>
      <w:r w:rsidRPr="003433BD">
        <w:rPr>
          <w:rFonts w:asciiTheme="minorBidi" w:hAnsiTheme="minorBidi" w:cstheme="minorBidi"/>
        </w:rPr>
        <w:t xml:space="preserve">, with or without additional simultaneous recession. </w:t>
      </w:r>
      <w:proofErr w:type="spellStart"/>
      <w:r w:rsidRPr="003433BD">
        <w:rPr>
          <w:rFonts w:asciiTheme="minorBidi" w:hAnsiTheme="minorBidi" w:cstheme="minorBidi"/>
        </w:rPr>
        <w:t>Klin</w:t>
      </w:r>
      <w:proofErr w:type="spellEnd"/>
      <w:r w:rsidRPr="003433BD">
        <w:rPr>
          <w:rFonts w:asciiTheme="minorBidi" w:hAnsiTheme="minorBidi" w:cstheme="minorBidi"/>
        </w:rPr>
        <w:t xml:space="preserve"> </w:t>
      </w:r>
      <w:proofErr w:type="spellStart"/>
      <w:r w:rsidRPr="003433BD">
        <w:rPr>
          <w:rFonts w:asciiTheme="minorBidi" w:hAnsiTheme="minorBidi" w:cstheme="minorBidi"/>
        </w:rPr>
        <w:t>Monatsbl</w:t>
      </w:r>
      <w:proofErr w:type="spellEnd"/>
      <w:r w:rsidRPr="003433BD">
        <w:rPr>
          <w:rFonts w:asciiTheme="minorBidi" w:hAnsiTheme="minorBidi" w:cstheme="minorBidi"/>
        </w:rPr>
        <w:t xml:space="preserve"> </w:t>
      </w:r>
      <w:proofErr w:type="spellStart"/>
      <w:r w:rsidRPr="003433BD">
        <w:rPr>
          <w:rFonts w:asciiTheme="minorBidi" w:hAnsiTheme="minorBidi" w:cstheme="minorBidi"/>
        </w:rPr>
        <w:t>Augenheilkd</w:t>
      </w:r>
      <w:proofErr w:type="spellEnd"/>
      <w:r w:rsidRPr="003433BD">
        <w:rPr>
          <w:rFonts w:asciiTheme="minorBidi" w:hAnsiTheme="minorBidi" w:cstheme="minorBidi"/>
        </w:rPr>
        <w:t>. 1991;198(6):382-385. doi:10.1055/s-2008-1046349.</w:t>
      </w:r>
    </w:p>
    <w:p w14:paraId="0D9D504C"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r w:rsidRPr="003433BD">
        <w:rPr>
          <w:rFonts w:asciiTheme="minorBidi" w:hAnsiTheme="minorBidi" w:cstheme="minorBidi"/>
        </w:rPr>
        <w:t xml:space="preserve">Steffen H, </w:t>
      </w:r>
      <w:proofErr w:type="spellStart"/>
      <w:r w:rsidRPr="003433BD">
        <w:rPr>
          <w:rFonts w:asciiTheme="minorBidi" w:hAnsiTheme="minorBidi" w:cstheme="minorBidi"/>
        </w:rPr>
        <w:t>Auffarth</w:t>
      </w:r>
      <w:proofErr w:type="spellEnd"/>
      <w:r w:rsidRPr="003433BD">
        <w:rPr>
          <w:rFonts w:asciiTheme="minorBidi" w:hAnsiTheme="minorBidi" w:cstheme="minorBidi"/>
        </w:rPr>
        <w:t xml:space="preserve"> GU, </w:t>
      </w:r>
      <w:proofErr w:type="spellStart"/>
      <w:r w:rsidRPr="003433BD">
        <w:rPr>
          <w:rFonts w:asciiTheme="minorBidi" w:hAnsiTheme="minorBidi" w:cstheme="minorBidi"/>
        </w:rPr>
        <w:t>Kolling</w:t>
      </w:r>
      <w:proofErr w:type="spellEnd"/>
      <w:r w:rsidRPr="003433BD">
        <w:rPr>
          <w:rFonts w:asciiTheme="minorBidi" w:hAnsiTheme="minorBidi" w:cstheme="minorBidi"/>
        </w:rPr>
        <w:t xml:space="preserve"> GH. Posterior fixation suture and convergence excess esotropia. Strabismus. 1998;6(3):117-126. doi:10.1076/stra.6.3.117.702.</w:t>
      </w:r>
    </w:p>
    <w:p w14:paraId="671E1F97"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proofErr w:type="spellStart"/>
      <w:r w:rsidRPr="003433BD">
        <w:rPr>
          <w:rFonts w:asciiTheme="minorBidi" w:hAnsiTheme="minorBidi" w:cstheme="minorBidi"/>
        </w:rPr>
        <w:t>Stärk</w:t>
      </w:r>
      <w:proofErr w:type="spellEnd"/>
      <w:r w:rsidRPr="003433BD">
        <w:rPr>
          <w:rFonts w:asciiTheme="minorBidi" w:hAnsiTheme="minorBidi" w:cstheme="minorBidi"/>
        </w:rPr>
        <w:t xml:space="preserve"> N, </w:t>
      </w:r>
      <w:proofErr w:type="spellStart"/>
      <w:r w:rsidRPr="003433BD">
        <w:rPr>
          <w:rFonts w:asciiTheme="minorBidi" w:hAnsiTheme="minorBidi" w:cstheme="minorBidi"/>
        </w:rPr>
        <w:t>Vanselow</w:t>
      </w:r>
      <w:proofErr w:type="spellEnd"/>
      <w:r w:rsidRPr="003433BD">
        <w:rPr>
          <w:rFonts w:asciiTheme="minorBidi" w:hAnsiTheme="minorBidi" w:cstheme="minorBidi"/>
        </w:rPr>
        <w:t xml:space="preserve"> K, Stahl E, </w:t>
      </w:r>
      <w:proofErr w:type="spellStart"/>
      <w:r w:rsidRPr="003433BD">
        <w:rPr>
          <w:rFonts w:asciiTheme="minorBidi" w:hAnsiTheme="minorBidi" w:cstheme="minorBidi"/>
        </w:rPr>
        <w:t>Zubcov</w:t>
      </w:r>
      <w:proofErr w:type="spellEnd"/>
      <w:r w:rsidRPr="003433BD">
        <w:rPr>
          <w:rFonts w:asciiTheme="minorBidi" w:hAnsiTheme="minorBidi" w:cstheme="minorBidi"/>
        </w:rPr>
        <w:t xml:space="preserve"> AA. </w:t>
      </w:r>
      <w:proofErr w:type="spellStart"/>
      <w:r w:rsidRPr="003433BD">
        <w:rPr>
          <w:rFonts w:asciiTheme="minorBidi" w:hAnsiTheme="minorBidi" w:cstheme="minorBidi"/>
        </w:rPr>
        <w:t>Retroequatorial</w:t>
      </w:r>
      <w:proofErr w:type="spellEnd"/>
      <w:r w:rsidRPr="003433BD">
        <w:rPr>
          <w:rFonts w:asciiTheme="minorBidi" w:hAnsiTheme="minorBidi" w:cstheme="minorBidi"/>
        </w:rPr>
        <w:t xml:space="preserve"> </w:t>
      </w:r>
      <w:proofErr w:type="spellStart"/>
      <w:r w:rsidRPr="003433BD">
        <w:rPr>
          <w:rFonts w:asciiTheme="minorBidi" w:hAnsiTheme="minorBidi" w:cstheme="minorBidi"/>
        </w:rPr>
        <w:t>myopexy</w:t>
      </w:r>
      <w:proofErr w:type="spellEnd"/>
      <w:r w:rsidRPr="003433BD">
        <w:rPr>
          <w:rFonts w:asciiTheme="minorBidi" w:hAnsiTheme="minorBidi" w:cstheme="minorBidi"/>
        </w:rPr>
        <w:t xml:space="preserve"> combined with </w:t>
      </w:r>
      <w:proofErr w:type="spellStart"/>
      <w:r w:rsidRPr="003433BD">
        <w:rPr>
          <w:rFonts w:asciiTheme="minorBidi" w:hAnsiTheme="minorBidi" w:cstheme="minorBidi"/>
        </w:rPr>
        <w:t>bimedial</w:t>
      </w:r>
      <w:proofErr w:type="spellEnd"/>
      <w:r w:rsidRPr="003433BD">
        <w:rPr>
          <w:rFonts w:asciiTheme="minorBidi" w:hAnsiTheme="minorBidi" w:cstheme="minorBidi"/>
        </w:rPr>
        <w:t xml:space="preserve"> recession for near-distance disparity esotropia. </w:t>
      </w:r>
      <w:proofErr w:type="spellStart"/>
      <w:r w:rsidRPr="003433BD">
        <w:rPr>
          <w:rFonts w:asciiTheme="minorBidi" w:hAnsiTheme="minorBidi" w:cstheme="minorBidi"/>
        </w:rPr>
        <w:t>Ophthalmologe</w:t>
      </w:r>
      <w:proofErr w:type="spellEnd"/>
      <w:r w:rsidRPr="003433BD">
        <w:rPr>
          <w:rFonts w:asciiTheme="minorBidi" w:hAnsiTheme="minorBidi" w:cstheme="minorBidi"/>
        </w:rPr>
        <w:t>. 1999;96(7):513-521. doi:10.1007/s003470050414.</w:t>
      </w:r>
    </w:p>
    <w:p w14:paraId="13451E16" w14:textId="77777777" w:rsidR="00B148A6" w:rsidRPr="00FE40CF"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r w:rsidRPr="00FE40CF">
        <w:rPr>
          <w:rFonts w:asciiTheme="minorBidi" w:hAnsiTheme="minorBidi" w:cstheme="minorBidi"/>
        </w:rPr>
        <w:t xml:space="preserve">Leitsch R, Burke JP, Strachan IM. Convergence excess esotropia treated surgically with </w:t>
      </w:r>
      <w:proofErr w:type="spellStart"/>
      <w:r w:rsidRPr="00FE40CF">
        <w:rPr>
          <w:rFonts w:asciiTheme="minorBidi" w:hAnsiTheme="minorBidi" w:cstheme="minorBidi"/>
        </w:rPr>
        <w:t>Fadenoperation</w:t>
      </w:r>
      <w:proofErr w:type="spellEnd"/>
      <w:r w:rsidRPr="00FE40CF">
        <w:rPr>
          <w:rFonts w:asciiTheme="minorBidi" w:hAnsiTheme="minorBidi" w:cstheme="minorBidi"/>
        </w:rPr>
        <w:t xml:space="preserve"> and medial rectus muscle recessions. Br J Ophthalmol. 1990;74(5):278-281. doi:10.1136/bjo.74.5.278.</w:t>
      </w:r>
    </w:p>
    <w:p w14:paraId="5D9FDAC0"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lang w:val="fr-FR"/>
        </w:rPr>
      </w:pPr>
      <w:proofErr w:type="spellStart"/>
      <w:r w:rsidRPr="003433BD">
        <w:rPr>
          <w:rFonts w:asciiTheme="minorBidi" w:hAnsiTheme="minorBidi" w:cstheme="minorBidi"/>
        </w:rPr>
        <w:t>Akar</w:t>
      </w:r>
      <w:proofErr w:type="spellEnd"/>
      <w:r w:rsidRPr="003433BD">
        <w:rPr>
          <w:rFonts w:asciiTheme="minorBidi" w:hAnsiTheme="minorBidi" w:cstheme="minorBidi"/>
        </w:rPr>
        <w:t xml:space="preserve"> S, </w:t>
      </w:r>
      <w:proofErr w:type="spellStart"/>
      <w:r w:rsidRPr="003433BD">
        <w:rPr>
          <w:rFonts w:asciiTheme="minorBidi" w:hAnsiTheme="minorBidi" w:cstheme="minorBidi"/>
        </w:rPr>
        <w:t>Gokyigit</w:t>
      </w:r>
      <w:proofErr w:type="spellEnd"/>
      <w:r w:rsidRPr="003433BD">
        <w:rPr>
          <w:rFonts w:asciiTheme="minorBidi" w:hAnsiTheme="minorBidi" w:cstheme="minorBidi"/>
        </w:rPr>
        <w:t xml:space="preserve"> B, </w:t>
      </w:r>
      <w:proofErr w:type="spellStart"/>
      <w:r w:rsidRPr="003433BD">
        <w:rPr>
          <w:rFonts w:asciiTheme="minorBidi" w:hAnsiTheme="minorBidi" w:cstheme="minorBidi"/>
        </w:rPr>
        <w:t>Sayin</w:t>
      </w:r>
      <w:proofErr w:type="spellEnd"/>
      <w:r w:rsidRPr="003433BD">
        <w:rPr>
          <w:rFonts w:asciiTheme="minorBidi" w:hAnsiTheme="minorBidi" w:cstheme="minorBidi"/>
        </w:rPr>
        <w:t xml:space="preserve"> N, </w:t>
      </w:r>
      <w:proofErr w:type="spellStart"/>
      <w:r w:rsidRPr="003433BD">
        <w:rPr>
          <w:rFonts w:asciiTheme="minorBidi" w:hAnsiTheme="minorBidi" w:cstheme="minorBidi"/>
        </w:rPr>
        <w:t>Demirok</w:t>
      </w:r>
      <w:proofErr w:type="spellEnd"/>
      <w:r w:rsidRPr="003433BD">
        <w:rPr>
          <w:rFonts w:asciiTheme="minorBidi" w:hAnsiTheme="minorBidi" w:cstheme="minorBidi"/>
        </w:rPr>
        <w:t xml:space="preserve"> A, Yilmaz OF. Medial rectus Faden operations with or without recession for partially accommodative esotropia associated with a high accommodative convergence to accommodation ratio. </w:t>
      </w:r>
      <w:r w:rsidRPr="003433BD">
        <w:rPr>
          <w:rFonts w:asciiTheme="minorBidi" w:hAnsiTheme="minorBidi" w:cstheme="minorBidi"/>
          <w:lang w:val="fr-FR"/>
        </w:rPr>
        <w:t xml:space="preserve">Br J </w:t>
      </w:r>
      <w:proofErr w:type="spellStart"/>
      <w:r w:rsidRPr="003433BD">
        <w:rPr>
          <w:rFonts w:asciiTheme="minorBidi" w:hAnsiTheme="minorBidi" w:cstheme="minorBidi"/>
          <w:lang w:val="fr-FR"/>
        </w:rPr>
        <w:t>Ophthalmol</w:t>
      </w:r>
      <w:proofErr w:type="spellEnd"/>
      <w:r w:rsidRPr="003433BD">
        <w:rPr>
          <w:rFonts w:asciiTheme="minorBidi" w:hAnsiTheme="minorBidi" w:cstheme="minorBidi"/>
          <w:lang w:val="fr-FR"/>
        </w:rPr>
        <w:t xml:space="preserve">. </w:t>
      </w:r>
      <w:proofErr w:type="gramStart"/>
      <w:r w:rsidRPr="003433BD">
        <w:rPr>
          <w:rFonts w:asciiTheme="minorBidi" w:hAnsiTheme="minorBidi" w:cstheme="minorBidi"/>
          <w:lang w:val="fr-FR"/>
        </w:rPr>
        <w:t>2013;</w:t>
      </w:r>
      <w:proofErr w:type="gramEnd"/>
      <w:r w:rsidRPr="003433BD">
        <w:rPr>
          <w:rFonts w:asciiTheme="minorBidi" w:hAnsiTheme="minorBidi" w:cstheme="minorBidi"/>
          <w:lang w:val="fr-FR"/>
        </w:rPr>
        <w:t xml:space="preserve">97(1):83-87. </w:t>
      </w:r>
      <w:proofErr w:type="gramStart"/>
      <w:r w:rsidRPr="003433BD">
        <w:rPr>
          <w:rFonts w:asciiTheme="minorBidi" w:hAnsiTheme="minorBidi" w:cstheme="minorBidi"/>
          <w:lang w:val="fr-FR"/>
        </w:rPr>
        <w:t>doi:</w:t>
      </w:r>
      <w:proofErr w:type="gramEnd"/>
      <w:r w:rsidRPr="003433BD">
        <w:rPr>
          <w:rFonts w:asciiTheme="minorBidi" w:hAnsiTheme="minorBidi" w:cstheme="minorBidi"/>
          <w:lang w:val="fr-FR"/>
        </w:rPr>
        <w:t>10.1136/bjophthalmol-2012-302186.</w:t>
      </w:r>
    </w:p>
    <w:p w14:paraId="5897F0C2"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proofErr w:type="spellStart"/>
      <w:r w:rsidRPr="003433BD">
        <w:rPr>
          <w:rFonts w:asciiTheme="minorBidi" w:hAnsiTheme="minorBidi" w:cstheme="minorBidi"/>
          <w:lang w:val="fr-FR"/>
        </w:rPr>
        <w:t>Oguz</w:t>
      </w:r>
      <w:proofErr w:type="spellEnd"/>
      <w:r w:rsidRPr="003433BD">
        <w:rPr>
          <w:rFonts w:asciiTheme="minorBidi" w:hAnsiTheme="minorBidi" w:cstheme="minorBidi"/>
          <w:lang w:val="fr-FR"/>
        </w:rPr>
        <w:t xml:space="preserve"> V, </w:t>
      </w:r>
      <w:proofErr w:type="spellStart"/>
      <w:r w:rsidRPr="003433BD">
        <w:rPr>
          <w:rFonts w:asciiTheme="minorBidi" w:hAnsiTheme="minorBidi" w:cstheme="minorBidi"/>
          <w:lang w:val="fr-FR"/>
        </w:rPr>
        <w:t>Yolar</w:t>
      </w:r>
      <w:proofErr w:type="spellEnd"/>
      <w:r w:rsidRPr="003433BD">
        <w:rPr>
          <w:rFonts w:asciiTheme="minorBidi" w:hAnsiTheme="minorBidi" w:cstheme="minorBidi"/>
          <w:lang w:val="fr-FR"/>
        </w:rPr>
        <w:t xml:space="preserve"> M, </w:t>
      </w:r>
      <w:proofErr w:type="spellStart"/>
      <w:r w:rsidRPr="003433BD">
        <w:rPr>
          <w:rFonts w:asciiTheme="minorBidi" w:hAnsiTheme="minorBidi" w:cstheme="minorBidi"/>
          <w:lang w:val="fr-FR"/>
        </w:rPr>
        <w:t>Arvas</w:t>
      </w:r>
      <w:proofErr w:type="spellEnd"/>
      <w:r w:rsidRPr="003433BD">
        <w:rPr>
          <w:rFonts w:asciiTheme="minorBidi" w:hAnsiTheme="minorBidi" w:cstheme="minorBidi"/>
          <w:lang w:val="fr-FR"/>
        </w:rPr>
        <w:t xml:space="preserve"> S. Les résultats de l’opération de fil dans les </w:t>
      </w:r>
      <w:proofErr w:type="spellStart"/>
      <w:r w:rsidRPr="003433BD">
        <w:rPr>
          <w:rFonts w:asciiTheme="minorBidi" w:hAnsiTheme="minorBidi" w:cstheme="minorBidi"/>
          <w:lang w:val="fr-FR"/>
        </w:rPr>
        <w:t>ésotropies</w:t>
      </w:r>
      <w:proofErr w:type="spellEnd"/>
      <w:r w:rsidRPr="003433BD">
        <w:rPr>
          <w:rFonts w:asciiTheme="minorBidi" w:hAnsiTheme="minorBidi" w:cstheme="minorBidi"/>
          <w:lang w:val="fr-FR"/>
        </w:rPr>
        <w:t xml:space="preserve"> avec </w:t>
      </w:r>
      <w:proofErr w:type="spellStart"/>
      <w:r w:rsidRPr="003433BD">
        <w:rPr>
          <w:rFonts w:asciiTheme="minorBidi" w:hAnsiTheme="minorBidi" w:cstheme="minorBidi"/>
          <w:lang w:val="fr-FR"/>
        </w:rPr>
        <w:t>incomitance</w:t>
      </w:r>
      <w:proofErr w:type="spellEnd"/>
      <w:r w:rsidRPr="003433BD">
        <w:rPr>
          <w:rFonts w:asciiTheme="minorBidi" w:hAnsiTheme="minorBidi" w:cstheme="minorBidi"/>
          <w:lang w:val="fr-FR"/>
        </w:rPr>
        <w:t xml:space="preserve"> loin-près non accommodative. </w:t>
      </w:r>
      <w:r w:rsidRPr="003433BD">
        <w:rPr>
          <w:rFonts w:asciiTheme="minorBidi" w:hAnsiTheme="minorBidi" w:cstheme="minorBidi"/>
        </w:rPr>
        <w:t xml:space="preserve">J Fr </w:t>
      </w:r>
      <w:proofErr w:type="spellStart"/>
      <w:r w:rsidRPr="003433BD">
        <w:rPr>
          <w:rFonts w:asciiTheme="minorBidi" w:hAnsiTheme="minorBidi" w:cstheme="minorBidi"/>
        </w:rPr>
        <w:t>Ophtalmol</w:t>
      </w:r>
      <w:proofErr w:type="spellEnd"/>
      <w:r w:rsidRPr="003433BD">
        <w:rPr>
          <w:rFonts w:asciiTheme="minorBidi" w:hAnsiTheme="minorBidi" w:cstheme="minorBidi"/>
        </w:rPr>
        <w:t>. 1999;22(5):456-459.</w:t>
      </w:r>
    </w:p>
    <w:p w14:paraId="57FC29BA" w14:textId="77777777" w:rsidR="00B148A6" w:rsidRPr="00FE40CF"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r w:rsidRPr="00FE40CF">
        <w:rPr>
          <w:rFonts w:asciiTheme="minorBidi" w:hAnsiTheme="minorBidi" w:cstheme="minorBidi"/>
        </w:rPr>
        <w:t xml:space="preserve">Gharabaghi D, Zanjani LK. Comparison of results of medial rectus muscle recession using augmentation, Faden procedure, and slanted recession in the treatment of high accommodative convergence/accommodation ratio esotropia. J </w:t>
      </w:r>
      <w:proofErr w:type="spellStart"/>
      <w:r w:rsidRPr="00FE40CF">
        <w:rPr>
          <w:rFonts w:asciiTheme="minorBidi" w:hAnsiTheme="minorBidi" w:cstheme="minorBidi"/>
        </w:rPr>
        <w:t>Pediatr</w:t>
      </w:r>
      <w:proofErr w:type="spellEnd"/>
      <w:r w:rsidRPr="00FE40CF">
        <w:rPr>
          <w:rFonts w:asciiTheme="minorBidi" w:hAnsiTheme="minorBidi" w:cstheme="minorBidi"/>
        </w:rPr>
        <w:t xml:space="preserve"> </w:t>
      </w:r>
      <w:proofErr w:type="spellStart"/>
      <w:r w:rsidRPr="00FE40CF">
        <w:rPr>
          <w:rFonts w:asciiTheme="minorBidi" w:hAnsiTheme="minorBidi" w:cstheme="minorBidi"/>
        </w:rPr>
        <w:t>Ophthalmol</w:t>
      </w:r>
      <w:proofErr w:type="spellEnd"/>
      <w:r w:rsidRPr="00FE40CF">
        <w:rPr>
          <w:rFonts w:asciiTheme="minorBidi" w:hAnsiTheme="minorBidi" w:cstheme="minorBidi"/>
        </w:rPr>
        <w:t xml:space="preserve"> Strabismus. 2006;43(2):91-94. doi:10.3928/0191-3913-20060301-09.</w:t>
      </w:r>
    </w:p>
    <w:p w14:paraId="7FD9A9F2" w14:textId="77777777" w:rsidR="00B148A6" w:rsidRPr="00FE40CF"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r w:rsidRPr="00FE40CF">
        <w:rPr>
          <w:rFonts w:asciiTheme="minorBidi" w:hAnsiTheme="minorBidi" w:cstheme="minorBidi"/>
        </w:rPr>
        <w:t xml:space="preserve">De Decker W. The Faden operation. When and how to do it. Trans </w:t>
      </w:r>
      <w:proofErr w:type="spellStart"/>
      <w:r w:rsidRPr="00FE40CF">
        <w:rPr>
          <w:rFonts w:asciiTheme="minorBidi" w:hAnsiTheme="minorBidi" w:cstheme="minorBidi"/>
        </w:rPr>
        <w:t>Ophthalmol</w:t>
      </w:r>
      <w:proofErr w:type="spellEnd"/>
      <w:r w:rsidRPr="00FE40CF">
        <w:rPr>
          <w:rFonts w:asciiTheme="minorBidi" w:hAnsiTheme="minorBidi" w:cstheme="minorBidi"/>
        </w:rPr>
        <w:t xml:space="preserve"> Soc U K. 1981;101(2):264-270.</w:t>
      </w:r>
    </w:p>
    <w:p w14:paraId="5C599FE6" w14:textId="77777777" w:rsidR="00B148A6" w:rsidRPr="003433BD" w:rsidRDefault="00B148A6" w:rsidP="00B148A6">
      <w:pPr>
        <w:pStyle w:val="BodyText"/>
        <w:widowControl w:val="0"/>
        <w:numPr>
          <w:ilvl w:val="0"/>
          <w:numId w:val="31"/>
        </w:numPr>
        <w:autoSpaceDE w:val="0"/>
        <w:autoSpaceDN w:val="0"/>
        <w:spacing w:before="152" w:after="0" w:line="252" w:lineRule="auto"/>
        <w:ind w:right="38"/>
        <w:rPr>
          <w:rFonts w:asciiTheme="minorBidi" w:hAnsiTheme="minorBidi" w:cstheme="minorBidi"/>
        </w:rPr>
      </w:pPr>
      <w:r w:rsidRPr="003433BD">
        <w:rPr>
          <w:rFonts w:asciiTheme="minorBidi" w:hAnsiTheme="minorBidi" w:cstheme="minorBidi"/>
        </w:rPr>
        <w:t xml:space="preserve">Happe W, Suleiman Y. Early and delayed consecutive exotropia following a medial rectus Faden operation. </w:t>
      </w:r>
      <w:proofErr w:type="spellStart"/>
      <w:r w:rsidRPr="003433BD">
        <w:rPr>
          <w:rFonts w:asciiTheme="minorBidi" w:hAnsiTheme="minorBidi" w:cstheme="minorBidi"/>
        </w:rPr>
        <w:t>Ophthalmologe</w:t>
      </w:r>
      <w:proofErr w:type="spellEnd"/>
      <w:r w:rsidRPr="003433BD">
        <w:rPr>
          <w:rFonts w:asciiTheme="minorBidi" w:hAnsiTheme="minorBidi" w:cstheme="minorBidi"/>
        </w:rPr>
        <w:t>. 1999;96(7):509-512. doi:10.1007/s003470050413.</w:t>
      </w:r>
    </w:p>
    <w:p w14:paraId="75582579" w14:textId="77777777" w:rsidR="00B148A6" w:rsidRDefault="00B148A6" w:rsidP="00B148A6">
      <w:pPr>
        <w:pStyle w:val="BodyText"/>
        <w:widowControl w:val="0"/>
        <w:numPr>
          <w:ilvl w:val="0"/>
          <w:numId w:val="31"/>
        </w:numPr>
        <w:autoSpaceDE w:val="0"/>
        <w:autoSpaceDN w:val="0"/>
        <w:spacing w:before="152" w:after="0" w:line="252" w:lineRule="auto"/>
        <w:ind w:right="38"/>
        <w:jc w:val="both"/>
        <w:rPr>
          <w:rFonts w:asciiTheme="minorBidi" w:hAnsiTheme="minorBidi" w:cstheme="minorBidi"/>
        </w:rPr>
      </w:pPr>
      <w:proofErr w:type="spellStart"/>
      <w:r w:rsidRPr="003433BD">
        <w:rPr>
          <w:rFonts w:asciiTheme="minorBidi" w:hAnsiTheme="minorBidi" w:cstheme="minorBidi"/>
        </w:rPr>
        <w:t>Paliaga</w:t>
      </w:r>
      <w:proofErr w:type="spellEnd"/>
      <w:r w:rsidRPr="003433BD">
        <w:rPr>
          <w:rFonts w:asciiTheme="minorBidi" w:hAnsiTheme="minorBidi" w:cstheme="minorBidi"/>
        </w:rPr>
        <w:t xml:space="preserve"> GP, Braga M. Passive limitation of adduction after </w:t>
      </w:r>
      <w:proofErr w:type="spellStart"/>
      <w:r w:rsidRPr="003433BD">
        <w:rPr>
          <w:rFonts w:asciiTheme="minorBidi" w:hAnsiTheme="minorBidi" w:cstheme="minorBidi"/>
        </w:rPr>
        <w:t>Cüppers</w:t>
      </w:r>
      <w:proofErr w:type="spellEnd"/>
      <w:r w:rsidRPr="003433BD">
        <w:rPr>
          <w:rFonts w:asciiTheme="minorBidi" w:hAnsiTheme="minorBidi" w:cstheme="minorBidi"/>
        </w:rPr>
        <w:t xml:space="preserve"> ‘‘</w:t>
      </w:r>
      <w:proofErr w:type="spellStart"/>
      <w:r w:rsidRPr="003433BD">
        <w:rPr>
          <w:rFonts w:asciiTheme="minorBidi" w:hAnsiTheme="minorBidi" w:cstheme="minorBidi"/>
        </w:rPr>
        <w:t>Fadenoperation</w:t>
      </w:r>
      <w:proofErr w:type="spellEnd"/>
      <w:r w:rsidRPr="003433BD">
        <w:rPr>
          <w:rFonts w:asciiTheme="minorBidi" w:hAnsiTheme="minorBidi" w:cstheme="minorBidi"/>
        </w:rPr>
        <w:t>’’ on medial recti. Br J Ophthalmol. 1989;73(8):633-635. doi:10.1136/bjo.73.8.633.</w:t>
      </w:r>
    </w:p>
    <w:p w14:paraId="51A29AE0" w14:textId="77777777" w:rsidR="00B148A6" w:rsidRPr="003E7AA7" w:rsidRDefault="00B148A6" w:rsidP="00B148A6">
      <w:pPr>
        <w:pStyle w:val="BodyText"/>
        <w:spacing w:before="152" w:line="252" w:lineRule="auto"/>
        <w:ind w:right="38"/>
        <w:jc w:val="both"/>
        <w:rPr>
          <w:rFonts w:asciiTheme="minorBidi" w:hAnsiTheme="minorBidi" w:cstheme="minorBidi"/>
        </w:rPr>
      </w:pPr>
    </w:p>
    <w:p w14:paraId="260BAEB5" w14:textId="77777777" w:rsidR="00B148A6" w:rsidRPr="00FB3A86" w:rsidRDefault="00B148A6" w:rsidP="00441B6F">
      <w:pPr>
        <w:pStyle w:val="ReferHead"/>
        <w:spacing w:after="0"/>
        <w:jc w:val="both"/>
        <w:rPr>
          <w:rFonts w:ascii="Arial" w:hAnsi="Arial" w:cs="Arial"/>
        </w:rPr>
      </w:pPr>
    </w:p>
    <w:sectPr w:rsidR="00B148A6" w:rsidRPr="00FB3A86" w:rsidSect="00D93A7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2B6AE" w14:textId="77777777" w:rsidR="006C3CFB" w:rsidRDefault="006C3CFB" w:rsidP="00C37E61">
      <w:r>
        <w:separator/>
      </w:r>
    </w:p>
  </w:endnote>
  <w:endnote w:type="continuationSeparator" w:id="0">
    <w:p w14:paraId="6125E04E" w14:textId="77777777" w:rsidR="006C3CFB" w:rsidRDefault="006C3CF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928A" w14:textId="77777777" w:rsidR="00D93A71" w:rsidRDefault="00D93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E9EB" w14:textId="77777777" w:rsidR="00D93A71" w:rsidRDefault="00D93A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7478A" w14:textId="1FDF7DC7" w:rsidR="00754C9A" w:rsidRPr="00D93A71" w:rsidRDefault="00754C9A" w:rsidP="00D93A71">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877B1" w14:textId="77777777" w:rsidR="006C3CFB" w:rsidRDefault="006C3CFB" w:rsidP="00C37E61">
      <w:r>
        <w:separator/>
      </w:r>
    </w:p>
  </w:footnote>
  <w:footnote w:type="continuationSeparator" w:id="0">
    <w:p w14:paraId="29F50C6C" w14:textId="77777777" w:rsidR="006C3CFB" w:rsidRDefault="006C3CF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E0EBF" w14:textId="35258089" w:rsidR="00D93A71" w:rsidRDefault="00D93A71">
    <w:pPr>
      <w:pStyle w:val="Header"/>
    </w:pPr>
    <w:r>
      <w:rPr>
        <w:noProof/>
      </w:rPr>
      <w:pict w14:anchorId="597D4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594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A21B7" w14:textId="73B0F1A1" w:rsidR="00D93A71" w:rsidRDefault="00D93A71">
    <w:pPr>
      <w:pStyle w:val="Header"/>
    </w:pPr>
    <w:r>
      <w:rPr>
        <w:noProof/>
      </w:rPr>
      <w:pict w14:anchorId="1A9F7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594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FAF3" w14:textId="5C48BBA1" w:rsidR="00296529" w:rsidRPr="00296529" w:rsidRDefault="00D93A71" w:rsidP="00296529">
    <w:pPr>
      <w:ind w:left="2160"/>
      <w:jc w:val="center"/>
      <w:rPr>
        <w:rFonts w:ascii="Times New Roman" w:eastAsia="Calibri" w:hAnsi="Times New Roman"/>
        <w:i/>
        <w:sz w:val="18"/>
        <w:szCs w:val="22"/>
      </w:rPr>
    </w:pPr>
    <w:r>
      <w:rPr>
        <w:noProof/>
      </w:rPr>
      <w:pict w14:anchorId="29E54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594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1CD188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324A6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5E4CE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BA20A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845B0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7A3D3C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8465C1"/>
    <w:multiLevelType w:val="hybridMultilevel"/>
    <w:tmpl w:val="AAA874B8"/>
    <w:numStyleLink w:val="Style1import"/>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AE407F"/>
    <w:multiLevelType w:val="hybridMultilevel"/>
    <w:tmpl w:val="A86CD7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1A75CEA"/>
    <w:multiLevelType w:val="hybridMultilevel"/>
    <w:tmpl w:val="AAA874B8"/>
    <w:styleLink w:val="Style1import"/>
    <w:lvl w:ilvl="0" w:tplc="2D14A7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793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FED0C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98379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D87E4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182E96">
      <w:start w:val="1"/>
      <w:numFmt w:val="bullet"/>
      <w:lvlText w:val="▪"/>
      <w:lvlJc w:val="left"/>
      <w:pPr>
        <w:tabs>
          <w:tab w:val="left" w:pos="360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C8668E">
      <w:start w:val="1"/>
      <w:numFmt w:val="bullet"/>
      <w:lvlText w:val="▪"/>
      <w:lvlJc w:val="left"/>
      <w:pPr>
        <w:tabs>
          <w:tab w:val="left" w:pos="360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444F40">
      <w:start w:val="1"/>
      <w:numFmt w:val="bullet"/>
      <w:lvlText w:val="▪"/>
      <w:lvlJc w:val="left"/>
      <w:pPr>
        <w:tabs>
          <w:tab w:val="left" w:pos="360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AE6C9C">
      <w:start w:val="1"/>
      <w:numFmt w:val="bullet"/>
      <w:lvlText w:val="▪"/>
      <w:lvlJc w:val="left"/>
      <w:pPr>
        <w:tabs>
          <w:tab w:val="left" w:pos="360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6"/>
  </w:num>
  <w:num w:numId="19">
    <w:abstractNumId w:val="31"/>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0"/>
  </w:num>
  <w:num w:numId="31">
    <w:abstractNumId w:val="15"/>
  </w:num>
  <w:num w:numId="32">
    <w:abstractNumId w:val="1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0659"/>
    <w:rsid w:val="000A47FA"/>
    <w:rsid w:val="000A65D3"/>
    <w:rsid w:val="000B1E33"/>
    <w:rsid w:val="000D685B"/>
    <w:rsid w:val="000D689F"/>
    <w:rsid w:val="000E7B7B"/>
    <w:rsid w:val="000E7D62"/>
    <w:rsid w:val="00103357"/>
    <w:rsid w:val="00123C9F"/>
    <w:rsid w:val="00126190"/>
    <w:rsid w:val="00130F17"/>
    <w:rsid w:val="001320BF"/>
    <w:rsid w:val="00140CE0"/>
    <w:rsid w:val="00163BC4"/>
    <w:rsid w:val="00191062"/>
    <w:rsid w:val="00192B72"/>
    <w:rsid w:val="00196B5C"/>
    <w:rsid w:val="001A29D8"/>
    <w:rsid w:val="001A5CAA"/>
    <w:rsid w:val="001B0427"/>
    <w:rsid w:val="001D3A51"/>
    <w:rsid w:val="001E10D2"/>
    <w:rsid w:val="001E25B4"/>
    <w:rsid w:val="001E44FE"/>
    <w:rsid w:val="001F6ACD"/>
    <w:rsid w:val="00200595"/>
    <w:rsid w:val="00204835"/>
    <w:rsid w:val="00231920"/>
    <w:rsid w:val="0023195C"/>
    <w:rsid w:val="00237FB8"/>
    <w:rsid w:val="0024282C"/>
    <w:rsid w:val="002460DC"/>
    <w:rsid w:val="00250985"/>
    <w:rsid w:val="002556F6"/>
    <w:rsid w:val="00270B6D"/>
    <w:rsid w:val="00283105"/>
    <w:rsid w:val="00284286"/>
    <w:rsid w:val="00284C4C"/>
    <w:rsid w:val="00287E68"/>
    <w:rsid w:val="00296529"/>
    <w:rsid w:val="002B27FB"/>
    <w:rsid w:val="002B685A"/>
    <w:rsid w:val="002C57D2"/>
    <w:rsid w:val="002E0D56"/>
    <w:rsid w:val="00300B33"/>
    <w:rsid w:val="0030249B"/>
    <w:rsid w:val="00315186"/>
    <w:rsid w:val="0033343E"/>
    <w:rsid w:val="003512C2"/>
    <w:rsid w:val="00366726"/>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6842"/>
    <w:rsid w:val="004D305E"/>
    <w:rsid w:val="004D4277"/>
    <w:rsid w:val="004D595B"/>
    <w:rsid w:val="00502516"/>
    <w:rsid w:val="00505F06"/>
    <w:rsid w:val="00506828"/>
    <w:rsid w:val="0053056E"/>
    <w:rsid w:val="00554FDA"/>
    <w:rsid w:val="005643AA"/>
    <w:rsid w:val="005C784C"/>
    <w:rsid w:val="005D17F6"/>
    <w:rsid w:val="005E5539"/>
    <w:rsid w:val="00602BF5"/>
    <w:rsid w:val="00617FDD"/>
    <w:rsid w:val="0062024A"/>
    <w:rsid w:val="00633614"/>
    <w:rsid w:val="00633F68"/>
    <w:rsid w:val="00636EB2"/>
    <w:rsid w:val="006375B8"/>
    <w:rsid w:val="0066510A"/>
    <w:rsid w:val="00673F9F"/>
    <w:rsid w:val="00686953"/>
    <w:rsid w:val="00687DEA"/>
    <w:rsid w:val="00687E67"/>
    <w:rsid w:val="00693BCE"/>
    <w:rsid w:val="006967F7"/>
    <w:rsid w:val="006A250C"/>
    <w:rsid w:val="006B21D3"/>
    <w:rsid w:val="006B57D0"/>
    <w:rsid w:val="006C3CFB"/>
    <w:rsid w:val="006C4463"/>
    <w:rsid w:val="006D30FF"/>
    <w:rsid w:val="006D6940"/>
    <w:rsid w:val="006F11EC"/>
    <w:rsid w:val="0070082C"/>
    <w:rsid w:val="007369E6"/>
    <w:rsid w:val="00746E59"/>
    <w:rsid w:val="00754C9A"/>
    <w:rsid w:val="0075599A"/>
    <w:rsid w:val="00761D52"/>
    <w:rsid w:val="00765BAE"/>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A5E61"/>
    <w:rsid w:val="008B459E"/>
    <w:rsid w:val="008E13AE"/>
    <w:rsid w:val="008E1506"/>
    <w:rsid w:val="008E5ECA"/>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28B4"/>
    <w:rsid w:val="00B01FCD"/>
    <w:rsid w:val="00B148A6"/>
    <w:rsid w:val="00B1776C"/>
    <w:rsid w:val="00B52583"/>
    <w:rsid w:val="00B52896"/>
    <w:rsid w:val="00B95236"/>
    <w:rsid w:val="00B96BD9"/>
    <w:rsid w:val="00BA1B01"/>
    <w:rsid w:val="00BA2641"/>
    <w:rsid w:val="00BB37AA"/>
    <w:rsid w:val="00BC53A0"/>
    <w:rsid w:val="00BE62AD"/>
    <w:rsid w:val="00BF00B4"/>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7D40"/>
    <w:rsid w:val="00D173F1"/>
    <w:rsid w:val="00D25082"/>
    <w:rsid w:val="00D27081"/>
    <w:rsid w:val="00D74CB0"/>
    <w:rsid w:val="00D8295D"/>
    <w:rsid w:val="00D93A71"/>
    <w:rsid w:val="00D97430"/>
    <w:rsid w:val="00DC2A65"/>
    <w:rsid w:val="00DE15F0"/>
    <w:rsid w:val="00DE5663"/>
    <w:rsid w:val="00DE78AA"/>
    <w:rsid w:val="00E053D0"/>
    <w:rsid w:val="00E15994"/>
    <w:rsid w:val="00E2190A"/>
    <w:rsid w:val="00E3114E"/>
    <w:rsid w:val="00E31A70"/>
    <w:rsid w:val="00E35B02"/>
    <w:rsid w:val="00E66496"/>
    <w:rsid w:val="00E66B35"/>
    <w:rsid w:val="00E66E10"/>
    <w:rsid w:val="00E769F6"/>
    <w:rsid w:val="00E8407C"/>
    <w:rsid w:val="00E84F3C"/>
    <w:rsid w:val="00EA012C"/>
    <w:rsid w:val="00EC6A55"/>
    <w:rsid w:val="00ED0288"/>
    <w:rsid w:val="00ED6D74"/>
    <w:rsid w:val="00EE52CB"/>
    <w:rsid w:val="00EF581D"/>
    <w:rsid w:val="00EF7FD8"/>
    <w:rsid w:val="00F06F59"/>
    <w:rsid w:val="00F17988"/>
    <w:rsid w:val="00F469F0"/>
    <w:rsid w:val="00F53273"/>
    <w:rsid w:val="00F755E4"/>
    <w:rsid w:val="00F77D02"/>
    <w:rsid w:val="00FA5872"/>
    <w:rsid w:val="00FB3A86"/>
    <w:rsid w:val="00FC1330"/>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51B3A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ED6D74"/>
    <w:pPr>
      <w:spacing w:after="120"/>
    </w:pPr>
  </w:style>
  <w:style w:type="character" w:customStyle="1" w:styleId="BodyTextChar">
    <w:name w:val="Body Text Char"/>
    <w:basedOn w:val="DefaultParagraphFont"/>
    <w:link w:val="BodyText"/>
    <w:semiHidden/>
    <w:rsid w:val="00ED6D74"/>
    <w:rPr>
      <w:rFonts w:ascii="Helvetica" w:hAnsi="Helvetica"/>
    </w:rPr>
  </w:style>
  <w:style w:type="paragraph" w:customStyle="1" w:styleId="Corps">
    <w:name w:val="Corps"/>
    <w:rsid w:val="00ED6D74"/>
    <w:pPr>
      <w:pBdr>
        <w:top w:val="nil"/>
        <w:left w:val="nil"/>
        <w:bottom w:val="nil"/>
        <w:right w:val="nil"/>
        <w:between w:val="nil"/>
        <w:bar w:val="nil"/>
      </w:pBdr>
    </w:pPr>
    <w:rPr>
      <w:rFonts w:ascii="Calibri" w:eastAsia="Arial Unicode MS" w:hAnsi="Calibri" w:cs="Arial Unicode MS"/>
      <w:color w:val="000000"/>
      <w:kern w:val="2"/>
      <w:sz w:val="24"/>
      <w:szCs w:val="24"/>
      <w:u w:color="000000"/>
      <w:bdr w:val="nil"/>
      <w:lang w:eastAsia="fr-FR"/>
      <w14:textOutline w14:w="0" w14:cap="flat" w14:cmpd="sng" w14:algn="ctr">
        <w14:noFill/>
        <w14:prstDash w14:val="solid"/>
        <w14:bevel/>
      </w14:textOutline>
    </w:rPr>
  </w:style>
  <w:style w:type="character" w:customStyle="1" w:styleId="Aucun">
    <w:name w:val="Aucun"/>
    <w:rsid w:val="00D25082"/>
  </w:style>
  <w:style w:type="numbering" w:customStyle="1" w:styleId="Style1import">
    <w:name w:val="Style 1 importé"/>
    <w:rsid w:val="00D25082"/>
    <w:pPr>
      <w:numPr>
        <w:numId w:val="32"/>
      </w:numPr>
    </w:pPr>
  </w:style>
  <w:style w:type="character" w:customStyle="1" w:styleId="Hyperlink0">
    <w:name w:val="Hyperlink.0"/>
    <w:basedOn w:val="DefaultParagraphFont"/>
    <w:rsid w:val="00D25082"/>
    <w:rPr>
      <w:color w:val="0563C1"/>
      <w:kern w:val="0"/>
      <w:u w:val="single" w:color="0563C1"/>
      <w:lang w:val="en-US"/>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EA90C-EFE5-404A-890A-417E0A74B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12</Pages>
  <Words>3405</Words>
  <Characters>19411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22771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cp:revision>
  <cp:lastPrinted>1999-07-06T11:00:00Z</cp:lastPrinted>
  <dcterms:created xsi:type="dcterms:W3CDTF">2025-09-05T16:39:00Z</dcterms:created>
  <dcterms:modified xsi:type="dcterms:W3CDTF">2025-09-06T10:56:00Z</dcterms:modified>
</cp:coreProperties>
</file>