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E5BFA" w14:textId="19826605" w:rsidR="003E454C" w:rsidRPr="008672CE" w:rsidRDefault="003E454C" w:rsidP="008672CE">
      <w:pPr>
        <w:pStyle w:val="NormalWeb"/>
        <w:jc w:val="center"/>
      </w:pPr>
      <w:r w:rsidRPr="008672CE">
        <w:rPr>
          <w:rStyle w:val="Strong"/>
        </w:rPr>
        <w:t>REVEALING THE HIDDEN DANGERS OF SODIUM LAURYL SULFATE: HEALTH IMPACTS, TOXICITY</w:t>
      </w:r>
      <w:r w:rsidR="00681749">
        <w:rPr>
          <w:rStyle w:val="Strong"/>
        </w:rPr>
        <w:t xml:space="preserve"> </w:t>
      </w:r>
      <w:r w:rsidRPr="008672CE">
        <w:rPr>
          <w:rStyle w:val="Strong"/>
        </w:rPr>
        <w:t>AND DIAGNOSTIC PERSPECTIVES</w:t>
      </w:r>
    </w:p>
    <w:p w14:paraId="597FCB90" w14:textId="3F0DA418" w:rsidR="004E37A9" w:rsidRDefault="004E37A9" w:rsidP="008672CE">
      <w:pPr>
        <w:spacing w:line="240" w:lineRule="auto"/>
        <w:jc w:val="center"/>
        <w:rPr>
          <w:rFonts w:ascii="Times New Roman" w:hAnsi="Times New Roman" w:cs="Times New Roman"/>
          <w:b/>
          <w:sz w:val="24"/>
          <w:szCs w:val="24"/>
        </w:rPr>
      </w:pPr>
    </w:p>
    <w:p w14:paraId="095CF9D3" w14:textId="77777777" w:rsidR="0034766F" w:rsidRPr="008672CE" w:rsidRDefault="0034766F" w:rsidP="008672CE">
      <w:pPr>
        <w:spacing w:line="240" w:lineRule="auto"/>
        <w:jc w:val="center"/>
        <w:rPr>
          <w:rFonts w:ascii="Times New Roman" w:hAnsi="Times New Roman" w:cs="Times New Roman"/>
          <w:b/>
          <w:sz w:val="24"/>
          <w:szCs w:val="24"/>
        </w:rPr>
      </w:pPr>
    </w:p>
    <w:p w14:paraId="5C26DB3B" w14:textId="1A98C4D2" w:rsidR="00CF1FF6" w:rsidRPr="004E37A9" w:rsidRDefault="006E5137" w:rsidP="00CF1FF6">
      <w:pPr>
        <w:spacing w:line="240" w:lineRule="auto"/>
        <w:jc w:val="both"/>
        <w:rPr>
          <w:rFonts w:ascii="Times New Roman" w:hAnsi="Times New Roman" w:cs="Times New Roman"/>
          <w:b/>
          <w:sz w:val="24"/>
          <w:szCs w:val="24"/>
        </w:rPr>
      </w:pPr>
      <w:r w:rsidRPr="008672CE">
        <w:rPr>
          <w:rFonts w:ascii="Times New Roman" w:hAnsi="Times New Roman" w:cs="Times New Roman"/>
          <w:b/>
          <w:sz w:val="24"/>
          <w:szCs w:val="24"/>
        </w:rPr>
        <w:t>ABSTRACT</w:t>
      </w:r>
    </w:p>
    <w:p w14:paraId="5F2EA52E" w14:textId="32CB3ABE" w:rsidR="004E37A9" w:rsidRPr="004E37A9" w:rsidRDefault="00CF1FF6" w:rsidP="004E37A9">
      <w:pPr>
        <w:spacing w:line="240" w:lineRule="auto"/>
        <w:jc w:val="both"/>
        <w:rPr>
          <w:rFonts w:ascii="Times New Roman" w:hAnsi="Times New Roman" w:cs="Times New Roman"/>
          <w:sz w:val="20"/>
          <w:szCs w:val="20"/>
        </w:rPr>
      </w:pPr>
      <w:r w:rsidRPr="00CF1FF6">
        <w:rPr>
          <w:rFonts w:ascii="Times New Roman" w:hAnsi="Times New Roman" w:cs="Times New Roman"/>
          <w:sz w:val="20"/>
          <w:szCs w:val="20"/>
        </w:rPr>
        <w:t xml:space="preserve">Sodium Lauryl </w:t>
      </w:r>
      <w:proofErr w:type="spellStart"/>
      <w:r w:rsidRPr="00CF1FF6">
        <w:rPr>
          <w:rFonts w:ascii="Times New Roman" w:hAnsi="Times New Roman" w:cs="Times New Roman"/>
          <w:sz w:val="20"/>
          <w:szCs w:val="20"/>
        </w:rPr>
        <w:t>Sulfate</w:t>
      </w:r>
      <w:proofErr w:type="spellEnd"/>
      <w:r w:rsidRPr="00CF1FF6">
        <w:rPr>
          <w:rFonts w:ascii="Times New Roman" w:hAnsi="Times New Roman" w:cs="Times New Roman"/>
          <w:sz w:val="20"/>
          <w:szCs w:val="20"/>
        </w:rPr>
        <w:t xml:space="preserve"> (SLS), a common anionic surfactant and emulsifier used in pharmaceuticals and household products. While SLS enhances the solubility of poorly soluble drugs, it may cause significant adverse effects, including skin irritation, damage to biological membranes, and potential disturbance to microbial balance. Various studies indicate that prolonged or high-concentration exposure can lead to skin barrier dysfunction and conditions like eczema, particularly in sensitive individuals. Moreover, the pharmacokinetics of SLS reveal limited dermal penetration but considerable urinary excretion after topical application. </w:t>
      </w:r>
      <w:r>
        <w:rPr>
          <w:rFonts w:ascii="Times New Roman" w:hAnsi="Times New Roman" w:cs="Times New Roman"/>
          <w:sz w:val="20"/>
          <w:szCs w:val="20"/>
        </w:rPr>
        <w:t xml:space="preserve"> </w:t>
      </w:r>
      <w:r w:rsidRPr="00CF1FF6">
        <w:rPr>
          <w:rFonts w:ascii="Times New Roman" w:hAnsi="Times New Roman" w:cs="Times New Roman"/>
          <w:sz w:val="20"/>
          <w:szCs w:val="20"/>
        </w:rPr>
        <w:t>Additionally, evidence suggests that SLS may contribute to serious health issues such as neurotoxicity and organ toxicity when absorbed in significant amounts. The paper discusses, including the mechanism of action, pharmacokinetics and toxicity to recognize SLS-related health problems. It stresses the necessity for increased awareness and regulation of SLS usage, advocating for safer alternatives and improved labe</w:t>
      </w:r>
      <w:r w:rsidR="004E37A9">
        <w:rPr>
          <w:rFonts w:ascii="Times New Roman" w:hAnsi="Times New Roman" w:cs="Times New Roman"/>
          <w:sz w:val="20"/>
          <w:szCs w:val="20"/>
        </w:rPr>
        <w:t>l</w:t>
      </w:r>
      <w:r w:rsidRPr="00CF1FF6">
        <w:rPr>
          <w:rFonts w:ascii="Times New Roman" w:hAnsi="Times New Roman" w:cs="Times New Roman"/>
          <w:sz w:val="20"/>
          <w:szCs w:val="20"/>
        </w:rPr>
        <w:t>ling to safeguard public health.</w:t>
      </w:r>
    </w:p>
    <w:p w14:paraId="7DC316BD" w14:textId="16B14A00" w:rsidR="004E37A9" w:rsidRPr="004E37A9" w:rsidRDefault="004E37A9" w:rsidP="004E37A9">
      <w:pPr>
        <w:pStyle w:val="NormalWeb"/>
        <w:jc w:val="both"/>
        <w:rPr>
          <w:sz w:val="20"/>
          <w:szCs w:val="20"/>
        </w:rPr>
      </w:pPr>
      <w:r w:rsidRPr="004E37A9">
        <w:rPr>
          <w:b/>
        </w:rPr>
        <w:t>KEYWORDS:</w:t>
      </w:r>
      <w:r>
        <w:rPr>
          <w:b/>
          <w:sz w:val="20"/>
          <w:szCs w:val="20"/>
        </w:rPr>
        <w:t xml:space="preserve"> </w:t>
      </w:r>
      <w:r>
        <w:rPr>
          <w:sz w:val="20"/>
          <w:szCs w:val="20"/>
        </w:rPr>
        <w:t>Sodium lauryl sulphate, Skin irritation and Toxicity</w:t>
      </w:r>
    </w:p>
    <w:p w14:paraId="5F672DBA" w14:textId="77777777" w:rsidR="003E454C" w:rsidRPr="008672CE" w:rsidRDefault="00064798" w:rsidP="006C5C45">
      <w:pPr>
        <w:spacing w:line="240" w:lineRule="auto"/>
        <w:jc w:val="both"/>
        <w:rPr>
          <w:rFonts w:ascii="Times New Roman" w:hAnsi="Times New Roman" w:cs="Times New Roman"/>
          <w:b/>
          <w:sz w:val="24"/>
          <w:szCs w:val="24"/>
        </w:rPr>
      </w:pPr>
      <w:r w:rsidRPr="008672CE">
        <w:rPr>
          <w:rFonts w:ascii="Times New Roman" w:hAnsi="Times New Roman" w:cs="Times New Roman"/>
          <w:b/>
          <w:sz w:val="24"/>
          <w:szCs w:val="24"/>
        </w:rPr>
        <w:t>INTRODUCTION</w:t>
      </w:r>
    </w:p>
    <w:p w14:paraId="14522A64" w14:textId="06283F92" w:rsidR="0087427A" w:rsidRDefault="009D4F8E" w:rsidP="006C5C45">
      <w:pPr>
        <w:pStyle w:val="NormalWeb"/>
        <w:ind w:firstLine="720"/>
        <w:jc w:val="both"/>
        <w:rPr>
          <w:sz w:val="20"/>
          <w:szCs w:val="20"/>
        </w:rPr>
      </w:pPr>
      <w:r w:rsidRPr="006C5C45">
        <w:rPr>
          <w:sz w:val="20"/>
          <w:szCs w:val="20"/>
        </w:rPr>
        <w:t xml:space="preserve">Sodium Lauryl </w:t>
      </w:r>
      <w:proofErr w:type="spellStart"/>
      <w:r w:rsidRPr="006C5C45">
        <w:rPr>
          <w:sz w:val="20"/>
          <w:szCs w:val="20"/>
        </w:rPr>
        <w:t>Sulfate</w:t>
      </w:r>
      <w:proofErr w:type="spellEnd"/>
      <w:r w:rsidRPr="006C5C45">
        <w:rPr>
          <w:sz w:val="20"/>
          <w:szCs w:val="20"/>
        </w:rPr>
        <w:t xml:space="preserve"> (SLS), also known as sodium lauryl </w:t>
      </w:r>
      <w:proofErr w:type="spellStart"/>
      <w:r w:rsidRPr="006C5C45">
        <w:rPr>
          <w:sz w:val="20"/>
          <w:szCs w:val="20"/>
        </w:rPr>
        <w:t>sulfate</w:t>
      </w:r>
      <w:proofErr w:type="spellEnd"/>
      <w:r w:rsidRPr="006C5C45">
        <w:rPr>
          <w:sz w:val="20"/>
          <w:szCs w:val="20"/>
        </w:rPr>
        <w:t xml:space="preserve"> or sodium dodecyl </w:t>
      </w:r>
      <w:proofErr w:type="spellStart"/>
      <w:r w:rsidRPr="006C5C45">
        <w:rPr>
          <w:sz w:val="20"/>
          <w:szCs w:val="20"/>
        </w:rPr>
        <w:t>sulfate</w:t>
      </w:r>
      <w:proofErr w:type="spellEnd"/>
      <w:r w:rsidRPr="006C5C45">
        <w:rPr>
          <w:sz w:val="20"/>
          <w:szCs w:val="20"/>
        </w:rPr>
        <w:t xml:space="preserve">, is a common anionic surfactant and emulsifier found in </w:t>
      </w:r>
      <w:r w:rsidR="000E3815" w:rsidRPr="006C5C45">
        <w:rPr>
          <w:sz w:val="20"/>
          <w:szCs w:val="20"/>
        </w:rPr>
        <w:t xml:space="preserve">widely used in pharmaceutical research as a dissolution enhancer for poorly soluble drugs and also used in </w:t>
      </w:r>
      <w:r w:rsidRPr="006C5C45">
        <w:rPr>
          <w:sz w:val="20"/>
          <w:szCs w:val="20"/>
        </w:rPr>
        <w:t>household cleaning products, including laundry detergents, all-purpose cleaners, and dishwashing detergents. The concentration of SLS varies depending on the product and manufacturer, typically ranging from 0.01% to 50% in cosmetics and 1% to 30% in cleaning products</w:t>
      </w:r>
      <w:r w:rsidRPr="00F82B95">
        <w:rPr>
          <w:sz w:val="20"/>
          <w:szCs w:val="20"/>
          <w:vertAlign w:val="superscript"/>
        </w:rPr>
        <w:t>1,2</w:t>
      </w:r>
      <w:r w:rsidRPr="006C5C45">
        <w:rPr>
          <w:sz w:val="20"/>
          <w:szCs w:val="20"/>
        </w:rPr>
        <w:t xml:space="preserve">. SLS can be either synthetically produced or derived from natural sources. The synthetic method involves reacting lauryl alcohol, which can be sourced from petroleum or plants, with </w:t>
      </w:r>
      <w:proofErr w:type="spellStart"/>
      <w:r w:rsidRPr="006C5C45">
        <w:rPr>
          <w:sz w:val="20"/>
          <w:szCs w:val="20"/>
        </w:rPr>
        <w:t>sulfur</w:t>
      </w:r>
      <w:proofErr w:type="spellEnd"/>
      <w:r w:rsidRPr="006C5C45">
        <w:rPr>
          <w:sz w:val="20"/>
          <w:szCs w:val="20"/>
        </w:rPr>
        <w:t xml:space="preserve"> trioxide to produce hydrogen lauryl </w:t>
      </w:r>
      <w:proofErr w:type="spellStart"/>
      <w:r w:rsidRPr="006C5C45">
        <w:rPr>
          <w:sz w:val="20"/>
          <w:szCs w:val="20"/>
        </w:rPr>
        <w:t>sulfate</w:t>
      </w:r>
      <w:proofErr w:type="spellEnd"/>
      <w:r w:rsidRPr="006C5C45">
        <w:rPr>
          <w:sz w:val="20"/>
          <w:szCs w:val="20"/>
        </w:rPr>
        <w:t>, which is then neutralized with sodium carbonate to form SLS. It is commonly used in consumer and medical products, including toothpaste, mouthwash, shampoo, soap, face wash, and other cosmetics. However, numerous studies indicate that SLS may have harmful effects</w:t>
      </w:r>
      <w:r w:rsidRPr="00F82B95">
        <w:rPr>
          <w:sz w:val="20"/>
          <w:szCs w:val="20"/>
          <w:vertAlign w:val="superscript"/>
        </w:rPr>
        <w:t>3</w:t>
      </w:r>
      <w:r w:rsidRPr="006C5C45">
        <w:rPr>
          <w:sz w:val="20"/>
          <w:szCs w:val="20"/>
        </w:rPr>
        <w:t>. Research suggests that SLS-containing products can cause eye irritation, skin damage, mouth cytotoxicity, protein damage in cells, and even hair loss. Scientific tests have shown that prolonged exposure to high concentrations of SLS can lead to adverse health effects. Additionally, SLS may impact the microbiological balance of the body</w:t>
      </w:r>
      <w:r w:rsidRPr="00F82B95">
        <w:rPr>
          <w:sz w:val="20"/>
          <w:szCs w:val="20"/>
          <w:vertAlign w:val="superscript"/>
        </w:rPr>
        <w:t>4,5</w:t>
      </w:r>
      <w:r w:rsidRPr="006C5C45">
        <w:rPr>
          <w:sz w:val="20"/>
          <w:szCs w:val="20"/>
        </w:rPr>
        <w:t xml:space="preserve">. The goal of this paper is to explore the health risks and toxicity of Sodium Lauryl </w:t>
      </w:r>
      <w:proofErr w:type="spellStart"/>
      <w:r w:rsidRPr="006C5C45">
        <w:rPr>
          <w:sz w:val="20"/>
          <w:szCs w:val="20"/>
        </w:rPr>
        <w:t>Sulfate</w:t>
      </w:r>
      <w:proofErr w:type="spellEnd"/>
      <w:r w:rsidRPr="006C5C45">
        <w:rPr>
          <w:sz w:val="20"/>
          <w:szCs w:val="20"/>
        </w:rPr>
        <w:t xml:space="preserve"> by reviewing recent research and expert insights. We aim to provide a thorough examination of the dangers associated with SLS exposure, encouraging consumers and healthcare professionals to make informed decisions. By uncovering these hidden risks, we hope to foster a greater understanding of SLS and contribute to safer product formulation and use. Through this investigation, we strive to equip individuals with the knowledge needed to make well-informed personal care choices with both confidence and caution.</w:t>
      </w:r>
    </w:p>
    <w:p w14:paraId="5B3C7239" w14:textId="401350E0" w:rsidR="002950F6" w:rsidRPr="008672CE" w:rsidRDefault="002950F6" w:rsidP="006C5C45">
      <w:pPr>
        <w:pStyle w:val="NormalWeb"/>
        <w:jc w:val="both"/>
        <w:rPr>
          <w:b/>
          <w:bCs/>
        </w:rPr>
      </w:pPr>
      <w:r w:rsidRPr="008672CE">
        <w:rPr>
          <w:b/>
          <w:bCs/>
        </w:rPr>
        <w:t>CATEGORY</w:t>
      </w:r>
      <w:r w:rsidR="009F2E25" w:rsidRPr="008672CE">
        <w:rPr>
          <w:b/>
          <w:bCs/>
        </w:rPr>
        <w:t xml:space="preserve"> </w:t>
      </w:r>
      <w:r w:rsidR="009F2E25" w:rsidRPr="008672CE">
        <w:rPr>
          <w:b/>
          <w:bCs/>
          <w:vertAlign w:val="superscript"/>
        </w:rPr>
        <w:t>1</w:t>
      </w:r>
      <w:r w:rsidRPr="008672CE">
        <w:rPr>
          <w:b/>
          <w:bCs/>
        </w:rPr>
        <w:t>:</w:t>
      </w:r>
    </w:p>
    <w:p w14:paraId="720DA39F" w14:textId="62B6046C" w:rsidR="002950F6" w:rsidRDefault="002950F6" w:rsidP="006C5C45">
      <w:pPr>
        <w:pStyle w:val="NormalWeb"/>
        <w:ind w:firstLine="720"/>
        <w:jc w:val="both"/>
        <w:rPr>
          <w:sz w:val="20"/>
          <w:szCs w:val="20"/>
        </w:rPr>
      </w:pPr>
      <w:r w:rsidRPr="006C5C45">
        <w:rPr>
          <w:sz w:val="20"/>
          <w:szCs w:val="20"/>
        </w:rPr>
        <w:t>Anionic surfactant; functions include emulsification, modified-release facilitation, penetration enhancement, solubilization, and serving as a lubricant for tablets and capsules.</w:t>
      </w:r>
    </w:p>
    <w:p w14:paraId="12DC629F" w14:textId="77777777" w:rsidR="004E37A9" w:rsidRDefault="004E37A9" w:rsidP="006C5C45">
      <w:pPr>
        <w:pStyle w:val="NormalWeb"/>
        <w:ind w:firstLine="720"/>
        <w:jc w:val="both"/>
        <w:rPr>
          <w:sz w:val="20"/>
          <w:szCs w:val="20"/>
        </w:rPr>
      </w:pPr>
    </w:p>
    <w:p w14:paraId="4206C430" w14:textId="4EE8C39B" w:rsidR="004E37A9" w:rsidRDefault="004E37A9" w:rsidP="004E37A9">
      <w:pPr>
        <w:pStyle w:val="NormalWeb"/>
        <w:jc w:val="both"/>
        <w:rPr>
          <w:sz w:val="20"/>
          <w:szCs w:val="20"/>
        </w:rPr>
      </w:pPr>
    </w:p>
    <w:p w14:paraId="52A4F4BD" w14:textId="77777777" w:rsidR="0034766F" w:rsidRDefault="0034766F" w:rsidP="004E37A9">
      <w:pPr>
        <w:pStyle w:val="NormalWeb"/>
        <w:jc w:val="both"/>
        <w:rPr>
          <w:sz w:val="20"/>
          <w:szCs w:val="20"/>
        </w:rPr>
      </w:pPr>
      <w:bookmarkStart w:id="0" w:name="_GoBack"/>
      <w:bookmarkEnd w:id="0"/>
    </w:p>
    <w:p w14:paraId="2A70B10D" w14:textId="77777777" w:rsidR="004E37A9" w:rsidRPr="006C5C45" w:rsidRDefault="004E37A9" w:rsidP="004E37A9">
      <w:pPr>
        <w:pStyle w:val="NormalWeb"/>
        <w:jc w:val="both"/>
        <w:rPr>
          <w:sz w:val="20"/>
          <w:szCs w:val="20"/>
        </w:rPr>
      </w:pPr>
    </w:p>
    <w:p w14:paraId="536A5084" w14:textId="67EB9027" w:rsidR="00B074AE" w:rsidRPr="008672CE" w:rsidRDefault="004A46CD" w:rsidP="006C5C45">
      <w:pPr>
        <w:pStyle w:val="NormalWeb"/>
        <w:jc w:val="both"/>
        <w:rPr>
          <w:b/>
          <w:bCs/>
        </w:rPr>
      </w:pPr>
      <w:r>
        <w:rPr>
          <w:b/>
          <w:bCs/>
        </w:rPr>
        <w:lastRenderedPageBreak/>
        <w:t xml:space="preserve">Table 1. </w:t>
      </w:r>
      <w:r w:rsidR="00B074AE" w:rsidRPr="008672CE">
        <w:rPr>
          <w:b/>
          <w:bCs/>
        </w:rPr>
        <w:t>PHYSICAL AND CHEMICAL PROPERTIES</w:t>
      </w:r>
      <w:r w:rsidR="009F2E25" w:rsidRPr="008672CE">
        <w:rPr>
          <w:b/>
          <w:bCs/>
        </w:rPr>
        <w:t xml:space="preserve"> </w:t>
      </w:r>
      <w:r w:rsidR="009F2E25" w:rsidRPr="008672CE">
        <w:rPr>
          <w:b/>
          <w:bCs/>
          <w:vertAlign w:val="superscript"/>
        </w:rPr>
        <w:t>6-8</w:t>
      </w:r>
      <w:r w:rsidR="00B074AE" w:rsidRPr="008672CE">
        <w:rPr>
          <w:b/>
          <w:bCs/>
        </w:rPr>
        <w:t>:</w:t>
      </w:r>
    </w:p>
    <w:tbl>
      <w:tblPr>
        <w:tblStyle w:val="TableGrid"/>
        <w:tblW w:w="0" w:type="auto"/>
        <w:jc w:val="center"/>
        <w:tblLook w:val="04A0" w:firstRow="1" w:lastRow="0" w:firstColumn="1" w:lastColumn="0" w:noHBand="0" w:noVBand="1"/>
      </w:tblPr>
      <w:tblGrid>
        <w:gridCol w:w="4290"/>
        <w:gridCol w:w="4290"/>
      </w:tblGrid>
      <w:tr w:rsidR="00E05142" w:rsidRPr="006C5C45" w14:paraId="438FF753" w14:textId="77777777" w:rsidTr="000E3815">
        <w:trPr>
          <w:trHeight w:val="440"/>
          <w:jc w:val="center"/>
        </w:trPr>
        <w:tc>
          <w:tcPr>
            <w:tcW w:w="4290" w:type="dxa"/>
            <w:vAlign w:val="center"/>
          </w:tcPr>
          <w:p w14:paraId="23E47288" w14:textId="77777777" w:rsidR="00E05142" w:rsidRPr="006C5C45" w:rsidRDefault="00E05142" w:rsidP="006C5C45">
            <w:pPr>
              <w:jc w:val="both"/>
              <w:rPr>
                <w:rFonts w:ascii="Times New Roman" w:hAnsi="Times New Roman" w:cs="Times New Roman"/>
                <w:b/>
                <w:bCs/>
                <w:sz w:val="20"/>
                <w:szCs w:val="20"/>
              </w:rPr>
            </w:pPr>
            <w:r w:rsidRPr="006C5C45">
              <w:rPr>
                <w:rFonts w:ascii="Times New Roman" w:hAnsi="Times New Roman" w:cs="Times New Roman"/>
                <w:b/>
                <w:bCs/>
                <w:sz w:val="20"/>
                <w:szCs w:val="20"/>
              </w:rPr>
              <w:t>Property</w:t>
            </w:r>
          </w:p>
        </w:tc>
        <w:tc>
          <w:tcPr>
            <w:tcW w:w="4290" w:type="dxa"/>
            <w:vAlign w:val="center"/>
          </w:tcPr>
          <w:p w14:paraId="0E0A7DFC" w14:textId="77777777" w:rsidR="00E05142" w:rsidRPr="006C5C45" w:rsidRDefault="00E05142" w:rsidP="006C5C45">
            <w:pPr>
              <w:jc w:val="both"/>
              <w:rPr>
                <w:rFonts w:ascii="Times New Roman" w:hAnsi="Times New Roman" w:cs="Times New Roman"/>
                <w:b/>
                <w:bCs/>
                <w:sz w:val="20"/>
                <w:szCs w:val="20"/>
              </w:rPr>
            </w:pPr>
            <w:r w:rsidRPr="006C5C45">
              <w:rPr>
                <w:rFonts w:ascii="Times New Roman" w:hAnsi="Times New Roman" w:cs="Times New Roman"/>
                <w:b/>
                <w:bCs/>
                <w:sz w:val="20"/>
                <w:szCs w:val="20"/>
              </w:rPr>
              <w:t>Characteristic/Value Source</w:t>
            </w:r>
          </w:p>
        </w:tc>
      </w:tr>
      <w:tr w:rsidR="00E05142" w:rsidRPr="006C5C45" w14:paraId="7DA8BAC6" w14:textId="77777777" w:rsidTr="000E3815">
        <w:trPr>
          <w:trHeight w:val="214"/>
          <w:jc w:val="center"/>
        </w:trPr>
        <w:tc>
          <w:tcPr>
            <w:tcW w:w="4290" w:type="dxa"/>
            <w:vAlign w:val="center"/>
          </w:tcPr>
          <w:p w14:paraId="05100FA3"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Molecular Formula</w:t>
            </w:r>
          </w:p>
        </w:tc>
        <w:tc>
          <w:tcPr>
            <w:tcW w:w="4290" w:type="dxa"/>
            <w:vAlign w:val="center"/>
          </w:tcPr>
          <w:p w14:paraId="54348395"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C12H25NaO4S</w:t>
            </w:r>
          </w:p>
        </w:tc>
      </w:tr>
      <w:tr w:rsidR="00E05142" w:rsidRPr="006C5C45" w14:paraId="5C3DF89C" w14:textId="77777777" w:rsidTr="000E3815">
        <w:trPr>
          <w:trHeight w:val="214"/>
          <w:jc w:val="center"/>
        </w:trPr>
        <w:tc>
          <w:tcPr>
            <w:tcW w:w="4290" w:type="dxa"/>
            <w:vAlign w:val="center"/>
          </w:tcPr>
          <w:p w14:paraId="4D12415A"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Molecular Weight</w:t>
            </w:r>
          </w:p>
        </w:tc>
        <w:tc>
          <w:tcPr>
            <w:tcW w:w="4290" w:type="dxa"/>
            <w:vAlign w:val="center"/>
          </w:tcPr>
          <w:p w14:paraId="50620A9D"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288.38</w:t>
            </w:r>
          </w:p>
        </w:tc>
      </w:tr>
      <w:tr w:rsidR="00E05142" w:rsidRPr="006C5C45" w14:paraId="3285FF51" w14:textId="77777777" w:rsidTr="000E3815">
        <w:trPr>
          <w:trHeight w:val="1098"/>
          <w:jc w:val="center"/>
        </w:trPr>
        <w:tc>
          <w:tcPr>
            <w:tcW w:w="4290" w:type="dxa"/>
            <w:vAlign w:val="center"/>
          </w:tcPr>
          <w:p w14:paraId="50774EC4"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Composition</w:t>
            </w:r>
          </w:p>
        </w:tc>
        <w:tc>
          <w:tcPr>
            <w:tcW w:w="4290" w:type="dxa"/>
            <w:vAlign w:val="center"/>
          </w:tcPr>
          <w:p w14:paraId="0C1583BB"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C: 49.98%</w:t>
            </w:r>
          </w:p>
          <w:p w14:paraId="306B5E33"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H: 8.74%</w:t>
            </w:r>
          </w:p>
          <w:p w14:paraId="22098606"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Na: 7.97%</w:t>
            </w:r>
          </w:p>
          <w:p w14:paraId="62675032"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O:22.19%</w:t>
            </w:r>
          </w:p>
          <w:p w14:paraId="307C7AF6"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S: 11.12%</w:t>
            </w:r>
          </w:p>
        </w:tc>
      </w:tr>
      <w:tr w:rsidR="00E05142" w:rsidRPr="006C5C45" w14:paraId="695276DE" w14:textId="77777777" w:rsidTr="000E3815">
        <w:trPr>
          <w:trHeight w:val="432"/>
          <w:jc w:val="center"/>
        </w:trPr>
        <w:tc>
          <w:tcPr>
            <w:tcW w:w="4290" w:type="dxa"/>
            <w:vAlign w:val="center"/>
          </w:tcPr>
          <w:p w14:paraId="59A098FF"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 xml:space="preserve">Physical state at 25°C/1 </w:t>
            </w:r>
            <w:proofErr w:type="spellStart"/>
            <w:r w:rsidRPr="006C5C45">
              <w:rPr>
                <w:rFonts w:ascii="Times New Roman" w:hAnsi="Times New Roman" w:cs="Times New Roman"/>
                <w:sz w:val="20"/>
                <w:szCs w:val="20"/>
              </w:rPr>
              <w:t>Atm</w:t>
            </w:r>
            <w:proofErr w:type="spellEnd"/>
          </w:p>
        </w:tc>
        <w:tc>
          <w:tcPr>
            <w:tcW w:w="4290" w:type="dxa"/>
            <w:vAlign w:val="center"/>
          </w:tcPr>
          <w:p w14:paraId="011A4EEC"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Crystals or flakes</w:t>
            </w:r>
          </w:p>
        </w:tc>
      </w:tr>
      <w:tr w:rsidR="00E05142" w:rsidRPr="006C5C45" w14:paraId="11F2B640" w14:textId="77777777" w:rsidTr="000E3815">
        <w:trPr>
          <w:trHeight w:val="224"/>
          <w:jc w:val="center"/>
        </w:trPr>
        <w:tc>
          <w:tcPr>
            <w:tcW w:w="4290" w:type="dxa"/>
            <w:vAlign w:val="center"/>
          </w:tcPr>
          <w:p w14:paraId="1BA71943"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Colour</w:t>
            </w:r>
          </w:p>
        </w:tc>
        <w:tc>
          <w:tcPr>
            <w:tcW w:w="4290" w:type="dxa"/>
            <w:vAlign w:val="center"/>
          </w:tcPr>
          <w:p w14:paraId="7480F2E2"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White or Cream</w:t>
            </w:r>
          </w:p>
        </w:tc>
      </w:tr>
      <w:tr w:rsidR="00E05142" w:rsidRPr="006C5C45" w14:paraId="5E676809" w14:textId="77777777" w:rsidTr="000E3815">
        <w:trPr>
          <w:trHeight w:val="432"/>
          <w:jc w:val="center"/>
        </w:trPr>
        <w:tc>
          <w:tcPr>
            <w:tcW w:w="4290" w:type="dxa"/>
            <w:vAlign w:val="center"/>
          </w:tcPr>
          <w:p w14:paraId="27466954"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Odour</w:t>
            </w:r>
          </w:p>
        </w:tc>
        <w:tc>
          <w:tcPr>
            <w:tcW w:w="4290" w:type="dxa"/>
            <w:vAlign w:val="center"/>
          </w:tcPr>
          <w:p w14:paraId="53437835"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Faint odour of fatty substances</w:t>
            </w:r>
          </w:p>
        </w:tc>
      </w:tr>
      <w:tr w:rsidR="00E05142" w:rsidRPr="006C5C45" w14:paraId="1A119874" w14:textId="77777777" w:rsidTr="000E3815">
        <w:trPr>
          <w:trHeight w:val="440"/>
          <w:jc w:val="center"/>
        </w:trPr>
        <w:tc>
          <w:tcPr>
            <w:tcW w:w="4290" w:type="dxa"/>
            <w:vAlign w:val="center"/>
          </w:tcPr>
          <w:p w14:paraId="400F18DB"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Density/Specific Gravity</w:t>
            </w:r>
          </w:p>
        </w:tc>
        <w:tc>
          <w:tcPr>
            <w:tcW w:w="4290" w:type="dxa"/>
            <w:vAlign w:val="center"/>
          </w:tcPr>
          <w:p w14:paraId="1E395F81"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0.6 g/cm</w:t>
            </w:r>
            <w:r w:rsidRPr="006C5C45">
              <w:rPr>
                <w:rFonts w:ascii="Times New Roman" w:hAnsi="Times New Roman" w:cs="Times New Roman"/>
                <w:sz w:val="20"/>
                <w:szCs w:val="20"/>
                <w:vertAlign w:val="superscript"/>
              </w:rPr>
              <w:t>3</w:t>
            </w:r>
          </w:p>
        </w:tc>
      </w:tr>
      <w:tr w:rsidR="00E05142" w:rsidRPr="006C5C45" w14:paraId="3B40BFC9" w14:textId="77777777" w:rsidTr="000E3815">
        <w:trPr>
          <w:trHeight w:val="214"/>
          <w:jc w:val="center"/>
        </w:trPr>
        <w:tc>
          <w:tcPr>
            <w:tcW w:w="4290" w:type="dxa"/>
            <w:vAlign w:val="center"/>
          </w:tcPr>
          <w:p w14:paraId="301263A6"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Melting point</w:t>
            </w:r>
          </w:p>
        </w:tc>
        <w:tc>
          <w:tcPr>
            <w:tcW w:w="4290" w:type="dxa"/>
            <w:vAlign w:val="center"/>
          </w:tcPr>
          <w:p w14:paraId="4C85920C"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204°-207°C</w:t>
            </w:r>
          </w:p>
        </w:tc>
      </w:tr>
      <w:tr w:rsidR="00E05142" w:rsidRPr="006C5C45" w14:paraId="5422AEC5" w14:textId="77777777" w:rsidTr="000E3815">
        <w:trPr>
          <w:trHeight w:val="214"/>
          <w:jc w:val="center"/>
        </w:trPr>
        <w:tc>
          <w:tcPr>
            <w:tcW w:w="4290" w:type="dxa"/>
            <w:vAlign w:val="center"/>
          </w:tcPr>
          <w:p w14:paraId="3E0A4B4D"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Boiling point</w:t>
            </w:r>
          </w:p>
        </w:tc>
        <w:tc>
          <w:tcPr>
            <w:tcW w:w="4290" w:type="dxa"/>
            <w:vAlign w:val="center"/>
          </w:tcPr>
          <w:p w14:paraId="2BF7952D"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588°C</w:t>
            </w:r>
          </w:p>
        </w:tc>
      </w:tr>
      <w:tr w:rsidR="00E05142" w:rsidRPr="006C5C45" w14:paraId="33A8CD5B" w14:textId="77777777" w:rsidTr="000E3815">
        <w:trPr>
          <w:trHeight w:val="214"/>
          <w:jc w:val="center"/>
        </w:trPr>
        <w:tc>
          <w:tcPr>
            <w:tcW w:w="4290" w:type="dxa"/>
            <w:vAlign w:val="center"/>
          </w:tcPr>
          <w:p w14:paraId="5197AA16"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Solubility</w:t>
            </w:r>
          </w:p>
        </w:tc>
        <w:tc>
          <w:tcPr>
            <w:tcW w:w="4290" w:type="dxa"/>
            <w:vAlign w:val="center"/>
          </w:tcPr>
          <w:p w14:paraId="4264E4C2"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1 g/10 ml water</w:t>
            </w:r>
          </w:p>
        </w:tc>
      </w:tr>
      <w:tr w:rsidR="00E05142" w:rsidRPr="006C5C45" w14:paraId="3B59C88A" w14:textId="77777777" w:rsidTr="000E3815">
        <w:trPr>
          <w:trHeight w:val="440"/>
          <w:jc w:val="center"/>
        </w:trPr>
        <w:tc>
          <w:tcPr>
            <w:tcW w:w="4290" w:type="dxa"/>
            <w:vAlign w:val="center"/>
          </w:tcPr>
          <w:p w14:paraId="6DDADE98"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Vapour pressure</w:t>
            </w:r>
          </w:p>
        </w:tc>
        <w:tc>
          <w:tcPr>
            <w:tcW w:w="4290" w:type="dxa"/>
            <w:vAlign w:val="center"/>
          </w:tcPr>
          <w:p w14:paraId="009A5273"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1.1 x 10-12 mm Hg at 25°C</w:t>
            </w:r>
          </w:p>
        </w:tc>
      </w:tr>
      <w:tr w:rsidR="00E05142" w:rsidRPr="006C5C45" w14:paraId="76C35798" w14:textId="77777777" w:rsidTr="000E3815">
        <w:trPr>
          <w:trHeight w:val="214"/>
          <w:jc w:val="center"/>
        </w:trPr>
        <w:tc>
          <w:tcPr>
            <w:tcW w:w="4290" w:type="dxa"/>
            <w:vAlign w:val="center"/>
          </w:tcPr>
          <w:p w14:paraId="7E6F29E6" w14:textId="3EE3FCC6" w:rsidR="00E05142" w:rsidRPr="006C5C45" w:rsidRDefault="000E3815" w:rsidP="006C5C45">
            <w:pPr>
              <w:jc w:val="both"/>
              <w:rPr>
                <w:rFonts w:ascii="Times New Roman" w:hAnsi="Times New Roman" w:cs="Times New Roman"/>
                <w:sz w:val="20"/>
                <w:szCs w:val="20"/>
              </w:rPr>
            </w:pPr>
            <w:r w:rsidRPr="006C5C45">
              <w:rPr>
                <w:rFonts w:ascii="Times New Roman" w:hAnsi="Times New Roman" w:cs="Times New Roman"/>
                <w:sz w:val="20"/>
                <w:szCs w:val="20"/>
              </w:rPr>
              <w:t>Ph</w:t>
            </w:r>
          </w:p>
        </w:tc>
        <w:tc>
          <w:tcPr>
            <w:tcW w:w="4290" w:type="dxa"/>
            <w:vAlign w:val="center"/>
          </w:tcPr>
          <w:p w14:paraId="09A76B12"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Neutral to alkali (8.5-11.0 in a 1% aqueous solution)</w:t>
            </w:r>
          </w:p>
        </w:tc>
      </w:tr>
      <w:tr w:rsidR="00E05142" w:rsidRPr="006C5C45" w14:paraId="7A2826B4" w14:textId="77777777" w:rsidTr="000E3815">
        <w:trPr>
          <w:trHeight w:val="214"/>
          <w:jc w:val="center"/>
        </w:trPr>
        <w:tc>
          <w:tcPr>
            <w:tcW w:w="4290" w:type="dxa"/>
            <w:vAlign w:val="center"/>
          </w:tcPr>
          <w:p w14:paraId="3F045C0D"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Octanol/Water (Kow) coefficient</w:t>
            </w:r>
          </w:p>
        </w:tc>
        <w:tc>
          <w:tcPr>
            <w:tcW w:w="4290" w:type="dxa"/>
            <w:vAlign w:val="center"/>
          </w:tcPr>
          <w:p w14:paraId="254C460D"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1.6</w:t>
            </w:r>
          </w:p>
        </w:tc>
      </w:tr>
      <w:tr w:rsidR="00E05142" w:rsidRPr="006C5C45" w14:paraId="416ABAA0" w14:textId="77777777" w:rsidTr="000E3815">
        <w:trPr>
          <w:trHeight w:val="224"/>
          <w:jc w:val="center"/>
        </w:trPr>
        <w:tc>
          <w:tcPr>
            <w:tcW w:w="4290" w:type="dxa"/>
            <w:vAlign w:val="center"/>
          </w:tcPr>
          <w:p w14:paraId="7161BA41"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Viscosity</w:t>
            </w:r>
          </w:p>
        </w:tc>
        <w:tc>
          <w:tcPr>
            <w:tcW w:w="4290" w:type="dxa"/>
            <w:vAlign w:val="center"/>
          </w:tcPr>
          <w:p w14:paraId="4D333AFC"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0.9 to 1.6 millipascal seconds</w:t>
            </w:r>
          </w:p>
        </w:tc>
      </w:tr>
      <w:tr w:rsidR="00E05142" w:rsidRPr="006C5C45" w14:paraId="1797FEF4" w14:textId="77777777" w:rsidTr="000E3815">
        <w:trPr>
          <w:trHeight w:val="214"/>
          <w:jc w:val="center"/>
        </w:trPr>
        <w:tc>
          <w:tcPr>
            <w:tcW w:w="4290" w:type="dxa"/>
            <w:vAlign w:val="center"/>
          </w:tcPr>
          <w:p w14:paraId="3686673D"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Miscibility</w:t>
            </w:r>
          </w:p>
        </w:tc>
        <w:tc>
          <w:tcPr>
            <w:tcW w:w="4290" w:type="dxa"/>
            <w:vAlign w:val="center"/>
          </w:tcPr>
          <w:p w14:paraId="5D336434"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Miscible with water</w:t>
            </w:r>
          </w:p>
        </w:tc>
      </w:tr>
      <w:tr w:rsidR="00E05142" w:rsidRPr="006C5C45" w14:paraId="5E563015" w14:textId="77777777" w:rsidTr="000E3815">
        <w:trPr>
          <w:trHeight w:val="214"/>
          <w:jc w:val="center"/>
        </w:trPr>
        <w:tc>
          <w:tcPr>
            <w:tcW w:w="4290" w:type="dxa"/>
            <w:vAlign w:val="center"/>
          </w:tcPr>
          <w:p w14:paraId="3D1C84DF"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Soil half life</w:t>
            </w:r>
          </w:p>
        </w:tc>
        <w:tc>
          <w:tcPr>
            <w:tcW w:w="4290" w:type="dxa"/>
            <w:vAlign w:val="center"/>
          </w:tcPr>
          <w:p w14:paraId="0A223BA0"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9-25 days</w:t>
            </w:r>
          </w:p>
        </w:tc>
      </w:tr>
      <w:tr w:rsidR="00E05142" w:rsidRPr="006C5C45" w14:paraId="18A38F54" w14:textId="77777777" w:rsidTr="000E3815">
        <w:trPr>
          <w:trHeight w:val="214"/>
          <w:jc w:val="center"/>
        </w:trPr>
        <w:tc>
          <w:tcPr>
            <w:tcW w:w="4290" w:type="dxa"/>
            <w:vAlign w:val="center"/>
          </w:tcPr>
          <w:p w14:paraId="2B7F6FFE"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Air half life</w:t>
            </w:r>
          </w:p>
        </w:tc>
        <w:tc>
          <w:tcPr>
            <w:tcW w:w="4290" w:type="dxa"/>
            <w:vAlign w:val="center"/>
          </w:tcPr>
          <w:p w14:paraId="52F83F5C"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17 hours</w:t>
            </w:r>
          </w:p>
        </w:tc>
      </w:tr>
      <w:tr w:rsidR="00E05142" w:rsidRPr="006C5C45" w14:paraId="6E8E1B71" w14:textId="77777777" w:rsidTr="000E3815">
        <w:trPr>
          <w:trHeight w:val="214"/>
          <w:jc w:val="center"/>
        </w:trPr>
        <w:tc>
          <w:tcPr>
            <w:tcW w:w="4290" w:type="dxa"/>
            <w:vAlign w:val="center"/>
          </w:tcPr>
          <w:p w14:paraId="55BE5A5D"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Water half life</w:t>
            </w:r>
          </w:p>
        </w:tc>
        <w:tc>
          <w:tcPr>
            <w:tcW w:w="4290" w:type="dxa"/>
            <w:vAlign w:val="center"/>
          </w:tcPr>
          <w:p w14:paraId="029D7B41" w14:textId="77777777" w:rsidR="00E05142" w:rsidRPr="006C5C45" w:rsidRDefault="00E05142" w:rsidP="006C5C45">
            <w:pPr>
              <w:jc w:val="both"/>
              <w:rPr>
                <w:rFonts w:ascii="Times New Roman" w:hAnsi="Times New Roman" w:cs="Times New Roman"/>
                <w:sz w:val="20"/>
                <w:szCs w:val="20"/>
              </w:rPr>
            </w:pPr>
            <w:r w:rsidRPr="006C5C45">
              <w:rPr>
                <w:rFonts w:ascii="Times New Roman" w:hAnsi="Times New Roman" w:cs="Times New Roman"/>
                <w:sz w:val="20"/>
                <w:szCs w:val="20"/>
              </w:rPr>
              <w:t>19.8 hrs</w:t>
            </w:r>
          </w:p>
        </w:tc>
      </w:tr>
    </w:tbl>
    <w:p w14:paraId="5968FFEC" w14:textId="66527B44" w:rsidR="00E05142" w:rsidRPr="008672CE" w:rsidRDefault="00E05142" w:rsidP="006C5C45">
      <w:pPr>
        <w:pStyle w:val="NormalWeb"/>
        <w:jc w:val="both"/>
        <w:rPr>
          <w:b/>
          <w:bCs/>
        </w:rPr>
      </w:pPr>
      <w:r w:rsidRPr="008672CE">
        <w:rPr>
          <w:b/>
          <w:bCs/>
        </w:rPr>
        <w:t>CHEMICAL STRUCTURE</w:t>
      </w:r>
      <w:r w:rsidR="00DB564E" w:rsidRPr="008672CE">
        <w:rPr>
          <w:b/>
          <w:bCs/>
        </w:rPr>
        <w:t xml:space="preserve"> </w:t>
      </w:r>
      <w:r w:rsidR="00DB564E" w:rsidRPr="008672CE">
        <w:rPr>
          <w:b/>
          <w:bCs/>
          <w:vertAlign w:val="superscript"/>
        </w:rPr>
        <w:t>3</w:t>
      </w:r>
      <w:r w:rsidRPr="008672CE">
        <w:rPr>
          <w:b/>
          <w:bCs/>
        </w:rPr>
        <w:t>:</w:t>
      </w:r>
    </w:p>
    <w:p w14:paraId="5709C293" w14:textId="76F63713" w:rsidR="00E05142" w:rsidRPr="006C5C45" w:rsidRDefault="00E05142" w:rsidP="008672CE">
      <w:pPr>
        <w:pStyle w:val="NormalWeb"/>
        <w:jc w:val="center"/>
        <w:rPr>
          <w:b/>
          <w:bCs/>
          <w:sz w:val="20"/>
          <w:szCs w:val="20"/>
        </w:rPr>
      </w:pPr>
      <w:r w:rsidRPr="006C5C45">
        <w:rPr>
          <w:noProof/>
          <w:sz w:val="20"/>
          <w:szCs w:val="20"/>
        </w:rPr>
        <w:drawing>
          <wp:inline distT="0" distB="0" distL="0" distR="0" wp14:anchorId="2E601E1A" wp14:editId="667B7FA5">
            <wp:extent cx="1371600" cy="1417320"/>
            <wp:effectExtent l="0" t="0" r="0" b="0"/>
            <wp:docPr id="1297799412" name="Picture 1" descr="Sodium lauryl sulfate (SLS, SDS, C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dium lauryl sulfate (SLS, SDS, CAS ..."/>
                    <pic:cNvPicPr>
                      <a:picLocks noChangeAspect="1" noChangeArrowheads="1"/>
                    </pic:cNvPicPr>
                  </pic:nvPicPr>
                  <pic:blipFill rotWithShape="1">
                    <a:blip r:embed="rId7">
                      <a:extLst>
                        <a:ext uri="{28A0092B-C50C-407E-A947-70E740481C1C}">
                          <a14:useLocalDpi xmlns:a14="http://schemas.microsoft.com/office/drawing/2010/main" val="0"/>
                        </a:ext>
                      </a:extLst>
                    </a:blip>
                    <a:srcRect l="22187" t="24390" r="21563"/>
                    <a:stretch/>
                  </pic:blipFill>
                  <pic:spPr bwMode="auto">
                    <a:xfrm>
                      <a:off x="0" y="0"/>
                      <a:ext cx="1371600" cy="1417320"/>
                    </a:xfrm>
                    <a:prstGeom prst="rect">
                      <a:avLst/>
                    </a:prstGeom>
                    <a:noFill/>
                    <a:ln>
                      <a:noFill/>
                    </a:ln>
                    <a:extLst>
                      <a:ext uri="{53640926-AAD7-44D8-BBD7-CCE9431645EC}">
                        <a14:shadowObscured xmlns:a14="http://schemas.microsoft.com/office/drawing/2010/main"/>
                      </a:ext>
                    </a:extLst>
                  </pic:spPr>
                </pic:pic>
              </a:graphicData>
            </a:graphic>
          </wp:inline>
        </w:drawing>
      </w:r>
    </w:p>
    <w:p w14:paraId="70FF5241" w14:textId="0E036F3E" w:rsidR="000E3815" w:rsidRPr="006C5C45" w:rsidRDefault="000E3815" w:rsidP="008672CE">
      <w:pPr>
        <w:pStyle w:val="NormalWeb"/>
        <w:jc w:val="center"/>
        <w:rPr>
          <w:b/>
          <w:bCs/>
          <w:sz w:val="20"/>
          <w:szCs w:val="20"/>
        </w:rPr>
      </w:pPr>
      <w:r w:rsidRPr="006C5C45">
        <w:rPr>
          <w:b/>
          <w:bCs/>
          <w:sz w:val="20"/>
          <w:szCs w:val="20"/>
        </w:rPr>
        <w:t>Sodium Lauryl Sulphate</w:t>
      </w:r>
    </w:p>
    <w:p w14:paraId="484E6C24" w14:textId="4BFF5D79" w:rsidR="002D6EC1" w:rsidRPr="008672CE" w:rsidRDefault="002D6EC1" w:rsidP="006C5C45">
      <w:pPr>
        <w:pStyle w:val="NormalWeb"/>
        <w:jc w:val="both"/>
        <w:rPr>
          <w:b/>
          <w:bCs/>
        </w:rPr>
      </w:pPr>
      <w:r w:rsidRPr="008672CE">
        <w:rPr>
          <w:b/>
          <w:bCs/>
        </w:rPr>
        <w:t>MECHANISM OF ACTION</w:t>
      </w:r>
      <w:r w:rsidR="00DB564E" w:rsidRPr="008672CE">
        <w:rPr>
          <w:b/>
          <w:bCs/>
        </w:rPr>
        <w:t xml:space="preserve"> </w:t>
      </w:r>
      <w:r w:rsidR="00DB564E" w:rsidRPr="008672CE">
        <w:rPr>
          <w:b/>
          <w:bCs/>
          <w:vertAlign w:val="superscript"/>
        </w:rPr>
        <w:t>9-10</w:t>
      </w:r>
      <w:r w:rsidRPr="008672CE">
        <w:rPr>
          <w:b/>
          <w:bCs/>
        </w:rPr>
        <w:t>:</w:t>
      </w:r>
    </w:p>
    <w:p w14:paraId="475AB41C" w14:textId="1FD2EE8B" w:rsidR="00E05142" w:rsidRPr="006C5C45" w:rsidRDefault="002D6EC1" w:rsidP="006C5C45">
      <w:pPr>
        <w:pStyle w:val="NormalWeb"/>
        <w:jc w:val="both"/>
        <w:rPr>
          <w:sz w:val="20"/>
          <w:szCs w:val="20"/>
        </w:rPr>
      </w:pPr>
      <w:r w:rsidRPr="006C5C45">
        <w:rPr>
          <w:sz w:val="20"/>
          <w:szCs w:val="20"/>
        </w:rPr>
        <w:tab/>
      </w:r>
      <w:r w:rsidR="00E05142" w:rsidRPr="006C5C45">
        <w:rPr>
          <w:sz w:val="20"/>
          <w:szCs w:val="20"/>
        </w:rPr>
        <w:t xml:space="preserve">Sodium Lauryl Sulphate (SLS) is an anionic surfactant formed through the combination of a saturated or slightly unsaturated hydrocarbon chain with a hydrophilic group and a strong acid, such as </w:t>
      </w:r>
      <w:proofErr w:type="spellStart"/>
      <w:r w:rsidR="00E05142" w:rsidRPr="006C5C45">
        <w:rPr>
          <w:sz w:val="20"/>
          <w:szCs w:val="20"/>
        </w:rPr>
        <w:t>sulfate</w:t>
      </w:r>
      <w:proofErr w:type="spellEnd"/>
      <w:r w:rsidR="00E05142" w:rsidRPr="006C5C45">
        <w:rPr>
          <w:sz w:val="20"/>
          <w:szCs w:val="20"/>
        </w:rPr>
        <w:t xml:space="preserve"> (-O-SO3) or sulfonate (-SO3). </w:t>
      </w:r>
      <w:r w:rsidR="00947339" w:rsidRPr="006C5C45">
        <w:rPr>
          <w:sz w:val="20"/>
          <w:szCs w:val="20"/>
        </w:rPr>
        <w:t xml:space="preserve">Sodium Lauryl </w:t>
      </w:r>
      <w:proofErr w:type="spellStart"/>
      <w:r w:rsidR="00947339" w:rsidRPr="006C5C45">
        <w:rPr>
          <w:sz w:val="20"/>
          <w:szCs w:val="20"/>
        </w:rPr>
        <w:t>Sulfate</w:t>
      </w:r>
      <w:proofErr w:type="spellEnd"/>
      <w:r w:rsidR="00947339" w:rsidRPr="006C5C45">
        <w:rPr>
          <w:sz w:val="20"/>
          <w:szCs w:val="20"/>
        </w:rPr>
        <w:t xml:space="preserve"> (SLS) is primarily utilized in pharmaceutical formulations as a surfactant. It functions by lowering the interfacial tension between drug particles and the aqueous medium, thereby facilitating the dissolution of poorly soluble drugs. This is achieved through micellar solubilization, where SLS forms micelles that encapsulate the drug molecules, enhancing their solubility and bioavailability. </w:t>
      </w:r>
      <w:r w:rsidR="00E05142" w:rsidRPr="006C5C45">
        <w:rPr>
          <w:sz w:val="20"/>
          <w:szCs w:val="20"/>
        </w:rPr>
        <w:t xml:space="preserve">This molecular structure imparts surfactant properties to SLS, enabling it to interact with and disrupt biological membranes. By compromising the cell barrier, SLS facilitates the formation of positively charged side groups, leading to protein </w:t>
      </w:r>
      <w:r w:rsidR="00E05142" w:rsidRPr="006C5C45">
        <w:rPr>
          <w:sz w:val="20"/>
          <w:szCs w:val="20"/>
        </w:rPr>
        <w:lastRenderedPageBreak/>
        <w:t xml:space="preserve">denaturation, impaired cellular function and hinders of immunological response. Repeated exposure to SLS is associated with skin dryness, cracking, and contact dermatitis due to its ability to strip the skin of its natural lipids. </w:t>
      </w:r>
    </w:p>
    <w:p w14:paraId="6F1CDC1B" w14:textId="7A160CE1" w:rsidR="002D6EC1" w:rsidRPr="006C5C45" w:rsidRDefault="00E05142" w:rsidP="006C5C45">
      <w:pPr>
        <w:pStyle w:val="NormalWeb"/>
        <w:ind w:firstLine="720"/>
        <w:jc w:val="both"/>
        <w:rPr>
          <w:sz w:val="20"/>
          <w:szCs w:val="20"/>
        </w:rPr>
      </w:pPr>
      <w:r w:rsidRPr="006C5C45">
        <w:rPr>
          <w:sz w:val="20"/>
          <w:szCs w:val="20"/>
        </w:rPr>
        <w:t xml:space="preserve">On a molecular level, SLS directly interacts with corneocytes, resulting in swelling, structural keratin denaturation through direct binding, and changes in lipid organization due to pH shifts. These changes compromise the structural and functional integrity of the stratum corneum (SC), leading to enhanced penetration of irritants and xenobiotics from the environment. Concentrations of SLS ranging from 0.1% to 2% have been shown to effectively remove free fatty acids, thereby exacerbating its irritating potential. Research conducted by Cork et al. highlights that prolonged and frequent use of SLS can cause significant damage to the skin barrier, leading to conditions such as eczema. This is especially evident in patients with preexisting skin sensitivity, where SLS accelerates barrier dysfunction and increases susceptibility to environmental irritants. </w:t>
      </w:r>
    </w:p>
    <w:p w14:paraId="382D579F" w14:textId="77777777" w:rsidR="00947339" w:rsidRPr="008672CE" w:rsidRDefault="00947339" w:rsidP="006C5C45">
      <w:pPr>
        <w:pStyle w:val="NormalWeb"/>
        <w:jc w:val="both"/>
        <w:rPr>
          <w:b/>
          <w:bCs/>
        </w:rPr>
      </w:pPr>
      <w:r w:rsidRPr="008672CE">
        <w:rPr>
          <w:b/>
          <w:bCs/>
        </w:rPr>
        <w:t>PHARMACOKINETICS:</w:t>
      </w:r>
    </w:p>
    <w:p w14:paraId="56E96B61" w14:textId="47657F53" w:rsidR="00947339" w:rsidRPr="006C5C45" w:rsidRDefault="00E8624C" w:rsidP="006C5C45">
      <w:pPr>
        <w:pStyle w:val="NormalWeb"/>
        <w:jc w:val="both"/>
        <w:rPr>
          <w:sz w:val="20"/>
          <w:szCs w:val="20"/>
        </w:rPr>
      </w:pPr>
      <w:r w:rsidRPr="006C5C45">
        <w:rPr>
          <w:b/>
          <w:bCs/>
          <w:sz w:val="20"/>
          <w:szCs w:val="20"/>
        </w:rPr>
        <w:t>Absorption:</w:t>
      </w:r>
    </w:p>
    <w:p w14:paraId="6B072A4A" w14:textId="45C9F925" w:rsidR="00947339" w:rsidRPr="006C5C45" w:rsidRDefault="00947339" w:rsidP="006C5C45">
      <w:pPr>
        <w:pStyle w:val="NormalWeb"/>
        <w:jc w:val="both"/>
        <w:rPr>
          <w:sz w:val="20"/>
          <w:szCs w:val="20"/>
        </w:rPr>
      </w:pPr>
      <w:r w:rsidRPr="006C5C45">
        <w:rPr>
          <w:sz w:val="20"/>
          <w:szCs w:val="20"/>
        </w:rPr>
        <w:tab/>
      </w:r>
      <w:r w:rsidR="00E8624C" w:rsidRPr="006C5C45">
        <w:rPr>
          <w:sz w:val="20"/>
          <w:szCs w:val="20"/>
        </w:rPr>
        <w:t>In adult human skin, no detectable in vitro penetration of 14C-labelled SLS occurred until 24 hours post-application, but rapid absorption was observed in the following 24 hours. At concentrations above the critical micelle concentration (0.24%), higher surfactant levels did not significantly increase free surfactant molecules available for dermal penetration, as excess surfactant formed micelles too large to penetrate the skin. However, after washing isolated human skin with 1% 35S-labelled SLS, penetration was 50-100 times higher than with a 0.1% solution, while a 10% solution showed only a tenfold increase compared to the 1% solution</w:t>
      </w:r>
      <w:r w:rsidR="00DB564E" w:rsidRPr="006C5C45">
        <w:rPr>
          <w:sz w:val="20"/>
          <w:szCs w:val="20"/>
        </w:rPr>
        <w:t xml:space="preserve"> </w:t>
      </w:r>
      <w:r w:rsidR="00DB564E" w:rsidRPr="006C5C45">
        <w:rPr>
          <w:sz w:val="20"/>
          <w:szCs w:val="20"/>
          <w:vertAlign w:val="superscript"/>
        </w:rPr>
        <w:t>11-12</w:t>
      </w:r>
      <w:r w:rsidR="00E8624C" w:rsidRPr="006C5C45">
        <w:rPr>
          <w:sz w:val="20"/>
          <w:szCs w:val="20"/>
        </w:rPr>
        <w:t>.</w:t>
      </w:r>
    </w:p>
    <w:p w14:paraId="1C171437" w14:textId="1C5CB509" w:rsidR="00E8624C" w:rsidRPr="006C5C45" w:rsidRDefault="00E8624C" w:rsidP="006C5C45">
      <w:pPr>
        <w:pStyle w:val="NormalWeb"/>
        <w:jc w:val="both"/>
        <w:rPr>
          <w:sz w:val="20"/>
          <w:szCs w:val="20"/>
        </w:rPr>
      </w:pPr>
      <w:r w:rsidRPr="006C5C45">
        <w:rPr>
          <w:b/>
          <w:bCs/>
          <w:sz w:val="20"/>
          <w:szCs w:val="20"/>
        </w:rPr>
        <w:t>Distribution:</w:t>
      </w:r>
    </w:p>
    <w:p w14:paraId="42D0B945" w14:textId="11EB7602" w:rsidR="00E8624C" w:rsidRPr="006C5C45" w:rsidRDefault="00E8624C" w:rsidP="006C5C45">
      <w:pPr>
        <w:pStyle w:val="NormalWeb"/>
        <w:ind w:firstLine="720"/>
        <w:jc w:val="both"/>
        <w:rPr>
          <w:sz w:val="20"/>
          <w:szCs w:val="20"/>
        </w:rPr>
      </w:pPr>
      <w:r w:rsidRPr="006C5C45">
        <w:rPr>
          <w:sz w:val="20"/>
          <w:szCs w:val="20"/>
        </w:rPr>
        <w:t xml:space="preserve">Most studies suggest that sodium lauryl </w:t>
      </w:r>
      <w:proofErr w:type="spellStart"/>
      <w:r w:rsidRPr="006C5C45">
        <w:rPr>
          <w:sz w:val="20"/>
          <w:szCs w:val="20"/>
        </w:rPr>
        <w:t>sulfate</w:t>
      </w:r>
      <w:proofErr w:type="spellEnd"/>
      <w:r w:rsidRPr="006C5C45">
        <w:rPr>
          <w:sz w:val="20"/>
          <w:szCs w:val="20"/>
        </w:rPr>
        <w:t xml:space="preserve"> (SLS) remains confined primarily to the skin, particularly within the dermis. A study in rats demonstrated that after a 10-minute application of 1% </w:t>
      </w:r>
      <w:proofErr w:type="spellStart"/>
      <w:r w:rsidRPr="006C5C45">
        <w:rPr>
          <w:sz w:val="20"/>
          <w:szCs w:val="20"/>
        </w:rPr>
        <w:t>radiolabeled</w:t>
      </w:r>
      <w:proofErr w:type="spellEnd"/>
      <w:r w:rsidRPr="006C5C45">
        <w:rPr>
          <w:sz w:val="20"/>
          <w:szCs w:val="20"/>
        </w:rPr>
        <w:t xml:space="preserve"> SLS to the skin, approximately 40% of the radioactivity was detected in the urine. The rats were housed in individual metabolic cages, and their skin was left unprotected. While no equivalent studies in primates are reported in the literature, it is important to note that rat skin is more permeable than human skin and that rats exhibit a higher capacity to metabolize xenobiotics compared to other mammals</w:t>
      </w:r>
      <w:r w:rsidR="00DB564E" w:rsidRPr="006C5C45">
        <w:rPr>
          <w:sz w:val="20"/>
          <w:szCs w:val="20"/>
        </w:rPr>
        <w:t xml:space="preserve"> </w:t>
      </w:r>
      <w:r w:rsidR="00DB564E" w:rsidRPr="006C5C45">
        <w:rPr>
          <w:sz w:val="20"/>
          <w:szCs w:val="20"/>
          <w:vertAlign w:val="superscript"/>
        </w:rPr>
        <w:t>13</w:t>
      </w:r>
      <w:r w:rsidRPr="006C5C45">
        <w:rPr>
          <w:sz w:val="20"/>
          <w:szCs w:val="20"/>
        </w:rPr>
        <w:t>.</w:t>
      </w:r>
    </w:p>
    <w:p w14:paraId="348232EA" w14:textId="38E7B6AD" w:rsidR="00E8624C" w:rsidRPr="006C5C45" w:rsidRDefault="00E8624C" w:rsidP="006C5C45">
      <w:pPr>
        <w:pStyle w:val="NormalWeb"/>
        <w:jc w:val="both"/>
        <w:rPr>
          <w:sz w:val="20"/>
          <w:szCs w:val="20"/>
        </w:rPr>
      </w:pPr>
      <w:r w:rsidRPr="006C5C45">
        <w:rPr>
          <w:b/>
          <w:bCs/>
          <w:sz w:val="20"/>
          <w:szCs w:val="20"/>
        </w:rPr>
        <w:t>Metabolism:</w:t>
      </w:r>
    </w:p>
    <w:p w14:paraId="40E4BD05" w14:textId="515D2692" w:rsidR="00E8624C" w:rsidRPr="006C5C45" w:rsidRDefault="00E8624C" w:rsidP="006C5C45">
      <w:pPr>
        <w:pStyle w:val="NormalWeb"/>
        <w:ind w:firstLine="720"/>
        <w:jc w:val="both"/>
        <w:rPr>
          <w:sz w:val="20"/>
          <w:szCs w:val="20"/>
        </w:rPr>
      </w:pPr>
      <w:r w:rsidRPr="006C5C45">
        <w:rPr>
          <w:sz w:val="20"/>
          <w:szCs w:val="20"/>
        </w:rPr>
        <w:t xml:space="preserve">In a study found that the distribution of ³⁵S in the body was similar to that observed with </w:t>
      </w:r>
      <w:proofErr w:type="spellStart"/>
      <w:r w:rsidRPr="006C5C45">
        <w:rPr>
          <w:sz w:val="20"/>
          <w:szCs w:val="20"/>
        </w:rPr>
        <w:t>radiolabeled</w:t>
      </w:r>
      <w:proofErr w:type="spellEnd"/>
      <w:r w:rsidRPr="006C5C45">
        <w:rPr>
          <w:sz w:val="20"/>
          <w:szCs w:val="20"/>
        </w:rPr>
        <w:t xml:space="preserve"> sodium </w:t>
      </w:r>
      <w:proofErr w:type="spellStart"/>
      <w:r w:rsidRPr="006C5C45">
        <w:rPr>
          <w:sz w:val="20"/>
          <w:szCs w:val="20"/>
        </w:rPr>
        <w:t>sulfate</w:t>
      </w:r>
      <w:proofErr w:type="spellEnd"/>
      <w:r w:rsidRPr="006C5C45">
        <w:rPr>
          <w:sz w:val="20"/>
          <w:szCs w:val="20"/>
        </w:rPr>
        <w:t xml:space="preserve">, indicating significant intestinal absorption of SLS with minimal degradation to free </w:t>
      </w:r>
      <w:proofErr w:type="spellStart"/>
      <w:r w:rsidRPr="006C5C45">
        <w:rPr>
          <w:sz w:val="20"/>
          <w:szCs w:val="20"/>
        </w:rPr>
        <w:t>sulfate</w:t>
      </w:r>
      <w:proofErr w:type="spellEnd"/>
      <w:r w:rsidRPr="006C5C45">
        <w:rPr>
          <w:sz w:val="20"/>
          <w:szCs w:val="20"/>
        </w:rPr>
        <w:t xml:space="preserve">. In rats, rapid intestinal absorption and urinary excretion were observed, with approximately 20% of urinary ³⁵S identified as inorganic </w:t>
      </w:r>
      <w:proofErr w:type="spellStart"/>
      <w:r w:rsidRPr="006C5C45">
        <w:rPr>
          <w:sz w:val="20"/>
          <w:szCs w:val="20"/>
        </w:rPr>
        <w:t>sulfate</w:t>
      </w:r>
      <w:proofErr w:type="spellEnd"/>
      <w:r w:rsidRPr="006C5C45">
        <w:rPr>
          <w:sz w:val="20"/>
          <w:szCs w:val="20"/>
        </w:rPr>
        <w:t xml:space="preserve">. The remaining fraction was a single </w:t>
      </w:r>
      <w:proofErr w:type="spellStart"/>
      <w:r w:rsidRPr="006C5C45">
        <w:rPr>
          <w:sz w:val="20"/>
          <w:szCs w:val="20"/>
        </w:rPr>
        <w:t>sulfate</w:t>
      </w:r>
      <w:proofErr w:type="spellEnd"/>
      <w:r w:rsidRPr="006C5C45">
        <w:rPr>
          <w:sz w:val="20"/>
          <w:szCs w:val="20"/>
        </w:rPr>
        <w:t xml:space="preserve"> ester, likely butyric acid-4-sulfate, rather than the parent compound. This suggests that rats metabolize n-alkyl </w:t>
      </w:r>
      <w:proofErr w:type="spellStart"/>
      <w:r w:rsidRPr="006C5C45">
        <w:rPr>
          <w:sz w:val="20"/>
          <w:szCs w:val="20"/>
        </w:rPr>
        <w:t>sulfates</w:t>
      </w:r>
      <w:proofErr w:type="spellEnd"/>
      <w:r w:rsidRPr="006C5C45">
        <w:rPr>
          <w:sz w:val="20"/>
          <w:szCs w:val="20"/>
        </w:rPr>
        <w:t xml:space="preserve"> like SLS through ω-oxidation of the hydrophobic chain, followed by β-oxidation of the resulting carboxylic acid</w:t>
      </w:r>
      <w:r w:rsidR="00DB564E" w:rsidRPr="006C5C45">
        <w:rPr>
          <w:sz w:val="20"/>
          <w:szCs w:val="20"/>
        </w:rPr>
        <w:t xml:space="preserve"> </w:t>
      </w:r>
      <w:r w:rsidR="00DB564E" w:rsidRPr="006C5C45">
        <w:rPr>
          <w:sz w:val="20"/>
          <w:szCs w:val="20"/>
          <w:vertAlign w:val="superscript"/>
        </w:rPr>
        <w:t>13</w:t>
      </w:r>
      <w:r w:rsidRPr="006C5C45">
        <w:rPr>
          <w:sz w:val="20"/>
          <w:szCs w:val="20"/>
        </w:rPr>
        <w:t>.</w:t>
      </w:r>
    </w:p>
    <w:p w14:paraId="4D3C95B3" w14:textId="279A0F2A" w:rsidR="00B02A28" w:rsidRPr="006C5C45" w:rsidRDefault="00B02A28" w:rsidP="006C5C45">
      <w:pPr>
        <w:pStyle w:val="NormalWeb"/>
        <w:jc w:val="both"/>
        <w:rPr>
          <w:sz w:val="20"/>
          <w:szCs w:val="20"/>
        </w:rPr>
      </w:pPr>
      <w:r w:rsidRPr="006C5C45">
        <w:rPr>
          <w:b/>
          <w:bCs/>
          <w:sz w:val="20"/>
          <w:szCs w:val="20"/>
        </w:rPr>
        <w:t>Excretion:</w:t>
      </w:r>
    </w:p>
    <w:p w14:paraId="0C844464" w14:textId="40450B67" w:rsidR="008672CE" w:rsidRPr="006C5C45" w:rsidRDefault="00B02A28" w:rsidP="006C5C45">
      <w:pPr>
        <w:pStyle w:val="NormalWeb"/>
        <w:jc w:val="both"/>
        <w:rPr>
          <w:sz w:val="20"/>
          <w:szCs w:val="20"/>
        </w:rPr>
      </w:pPr>
      <w:r w:rsidRPr="006C5C45">
        <w:rPr>
          <w:sz w:val="20"/>
          <w:szCs w:val="20"/>
        </w:rPr>
        <w:tab/>
        <w:t xml:space="preserve">The ADME of 14C-radiolabeled SLS was evaluated in vivo using guinea pig skin. A solution containing 16.3 µCi of </w:t>
      </w:r>
      <w:proofErr w:type="spellStart"/>
      <w:r w:rsidRPr="006C5C45">
        <w:rPr>
          <w:sz w:val="20"/>
          <w:szCs w:val="20"/>
        </w:rPr>
        <w:t>radiolabeled</w:t>
      </w:r>
      <w:proofErr w:type="spellEnd"/>
      <w:r w:rsidRPr="006C5C45">
        <w:rPr>
          <w:sz w:val="20"/>
          <w:szCs w:val="20"/>
        </w:rPr>
        <w:t xml:space="preserve"> SLS in 0.6 mL of water was applied to the flank of the animals, rubbed for 10 minutes, and covered with non-occlusive patches for 24 hours. Minimal systemic absorption was observed, with less than 0.4% of SLS entering systemic circulation over 24 hours. No radioactivity was detected in the </w:t>
      </w:r>
      <w:proofErr w:type="spellStart"/>
      <w:r w:rsidRPr="006C5C45">
        <w:rPr>
          <w:sz w:val="20"/>
          <w:szCs w:val="20"/>
        </w:rPr>
        <w:t>feces</w:t>
      </w:r>
      <w:proofErr w:type="spellEnd"/>
      <w:r w:rsidRPr="006C5C45">
        <w:rPr>
          <w:sz w:val="20"/>
          <w:szCs w:val="20"/>
        </w:rPr>
        <w:t>, liver, kidneys, or carcass. Trace amounts (0.1%) were found in urine and exhaled CO2. The majority of SLS remained on the skin (50.2%), in skin rinsings (47%), and in the patch (2.3%). The study noted that the anionic terminal group of SLS hindered its penetration through the skin but did not distinguish between epidermal and dermal localization</w:t>
      </w:r>
      <w:r w:rsidR="00DB564E" w:rsidRPr="006C5C45">
        <w:rPr>
          <w:sz w:val="20"/>
          <w:szCs w:val="20"/>
        </w:rPr>
        <w:t xml:space="preserve"> </w:t>
      </w:r>
      <w:r w:rsidR="00DB564E" w:rsidRPr="006C5C45">
        <w:rPr>
          <w:sz w:val="20"/>
          <w:szCs w:val="20"/>
          <w:vertAlign w:val="superscript"/>
        </w:rPr>
        <w:t>14</w:t>
      </w:r>
      <w:r w:rsidRPr="006C5C45">
        <w:rPr>
          <w:sz w:val="20"/>
          <w:szCs w:val="20"/>
        </w:rPr>
        <w:t>.</w:t>
      </w:r>
    </w:p>
    <w:p w14:paraId="15649FE0" w14:textId="2F31A9EA" w:rsidR="00501DFC" w:rsidRPr="006C5C45" w:rsidRDefault="00501DFC" w:rsidP="006C5C45">
      <w:pPr>
        <w:pStyle w:val="NormalWeb"/>
        <w:jc w:val="both"/>
        <w:rPr>
          <w:b/>
          <w:bCs/>
          <w:sz w:val="20"/>
          <w:szCs w:val="20"/>
        </w:rPr>
      </w:pPr>
      <w:r w:rsidRPr="006C5C45">
        <w:rPr>
          <w:b/>
          <w:bCs/>
          <w:sz w:val="20"/>
          <w:szCs w:val="20"/>
        </w:rPr>
        <w:t>Adverse reactions:</w:t>
      </w:r>
    </w:p>
    <w:p w14:paraId="06FD05D8" w14:textId="48A762F7" w:rsidR="00B02A28" w:rsidRPr="006C5C45" w:rsidRDefault="00501DFC" w:rsidP="006C5C45">
      <w:pPr>
        <w:pStyle w:val="NormalWeb"/>
        <w:ind w:firstLine="720"/>
        <w:jc w:val="both"/>
        <w:rPr>
          <w:sz w:val="20"/>
          <w:szCs w:val="20"/>
        </w:rPr>
      </w:pPr>
      <w:r w:rsidRPr="006C5C45">
        <w:rPr>
          <w:sz w:val="20"/>
          <w:szCs w:val="20"/>
        </w:rPr>
        <w:t xml:space="preserve">Adverse reactions to sodium lauryl </w:t>
      </w:r>
      <w:proofErr w:type="spellStart"/>
      <w:r w:rsidRPr="006C5C45">
        <w:rPr>
          <w:sz w:val="20"/>
          <w:szCs w:val="20"/>
        </w:rPr>
        <w:t>sulfate</w:t>
      </w:r>
      <w:proofErr w:type="spellEnd"/>
      <w:r w:rsidRPr="006C5C45">
        <w:rPr>
          <w:sz w:val="20"/>
          <w:szCs w:val="20"/>
        </w:rPr>
        <w:t xml:space="preserve"> (SLS) in cosmetics and pharmaceutical formulations are primarily associated with skin irritation following prolonged topical use, especially with emollients. Interestingly, hydrocortisone creams containing SLS have been found to exacerbate dermatitis. A recent safety review in the </w:t>
      </w:r>
      <w:r w:rsidRPr="006C5C45">
        <w:rPr>
          <w:sz w:val="20"/>
          <w:szCs w:val="20"/>
        </w:rPr>
        <w:lastRenderedPageBreak/>
        <w:t>UK on a nationally approved emollient product highlighted similar observations, particularly among paediatric patients. As a known mucosal irritant, SLS is intentionally included in combination preparations such as enemas for managing constipation. When used in rinse-off products like shampoos, soaps, and toothpastes, adverse reactions to SLS are uncommon. However, SLS is considered moderately toxic, with acute effects including irritation of the skin, eyes, mucous membranes, upper respiratory tract, and gastrointestinal system. Due to its irritant properties, SLS is commonly employed as a standard agent in experimental patch testing to evaluate the efficacy of topical anti-inflammatory drugs and to assess the irritancy potential of new cosmetic formulations. During these skin tests, SLS concentrations ranging from 0.25% to 10% are typically applied for 24–48 hours. The severity of skin reactions to SLS depends on its purity</w:t>
      </w:r>
      <w:r w:rsidR="00DB564E" w:rsidRPr="006C5C45">
        <w:rPr>
          <w:sz w:val="20"/>
          <w:szCs w:val="20"/>
        </w:rPr>
        <w:t xml:space="preserve"> </w:t>
      </w:r>
      <w:r w:rsidR="00DB564E" w:rsidRPr="006C5C45">
        <w:rPr>
          <w:sz w:val="20"/>
          <w:szCs w:val="20"/>
          <w:vertAlign w:val="superscript"/>
        </w:rPr>
        <w:t>15-18</w:t>
      </w:r>
      <w:r w:rsidRPr="006C5C45">
        <w:rPr>
          <w:sz w:val="20"/>
          <w:szCs w:val="20"/>
        </w:rPr>
        <w:t xml:space="preserve">. </w:t>
      </w:r>
    </w:p>
    <w:p w14:paraId="4846C746" w14:textId="328C58EF" w:rsidR="000E3815" w:rsidRPr="008672CE" w:rsidRDefault="000E3815" w:rsidP="006C5C45">
      <w:pPr>
        <w:pStyle w:val="NormalWeb"/>
        <w:jc w:val="both"/>
      </w:pPr>
      <w:r w:rsidRPr="008672CE">
        <w:rPr>
          <w:b/>
          <w:bCs/>
        </w:rPr>
        <w:t>REGULATORY STATUS:</w:t>
      </w:r>
    </w:p>
    <w:p w14:paraId="648890C3" w14:textId="49B2C067" w:rsidR="000E3815" w:rsidRPr="006C5C45" w:rsidRDefault="000E3815" w:rsidP="006C5C45">
      <w:pPr>
        <w:pStyle w:val="NormalWeb"/>
        <w:jc w:val="both"/>
        <w:rPr>
          <w:sz w:val="20"/>
          <w:szCs w:val="20"/>
        </w:rPr>
      </w:pPr>
      <w:r w:rsidRPr="006C5C45">
        <w:rPr>
          <w:sz w:val="20"/>
          <w:szCs w:val="20"/>
        </w:rPr>
        <w:tab/>
        <w:t xml:space="preserve">Sodium Lauryl </w:t>
      </w:r>
      <w:proofErr w:type="spellStart"/>
      <w:r w:rsidRPr="006C5C45">
        <w:rPr>
          <w:sz w:val="20"/>
          <w:szCs w:val="20"/>
        </w:rPr>
        <w:t>Sulfate</w:t>
      </w:r>
      <w:proofErr w:type="spellEnd"/>
      <w:r w:rsidRPr="006C5C45">
        <w:rPr>
          <w:sz w:val="20"/>
          <w:szCs w:val="20"/>
        </w:rPr>
        <w:t xml:space="preserve"> is classified as a Generally Recognized as Safe (GRAS) excipient and is listed in the FDA Inactive Ingredients Database for various formulations, including dental preparations, oral capsules, suspensions, tablets, as well as topical and vaginal products. Within the European Union, SLS is authorized for use in non-parenteral medicinal products.</w:t>
      </w:r>
    </w:p>
    <w:p w14:paraId="14797C1F" w14:textId="7CF8DEED" w:rsidR="00143E5A" w:rsidRPr="006C5C45" w:rsidRDefault="00143E5A" w:rsidP="006C5C45">
      <w:pPr>
        <w:pStyle w:val="NormalWeb"/>
        <w:jc w:val="both"/>
        <w:rPr>
          <w:b/>
          <w:bCs/>
          <w:sz w:val="20"/>
          <w:szCs w:val="20"/>
        </w:rPr>
      </w:pPr>
      <w:r w:rsidRPr="006C5C45">
        <w:rPr>
          <w:b/>
          <w:bCs/>
          <w:sz w:val="20"/>
          <w:szCs w:val="20"/>
        </w:rPr>
        <w:t>EFA Requirements:</w:t>
      </w:r>
    </w:p>
    <w:p w14:paraId="7254EA16" w14:textId="7B8874D5" w:rsidR="00143E5A" w:rsidRPr="006C5C45" w:rsidRDefault="00143E5A" w:rsidP="006C5C45">
      <w:pPr>
        <w:pStyle w:val="NormalWeb"/>
        <w:ind w:firstLine="720"/>
        <w:jc w:val="both"/>
        <w:rPr>
          <w:sz w:val="20"/>
          <w:szCs w:val="20"/>
        </w:rPr>
      </w:pPr>
      <w:r w:rsidRPr="006C5C45">
        <w:rPr>
          <w:sz w:val="20"/>
          <w:szCs w:val="20"/>
        </w:rPr>
        <w:t xml:space="preserve">Sodium lauryl </w:t>
      </w:r>
      <w:proofErr w:type="spellStart"/>
      <w:r w:rsidRPr="006C5C45">
        <w:rPr>
          <w:sz w:val="20"/>
          <w:szCs w:val="20"/>
        </w:rPr>
        <w:t>sulfate</w:t>
      </w:r>
      <w:proofErr w:type="spellEnd"/>
      <w:r w:rsidRPr="006C5C45">
        <w:rPr>
          <w:sz w:val="20"/>
          <w:szCs w:val="20"/>
        </w:rPr>
        <w:t xml:space="preserve"> (SLS) is exempt from tolerance requirements as both an inert and active component in antimicrobial formulations designed for sanitizing food-contact surfaces. For ready-to-use formulations, the concentration must not exceed 350 ppm [40 CFR 180.940(a)]. These formulations must be utilized in compliance with good manufacturing practices, ensuring the substance is applied only to semi-permanent or permanent food-contact surfaces, excluding food packaging, and allowing adequate drainage before food contact. This same restriction applies to the use of SLS in dairy processing [40 CFR 180.940(b)]. However, there are no concentration limits when SLS is used for cleaning food processing equipment and utensils [40 CFR 180.940(c)]</w:t>
      </w:r>
      <w:r w:rsidR="00C77FCD" w:rsidRPr="006C5C45">
        <w:rPr>
          <w:sz w:val="20"/>
          <w:szCs w:val="20"/>
        </w:rPr>
        <w:t xml:space="preserve"> </w:t>
      </w:r>
      <w:r w:rsidR="00C77FCD" w:rsidRPr="006C5C45">
        <w:rPr>
          <w:sz w:val="20"/>
          <w:szCs w:val="20"/>
          <w:vertAlign w:val="superscript"/>
        </w:rPr>
        <w:t>19</w:t>
      </w:r>
      <w:r w:rsidRPr="006C5C45">
        <w:rPr>
          <w:sz w:val="20"/>
          <w:szCs w:val="20"/>
        </w:rPr>
        <w:t>.</w:t>
      </w:r>
    </w:p>
    <w:p w14:paraId="28FF075D" w14:textId="3EEF74B2" w:rsidR="00143E5A" w:rsidRPr="006C5C45" w:rsidRDefault="00143E5A" w:rsidP="006C5C45">
      <w:pPr>
        <w:pStyle w:val="NormalWeb"/>
        <w:jc w:val="both"/>
        <w:rPr>
          <w:sz w:val="20"/>
          <w:szCs w:val="20"/>
        </w:rPr>
      </w:pPr>
      <w:r w:rsidRPr="006C5C45">
        <w:rPr>
          <w:b/>
          <w:bCs/>
          <w:sz w:val="20"/>
          <w:szCs w:val="20"/>
        </w:rPr>
        <w:t>FDA Requirements:</w:t>
      </w:r>
    </w:p>
    <w:p w14:paraId="11B8CE8F" w14:textId="72279EEB" w:rsidR="00143E5A" w:rsidRPr="006C5C45" w:rsidRDefault="009F2E25" w:rsidP="006C5C45">
      <w:pPr>
        <w:pStyle w:val="NormalWeb"/>
        <w:jc w:val="both"/>
        <w:rPr>
          <w:sz w:val="20"/>
          <w:szCs w:val="20"/>
        </w:rPr>
      </w:pPr>
      <w:r w:rsidRPr="006C5C45">
        <w:rPr>
          <w:sz w:val="20"/>
          <w:szCs w:val="20"/>
        </w:rPr>
        <w:tab/>
        <w:t xml:space="preserve">Sodium lauryl </w:t>
      </w:r>
      <w:proofErr w:type="spellStart"/>
      <w:r w:rsidRPr="006C5C45">
        <w:rPr>
          <w:sz w:val="20"/>
          <w:szCs w:val="20"/>
        </w:rPr>
        <w:t>sulfate</w:t>
      </w:r>
      <w:proofErr w:type="spellEnd"/>
      <w:r w:rsidRPr="006C5C45">
        <w:rPr>
          <w:sz w:val="20"/>
          <w:szCs w:val="20"/>
        </w:rPr>
        <w:t xml:space="preserve"> (SLS) is approved by the FDA for use as a food additive under specific conditions outlined in [21 CFR 172.822]. When incorporated into food products, SLS must meet particular restrictions. Food-grade SLS is required to consist predominantly of sodium alkyl </w:t>
      </w:r>
      <w:proofErr w:type="spellStart"/>
      <w:r w:rsidRPr="006C5C45">
        <w:rPr>
          <w:sz w:val="20"/>
          <w:szCs w:val="20"/>
        </w:rPr>
        <w:t>sulfates</w:t>
      </w:r>
      <w:proofErr w:type="spellEnd"/>
      <w:r w:rsidRPr="006C5C45">
        <w:rPr>
          <w:sz w:val="20"/>
          <w:szCs w:val="20"/>
        </w:rPr>
        <w:t xml:space="preserve">, with a minimum concentration of 90% sodium alkyl </w:t>
      </w:r>
      <w:proofErr w:type="spellStart"/>
      <w:r w:rsidRPr="006C5C45">
        <w:rPr>
          <w:sz w:val="20"/>
          <w:szCs w:val="20"/>
        </w:rPr>
        <w:t>sulfates</w:t>
      </w:r>
      <w:proofErr w:type="spellEnd"/>
      <w:r w:rsidRPr="006C5C45">
        <w:rPr>
          <w:sz w:val="20"/>
          <w:szCs w:val="20"/>
        </w:rPr>
        <w:t xml:space="preserve"> [21 CFR 172.822(a)]. The FDA has classified certain uses of SLS in food as Generally Recognized as Safe (GRAS). These include its use as an emulsifier in egg whites, with maximum limits of 1,000 ppm for solids and 125 ppm for frozen or liquid forms [21 CFR 172.822(b)(1)]; as a whipping agent in marshmallows, up to 0.5% of the </w:t>
      </w:r>
      <w:proofErr w:type="spellStart"/>
      <w:r w:rsidRPr="006C5C45">
        <w:rPr>
          <w:sz w:val="20"/>
          <w:szCs w:val="20"/>
        </w:rPr>
        <w:t>gelatin’s</w:t>
      </w:r>
      <w:proofErr w:type="spellEnd"/>
      <w:r w:rsidRPr="006C5C45">
        <w:rPr>
          <w:sz w:val="20"/>
          <w:szCs w:val="20"/>
        </w:rPr>
        <w:t xml:space="preserve"> weight [21 CFR 172.822(b)(2)]; as a surfactant for fumaric acid in beverages and fruit drinks, with a maximum concentration of 25 ppm in the final product [21 CFR 172.822(b)(3)]; and as a wetting agent in crude vegetable oils and animal fats, limited to 10 ppm during fractionation, followed by alkali neutralization and deodorization [21 CFR 172.822(b)(4)]. Additionally, products containing SLS must be clearly </w:t>
      </w:r>
      <w:proofErr w:type="spellStart"/>
      <w:r w:rsidRPr="006C5C45">
        <w:rPr>
          <w:sz w:val="20"/>
          <w:szCs w:val="20"/>
        </w:rPr>
        <w:t>labeled</w:t>
      </w:r>
      <w:proofErr w:type="spellEnd"/>
      <w:r w:rsidRPr="006C5C45">
        <w:rPr>
          <w:sz w:val="20"/>
          <w:szCs w:val="20"/>
        </w:rPr>
        <w:t xml:space="preserve"> with appropriate usage instructions to ensure compliance with these specified limits [21 CFR 172.822(c)]</w:t>
      </w:r>
      <w:r w:rsidR="00C77FCD" w:rsidRPr="006C5C45">
        <w:rPr>
          <w:sz w:val="20"/>
          <w:szCs w:val="20"/>
        </w:rPr>
        <w:t xml:space="preserve"> </w:t>
      </w:r>
      <w:r w:rsidR="00C77FCD" w:rsidRPr="006C5C45">
        <w:rPr>
          <w:sz w:val="20"/>
          <w:szCs w:val="20"/>
          <w:vertAlign w:val="superscript"/>
        </w:rPr>
        <w:t>19</w:t>
      </w:r>
      <w:r w:rsidRPr="006C5C45">
        <w:rPr>
          <w:sz w:val="20"/>
          <w:szCs w:val="20"/>
        </w:rPr>
        <w:t>.</w:t>
      </w:r>
    </w:p>
    <w:p w14:paraId="2919DB02" w14:textId="2A9BA07A" w:rsidR="00E05142" w:rsidRPr="008672CE" w:rsidRDefault="004A46CD" w:rsidP="006C5C45">
      <w:pPr>
        <w:pStyle w:val="NormalWeb"/>
        <w:jc w:val="both"/>
        <w:rPr>
          <w:b/>
          <w:bCs/>
        </w:rPr>
      </w:pPr>
      <w:r>
        <w:rPr>
          <w:b/>
          <w:bCs/>
        </w:rPr>
        <w:t xml:space="preserve">Table 2. </w:t>
      </w:r>
      <w:r w:rsidR="008B16FF" w:rsidRPr="008672CE">
        <w:rPr>
          <w:b/>
          <w:bCs/>
        </w:rPr>
        <w:t>USES AND ITS CONCENTRATION</w:t>
      </w:r>
      <w:r w:rsidR="00C77FCD" w:rsidRPr="008672CE">
        <w:rPr>
          <w:b/>
          <w:bCs/>
        </w:rPr>
        <w:t xml:space="preserve"> </w:t>
      </w:r>
      <w:r w:rsidR="00C77FCD" w:rsidRPr="008672CE">
        <w:rPr>
          <w:vertAlign w:val="superscript"/>
        </w:rPr>
        <w:t>20</w:t>
      </w:r>
      <w:r w:rsidR="008B16FF" w:rsidRPr="008672CE">
        <w:rPr>
          <w:b/>
          <w:bCs/>
        </w:rPr>
        <w:t>:</w:t>
      </w:r>
    </w:p>
    <w:tbl>
      <w:tblPr>
        <w:tblStyle w:val="TableGrid"/>
        <w:tblW w:w="0" w:type="auto"/>
        <w:jc w:val="center"/>
        <w:tblLook w:val="04A0" w:firstRow="1" w:lastRow="0" w:firstColumn="1" w:lastColumn="0" w:noHBand="0" w:noVBand="1"/>
      </w:tblPr>
      <w:tblGrid>
        <w:gridCol w:w="5382"/>
        <w:gridCol w:w="3498"/>
      </w:tblGrid>
      <w:tr w:rsidR="008B16FF" w:rsidRPr="006C5C45" w14:paraId="1C1F7C5C" w14:textId="77777777" w:rsidTr="00501DFC">
        <w:trPr>
          <w:trHeight w:val="153"/>
          <w:jc w:val="center"/>
        </w:trPr>
        <w:tc>
          <w:tcPr>
            <w:tcW w:w="5382" w:type="dxa"/>
            <w:vAlign w:val="center"/>
          </w:tcPr>
          <w:p w14:paraId="3B9ED939" w14:textId="0FD01E1E" w:rsidR="008B16FF" w:rsidRPr="006C5C45" w:rsidRDefault="008B16FF" w:rsidP="006C5C45">
            <w:pPr>
              <w:jc w:val="both"/>
              <w:rPr>
                <w:rFonts w:ascii="Times New Roman" w:hAnsi="Times New Roman" w:cs="Times New Roman"/>
                <w:b/>
                <w:bCs/>
                <w:sz w:val="20"/>
                <w:szCs w:val="20"/>
              </w:rPr>
            </w:pPr>
            <w:r w:rsidRPr="006C5C45">
              <w:rPr>
                <w:rFonts w:ascii="Times New Roman" w:hAnsi="Times New Roman" w:cs="Times New Roman"/>
                <w:b/>
                <w:bCs/>
                <w:sz w:val="20"/>
                <w:szCs w:val="20"/>
              </w:rPr>
              <w:t>USE</w:t>
            </w:r>
            <w:r w:rsidR="00501DFC" w:rsidRPr="006C5C45">
              <w:rPr>
                <w:rFonts w:ascii="Times New Roman" w:hAnsi="Times New Roman" w:cs="Times New Roman"/>
                <w:b/>
                <w:bCs/>
                <w:sz w:val="20"/>
                <w:szCs w:val="20"/>
              </w:rPr>
              <w:t>S</w:t>
            </w:r>
          </w:p>
        </w:tc>
        <w:tc>
          <w:tcPr>
            <w:tcW w:w="3498" w:type="dxa"/>
            <w:vAlign w:val="center"/>
          </w:tcPr>
          <w:p w14:paraId="58003C8B" w14:textId="77777777" w:rsidR="008B16FF" w:rsidRPr="006C5C45" w:rsidRDefault="008B16FF" w:rsidP="006C5C45">
            <w:pPr>
              <w:jc w:val="both"/>
              <w:rPr>
                <w:rFonts w:ascii="Times New Roman" w:hAnsi="Times New Roman" w:cs="Times New Roman"/>
                <w:b/>
                <w:bCs/>
                <w:sz w:val="20"/>
                <w:szCs w:val="20"/>
              </w:rPr>
            </w:pPr>
            <w:r w:rsidRPr="006C5C45">
              <w:rPr>
                <w:rFonts w:ascii="Times New Roman" w:hAnsi="Times New Roman" w:cs="Times New Roman"/>
                <w:b/>
                <w:bCs/>
                <w:sz w:val="20"/>
                <w:szCs w:val="20"/>
              </w:rPr>
              <w:t>CONCENTRATION</w:t>
            </w:r>
          </w:p>
        </w:tc>
      </w:tr>
      <w:tr w:rsidR="008B16FF" w:rsidRPr="006C5C45" w14:paraId="304C44C1" w14:textId="77777777" w:rsidTr="00501DFC">
        <w:trPr>
          <w:trHeight w:val="75"/>
          <w:jc w:val="center"/>
        </w:trPr>
        <w:tc>
          <w:tcPr>
            <w:tcW w:w="5382" w:type="dxa"/>
            <w:vAlign w:val="center"/>
          </w:tcPr>
          <w:p w14:paraId="7EF2A36B" w14:textId="77777777" w:rsidR="008B16FF" w:rsidRPr="006C5C45" w:rsidRDefault="008B16FF" w:rsidP="006C5C45">
            <w:pPr>
              <w:jc w:val="both"/>
              <w:rPr>
                <w:rFonts w:ascii="Times New Roman" w:hAnsi="Times New Roman" w:cs="Times New Roman"/>
                <w:sz w:val="20"/>
                <w:szCs w:val="20"/>
              </w:rPr>
            </w:pPr>
            <w:r w:rsidRPr="006C5C45">
              <w:rPr>
                <w:rFonts w:ascii="Times New Roman" w:hAnsi="Times New Roman" w:cs="Times New Roman"/>
                <w:sz w:val="20"/>
                <w:szCs w:val="20"/>
              </w:rPr>
              <w:t>Skin cleanser in topical applications</w:t>
            </w:r>
          </w:p>
        </w:tc>
        <w:tc>
          <w:tcPr>
            <w:tcW w:w="3498" w:type="dxa"/>
            <w:vAlign w:val="center"/>
          </w:tcPr>
          <w:p w14:paraId="3D744372" w14:textId="77777777" w:rsidR="008B16FF" w:rsidRPr="006C5C45" w:rsidRDefault="008B16FF" w:rsidP="006C5C45">
            <w:pPr>
              <w:jc w:val="both"/>
              <w:rPr>
                <w:rFonts w:ascii="Times New Roman" w:hAnsi="Times New Roman" w:cs="Times New Roman"/>
                <w:sz w:val="20"/>
                <w:szCs w:val="20"/>
              </w:rPr>
            </w:pPr>
            <w:r w:rsidRPr="006C5C45">
              <w:rPr>
                <w:rFonts w:ascii="Times New Roman" w:hAnsi="Times New Roman" w:cs="Times New Roman"/>
                <w:sz w:val="20"/>
                <w:szCs w:val="20"/>
              </w:rPr>
              <w:t>1% w/v</w:t>
            </w:r>
          </w:p>
        </w:tc>
      </w:tr>
      <w:tr w:rsidR="008B16FF" w:rsidRPr="006C5C45" w14:paraId="102A1EE4" w14:textId="77777777" w:rsidTr="00501DFC">
        <w:trPr>
          <w:trHeight w:val="75"/>
          <w:jc w:val="center"/>
        </w:trPr>
        <w:tc>
          <w:tcPr>
            <w:tcW w:w="5382" w:type="dxa"/>
            <w:vAlign w:val="center"/>
          </w:tcPr>
          <w:p w14:paraId="78F67FDE" w14:textId="77777777" w:rsidR="008B16FF" w:rsidRPr="006C5C45" w:rsidRDefault="008B16FF" w:rsidP="006C5C45">
            <w:pPr>
              <w:jc w:val="both"/>
              <w:rPr>
                <w:rFonts w:ascii="Times New Roman" w:hAnsi="Times New Roman" w:cs="Times New Roman"/>
                <w:sz w:val="20"/>
                <w:szCs w:val="20"/>
              </w:rPr>
            </w:pPr>
            <w:r w:rsidRPr="006C5C45">
              <w:rPr>
                <w:rFonts w:ascii="Times New Roman" w:hAnsi="Times New Roman" w:cs="Times New Roman"/>
                <w:sz w:val="20"/>
                <w:szCs w:val="20"/>
              </w:rPr>
              <w:t>Tablet lubricant (for dispersible tablets)</w:t>
            </w:r>
          </w:p>
        </w:tc>
        <w:tc>
          <w:tcPr>
            <w:tcW w:w="3498" w:type="dxa"/>
            <w:vAlign w:val="center"/>
          </w:tcPr>
          <w:p w14:paraId="23946D19" w14:textId="77777777" w:rsidR="008B16FF" w:rsidRPr="006C5C45" w:rsidRDefault="008B16FF" w:rsidP="006C5C45">
            <w:pPr>
              <w:jc w:val="both"/>
              <w:rPr>
                <w:rFonts w:ascii="Times New Roman" w:hAnsi="Times New Roman" w:cs="Times New Roman"/>
                <w:sz w:val="20"/>
                <w:szCs w:val="20"/>
              </w:rPr>
            </w:pPr>
            <w:r w:rsidRPr="006C5C45">
              <w:rPr>
                <w:rFonts w:ascii="Times New Roman" w:hAnsi="Times New Roman" w:cs="Times New Roman"/>
                <w:sz w:val="20"/>
                <w:szCs w:val="20"/>
              </w:rPr>
              <w:t>0.5 – 2% w/w</w:t>
            </w:r>
          </w:p>
        </w:tc>
      </w:tr>
      <w:tr w:rsidR="008B16FF" w:rsidRPr="006C5C45" w14:paraId="0DCD01B6" w14:textId="77777777" w:rsidTr="00501DFC">
        <w:trPr>
          <w:trHeight w:val="383"/>
          <w:jc w:val="center"/>
        </w:trPr>
        <w:tc>
          <w:tcPr>
            <w:tcW w:w="5382" w:type="dxa"/>
            <w:vAlign w:val="center"/>
          </w:tcPr>
          <w:p w14:paraId="3AEFDD41" w14:textId="77777777" w:rsidR="008B16FF" w:rsidRPr="006C5C45" w:rsidRDefault="008B16FF" w:rsidP="006C5C45">
            <w:pPr>
              <w:jc w:val="both"/>
              <w:rPr>
                <w:rFonts w:ascii="Times New Roman" w:hAnsi="Times New Roman" w:cs="Times New Roman"/>
                <w:sz w:val="20"/>
                <w:szCs w:val="20"/>
              </w:rPr>
            </w:pPr>
            <w:r w:rsidRPr="006C5C45">
              <w:rPr>
                <w:rFonts w:ascii="Times New Roman" w:hAnsi="Times New Roman" w:cs="Times New Roman"/>
                <w:sz w:val="20"/>
                <w:szCs w:val="20"/>
              </w:rPr>
              <w:t>Wetting agent in dentifrices (toothpastes)</w:t>
            </w:r>
          </w:p>
        </w:tc>
        <w:tc>
          <w:tcPr>
            <w:tcW w:w="3498" w:type="dxa"/>
            <w:vAlign w:val="center"/>
          </w:tcPr>
          <w:p w14:paraId="1F07EAF2" w14:textId="77777777" w:rsidR="008B16FF" w:rsidRPr="006C5C45" w:rsidRDefault="008B16FF" w:rsidP="006C5C45">
            <w:pPr>
              <w:jc w:val="both"/>
              <w:rPr>
                <w:rFonts w:ascii="Times New Roman" w:hAnsi="Times New Roman" w:cs="Times New Roman"/>
                <w:sz w:val="20"/>
                <w:szCs w:val="20"/>
              </w:rPr>
            </w:pPr>
            <w:r w:rsidRPr="006C5C45">
              <w:rPr>
                <w:rFonts w:ascii="Times New Roman" w:hAnsi="Times New Roman" w:cs="Times New Roman"/>
                <w:sz w:val="20"/>
                <w:szCs w:val="20"/>
              </w:rPr>
              <w:t>1 – 2% w/w</w:t>
            </w:r>
          </w:p>
        </w:tc>
      </w:tr>
      <w:tr w:rsidR="008B16FF" w:rsidRPr="006C5C45" w14:paraId="6987010F" w14:textId="77777777" w:rsidTr="00501DFC">
        <w:trPr>
          <w:trHeight w:val="150"/>
          <w:jc w:val="center"/>
        </w:trPr>
        <w:tc>
          <w:tcPr>
            <w:tcW w:w="5382" w:type="dxa"/>
            <w:vAlign w:val="center"/>
          </w:tcPr>
          <w:p w14:paraId="0CC754A6" w14:textId="77777777" w:rsidR="008B16FF" w:rsidRPr="006C5C45" w:rsidRDefault="008B16FF" w:rsidP="006C5C45">
            <w:pPr>
              <w:jc w:val="both"/>
              <w:rPr>
                <w:rFonts w:ascii="Times New Roman" w:hAnsi="Times New Roman" w:cs="Times New Roman"/>
                <w:sz w:val="20"/>
                <w:szCs w:val="20"/>
              </w:rPr>
            </w:pPr>
            <w:r w:rsidRPr="006C5C45">
              <w:rPr>
                <w:rFonts w:ascii="Times New Roman" w:hAnsi="Times New Roman" w:cs="Times New Roman"/>
                <w:sz w:val="20"/>
                <w:szCs w:val="20"/>
              </w:rPr>
              <w:t>Releasing agent in suppositories and pessaries</w:t>
            </w:r>
          </w:p>
        </w:tc>
        <w:tc>
          <w:tcPr>
            <w:tcW w:w="3498" w:type="dxa"/>
            <w:vAlign w:val="center"/>
          </w:tcPr>
          <w:p w14:paraId="56071A41" w14:textId="77777777" w:rsidR="008B16FF" w:rsidRPr="006C5C45" w:rsidRDefault="008B16FF" w:rsidP="006C5C45">
            <w:pPr>
              <w:jc w:val="both"/>
              <w:rPr>
                <w:rFonts w:ascii="Times New Roman" w:hAnsi="Times New Roman" w:cs="Times New Roman"/>
                <w:sz w:val="20"/>
                <w:szCs w:val="20"/>
              </w:rPr>
            </w:pPr>
            <w:r w:rsidRPr="006C5C45">
              <w:rPr>
                <w:rFonts w:ascii="Times New Roman" w:hAnsi="Times New Roman" w:cs="Times New Roman"/>
                <w:sz w:val="20"/>
                <w:szCs w:val="20"/>
              </w:rPr>
              <w:t>0.4 – 1% w/w</w:t>
            </w:r>
          </w:p>
        </w:tc>
      </w:tr>
      <w:tr w:rsidR="008B16FF" w:rsidRPr="006C5C45" w14:paraId="2E6BF43B" w14:textId="77777777" w:rsidTr="00501DFC">
        <w:trPr>
          <w:trHeight w:val="78"/>
          <w:jc w:val="center"/>
        </w:trPr>
        <w:tc>
          <w:tcPr>
            <w:tcW w:w="5382" w:type="dxa"/>
            <w:vAlign w:val="center"/>
          </w:tcPr>
          <w:p w14:paraId="7B40874B" w14:textId="77777777" w:rsidR="008B16FF" w:rsidRPr="006C5C45" w:rsidRDefault="008B16FF" w:rsidP="006C5C45">
            <w:pPr>
              <w:jc w:val="both"/>
              <w:rPr>
                <w:rFonts w:ascii="Times New Roman" w:hAnsi="Times New Roman" w:cs="Times New Roman"/>
                <w:sz w:val="20"/>
                <w:szCs w:val="20"/>
              </w:rPr>
            </w:pPr>
            <w:r w:rsidRPr="006C5C45">
              <w:rPr>
                <w:rFonts w:ascii="Times New Roman" w:hAnsi="Times New Roman" w:cs="Times New Roman"/>
                <w:sz w:val="20"/>
                <w:szCs w:val="20"/>
              </w:rPr>
              <w:t>Dissolution / wetting agent in solid oral dosage forms</w:t>
            </w:r>
          </w:p>
        </w:tc>
        <w:tc>
          <w:tcPr>
            <w:tcW w:w="3498" w:type="dxa"/>
            <w:vAlign w:val="center"/>
          </w:tcPr>
          <w:p w14:paraId="75934932" w14:textId="77777777" w:rsidR="008B16FF" w:rsidRPr="006C5C45" w:rsidRDefault="008B16FF" w:rsidP="006C5C45">
            <w:pPr>
              <w:jc w:val="both"/>
              <w:rPr>
                <w:rFonts w:ascii="Times New Roman" w:hAnsi="Times New Roman" w:cs="Times New Roman"/>
                <w:sz w:val="20"/>
                <w:szCs w:val="20"/>
              </w:rPr>
            </w:pPr>
            <w:r w:rsidRPr="006C5C45">
              <w:rPr>
                <w:rFonts w:ascii="Times New Roman" w:hAnsi="Times New Roman" w:cs="Times New Roman"/>
                <w:sz w:val="20"/>
                <w:szCs w:val="20"/>
              </w:rPr>
              <w:t>0.2 – 1.5% w/w</w:t>
            </w:r>
          </w:p>
        </w:tc>
      </w:tr>
      <w:tr w:rsidR="008B16FF" w:rsidRPr="006C5C45" w14:paraId="2373DD5F" w14:textId="77777777" w:rsidTr="00501DFC">
        <w:trPr>
          <w:trHeight w:val="150"/>
          <w:jc w:val="center"/>
        </w:trPr>
        <w:tc>
          <w:tcPr>
            <w:tcW w:w="5382" w:type="dxa"/>
            <w:vAlign w:val="center"/>
          </w:tcPr>
          <w:p w14:paraId="7E855904" w14:textId="77777777" w:rsidR="008B16FF" w:rsidRPr="006C5C45" w:rsidRDefault="008B16FF" w:rsidP="006C5C45">
            <w:pPr>
              <w:jc w:val="both"/>
              <w:rPr>
                <w:rFonts w:ascii="Times New Roman" w:hAnsi="Times New Roman" w:cs="Times New Roman"/>
                <w:sz w:val="20"/>
                <w:szCs w:val="20"/>
              </w:rPr>
            </w:pPr>
            <w:r w:rsidRPr="006C5C45">
              <w:rPr>
                <w:rFonts w:ascii="Times New Roman" w:hAnsi="Times New Roman" w:cs="Times New Roman"/>
                <w:sz w:val="20"/>
                <w:szCs w:val="20"/>
              </w:rPr>
              <w:t>Foaming / lathering agent in shampoos</w:t>
            </w:r>
          </w:p>
        </w:tc>
        <w:tc>
          <w:tcPr>
            <w:tcW w:w="3498" w:type="dxa"/>
            <w:vAlign w:val="center"/>
          </w:tcPr>
          <w:p w14:paraId="5CB4E9A2" w14:textId="77777777" w:rsidR="008B16FF" w:rsidRPr="006C5C45" w:rsidRDefault="008B16FF" w:rsidP="006C5C45">
            <w:pPr>
              <w:jc w:val="both"/>
              <w:rPr>
                <w:rFonts w:ascii="Times New Roman" w:hAnsi="Times New Roman" w:cs="Times New Roman"/>
                <w:sz w:val="20"/>
                <w:szCs w:val="20"/>
              </w:rPr>
            </w:pPr>
            <w:r w:rsidRPr="006C5C45">
              <w:rPr>
                <w:rFonts w:ascii="Times New Roman" w:hAnsi="Times New Roman" w:cs="Times New Roman"/>
                <w:sz w:val="20"/>
                <w:szCs w:val="20"/>
              </w:rPr>
              <w:t>10 – 25% w/v</w:t>
            </w:r>
          </w:p>
        </w:tc>
      </w:tr>
    </w:tbl>
    <w:p w14:paraId="7CB3A67F" w14:textId="77777777" w:rsidR="000E3815" w:rsidRPr="006C5C45" w:rsidRDefault="000E3815" w:rsidP="006C5C45">
      <w:pPr>
        <w:spacing w:line="240" w:lineRule="auto"/>
        <w:jc w:val="both"/>
        <w:rPr>
          <w:rFonts w:ascii="Times New Roman" w:hAnsi="Times New Roman" w:cs="Times New Roman"/>
          <w:b/>
          <w:bCs/>
          <w:sz w:val="20"/>
          <w:szCs w:val="20"/>
        </w:rPr>
      </w:pPr>
    </w:p>
    <w:p w14:paraId="33D3336E" w14:textId="77777777" w:rsidR="004E37A9" w:rsidRDefault="004E37A9" w:rsidP="006C5C45">
      <w:pPr>
        <w:spacing w:line="240" w:lineRule="auto"/>
        <w:jc w:val="both"/>
        <w:rPr>
          <w:rFonts w:ascii="Times New Roman" w:hAnsi="Times New Roman" w:cs="Times New Roman"/>
          <w:b/>
          <w:bCs/>
          <w:sz w:val="24"/>
          <w:szCs w:val="24"/>
        </w:rPr>
      </w:pPr>
    </w:p>
    <w:p w14:paraId="4868C19A" w14:textId="77777777" w:rsidR="004E37A9" w:rsidRDefault="004E37A9" w:rsidP="006C5C45">
      <w:pPr>
        <w:spacing w:line="240" w:lineRule="auto"/>
        <w:jc w:val="both"/>
        <w:rPr>
          <w:rFonts w:ascii="Times New Roman" w:hAnsi="Times New Roman" w:cs="Times New Roman"/>
          <w:b/>
          <w:bCs/>
          <w:sz w:val="24"/>
          <w:szCs w:val="24"/>
        </w:rPr>
      </w:pPr>
    </w:p>
    <w:p w14:paraId="2F30EE6F" w14:textId="501CD211" w:rsidR="009D4F8E" w:rsidRPr="008672CE" w:rsidRDefault="0087427A" w:rsidP="006C5C45">
      <w:pPr>
        <w:spacing w:line="240" w:lineRule="auto"/>
        <w:jc w:val="both"/>
        <w:rPr>
          <w:rFonts w:ascii="Times New Roman" w:hAnsi="Times New Roman" w:cs="Times New Roman"/>
          <w:b/>
          <w:bCs/>
          <w:sz w:val="24"/>
          <w:szCs w:val="24"/>
        </w:rPr>
      </w:pPr>
      <w:r w:rsidRPr="008672CE">
        <w:rPr>
          <w:rFonts w:ascii="Times New Roman" w:hAnsi="Times New Roman" w:cs="Times New Roman"/>
          <w:b/>
          <w:bCs/>
          <w:sz w:val="24"/>
          <w:szCs w:val="24"/>
        </w:rPr>
        <w:lastRenderedPageBreak/>
        <w:t>TOXICITY OF SODIUM LAURYL SULPHATE</w:t>
      </w:r>
    </w:p>
    <w:p w14:paraId="0337E355" w14:textId="132321B6" w:rsidR="008A2AB1" w:rsidRPr="006C5C45" w:rsidRDefault="008A2AB1" w:rsidP="006C5C45">
      <w:pPr>
        <w:pStyle w:val="NormalWeb"/>
        <w:ind w:firstLine="720"/>
        <w:jc w:val="both"/>
        <w:rPr>
          <w:sz w:val="20"/>
          <w:szCs w:val="20"/>
        </w:rPr>
      </w:pPr>
      <w:r w:rsidRPr="006C5C45">
        <w:rPr>
          <w:sz w:val="20"/>
          <w:szCs w:val="20"/>
        </w:rPr>
        <w:t xml:space="preserve">Certain studies suggest that Sodium Lauryl </w:t>
      </w:r>
      <w:proofErr w:type="spellStart"/>
      <w:r w:rsidRPr="006C5C45">
        <w:rPr>
          <w:sz w:val="20"/>
          <w:szCs w:val="20"/>
        </w:rPr>
        <w:t>Sulfate</w:t>
      </w:r>
      <w:proofErr w:type="spellEnd"/>
      <w:r w:rsidRPr="006C5C45">
        <w:rPr>
          <w:sz w:val="20"/>
          <w:szCs w:val="20"/>
        </w:rPr>
        <w:t xml:space="preserve"> (SLS) does not pose a cancer risk when present in low concentrations. However, like other detergents, SLS can strip oil from the skin and may lead to irritation of the skin and eyes. Prolonged exposure, particularly on facial skin for more than an hour, has been shown to cause irritation, especially in younger individuals. The sensitivity to SLS varies from person to person, and it may aggravate skin conditions in those with chronic skin sensitivities</w:t>
      </w:r>
      <w:r w:rsidR="006C5C45" w:rsidRPr="006C5C45">
        <w:rPr>
          <w:sz w:val="20"/>
          <w:szCs w:val="20"/>
          <w:vertAlign w:val="superscript"/>
        </w:rPr>
        <w:t>21</w:t>
      </w:r>
      <w:r w:rsidRPr="006C5C45">
        <w:rPr>
          <w:sz w:val="20"/>
          <w:szCs w:val="20"/>
        </w:rPr>
        <w:t>.</w:t>
      </w:r>
    </w:p>
    <w:p w14:paraId="1218E08A" w14:textId="7DFE0676" w:rsidR="008A2AB1" w:rsidRPr="006C5C45" w:rsidRDefault="008A2AB1" w:rsidP="006C5C45">
      <w:pPr>
        <w:pStyle w:val="NormalWeb"/>
        <w:ind w:firstLine="720"/>
        <w:jc w:val="both"/>
        <w:rPr>
          <w:sz w:val="20"/>
          <w:szCs w:val="20"/>
        </w:rPr>
      </w:pPr>
      <w:r w:rsidRPr="006C5C45">
        <w:rPr>
          <w:sz w:val="20"/>
          <w:szCs w:val="20"/>
        </w:rPr>
        <w:t>While SLS is considered moderately hazardous, it can cause both acute and long-term damage, including irritation of the skin, eyes, mucous membranes, upper respiratory tract, and stomach. In more severe cases, it has the potential to contribute to cancer development. The toxicity of SLS is primarily linked to its surfactant properties, which can disrupt cell membranes, trigger the release of cytokines, and cause changes in protein structure. Additionally, SLS can harm beneficial bacteria found in various areas of the body, further contributing to its harmful effects</w:t>
      </w:r>
      <w:r w:rsidR="006C5C45" w:rsidRPr="006C5C45">
        <w:rPr>
          <w:sz w:val="20"/>
          <w:szCs w:val="20"/>
          <w:vertAlign w:val="superscript"/>
        </w:rPr>
        <w:t>22</w:t>
      </w:r>
      <w:r w:rsidRPr="006C5C45">
        <w:rPr>
          <w:sz w:val="20"/>
          <w:szCs w:val="20"/>
        </w:rPr>
        <w:t>.</w:t>
      </w:r>
    </w:p>
    <w:p w14:paraId="5F6ACB80" w14:textId="77777777" w:rsidR="008A2AB1" w:rsidRPr="006C5C45" w:rsidRDefault="008A2AB1" w:rsidP="006C5C45">
      <w:pPr>
        <w:pStyle w:val="NormalWeb"/>
        <w:jc w:val="both"/>
        <w:rPr>
          <w:sz w:val="20"/>
          <w:szCs w:val="20"/>
        </w:rPr>
      </w:pPr>
      <w:r w:rsidRPr="006C5C45">
        <w:rPr>
          <w:rStyle w:val="Strong"/>
          <w:sz w:val="20"/>
          <w:szCs w:val="20"/>
        </w:rPr>
        <w:t>Human Toxicity Profile - Acute Toxicity and Ocular Irritation:</w:t>
      </w:r>
    </w:p>
    <w:p w14:paraId="1F0DD547" w14:textId="77777777" w:rsidR="008A2AB1" w:rsidRPr="006C5C45" w:rsidRDefault="008A2AB1" w:rsidP="006C5C45">
      <w:pPr>
        <w:pStyle w:val="NormalWeb"/>
        <w:ind w:firstLine="720"/>
        <w:jc w:val="both"/>
        <w:rPr>
          <w:sz w:val="20"/>
          <w:szCs w:val="20"/>
        </w:rPr>
      </w:pPr>
      <w:r w:rsidRPr="006C5C45">
        <w:rPr>
          <w:sz w:val="20"/>
          <w:szCs w:val="20"/>
        </w:rPr>
        <w:t xml:space="preserve">Sodium Lauryl </w:t>
      </w:r>
      <w:proofErr w:type="spellStart"/>
      <w:r w:rsidRPr="006C5C45">
        <w:rPr>
          <w:sz w:val="20"/>
          <w:szCs w:val="20"/>
        </w:rPr>
        <w:t>Sulfate</w:t>
      </w:r>
      <w:proofErr w:type="spellEnd"/>
      <w:r w:rsidRPr="006C5C45">
        <w:rPr>
          <w:sz w:val="20"/>
          <w:szCs w:val="20"/>
        </w:rPr>
        <w:t xml:space="preserve"> (SLS) can cause eye irritation when used in high concentrations, but at 0.1% (w/w), it does not irritate the eyes of laboratory animals. Manufacturers are required by the U.S. Consumer Product Safety Commission (CPSC) to test products for eye irritation and provide relevant warnings. While SLS in extreme amounts has been linked to severe eye damage, studies show that typical consumer products do not cause blindness or significant corneal damage.</w:t>
      </w:r>
    </w:p>
    <w:p w14:paraId="70BBCE38" w14:textId="11DFB073" w:rsidR="008A2AB1" w:rsidRPr="006C5C45" w:rsidRDefault="008A2AB1" w:rsidP="006C5C45">
      <w:pPr>
        <w:pStyle w:val="NormalWeb"/>
        <w:ind w:firstLine="720"/>
        <w:jc w:val="both"/>
        <w:rPr>
          <w:sz w:val="20"/>
          <w:szCs w:val="20"/>
        </w:rPr>
      </w:pPr>
      <w:r w:rsidRPr="006C5C45">
        <w:rPr>
          <w:sz w:val="20"/>
          <w:szCs w:val="20"/>
        </w:rPr>
        <w:t>Claims that SLS causes cataracts are based on lab experiments with high concentrations of SLS, which do not reflect typical human exposure. The lens of the eye is protected by the cornea and is not directly exposed to SLS in everyday use. Therefore, there is no evidence linking SLS in consumer products to cataract development</w:t>
      </w:r>
      <w:r w:rsidR="006C5C45" w:rsidRPr="006C5C45">
        <w:rPr>
          <w:sz w:val="20"/>
          <w:szCs w:val="20"/>
          <w:vertAlign w:val="superscript"/>
        </w:rPr>
        <w:t>23</w:t>
      </w:r>
      <w:r w:rsidRPr="006C5C45">
        <w:rPr>
          <w:sz w:val="20"/>
          <w:szCs w:val="20"/>
        </w:rPr>
        <w:t>.</w:t>
      </w:r>
    </w:p>
    <w:p w14:paraId="6FE33AD8" w14:textId="77777777" w:rsidR="008A2AB1" w:rsidRPr="006C5C45" w:rsidRDefault="008A2AB1" w:rsidP="006C5C45">
      <w:pPr>
        <w:pStyle w:val="NormalWeb"/>
        <w:jc w:val="both"/>
        <w:rPr>
          <w:sz w:val="20"/>
          <w:szCs w:val="20"/>
        </w:rPr>
      </w:pPr>
      <w:r w:rsidRPr="006C5C45">
        <w:rPr>
          <w:rStyle w:val="Strong"/>
          <w:sz w:val="20"/>
          <w:szCs w:val="20"/>
        </w:rPr>
        <w:t>Dermal Irritation:</w:t>
      </w:r>
    </w:p>
    <w:p w14:paraId="7B555E16" w14:textId="660CBABF" w:rsidR="008A2AB1" w:rsidRPr="006C5C45" w:rsidRDefault="008A2AB1" w:rsidP="006C5C45">
      <w:pPr>
        <w:pStyle w:val="NormalWeb"/>
        <w:ind w:firstLine="720"/>
        <w:jc w:val="both"/>
        <w:rPr>
          <w:sz w:val="20"/>
          <w:szCs w:val="20"/>
        </w:rPr>
      </w:pPr>
      <w:r w:rsidRPr="006C5C45">
        <w:rPr>
          <w:sz w:val="20"/>
          <w:szCs w:val="20"/>
        </w:rPr>
        <w:t xml:space="preserve">Dermal toxicity tests show that a 1-2% solution of Sodium Lauryl </w:t>
      </w:r>
      <w:proofErr w:type="spellStart"/>
      <w:r w:rsidRPr="006C5C45">
        <w:rPr>
          <w:sz w:val="20"/>
          <w:szCs w:val="20"/>
        </w:rPr>
        <w:t>Sulfate</w:t>
      </w:r>
      <w:proofErr w:type="spellEnd"/>
      <w:r w:rsidRPr="006C5C45">
        <w:rPr>
          <w:sz w:val="20"/>
          <w:szCs w:val="20"/>
        </w:rPr>
        <w:t xml:space="preserve"> (SLS) can cause mild, reversible skin irritation and increase water loss from the outer skin layer after 24 hours of exposure. Concentrations of 0.2% can irritate normal skin during a 24-hour patch test. However, since cleaning products are typically in contact with the skin for only a few minutes, they are less likely to cause irritation. Proper formulation techniques, such as adding cosurfactants, can make SLS-containing products gentle on the skin. Although SLS can cause irritation, it is not classified as corrosive, and claims that it destroys the skin are false. Manufacturers must conduct tests and label products with appropriate warnings as required by the CPSC</w:t>
      </w:r>
      <w:r w:rsidR="006C5C45" w:rsidRPr="006C5C45">
        <w:rPr>
          <w:sz w:val="20"/>
          <w:szCs w:val="20"/>
          <w:vertAlign w:val="superscript"/>
        </w:rPr>
        <w:t>24</w:t>
      </w:r>
      <w:r w:rsidRPr="006C5C45">
        <w:rPr>
          <w:sz w:val="20"/>
          <w:szCs w:val="20"/>
        </w:rPr>
        <w:t>.</w:t>
      </w:r>
    </w:p>
    <w:p w14:paraId="1507684F" w14:textId="77777777" w:rsidR="008A2AB1" w:rsidRPr="006C5C45" w:rsidRDefault="008A2AB1" w:rsidP="006C5C45">
      <w:pPr>
        <w:pStyle w:val="NormalWeb"/>
        <w:jc w:val="both"/>
        <w:rPr>
          <w:sz w:val="20"/>
          <w:szCs w:val="20"/>
        </w:rPr>
      </w:pPr>
      <w:r w:rsidRPr="006C5C45">
        <w:rPr>
          <w:rStyle w:val="Strong"/>
          <w:sz w:val="20"/>
          <w:szCs w:val="20"/>
        </w:rPr>
        <w:t>Oral Toxicity:</w:t>
      </w:r>
    </w:p>
    <w:p w14:paraId="58394AFB" w14:textId="3A66B3B6" w:rsidR="008A2AB1" w:rsidRPr="006C5C45" w:rsidRDefault="008A2AB1" w:rsidP="006C5C45">
      <w:pPr>
        <w:pStyle w:val="NormalWeb"/>
        <w:ind w:firstLine="720"/>
        <w:jc w:val="both"/>
        <w:rPr>
          <w:sz w:val="20"/>
          <w:szCs w:val="20"/>
        </w:rPr>
      </w:pPr>
      <w:r w:rsidRPr="006C5C45">
        <w:rPr>
          <w:sz w:val="20"/>
          <w:szCs w:val="20"/>
        </w:rPr>
        <w:t xml:space="preserve">Acute oral toxicity refers to the immediate harmful effects of ingesting a substance. The median lethal dose (LD50), the amount required to kill half of the test animals, is used to assess toxicity. Substances with an LD50 greater than 5,000 mg/kg are considered nontoxic. The acute oral toxicity of Sodium Lauryl </w:t>
      </w:r>
      <w:proofErr w:type="spellStart"/>
      <w:r w:rsidRPr="006C5C45">
        <w:rPr>
          <w:sz w:val="20"/>
          <w:szCs w:val="20"/>
        </w:rPr>
        <w:t>Sulfate</w:t>
      </w:r>
      <w:proofErr w:type="spellEnd"/>
      <w:r w:rsidRPr="006C5C45">
        <w:rPr>
          <w:sz w:val="20"/>
          <w:szCs w:val="20"/>
        </w:rPr>
        <w:t xml:space="preserve"> (SLS) ranges from 600 to 1,288 mg/kg in rats, indicating it can be harmful in high concentrations. However, the toxicity of a product is determined by the overall formulation, not just one ingredient. Products containing diluted SLS may not be harmful, even though pure SLS can be toxic at high doses. This principle applies to SLS in food products, where it is regulated by the FDA. Many everyday substances, including table salt (with an LD50 of 3,000 mg/kg), can be toxic at certain levels</w:t>
      </w:r>
      <w:r w:rsidR="006C5C45" w:rsidRPr="006C5C45">
        <w:rPr>
          <w:sz w:val="20"/>
          <w:szCs w:val="20"/>
          <w:vertAlign w:val="superscript"/>
        </w:rPr>
        <w:t>25</w:t>
      </w:r>
      <w:r w:rsidRPr="006C5C45">
        <w:rPr>
          <w:sz w:val="20"/>
          <w:szCs w:val="20"/>
        </w:rPr>
        <w:t>.</w:t>
      </w:r>
    </w:p>
    <w:p w14:paraId="28FE6670" w14:textId="77777777" w:rsidR="008A2AB1" w:rsidRPr="006C5C45" w:rsidRDefault="008A2AB1" w:rsidP="006C5C45">
      <w:pPr>
        <w:pStyle w:val="NormalWeb"/>
        <w:jc w:val="both"/>
        <w:rPr>
          <w:sz w:val="20"/>
          <w:szCs w:val="20"/>
        </w:rPr>
      </w:pPr>
      <w:r w:rsidRPr="006C5C45">
        <w:rPr>
          <w:rStyle w:val="Strong"/>
          <w:sz w:val="20"/>
          <w:szCs w:val="20"/>
        </w:rPr>
        <w:t>Chronic Toxicity and Carcinogenicity:</w:t>
      </w:r>
    </w:p>
    <w:p w14:paraId="42AC95B4" w14:textId="73724A33" w:rsidR="008A2AB1" w:rsidRPr="006C5C45" w:rsidRDefault="008A2AB1" w:rsidP="006C5C45">
      <w:pPr>
        <w:pStyle w:val="NormalWeb"/>
        <w:ind w:firstLine="720"/>
        <w:jc w:val="both"/>
        <w:rPr>
          <w:sz w:val="20"/>
          <w:szCs w:val="20"/>
        </w:rPr>
      </w:pPr>
      <w:r w:rsidRPr="006C5C45">
        <w:rPr>
          <w:sz w:val="20"/>
          <w:szCs w:val="20"/>
        </w:rPr>
        <w:t xml:space="preserve">The claim that Sodium Lauryl </w:t>
      </w:r>
      <w:proofErr w:type="spellStart"/>
      <w:r w:rsidRPr="006C5C45">
        <w:rPr>
          <w:sz w:val="20"/>
          <w:szCs w:val="20"/>
        </w:rPr>
        <w:t>Sulfate</w:t>
      </w:r>
      <w:proofErr w:type="spellEnd"/>
      <w:r w:rsidRPr="006C5C45">
        <w:rPr>
          <w:sz w:val="20"/>
          <w:szCs w:val="20"/>
        </w:rPr>
        <w:t xml:space="preserve"> (SLS) causes cancer is unfounded and likely stems from misinterpretations of scientific studies. There is no evidence linking SLS to cancer, as confirmed by the U.S. Environmental Protection Agency, the International Agency for Research on Cancer (IARC), and other reputable organizations. The American Cancer Society also addressed these misconceptions in 1998. Some studies that assess carcinogenicity use SLS in their testing, leading to confusion, but these studies do not provide evidence that SLS itself is carcinogenic</w:t>
      </w:r>
      <w:r w:rsidR="006C5C45" w:rsidRPr="006C5C45">
        <w:rPr>
          <w:sz w:val="20"/>
          <w:szCs w:val="20"/>
          <w:vertAlign w:val="superscript"/>
        </w:rPr>
        <w:t>26</w:t>
      </w:r>
      <w:r w:rsidRPr="006C5C45">
        <w:rPr>
          <w:sz w:val="20"/>
          <w:szCs w:val="20"/>
        </w:rPr>
        <w:t>.</w:t>
      </w:r>
    </w:p>
    <w:p w14:paraId="71F7EB03" w14:textId="3AD202F7" w:rsidR="008A2AB1" w:rsidRPr="006C5C45" w:rsidRDefault="008A2AB1" w:rsidP="006C5C45">
      <w:pPr>
        <w:pStyle w:val="NormalWeb"/>
        <w:ind w:firstLine="720"/>
        <w:jc w:val="both"/>
        <w:rPr>
          <w:sz w:val="20"/>
          <w:szCs w:val="20"/>
        </w:rPr>
      </w:pPr>
      <w:r w:rsidRPr="006C5C45">
        <w:rPr>
          <w:sz w:val="20"/>
          <w:szCs w:val="20"/>
        </w:rPr>
        <w:lastRenderedPageBreak/>
        <w:t xml:space="preserve">Additionally, claims that SLS reacts with formaldehyde to produce nitrosamines are incorrect, as formaldehyde and SLS lack the necessary components to form nitrosamines. While nitrosamines are linked to cancer, they are not associated with SLS. Another mistaken claim is that SLS contains 1,4-dioxane, a potentially carcinogenic byproduct. This only applies to ethoxylated surfactants like Sodium </w:t>
      </w:r>
      <w:proofErr w:type="spellStart"/>
      <w:r w:rsidRPr="006C5C45">
        <w:rPr>
          <w:sz w:val="20"/>
          <w:szCs w:val="20"/>
        </w:rPr>
        <w:t>Laureth</w:t>
      </w:r>
      <w:proofErr w:type="spellEnd"/>
      <w:r w:rsidRPr="006C5C45">
        <w:rPr>
          <w:sz w:val="20"/>
          <w:szCs w:val="20"/>
        </w:rPr>
        <w:t xml:space="preserve"> </w:t>
      </w:r>
      <w:proofErr w:type="spellStart"/>
      <w:r w:rsidRPr="006C5C45">
        <w:rPr>
          <w:sz w:val="20"/>
          <w:szCs w:val="20"/>
        </w:rPr>
        <w:t>Sulfate</w:t>
      </w:r>
      <w:proofErr w:type="spellEnd"/>
      <w:r w:rsidRPr="006C5C45">
        <w:rPr>
          <w:sz w:val="20"/>
          <w:szCs w:val="20"/>
        </w:rPr>
        <w:t xml:space="preserve"> (SLES), not SLS. While cross-contamination may occur during manufacturing, SLS itself does not pose a cancer risk. Manufacturers can test products to ensure they do not contain detectable levels of 1,4-dioxane</w:t>
      </w:r>
      <w:r w:rsidR="006C5C45" w:rsidRPr="006C5C45">
        <w:rPr>
          <w:sz w:val="20"/>
          <w:szCs w:val="20"/>
          <w:vertAlign w:val="superscript"/>
        </w:rPr>
        <w:t>27</w:t>
      </w:r>
      <w:r w:rsidRPr="006C5C45">
        <w:rPr>
          <w:sz w:val="20"/>
          <w:szCs w:val="20"/>
        </w:rPr>
        <w:t>.</w:t>
      </w:r>
    </w:p>
    <w:p w14:paraId="4EFFBD03" w14:textId="77777777" w:rsidR="008A2AB1" w:rsidRPr="006C5C45" w:rsidRDefault="008A2AB1" w:rsidP="006C5C45">
      <w:pPr>
        <w:pStyle w:val="NormalWeb"/>
        <w:jc w:val="both"/>
        <w:rPr>
          <w:sz w:val="20"/>
          <w:szCs w:val="20"/>
        </w:rPr>
      </w:pPr>
      <w:r w:rsidRPr="006C5C45">
        <w:rPr>
          <w:rStyle w:val="Strong"/>
          <w:sz w:val="20"/>
          <w:szCs w:val="20"/>
        </w:rPr>
        <w:t>Organ Toxicity:</w:t>
      </w:r>
    </w:p>
    <w:p w14:paraId="4402FDB9" w14:textId="482781AF" w:rsidR="008A2AB1" w:rsidRPr="006C5C45" w:rsidRDefault="008A2AB1" w:rsidP="006C5C45">
      <w:pPr>
        <w:pStyle w:val="NormalWeb"/>
        <w:ind w:firstLine="720"/>
        <w:jc w:val="both"/>
        <w:rPr>
          <w:sz w:val="20"/>
          <w:szCs w:val="20"/>
        </w:rPr>
      </w:pPr>
      <w:r w:rsidRPr="006C5C45">
        <w:rPr>
          <w:sz w:val="20"/>
          <w:szCs w:val="20"/>
        </w:rPr>
        <w:t xml:space="preserve">Claims that Sodium Lauryl </w:t>
      </w:r>
      <w:proofErr w:type="spellStart"/>
      <w:r w:rsidRPr="006C5C45">
        <w:rPr>
          <w:sz w:val="20"/>
          <w:szCs w:val="20"/>
        </w:rPr>
        <w:t>Sulfate</w:t>
      </w:r>
      <w:proofErr w:type="spellEnd"/>
      <w:r w:rsidRPr="006C5C45">
        <w:rPr>
          <w:sz w:val="20"/>
          <w:szCs w:val="20"/>
        </w:rPr>
        <w:t xml:space="preserve"> (SLS) accumulates in organs like the heart, liver, lungs, and brain are not supported by evidence. The Cosmetic Ingredient Review (CIR) report, which examines the absorption and excretion of SLS, states that while SLS can be absorbed through the skin, most of it remains on the skin's surface. When SLS does enter the bloodstream, the liver quickly metabolizes it into water-soluble compounds, which are then eliminated through urine, </w:t>
      </w:r>
      <w:proofErr w:type="spellStart"/>
      <w:r w:rsidRPr="006C5C45">
        <w:rPr>
          <w:sz w:val="20"/>
          <w:szCs w:val="20"/>
        </w:rPr>
        <w:t>feces</w:t>
      </w:r>
      <w:proofErr w:type="spellEnd"/>
      <w:r w:rsidRPr="006C5C45">
        <w:rPr>
          <w:sz w:val="20"/>
          <w:szCs w:val="20"/>
        </w:rPr>
        <w:t>, and breath. There is no scientific evidence linking SLS accumulation in organs to systemic toxicity or organ damage. Therefore, the claim that SLS bioaccumulates and harms organs is false</w:t>
      </w:r>
      <w:r w:rsidR="006C5C45" w:rsidRPr="006C5C45">
        <w:rPr>
          <w:sz w:val="20"/>
          <w:szCs w:val="20"/>
          <w:vertAlign w:val="superscript"/>
        </w:rPr>
        <w:t>28, 29</w:t>
      </w:r>
      <w:r w:rsidRPr="006C5C45">
        <w:rPr>
          <w:sz w:val="20"/>
          <w:szCs w:val="20"/>
        </w:rPr>
        <w:t>.</w:t>
      </w:r>
    </w:p>
    <w:p w14:paraId="41CC6FAF" w14:textId="77777777" w:rsidR="0087427A" w:rsidRPr="006C5C45" w:rsidRDefault="0087427A" w:rsidP="006C5C45">
      <w:pPr>
        <w:pStyle w:val="NormalWeb"/>
        <w:jc w:val="both"/>
        <w:rPr>
          <w:rStyle w:val="Strong"/>
          <w:sz w:val="20"/>
          <w:szCs w:val="20"/>
        </w:rPr>
      </w:pPr>
      <w:r w:rsidRPr="006C5C45">
        <w:rPr>
          <w:rStyle w:val="Strong"/>
          <w:sz w:val="20"/>
          <w:szCs w:val="20"/>
        </w:rPr>
        <w:t xml:space="preserve">Dermatological Effects </w:t>
      </w:r>
    </w:p>
    <w:p w14:paraId="5AE55F5E" w14:textId="77777777" w:rsidR="008A2AB1" w:rsidRPr="006C5C45" w:rsidRDefault="008A2AB1" w:rsidP="006C5C45">
      <w:pPr>
        <w:pStyle w:val="NormalWeb"/>
        <w:jc w:val="both"/>
        <w:rPr>
          <w:sz w:val="20"/>
          <w:szCs w:val="20"/>
        </w:rPr>
      </w:pPr>
      <w:r w:rsidRPr="006C5C45">
        <w:rPr>
          <w:rStyle w:val="Strong"/>
          <w:sz w:val="20"/>
          <w:szCs w:val="20"/>
        </w:rPr>
        <w:t>Hair Loss:</w:t>
      </w:r>
    </w:p>
    <w:p w14:paraId="2C888E56" w14:textId="563988DE" w:rsidR="008A2AB1" w:rsidRPr="006C5C45" w:rsidRDefault="008A2AB1" w:rsidP="006C5C45">
      <w:pPr>
        <w:pStyle w:val="NormalWeb"/>
        <w:ind w:firstLine="720"/>
        <w:jc w:val="both"/>
        <w:rPr>
          <w:sz w:val="20"/>
          <w:szCs w:val="20"/>
        </w:rPr>
      </w:pPr>
      <w:r w:rsidRPr="006C5C45">
        <w:rPr>
          <w:sz w:val="20"/>
          <w:szCs w:val="20"/>
        </w:rPr>
        <w:t xml:space="preserve">Claims that Sodium Lauryl </w:t>
      </w:r>
      <w:proofErr w:type="spellStart"/>
      <w:r w:rsidRPr="006C5C45">
        <w:rPr>
          <w:sz w:val="20"/>
          <w:szCs w:val="20"/>
        </w:rPr>
        <w:t>Sulfate</w:t>
      </w:r>
      <w:proofErr w:type="spellEnd"/>
      <w:r w:rsidRPr="006C5C45">
        <w:rPr>
          <w:sz w:val="20"/>
          <w:szCs w:val="20"/>
        </w:rPr>
        <w:t xml:space="preserve"> (SLS) causes hair loss are not supported by scientific evidence. The CIR report notes that while high concentrations of SLS may accumulate on the skin and hair follicles, potentially damaging the follicles, there is no proof that SLS exposure leads to hair loss. The report suggests avoiding products with high SLS concentrations (above 1%) to prevent potential buildup. A 1998 study in the </w:t>
      </w:r>
      <w:r w:rsidRPr="006C5C45">
        <w:rPr>
          <w:rStyle w:val="Emphasis"/>
          <w:sz w:val="20"/>
          <w:szCs w:val="20"/>
        </w:rPr>
        <w:t>European Journal of Dermatology</w:t>
      </w:r>
      <w:r w:rsidRPr="006C5C45">
        <w:rPr>
          <w:sz w:val="20"/>
          <w:szCs w:val="20"/>
        </w:rPr>
        <w:t xml:space="preserve"> used SLS as an irritant to study skin irritation but did not link it to hair loss. Despite concerns, no research has shown that SLS causes permanent hair loss, and its long-term effects on hair follicles remain unclear. Overall, there is no scientific evidence connecting SLS use to hair loss</w:t>
      </w:r>
      <w:r w:rsidR="006C5C45" w:rsidRPr="006C5C45">
        <w:rPr>
          <w:sz w:val="20"/>
          <w:szCs w:val="20"/>
          <w:vertAlign w:val="superscript"/>
        </w:rPr>
        <w:t>30</w:t>
      </w:r>
      <w:r w:rsidRPr="006C5C45">
        <w:rPr>
          <w:sz w:val="20"/>
          <w:szCs w:val="20"/>
        </w:rPr>
        <w:t>.</w:t>
      </w:r>
    </w:p>
    <w:p w14:paraId="0DC95662" w14:textId="77777777" w:rsidR="0087427A" w:rsidRPr="006C5C45" w:rsidRDefault="0087427A" w:rsidP="006C5C45">
      <w:pPr>
        <w:pStyle w:val="NormalWeb"/>
        <w:jc w:val="both"/>
        <w:rPr>
          <w:sz w:val="20"/>
          <w:szCs w:val="20"/>
        </w:rPr>
      </w:pPr>
      <w:r w:rsidRPr="006C5C45">
        <w:rPr>
          <w:rStyle w:val="Strong"/>
          <w:sz w:val="20"/>
          <w:szCs w:val="20"/>
        </w:rPr>
        <w:t>Sensitization:</w:t>
      </w:r>
    </w:p>
    <w:p w14:paraId="0003989D" w14:textId="76CBA7E2" w:rsidR="0087427A" w:rsidRPr="006C5C45" w:rsidRDefault="0087427A" w:rsidP="006C5C45">
      <w:pPr>
        <w:pStyle w:val="NormalWeb"/>
        <w:ind w:firstLine="720"/>
        <w:jc w:val="both"/>
        <w:rPr>
          <w:sz w:val="20"/>
          <w:szCs w:val="20"/>
        </w:rPr>
      </w:pPr>
      <w:r w:rsidRPr="006C5C45">
        <w:rPr>
          <w:sz w:val="20"/>
          <w:szCs w:val="20"/>
        </w:rPr>
        <w:t xml:space="preserve">The Sodium Lauryl </w:t>
      </w:r>
      <w:proofErr w:type="spellStart"/>
      <w:r w:rsidRPr="006C5C45">
        <w:rPr>
          <w:sz w:val="20"/>
          <w:szCs w:val="20"/>
        </w:rPr>
        <w:t>Sulfate</w:t>
      </w:r>
      <w:proofErr w:type="spellEnd"/>
      <w:r w:rsidRPr="006C5C45">
        <w:rPr>
          <w:sz w:val="20"/>
          <w:szCs w:val="20"/>
        </w:rPr>
        <w:t xml:space="preserve"> (SLS) causes significant skin hypersensitivity is unfounded. Sensitization occurs when repeated exposure to a substance leads to an allergic or photodynamic reaction. However, there is no scientific evidence that SLS causes sensitization, and it is not listed as a known or suspected sensitizer. Therefore, it is incorrect to classify SLS as a sensitizer</w:t>
      </w:r>
      <w:r w:rsidR="006C5C45" w:rsidRPr="006C5C45">
        <w:rPr>
          <w:sz w:val="20"/>
          <w:szCs w:val="20"/>
          <w:vertAlign w:val="superscript"/>
        </w:rPr>
        <w:t>31</w:t>
      </w:r>
      <w:r w:rsidRPr="006C5C45">
        <w:rPr>
          <w:sz w:val="20"/>
          <w:szCs w:val="20"/>
        </w:rPr>
        <w:t>.</w:t>
      </w:r>
    </w:p>
    <w:p w14:paraId="25027C8E" w14:textId="77777777" w:rsidR="0087427A" w:rsidRPr="006C5C45" w:rsidRDefault="0087427A" w:rsidP="006C5C45">
      <w:pPr>
        <w:pStyle w:val="NormalWeb"/>
        <w:jc w:val="both"/>
        <w:rPr>
          <w:sz w:val="20"/>
          <w:szCs w:val="20"/>
        </w:rPr>
      </w:pPr>
      <w:r w:rsidRPr="006C5C45">
        <w:rPr>
          <w:rStyle w:val="Strong"/>
          <w:sz w:val="20"/>
          <w:szCs w:val="20"/>
        </w:rPr>
        <w:t>Environmental Toxicity Profile:</w:t>
      </w:r>
    </w:p>
    <w:p w14:paraId="6B710BEE" w14:textId="6BD353C0" w:rsidR="0087427A" w:rsidRPr="006C5C45" w:rsidRDefault="0087427A" w:rsidP="006C5C45">
      <w:pPr>
        <w:pStyle w:val="NormalWeb"/>
        <w:ind w:firstLine="720"/>
        <w:jc w:val="both"/>
        <w:rPr>
          <w:sz w:val="20"/>
          <w:szCs w:val="20"/>
        </w:rPr>
      </w:pPr>
      <w:r w:rsidRPr="006C5C45">
        <w:rPr>
          <w:sz w:val="20"/>
          <w:szCs w:val="20"/>
        </w:rPr>
        <w:t xml:space="preserve">Sodium Lauryl </w:t>
      </w:r>
      <w:proofErr w:type="spellStart"/>
      <w:r w:rsidRPr="006C5C45">
        <w:rPr>
          <w:sz w:val="20"/>
          <w:szCs w:val="20"/>
        </w:rPr>
        <w:t>Sulfate</w:t>
      </w:r>
      <w:proofErr w:type="spellEnd"/>
      <w:r w:rsidRPr="006C5C45">
        <w:rPr>
          <w:sz w:val="20"/>
          <w:szCs w:val="20"/>
        </w:rPr>
        <w:t xml:space="preserve"> (SLS) enters the environment through wastewater from household cleaning products. While its environmental impact is not often discussed online, it's important to consider when assessing the use of SLS in products</w:t>
      </w:r>
      <w:r w:rsidR="006C5C45" w:rsidRPr="006C5C45">
        <w:rPr>
          <w:sz w:val="20"/>
          <w:szCs w:val="20"/>
          <w:vertAlign w:val="superscript"/>
        </w:rPr>
        <w:t>32, 33</w:t>
      </w:r>
      <w:r w:rsidRPr="006C5C45">
        <w:rPr>
          <w:sz w:val="20"/>
          <w:szCs w:val="20"/>
        </w:rPr>
        <w:t>.</w:t>
      </w:r>
    </w:p>
    <w:p w14:paraId="6AE3A7E6" w14:textId="77777777" w:rsidR="0087427A" w:rsidRPr="006C5C45" w:rsidRDefault="0087427A" w:rsidP="006C5C45">
      <w:pPr>
        <w:pStyle w:val="NormalWeb"/>
        <w:jc w:val="both"/>
        <w:rPr>
          <w:sz w:val="20"/>
          <w:szCs w:val="20"/>
        </w:rPr>
      </w:pPr>
      <w:r w:rsidRPr="006C5C45">
        <w:rPr>
          <w:rStyle w:val="Strong"/>
          <w:sz w:val="20"/>
          <w:szCs w:val="20"/>
        </w:rPr>
        <w:t>Aquatic Toxicity:</w:t>
      </w:r>
    </w:p>
    <w:p w14:paraId="1F37FCEF" w14:textId="2747E23F" w:rsidR="009D4F8E" w:rsidRPr="006C5C45" w:rsidRDefault="0087427A" w:rsidP="006C5C45">
      <w:pPr>
        <w:pStyle w:val="NormalWeb"/>
        <w:ind w:firstLine="720"/>
        <w:jc w:val="both"/>
        <w:rPr>
          <w:sz w:val="20"/>
          <w:szCs w:val="20"/>
        </w:rPr>
      </w:pPr>
      <w:r w:rsidRPr="006C5C45">
        <w:rPr>
          <w:sz w:val="20"/>
          <w:szCs w:val="20"/>
        </w:rPr>
        <w:t>Aquatic toxicity refers to the harmful effects chemicals have on aquatic life. SLS has a median lethal concentration (LC50) of 1 to 13.9 mg/L after 96 hours, classifying it as moderately toxic to aquatic organisms. However, the toxicity of SLS in consumer products may differ because it's typically diluted, reducing its impact. The toxicity also depends on factors like water temperature, species, and hardness. In natural waters, concentrations of SLS around 0.5 mg/L are unlikely to harm aquatic life, although toxicity can occur at concentrations as low as 0.1 mg/L for some species</w:t>
      </w:r>
      <w:r w:rsidR="006C5C45" w:rsidRPr="006C5C45">
        <w:rPr>
          <w:sz w:val="20"/>
          <w:szCs w:val="20"/>
          <w:vertAlign w:val="superscript"/>
        </w:rPr>
        <w:t>34</w:t>
      </w:r>
      <w:r w:rsidRPr="006C5C45">
        <w:rPr>
          <w:sz w:val="20"/>
          <w:szCs w:val="20"/>
        </w:rPr>
        <w:t>.</w:t>
      </w:r>
    </w:p>
    <w:p w14:paraId="41EF13F9" w14:textId="63AB1395" w:rsidR="009D4F8E" w:rsidRPr="006C5C45" w:rsidRDefault="008B16FF" w:rsidP="006C5C45">
      <w:pPr>
        <w:pStyle w:val="NormalWeb"/>
        <w:jc w:val="both"/>
        <w:rPr>
          <w:b/>
          <w:bCs/>
          <w:sz w:val="20"/>
          <w:szCs w:val="20"/>
        </w:rPr>
      </w:pPr>
      <w:r w:rsidRPr="006C5C45">
        <w:rPr>
          <w:b/>
          <w:bCs/>
          <w:sz w:val="20"/>
          <w:szCs w:val="20"/>
        </w:rPr>
        <w:t>Reproductive toxicity:</w:t>
      </w:r>
    </w:p>
    <w:p w14:paraId="70942B3E" w14:textId="4BCC2FF6" w:rsidR="000E3815" w:rsidRPr="006C5C45" w:rsidRDefault="008B16FF" w:rsidP="006C5C45">
      <w:pPr>
        <w:pStyle w:val="NormalWeb"/>
        <w:jc w:val="both"/>
        <w:rPr>
          <w:sz w:val="20"/>
          <w:szCs w:val="20"/>
        </w:rPr>
      </w:pPr>
      <w:r w:rsidRPr="006C5C45">
        <w:rPr>
          <w:b/>
          <w:bCs/>
          <w:sz w:val="20"/>
          <w:szCs w:val="20"/>
        </w:rPr>
        <w:tab/>
      </w:r>
      <w:r w:rsidRPr="006C5C45">
        <w:rPr>
          <w:sz w:val="20"/>
          <w:szCs w:val="20"/>
        </w:rPr>
        <w:t xml:space="preserve">The developmental toxicity of sodium lauryl </w:t>
      </w:r>
      <w:proofErr w:type="spellStart"/>
      <w:r w:rsidRPr="006C5C45">
        <w:rPr>
          <w:sz w:val="20"/>
          <w:szCs w:val="20"/>
        </w:rPr>
        <w:t>sulfate</w:t>
      </w:r>
      <w:proofErr w:type="spellEnd"/>
      <w:r w:rsidRPr="006C5C45">
        <w:rPr>
          <w:sz w:val="20"/>
          <w:szCs w:val="20"/>
        </w:rPr>
        <w:t xml:space="preserve"> (SLS) has been assessed in rats, rabbits, and mice through oral administration. Adverse effects on litter parameters were observed only at doses causing significant maternal toxicity, including anorexia, weight loss, and mortality, typically within the range of 300–500 mg/kg/day. Notable findings included increased </w:t>
      </w:r>
      <w:proofErr w:type="spellStart"/>
      <w:r w:rsidRPr="006C5C45">
        <w:rPr>
          <w:sz w:val="20"/>
          <w:szCs w:val="20"/>
        </w:rPr>
        <w:t>fetal</w:t>
      </w:r>
      <w:proofErr w:type="spellEnd"/>
      <w:r w:rsidRPr="006C5C45">
        <w:rPr>
          <w:sz w:val="20"/>
          <w:szCs w:val="20"/>
        </w:rPr>
        <w:t xml:space="preserve"> loss and complete litter loss at these doses. In mice, doses </w:t>
      </w:r>
      <w:r w:rsidRPr="006C5C45">
        <w:rPr>
          <w:sz w:val="20"/>
          <w:szCs w:val="20"/>
        </w:rPr>
        <w:lastRenderedPageBreak/>
        <w:t xml:space="preserve">of 500 mg/kg/day or higher led to a higher incidence of delayed ossification and skeletal variations, indicating delayed development. However, there were no notable increases in malformations or anomalies in visceral and skeletal structures. </w:t>
      </w:r>
    </w:p>
    <w:p w14:paraId="6CD1EAD0" w14:textId="24D8E721" w:rsidR="008B16FF" w:rsidRPr="006C5C45" w:rsidRDefault="008B16FF" w:rsidP="006C5C45">
      <w:pPr>
        <w:pStyle w:val="NormalWeb"/>
        <w:ind w:firstLine="720"/>
        <w:jc w:val="both"/>
        <w:rPr>
          <w:sz w:val="20"/>
          <w:szCs w:val="20"/>
        </w:rPr>
      </w:pPr>
      <w:r w:rsidRPr="006C5C45">
        <w:rPr>
          <w:sz w:val="20"/>
          <w:szCs w:val="20"/>
        </w:rPr>
        <w:t xml:space="preserve">The dermal toxicity of SLS during pregnancy has also been investigated in mice. Pregnant mice were treated daily with 1.5 ml/kg of 0.4%, 4.0%, and 6.0% aqueous SLS solutions applied to a shaved 3 x 3 cm² area on their backs between gestational days 6 and 13. The study reported reduced maternal weight and growth rates, along with a lower pregnancy rate in the 6% treatment group. Additionally, delayed ossification and reduced </w:t>
      </w:r>
      <w:proofErr w:type="spellStart"/>
      <w:r w:rsidRPr="006C5C45">
        <w:rPr>
          <w:sz w:val="20"/>
          <w:szCs w:val="20"/>
        </w:rPr>
        <w:t>fetal</w:t>
      </w:r>
      <w:proofErr w:type="spellEnd"/>
      <w:r w:rsidRPr="006C5C45">
        <w:rPr>
          <w:sz w:val="20"/>
          <w:szCs w:val="20"/>
        </w:rPr>
        <w:t xml:space="preserve"> weights were observed in groups treated with 4% and 6% SLS solutions</w:t>
      </w:r>
      <w:r w:rsidR="00477482">
        <w:rPr>
          <w:sz w:val="20"/>
          <w:szCs w:val="20"/>
          <w:vertAlign w:val="superscript"/>
        </w:rPr>
        <w:t>3</w:t>
      </w:r>
      <w:r w:rsidR="00E35631">
        <w:rPr>
          <w:sz w:val="20"/>
          <w:szCs w:val="20"/>
          <w:vertAlign w:val="superscript"/>
        </w:rPr>
        <w:t>5</w:t>
      </w:r>
      <w:r w:rsidR="000E3815" w:rsidRPr="006C5C45">
        <w:rPr>
          <w:sz w:val="20"/>
          <w:szCs w:val="20"/>
        </w:rPr>
        <w:t>.</w:t>
      </w:r>
    </w:p>
    <w:p w14:paraId="4A945ABC" w14:textId="1D0F20E7" w:rsidR="009D4F8E" w:rsidRPr="008672CE" w:rsidRDefault="008672CE" w:rsidP="006C5C45">
      <w:pPr>
        <w:pStyle w:val="NormalWeb"/>
        <w:jc w:val="both"/>
        <w:rPr>
          <w:b/>
          <w:bCs/>
        </w:rPr>
      </w:pPr>
      <w:r w:rsidRPr="008672CE">
        <w:rPr>
          <w:b/>
          <w:bCs/>
        </w:rPr>
        <w:t>APPLICATION:</w:t>
      </w:r>
    </w:p>
    <w:p w14:paraId="3869C254" w14:textId="77777777" w:rsidR="008A2AB1" w:rsidRPr="006C5C45" w:rsidRDefault="008A2AB1" w:rsidP="008672CE">
      <w:pPr>
        <w:pStyle w:val="NormalWeb"/>
        <w:ind w:firstLine="720"/>
        <w:jc w:val="both"/>
        <w:rPr>
          <w:sz w:val="20"/>
          <w:szCs w:val="20"/>
        </w:rPr>
      </w:pPr>
      <w:r w:rsidRPr="006C5C45">
        <w:rPr>
          <w:sz w:val="20"/>
          <w:szCs w:val="20"/>
        </w:rPr>
        <w:t xml:space="preserve">Sodium Lauryl </w:t>
      </w:r>
      <w:proofErr w:type="spellStart"/>
      <w:r w:rsidRPr="006C5C45">
        <w:rPr>
          <w:sz w:val="20"/>
          <w:szCs w:val="20"/>
        </w:rPr>
        <w:t>Sulfate</w:t>
      </w:r>
      <w:proofErr w:type="spellEnd"/>
      <w:r w:rsidRPr="006C5C45">
        <w:rPr>
          <w:sz w:val="20"/>
          <w:szCs w:val="20"/>
        </w:rPr>
        <w:t xml:space="preserve"> (SLS) has various pharmaceutical applications due to its unique properties as an anionic surfactant. It is commonly used in the solid dispersion of medications like Indomethacin, helping to improve drug solubility and bioavailability. In Micellar Electrokinetic Chromatography (MEKC), anionic surfactants such as SLS are preferred for their ability to form stable micellar systems. SLS is also a key ingredient in toothpaste, serving as a detergent that facilitates the cleansing process, while detergents like SLS are crucial for isolating and purifying essential membrane proteins from living cells. These surfactants can penetrate cell membranes, aiding in the solubilization of cell membrane bilayers for various applications.</w:t>
      </w:r>
    </w:p>
    <w:p w14:paraId="4C50D6CC" w14:textId="77777777" w:rsidR="008A2AB1" w:rsidRPr="006C5C45" w:rsidRDefault="008A2AB1" w:rsidP="006C5C45">
      <w:pPr>
        <w:pStyle w:val="NormalWeb"/>
        <w:jc w:val="both"/>
        <w:rPr>
          <w:sz w:val="20"/>
          <w:szCs w:val="20"/>
        </w:rPr>
      </w:pPr>
      <w:r w:rsidRPr="006C5C45">
        <w:rPr>
          <w:sz w:val="20"/>
          <w:szCs w:val="20"/>
        </w:rPr>
        <w:t>As a wetting agent, SLS improves the flow of liquid vehicles over the surface of particles, enhancing the dissolution of drugs in tablet and capsule formulations. Additionally, surfactants like SLS can act as emulsifying agents, influencing the drug's availability and interaction with different sites in the body by increasing membrane permeability and altering membrane integrity. This action can facilitate the desegregation and dissolution of solid dosage forms, improving the release of poorly soluble drugs from oral tablets and capsules.</w:t>
      </w:r>
    </w:p>
    <w:p w14:paraId="544D387C" w14:textId="77777777" w:rsidR="008A2AB1" w:rsidRPr="006C5C45" w:rsidRDefault="008A2AB1" w:rsidP="006C5C45">
      <w:pPr>
        <w:pStyle w:val="NormalWeb"/>
        <w:jc w:val="both"/>
        <w:rPr>
          <w:sz w:val="20"/>
          <w:szCs w:val="20"/>
        </w:rPr>
      </w:pPr>
      <w:r w:rsidRPr="006C5C45">
        <w:rPr>
          <w:sz w:val="20"/>
          <w:szCs w:val="20"/>
        </w:rPr>
        <w:t>In modified-release formulations, SLS is used to regulate the pace at which drugs are released into the bloodstream, ensuring a gradual and sustained effect. This contrasts with immediate-release doses, providing more consistent therapeutic levels for conditions like chronic pain. SLS also functions as a penetration enhancer, as it can permeate the skin and affect the integrity of the skin’s outer layers, making it useful in topical applications despite its potential for skin irritation.</w:t>
      </w:r>
    </w:p>
    <w:p w14:paraId="1B0C2275" w14:textId="00A5D50F" w:rsidR="008A2AB1" w:rsidRDefault="008A2AB1" w:rsidP="006C5C45">
      <w:pPr>
        <w:pStyle w:val="NormalWeb"/>
        <w:jc w:val="both"/>
        <w:rPr>
          <w:sz w:val="20"/>
          <w:szCs w:val="20"/>
        </w:rPr>
      </w:pPr>
      <w:r w:rsidRPr="006C5C45">
        <w:rPr>
          <w:sz w:val="20"/>
          <w:szCs w:val="20"/>
        </w:rPr>
        <w:t>SLS is widely employed as a solubilizing agent in pharmaceutical formulations to enhance drug solubility, particularly in aqueous environments. The micelles formed by SLS help solubilize hydrophobic substances, improving drug absorption and removing oils and fats in cleaning processes. In tablet and capsule formulations, SLS acts as a lubricant to reduce friction during manufacturing, ensuring smooth encapsulation. It is also used as a suspending agent in nasal spray formulations, preventing active ingredients from settling too quickly</w:t>
      </w:r>
      <w:r w:rsidR="00E35631">
        <w:rPr>
          <w:sz w:val="20"/>
          <w:szCs w:val="20"/>
          <w:vertAlign w:val="superscript"/>
        </w:rPr>
        <w:t>28,30,35-36</w:t>
      </w:r>
      <w:r w:rsidRPr="006C5C45">
        <w:rPr>
          <w:sz w:val="20"/>
          <w:szCs w:val="20"/>
        </w:rPr>
        <w:t>.</w:t>
      </w:r>
    </w:p>
    <w:p w14:paraId="474AD6F8" w14:textId="572DDA6A" w:rsidR="008672CE" w:rsidRDefault="008672CE" w:rsidP="006C5C45">
      <w:pPr>
        <w:pStyle w:val="NormalWeb"/>
        <w:jc w:val="both"/>
        <w:rPr>
          <w:b/>
        </w:rPr>
      </w:pPr>
      <w:r>
        <w:rPr>
          <w:b/>
        </w:rPr>
        <w:t>CONCLUSION:</w:t>
      </w:r>
    </w:p>
    <w:p w14:paraId="7C421637" w14:textId="368612CE" w:rsidR="007D464A" w:rsidRPr="007D464A" w:rsidRDefault="007D464A" w:rsidP="007D464A">
      <w:pPr>
        <w:pStyle w:val="NormalWeb"/>
        <w:ind w:firstLine="720"/>
        <w:jc w:val="both"/>
        <w:rPr>
          <w:sz w:val="20"/>
          <w:szCs w:val="20"/>
        </w:rPr>
      </w:pPr>
      <w:r w:rsidRPr="007D464A">
        <w:rPr>
          <w:sz w:val="20"/>
          <w:szCs w:val="20"/>
        </w:rPr>
        <w:t>The widespread presence of SLS in many products highlights the necessity for greater awareness among consumers, healthcare providers, and regulatory authorities regarding its possible health risks. Consumers should be more informed about the ingredients in personal care products to make safer choices. Healthcare professionals and regulatory bodies also have crucial roles in promoting awareness and ensuring safety. Manufacturers should prioritize transparency and formulate products with safer alternatives. This review offers a thorough exploration of the overlooked dangers of SLS, stressing the need for informed choices and careful product development to protect public health and safety.</w:t>
      </w:r>
    </w:p>
    <w:p w14:paraId="6CA8B9D2" w14:textId="77777777" w:rsidR="004A46CD" w:rsidRPr="004A46CD" w:rsidRDefault="004A46CD" w:rsidP="004A46CD">
      <w:pPr>
        <w:spacing w:after="200" w:line="276" w:lineRule="auto"/>
        <w:jc w:val="both"/>
        <w:outlineLvl w:val="0"/>
        <w:rPr>
          <w:rFonts w:ascii="Arial" w:eastAsia="Times New Roman" w:hAnsi="Arial" w:cs="Arial"/>
          <w:lang w:eastAsia="en-GB"/>
        </w:rPr>
      </w:pPr>
      <w:r w:rsidRPr="004A46CD">
        <w:rPr>
          <w:rFonts w:ascii="Arial" w:eastAsia="Times New Roman" w:hAnsi="Arial" w:cs="Arial"/>
          <w:b/>
          <w:bCs/>
          <w:lang w:eastAsia="en-GB"/>
        </w:rPr>
        <w:t>COMPETING INTERESTS DISCLAIMER:</w:t>
      </w:r>
    </w:p>
    <w:p w14:paraId="1FEDB0CA" w14:textId="77777777" w:rsidR="004A46CD" w:rsidRPr="004A46CD" w:rsidRDefault="004A46CD" w:rsidP="004A46CD">
      <w:pPr>
        <w:spacing w:after="200" w:line="276" w:lineRule="auto"/>
        <w:rPr>
          <w:rFonts w:ascii="Calibri" w:eastAsia="Times New Roman" w:hAnsi="Calibri" w:cs="Times New Roman"/>
          <w:lang w:eastAsia="en-GB"/>
        </w:rPr>
      </w:pPr>
      <w:r w:rsidRPr="004A46CD">
        <w:rPr>
          <w:rFonts w:ascii="Calibri" w:eastAsia="Times New Roman" w:hAnsi="Calibri" w:cs="Times New Roman"/>
          <w:lang w:eastAsia="en-GB"/>
        </w:rPr>
        <w:t>Authors have declared that they have no known competing financial interests OR non-financial interests OR personal relationships that could have appeared to influence the work reported in this paper.</w:t>
      </w:r>
    </w:p>
    <w:p w14:paraId="5A97A66C" w14:textId="77777777" w:rsidR="009D4F8E" w:rsidRDefault="009D4F8E" w:rsidP="006C5C45">
      <w:pPr>
        <w:pStyle w:val="NormalWeb"/>
        <w:jc w:val="both"/>
        <w:rPr>
          <w:b/>
        </w:rPr>
      </w:pPr>
    </w:p>
    <w:p w14:paraId="75D80516" w14:textId="77777777" w:rsidR="004E37A9" w:rsidRPr="006C5C45" w:rsidRDefault="004E37A9" w:rsidP="006C5C45">
      <w:pPr>
        <w:pStyle w:val="NormalWeb"/>
        <w:jc w:val="both"/>
        <w:rPr>
          <w:sz w:val="20"/>
          <w:szCs w:val="20"/>
        </w:rPr>
      </w:pPr>
    </w:p>
    <w:p w14:paraId="06D85308" w14:textId="77777777" w:rsidR="009D4F8E" w:rsidRPr="004E37A9" w:rsidRDefault="009D4F8E" w:rsidP="006C5C45">
      <w:pPr>
        <w:pStyle w:val="NormalWeb"/>
        <w:jc w:val="both"/>
        <w:rPr>
          <w:b/>
        </w:rPr>
      </w:pPr>
      <w:r w:rsidRPr="004E37A9">
        <w:rPr>
          <w:b/>
        </w:rPr>
        <w:t>REFERENCES</w:t>
      </w:r>
    </w:p>
    <w:p w14:paraId="33F60C8F" w14:textId="77777777" w:rsidR="009D4F8E" w:rsidRPr="006C5C45" w:rsidRDefault="009D4F8E" w:rsidP="006C5C45">
      <w:pPr>
        <w:pStyle w:val="NormalWeb"/>
        <w:jc w:val="both"/>
        <w:rPr>
          <w:sz w:val="20"/>
          <w:szCs w:val="20"/>
        </w:rPr>
      </w:pPr>
      <w:r w:rsidRPr="006C5C45">
        <w:rPr>
          <w:sz w:val="20"/>
          <w:szCs w:val="20"/>
        </w:rPr>
        <w:t xml:space="preserve">1. Cosmetic Ingredient Review (CIR). Final report on the safety assessment of sodium lauryl </w:t>
      </w:r>
      <w:proofErr w:type="spellStart"/>
      <w:r w:rsidRPr="006C5C45">
        <w:rPr>
          <w:sz w:val="20"/>
          <w:szCs w:val="20"/>
        </w:rPr>
        <w:t>sulfate</w:t>
      </w:r>
      <w:proofErr w:type="spellEnd"/>
      <w:r w:rsidRPr="006C5C45">
        <w:rPr>
          <w:sz w:val="20"/>
          <w:szCs w:val="20"/>
        </w:rPr>
        <w:t xml:space="preserve"> and ammonium lauryl </w:t>
      </w:r>
      <w:proofErr w:type="spellStart"/>
      <w:r w:rsidRPr="006C5C45">
        <w:rPr>
          <w:sz w:val="20"/>
          <w:szCs w:val="20"/>
        </w:rPr>
        <w:t>sulfate</w:t>
      </w:r>
      <w:proofErr w:type="spellEnd"/>
      <w:r w:rsidRPr="006C5C45">
        <w:rPr>
          <w:sz w:val="20"/>
          <w:szCs w:val="20"/>
        </w:rPr>
        <w:t xml:space="preserve">. Int J </w:t>
      </w:r>
      <w:proofErr w:type="spellStart"/>
      <w:r w:rsidRPr="006C5C45">
        <w:rPr>
          <w:sz w:val="20"/>
          <w:szCs w:val="20"/>
        </w:rPr>
        <w:t>Toxicol</w:t>
      </w:r>
      <w:proofErr w:type="spellEnd"/>
      <w:r w:rsidRPr="006C5C45">
        <w:rPr>
          <w:sz w:val="20"/>
          <w:szCs w:val="20"/>
        </w:rPr>
        <w:t>. 1983;2(7):127–81.</w:t>
      </w:r>
    </w:p>
    <w:p w14:paraId="014C9BB3" w14:textId="77777777" w:rsidR="009D4F8E" w:rsidRPr="006C5C45" w:rsidRDefault="009D4F8E" w:rsidP="006C5C45">
      <w:pPr>
        <w:pStyle w:val="NormalWeb"/>
        <w:jc w:val="both"/>
        <w:rPr>
          <w:sz w:val="20"/>
          <w:szCs w:val="20"/>
        </w:rPr>
      </w:pPr>
      <w:r w:rsidRPr="006C5C45">
        <w:rPr>
          <w:sz w:val="20"/>
          <w:szCs w:val="20"/>
        </w:rPr>
        <w:t xml:space="preserve">2. Cosmetic Ingredient Review (CIR). Final report on the safety assessment of sodium lauryl </w:t>
      </w:r>
      <w:proofErr w:type="spellStart"/>
      <w:r w:rsidRPr="006C5C45">
        <w:rPr>
          <w:sz w:val="20"/>
          <w:szCs w:val="20"/>
        </w:rPr>
        <w:t>sulfate</w:t>
      </w:r>
      <w:proofErr w:type="spellEnd"/>
      <w:r w:rsidRPr="006C5C45">
        <w:rPr>
          <w:sz w:val="20"/>
          <w:szCs w:val="20"/>
        </w:rPr>
        <w:t xml:space="preserve"> and ammonium lauryl </w:t>
      </w:r>
      <w:proofErr w:type="spellStart"/>
      <w:r w:rsidRPr="006C5C45">
        <w:rPr>
          <w:sz w:val="20"/>
          <w:szCs w:val="20"/>
        </w:rPr>
        <w:t>sulfate</w:t>
      </w:r>
      <w:proofErr w:type="spellEnd"/>
      <w:r w:rsidRPr="006C5C45">
        <w:rPr>
          <w:sz w:val="20"/>
          <w:szCs w:val="20"/>
        </w:rPr>
        <w:t xml:space="preserve">. Int J </w:t>
      </w:r>
      <w:proofErr w:type="spellStart"/>
      <w:r w:rsidRPr="006C5C45">
        <w:rPr>
          <w:sz w:val="20"/>
          <w:szCs w:val="20"/>
        </w:rPr>
        <w:t>Toxicol</w:t>
      </w:r>
      <w:proofErr w:type="spellEnd"/>
      <w:r w:rsidRPr="006C5C45">
        <w:rPr>
          <w:sz w:val="20"/>
          <w:szCs w:val="20"/>
        </w:rPr>
        <w:t>. 2005;24(1):1–102.</w:t>
      </w:r>
    </w:p>
    <w:p w14:paraId="72FDDC05" w14:textId="77777777" w:rsidR="009D4F8E" w:rsidRPr="006C5C45" w:rsidRDefault="009D4F8E" w:rsidP="006C5C45">
      <w:pPr>
        <w:pStyle w:val="NormalWeb"/>
        <w:jc w:val="both"/>
        <w:rPr>
          <w:sz w:val="20"/>
          <w:szCs w:val="20"/>
        </w:rPr>
      </w:pPr>
      <w:r w:rsidRPr="006C5C45">
        <w:rPr>
          <w:sz w:val="20"/>
          <w:szCs w:val="20"/>
        </w:rPr>
        <w:t xml:space="preserve">3. Proctor &amp; Gamble (P&amp;G). Safety Data Sheets. Available at: </w:t>
      </w:r>
      <w:hyperlink r:id="rId8" w:history="1">
        <w:r w:rsidRPr="006C5C45">
          <w:rPr>
            <w:rStyle w:val="Hyperlink"/>
            <w:sz w:val="20"/>
            <w:szCs w:val="20"/>
          </w:rPr>
          <w:t>http://www.pgproduct</w:t>
        </w:r>
      </w:hyperlink>
      <w:r w:rsidRPr="006C5C45">
        <w:rPr>
          <w:sz w:val="20"/>
          <w:szCs w:val="20"/>
        </w:rPr>
        <w:t xml:space="preserve"> safety.com/</w:t>
      </w:r>
      <w:proofErr w:type="spellStart"/>
      <w:r w:rsidRPr="006C5C45">
        <w:rPr>
          <w:sz w:val="20"/>
          <w:szCs w:val="20"/>
        </w:rPr>
        <w:t>productsafety</w:t>
      </w:r>
      <w:proofErr w:type="spellEnd"/>
      <w:r w:rsidRPr="006C5C45">
        <w:rPr>
          <w:sz w:val="20"/>
          <w:szCs w:val="20"/>
        </w:rPr>
        <w:t>. Accessed August 19, 2015.</w:t>
      </w:r>
    </w:p>
    <w:p w14:paraId="0FEE9C4A" w14:textId="77777777" w:rsidR="009D4F8E" w:rsidRPr="006C5C45" w:rsidRDefault="009D4F8E" w:rsidP="006C5C45">
      <w:pPr>
        <w:pStyle w:val="NormalWeb"/>
        <w:jc w:val="both"/>
        <w:rPr>
          <w:sz w:val="20"/>
          <w:szCs w:val="20"/>
        </w:rPr>
      </w:pPr>
      <w:r w:rsidRPr="006C5C45">
        <w:rPr>
          <w:sz w:val="20"/>
          <w:szCs w:val="20"/>
        </w:rPr>
        <w:t xml:space="preserve">4. Seventh Generation. Material Safety Data Sheets. Available at: </w:t>
      </w:r>
      <w:hyperlink r:id="rId9" w:history="1">
        <w:r w:rsidRPr="006C5C45">
          <w:rPr>
            <w:rStyle w:val="Hyperlink"/>
            <w:sz w:val="20"/>
            <w:szCs w:val="20"/>
          </w:rPr>
          <w:t>http://www.seventh</w:t>
        </w:r>
      </w:hyperlink>
      <w:r w:rsidRPr="006C5C45">
        <w:rPr>
          <w:sz w:val="20"/>
          <w:szCs w:val="20"/>
        </w:rPr>
        <w:t xml:space="preserve"> generation.com/material-safety-data-sheets. Accessed August 17, 2015.</w:t>
      </w:r>
    </w:p>
    <w:p w14:paraId="4FEE7443" w14:textId="77777777" w:rsidR="009D4F8E" w:rsidRPr="006C5C45" w:rsidRDefault="009D4F8E" w:rsidP="006C5C45">
      <w:pPr>
        <w:pStyle w:val="NormalWeb"/>
        <w:jc w:val="both"/>
        <w:rPr>
          <w:sz w:val="20"/>
          <w:szCs w:val="20"/>
        </w:rPr>
      </w:pPr>
      <w:r w:rsidRPr="006C5C45">
        <w:rPr>
          <w:sz w:val="20"/>
          <w:szCs w:val="20"/>
        </w:rPr>
        <w:t xml:space="preserve">5. Product Bulletin: Sodium Lauryl </w:t>
      </w:r>
      <w:proofErr w:type="spellStart"/>
      <w:r w:rsidRPr="006C5C45">
        <w:rPr>
          <w:sz w:val="20"/>
          <w:szCs w:val="20"/>
        </w:rPr>
        <w:t>Sulfate</w:t>
      </w:r>
      <w:proofErr w:type="spellEnd"/>
      <w:r w:rsidRPr="006C5C45">
        <w:rPr>
          <w:sz w:val="20"/>
          <w:szCs w:val="20"/>
        </w:rPr>
        <w:t>. Stephan Company, Northfield, Illinois; 2012.</w:t>
      </w:r>
    </w:p>
    <w:p w14:paraId="55A4D103" w14:textId="77777777" w:rsidR="00A43DB7" w:rsidRPr="006C5C45" w:rsidRDefault="00A43DB7" w:rsidP="006C5C45">
      <w:pPr>
        <w:spacing w:line="240" w:lineRule="auto"/>
        <w:jc w:val="both"/>
        <w:rPr>
          <w:rFonts w:ascii="Times New Roman" w:hAnsi="Times New Roman" w:cs="Times New Roman"/>
          <w:sz w:val="20"/>
          <w:szCs w:val="20"/>
        </w:rPr>
      </w:pPr>
      <w:r w:rsidRPr="006C5C45">
        <w:rPr>
          <w:rFonts w:ascii="Times New Roman" w:hAnsi="Times New Roman" w:cs="Times New Roman"/>
          <w:sz w:val="20"/>
          <w:szCs w:val="20"/>
        </w:rPr>
        <w:t xml:space="preserve">6. Merck. 2015. The Merck Index Online. Cambridge, </w:t>
      </w:r>
      <w:proofErr w:type="gramStart"/>
      <w:r w:rsidRPr="006C5C45">
        <w:rPr>
          <w:rFonts w:ascii="Times New Roman" w:hAnsi="Times New Roman" w:cs="Times New Roman"/>
          <w:sz w:val="20"/>
          <w:szCs w:val="20"/>
        </w:rPr>
        <w:t>UK :</w:t>
      </w:r>
      <w:proofErr w:type="gramEnd"/>
      <w:r w:rsidRPr="006C5C45">
        <w:rPr>
          <w:rFonts w:ascii="Times New Roman" w:hAnsi="Times New Roman" w:cs="Times New Roman"/>
          <w:sz w:val="20"/>
          <w:szCs w:val="20"/>
        </w:rPr>
        <w:t xml:space="preserve"> Royal Society of Chemistry,     </w:t>
      </w:r>
    </w:p>
    <w:p w14:paraId="2EF33F7A" w14:textId="77777777" w:rsidR="00A43DB7" w:rsidRPr="006C5C45" w:rsidRDefault="00A43DB7" w:rsidP="006C5C45">
      <w:pPr>
        <w:spacing w:line="240" w:lineRule="auto"/>
        <w:jc w:val="both"/>
        <w:rPr>
          <w:rFonts w:ascii="Times New Roman" w:hAnsi="Times New Roman" w:cs="Times New Roman"/>
          <w:sz w:val="20"/>
          <w:szCs w:val="20"/>
        </w:rPr>
      </w:pPr>
      <w:r w:rsidRPr="006C5C45">
        <w:rPr>
          <w:rFonts w:ascii="Times New Roman" w:hAnsi="Times New Roman" w:cs="Times New Roman"/>
          <w:sz w:val="20"/>
          <w:szCs w:val="20"/>
        </w:rPr>
        <w:t xml:space="preserve">7. EPI. 2012. “Estimation Programs Interface (EPI) Suite (V4.11).” Washington, DC: US EPA Office of Pesticides and Toxic Substances.          </w:t>
      </w:r>
    </w:p>
    <w:p w14:paraId="44D6E790" w14:textId="77777777" w:rsidR="00A43DB7" w:rsidRPr="006C5C45" w:rsidRDefault="00A43DB7" w:rsidP="006C5C45">
      <w:pPr>
        <w:spacing w:line="240" w:lineRule="auto"/>
        <w:jc w:val="both"/>
        <w:rPr>
          <w:rFonts w:ascii="Times New Roman" w:hAnsi="Times New Roman" w:cs="Times New Roman"/>
          <w:sz w:val="20"/>
          <w:szCs w:val="20"/>
        </w:rPr>
      </w:pPr>
      <w:r w:rsidRPr="006C5C45">
        <w:rPr>
          <w:rFonts w:ascii="Times New Roman" w:hAnsi="Times New Roman" w:cs="Times New Roman"/>
          <w:sz w:val="20"/>
          <w:szCs w:val="20"/>
        </w:rPr>
        <w:t xml:space="preserve">8. Harrigan-Farrelly, J. 2010. “Lauryl </w:t>
      </w:r>
      <w:proofErr w:type="spellStart"/>
      <w:r w:rsidRPr="006C5C45">
        <w:rPr>
          <w:rFonts w:ascii="Times New Roman" w:hAnsi="Times New Roman" w:cs="Times New Roman"/>
          <w:sz w:val="20"/>
          <w:szCs w:val="20"/>
        </w:rPr>
        <w:t>Sulfate</w:t>
      </w:r>
      <w:proofErr w:type="spellEnd"/>
      <w:r w:rsidRPr="006C5C45">
        <w:rPr>
          <w:rFonts w:ascii="Times New Roman" w:hAnsi="Times New Roman" w:cs="Times New Roman"/>
          <w:sz w:val="20"/>
          <w:szCs w:val="20"/>
        </w:rPr>
        <w:t xml:space="preserve"> Salts Final Registration Review Decision.” Docket HQOPP-2009-0727-0007. US EPA Office of Prevention, Pesticides, and Toxic Substances. http://</w:t>
      </w:r>
      <w:hyperlink r:id="rId10" w:history="1">
        <w:r w:rsidRPr="006C5C45">
          <w:rPr>
            <w:rStyle w:val="Hyperlink"/>
            <w:rFonts w:ascii="Times New Roman" w:hAnsi="Times New Roman" w:cs="Times New Roman"/>
            <w:sz w:val="20"/>
            <w:szCs w:val="20"/>
          </w:rPr>
          <w:t>www.regulations.gov/contentStreamer?documentId=EPA-HQ-OPP-2009-0727-0004&amp;disposition=attachment&amp;contentType=pdf</w:t>
        </w:r>
      </w:hyperlink>
      <w:r w:rsidRPr="006C5C45">
        <w:rPr>
          <w:rFonts w:ascii="Times New Roman" w:hAnsi="Times New Roman" w:cs="Times New Roman"/>
          <w:sz w:val="20"/>
          <w:szCs w:val="20"/>
        </w:rPr>
        <w:t>.</w:t>
      </w:r>
    </w:p>
    <w:p w14:paraId="037E5AA7" w14:textId="77777777" w:rsidR="00A43DB7" w:rsidRPr="006C5C45" w:rsidRDefault="00A43DB7" w:rsidP="006C5C45">
      <w:pPr>
        <w:pStyle w:val="NormalWeb"/>
        <w:jc w:val="both"/>
        <w:rPr>
          <w:sz w:val="20"/>
          <w:szCs w:val="20"/>
        </w:rPr>
      </w:pPr>
      <w:r w:rsidRPr="006C5C45">
        <w:rPr>
          <w:sz w:val="20"/>
          <w:szCs w:val="20"/>
        </w:rPr>
        <w:t xml:space="preserve">9. Tadin A, </w:t>
      </w:r>
      <w:proofErr w:type="spellStart"/>
      <w:r w:rsidRPr="006C5C45">
        <w:rPr>
          <w:sz w:val="20"/>
          <w:szCs w:val="20"/>
        </w:rPr>
        <w:t>Gavic</w:t>
      </w:r>
      <w:proofErr w:type="spellEnd"/>
      <w:r w:rsidRPr="006C5C45">
        <w:rPr>
          <w:sz w:val="20"/>
          <w:szCs w:val="20"/>
        </w:rPr>
        <w:t xml:space="preserve"> L, </w:t>
      </w:r>
      <w:proofErr w:type="spellStart"/>
      <w:r w:rsidRPr="006C5C45">
        <w:rPr>
          <w:sz w:val="20"/>
          <w:szCs w:val="20"/>
        </w:rPr>
        <w:t>Govic</w:t>
      </w:r>
      <w:proofErr w:type="spellEnd"/>
      <w:r w:rsidRPr="006C5C45">
        <w:rPr>
          <w:sz w:val="20"/>
          <w:szCs w:val="20"/>
        </w:rPr>
        <w:t xml:space="preserve"> T, </w:t>
      </w:r>
      <w:proofErr w:type="spellStart"/>
      <w:r w:rsidRPr="006C5C45">
        <w:rPr>
          <w:sz w:val="20"/>
          <w:szCs w:val="20"/>
        </w:rPr>
        <w:t>Galic</w:t>
      </w:r>
      <w:proofErr w:type="spellEnd"/>
      <w:r w:rsidRPr="006C5C45">
        <w:rPr>
          <w:sz w:val="20"/>
          <w:szCs w:val="20"/>
        </w:rPr>
        <w:t xml:space="preserve"> N, </w:t>
      </w:r>
      <w:proofErr w:type="spellStart"/>
      <w:r w:rsidRPr="006C5C45">
        <w:rPr>
          <w:sz w:val="20"/>
          <w:szCs w:val="20"/>
        </w:rPr>
        <w:t>Zorica</w:t>
      </w:r>
      <w:proofErr w:type="spellEnd"/>
      <w:r w:rsidRPr="006C5C45">
        <w:rPr>
          <w:sz w:val="20"/>
          <w:szCs w:val="20"/>
        </w:rPr>
        <w:t xml:space="preserve"> </w:t>
      </w:r>
      <w:proofErr w:type="spellStart"/>
      <w:r w:rsidRPr="006C5C45">
        <w:rPr>
          <w:sz w:val="20"/>
          <w:szCs w:val="20"/>
        </w:rPr>
        <w:t>Vladislavic</w:t>
      </w:r>
      <w:proofErr w:type="spellEnd"/>
      <w:r w:rsidRPr="006C5C45">
        <w:rPr>
          <w:sz w:val="20"/>
          <w:szCs w:val="20"/>
        </w:rPr>
        <w:t xml:space="preserve"> N, </w:t>
      </w:r>
      <w:proofErr w:type="spellStart"/>
      <w:r w:rsidRPr="006C5C45">
        <w:rPr>
          <w:sz w:val="20"/>
          <w:szCs w:val="20"/>
        </w:rPr>
        <w:t>Zeljezic</w:t>
      </w:r>
      <w:proofErr w:type="spellEnd"/>
      <w:r w:rsidRPr="006C5C45">
        <w:rPr>
          <w:sz w:val="20"/>
          <w:szCs w:val="20"/>
        </w:rPr>
        <w:t xml:space="preserve"> D. In vivo evaluation of fluoride and sodium lauryl sulphate in toothpaste on buccal epithelial cells toxicity. Acta </w:t>
      </w:r>
      <w:proofErr w:type="spellStart"/>
      <w:r w:rsidRPr="006C5C45">
        <w:rPr>
          <w:sz w:val="20"/>
          <w:szCs w:val="20"/>
        </w:rPr>
        <w:t>Odontol</w:t>
      </w:r>
      <w:proofErr w:type="spellEnd"/>
      <w:r w:rsidRPr="006C5C45">
        <w:rPr>
          <w:sz w:val="20"/>
          <w:szCs w:val="20"/>
        </w:rPr>
        <w:t xml:space="preserve"> Scand. 2019;77(5):386-393.         </w:t>
      </w:r>
    </w:p>
    <w:p w14:paraId="21687C41" w14:textId="77777777" w:rsidR="00A43DB7" w:rsidRPr="006C5C45" w:rsidRDefault="00A43DB7" w:rsidP="006C5C45">
      <w:pPr>
        <w:pStyle w:val="NormalWeb"/>
        <w:jc w:val="both"/>
        <w:rPr>
          <w:sz w:val="20"/>
          <w:szCs w:val="20"/>
        </w:rPr>
      </w:pPr>
      <w:r w:rsidRPr="006C5C45">
        <w:rPr>
          <w:sz w:val="20"/>
          <w:szCs w:val="20"/>
        </w:rPr>
        <w:t xml:space="preserve">10. Cork MJ, Danby SG, </w:t>
      </w:r>
      <w:proofErr w:type="spellStart"/>
      <w:r w:rsidRPr="006C5C45">
        <w:rPr>
          <w:sz w:val="20"/>
          <w:szCs w:val="20"/>
        </w:rPr>
        <w:t>Vasilopoulos</w:t>
      </w:r>
      <w:proofErr w:type="spellEnd"/>
      <w:r w:rsidRPr="006C5C45">
        <w:rPr>
          <w:sz w:val="20"/>
          <w:szCs w:val="20"/>
        </w:rPr>
        <w:t xml:space="preserve"> Y, </w:t>
      </w:r>
      <w:proofErr w:type="spellStart"/>
      <w:r w:rsidRPr="006C5C45">
        <w:rPr>
          <w:sz w:val="20"/>
          <w:szCs w:val="20"/>
        </w:rPr>
        <w:t>Hadgraft</w:t>
      </w:r>
      <w:proofErr w:type="spellEnd"/>
      <w:r w:rsidRPr="006C5C45">
        <w:rPr>
          <w:sz w:val="20"/>
          <w:szCs w:val="20"/>
        </w:rPr>
        <w:t xml:space="preserve"> J, Lane ME, Moustafa M, et al. Epidermal barrier dysfunction in atopic dermatitis. J Invest Dermatol. 2009;129(8):1892-1908.</w:t>
      </w:r>
    </w:p>
    <w:p w14:paraId="40739D4F" w14:textId="77777777" w:rsidR="00A43DB7" w:rsidRPr="006C5C45" w:rsidRDefault="00A43DB7" w:rsidP="006C5C45">
      <w:pPr>
        <w:pStyle w:val="NormalWeb"/>
        <w:jc w:val="both"/>
        <w:rPr>
          <w:sz w:val="20"/>
          <w:szCs w:val="20"/>
        </w:rPr>
      </w:pPr>
      <w:r w:rsidRPr="006C5C45">
        <w:rPr>
          <w:sz w:val="20"/>
          <w:szCs w:val="20"/>
        </w:rPr>
        <w:t xml:space="preserve">11. Black JG and Howes D (1979). Skin penetration of chemically related detergents. J. Soc. </w:t>
      </w:r>
      <w:proofErr w:type="spellStart"/>
      <w:r w:rsidRPr="006C5C45">
        <w:rPr>
          <w:sz w:val="20"/>
          <w:szCs w:val="20"/>
        </w:rPr>
        <w:t>Cosmet</w:t>
      </w:r>
      <w:proofErr w:type="spellEnd"/>
      <w:r w:rsidRPr="006C5C45">
        <w:rPr>
          <w:sz w:val="20"/>
          <w:szCs w:val="20"/>
        </w:rPr>
        <w:t xml:space="preserve">. Chem. 30: 157–163.                </w:t>
      </w:r>
    </w:p>
    <w:p w14:paraId="2E66B56B" w14:textId="77777777" w:rsidR="00A43DB7" w:rsidRPr="006C5C45" w:rsidRDefault="00A43DB7" w:rsidP="006C5C45">
      <w:pPr>
        <w:pStyle w:val="NormalWeb"/>
        <w:jc w:val="both"/>
        <w:rPr>
          <w:sz w:val="20"/>
          <w:szCs w:val="20"/>
        </w:rPr>
      </w:pPr>
      <w:r w:rsidRPr="006C5C45">
        <w:rPr>
          <w:sz w:val="20"/>
          <w:szCs w:val="20"/>
        </w:rPr>
        <w:t xml:space="preserve">12. Loden M (1990). The simultaneous penetration of water and SLS through isolated human skin. J. Soc. </w:t>
      </w:r>
      <w:proofErr w:type="spellStart"/>
      <w:r w:rsidRPr="006C5C45">
        <w:rPr>
          <w:sz w:val="20"/>
          <w:szCs w:val="20"/>
        </w:rPr>
        <w:t>Cosmt</w:t>
      </w:r>
      <w:proofErr w:type="spellEnd"/>
      <w:r w:rsidRPr="006C5C45">
        <w:rPr>
          <w:sz w:val="20"/>
          <w:szCs w:val="20"/>
        </w:rPr>
        <w:t>. Chem. 41: 227–233.</w:t>
      </w:r>
    </w:p>
    <w:p w14:paraId="354A9BEB" w14:textId="77777777" w:rsidR="00A43DB7" w:rsidRPr="006C5C45" w:rsidRDefault="00A43DB7" w:rsidP="006C5C45">
      <w:pPr>
        <w:pStyle w:val="NormalWeb"/>
        <w:jc w:val="both"/>
        <w:rPr>
          <w:sz w:val="20"/>
          <w:szCs w:val="20"/>
        </w:rPr>
      </w:pPr>
      <w:r w:rsidRPr="006C5C45">
        <w:rPr>
          <w:sz w:val="20"/>
          <w:szCs w:val="20"/>
        </w:rPr>
        <w:t xml:space="preserve">13. Black JG and Howes D (1992). Absorption, metabolism and excretion of anionic surfactants. In Anionic Surfactants: Biochemistry, Toxicology and Dermatology, Second Edition, Editors: </w:t>
      </w:r>
      <w:proofErr w:type="spellStart"/>
      <w:r w:rsidRPr="006C5C45">
        <w:rPr>
          <w:sz w:val="20"/>
          <w:szCs w:val="20"/>
        </w:rPr>
        <w:t>Gloxhuber</w:t>
      </w:r>
      <w:proofErr w:type="spellEnd"/>
      <w:r w:rsidRPr="006C5C45">
        <w:rPr>
          <w:sz w:val="20"/>
          <w:szCs w:val="20"/>
        </w:rPr>
        <w:t xml:space="preserve"> C and Kunstler K, Marcel Dekker, New York.</w:t>
      </w:r>
    </w:p>
    <w:p w14:paraId="0A4C5C3E" w14:textId="77777777" w:rsidR="00A43DB7" w:rsidRPr="006C5C45" w:rsidRDefault="00A43DB7" w:rsidP="006C5C45">
      <w:pPr>
        <w:pStyle w:val="NormalWeb"/>
        <w:jc w:val="both"/>
        <w:rPr>
          <w:sz w:val="20"/>
          <w:szCs w:val="20"/>
        </w:rPr>
      </w:pPr>
      <w:r w:rsidRPr="006C5C45">
        <w:rPr>
          <w:sz w:val="20"/>
          <w:szCs w:val="20"/>
        </w:rPr>
        <w:t>14.  Prottley C and Ferguson T (1975). Factors which determine skin irritation potential of soaps and detergents. J. Soc. Comet. Chem. 26: 29–46.</w:t>
      </w:r>
    </w:p>
    <w:p w14:paraId="2E7B7025" w14:textId="77777777" w:rsidR="00A43DB7" w:rsidRPr="006C5C45" w:rsidRDefault="00A43DB7" w:rsidP="006C5C45">
      <w:pPr>
        <w:pStyle w:val="NormalWeb"/>
        <w:jc w:val="both"/>
        <w:rPr>
          <w:sz w:val="20"/>
          <w:szCs w:val="20"/>
        </w:rPr>
      </w:pPr>
      <w:r w:rsidRPr="006C5C45">
        <w:rPr>
          <w:sz w:val="20"/>
          <w:szCs w:val="20"/>
        </w:rPr>
        <w:t xml:space="preserve">15. Agner T et al (1989). Different skin irritation abilities of different qualities of sodium lauryl </w:t>
      </w:r>
      <w:proofErr w:type="spellStart"/>
      <w:r w:rsidRPr="006C5C45">
        <w:rPr>
          <w:sz w:val="20"/>
          <w:szCs w:val="20"/>
        </w:rPr>
        <w:t>sulfate</w:t>
      </w:r>
      <w:proofErr w:type="spellEnd"/>
      <w:r w:rsidRPr="006C5C45">
        <w:rPr>
          <w:sz w:val="20"/>
          <w:szCs w:val="20"/>
        </w:rPr>
        <w:t xml:space="preserve">. Contact Dermatitis, 21: 184–188.      </w:t>
      </w:r>
    </w:p>
    <w:p w14:paraId="508A0911" w14:textId="77777777" w:rsidR="00A43DB7" w:rsidRPr="006C5C45" w:rsidRDefault="00A43DB7" w:rsidP="006C5C45">
      <w:pPr>
        <w:pStyle w:val="NormalWeb"/>
        <w:jc w:val="both"/>
        <w:rPr>
          <w:sz w:val="20"/>
          <w:szCs w:val="20"/>
        </w:rPr>
      </w:pPr>
      <w:r w:rsidRPr="006C5C45">
        <w:rPr>
          <w:sz w:val="20"/>
          <w:szCs w:val="20"/>
        </w:rPr>
        <w:t xml:space="preserve">16. Engel K et al (2008). Anti-inflammatory effect of pimecrolimus in the sodium lauryl sulphate test. Journal of European Academy of Dermatology and Venereology, 22: 447–450.                   </w:t>
      </w:r>
    </w:p>
    <w:p w14:paraId="5A8AB1E8" w14:textId="77777777" w:rsidR="00A43DB7" w:rsidRPr="006C5C45" w:rsidRDefault="00A43DB7" w:rsidP="006C5C45">
      <w:pPr>
        <w:pStyle w:val="NormalWeb"/>
        <w:jc w:val="both"/>
        <w:rPr>
          <w:sz w:val="20"/>
          <w:szCs w:val="20"/>
        </w:rPr>
      </w:pPr>
      <w:r w:rsidRPr="006C5C45">
        <w:rPr>
          <w:sz w:val="20"/>
          <w:szCs w:val="20"/>
        </w:rPr>
        <w:t xml:space="preserve">17. Eubanks SW and Patterson JW (1984). Dermatitis from sodium lauryl </w:t>
      </w:r>
      <w:proofErr w:type="spellStart"/>
      <w:r w:rsidRPr="006C5C45">
        <w:rPr>
          <w:sz w:val="20"/>
          <w:szCs w:val="20"/>
        </w:rPr>
        <w:t>sulfate</w:t>
      </w:r>
      <w:proofErr w:type="spellEnd"/>
      <w:r w:rsidRPr="006C5C45">
        <w:rPr>
          <w:sz w:val="20"/>
          <w:szCs w:val="20"/>
        </w:rPr>
        <w:t xml:space="preserve"> in hydrocortisone cream. Contact Dermatitis 11: 250–251.                                  </w:t>
      </w:r>
    </w:p>
    <w:p w14:paraId="15D7FE3B" w14:textId="77777777" w:rsidR="00A43DB7" w:rsidRPr="006C5C45" w:rsidRDefault="00A43DB7" w:rsidP="006C5C45">
      <w:pPr>
        <w:pStyle w:val="NormalWeb"/>
        <w:jc w:val="both"/>
        <w:rPr>
          <w:sz w:val="20"/>
          <w:szCs w:val="20"/>
        </w:rPr>
      </w:pPr>
      <w:r w:rsidRPr="006C5C45">
        <w:rPr>
          <w:sz w:val="20"/>
          <w:szCs w:val="20"/>
        </w:rPr>
        <w:lastRenderedPageBreak/>
        <w:t xml:space="preserve">18. MHRA (2013). Aqueous cream: may cause skin irritation, particularly in children with eczema, possibly due to sodium lauryl </w:t>
      </w:r>
      <w:proofErr w:type="spellStart"/>
      <w:r w:rsidRPr="006C5C45">
        <w:rPr>
          <w:sz w:val="20"/>
          <w:szCs w:val="20"/>
        </w:rPr>
        <w:t>sulfate</w:t>
      </w:r>
      <w:proofErr w:type="spellEnd"/>
      <w:r w:rsidRPr="006C5C45">
        <w:rPr>
          <w:sz w:val="20"/>
          <w:szCs w:val="20"/>
        </w:rPr>
        <w:t xml:space="preserve"> content. Available at: http://www.mhra.gov.uk/Safetyinformation/DrugSafetyUpdate/CON254804</w:t>
      </w:r>
    </w:p>
    <w:p w14:paraId="1A40D4F5" w14:textId="77777777" w:rsidR="00A43DB7" w:rsidRPr="006C5C45" w:rsidRDefault="00A43DB7" w:rsidP="006C5C45">
      <w:pPr>
        <w:pStyle w:val="NormalWeb"/>
        <w:jc w:val="both"/>
        <w:rPr>
          <w:sz w:val="20"/>
          <w:szCs w:val="20"/>
        </w:rPr>
      </w:pPr>
      <w:r w:rsidRPr="006C5C45">
        <w:rPr>
          <w:sz w:val="20"/>
          <w:szCs w:val="20"/>
        </w:rPr>
        <w:t xml:space="preserve">19. CFR - Code of Federal Regulations Title 21 [Internet]. [cited 2025 Jan 26]. Available from: </w:t>
      </w:r>
      <w:hyperlink r:id="rId11" w:history="1">
        <w:r w:rsidRPr="006C5C45">
          <w:rPr>
            <w:rStyle w:val="Hyperlink"/>
            <w:sz w:val="20"/>
            <w:szCs w:val="20"/>
          </w:rPr>
          <w:t>https://www.accessdata.fda.gov/scripts/cdrh/cfdocs/cfcfr/cfrsearch.cfm</w:t>
        </w:r>
      </w:hyperlink>
    </w:p>
    <w:p w14:paraId="44368555" w14:textId="77777777" w:rsidR="00A43DB7" w:rsidRPr="006C5C45" w:rsidRDefault="00A43DB7" w:rsidP="006C5C45">
      <w:pPr>
        <w:pStyle w:val="NormalWeb"/>
        <w:jc w:val="both"/>
        <w:rPr>
          <w:sz w:val="20"/>
          <w:szCs w:val="20"/>
        </w:rPr>
      </w:pPr>
      <w:r w:rsidRPr="006C5C45">
        <w:rPr>
          <w:sz w:val="20"/>
          <w:szCs w:val="20"/>
        </w:rPr>
        <w:t>20. Handbook of Pharmaceutical Excipients, Seventh Edition (2012</w:t>
      </w:r>
      <w:proofErr w:type="gramStart"/>
      <w:r w:rsidRPr="006C5C45">
        <w:rPr>
          <w:sz w:val="20"/>
          <w:szCs w:val="20"/>
        </w:rPr>
        <w:t>) ,</w:t>
      </w:r>
      <w:proofErr w:type="gramEnd"/>
      <w:r w:rsidRPr="006C5C45">
        <w:rPr>
          <w:sz w:val="20"/>
          <w:szCs w:val="20"/>
        </w:rPr>
        <w:t xml:space="preserve"> Rowe RC, Sheskey PJ and Cook WG; Pharmaceutical Press, London.</w:t>
      </w:r>
    </w:p>
    <w:p w14:paraId="0EDBAA0E" w14:textId="18DB66A0" w:rsidR="006C5C45" w:rsidRPr="006C5C45" w:rsidRDefault="006C5C45" w:rsidP="006C5C45">
      <w:pPr>
        <w:spacing w:line="240" w:lineRule="auto"/>
        <w:jc w:val="both"/>
        <w:rPr>
          <w:rFonts w:ascii="Times New Roman" w:hAnsi="Times New Roman" w:cs="Times New Roman"/>
          <w:iCs/>
          <w:sz w:val="20"/>
          <w:szCs w:val="20"/>
        </w:rPr>
      </w:pPr>
      <w:r w:rsidRPr="006C5C45">
        <w:rPr>
          <w:rFonts w:ascii="Times New Roman" w:hAnsi="Times New Roman" w:cs="Times New Roman"/>
          <w:iCs/>
          <w:sz w:val="20"/>
          <w:szCs w:val="20"/>
        </w:rPr>
        <w:t>21.Cosmetic Ingredient Review (CIR) program Expert Panel (1983). </w:t>
      </w:r>
      <w:hyperlink r:id="rId12" w:history="1">
        <w:r w:rsidRPr="006C5C45">
          <w:rPr>
            <w:rStyle w:val="Hyperlink"/>
            <w:rFonts w:ascii="Times New Roman" w:hAnsi="Times New Roman" w:cs="Times New Roman"/>
            <w:iCs/>
            <w:sz w:val="20"/>
            <w:szCs w:val="20"/>
          </w:rPr>
          <w:t xml:space="preserve">"Final Report on the Safety Assessment of Sodium Lauryl </w:t>
        </w:r>
        <w:proofErr w:type="spellStart"/>
        <w:r w:rsidRPr="006C5C45">
          <w:rPr>
            <w:rStyle w:val="Hyperlink"/>
            <w:rFonts w:ascii="Times New Roman" w:hAnsi="Times New Roman" w:cs="Times New Roman"/>
            <w:iCs/>
            <w:sz w:val="20"/>
            <w:szCs w:val="20"/>
          </w:rPr>
          <w:t>Sulfate</w:t>
        </w:r>
        <w:proofErr w:type="spellEnd"/>
        <w:r w:rsidRPr="006C5C45">
          <w:rPr>
            <w:rStyle w:val="Hyperlink"/>
            <w:rFonts w:ascii="Times New Roman" w:hAnsi="Times New Roman" w:cs="Times New Roman"/>
            <w:iCs/>
            <w:sz w:val="20"/>
            <w:szCs w:val="20"/>
          </w:rPr>
          <w:t xml:space="preserve"> and Ammonium Lauryl </w:t>
        </w:r>
        <w:proofErr w:type="spellStart"/>
        <w:r w:rsidRPr="006C5C45">
          <w:rPr>
            <w:rStyle w:val="Hyperlink"/>
            <w:rFonts w:ascii="Times New Roman" w:hAnsi="Times New Roman" w:cs="Times New Roman"/>
            <w:iCs/>
            <w:sz w:val="20"/>
            <w:szCs w:val="20"/>
          </w:rPr>
          <w:t>Sulfate</w:t>
        </w:r>
        <w:proofErr w:type="spellEnd"/>
        <w:r w:rsidRPr="006C5C45">
          <w:rPr>
            <w:rStyle w:val="Hyperlink"/>
            <w:rFonts w:ascii="Times New Roman" w:hAnsi="Times New Roman" w:cs="Times New Roman"/>
            <w:iCs/>
            <w:sz w:val="20"/>
            <w:szCs w:val="20"/>
          </w:rPr>
          <w:t>"</w:t>
        </w:r>
      </w:hyperlink>
      <w:r w:rsidRPr="006C5C45">
        <w:rPr>
          <w:rFonts w:ascii="Times New Roman" w:hAnsi="Times New Roman" w:cs="Times New Roman"/>
          <w:iCs/>
          <w:sz w:val="20"/>
          <w:szCs w:val="20"/>
        </w:rPr>
        <w:t> (PDF). </w:t>
      </w:r>
      <w:hyperlink r:id="rId13" w:tooltip="International Journal of Toxicology" w:history="1">
        <w:r w:rsidRPr="006C5C45">
          <w:rPr>
            <w:rStyle w:val="Hyperlink"/>
            <w:rFonts w:ascii="Times New Roman" w:hAnsi="Times New Roman" w:cs="Times New Roman"/>
            <w:iCs/>
            <w:sz w:val="20"/>
            <w:szCs w:val="20"/>
          </w:rPr>
          <w:t>Int. J. Toxicol.</w:t>
        </w:r>
      </w:hyperlink>
      <w:r w:rsidRPr="006C5C45">
        <w:rPr>
          <w:rFonts w:ascii="Times New Roman" w:hAnsi="Times New Roman" w:cs="Times New Roman"/>
          <w:iCs/>
          <w:sz w:val="20"/>
          <w:szCs w:val="20"/>
        </w:rPr>
        <w:t> </w:t>
      </w:r>
      <w:r w:rsidRPr="006C5C45">
        <w:rPr>
          <w:rFonts w:ascii="Times New Roman" w:hAnsi="Times New Roman" w:cs="Times New Roman"/>
          <w:bCs/>
          <w:iCs/>
          <w:sz w:val="20"/>
          <w:szCs w:val="20"/>
        </w:rPr>
        <w:t>2</w:t>
      </w:r>
      <w:r w:rsidRPr="006C5C45">
        <w:rPr>
          <w:rFonts w:ascii="Times New Roman" w:hAnsi="Times New Roman" w:cs="Times New Roman"/>
          <w:iCs/>
          <w:sz w:val="20"/>
          <w:szCs w:val="20"/>
        </w:rPr>
        <w:t> (7): 127–81. </w:t>
      </w:r>
      <w:hyperlink r:id="rId14" w:tooltip="Doi (identifier)" w:history="1">
        <w:r w:rsidRPr="006C5C45">
          <w:rPr>
            <w:rStyle w:val="Hyperlink"/>
            <w:rFonts w:ascii="Times New Roman" w:hAnsi="Times New Roman" w:cs="Times New Roman"/>
            <w:iCs/>
            <w:sz w:val="20"/>
            <w:szCs w:val="20"/>
          </w:rPr>
          <w:t>doi</w:t>
        </w:r>
      </w:hyperlink>
      <w:r w:rsidRPr="006C5C45">
        <w:rPr>
          <w:rFonts w:ascii="Times New Roman" w:hAnsi="Times New Roman" w:cs="Times New Roman"/>
          <w:iCs/>
          <w:sz w:val="20"/>
          <w:szCs w:val="20"/>
        </w:rPr>
        <w:t>:</w:t>
      </w:r>
      <w:hyperlink r:id="rId15" w:history="1">
        <w:r w:rsidRPr="006C5C45">
          <w:rPr>
            <w:rStyle w:val="Hyperlink"/>
            <w:rFonts w:ascii="Times New Roman" w:hAnsi="Times New Roman" w:cs="Times New Roman"/>
            <w:iCs/>
            <w:sz w:val="20"/>
            <w:szCs w:val="20"/>
          </w:rPr>
          <w:t>10.3109/10915818309142005</w:t>
        </w:r>
      </w:hyperlink>
      <w:r w:rsidRPr="006C5C45">
        <w:rPr>
          <w:rFonts w:ascii="Times New Roman" w:hAnsi="Times New Roman" w:cs="Times New Roman"/>
          <w:iCs/>
          <w:sz w:val="20"/>
          <w:szCs w:val="20"/>
        </w:rPr>
        <w:t>. </w:t>
      </w:r>
      <w:hyperlink r:id="rId16" w:tooltip="S2CID (identifier)" w:history="1">
        <w:r w:rsidRPr="006C5C45">
          <w:rPr>
            <w:rStyle w:val="Hyperlink"/>
            <w:rFonts w:ascii="Times New Roman" w:hAnsi="Times New Roman" w:cs="Times New Roman"/>
            <w:iCs/>
            <w:sz w:val="20"/>
            <w:szCs w:val="20"/>
          </w:rPr>
          <w:t>S2CID</w:t>
        </w:r>
      </w:hyperlink>
      <w:r w:rsidRPr="006C5C45">
        <w:rPr>
          <w:rFonts w:ascii="Times New Roman" w:hAnsi="Times New Roman" w:cs="Times New Roman"/>
          <w:iCs/>
          <w:sz w:val="20"/>
          <w:szCs w:val="20"/>
        </w:rPr>
        <w:t> </w:t>
      </w:r>
      <w:hyperlink r:id="rId17" w:history="1">
        <w:r w:rsidRPr="006C5C45">
          <w:rPr>
            <w:rStyle w:val="Hyperlink"/>
            <w:rFonts w:ascii="Times New Roman" w:hAnsi="Times New Roman" w:cs="Times New Roman"/>
            <w:iCs/>
            <w:sz w:val="20"/>
            <w:szCs w:val="20"/>
          </w:rPr>
          <w:t>34123578</w:t>
        </w:r>
      </w:hyperlink>
      <w:r w:rsidRPr="006C5C45">
        <w:rPr>
          <w:rFonts w:ascii="Times New Roman" w:hAnsi="Times New Roman" w:cs="Times New Roman"/>
          <w:iCs/>
          <w:sz w:val="20"/>
          <w:szCs w:val="20"/>
        </w:rPr>
        <w:t xml:space="preserve">. </w:t>
      </w:r>
    </w:p>
    <w:p w14:paraId="4B1B3FD8" w14:textId="62AFEB93" w:rsidR="006C5C45" w:rsidRPr="006C5C45" w:rsidRDefault="006C5C45" w:rsidP="006C5C45">
      <w:pPr>
        <w:spacing w:line="240" w:lineRule="auto"/>
        <w:jc w:val="both"/>
        <w:rPr>
          <w:rFonts w:ascii="Times New Roman" w:hAnsi="Times New Roman" w:cs="Times New Roman"/>
          <w:sz w:val="20"/>
          <w:szCs w:val="20"/>
        </w:rPr>
      </w:pPr>
      <w:r w:rsidRPr="006C5C45">
        <w:rPr>
          <w:rFonts w:ascii="Times New Roman" w:hAnsi="Times New Roman" w:cs="Times New Roman"/>
          <w:bCs/>
          <w:sz w:val="20"/>
          <w:szCs w:val="20"/>
        </w:rPr>
        <w:t xml:space="preserve">22. </w:t>
      </w:r>
      <w:r w:rsidRPr="006C5C45">
        <w:rPr>
          <w:rFonts w:ascii="Times New Roman" w:hAnsi="Times New Roman" w:cs="Times New Roman"/>
          <w:iCs/>
          <w:sz w:val="20"/>
          <w:szCs w:val="20"/>
        </w:rPr>
        <w:t>Wilma F. Bergfeld, Chair, and the Cosmetic Ingredient Review (CIR) program Expert Panel (2005). </w:t>
      </w:r>
      <w:hyperlink r:id="rId18" w:history="1">
        <w:r w:rsidRPr="006C5C45">
          <w:rPr>
            <w:rStyle w:val="Hyperlink"/>
            <w:rFonts w:ascii="Times New Roman" w:hAnsi="Times New Roman" w:cs="Times New Roman"/>
            <w:iCs/>
            <w:sz w:val="20"/>
            <w:szCs w:val="20"/>
          </w:rPr>
          <w:t xml:space="preserve">"Final report on the safety assessment of sodium lauryl </w:t>
        </w:r>
        <w:proofErr w:type="spellStart"/>
        <w:r w:rsidRPr="006C5C45">
          <w:rPr>
            <w:rStyle w:val="Hyperlink"/>
            <w:rFonts w:ascii="Times New Roman" w:hAnsi="Times New Roman" w:cs="Times New Roman"/>
            <w:iCs/>
            <w:sz w:val="20"/>
            <w:szCs w:val="20"/>
          </w:rPr>
          <w:t>sulfate</w:t>
        </w:r>
        <w:proofErr w:type="spellEnd"/>
        <w:r w:rsidRPr="006C5C45">
          <w:rPr>
            <w:rStyle w:val="Hyperlink"/>
            <w:rFonts w:ascii="Times New Roman" w:hAnsi="Times New Roman" w:cs="Times New Roman"/>
            <w:iCs/>
            <w:sz w:val="20"/>
            <w:szCs w:val="20"/>
          </w:rPr>
          <w:t xml:space="preserve"> and ammonium lauryl </w:t>
        </w:r>
        <w:proofErr w:type="spellStart"/>
        <w:r w:rsidRPr="006C5C45">
          <w:rPr>
            <w:rStyle w:val="Hyperlink"/>
            <w:rFonts w:ascii="Times New Roman" w:hAnsi="Times New Roman" w:cs="Times New Roman"/>
            <w:iCs/>
            <w:sz w:val="20"/>
            <w:szCs w:val="20"/>
          </w:rPr>
          <w:t>sulfate</w:t>
        </w:r>
        <w:proofErr w:type="spellEnd"/>
        <w:r w:rsidRPr="006C5C45">
          <w:rPr>
            <w:rStyle w:val="Hyperlink"/>
            <w:rFonts w:ascii="Times New Roman" w:hAnsi="Times New Roman" w:cs="Times New Roman"/>
            <w:iCs/>
            <w:sz w:val="20"/>
            <w:szCs w:val="20"/>
          </w:rPr>
          <w:t>"</w:t>
        </w:r>
      </w:hyperlink>
      <w:r w:rsidRPr="006C5C45">
        <w:rPr>
          <w:rFonts w:ascii="Times New Roman" w:hAnsi="Times New Roman" w:cs="Times New Roman"/>
          <w:iCs/>
          <w:sz w:val="20"/>
          <w:szCs w:val="20"/>
        </w:rPr>
        <w:t> (PDF). </w:t>
      </w:r>
      <w:hyperlink r:id="rId19" w:tooltip="International Journal of Toxicology" w:history="1">
        <w:r w:rsidRPr="006C5C45">
          <w:rPr>
            <w:rStyle w:val="Hyperlink"/>
            <w:rFonts w:ascii="Times New Roman" w:hAnsi="Times New Roman" w:cs="Times New Roman"/>
            <w:iCs/>
            <w:sz w:val="20"/>
            <w:szCs w:val="20"/>
          </w:rPr>
          <w:t xml:space="preserve">Int. J. </w:t>
        </w:r>
        <w:proofErr w:type="spellStart"/>
        <w:r w:rsidRPr="006C5C45">
          <w:rPr>
            <w:rStyle w:val="Hyperlink"/>
            <w:rFonts w:ascii="Times New Roman" w:hAnsi="Times New Roman" w:cs="Times New Roman"/>
            <w:iCs/>
            <w:sz w:val="20"/>
            <w:szCs w:val="20"/>
          </w:rPr>
          <w:t>Toxicol</w:t>
        </w:r>
        <w:proofErr w:type="spellEnd"/>
        <w:r w:rsidRPr="006C5C45">
          <w:rPr>
            <w:rStyle w:val="Hyperlink"/>
            <w:rFonts w:ascii="Times New Roman" w:hAnsi="Times New Roman" w:cs="Times New Roman"/>
            <w:iCs/>
            <w:sz w:val="20"/>
            <w:szCs w:val="20"/>
          </w:rPr>
          <w:t>.</w:t>
        </w:r>
      </w:hyperlink>
      <w:r w:rsidRPr="006C5C45">
        <w:rPr>
          <w:rFonts w:ascii="Times New Roman" w:hAnsi="Times New Roman" w:cs="Times New Roman"/>
          <w:iCs/>
          <w:sz w:val="20"/>
          <w:szCs w:val="20"/>
        </w:rPr>
        <w:t> </w:t>
      </w:r>
      <w:r w:rsidRPr="006C5C45">
        <w:rPr>
          <w:rFonts w:ascii="Times New Roman" w:hAnsi="Times New Roman" w:cs="Times New Roman"/>
          <w:bCs/>
          <w:iCs/>
          <w:sz w:val="20"/>
          <w:szCs w:val="20"/>
        </w:rPr>
        <w:t>24</w:t>
      </w:r>
      <w:r w:rsidRPr="006C5C45">
        <w:rPr>
          <w:rFonts w:ascii="Times New Roman" w:hAnsi="Times New Roman" w:cs="Times New Roman"/>
          <w:iCs/>
          <w:sz w:val="20"/>
          <w:szCs w:val="20"/>
        </w:rPr>
        <w:t xml:space="preserve"> (1): 1–102, esp. 89–98. </w:t>
      </w:r>
    </w:p>
    <w:p w14:paraId="6F6D2E30" w14:textId="41C397A3" w:rsidR="006C5C45" w:rsidRPr="006C5C45" w:rsidRDefault="006C5C45" w:rsidP="006C5C45">
      <w:pPr>
        <w:spacing w:line="240" w:lineRule="auto"/>
        <w:jc w:val="both"/>
        <w:rPr>
          <w:rFonts w:ascii="Times New Roman" w:hAnsi="Times New Roman" w:cs="Times New Roman"/>
          <w:sz w:val="20"/>
          <w:szCs w:val="20"/>
        </w:rPr>
      </w:pPr>
      <w:r w:rsidRPr="006C5C45">
        <w:rPr>
          <w:rFonts w:ascii="Times New Roman" w:hAnsi="Times New Roman" w:cs="Times New Roman"/>
          <w:bCs/>
          <w:sz w:val="20"/>
          <w:szCs w:val="20"/>
        </w:rPr>
        <w:t xml:space="preserve">23. </w:t>
      </w:r>
      <w:r w:rsidRPr="006C5C45">
        <w:rPr>
          <w:rFonts w:ascii="Times New Roman" w:hAnsi="Times New Roman" w:cs="Times New Roman"/>
          <w:sz w:val="20"/>
          <w:szCs w:val="20"/>
        </w:rPr>
        <w:t> </w:t>
      </w:r>
      <w:r w:rsidRPr="006C5C45">
        <w:rPr>
          <w:rFonts w:ascii="Times New Roman" w:hAnsi="Times New Roman" w:cs="Times New Roman"/>
          <w:iCs/>
          <w:sz w:val="20"/>
          <w:szCs w:val="20"/>
        </w:rPr>
        <w:t xml:space="preserve">Marrakchi S, Maibach HI (2006). "Sodium lauryl </w:t>
      </w:r>
      <w:proofErr w:type="spellStart"/>
      <w:r w:rsidRPr="006C5C45">
        <w:rPr>
          <w:rFonts w:ascii="Times New Roman" w:hAnsi="Times New Roman" w:cs="Times New Roman"/>
          <w:iCs/>
          <w:sz w:val="20"/>
          <w:szCs w:val="20"/>
        </w:rPr>
        <w:t>sulfate</w:t>
      </w:r>
      <w:proofErr w:type="spellEnd"/>
      <w:r w:rsidRPr="006C5C45">
        <w:rPr>
          <w:rFonts w:ascii="Times New Roman" w:hAnsi="Times New Roman" w:cs="Times New Roman"/>
          <w:iCs/>
          <w:sz w:val="20"/>
          <w:szCs w:val="20"/>
        </w:rPr>
        <w:t xml:space="preserve">-induced irritation in the human face: regional and age-related differences". Skin </w:t>
      </w:r>
      <w:proofErr w:type="spellStart"/>
      <w:r w:rsidRPr="006C5C45">
        <w:rPr>
          <w:rFonts w:ascii="Times New Roman" w:hAnsi="Times New Roman" w:cs="Times New Roman"/>
          <w:iCs/>
          <w:sz w:val="20"/>
          <w:szCs w:val="20"/>
        </w:rPr>
        <w:t>Pharmacol</w:t>
      </w:r>
      <w:proofErr w:type="spellEnd"/>
      <w:r w:rsidRPr="006C5C45">
        <w:rPr>
          <w:rFonts w:ascii="Times New Roman" w:hAnsi="Times New Roman" w:cs="Times New Roman"/>
          <w:iCs/>
          <w:sz w:val="20"/>
          <w:szCs w:val="20"/>
        </w:rPr>
        <w:t xml:space="preserve"> Physiol. </w:t>
      </w:r>
      <w:r w:rsidRPr="006C5C45">
        <w:rPr>
          <w:rFonts w:ascii="Times New Roman" w:hAnsi="Times New Roman" w:cs="Times New Roman"/>
          <w:bCs/>
          <w:iCs/>
          <w:sz w:val="20"/>
          <w:szCs w:val="20"/>
        </w:rPr>
        <w:t>19</w:t>
      </w:r>
      <w:r w:rsidRPr="006C5C45">
        <w:rPr>
          <w:rFonts w:ascii="Times New Roman" w:hAnsi="Times New Roman" w:cs="Times New Roman"/>
          <w:iCs/>
          <w:sz w:val="20"/>
          <w:szCs w:val="20"/>
        </w:rPr>
        <w:t> (3): 177–80. </w:t>
      </w:r>
      <w:hyperlink r:id="rId20" w:tooltip="Doi (identifier)" w:history="1">
        <w:r w:rsidRPr="006C5C45">
          <w:rPr>
            <w:rStyle w:val="Hyperlink"/>
            <w:rFonts w:ascii="Times New Roman" w:hAnsi="Times New Roman" w:cs="Times New Roman"/>
            <w:iCs/>
            <w:sz w:val="20"/>
            <w:szCs w:val="20"/>
          </w:rPr>
          <w:t>doi</w:t>
        </w:r>
      </w:hyperlink>
      <w:r w:rsidRPr="006C5C45">
        <w:rPr>
          <w:rFonts w:ascii="Times New Roman" w:hAnsi="Times New Roman" w:cs="Times New Roman"/>
          <w:iCs/>
          <w:sz w:val="20"/>
          <w:szCs w:val="20"/>
        </w:rPr>
        <w:t>:</w:t>
      </w:r>
      <w:hyperlink r:id="rId21" w:history="1">
        <w:r w:rsidRPr="006C5C45">
          <w:rPr>
            <w:rStyle w:val="Hyperlink"/>
            <w:rFonts w:ascii="Times New Roman" w:hAnsi="Times New Roman" w:cs="Times New Roman"/>
            <w:iCs/>
            <w:sz w:val="20"/>
            <w:szCs w:val="20"/>
          </w:rPr>
          <w:t>10.1159/000093112</w:t>
        </w:r>
      </w:hyperlink>
      <w:r w:rsidRPr="006C5C45">
        <w:rPr>
          <w:rFonts w:ascii="Times New Roman" w:hAnsi="Times New Roman" w:cs="Times New Roman"/>
          <w:iCs/>
          <w:sz w:val="20"/>
          <w:szCs w:val="20"/>
        </w:rPr>
        <w:t>. </w:t>
      </w:r>
      <w:hyperlink r:id="rId22" w:tooltip="PMID (identifier)" w:history="1">
        <w:r w:rsidRPr="006C5C45">
          <w:rPr>
            <w:rStyle w:val="Hyperlink"/>
            <w:rFonts w:ascii="Times New Roman" w:hAnsi="Times New Roman" w:cs="Times New Roman"/>
            <w:iCs/>
            <w:sz w:val="20"/>
            <w:szCs w:val="20"/>
          </w:rPr>
          <w:t>PMID</w:t>
        </w:r>
      </w:hyperlink>
      <w:r w:rsidRPr="006C5C45">
        <w:rPr>
          <w:rFonts w:ascii="Times New Roman" w:hAnsi="Times New Roman" w:cs="Times New Roman"/>
          <w:iCs/>
          <w:sz w:val="20"/>
          <w:szCs w:val="20"/>
        </w:rPr>
        <w:t> </w:t>
      </w:r>
      <w:hyperlink r:id="rId23" w:history="1">
        <w:r w:rsidRPr="006C5C45">
          <w:rPr>
            <w:rStyle w:val="Hyperlink"/>
            <w:rFonts w:ascii="Times New Roman" w:hAnsi="Times New Roman" w:cs="Times New Roman"/>
            <w:iCs/>
            <w:sz w:val="20"/>
            <w:szCs w:val="20"/>
          </w:rPr>
          <w:t>16679819</w:t>
        </w:r>
      </w:hyperlink>
      <w:r w:rsidRPr="006C5C45">
        <w:rPr>
          <w:rFonts w:ascii="Times New Roman" w:hAnsi="Times New Roman" w:cs="Times New Roman"/>
          <w:iCs/>
          <w:sz w:val="20"/>
          <w:szCs w:val="20"/>
        </w:rPr>
        <w:t>. </w:t>
      </w:r>
      <w:hyperlink r:id="rId24" w:tooltip="S2CID (identifier)" w:history="1">
        <w:r w:rsidRPr="006C5C45">
          <w:rPr>
            <w:rStyle w:val="Hyperlink"/>
            <w:rFonts w:ascii="Times New Roman" w:hAnsi="Times New Roman" w:cs="Times New Roman"/>
            <w:iCs/>
            <w:sz w:val="20"/>
            <w:szCs w:val="20"/>
          </w:rPr>
          <w:t>S2CID</w:t>
        </w:r>
      </w:hyperlink>
      <w:r w:rsidRPr="006C5C45">
        <w:rPr>
          <w:rFonts w:ascii="Times New Roman" w:hAnsi="Times New Roman" w:cs="Times New Roman"/>
          <w:iCs/>
          <w:sz w:val="20"/>
          <w:szCs w:val="20"/>
        </w:rPr>
        <w:t> </w:t>
      </w:r>
      <w:hyperlink r:id="rId25" w:history="1">
        <w:r w:rsidRPr="006C5C45">
          <w:rPr>
            <w:rStyle w:val="Hyperlink"/>
            <w:rFonts w:ascii="Times New Roman" w:hAnsi="Times New Roman" w:cs="Times New Roman"/>
            <w:iCs/>
            <w:sz w:val="20"/>
            <w:szCs w:val="20"/>
          </w:rPr>
          <w:t>35890797</w:t>
        </w:r>
      </w:hyperlink>
      <w:r w:rsidRPr="006C5C45">
        <w:rPr>
          <w:rFonts w:ascii="Times New Roman" w:hAnsi="Times New Roman" w:cs="Times New Roman"/>
          <w:iCs/>
          <w:sz w:val="20"/>
          <w:szCs w:val="20"/>
        </w:rPr>
        <w:t>.</w:t>
      </w:r>
    </w:p>
    <w:p w14:paraId="4A91D6C8" w14:textId="072EE781" w:rsidR="006C5C45" w:rsidRPr="006C5C45" w:rsidRDefault="006C5C45" w:rsidP="006C5C45">
      <w:pPr>
        <w:spacing w:line="240" w:lineRule="auto"/>
        <w:jc w:val="both"/>
        <w:rPr>
          <w:rFonts w:ascii="Times New Roman" w:hAnsi="Times New Roman" w:cs="Times New Roman"/>
          <w:sz w:val="20"/>
          <w:szCs w:val="20"/>
        </w:rPr>
      </w:pPr>
      <w:r w:rsidRPr="006C5C45">
        <w:rPr>
          <w:rFonts w:ascii="Times New Roman" w:hAnsi="Times New Roman" w:cs="Times New Roman"/>
          <w:bCs/>
          <w:sz w:val="20"/>
          <w:szCs w:val="20"/>
        </w:rPr>
        <w:t xml:space="preserve">24. </w:t>
      </w:r>
      <w:r w:rsidRPr="006C5C45">
        <w:rPr>
          <w:rFonts w:ascii="Times New Roman" w:hAnsi="Times New Roman" w:cs="Times New Roman"/>
          <w:iCs/>
          <w:sz w:val="20"/>
          <w:szCs w:val="20"/>
        </w:rPr>
        <w:t>Agner T (1991). </w:t>
      </w:r>
      <w:hyperlink r:id="rId26" w:history="1">
        <w:r w:rsidRPr="006C5C45">
          <w:rPr>
            <w:rStyle w:val="Hyperlink"/>
            <w:rFonts w:ascii="Times New Roman" w:hAnsi="Times New Roman" w:cs="Times New Roman"/>
            <w:iCs/>
            <w:sz w:val="20"/>
            <w:szCs w:val="20"/>
          </w:rPr>
          <w:t>"Susceptibility of atopic dermatitis patients to irritant dermatitis caused by sodium lauryl sulphate"</w:t>
        </w:r>
      </w:hyperlink>
      <w:r w:rsidRPr="006C5C45">
        <w:rPr>
          <w:rFonts w:ascii="Times New Roman" w:hAnsi="Times New Roman" w:cs="Times New Roman"/>
          <w:iCs/>
          <w:sz w:val="20"/>
          <w:szCs w:val="20"/>
        </w:rPr>
        <w:t>. Acta Derm. Venereol. </w:t>
      </w:r>
      <w:r w:rsidRPr="006C5C45">
        <w:rPr>
          <w:rFonts w:ascii="Times New Roman" w:hAnsi="Times New Roman" w:cs="Times New Roman"/>
          <w:bCs/>
          <w:iCs/>
          <w:sz w:val="20"/>
          <w:szCs w:val="20"/>
        </w:rPr>
        <w:t>71</w:t>
      </w:r>
      <w:r w:rsidRPr="006C5C45">
        <w:rPr>
          <w:rFonts w:ascii="Times New Roman" w:hAnsi="Times New Roman" w:cs="Times New Roman"/>
          <w:iCs/>
          <w:sz w:val="20"/>
          <w:szCs w:val="20"/>
        </w:rPr>
        <w:t> (4): 296–300. </w:t>
      </w:r>
      <w:hyperlink r:id="rId27" w:tooltip="Doi (identifier)" w:history="1">
        <w:r w:rsidRPr="006C5C45">
          <w:rPr>
            <w:rStyle w:val="Hyperlink"/>
            <w:rFonts w:ascii="Times New Roman" w:hAnsi="Times New Roman" w:cs="Times New Roman"/>
            <w:iCs/>
            <w:sz w:val="20"/>
            <w:szCs w:val="20"/>
          </w:rPr>
          <w:t>doi</w:t>
        </w:r>
      </w:hyperlink>
      <w:r w:rsidRPr="006C5C45">
        <w:rPr>
          <w:rFonts w:ascii="Times New Roman" w:hAnsi="Times New Roman" w:cs="Times New Roman"/>
          <w:iCs/>
          <w:sz w:val="20"/>
          <w:szCs w:val="20"/>
        </w:rPr>
        <w:t>:</w:t>
      </w:r>
      <w:hyperlink r:id="rId28" w:history="1">
        <w:r w:rsidRPr="006C5C45">
          <w:rPr>
            <w:rStyle w:val="Hyperlink"/>
            <w:rFonts w:ascii="Times New Roman" w:hAnsi="Times New Roman" w:cs="Times New Roman"/>
            <w:iCs/>
            <w:sz w:val="20"/>
            <w:szCs w:val="20"/>
          </w:rPr>
          <w:t>10.2340/0001555571296300</w:t>
        </w:r>
      </w:hyperlink>
      <w:r w:rsidRPr="006C5C45">
        <w:rPr>
          <w:rFonts w:ascii="Times New Roman" w:hAnsi="Times New Roman" w:cs="Times New Roman"/>
          <w:iCs/>
          <w:sz w:val="20"/>
          <w:szCs w:val="20"/>
        </w:rPr>
        <w:t>. </w:t>
      </w:r>
      <w:hyperlink r:id="rId29" w:tooltip="PMID (identifier)" w:history="1">
        <w:r w:rsidRPr="006C5C45">
          <w:rPr>
            <w:rStyle w:val="Hyperlink"/>
            <w:rFonts w:ascii="Times New Roman" w:hAnsi="Times New Roman" w:cs="Times New Roman"/>
            <w:iCs/>
            <w:sz w:val="20"/>
            <w:szCs w:val="20"/>
          </w:rPr>
          <w:t>PMID</w:t>
        </w:r>
      </w:hyperlink>
      <w:r w:rsidRPr="006C5C45">
        <w:rPr>
          <w:rFonts w:ascii="Times New Roman" w:hAnsi="Times New Roman" w:cs="Times New Roman"/>
          <w:iCs/>
          <w:sz w:val="20"/>
          <w:szCs w:val="20"/>
        </w:rPr>
        <w:t> </w:t>
      </w:r>
      <w:hyperlink r:id="rId30" w:history="1">
        <w:r w:rsidRPr="006C5C45">
          <w:rPr>
            <w:rStyle w:val="Hyperlink"/>
            <w:rFonts w:ascii="Times New Roman" w:hAnsi="Times New Roman" w:cs="Times New Roman"/>
            <w:iCs/>
            <w:sz w:val="20"/>
            <w:szCs w:val="20"/>
          </w:rPr>
          <w:t>1681644</w:t>
        </w:r>
      </w:hyperlink>
      <w:r w:rsidRPr="006C5C45">
        <w:rPr>
          <w:rFonts w:ascii="Times New Roman" w:hAnsi="Times New Roman" w:cs="Times New Roman"/>
          <w:iCs/>
          <w:sz w:val="20"/>
          <w:szCs w:val="20"/>
        </w:rPr>
        <w:t>. </w:t>
      </w:r>
      <w:hyperlink r:id="rId31" w:tooltip="S2CID (identifier)" w:history="1">
        <w:r w:rsidRPr="006C5C45">
          <w:rPr>
            <w:rStyle w:val="Hyperlink"/>
            <w:rFonts w:ascii="Times New Roman" w:hAnsi="Times New Roman" w:cs="Times New Roman"/>
            <w:iCs/>
            <w:sz w:val="20"/>
            <w:szCs w:val="20"/>
          </w:rPr>
          <w:t>S2CID</w:t>
        </w:r>
      </w:hyperlink>
      <w:r w:rsidRPr="006C5C45">
        <w:rPr>
          <w:rFonts w:ascii="Times New Roman" w:hAnsi="Times New Roman" w:cs="Times New Roman"/>
          <w:iCs/>
          <w:sz w:val="20"/>
          <w:szCs w:val="20"/>
        </w:rPr>
        <w:t> </w:t>
      </w:r>
      <w:hyperlink r:id="rId32" w:history="1">
        <w:r w:rsidRPr="006C5C45">
          <w:rPr>
            <w:rStyle w:val="Hyperlink"/>
            <w:rFonts w:ascii="Times New Roman" w:hAnsi="Times New Roman" w:cs="Times New Roman"/>
            <w:iCs/>
            <w:sz w:val="20"/>
            <w:szCs w:val="20"/>
          </w:rPr>
          <w:t>37806228</w:t>
        </w:r>
      </w:hyperlink>
      <w:r w:rsidRPr="006C5C45">
        <w:rPr>
          <w:rFonts w:ascii="Times New Roman" w:hAnsi="Times New Roman" w:cs="Times New Roman"/>
          <w:iCs/>
          <w:sz w:val="20"/>
          <w:szCs w:val="20"/>
        </w:rPr>
        <w:t>.</w:t>
      </w:r>
    </w:p>
    <w:p w14:paraId="57E98D7F" w14:textId="40228875" w:rsidR="006C5C45" w:rsidRPr="006C5C45" w:rsidRDefault="006C5C45" w:rsidP="006C5C45">
      <w:pPr>
        <w:spacing w:line="240" w:lineRule="auto"/>
        <w:jc w:val="both"/>
        <w:rPr>
          <w:rFonts w:ascii="Times New Roman" w:hAnsi="Times New Roman" w:cs="Times New Roman"/>
          <w:sz w:val="20"/>
          <w:szCs w:val="20"/>
        </w:rPr>
      </w:pPr>
      <w:r w:rsidRPr="006C5C45">
        <w:rPr>
          <w:rFonts w:ascii="Times New Roman" w:hAnsi="Times New Roman" w:cs="Times New Roman"/>
          <w:bCs/>
          <w:sz w:val="20"/>
          <w:szCs w:val="20"/>
        </w:rPr>
        <w:t xml:space="preserve">25. </w:t>
      </w:r>
      <w:r w:rsidRPr="006C5C45">
        <w:rPr>
          <w:rFonts w:ascii="Times New Roman" w:hAnsi="Times New Roman" w:cs="Times New Roman"/>
          <w:sz w:val="20"/>
          <w:szCs w:val="20"/>
        </w:rPr>
        <w:t> </w:t>
      </w:r>
      <w:r w:rsidRPr="006C5C45">
        <w:rPr>
          <w:rFonts w:ascii="Times New Roman" w:hAnsi="Times New Roman" w:cs="Times New Roman"/>
          <w:iCs/>
          <w:sz w:val="20"/>
          <w:szCs w:val="20"/>
        </w:rPr>
        <w:t>Nassif A, Chan SC, Storrs FJ, Hanifin JM (November 1994). "Abnormal skin irritancy in atopic dermatitis and in atopy without dermatitis". Arch Dermatol. </w:t>
      </w:r>
      <w:r w:rsidRPr="006C5C45">
        <w:rPr>
          <w:rFonts w:ascii="Times New Roman" w:hAnsi="Times New Roman" w:cs="Times New Roman"/>
          <w:bCs/>
          <w:iCs/>
          <w:sz w:val="20"/>
          <w:szCs w:val="20"/>
        </w:rPr>
        <w:t>130</w:t>
      </w:r>
      <w:r w:rsidRPr="006C5C45">
        <w:rPr>
          <w:rFonts w:ascii="Times New Roman" w:hAnsi="Times New Roman" w:cs="Times New Roman"/>
          <w:iCs/>
          <w:sz w:val="20"/>
          <w:szCs w:val="20"/>
        </w:rPr>
        <w:t> (11): 1402–07. </w:t>
      </w:r>
      <w:hyperlink r:id="rId33" w:tooltip="Doi (identifier)" w:history="1">
        <w:r w:rsidRPr="006C5C45">
          <w:rPr>
            <w:rStyle w:val="Hyperlink"/>
            <w:rFonts w:ascii="Times New Roman" w:hAnsi="Times New Roman" w:cs="Times New Roman"/>
            <w:iCs/>
            <w:sz w:val="20"/>
            <w:szCs w:val="20"/>
          </w:rPr>
          <w:t>doi</w:t>
        </w:r>
      </w:hyperlink>
      <w:r w:rsidRPr="006C5C45">
        <w:rPr>
          <w:rFonts w:ascii="Times New Roman" w:hAnsi="Times New Roman" w:cs="Times New Roman"/>
          <w:iCs/>
          <w:sz w:val="20"/>
          <w:szCs w:val="20"/>
        </w:rPr>
        <w:t>:</w:t>
      </w:r>
      <w:hyperlink r:id="rId34" w:history="1">
        <w:r w:rsidRPr="006C5C45">
          <w:rPr>
            <w:rStyle w:val="Hyperlink"/>
            <w:rFonts w:ascii="Times New Roman" w:hAnsi="Times New Roman" w:cs="Times New Roman"/>
            <w:iCs/>
            <w:sz w:val="20"/>
            <w:szCs w:val="20"/>
          </w:rPr>
          <w:t>10.1001/archderm.130.11.1402</w:t>
        </w:r>
      </w:hyperlink>
      <w:r w:rsidRPr="006C5C45">
        <w:rPr>
          <w:rFonts w:ascii="Times New Roman" w:hAnsi="Times New Roman" w:cs="Times New Roman"/>
          <w:iCs/>
          <w:sz w:val="20"/>
          <w:szCs w:val="20"/>
        </w:rPr>
        <w:t>. </w:t>
      </w:r>
      <w:hyperlink r:id="rId35" w:tooltip="PMID (identifier)" w:history="1">
        <w:r w:rsidRPr="006C5C45">
          <w:rPr>
            <w:rStyle w:val="Hyperlink"/>
            <w:rFonts w:ascii="Times New Roman" w:hAnsi="Times New Roman" w:cs="Times New Roman"/>
            <w:iCs/>
            <w:sz w:val="20"/>
            <w:szCs w:val="20"/>
          </w:rPr>
          <w:t>PMID</w:t>
        </w:r>
      </w:hyperlink>
      <w:r w:rsidRPr="006C5C45">
        <w:rPr>
          <w:rFonts w:ascii="Times New Roman" w:hAnsi="Times New Roman" w:cs="Times New Roman"/>
          <w:iCs/>
          <w:sz w:val="20"/>
          <w:szCs w:val="20"/>
        </w:rPr>
        <w:t> </w:t>
      </w:r>
      <w:hyperlink r:id="rId36" w:history="1">
        <w:r w:rsidRPr="006C5C45">
          <w:rPr>
            <w:rStyle w:val="Hyperlink"/>
            <w:rFonts w:ascii="Times New Roman" w:hAnsi="Times New Roman" w:cs="Times New Roman"/>
            <w:iCs/>
            <w:sz w:val="20"/>
            <w:szCs w:val="20"/>
          </w:rPr>
          <w:t>7979441</w:t>
        </w:r>
      </w:hyperlink>
      <w:r w:rsidRPr="006C5C45">
        <w:rPr>
          <w:rFonts w:ascii="Times New Roman" w:hAnsi="Times New Roman" w:cs="Times New Roman"/>
          <w:iCs/>
          <w:sz w:val="20"/>
          <w:szCs w:val="20"/>
        </w:rPr>
        <w:t>.</w:t>
      </w:r>
    </w:p>
    <w:p w14:paraId="35E62EFC" w14:textId="584BD896" w:rsidR="006C5C45" w:rsidRPr="006C5C45" w:rsidRDefault="006C5C45" w:rsidP="006C5C45">
      <w:pPr>
        <w:spacing w:line="240" w:lineRule="auto"/>
        <w:jc w:val="both"/>
        <w:rPr>
          <w:rFonts w:ascii="Times New Roman" w:hAnsi="Times New Roman" w:cs="Times New Roman"/>
          <w:iCs/>
          <w:sz w:val="20"/>
          <w:szCs w:val="20"/>
        </w:rPr>
      </w:pPr>
      <w:r w:rsidRPr="006C5C45">
        <w:rPr>
          <w:rFonts w:ascii="Times New Roman" w:hAnsi="Times New Roman" w:cs="Times New Roman"/>
          <w:bCs/>
          <w:sz w:val="20"/>
          <w:szCs w:val="20"/>
        </w:rPr>
        <w:t xml:space="preserve">26. </w:t>
      </w:r>
      <w:r w:rsidRPr="006C5C45">
        <w:rPr>
          <w:rFonts w:ascii="Times New Roman" w:hAnsi="Times New Roman" w:cs="Times New Roman"/>
          <w:iCs/>
          <w:sz w:val="20"/>
          <w:szCs w:val="20"/>
        </w:rPr>
        <w:t>Löffler H, Effendy I (May 1999). "Skin susceptibility of atopic individuals". Contact Derm. </w:t>
      </w:r>
      <w:r w:rsidRPr="006C5C45">
        <w:rPr>
          <w:rFonts w:ascii="Times New Roman" w:hAnsi="Times New Roman" w:cs="Times New Roman"/>
          <w:bCs/>
          <w:iCs/>
          <w:sz w:val="20"/>
          <w:szCs w:val="20"/>
        </w:rPr>
        <w:t>40</w:t>
      </w:r>
      <w:r w:rsidRPr="006C5C45">
        <w:rPr>
          <w:rFonts w:ascii="Times New Roman" w:hAnsi="Times New Roman" w:cs="Times New Roman"/>
          <w:iCs/>
          <w:sz w:val="20"/>
          <w:szCs w:val="20"/>
        </w:rPr>
        <w:t> (5): 239–42. </w:t>
      </w:r>
      <w:hyperlink r:id="rId37" w:tooltip="Doi (identifier)" w:history="1">
        <w:r w:rsidRPr="006C5C45">
          <w:rPr>
            <w:rStyle w:val="Hyperlink"/>
            <w:rFonts w:ascii="Times New Roman" w:hAnsi="Times New Roman" w:cs="Times New Roman"/>
            <w:iCs/>
            <w:sz w:val="20"/>
            <w:szCs w:val="20"/>
          </w:rPr>
          <w:t>doi</w:t>
        </w:r>
      </w:hyperlink>
      <w:r w:rsidRPr="006C5C45">
        <w:rPr>
          <w:rFonts w:ascii="Times New Roman" w:hAnsi="Times New Roman" w:cs="Times New Roman"/>
          <w:iCs/>
          <w:sz w:val="20"/>
          <w:szCs w:val="20"/>
        </w:rPr>
        <w:t>:</w:t>
      </w:r>
      <w:hyperlink r:id="rId38" w:history="1">
        <w:r w:rsidRPr="006C5C45">
          <w:rPr>
            <w:rStyle w:val="Hyperlink"/>
            <w:rFonts w:ascii="Times New Roman" w:hAnsi="Times New Roman" w:cs="Times New Roman"/>
            <w:iCs/>
            <w:sz w:val="20"/>
            <w:szCs w:val="20"/>
          </w:rPr>
          <w:t>10.1111/j.1600-</w:t>
        </w:r>
        <w:proofErr w:type="gramStart"/>
        <w:r w:rsidRPr="006C5C45">
          <w:rPr>
            <w:rStyle w:val="Hyperlink"/>
            <w:rFonts w:ascii="Times New Roman" w:hAnsi="Times New Roman" w:cs="Times New Roman"/>
            <w:iCs/>
            <w:sz w:val="20"/>
            <w:szCs w:val="20"/>
          </w:rPr>
          <w:t>0536.1999.tb</w:t>
        </w:r>
        <w:proofErr w:type="gramEnd"/>
        <w:r w:rsidRPr="006C5C45">
          <w:rPr>
            <w:rStyle w:val="Hyperlink"/>
            <w:rFonts w:ascii="Times New Roman" w:hAnsi="Times New Roman" w:cs="Times New Roman"/>
            <w:iCs/>
            <w:sz w:val="20"/>
            <w:szCs w:val="20"/>
          </w:rPr>
          <w:t>06056.x</w:t>
        </w:r>
      </w:hyperlink>
      <w:r w:rsidRPr="006C5C45">
        <w:rPr>
          <w:rFonts w:ascii="Times New Roman" w:hAnsi="Times New Roman" w:cs="Times New Roman"/>
          <w:iCs/>
          <w:sz w:val="20"/>
          <w:szCs w:val="20"/>
        </w:rPr>
        <w:t>. </w:t>
      </w:r>
      <w:hyperlink r:id="rId39" w:tooltip="PMID (identifier)" w:history="1">
        <w:r w:rsidRPr="006C5C45">
          <w:rPr>
            <w:rStyle w:val="Hyperlink"/>
            <w:rFonts w:ascii="Times New Roman" w:hAnsi="Times New Roman" w:cs="Times New Roman"/>
            <w:iCs/>
            <w:sz w:val="20"/>
            <w:szCs w:val="20"/>
          </w:rPr>
          <w:t>PMID</w:t>
        </w:r>
      </w:hyperlink>
      <w:r w:rsidRPr="006C5C45">
        <w:rPr>
          <w:rFonts w:ascii="Times New Roman" w:hAnsi="Times New Roman" w:cs="Times New Roman"/>
          <w:iCs/>
          <w:sz w:val="20"/>
          <w:szCs w:val="20"/>
        </w:rPr>
        <w:t> </w:t>
      </w:r>
      <w:hyperlink r:id="rId40" w:history="1">
        <w:r w:rsidRPr="006C5C45">
          <w:rPr>
            <w:rStyle w:val="Hyperlink"/>
            <w:rFonts w:ascii="Times New Roman" w:hAnsi="Times New Roman" w:cs="Times New Roman"/>
            <w:iCs/>
            <w:sz w:val="20"/>
            <w:szCs w:val="20"/>
          </w:rPr>
          <w:t>10344477</w:t>
        </w:r>
      </w:hyperlink>
      <w:r w:rsidRPr="006C5C45">
        <w:rPr>
          <w:rFonts w:ascii="Times New Roman" w:hAnsi="Times New Roman" w:cs="Times New Roman"/>
          <w:iCs/>
          <w:sz w:val="20"/>
          <w:szCs w:val="20"/>
        </w:rPr>
        <w:t>. </w:t>
      </w:r>
      <w:hyperlink r:id="rId41" w:tooltip="S2CID (identifier)" w:history="1">
        <w:r w:rsidRPr="006C5C45">
          <w:rPr>
            <w:rStyle w:val="Hyperlink"/>
            <w:rFonts w:ascii="Times New Roman" w:hAnsi="Times New Roman" w:cs="Times New Roman"/>
            <w:iCs/>
            <w:sz w:val="20"/>
            <w:szCs w:val="20"/>
          </w:rPr>
          <w:t>S2CID</w:t>
        </w:r>
      </w:hyperlink>
      <w:r w:rsidRPr="006C5C45">
        <w:rPr>
          <w:rFonts w:ascii="Times New Roman" w:hAnsi="Times New Roman" w:cs="Times New Roman"/>
          <w:iCs/>
          <w:sz w:val="20"/>
          <w:szCs w:val="20"/>
        </w:rPr>
        <w:t> </w:t>
      </w:r>
      <w:hyperlink r:id="rId42" w:history="1">
        <w:r w:rsidRPr="006C5C45">
          <w:rPr>
            <w:rStyle w:val="Hyperlink"/>
            <w:rFonts w:ascii="Times New Roman" w:hAnsi="Times New Roman" w:cs="Times New Roman"/>
            <w:iCs/>
            <w:sz w:val="20"/>
            <w:szCs w:val="20"/>
          </w:rPr>
          <w:t>10409476</w:t>
        </w:r>
      </w:hyperlink>
      <w:r w:rsidRPr="006C5C45">
        <w:rPr>
          <w:rFonts w:ascii="Times New Roman" w:hAnsi="Times New Roman" w:cs="Times New Roman"/>
          <w:iCs/>
          <w:sz w:val="20"/>
          <w:szCs w:val="20"/>
        </w:rPr>
        <w:t>.</w:t>
      </w:r>
    </w:p>
    <w:tbl>
      <w:tblPr>
        <w:tblW w:w="0" w:type="auto"/>
        <w:tblCellMar>
          <w:top w:w="15" w:type="dxa"/>
          <w:left w:w="15" w:type="dxa"/>
          <w:bottom w:w="15" w:type="dxa"/>
          <w:right w:w="15" w:type="dxa"/>
        </w:tblCellMar>
        <w:tblLook w:val="04A0" w:firstRow="1" w:lastRow="0" w:firstColumn="1" w:lastColumn="0" w:noHBand="0" w:noVBand="1"/>
      </w:tblPr>
      <w:tblGrid>
        <w:gridCol w:w="9026"/>
      </w:tblGrid>
      <w:tr w:rsidR="006C5C45" w:rsidRPr="006C5C45" w14:paraId="0F60BDF9" w14:textId="77777777" w:rsidTr="00CA5965">
        <w:tc>
          <w:tcPr>
            <w:tcW w:w="0" w:type="auto"/>
            <w:hideMark/>
          </w:tcPr>
          <w:p w14:paraId="5AA537F6" w14:textId="7FC0D2D5" w:rsidR="006C5C45" w:rsidRPr="006C5C45" w:rsidRDefault="006C5C45" w:rsidP="006C5C45">
            <w:pPr>
              <w:spacing w:line="240" w:lineRule="auto"/>
              <w:jc w:val="both"/>
              <w:rPr>
                <w:rFonts w:ascii="Times New Roman" w:hAnsi="Times New Roman" w:cs="Times New Roman"/>
                <w:sz w:val="20"/>
                <w:szCs w:val="20"/>
              </w:rPr>
            </w:pPr>
            <w:r w:rsidRPr="006C5C45">
              <w:rPr>
                <w:rFonts w:ascii="Times New Roman" w:hAnsi="Times New Roman" w:cs="Times New Roman"/>
                <w:sz w:val="20"/>
                <w:szCs w:val="20"/>
              </w:rPr>
              <w:t xml:space="preserve">27. Dhruv D. The Study of Sodium Lauryl </w:t>
            </w:r>
            <w:proofErr w:type="spellStart"/>
            <w:r w:rsidRPr="006C5C45">
              <w:rPr>
                <w:rFonts w:ascii="Times New Roman" w:hAnsi="Times New Roman" w:cs="Times New Roman"/>
                <w:sz w:val="20"/>
                <w:szCs w:val="20"/>
              </w:rPr>
              <w:t>Sulfate</w:t>
            </w:r>
            <w:proofErr w:type="spellEnd"/>
            <w:r w:rsidRPr="006C5C45">
              <w:rPr>
                <w:rFonts w:ascii="Times New Roman" w:hAnsi="Times New Roman" w:cs="Times New Roman"/>
                <w:sz w:val="20"/>
                <w:szCs w:val="20"/>
              </w:rPr>
              <w:t xml:space="preserve"> (SLS) Toxicity. J Clin Toxicol. 2023;13.</w:t>
            </w:r>
          </w:p>
        </w:tc>
      </w:tr>
      <w:tr w:rsidR="006C5C45" w:rsidRPr="006C5C45" w14:paraId="7CEA8E27" w14:textId="77777777" w:rsidTr="00CA5965">
        <w:tc>
          <w:tcPr>
            <w:tcW w:w="0" w:type="auto"/>
          </w:tcPr>
          <w:p w14:paraId="4D5C6381" w14:textId="45E606C5" w:rsidR="006C5C45" w:rsidRPr="006C5C45" w:rsidRDefault="006C5C45" w:rsidP="006C5C45">
            <w:pPr>
              <w:spacing w:line="240" w:lineRule="auto"/>
              <w:jc w:val="both"/>
              <w:rPr>
                <w:rFonts w:ascii="Times New Roman" w:hAnsi="Times New Roman" w:cs="Times New Roman"/>
                <w:sz w:val="20"/>
                <w:szCs w:val="20"/>
              </w:rPr>
            </w:pPr>
            <w:r w:rsidRPr="006C5C45">
              <w:rPr>
                <w:rFonts w:ascii="Times New Roman" w:hAnsi="Times New Roman" w:cs="Times New Roman"/>
                <w:sz w:val="20"/>
                <w:szCs w:val="20"/>
              </w:rPr>
              <w:t xml:space="preserve">28. Healthy Choices. Sodium Lauryl Sulphate. Available at: http://www.healthy choices.co.uk/sls.html. Accessed June 30, 2015. </w:t>
            </w:r>
          </w:p>
          <w:p w14:paraId="6C623715" w14:textId="5D708E65" w:rsidR="006C5C45" w:rsidRPr="006C5C45" w:rsidRDefault="006C5C45" w:rsidP="006C5C45">
            <w:pPr>
              <w:spacing w:line="240" w:lineRule="auto"/>
              <w:jc w:val="both"/>
              <w:rPr>
                <w:rFonts w:ascii="Times New Roman" w:hAnsi="Times New Roman" w:cs="Times New Roman"/>
                <w:sz w:val="20"/>
                <w:szCs w:val="20"/>
              </w:rPr>
            </w:pPr>
            <w:r w:rsidRPr="006C5C45">
              <w:rPr>
                <w:rFonts w:ascii="Times New Roman" w:hAnsi="Times New Roman" w:cs="Times New Roman"/>
                <w:sz w:val="20"/>
                <w:szCs w:val="20"/>
              </w:rPr>
              <w:t xml:space="preserve">29. Health Report. Sodium Lauryl Sulphate – Sorting Fact from Fiction. Available at: http:// www.health-report.co.uk/sodium_lauryl_sulphate.html. Accessed July 7, 2015. </w:t>
            </w:r>
          </w:p>
          <w:p w14:paraId="0EE81E10" w14:textId="58C18899" w:rsidR="006C5C45" w:rsidRPr="006C5C45" w:rsidRDefault="006C5C45" w:rsidP="006C5C45">
            <w:pPr>
              <w:spacing w:line="240" w:lineRule="auto"/>
              <w:jc w:val="both"/>
              <w:rPr>
                <w:rFonts w:ascii="Times New Roman" w:hAnsi="Times New Roman" w:cs="Times New Roman"/>
                <w:sz w:val="20"/>
                <w:szCs w:val="20"/>
              </w:rPr>
            </w:pPr>
            <w:r w:rsidRPr="006C5C45">
              <w:rPr>
                <w:rFonts w:ascii="Times New Roman" w:hAnsi="Times New Roman" w:cs="Times New Roman"/>
                <w:sz w:val="20"/>
                <w:szCs w:val="20"/>
              </w:rPr>
              <w:t xml:space="preserve">30. Cosmetic Ingredient Review (CIR). Final report on the safety assessment of sodium lauryl </w:t>
            </w:r>
            <w:proofErr w:type="spellStart"/>
            <w:r w:rsidRPr="006C5C45">
              <w:rPr>
                <w:rFonts w:ascii="Times New Roman" w:hAnsi="Times New Roman" w:cs="Times New Roman"/>
                <w:sz w:val="20"/>
                <w:szCs w:val="20"/>
              </w:rPr>
              <w:t>sulfate</w:t>
            </w:r>
            <w:proofErr w:type="spellEnd"/>
            <w:r w:rsidRPr="006C5C45">
              <w:rPr>
                <w:rFonts w:ascii="Times New Roman" w:hAnsi="Times New Roman" w:cs="Times New Roman"/>
                <w:sz w:val="20"/>
                <w:szCs w:val="20"/>
              </w:rPr>
              <w:t xml:space="preserve"> and ammonium lauryl </w:t>
            </w:r>
            <w:proofErr w:type="spellStart"/>
            <w:r w:rsidRPr="006C5C45">
              <w:rPr>
                <w:rFonts w:ascii="Times New Roman" w:hAnsi="Times New Roman" w:cs="Times New Roman"/>
                <w:sz w:val="20"/>
                <w:szCs w:val="20"/>
              </w:rPr>
              <w:t>sulfate</w:t>
            </w:r>
            <w:proofErr w:type="spellEnd"/>
            <w:r w:rsidRPr="006C5C45">
              <w:rPr>
                <w:rFonts w:ascii="Times New Roman" w:hAnsi="Times New Roman" w:cs="Times New Roman"/>
                <w:sz w:val="20"/>
                <w:szCs w:val="20"/>
              </w:rPr>
              <w:t xml:space="preserve">. Int J </w:t>
            </w:r>
            <w:proofErr w:type="spellStart"/>
            <w:r w:rsidRPr="006C5C45">
              <w:rPr>
                <w:rFonts w:ascii="Times New Roman" w:hAnsi="Times New Roman" w:cs="Times New Roman"/>
                <w:sz w:val="20"/>
                <w:szCs w:val="20"/>
              </w:rPr>
              <w:t>Toxicol</w:t>
            </w:r>
            <w:proofErr w:type="spellEnd"/>
            <w:r w:rsidRPr="006C5C45">
              <w:rPr>
                <w:rFonts w:ascii="Times New Roman" w:hAnsi="Times New Roman" w:cs="Times New Roman"/>
                <w:sz w:val="20"/>
                <w:szCs w:val="20"/>
              </w:rPr>
              <w:t xml:space="preserve">. 1983;2(7):127–81. </w:t>
            </w:r>
          </w:p>
          <w:p w14:paraId="79D601FC" w14:textId="19508A92" w:rsidR="006C5C45" w:rsidRPr="006C5C45" w:rsidRDefault="006C5C45" w:rsidP="006C5C45">
            <w:pPr>
              <w:spacing w:line="240" w:lineRule="auto"/>
              <w:jc w:val="both"/>
              <w:rPr>
                <w:rFonts w:ascii="Times New Roman" w:hAnsi="Times New Roman" w:cs="Times New Roman"/>
                <w:sz w:val="20"/>
                <w:szCs w:val="20"/>
              </w:rPr>
            </w:pPr>
            <w:r w:rsidRPr="006C5C45">
              <w:rPr>
                <w:rFonts w:ascii="Times New Roman" w:hAnsi="Times New Roman" w:cs="Times New Roman"/>
                <w:sz w:val="20"/>
                <w:szCs w:val="20"/>
              </w:rPr>
              <w:t xml:space="preserve">31. </w:t>
            </w:r>
            <w:proofErr w:type="spellStart"/>
            <w:r w:rsidRPr="006C5C45">
              <w:rPr>
                <w:rFonts w:ascii="Times New Roman" w:hAnsi="Times New Roman" w:cs="Times New Roman"/>
                <w:sz w:val="20"/>
                <w:szCs w:val="20"/>
              </w:rPr>
              <w:t>Gloxhuber</w:t>
            </w:r>
            <w:proofErr w:type="spellEnd"/>
            <w:r w:rsidRPr="006C5C45">
              <w:rPr>
                <w:rFonts w:ascii="Times New Roman" w:hAnsi="Times New Roman" w:cs="Times New Roman"/>
                <w:sz w:val="20"/>
                <w:szCs w:val="20"/>
              </w:rPr>
              <w:t xml:space="preserve"> C, </w:t>
            </w:r>
            <w:proofErr w:type="spellStart"/>
            <w:r w:rsidRPr="006C5C45">
              <w:rPr>
                <w:rFonts w:ascii="Times New Roman" w:hAnsi="Times New Roman" w:cs="Times New Roman"/>
                <w:sz w:val="20"/>
                <w:szCs w:val="20"/>
              </w:rPr>
              <w:t>Künstler</w:t>
            </w:r>
            <w:proofErr w:type="spellEnd"/>
            <w:r w:rsidRPr="006C5C45">
              <w:rPr>
                <w:rFonts w:ascii="Times New Roman" w:hAnsi="Times New Roman" w:cs="Times New Roman"/>
                <w:sz w:val="20"/>
                <w:szCs w:val="20"/>
              </w:rPr>
              <w:t xml:space="preserve"> K. Anionic Surfactants: Biochemistry, Toxicology, Dermatology. 2nd ed., Vol. 43. New York: Marcel Dekker; 1992. </w:t>
            </w:r>
          </w:p>
          <w:p w14:paraId="221706E7" w14:textId="0B20DE23" w:rsidR="006C5C45" w:rsidRPr="006C5C45" w:rsidRDefault="006C5C45" w:rsidP="006C5C45">
            <w:pPr>
              <w:spacing w:line="240" w:lineRule="auto"/>
              <w:jc w:val="both"/>
              <w:rPr>
                <w:rFonts w:ascii="Times New Roman" w:hAnsi="Times New Roman" w:cs="Times New Roman"/>
                <w:sz w:val="20"/>
                <w:szCs w:val="20"/>
              </w:rPr>
            </w:pPr>
            <w:r w:rsidRPr="006C5C45">
              <w:rPr>
                <w:rFonts w:ascii="Times New Roman" w:hAnsi="Times New Roman" w:cs="Times New Roman"/>
                <w:sz w:val="20"/>
                <w:szCs w:val="20"/>
              </w:rPr>
              <w:t xml:space="preserve">32. Madsen T, Boyd HB, </w:t>
            </w:r>
            <w:proofErr w:type="spellStart"/>
            <w:r w:rsidRPr="006C5C45">
              <w:rPr>
                <w:rFonts w:ascii="Times New Roman" w:hAnsi="Times New Roman" w:cs="Times New Roman"/>
                <w:sz w:val="20"/>
                <w:szCs w:val="20"/>
              </w:rPr>
              <w:t>Nylén</w:t>
            </w:r>
            <w:proofErr w:type="spellEnd"/>
            <w:r w:rsidRPr="006C5C45">
              <w:rPr>
                <w:rFonts w:ascii="Times New Roman" w:hAnsi="Times New Roman" w:cs="Times New Roman"/>
                <w:sz w:val="20"/>
                <w:szCs w:val="20"/>
              </w:rPr>
              <w:t xml:space="preserve"> D, Pedersen AR, Petersen GI, Simonsen F. Environmental and Health Assessment of Substances in Household Detergents and Cosmetic Detergent Products. </w:t>
            </w:r>
            <w:proofErr w:type="spellStart"/>
            <w:r w:rsidRPr="006C5C45">
              <w:rPr>
                <w:rFonts w:ascii="Times New Roman" w:hAnsi="Times New Roman" w:cs="Times New Roman"/>
                <w:sz w:val="20"/>
                <w:szCs w:val="20"/>
              </w:rPr>
              <w:t>Miljøprojekt</w:t>
            </w:r>
            <w:proofErr w:type="spellEnd"/>
            <w:r w:rsidRPr="006C5C45">
              <w:rPr>
                <w:rFonts w:ascii="Times New Roman" w:hAnsi="Times New Roman" w:cs="Times New Roman"/>
                <w:sz w:val="20"/>
                <w:szCs w:val="20"/>
              </w:rPr>
              <w:t xml:space="preserve">: Danish Environmental Protection Agency; 2001 [In Environmental Project No 615]. </w:t>
            </w:r>
          </w:p>
          <w:p w14:paraId="68708430" w14:textId="77777777" w:rsidR="006C5C45" w:rsidRPr="006C5C45" w:rsidRDefault="006C5C45" w:rsidP="006C5C45">
            <w:pPr>
              <w:spacing w:line="240" w:lineRule="auto"/>
              <w:jc w:val="both"/>
              <w:rPr>
                <w:rFonts w:ascii="Times New Roman" w:hAnsi="Times New Roman" w:cs="Times New Roman"/>
                <w:sz w:val="20"/>
                <w:szCs w:val="20"/>
              </w:rPr>
            </w:pPr>
            <w:r w:rsidRPr="006C5C45">
              <w:rPr>
                <w:rFonts w:ascii="Times New Roman" w:hAnsi="Times New Roman" w:cs="Times New Roman"/>
                <w:sz w:val="20"/>
                <w:szCs w:val="20"/>
              </w:rPr>
              <w:t>33. U.S. National Library of Medicine (NIH). TOXNET: Toxicology Data Network. Available at: http://toxnet.nlm.nih.gov/cgi-bin/sis/search2/f?./temp/</w:t>
            </w:r>
            <w:r w:rsidRPr="006C5C45">
              <w:rPr>
                <w:rFonts w:ascii="Cambria Math" w:hAnsi="Cambria Math" w:cs="Cambria Math"/>
                <w:sz w:val="20"/>
                <w:szCs w:val="20"/>
              </w:rPr>
              <w:t>∼</w:t>
            </w:r>
            <w:r w:rsidRPr="006C5C45">
              <w:rPr>
                <w:rFonts w:ascii="Times New Roman" w:hAnsi="Times New Roman" w:cs="Times New Roman"/>
                <w:sz w:val="20"/>
                <w:szCs w:val="20"/>
              </w:rPr>
              <w:t xml:space="preserve">HPylzG:3. Accessed July 8, 2015. </w:t>
            </w:r>
          </w:p>
          <w:p w14:paraId="3F8C0F16" w14:textId="38416247" w:rsidR="006C5C45" w:rsidRPr="006C5C45" w:rsidRDefault="006C5C45" w:rsidP="006C5C45">
            <w:pPr>
              <w:spacing w:line="240" w:lineRule="auto"/>
              <w:jc w:val="both"/>
              <w:rPr>
                <w:rFonts w:ascii="Times New Roman" w:hAnsi="Times New Roman" w:cs="Times New Roman"/>
                <w:sz w:val="20"/>
                <w:szCs w:val="20"/>
              </w:rPr>
            </w:pPr>
            <w:r w:rsidRPr="006C5C45">
              <w:rPr>
                <w:rFonts w:ascii="Times New Roman" w:hAnsi="Times New Roman" w:cs="Times New Roman"/>
                <w:sz w:val="20"/>
                <w:szCs w:val="20"/>
              </w:rPr>
              <w:t xml:space="preserve">34. Singer MM, </w:t>
            </w:r>
            <w:proofErr w:type="spellStart"/>
            <w:r w:rsidRPr="006C5C45">
              <w:rPr>
                <w:rFonts w:ascii="Times New Roman" w:hAnsi="Times New Roman" w:cs="Times New Roman"/>
                <w:sz w:val="20"/>
                <w:szCs w:val="20"/>
              </w:rPr>
              <w:t>Tjeerdema</w:t>
            </w:r>
            <w:proofErr w:type="spellEnd"/>
            <w:r w:rsidRPr="006C5C45">
              <w:rPr>
                <w:rFonts w:ascii="Times New Roman" w:hAnsi="Times New Roman" w:cs="Times New Roman"/>
                <w:sz w:val="20"/>
                <w:szCs w:val="20"/>
              </w:rPr>
              <w:t xml:space="preserve"> RS. Fate and effects of the surfactant sodium dodecyl </w:t>
            </w:r>
            <w:proofErr w:type="spellStart"/>
            <w:r w:rsidRPr="006C5C45">
              <w:rPr>
                <w:rFonts w:ascii="Times New Roman" w:hAnsi="Times New Roman" w:cs="Times New Roman"/>
                <w:sz w:val="20"/>
                <w:szCs w:val="20"/>
              </w:rPr>
              <w:t>sulfate</w:t>
            </w:r>
            <w:proofErr w:type="spellEnd"/>
            <w:r w:rsidRPr="006C5C45">
              <w:rPr>
                <w:rFonts w:ascii="Times New Roman" w:hAnsi="Times New Roman" w:cs="Times New Roman"/>
                <w:sz w:val="20"/>
                <w:szCs w:val="20"/>
              </w:rPr>
              <w:t xml:space="preserve">. Rev Environ </w:t>
            </w:r>
            <w:proofErr w:type="spellStart"/>
            <w:r w:rsidRPr="006C5C45">
              <w:rPr>
                <w:rFonts w:ascii="Times New Roman" w:hAnsi="Times New Roman" w:cs="Times New Roman"/>
                <w:sz w:val="20"/>
                <w:szCs w:val="20"/>
              </w:rPr>
              <w:t>Contam</w:t>
            </w:r>
            <w:proofErr w:type="spellEnd"/>
            <w:r w:rsidRPr="006C5C45">
              <w:rPr>
                <w:rFonts w:ascii="Times New Roman" w:hAnsi="Times New Roman" w:cs="Times New Roman"/>
                <w:sz w:val="20"/>
                <w:szCs w:val="20"/>
              </w:rPr>
              <w:t xml:space="preserve"> </w:t>
            </w:r>
            <w:proofErr w:type="spellStart"/>
            <w:r w:rsidRPr="006C5C45">
              <w:rPr>
                <w:rFonts w:ascii="Times New Roman" w:hAnsi="Times New Roman" w:cs="Times New Roman"/>
                <w:sz w:val="20"/>
                <w:szCs w:val="20"/>
              </w:rPr>
              <w:t>Toxicol</w:t>
            </w:r>
            <w:proofErr w:type="spellEnd"/>
            <w:r w:rsidRPr="006C5C45">
              <w:rPr>
                <w:rFonts w:ascii="Times New Roman" w:hAnsi="Times New Roman" w:cs="Times New Roman"/>
                <w:sz w:val="20"/>
                <w:szCs w:val="20"/>
              </w:rPr>
              <w:t xml:space="preserve">. </w:t>
            </w:r>
            <w:proofErr w:type="gramStart"/>
            <w:r w:rsidRPr="006C5C45">
              <w:rPr>
                <w:rFonts w:ascii="Times New Roman" w:hAnsi="Times New Roman" w:cs="Times New Roman"/>
                <w:sz w:val="20"/>
                <w:szCs w:val="20"/>
              </w:rPr>
              <w:t>1993;133:95</w:t>
            </w:r>
            <w:proofErr w:type="gramEnd"/>
            <w:r w:rsidRPr="006C5C45">
              <w:rPr>
                <w:rFonts w:ascii="Times New Roman" w:hAnsi="Times New Roman" w:cs="Times New Roman"/>
                <w:sz w:val="20"/>
                <w:szCs w:val="20"/>
              </w:rPr>
              <w:t xml:space="preserve">–149. </w:t>
            </w:r>
          </w:p>
          <w:p w14:paraId="74CF6E1B" w14:textId="6D492E92" w:rsidR="006C5C45" w:rsidRPr="006C5C45" w:rsidRDefault="006C5C45" w:rsidP="006C5C45">
            <w:pPr>
              <w:pStyle w:val="NormalWeb"/>
              <w:jc w:val="both"/>
              <w:rPr>
                <w:sz w:val="20"/>
                <w:szCs w:val="20"/>
              </w:rPr>
            </w:pPr>
            <w:r w:rsidRPr="006C5C45">
              <w:rPr>
                <w:sz w:val="20"/>
                <w:szCs w:val="20"/>
              </w:rPr>
              <w:t xml:space="preserve">35. Fitzhugh OG and Nelson AA (1948). Chronic Oral Toxicities of Surface-Active Agents, J Pharm Sci 37: 29–32.               </w:t>
            </w:r>
          </w:p>
          <w:p w14:paraId="54BFF5DF" w14:textId="1B163BE1" w:rsidR="006C5C45" w:rsidRPr="006C5C45" w:rsidRDefault="006C5C45" w:rsidP="006C5C45">
            <w:pPr>
              <w:pStyle w:val="NormalWeb"/>
              <w:jc w:val="both"/>
              <w:rPr>
                <w:sz w:val="20"/>
                <w:szCs w:val="20"/>
              </w:rPr>
            </w:pPr>
            <w:r w:rsidRPr="006C5C45">
              <w:rPr>
                <w:sz w:val="20"/>
                <w:szCs w:val="20"/>
              </w:rPr>
              <w:t xml:space="preserve">36. Takahashi A, H, Kubo Y, and Hiraga K. (1976). Effects of dermal application of Sodium Dodecyl </w:t>
            </w:r>
            <w:proofErr w:type="spellStart"/>
            <w:r w:rsidRPr="006C5C45">
              <w:rPr>
                <w:sz w:val="20"/>
                <w:szCs w:val="20"/>
              </w:rPr>
              <w:t>Sulfate</w:t>
            </w:r>
            <w:proofErr w:type="spellEnd"/>
            <w:r w:rsidRPr="006C5C45">
              <w:rPr>
                <w:sz w:val="20"/>
                <w:szCs w:val="20"/>
              </w:rPr>
              <w:t xml:space="preserve"> (SDS) on pregnant mice and their </w:t>
            </w:r>
            <w:proofErr w:type="spellStart"/>
            <w:r w:rsidRPr="006C5C45">
              <w:rPr>
                <w:sz w:val="20"/>
                <w:szCs w:val="20"/>
              </w:rPr>
              <w:t>fetuses</w:t>
            </w:r>
            <w:proofErr w:type="spellEnd"/>
            <w:r w:rsidRPr="006C5C45">
              <w:rPr>
                <w:sz w:val="20"/>
                <w:szCs w:val="20"/>
              </w:rPr>
              <w:t xml:space="preserve">. Tokyo </w:t>
            </w:r>
            <w:proofErr w:type="spellStart"/>
            <w:r w:rsidRPr="006C5C45">
              <w:rPr>
                <w:sz w:val="20"/>
                <w:szCs w:val="20"/>
              </w:rPr>
              <w:t>Toritsu</w:t>
            </w:r>
            <w:proofErr w:type="spellEnd"/>
            <w:r w:rsidRPr="006C5C45">
              <w:rPr>
                <w:sz w:val="20"/>
                <w:szCs w:val="20"/>
              </w:rPr>
              <w:t xml:space="preserve"> </w:t>
            </w:r>
            <w:proofErr w:type="spellStart"/>
            <w:r w:rsidRPr="006C5C45">
              <w:rPr>
                <w:sz w:val="20"/>
                <w:szCs w:val="20"/>
              </w:rPr>
              <w:t>Eisei</w:t>
            </w:r>
            <w:proofErr w:type="spellEnd"/>
            <w:r w:rsidRPr="006C5C45">
              <w:rPr>
                <w:sz w:val="20"/>
                <w:szCs w:val="20"/>
              </w:rPr>
              <w:t xml:space="preserve"> </w:t>
            </w:r>
            <w:proofErr w:type="spellStart"/>
            <w:r w:rsidRPr="006C5C45">
              <w:rPr>
                <w:sz w:val="20"/>
                <w:szCs w:val="20"/>
              </w:rPr>
              <w:t>Kenkytusho</w:t>
            </w:r>
            <w:proofErr w:type="spellEnd"/>
            <w:r w:rsidRPr="006C5C45">
              <w:rPr>
                <w:sz w:val="20"/>
                <w:szCs w:val="20"/>
              </w:rPr>
              <w:t xml:space="preserve"> </w:t>
            </w:r>
            <w:proofErr w:type="spellStart"/>
            <w:r w:rsidRPr="006C5C45">
              <w:rPr>
                <w:sz w:val="20"/>
                <w:szCs w:val="20"/>
              </w:rPr>
              <w:t>Kenkyu</w:t>
            </w:r>
            <w:proofErr w:type="spellEnd"/>
            <w:r w:rsidRPr="006C5C45">
              <w:rPr>
                <w:sz w:val="20"/>
                <w:szCs w:val="20"/>
              </w:rPr>
              <w:t xml:space="preserve"> </w:t>
            </w:r>
            <w:proofErr w:type="spellStart"/>
            <w:r w:rsidRPr="006C5C45">
              <w:rPr>
                <w:sz w:val="20"/>
                <w:szCs w:val="20"/>
              </w:rPr>
              <w:t>Nempo</w:t>
            </w:r>
            <w:proofErr w:type="spellEnd"/>
            <w:r w:rsidRPr="006C5C45">
              <w:rPr>
                <w:sz w:val="20"/>
                <w:szCs w:val="20"/>
              </w:rPr>
              <w:t xml:space="preserve"> 27: 113–8.</w:t>
            </w:r>
          </w:p>
          <w:p w14:paraId="492D958F" w14:textId="77777777" w:rsidR="006C5C45" w:rsidRPr="006C5C45" w:rsidRDefault="006C5C45" w:rsidP="006C5C45">
            <w:pPr>
              <w:spacing w:line="240" w:lineRule="auto"/>
              <w:jc w:val="both"/>
              <w:rPr>
                <w:rFonts w:ascii="Times New Roman" w:hAnsi="Times New Roman" w:cs="Times New Roman"/>
                <w:sz w:val="20"/>
                <w:szCs w:val="20"/>
              </w:rPr>
            </w:pPr>
          </w:p>
          <w:p w14:paraId="7B2B9D2C" w14:textId="77777777" w:rsidR="006C5C45" w:rsidRPr="006C5C45" w:rsidRDefault="006C5C45" w:rsidP="006C5C45">
            <w:pPr>
              <w:spacing w:line="240" w:lineRule="auto"/>
              <w:jc w:val="both"/>
              <w:rPr>
                <w:rFonts w:ascii="Times New Roman" w:hAnsi="Times New Roman" w:cs="Times New Roman"/>
                <w:sz w:val="20"/>
                <w:szCs w:val="20"/>
              </w:rPr>
            </w:pPr>
          </w:p>
          <w:p w14:paraId="5A229CE9" w14:textId="77777777" w:rsidR="006C5C45" w:rsidRPr="006C5C45" w:rsidRDefault="006C5C45" w:rsidP="006C5C45">
            <w:pPr>
              <w:spacing w:line="240" w:lineRule="auto"/>
              <w:jc w:val="both"/>
              <w:rPr>
                <w:rFonts w:ascii="Times New Roman" w:hAnsi="Times New Roman" w:cs="Times New Roman"/>
                <w:sz w:val="20"/>
                <w:szCs w:val="20"/>
              </w:rPr>
            </w:pPr>
          </w:p>
        </w:tc>
      </w:tr>
    </w:tbl>
    <w:p w14:paraId="0D64B8A0" w14:textId="77777777" w:rsidR="006C5C45" w:rsidRPr="006C5C45" w:rsidRDefault="006C5C45" w:rsidP="006C5C45">
      <w:pPr>
        <w:spacing w:line="240" w:lineRule="auto"/>
        <w:jc w:val="both"/>
        <w:rPr>
          <w:rFonts w:ascii="Times New Roman" w:hAnsi="Times New Roman" w:cs="Times New Roman"/>
          <w:sz w:val="20"/>
          <w:szCs w:val="20"/>
        </w:rPr>
      </w:pPr>
    </w:p>
    <w:p w14:paraId="7BDC3CF3" w14:textId="77777777" w:rsidR="006C5C45" w:rsidRPr="006C5C45" w:rsidRDefault="006C5C45" w:rsidP="006C5C45">
      <w:pPr>
        <w:spacing w:line="240" w:lineRule="auto"/>
        <w:jc w:val="both"/>
        <w:rPr>
          <w:rFonts w:ascii="Times New Roman" w:hAnsi="Times New Roman" w:cs="Times New Roman"/>
          <w:sz w:val="20"/>
          <w:szCs w:val="20"/>
        </w:rPr>
      </w:pPr>
    </w:p>
    <w:p w14:paraId="36E874F5" w14:textId="77777777" w:rsidR="006C5C45" w:rsidRPr="006C5C45" w:rsidRDefault="006C5C45" w:rsidP="006C5C45">
      <w:pPr>
        <w:pStyle w:val="NormalWeb"/>
        <w:jc w:val="both"/>
        <w:rPr>
          <w:sz w:val="20"/>
          <w:szCs w:val="20"/>
        </w:rPr>
      </w:pPr>
    </w:p>
    <w:p w14:paraId="09EEFCB8" w14:textId="77777777" w:rsidR="00064798" w:rsidRPr="006C5C45" w:rsidRDefault="00064798" w:rsidP="006C5C45">
      <w:pPr>
        <w:spacing w:line="240" w:lineRule="auto"/>
        <w:jc w:val="both"/>
        <w:rPr>
          <w:rFonts w:ascii="Times New Roman" w:hAnsi="Times New Roman" w:cs="Times New Roman"/>
          <w:b/>
          <w:sz w:val="20"/>
          <w:szCs w:val="20"/>
        </w:rPr>
      </w:pPr>
    </w:p>
    <w:sectPr w:rsidR="00064798" w:rsidRPr="006C5C45" w:rsidSect="003E454C">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DBA0A" w14:textId="77777777" w:rsidR="003338E6" w:rsidRDefault="003338E6" w:rsidP="0034766F">
      <w:pPr>
        <w:spacing w:after="0" w:line="240" w:lineRule="auto"/>
      </w:pPr>
      <w:r>
        <w:separator/>
      </w:r>
    </w:p>
  </w:endnote>
  <w:endnote w:type="continuationSeparator" w:id="0">
    <w:p w14:paraId="510B72B3" w14:textId="77777777" w:rsidR="003338E6" w:rsidRDefault="003338E6" w:rsidP="00347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AA3DF" w14:textId="77777777" w:rsidR="0034766F" w:rsidRDefault="003476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C353C" w14:textId="77777777" w:rsidR="0034766F" w:rsidRDefault="003476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F729B" w14:textId="77777777" w:rsidR="0034766F" w:rsidRDefault="00347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1BB76" w14:textId="77777777" w:rsidR="003338E6" w:rsidRDefault="003338E6" w:rsidP="0034766F">
      <w:pPr>
        <w:spacing w:after="0" w:line="240" w:lineRule="auto"/>
      </w:pPr>
      <w:r>
        <w:separator/>
      </w:r>
    </w:p>
  </w:footnote>
  <w:footnote w:type="continuationSeparator" w:id="0">
    <w:p w14:paraId="0073213D" w14:textId="77777777" w:rsidR="003338E6" w:rsidRDefault="003338E6" w:rsidP="00347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38E82" w14:textId="4C5EB152" w:rsidR="0034766F" w:rsidRDefault="0034766F">
    <w:pPr>
      <w:pStyle w:val="Header"/>
    </w:pPr>
    <w:r>
      <w:rPr>
        <w:noProof/>
      </w:rPr>
      <w:pict w14:anchorId="5F2C9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238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E4CF1" w14:textId="1180D668" w:rsidR="0034766F" w:rsidRDefault="0034766F">
    <w:pPr>
      <w:pStyle w:val="Header"/>
    </w:pPr>
    <w:r>
      <w:rPr>
        <w:noProof/>
      </w:rPr>
      <w:pict w14:anchorId="03CE04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238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BCA57" w14:textId="43DB2748" w:rsidR="0034766F" w:rsidRDefault="0034766F">
    <w:pPr>
      <w:pStyle w:val="Header"/>
    </w:pPr>
    <w:r>
      <w:rPr>
        <w:noProof/>
      </w:rPr>
      <w:pict w14:anchorId="1BC732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238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54C"/>
    <w:rsid w:val="00064798"/>
    <w:rsid w:val="000B49CE"/>
    <w:rsid w:val="000E3815"/>
    <w:rsid w:val="0011193E"/>
    <w:rsid w:val="00143E5A"/>
    <w:rsid w:val="0015706D"/>
    <w:rsid w:val="00164C7E"/>
    <w:rsid w:val="001B5910"/>
    <w:rsid w:val="00271DC9"/>
    <w:rsid w:val="002950F6"/>
    <w:rsid w:val="0029714B"/>
    <w:rsid w:val="002A548D"/>
    <w:rsid w:val="002D6EC1"/>
    <w:rsid w:val="002F71F3"/>
    <w:rsid w:val="003338E6"/>
    <w:rsid w:val="0034766F"/>
    <w:rsid w:val="003C274B"/>
    <w:rsid w:val="003E11FC"/>
    <w:rsid w:val="003E454C"/>
    <w:rsid w:val="00477482"/>
    <w:rsid w:val="00491502"/>
    <w:rsid w:val="004A46CD"/>
    <w:rsid w:val="004E37A9"/>
    <w:rsid w:val="00501DFC"/>
    <w:rsid w:val="005A0FE2"/>
    <w:rsid w:val="00681749"/>
    <w:rsid w:val="006C5C45"/>
    <w:rsid w:val="006E5137"/>
    <w:rsid w:val="0078633C"/>
    <w:rsid w:val="007D464A"/>
    <w:rsid w:val="008672CE"/>
    <w:rsid w:val="0087427A"/>
    <w:rsid w:val="008A2AB1"/>
    <w:rsid w:val="008B16FF"/>
    <w:rsid w:val="00947339"/>
    <w:rsid w:val="00956342"/>
    <w:rsid w:val="009D4F8E"/>
    <w:rsid w:val="009F2E25"/>
    <w:rsid w:val="00A43DB7"/>
    <w:rsid w:val="00B02A28"/>
    <w:rsid w:val="00B074AE"/>
    <w:rsid w:val="00C77FCD"/>
    <w:rsid w:val="00CF1FF6"/>
    <w:rsid w:val="00DB564E"/>
    <w:rsid w:val="00E05142"/>
    <w:rsid w:val="00E35631"/>
    <w:rsid w:val="00E749A8"/>
    <w:rsid w:val="00E8624C"/>
    <w:rsid w:val="00F73BD0"/>
    <w:rsid w:val="00F82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8A657A"/>
  <w15:chartTrackingRefBased/>
  <w15:docId w15:val="{1DC5A2E6-30B2-4D95-947B-EEA0DA76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45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E454C"/>
    <w:rPr>
      <w:b/>
      <w:bCs/>
    </w:rPr>
  </w:style>
  <w:style w:type="character" w:styleId="Hyperlink">
    <w:name w:val="Hyperlink"/>
    <w:basedOn w:val="DefaultParagraphFont"/>
    <w:uiPriority w:val="99"/>
    <w:unhideWhenUsed/>
    <w:rsid w:val="00064798"/>
    <w:rPr>
      <w:color w:val="0000FF"/>
      <w:u w:val="single"/>
    </w:rPr>
  </w:style>
  <w:style w:type="character" w:styleId="Emphasis">
    <w:name w:val="Emphasis"/>
    <w:basedOn w:val="DefaultParagraphFont"/>
    <w:uiPriority w:val="20"/>
    <w:qFormat/>
    <w:rsid w:val="008A2AB1"/>
    <w:rPr>
      <w:i/>
      <w:iCs/>
    </w:rPr>
  </w:style>
  <w:style w:type="table" w:styleId="TableGrid">
    <w:name w:val="Table Grid"/>
    <w:basedOn w:val="TableNormal"/>
    <w:uiPriority w:val="39"/>
    <w:rsid w:val="00E05142"/>
    <w:pPr>
      <w:spacing w:after="0" w:line="240" w:lineRule="auto"/>
    </w:pPr>
    <w:rPr>
      <w:kern w:val="2"/>
      <w:szCs w:val="28"/>
      <w:lang w:val="en-IN" w:bidi="th-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6342"/>
    <w:rPr>
      <w:color w:val="605E5C"/>
      <w:shd w:val="clear" w:color="auto" w:fill="E1DFDD"/>
    </w:rPr>
  </w:style>
  <w:style w:type="paragraph" w:styleId="Header">
    <w:name w:val="header"/>
    <w:basedOn w:val="Normal"/>
    <w:link w:val="HeaderChar"/>
    <w:uiPriority w:val="99"/>
    <w:unhideWhenUsed/>
    <w:rsid w:val="00347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66F"/>
  </w:style>
  <w:style w:type="paragraph" w:styleId="Footer">
    <w:name w:val="footer"/>
    <w:basedOn w:val="Normal"/>
    <w:link w:val="FooterChar"/>
    <w:uiPriority w:val="99"/>
    <w:unhideWhenUsed/>
    <w:rsid w:val="00347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064529">
      <w:bodyDiv w:val="1"/>
      <w:marLeft w:val="0"/>
      <w:marRight w:val="0"/>
      <w:marTop w:val="0"/>
      <w:marBottom w:val="0"/>
      <w:divBdr>
        <w:top w:val="none" w:sz="0" w:space="0" w:color="auto"/>
        <w:left w:val="none" w:sz="0" w:space="0" w:color="auto"/>
        <w:bottom w:val="none" w:sz="0" w:space="0" w:color="auto"/>
        <w:right w:val="none" w:sz="0" w:space="0" w:color="auto"/>
      </w:divBdr>
    </w:div>
    <w:div w:id="334765610">
      <w:bodyDiv w:val="1"/>
      <w:marLeft w:val="0"/>
      <w:marRight w:val="0"/>
      <w:marTop w:val="0"/>
      <w:marBottom w:val="0"/>
      <w:divBdr>
        <w:top w:val="none" w:sz="0" w:space="0" w:color="auto"/>
        <w:left w:val="none" w:sz="0" w:space="0" w:color="auto"/>
        <w:bottom w:val="none" w:sz="0" w:space="0" w:color="auto"/>
        <w:right w:val="none" w:sz="0" w:space="0" w:color="auto"/>
      </w:divBdr>
    </w:div>
    <w:div w:id="356658856">
      <w:bodyDiv w:val="1"/>
      <w:marLeft w:val="0"/>
      <w:marRight w:val="0"/>
      <w:marTop w:val="0"/>
      <w:marBottom w:val="0"/>
      <w:divBdr>
        <w:top w:val="none" w:sz="0" w:space="0" w:color="auto"/>
        <w:left w:val="none" w:sz="0" w:space="0" w:color="auto"/>
        <w:bottom w:val="none" w:sz="0" w:space="0" w:color="auto"/>
        <w:right w:val="none" w:sz="0" w:space="0" w:color="auto"/>
      </w:divBdr>
    </w:div>
    <w:div w:id="551039315">
      <w:bodyDiv w:val="1"/>
      <w:marLeft w:val="0"/>
      <w:marRight w:val="0"/>
      <w:marTop w:val="0"/>
      <w:marBottom w:val="0"/>
      <w:divBdr>
        <w:top w:val="none" w:sz="0" w:space="0" w:color="auto"/>
        <w:left w:val="none" w:sz="0" w:space="0" w:color="auto"/>
        <w:bottom w:val="none" w:sz="0" w:space="0" w:color="auto"/>
        <w:right w:val="none" w:sz="0" w:space="0" w:color="auto"/>
      </w:divBdr>
    </w:div>
    <w:div w:id="660306066">
      <w:bodyDiv w:val="1"/>
      <w:marLeft w:val="0"/>
      <w:marRight w:val="0"/>
      <w:marTop w:val="0"/>
      <w:marBottom w:val="0"/>
      <w:divBdr>
        <w:top w:val="none" w:sz="0" w:space="0" w:color="auto"/>
        <w:left w:val="none" w:sz="0" w:space="0" w:color="auto"/>
        <w:bottom w:val="none" w:sz="0" w:space="0" w:color="auto"/>
        <w:right w:val="none" w:sz="0" w:space="0" w:color="auto"/>
      </w:divBdr>
    </w:div>
    <w:div w:id="949775736">
      <w:bodyDiv w:val="1"/>
      <w:marLeft w:val="0"/>
      <w:marRight w:val="0"/>
      <w:marTop w:val="0"/>
      <w:marBottom w:val="0"/>
      <w:divBdr>
        <w:top w:val="none" w:sz="0" w:space="0" w:color="auto"/>
        <w:left w:val="none" w:sz="0" w:space="0" w:color="auto"/>
        <w:bottom w:val="none" w:sz="0" w:space="0" w:color="auto"/>
        <w:right w:val="none" w:sz="0" w:space="0" w:color="auto"/>
      </w:divBdr>
    </w:div>
    <w:div w:id="1323121063">
      <w:bodyDiv w:val="1"/>
      <w:marLeft w:val="0"/>
      <w:marRight w:val="0"/>
      <w:marTop w:val="0"/>
      <w:marBottom w:val="0"/>
      <w:divBdr>
        <w:top w:val="none" w:sz="0" w:space="0" w:color="auto"/>
        <w:left w:val="none" w:sz="0" w:space="0" w:color="auto"/>
        <w:bottom w:val="none" w:sz="0" w:space="0" w:color="auto"/>
        <w:right w:val="none" w:sz="0" w:space="0" w:color="auto"/>
      </w:divBdr>
    </w:div>
    <w:div w:id="1434285528">
      <w:bodyDiv w:val="1"/>
      <w:marLeft w:val="0"/>
      <w:marRight w:val="0"/>
      <w:marTop w:val="0"/>
      <w:marBottom w:val="0"/>
      <w:divBdr>
        <w:top w:val="none" w:sz="0" w:space="0" w:color="auto"/>
        <w:left w:val="none" w:sz="0" w:space="0" w:color="auto"/>
        <w:bottom w:val="none" w:sz="0" w:space="0" w:color="auto"/>
        <w:right w:val="none" w:sz="0" w:space="0" w:color="auto"/>
      </w:divBdr>
    </w:div>
    <w:div w:id="1488133616">
      <w:bodyDiv w:val="1"/>
      <w:marLeft w:val="0"/>
      <w:marRight w:val="0"/>
      <w:marTop w:val="0"/>
      <w:marBottom w:val="0"/>
      <w:divBdr>
        <w:top w:val="none" w:sz="0" w:space="0" w:color="auto"/>
        <w:left w:val="none" w:sz="0" w:space="0" w:color="auto"/>
        <w:bottom w:val="none" w:sz="0" w:space="0" w:color="auto"/>
        <w:right w:val="none" w:sz="0" w:space="0" w:color="auto"/>
      </w:divBdr>
    </w:div>
    <w:div w:id="1655454556">
      <w:bodyDiv w:val="1"/>
      <w:marLeft w:val="0"/>
      <w:marRight w:val="0"/>
      <w:marTop w:val="0"/>
      <w:marBottom w:val="0"/>
      <w:divBdr>
        <w:top w:val="none" w:sz="0" w:space="0" w:color="auto"/>
        <w:left w:val="none" w:sz="0" w:space="0" w:color="auto"/>
        <w:bottom w:val="none" w:sz="0" w:space="0" w:color="auto"/>
        <w:right w:val="none" w:sz="0" w:space="0" w:color="auto"/>
      </w:divBdr>
    </w:div>
    <w:div w:id="1754206196">
      <w:bodyDiv w:val="1"/>
      <w:marLeft w:val="0"/>
      <w:marRight w:val="0"/>
      <w:marTop w:val="0"/>
      <w:marBottom w:val="0"/>
      <w:divBdr>
        <w:top w:val="none" w:sz="0" w:space="0" w:color="auto"/>
        <w:left w:val="none" w:sz="0" w:space="0" w:color="auto"/>
        <w:bottom w:val="none" w:sz="0" w:space="0" w:color="auto"/>
        <w:right w:val="none" w:sz="0" w:space="0" w:color="auto"/>
      </w:divBdr>
    </w:div>
    <w:div w:id="1925531024">
      <w:bodyDiv w:val="1"/>
      <w:marLeft w:val="0"/>
      <w:marRight w:val="0"/>
      <w:marTop w:val="0"/>
      <w:marBottom w:val="0"/>
      <w:divBdr>
        <w:top w:val="none" w:sz="0" w:space="0" w:color="auto"/>
        <w:left w:val="none" w:sz="0" w:space="0" w:color="auto"/>
        <w:bottom w:val="none" w:sz="0" w:space="0" w:color="auto"/>
        <w:right w:val="none" w:sz="0" w:space="0" w:color="auto"/>
      </w:divBdr>
    </w:div>
    <w:div w:id="1982152283">
      <w:bodyDiv w:val="1"/>
      <w:marLeft w:val="0"/>
      <w:marRight w:val="0"/>
      <w:marTop w:val="0"/>
      <w:marBottom w:val="0"/>
      <w:divBdr>
        <w:top w:val="none" w:sz="0" w:space="0" w:color="auto"/>
        <w:left w:val="none" w:sz="0" w:space="0" w:color="auto"/>
        <w:bottom w:val="none" w:sz="0" w:space="0" w:color="auto"/>
        <w:right w:val="none" w:sz="0" w:space="0" w:color="auto"/>
      </w:divBdr>
    </w:div>
    <w:div w:id="212777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m.wikipedia.org/wiki/International_Journal_of_Toxicology" TargetMode="External"/><Relationship Id="rId18" Type="http://schemas.openxmlformats.org/officeDocument/2006/relationships/hyperlink" Target="http://online.personalcarecouncil.org/ctfa-static/online/lists/cir-pdfs/PRN475.pdf" TargetMode="External"/><Relationship Id="rId26" Type="http://schemas.openxmlformats.org/officeDocument/2006/relationships/hyperlink" Target="https://doi.org/10.2340%2F0001555571296300" TargetMode="External"/><Relationship Id="rId39" Type="http://schemas.openxmlformats.org/officeDocument/2006/relationships/hyperlink" Target="https://en.m.wikipedia.org/wiki/PMID_(identifier)" TargetMode="External"/><Relationship Id="rId21" Type="http://schemas.openxmlformats.org/officeDocument/2006/relationships/hyperlink" Target="https://doi.org/10.1159%2F000093112" TargetMode="External"/><Relationship Id="rId34" Type="http://schemas.openxmlformats.org/officeDocument/2006/relationships/hyperlink" Target="https://doi.org/10.1001%2Farchderm.130.11.1402" TargetMode="External"/><Relationship Id="rId42" Type="http://schemas.openxmlformats.org/officeDocument/2006/relationships/hyperlink" Target="https://api.semanticscholar.org/CorpusID:10409476"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n.m.wikipedia.org/wiki/S2CID_(identifier)" TargetMode="External"/><Relationship Id="rId29" Type="http://schemas.openxmlformats.org/officeDocument/2006/relationships/hyperlink" Target="https://en.m.wikipedia.org/wiki/PMID_(identifier)" TargetMode="External"/><Relationship Id="rId11" Type="http://schemas.openxmlformats.org/officeDocument/2006/relationships/hyperlink" Target="https://www.accessdata.fda.gov/scripts/cdrh/cfdocs/cfcfr/cfrsearch.cfm" TargetMode="External"/><Relationship Id="rId24" Type="http://schemas.openxmlformats.org/officeDocument/2006/relationships/hyperlink" Target="https://en.m.wikipedia.org/wiki/S2CID_(identifier)" TargetMode="External"/><Relationship Id="rId32" Type="http://schemas.openxmlformats.org/officeDocument/2006/relationships/hyperlink" Target="https://api.semanticscholar.org/CorpusID:37806228" TargetMode="External"/><Relationship Id="rId37" Type="http://schemas.openxmlformats.org/officeDocument/2006/relationships/hyperlink" Target="https://en.m.wikipedia.org/wiki/Doi_(identifier)" TargetMode="External"/><Relationship Id="rId40" Type="http://schemas.openxmlformats.org/officeDocument/2006/relationships/hyperlink" Target="https://pubmed.ncbi.nlm.nih.gov/10344477"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3109%2F10915818309142005" TargetMode="External"/><Relationship Id="rId23" Type="http://schemas.openxmlformats.org/officeDocument/2006/relationships/hyperlink" Target="https://pubmed.ncbi.nlm.nih.gov/16679819" TargetMode="External"/><Relationship Id="rId28" Type="http://schemas.openxmlformats.org/officeDocument/2006/relationships/hyperlink" Target="https://doi.org/10.2340%2F0001555571296300" TargetMode="External"/><Relationship Id="rId36" Type="http://schemas.openxmlformats.org/officeDocument/2006/relationships/hyperlink" Target="https://pubmed.ncbi.nlm.nih.gov/7979441" TargetMode="External"/><Relationship Id="rId49" Type="http://schemas.openxmlformats.org/officeDocument/2006/relationships/fontTable" Target="fontTable.xml"/><Relationship Id="rId10" Type="http://schemas.openxmlformats.org/officeDocument/2006/relationships/hyperlink" Target="http://www.regulations.gov/contentStreamer?documentId=EPA-HQ-OPP-2009-0727-0004&amp;disposition=attachment&amp;contentType=pdf" TargetMode="External"/><Relationship Id="rId19" Type="http://schemas.openxmlformats.org/officeDocument/2006/relationships/hyperlink" Target="https://en.m.wikipedia.org/wiki/International_Journal_of_Toxicology" TargetMode="External"/><Relationship Id="rId31" Type="http://schemas.openxmlformats.org/officeDocument/2006/relationships/hyperlink" Target="https://en.m.wikipedia.org/wiki/S2CID_(identifier)"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seventh" TargetMode="External"/><Relationship Id="rId14" Type="http://schemas.openxmlformats.org/officeDocument/2006/relationships/hyperlink" Target="https://en.m.wikipedia.org/wiki/Doi_(identifier)" TargetMode="External"/><Relationship Id="rId22" Type="http://schemas.openxmlformats.org/officeDocument/2006/relationships/hyperlink" Target="https://en.m.wikipedia.org/wiki/PMID_(identifier)" TargetMode="External"/><Relationship Id="rId27" Type="http://schemas.openxmlformats.org/officeDocument/2006/relationships/hyperlink" Target="https://en.m.wikipedia.org/wiki/Doi_(identifier)" TargetMode="External"/><Relationship Id="rId30" Type="http://schemas.openxmlformats.org/officeDocument/2006/relationships/hyperlink" Target="https://pubmed.ncbi.nlm.nih.gov/1681644" TargetMode="External"/><Relationship Id="rId35" Type="http://schemas.openxmlformats.org/officeDocument/2006/relationships/hyperlink" Target="https://en.m.wikipedia.org/wiki/PMID_(identifier)"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www.pgproduct" TargetMode="External"/><Relationship Id="rId3" Type="http://schemas.openxmlformats.org/officeDocument/2006/relationships/settings" Target="settings.xml"/><Relationship Id="rId12" Type="http://schemas.openxmlformats.org/officeDocument/2006/relationships/hyperlink" Target="http://online.personalcarecouncil.org/ctfa-static/online/lists/cir-pdfs/pr216.pdf" TargetMode="External"/><Relationship Id="rId17" Type="http://schemas.openxmlformats.org/officeDocument/2006/relationships/hyperlink" Target="https://api.semanticscholar.org/CorpusID:34123578" TargetMode="External"/><Relationship Id="rId25" Type="http://schemas.openxmlformats.org/officeDocument/2006/relationships/hyperlink" Target="https://api.semanticscholar.org/CorpusID:35890797" TargetMode="External"/><Relationship Id="rId33" Type="http://schemas.openxmlformats.org/officeDocument/2006/relationships/hyperlink" Target="https://en.m.wikipedia.org/wiki/Doi_(identifier)" TargetMode="External"/><Relationship Id="rId38" Type="http://schemas.openxmlformats.org/officeDocument/2006/relationships/hyperlink" Target="https://doi.org/10.1111%2Fj.1600-0536.1999.tb06056.x" TargetMode="External"/><Relationship Id="rId46" Type="http://schemas.openxmlformats.org/officeDocument/2006/relationships/footer" Target="footer2.xml"/><Relationship Id="rId20" Type="http://schemas.openxmlformats.org/officeDocument/2006/relationships/hyperlink" Target="https://en.m.wikipedia.org/wiki/Doi_(identifier)" TargetMode="External"/><Relationship Id="rId41" Type="http://schemas.openxmlformats.org/officeDocument/2006/relationships/hyperlink" Target="https://en.m.wikipedia.org/wiki/S2CID_(identifier)" TargetMode="Externa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38AAE-CFDE-40D6-83D7-DA1502D5C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5107</Words>
  <Characters>29112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immaculate</dc:creator>
  <cp:keywords/>
  <dc:description/>
  <cp:lastModifiedBy>SDI 1084</cp:lastModifiedBy>
  <cp:revision>13</cp:revision>
  <dcterms:created xsi:type="dcterms:W3CDTF">2025-08-28T15:43:00Z</dcterms:created>
  <dcterms:modified xsi:type="dcterms:W3CDTF">2025-08-29T07:47:00Z</dcterms:modified>
</cp:coreProperties>
</file>