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955342" w:rsidP="00955342">
      <w:pPr>
        <w:pStyle w:val="Title"/>
        <w:spacing w:after="0"/>
        <w:rPr>
          <w:rFonts w:ascii="Arial" w:hAnsi="Arial" w:cs="Arial"/>
          <w:i/>
          <w:u w:val="single"/>
        </w:rPr>
      </w:pPr>
      <w:r w:rsidRPr="00955342">
        <w:rPr>
          <w:rFonts w:ascii="Arial" w:hAnsi="Arial" w:cs="Arial"/>
          <w:i/>
          <w:u w:val="single"/>
        </w:rPr>
        <w:t>Original Research Article</w:t>
      </w:r>
    </w:p>
    <w:p w:rsidR="00955342" w:rsidRPr="00955342" w:rsidRDefault="00955342" w:rsidP="00955342">
      <w:pPr>
        <w:pStyle w:val="Title"/>
        <w:spacing w:after="0"/>
        <w:rPr>
          <w:rFonts w:ascii="Arial" w:hAnsi="Arial" w:cs="Arial"/>
          <w:i/>
          <w:u w:val="single"/>
        </w:rPr>
      </w:pPr>
      <w:bookmarkStart w:id="0" w:name="_GoBack"/>
      <w:bookmarkEnd w:id="0"/>
    </w:p>
    <w:p w:rsidR="00B81867" w:rsidRPr="00B81867" w:rsidRDefault="00B81867" w:rsidP="00B81867">
      <w:pPr>
        <w:pStyle w:val="Author"/>
        <w:spacing w:line="240" w:lineRule="auto"/>
        <w:rPr>
          <w:rFonts w:ascii="Arial" w:hAnsi="Arial" w:cs="Arial"/>
          <w:bCs/>
          <w:iCs/>
          <w:kern w:val="28"/>
          <w:sz w:val="36"/>
        </w:rPr>
      </w:pPr>
      <w:r w:rsidRPr="00B81867">
        <w:rPr>
          <w:rFonts w:ascii="Arial" w:hAnsi="Arial" w:cs="Arial"/>
          <w:bCs/>
          <w:iCs/>
          <w:kern w:val="28"/>
          <w:sz w:val="36"/>
        </w:rPr>
        <w:t xml:space="preserve">Temporal Trend and Prevalence of </w:t>
      </w:r>
      <w:r w:rsidRPr="00B81867">
        <w:rPr>
          <w:rFonts w:ascii="Arial" w:hAnsi="Arial" w:cs="Arial"/>
          <w:bCs/>
          <w:i/>
          <w:iCs/>
          <w:kern w:val="28"/>
          <w:sz w:val="36"/>
        </w:rPr>
        <w:t>Mycobacterium</w:t>
      </w:r>
      <w:r w:rsidRPr="00B81867">
        <w:rPr>
          <w:rFonts w:ascii="Arial" w:hAnsi="Arial" w:cs="Arial"/>
          <w:bCs/>
          <w:iCs/>
          <w:kern w:val="28"/>
          <w:sz w:val="36"/>
        </w:rPr>
        <w:t xml:space="preserve"> </w:t>
      </w:r>
      <w:r w:rsidRPr="00B81867">
        <w:rPr>
          <w:rFonts w:ascii="Arial" w:hAnsi="Arial" w:cs="Arial"/>
          <w:bCs/>
          <w:i/>
          <w:iCs/>
          <w:kern w:val="28"/>
          <w:sz w:val="36"/>
        </w:rPr>
        <w:t>Tuberculosis</w:t>
      </w:r>
      <w:r w:rsidRPr="00B81867">
        <w:rPr>
          <w:rFonts w:ascii="Arial" w:hAnsi="Arial" w:cs="Arial"/>
          <w:bCs/>
          <w:iCs/>
          <w:kern w:val="28"/>
          <w:sz w:val="36"/>
        </w:rPr>
        <w:t xml:space="preserve"> among Suspected Tuberculosis Patients Attending Tuberculosis Centre, ERCC Medical Centre, </w:t>
      </w:r>
      <w:proofErr w:type="spellStart"/>
      <w:r w:rsidRPr="00B81867">
        <w:rPr>
          <w:rFonts w:ascii="Arial" w:hAnsi="Arial" w:cs="Arial"/>
          <w:bCs/>
          <w:iCs/>
          <w:kern w:val="28"/>
          <w:sz w:val="36"/>
        </w:rPr>
        <w:t>Alushi</w:t>
      </w:r>
      <w:proofErr w:type="spellEnd"/>
      <w:r w:rsidRPr="00B81867">
        <w:rPr>
          <w:rFonts w:ascii="Arial" w:hAnsi="Arial" w:cs="Arial"/>
          <w:bCs/>
          <w:iCs/>
          <w:kern w:val="28"/>
          <w:sz w:val="36"/>
        </w:rPr>
        <w:t>, Nigeria</w:t>
      </w:r>
    </w:p>
    <w:p w:rsidR="00A258C3" w:rsidRPr="00790ADA" w:rsidRDefault="00A258C3" w:rsidP="00441B6F">
      <w:pPr>
        <w:pStyle w:val="Author"/>
        <w:spacing w:line="240" w:lineRule="auto"/>
        <w:jc w:val="both"/>
        <w:rPr>
          <w:rFonts w:ascii="Arial" w:hAnsi="Arial" w:cs="Arial"/>
          <w:sz w:val="36"/>
        </w:rPr>
      </w:pPr>
    </w:p>
    <w:p w:rsidR="00C36BF6" w:rsidRDefault="00C36BF6" w:rsidP="00C36BF6">
      <w:pPr>
        <w:pStyle w:val="Affiliation"/>
        <w:spacing w:line="240" w:lineRule="auto"/>
        <w:rPr>
          <w:rFonts w:ascii="Arial" w:hAnsi="Arial" w:cs="Arial"/>
          <w:i/>
        </w:rPr>
      </w:pPr>
      <w:r>
        <w:rPr>
          <w:rFonts w:ascii="Arial" w:hAnsi="Arial" w:cs="Arial"/>
          <w:i/>
        </w:rPr>
        <w:t xml:space="preserve"> </w:t>
      </w:r>
    </w:p>
    <w:p w:rsidR="00703186" w:rsidRDefault="00703186" w:rsidP="00C36BF6">
      <w:pPr>
        <w:pStyle w:val="Affiliation"/>
        <w:spacing w:line="240" w:lineRule="auto"/>
        <w:rPr>
          <w:rFonts w:ascii="Arial" w:hAnsi="Arial" w:cs="Arial"/>
          <w:i/>
        </w:rPr>
      </w:pPr>
    </w:p>
    <w:p w:rsidR="004F6AAC" w:rsidRPr="009367A5" w:rsidRDefault="00353434" w:rsidP="00C36BF6">
      <w:pPr>
        <w:pStyle w:val="Affiliation"/>
        <w:spacing w:line="240" w:lineRule="auto"/>
        <w:rPr>
          <w:rFonts w:ascii="Arial" w:hAnsi="Arial" w:cs="Arial"/>
          <w:i/>
        </w:rPr>
      </w:pPr>
      <w:r>
        <w:rPr>
          <w:rFonts w:ascii="Arial" w:hAnsi="Arial" w:cs="Arial"/>
          <w:i/>
        </w:rPr>
        <w:t xml:space="preserve"> </w:t>
      </w:r>
    </w:p>
    <w:p w:rsidR="00B01FCD" w:rsidRPr="00FB3A86" w:rsidRDefault="00BD3D38" w:rsidP="00441B6F">
      <w:pPr>
        <w:pStyle w:val="Copyright"/>
        <w:spacing w:after="0" w:line="240" w:lineRule="auto"/>
        <w:jc w:val="both"/>
        <w:rPr>
          <w:rFonts w:ascii="Arial" w:hAnsi="Arial" w:cs="Arial"/>
        </w:rPr>
        <w:sectPr w:rsidR="00B01FCD" w:rsidRPr="00FB3A86" w:rsidSect="00E16C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0"/>
                <wp:effectExtent l="17145" t="13335" r="1333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C5E4D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szCs w:val="22"/>
              </w:rPr>
            </w:pPr>
          </w:p>
          <w:p w:rsidR="008B0091"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8B0091" w:rsidRPr="008B0091">
              <w:rPr>
                <w:rFonts w:ascii="Arial" w:eastAsia="Calibri" w:hAnsi="Arial" w:cs="Arial"/>
                <w:szCs w:val="22"/>
                <w:lang w:val="en-GB"/>
              </w:rPr>
              <w:t xml:space="preserve">This study investigates </w:t>
            </w:r>
            <w:r w:rsidR="00B734E1">
              <w:rPr>
                <w:rFonts w:ascii="Arial" w:eastAsia="Calibri" w:hAnsi="Arial" w:cs="Arial"/>
                <w:szCs w:val="22"/>
                <w:lang w:val="en-GB"/>
              </w:rPr>
              <w:t xml:space="preserve">the </w:t>
            </w:r>
            <w:r w:rsidR="00B734E1" w:rsidRPr="00B734E1">
              <w:rPr>
                <w:rFonts w:ascii="Arial" w:eastAsia="Calibri" w:hAnsi="Arial" w:cs="Arial"/>
                <w:szCs w:val="22"/>
              </w:rPr>
              <w:t xml:space="preserve">temporal trend and prevalence of </w:t>
            </w:r>
            <w:r w:rsidR="00B734E1" w:rsidRPr="00B734E1">
              <w:rPr>
                <w:rFonts w:ascii="Arial" w:eastAsia="Calibri" w:hAnsi="Arial" w:cs="Arial"/>
                <w:i/>
                <w:szCs w:val="22"/>
              </w:rPr>
              <w:t>Mycobacterium</w:t>
            </w:r>
            <w:r w:rsidR="00B734E1" w:rsidRPr="00B734E1">
              <w:rPr>
                <w:rFonts w:ascii="Arial" w:eastAsia="Calibri" w:hAnsi="Arial" w:cs="Arial"/>
                <w:szCs w:val="22"/>
              </w:rPr>
              <w:t xml:space="preserve"> </w:t>
            </w:r>
            <w:r w:rsidR="00B734E1" w:rsidRPr="00B734E1">
              <w:rPr>
                <w:rFonts w:ascii="Arial" w:eastAsia="Calibri" w:hAnsi="Arial" w:cs="Arial"/>
                <w:i/>
                <w:szCs w:val="22"/>
              </w:rPr>
              <w:t>tuberculosis</w:t>
            </w:r>
            <w:r w:rsidR="00B734E1" w:rsidRPr="00B734E1">
              <w:rPr>
                <w:rFonts w:ascii="Arial" w:eastAsia="Calibri" w:hAnsi="Arial" w:cs="Arial"/>
                <w:szCs w:val="22"/>
              </w:rPr>
              <w:t xml:space="preserve"> (</w:t>
            </w:r>
            <w:proofErr w:type="spellStart"/>
            <w:r w:rsidR="00B734E1" w:rsidRPr="00B734E1">
              <w:rPr>
                <w:rFonts w:ascii="Arial" w:eastAsia="Calibri" w:hAnsi="Arial" w:cs="Arial"/>
                <w:szCs w:val="22"/>
              </w:rPr>
              <w:t>MTb</w:t>
            </w:r>
            <w:proofErr w:type="spellEnd"/>
            <w:r w:rsidR="00B734E1" w:rsidRPr="00B734E1">
              <w:rPr>
                <w:rFonts w:ascii="Arial" w:eastAsia="Calibri" w:hAnsi="Arial" w:cs="Arial"/>
                <w:szCs w:val="22"/>
              </w:rPr>
              <w:t xml:space="preserve">), among suspected tuberculosis patients attending Tuberculosis Centre, ERCC Medical Centre, </w:t>
            </w:r>
            <w:proofErr w:type="spellStart"/>
            <w:r w:rsidR="00B734E1" w:rsidRPr="00B734E1">
              <w:rPr>
                <w:rFonts w:ascii="Arial" w:eastAsia="Calibri" w:hAnsi="Arial" w:cs="Arial"/>
                <w:szCs w:val="22"/>
              </w:rPr>
              <w:t>Alushi</w:t>
            </w:r>
            <w:proofErr w:type="spellEnd"/>
            <w:r w:rsidR="00B734E1" w:rsidRPr="00B734E1">
              <w:rPr>
                <w:rFonts w:ascii="Arial" w:eastAsia="Calibri" w:hAnsi="Arial" w:cs="Arial"/>
                <w:szCs w:val="22"/>
              </w:rPr>
              <w:t>, Nigeria</w:t>
            </w:r>
            <w:r w:rsidR="008B0091">
              <w:rPr>
                <w:rFonts w:ascii="Arial" w:eastAsia="Calibri" w:hAnsi="Arial" w:cs="Arial"/>
                <w:szCs w:val="22"/>
                <w:lang w:val="en-GB"/>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B0091">
              <w:rPr>
                <w:rFonts w:ascii="Arial" w:eastAsia="Calibri" w:hAnsi="Arial" w:cs="Arial"/>
                <w:szCs w:val="22"/>
              </w:rPr>
              <w:t>Cross sectional study.</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15186">
              <w:rPr>
                <w:rFonts w:ascii="Arial" w:eastAsia="Calibri" w:hAnsi="Arial" w:cs="Arial"/>
                <w:szCs w:val="22"/>
              </w:rPr>
              <w:t xml:space="preserve"> </w:t>
            </w:r>
            <w:r w:rsidR="00B734E1">
              <w:rPr>
                <w:rFonts w:ascii="Arial" w:eastAsia="Calibri" w:hAnsi="Arial" w:cs="Arial"/>
                <w:szCs w:val="22"/>
              </w:rPr>
              <w:t xml:space="preserve">ERCC Medical Centre, </w:t>
            </w:r>
            <w:proofErr w:type="spellStart"/>
            <w:r w:rsidR="00B734E1">
              <w:rPr>
                <w:rFonts w:ascii="Arial" w:eastAsia="Calibri" w:hAnsi="Arial" w:cs="Arial"/>
                <w:szCs w:val="22"/>
              </w:rPr>
              <w:t>Alushi</w:t>
            </w:r>
            <w:proofErr w:type="spellEnd"/>
            <w:r w:rsidR="00B734E1">
              <w:rPr>
                <w:rFonts w:ascii="Arial" w:eastAsia="Calibri" w:hAnsi="Arial" w:cs="Arial"/>
                <w:szCs w:val="22"/>
              </w:rPr>
              <w:t xml:space="preserve">, and </w:t>
            </w:r>
            <w:r w:rsidRPr="00BA1B01">
              <w:rPr>
                <w:rFonts w:ascii="Arial" w:eastAsia="Calibri" w:hAnsi="Arial" w:cs="Arial"/>
                <w:szCs w:val="22"/>
              </w:rPr>
              <w:t xml:space="preserve">Department of </w:t>
            </w:r>
            <w:r w:rsidR="009E68EB">
              <w:rPr>
                <w:rFonts w:ascii="Arial" w:eastAsia="Calibri" w:hAnsi="Arial" w:cs="Arial"/>
                <w:szCs w:val="22"/>
              </w:rPr>
              <w:t>Microbiology</w:t>
            </w:r>
            <w:r w:rsidRPr="00BA1B01">
              <w:rPr>
                <w:rFonts w:ascii="Arial" w:eastAsia="Calibri" w:hAnsi="Arial" w:cs="Arial"/>
                <w:szCs w:val="22"/>
              </w:rPr>
              <w:t>,</w:t>
            </w:r>
            <w:r w:rsidR="009E68EB">
              <w:rPr>
                <w:rFonts w:ascii="Arial" w:eastAsia="Calibri" w:hAnsi="Arial" w:cs="Arial"/>
                <w:szCs w:val="22"/>
              </w:rPr>
              <w:t xml:space="preserve"> Nasarawa State University, Keffi</w:t>
            </w:r>
            <w:r w:rsidRPr="00BA1B01">
              <w:rPr>
                <w:rFonts w:ascii="Arial" w:eastAsia="Calibri" w:hAnsi="Arial" w:cs="Arial"/>
                <w:szCs w:val="22"/>
              </w:rPr>
              <w:t xml:space="preserve"> between </w:t>
            </w:r>
            <w:r w:rsidR="00B734E1">
              <w:rPr>
                <w:rFonts w:ascii="Arial" w:eastAsia="Calibri" w:hAnsi="Arial" w:cs="Arial"/>
                <w:szCs w:val="22"/>
              </w:rPr>
              <w:t>September</w:t>
            </w:r>
            <w:r w:rsidRPr="00BA1B01">
              <w:rPr>
                <w:rFonts w:ascii="Arial" w:eastAsia="Calibri" w:hAnsi="Arial" w:cs="Arial"/>
                <w:szCs w:val="22"/>
              </w:rPr>
              <w:t xml:space="preserve"> 2</w:t>
            </w:r>
            <w:r w:rsidR="009E68EB">
              <w:rPr>
                <w:rFonts w:ascii="Arial" w:eastAsia="Calibri" w:hAnsi="Arial" w:cs="Arial"/>
                <w:szCs w:val="22"/>
              </w:rPr>
              <w:t>024</w:t>
            </w:r>
            <w:r w:rsidRPr="00BA1B01">
              <w:rPr>
                <w:rFonts w:ascii="Arial" w:eastAsia="Calibri" w:hAnsi="Arial" w:cs="Arial"/>
                <w:szCs w:val="22"/>
              </w:rPr>
              <w:t xml:space="preserve"> and </w:t>
            </w:r>
            <w:r w:rsidR="00D06D0D">
              <w:rPr>
                <w:rFonts w:ascii="Arial" w:eastAsia="Calibri" w:hAnsi="Arial" w:cs="Arial"/>
                <w:szCs w:val="22"/>
              </w:rPr>
              <w:t>July</w:t>
            </w:r>
            <w:r w:rsidR="009E68EB">
              <w:rPr>
                <w:rFonts w:ascii="Arial" w:eastAsia="Calibri" w:hAnsi="Arial" w:cs="Arial"/>
                <w:szCs w:val="22"/>
              </w:rPr>
              <w:t xml:space="preserve"> 2025</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734E1" w:rsidRPr="00B734E1">
              <w:rPr>
                <w:rFonts w:ascii="Arial" w:eastAsia="Calibri" w:hAnsi="Arial" w:cs="Arial"/>
                <w:szCs w:val="22"/>
              </w:rPr>
              <w:t xml:space="preserve">A total of 425 sputum samples of patients with suspected Tuberculosis were collected and molecular detection of </w:t>
            </w:r>
            <w:proofErr w:type="spellStart"/>
            <w:r w:rsidR="00B734E1" w:rsidRPr="00B734E1">
              <w:rPr>
                <w:rFonts w:ascii="Arial" w:eastAsia="Calibri" w:hAnsi="Arial" w:cs="Arial"/>
                <w:szCs w:val="22"/>
              </w:rPr>
              <w:t>MTb</w:t>
            </w:r>
            <w:proofErr w:type="spellEnd"/>
            <w:r w:rsidR="00B734E1" w:rsidRPr="00B734E1">
              <w:rPr>
                <w:rFonts w:ascii="Arial" w:eastAsia="Calibri" w:hAnsi="Arial" w:cs="Arial"/>
                <w:szCs w:val="22"/>
              </w:rPr>
              <w:t>, drug resistant-</w:t>
            </w:r>
            <w:proofErr w:type="spellStart"/>
            <w:r w:rsidR="00B734E1" w:rsidRPr="00B734E1">
              <w:rPr>
                <w:rFonts w:ascii="Arial" w:eastAsia="Calibri" w:hAnsi="Arial" w:cs="Arial"/>
                <w:szCs w:val="22"/>
              </w:rPr>
              <w:t>MTb</w:t>
            </w:r>
            <w:proofErr w:type="spellEnd"/>
            <w:r w:rsidR="00B734E1" w:rsidRPr="00B734E1">
              <w:rPr>
                <w:rFonts w:ascii="Arial" w:eastAsia="Calibri" w:hAnsi="Arial" w:cs="Arial"/>
                <w:szCs w:val="22"/>
              </w:rPr>
              <w:t xml:space="preserve"> (DR-</w:t>
            </w:r>
            <w:proofErr w:type="spellStart"/>
            <w:r w:rsidR="00B734E1" w:rsidRPr="00B734E1">
              <w:rPr>
                <w:rFonts w:ascii="Arial" w:eastAsia="Calibri" w:hAnsi="Arial" w:cs="Arial"/>
                <w:szCs w:val="22"/>
              </w:rPr>
              <w:t>MTb</w:t>
            </w:r>
            <w:proofErr w:type="spellEnd"/>
            <w:r w:rsidR="00B734E1" w:rsidRPr="00B734E1">
              <w:rPr>
                <w:rFonts w:ascii="Arial" w:eastAsia="Calibri" w:hAnsi="Arial" w:cs="Arial"/>
                <w:szCs w:val="22"/>
              </w:rPr>
              <w:t>) and multidrug resistant-</w:t>
            </w:r>
            <w:proofErr w:type="spellStart"/>
            <w:r w:rsidR="00B734E1" w:rsidRPr="00B734E1">
              <w:rPr>
                <w:rFonts w:ascii="Arial" w:eastAsia="Calibri" w:hAnsi="Arial" w:cs="Arial"/>
                <w:szCs w:val="22"/>
              </w:rPr>
              <w:t>MTb</w:t>
            </w:r>
            <w:proofErr w:type="spellEnd"/>
            <w:r w:rsidR="00B734E1" w:rsidRPr="00B734E1">
              <w:rPr>
                <w:rFonts w:ascii="Arial" w:eastAsia="Calibri" w:hAnsi="Arial" w:cs="Arial"/>
                <w:szCs w:val="22"/>
              </w:rPr>
              <w:t xml:space="preserve"> (MDR-</w:t>
            </w:r>
            <w:proofErr w:type="spellStart"/>
            <w:r w:rsidR="00B734E1" w:rsidRPr="00B734E1">
              <w:rPr>
                <w:rFonts w:ascii="Arial" w:eastAsia="Calibri" w:hAnsi="Arial" w:cs="Arial"/>
                <w:szCs w:val="22"/>
              </w:rPr>
              <w:t>MTb</w:t>
            </w:r>
            <w:proofErr w:type="spellEnd"/>
            <w:r w:rsidR="00B734E1" w:rsidRPr="00B734E1">
              <w:rPr>
                <w:rFonts w:ascii="Arial" w:eastAsia="Calibri" w:hAnsi="Arial" w:cs="Arial"/>
                <w:szCs w:val="22"/>
              </w:rPr>
              <w:t xml:space="preserve">) was carried out using Gene </w:t>
            </w:r>
            <w:proofErr w:type="spellStart"/>
            <w:r w:rsidR="00B734E1" w:rsidRPr="00B734E1">
              <w:rPr>
                <w:rFonts w:ascii="Arial" w:eastAsia="Calibri" w:hAnsi="Arial" w:cs="Arial"/>
                <w:szCs w:val="22"/>
              </w:rPr>
              <w:t>Xpert</w:t>
            </w:r>
            <w:proofErr w:type="spellEnd"/>
            <w:r w:rsidR="00B734E1" w:rsidRPr="00B734E1">
              <w:rPr>
                <w:rFonts w:ascii="Arial" w:eastAsia="Calibri" w:hAnsi="Arial" w:cs="Arial"/>
                <w:szCs w:val="22"/>
              </w:rPr>
              <w:t xml:space="preserve"> technique.</w:t>
            </w:r>
          </w:p>
          <w:p w:rsidR="009D6B69"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734E1" w:rsidRPr="00B734E1">
              <w:rPr>
                <w:rFonts w:ascii="Arial" w:eastAsia="Calibri" w:hAnsi="Arial" w:cs="Arial"/>
                <w:szCs w:val="22"/>
              </w:rPr>
              <w:t xml:space="preserve">The temporal trends in the daily cases of </w:t>
            </w:r>
            <w:proofErr w:type="spellStart"/>
            <w:r w:rsidR="00B734E1" w:rsidRPr="00B734E1">
              <w:rPr>
                <w:rFonts w:ascii="Arial" w:eastAsia="Calibri" w:hAnsi="Arial" w:cs="Arial"/>
                <w:szCs w:val="22"/>
              </w:rPr>
              <w:t>MTb</w:t>
            </w:r>
            <w:proofErr w:type="spellEnd"/>
            <w:r w:rsidR="00B734E1" w:rsidRPr="00B734E1">
              <w:rPr>
                <w:rFonts w:ascii="Arial" w:eastAsia="Calibri" w:hAnsi="Arial" w:cs="Arial"/>
                <w:szCs w:val="22"/>
              </w:rPr>
              <w:t xml:space="preserve"> decline over the six-month period of study. The overall prevalence of </w:t>
            </w:r>
            <w:proofErr w:type="spellStart"/>
            <w:r w:rsidR="00B734E1" w:rsidRPr="00B734E1">
              <w:rPr>
                <w:rFonts w:ascii="Arial" w:eastAsia="Calibri" w:hAnsi="Arial" w:cs="Arial"/>
                <w:szCs w:val="22"/>
              </w:rPr>
              <w:t>MTb</w:t>
            </w:r>
            <w:proofErr w:type="spellEnd"/>
            <w:r w:rsidR="00B734E1" w:rsidRPr="00B734E1">
              <w:rPr>
                <w:rFonts w:ascii="Arial" w:eastAsia="Calibri" w:hAnsi="Arial" w:cs="Arial"/>
                <w:szCs w:val="22"/>
              </w:rPr>
              <w:t xml:space="preserve"> was 122(28.7%) of which 9(2.1%), and 2(0.5%) were DR-</w:t>
            </w:r>
            <w:proofErr w:type="spellStart"/>
            <w:r w:rsidR="00B734E1" w:rsidRPr="00B734E1">
              <w:rPr>
                <w:rFonts w:ascii="Arial" w:eastAsia="Calibri" w:hAnsi="Arial" w:cs="Arial"/>
                <w:szCs w:val="22"/>
              </w:rPr>
              <w:t>MTb</w:t>
            </w:r>
            <w:proofErr w:type="spellEnd"/>
            <w:r w:rsidR="00B734E1" w:rsidRPr="00B734E1">
              <w:rPr>
                <w:rFonts w:ascii="Arial" w:eastAsia="Calibri" w:hAnsi="Arial" w:cs="Arial"/>
                <w:szCs w:val="22"/>
              </w:rPr>
              <w:t xml:space="preserve"> and MDR-</w:t>
            </w:r>
            <w:proofErr w:type="spellStart"/>
            <w:r w:rsidR="00B734E1" w:rsidRPr="00B734E1">
              <w:rPr>
                <w:rFonts w:ascii="Arial" w:eastAsia="Calibri" w:hAnsi="Arial" w:cs="Arial"/>
                <w:szCs w:val="22"/>
              </w:rPr>
              <w:t>MTb</w:t>
            </w:r>
            <w:proofErr w:type="spellEnd"/>
            <w:r w:rsidR="00B734E1" w:rsidRPr="00B734E1">
              <w:rPr>
                <w:rFonts w:ascii="Arial" w:eastAsia="Calibri" w:hAnsi="Arial" w:cs="Arial"/>
                <w:szCs w:val="22"/>
              </w:rPr>
              <w:t xml:space="preserve"> respectively.  The prevalence of </w:t>
            </w:r>
            <w:proofErr w:type="spellStart"/>
            <w:r w:rsidR="00B734E1" w:rsidRPr="00B734E1">
              <w:rPr>
                <w:rFonts w:ascii="Arial" w:eastAsia="Calibri" w:hAnsi="Arial" w:cs="Arial"/>
                <w:szCs w:val="22"/>
              </w:rPr>
              <w:t>MTb</w:t>
            </w:r>
            <w:proofErr w:type="spellEnd"/>
            <w:r w:rsidR="00B734E1" w:rsidRPr="00B734E1">
              <w:rPr>
                <w:rFonts w:ascii="Arial" w:eastAsia="Calibri" w:hAnsi="Arial" w:cs="Arial"/>
                <w:szCs w:val="22"/>
              </w:rPr>
              <w:t xml:space="preserve"> in relation to the socio-demographic factors of the patients was found to be the highest among patients with age group; 18-30 years (48.2%) and the male (36.3%). In addition, the prevalence of </w:t>
            </w:r>
            <w:proofErr w:type="spellStart"/>
            <w:r w:rsidR="00B734E1" w:rsidRPr="00B734E1">
              <w:rPr>
                <w:rFonts w:ascii="Arial" w:eastAsia="Calibri" w:hAnsi="Arial" w:cs="Arial"/>
                <w:szCs w:val="22"/>
              </w:rPr>
              <w:t>MTb</w:t>
            </w:r>
            <w:proofErr w:type="spellEnd"/>
            <w:r w:rsidR="00B734E1" w:rsidRPr="00B734E1">
              <w:rPr>
                <w:rFonts w:ascii="Arial" w:eastAsia="Calibri" w:hAnsi="Arial" w:cs="Arial"/>
                <w:szCs w:val="22"/>
              </w:rPr>
              <w:t xml:space="preserve"> in relation to the HIV status of the patients was the highest among HIV negative (29.0%) patients and lowest among the HIV positive patients (25.0%). </w:t>
            </w:r>
            <w:r w:rsidR="00B734E1" w:rsidRPr="00B734E1">
              <w:rPr>
                <w:rFonts w:ascii="Arial" w:eastAsia="Calibri" w:hAnsi="Arial" w:cs="Arial"/>
                <w:i/>
                <w:szCs w:val="22"/>
              </w:rPr>
              <w:t>Mycobacterium</w:t>
            </w:r>
            <w:r w:rsidR="00B734E1" w:rsidRPr="00B734E1">
              <w:rPr>
                <w:rFonts w:ascii="Arial" w:eastAsia="Calibri" w:hAnsi="Arial" w:cs="Arial"/>
                <w:szCs w:val="22"/>
              </w:rPr>
              <w:t xml:space="preserve"> </w:t>
            </w:r>
            <w:r w:rsidR="00B734E1" w:rsidRPr="00B734E1">
              <w:rPr>
                <w:rFonts w:ascii="Arial" w:eastAsia="Calibri" w:hAnsi="Arial" w:cs="Arial"/>
                <w:i/>
                <w:szCs w:val="22"/>
              </w:rPr>
              <w:t>tuberculosis</w:t>
            </w:r>
            <w:r w:rsidR="00B734E1" w:rsidRPr="00B734E1">
              <w:rPr>
                <w:rFonts w:ascii="Arial" w:eastAsia="Calibri" w:hAnsi="Arial" w:cs="Arial"/>
                <w:szCs w:val="22"/>
              </w:rPr>
              <w:t xml:space="preserve"> was prevalent in most patients with suspected tuberculosis patients. Also, most of the </w:t>
            </w:r>
            <w:proofErr w:type="spellStart"/>
            <w:r w:rsidR="00B734E1" w:rsidRPr="00B734E1">
              <w:rPr>
                <w:rFonts w:ascii="Arial" w:eastAsia="Calibri" w:hAnsi="Arial" w:cs="Arial"/>
                <w:szCs w:val="22"/>
              </w:rPr>
              <w:t>MTb</w:t>
            </w:r>
            <w:proofErr w:type="spellEnd"/>
            <w:r w:rsidR="00B734E1" w:rsidRPr="00B734E1">
              <w:rPr>
                <w:rFonts w:ascii="Arial" w:eastAsia="Calibri" w:hAnsi="Arial" w:cs="Arial"/>
                <w:szCs w:val="22"/>
              </w:rPr>
              <w:t xml:space="preserve"> were drug and multidrug resistance. Finally, the prevalence of </w:t>
            </w:r>
            <w:proofErr w:type="spellStart"/>
            <w:r w:rsidR="00B734E1" w:rsidRPr="00B734E1">
              <w:rPr>
                <w:rFonts w:ascii="Arial" w:eastAsia="Calibri" w:hAnsi="Arial" w:cs="Arial"/>
                <w:szCs w:val="22"/>
              </w:rPr>
              <w:t>MTb</w:t>
            </w:r>
            <w:proofErr w:type="spellEnd"/>
            <w:r w:rsidR="00B734E1" w:rsidRPr="00B734E1">
              <w:rPr>
                <w:rFonts w:ascii="Arial" w:eastAsia="Calibri" w:hAnsi="Arial" w:cs="Arial"/>
                <w:szCs w:val="22"/>
              </w:rPr>
              <w:t xml:space="preserve"> was significantly associated with age, gender and occupation but insignificantly associated with the HIV status of the </w:t>
            </w:r>
            <w:r w:rsidR="00B734E1">
              <w:rPr>
                <w:rFonts w:ascii="Arial" w:eastAsia="Calibri" w:hAnsi="Arial" w:cs="Arial"/>
                <w:szCs w:val="22"/>
              </w:rPr>
              <w:t>suspected tuberculosis patients</w:t>
            </w:r>
            <w:r w:rsidR="00731740" w:rsidRPr="00731740">
              <w:rPr>
                <w:rFonts w:ascii="Arial" w:eastAsia="Calibri" w:hAnsi="Arial" w:cs="Arial"/>
                <w:szCs w:val="22"/>
                <w:lang w:val="en-GB"/>
              </w:rPr>
              <w:t>.</w:t>
            </w:r>
          </w:p>
          <w:p w:rsidR="00505F06" w:rsidRPr="00731740" w:rsidRDefault="00374798" w:rsidP="00E4070B">
            <w:pPr>
              <w:pStyle w:val="Body"/>
              <w:spacing w:after="0"/>
              <w:rPr>
                <w:rFonts w:ascii="Arial" w:eastAsia="Calibri" w:hAnsi="Arial" w:cs="Arial"/>
                <w:b/>
                <w:szCs w:val="22"/>
              </w:rPr>
            </w:pPr>
            <w:r w:rsidRPr="00731740">
              <w:rPr>
                <w:rFonts w:ascii="Arial" w:eastAsia="Calibri" w:hAnsi="Arial" w:cs="Arial"/>
                <w:b/>
                <w:bCs/>
                <w:szCs w:val="22"/>
              </w:rPr>
              <w:t>Conclusion:</w:t>
            </w:r>
            <w:r w:rsidRPr="00374798">
              <w:rPr>
                <w:rFonts w:ascii="Arial" w:eastAsia="Calibri" w:hAnsi="Arial" w:cs="Arial"/>
                <w:szCs w:val="22"/>
              </w:rPr>
              <w:t xml:space="preserve"> This study concludes that while </w:t>
            </w:r>
            <w:proofErr w:type="spellStart"/>
            <w:r w:rsidRPr="00374798">
              <w:rPr>
                <w:rFonts w:ascii="Arial" w:eastAsia="Calibri" w:hAnsi="Arial" w:cs="Arial"/>
                <w:szCs w:val="22"/>
              </w:rPr>
              <w:t>MTb</w:t>
            </w:r>
            <w:proofErr w:type="spellEnd"/>
            <w:r w:rsidRPr="00374798">
              <w:rPr>
                <w:rFonts w:ascii="Arial" w:eastAsia="Calibri" w:hAnsi="Arial" w:cs="Arial"/>
                <w:szCs w:val="22"/>
              </w:rPr>
              <w:t xml:space="preserve"> remains highly prevalent among suspected tuberculosis patients in the studied region, the observed declining temporal trend is an encouraging sign. However, the detection of drug-resistant and multidrug-resistant strains highlights a critical public health concern. The significant association of </w:t>
            </w:r>
            <w:proofErr w:type="spellStart"/>
            <w:r w:rsidRPr="00374798">
              <w:rPr>
                <w:rFonts w:ascii="Arial" w:eastAsia="Calibri" w:hAnsi="Arial" w:cs="Arial"/>
                <w:szCs w:val="22"/>
              </w:rPr>
              <w:t>MTb</w:t>
            </w:r>
            <w:proofErr w:type="spellEnd"/>
            <w:r w:rsidRPr="00374798">
              <w:rPr>
                <w:rFonts w:ascii="Arial" w:eastAsia="Calibri" w:hAnsi="Arial" w:cs="Arial"/>
                <w:szCs w:val="22"/>
              </w:rPr>
              <w:t xml:space="preserve"> infection with younger age groups, male gender, and certain occupations underscores the need for targeted interventions. Therefore, continuous surveillance, strengthened diagnostic capabilities using molecular techniques like GeneXpert, and tailored control programs are essential to sustain the declining trend and combat the threat of drug-resistant tuberculosis.</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lastRenderedPageBreak/>
        <w:t xml:space="preserve">Keywords: </w:t>
      </w:r>
      <w:r w:rsidR="00303AB9" w:rsidRPr="00303AB9">
        <w:rPr>
          <w:rFonts w:ascii="Arial" w:hAnsi="Arial" w:cs="Arial"/>
          <w:i/>
          <w:iCs/>
        </w:rPr>
        <w:t>Trend, Prevalence, Mycobacterium tuberculosis</w:t>
      </w:r>
      <w:r w:rsidR="00303AB9">
        <w:rPr>
          <w:rFonts w:ascii="Arial" w:hAnsi="Arial" w:cs="Arial"/>
          <w:i/>
          <w:iCs/>
        </w:rPr>
        <w:t xml:space="preserve">, drug resistance, gene </w:t>
      </w:r>
    </w:p>
    <w:p w:rsidR="00790ADA" w:rsidRDefault="00790ADA" w:rsidP="00441B6F">
      <w:pPr>
        <w:pStyle w:val="Body"/>
        <w:spacing w:after="0"/>
        <w:rPr>
          <w:rFonts w:ascii="Arial" w:hAnsi="Arial" w:cs="Arial"/>
          <w:i/>
        </w:rPr>
      </w:pPr>
    </w:p>
    <w:p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FD77F8" w:rsidRPr="00FD77F8" w:rsidRDefault="00FD77F8" w:rsidP="00FD77F8">
      <w:pPr>
        <w:pStyle w:val="Body"/>
        <w:spacing w:after="0"/>
        <w:rPr>
          <w:rFonts w:ascii="Arial" w:hAnsi="Arial" w:cs="Arial"/>
        </w:rPr>
      </w:pPr>
      <w:r w:rsidRPr="00FD77F8">
        <w:rPr>
          <w:rFonts w:ascii="Arial" w:hAnsi="Arial" w:cs="Arial"/>
        </w:rPr>
        <w:t>Tuberculosis (TB), caused by bacteria of the </w:t>
      </w:r>
      <w:r w:rsidRPr="00FD77F8">
        <w:rPr>
          <w:rFonts w:ascii="Arial" w:hAnsi="Arial" w:cs="Arial"/>
          <w:i/>
          <w:iCs/>
        </w:rPr>
        <w:t>Mycobacterium tuberculosis</w:t>
      </w:r>
      <w:r w:rsidRPr="00FD77F8">
        <w:rPr>
          <w:rFonts w:ascii="Arial" w:hAnsi="Arial" w:cs="Arial"/>
        </w:rPr>
        <w:t xml:space="preserve"> complex (MTBC), remains a major global public health challenge. While primarily affecting the lungs (pulmonary TB), it can also cause significant </w:t>
      </w:r>
      <w:r w:rsidR="007673F6" w:rsidRPr="00FD77F8">
        <w:rPr>
          <w:rFonts w:ascii="Arial" w:hAnsi="Arial" w:cs="Arial"/>
        </w:rPr>
        <w:t>extra pulmonary</w:t>
      </w:r>
      <w:r w:rsidRPr="00FD77F8">
        <w:rPr>
          <w:rFonts w:ascii="Arial" w:hAnsi="Arial" w:cs="Arial"/>
        </w:rPr>
        <w:t xml:space="preserve"> disease </w:t>
      </w:r>
      <w:r w:rsidR="007673F6">
        <w:rPr>
          <w:rFonts w:ascii="Arial" w:hAnsi="Arial" w:cs="Arial"/>
        </w:rPr>
        <w:t>[1]</w:t>
      </w:r>
      <w:r w:rsidRPr="00FD77F8">
        <w:rPr>
          <w:rFonts w:ascii="Arial" w:hAnsi="Arial" w:cs="Arial"/>
        </w:rPr>
        <w:t xml:space="preserve">. Historically a prevalent disease, TB has re-emerged as a leading cause of mortality from a single infectious agent, surpassing HIV/AIDS as one of the world's deadliest diseases </w:t>
      </w:r>
      <w:r w:rsidR="007673F6">
        <w:rPr>
          <w:rFonts w:ascii="Arial" w:hAnsi="Arial" w:cs="Arial"/>
        </w:rPr>
        <w:t>[2]</w:t>
      </w:r>
      <w:r w:rsidRPr="00FD77F8">
        <w:rPr>
          <w:rFonts w:ascii="Arial" w:hAnsi="Arial" w:cs="Arial"/>
        </w:rPr>
        <w:t>.</w:t>
      </w:r>
    </w:p>
    <w:p w:rsidR="00FD77F8" w:rsidRPr="00FD77F8" w:rsidRDefault="00FD77F8" w:rsidP="00FD77F8">
      <w:pPr>
        <w:pStyle w:val="Body"/>
        <w:spacing w:after="0"/>
        <w:rPr>
          <w:rFonts w:ascii="Arial" w:hAnsi="Arial" w:cs="Arial"/>
        </w:rPr>
      </w:pPr>
      <w:r w:rsidRPr="00FD77F8">
        <w:rPr>
          <w:rFonts w:ascii="Arial" w:hAnsi="Arial" w:cs="Arial"/>
        </w:rPr>
        <w:t>The scale of the epidemic is profound. The World Health Organization (WHO) estimated 10 million new TB cases and 1.3 million deaths among HIV-negative individuals in 2022</w:t>
      </w:r>
      <w:r w:rsidR="007673F6">
        <w:rPr>
          <w:rFonts w:ascii="Arial" w:hAnsi="Arial" w:cs="Arial"/>
        </w:rPr>
        <w:t xml:space="preserve"> [3]</w:t>
      </w:r>
      <w:r w:rsidRPr="00FD77F8">
        <w:rPr>
          <w:rFonts w:ascii="Arial" w:hAnsi="Arial" w:cs="Arial"/>
        </w:rPr>
        <w:t xml:space="preserve">, with an additional 187,000 deaths among HIV-positive individuals </w:t>
      </w:r>
      <w:r w:rsidR="007673F6">
        <w:rPr>
          <w:rFonts w:ascii="Arial" w:hAnsi="Arial" w:cs="Arial"/>
        </w:rPr>
        <w:t>[4]</w:t>
      </w:r>
      <w:r w:rsidRPr="00FD77F8">
        <w:rPr>
          <w:rFonts w:ascii="Arial" w:hAnsi="Arial" w:cs="Arial"/>
        </w:rPr>
        <w:t xml:space="preserve">. A critical complicating factor is the rise of drug-resistant TB. In 2022, there were an estimated 450,000 new cases of rifampicin-resistant TB (RR-TB), the most effective first-line drug, with 78% of these cases being multidrug-resistant (MDR-TB) </w:t>
      </w:r>
      <w:r w:rsidR="007673F6">
        <w:rPr>
          <w:rFonts w:ascii="Arial" w:hAnsi="Arial" w:cs="Arial"/>
        </w:rPr>
        <w:t>[4]</w:t>
      </w:r>
      <w:r w:rsidRPr="00FD77F8">
        <w:rPr>
          <w:rFonts w:ascii="Arial" w:hAnsi="Arial" w:cs="Arial"/>
        </w:rPr>
        <w:t>.</w:t>
      </w:r>
    </w:p>
    <w:p w:rsidR="00FD77F8" w:rsidRPr="00FD77F8" w:rsidRDefault="00FD77F8" w:rsidP="00FD77F8">
      <w:pPr>
        <w:pStyle w:val="Body"/>
        <w:spacing w:after="0"/>
        <w:rPr>
          <w:rFonts w:ascii="Arial" w:hAnsi="Arial" w:cs="Arial"/>
        </w:rPr>
      </w:pPr>
      <w:r w:rsidRPr="00FD77F8">
        <w:rPr>
          <w:rFonts w:ascii="Arial" w:hAnsi="Arial" w:cs="Arial"/>
        </w:rPr>
        <w:t>The transmission and progression of TB are influenced by a complex interplay of individual risk factors and environmental determinants. Behavioral factors such as al</w:t>
      </w:r>
      <w:r w:rsidR="007673F6">
        <w:rPr>
          <w:rFonts w:ascii="Arial" w:hAnsi="Arial" w:cs="Arial"/>
        </w:rPr>
        <w:t>cohol consumption,</w:t>
      </w:r>
      <w:r w:rsidRPr="00FD77F8">
        <w:rPr>
          <w:rFonts w:ascii="Arial" w:hAnsi="Arial" w:cs="Arial"/>
        </w:rPr>
        <w:t xml:space="preserve"> and exposure to indoor air pollution increase susceptibility </w:t>
      </w:r>
      <w:r w:rsidR="007673F6">
        <w:rPr>
          <w:rFonts w:ascii="Arial" w:hAnsi="Arial" w:cs="Arial"/>
        </w:rPr>
        <w:t>[5]</w:t>
      </w:r>
      <w:r w:rsidRPr="00FD77F8">
        <w:rPr>
          <w:rFonts w:ascii="Arial" w:hAnsi="Arial" w:cs="Arial"/>
        </w:rPr>
        <w:t xml:space="preserve">. Furthermore, comorbidities like diabetes, cancer, and HIV/AIDS, often managed with immunosuppressive therapies, significantly predispose individuals to active TB infection </w:t>
      </w:r>
      <w:r w:rsidR="007673F6">
        <w:rPr>
          <w:rFonts w:ascii="Arial" w:hAnsi="Arial" w:cs="Arial"/>
        </w:rPr>
        <w:t>[5, 6]</w:t>
      </w:r>
      <w:r w:rsidRPr="00FD77F8">
        <w:rPr>
          <w:rFonts w:ascii="Arial" w:hAnsi="Arial" w:cs="Arial"/>
        </w:rPr>
        <w:t xml:space="preserve">. The development of drug resistance is fueled by inadequate treatment regimens, non-adherence to therapy, and uninformed drug selection, which expose bacilli to sublethal drug concentrations </w:t>
      </w:r>
      <w:r w:rsidR="007673F6">
        <w:rPr>
          <w:rFonts w:ascii="Arial" w:hAnsi="Arial" w:cs="Arial"/>
        </w:rPr>
        <w:t>[2]</w:t>
      </w:r>
      <w:r w:rsidRPr="00FD77F8">
        <w:rPr>
          <w:rFonts w:ascii="Arial" w:hAnsi="Arial" w:cs="Arial"/>
        </w:rPr>
        <w:t>.</w:t>
      </w:r>
    </w:p>
    <w:p w:rsidR="00FD77F8" w:rsidRPr="00FD77F8" w:rsidRDefault="00FD77F8" w:rsidP="00FD77F8">
      <w:pPr>
        <w:pStyle w:val="Body"/>
        <w:spacing w:after="0"/>
        <w:rPr>
          <w:rFonts w:ascii="Arial" w:hAnsi="Arial" w:cs="Arial"/>
        </w:rPr>
      </w:pPr>
      <w:r w:rsidRPr="00FD77F8">
        <w:rPr>
          <w:rFonts w:ascii="Arial" w:hAnsi="Arial" w:cs="Arial"/>
        </w:rPr>
        <w:t xml:space="preserve">MDR-TB, defined as resistance to at least isoniazid and rifampicin, and extensively drug-resistant TB (XDR-TB) arise primarily from spontaneous mutations in chromosomal genes </w:t>
      </w:r>
      <w:r w:rsidR="007673F6" w:rsidRPr="00FD77F8">
        <w:rPr>
          <w:rFonts w:ascii="Arial" w:hAnsi="Arial" w:cs="Arial"/>
        </w:rPr>
        <w:t>targeted</w:t>
      </w:r>
      <w:r w:rsidRPr="00FD77F8">
        <w:rPr>
          <w:rFonts w:ascii="Arial" w:hAnsi="Arial" w:cs="Arial"/>
        </w:rPr>
        <w:t xml:space="preserve"> by anti-TB drugs </w:t>
      </w:r>
      <w:r w:rsidR="007673F6">
        <w:rPr>
          <w:rFonts w:ascii="Arial" w:hAnsi="Arial" w:cs="Arial"/>
        </w:rPr>
        <w:t>[1]</w:t>
      </w:r>
      <w:r w:rsidRPr="00FD77F8">
        <w:rPr>
          <w:rFonts w:ascii="Arial" w:hAnsi="Arial" w:cs="Arial"/>
        </w:rPr>
        <w:t>. Resistance to first- and second-line agents has been strongly linked to mutations in specific genes, including </w:t>
      </w:r>
      <w:proofErr w:type="spellStart"/>
      <w:r w:rsidRPr="00FD77F8">
        <w:rPr>
          <w:rFonts w:ascii="Arial" w:hAnsi="Arial" w:cs="Arial"/>
          <w:i/>
          <w:iCs/>
        </w:rPr>
        <w:t>katG</w:t>
      </w:r>
      <w:proofErr w:type="spellEnd"/>
      <w:r w:rsidRPr="00FD77F8">
        <w:rPr>
          <w:rFonts w:ascii="Arial" w:hAnsi="Arial" w:cs="Arial"/>
        </w:rPr>
        <w:t> and </w:t>
      </w:r>
      <w:proofErr w:type="spellStart"/>
      <w:r w:rsidRPr="00FD77F8">
        <w:rPr>
          <w:rFonts w:ascii="Arial" w:hAnsi="Arial" w:cs="Arial"/>
          <w:i/>
          <w:iCs/>
        </w:rPr>
        <w:t>inhA</w:t>
      </w:r>
      <w:proofErr w:type="spellEnd"/>
      <w:r w:rsidRPr="00FD77F8">
        <w:rPr>
          <w:rFonts w:ascii="Arial" w:hAnsi="Arial" w:cs="Arial"/>
        </w:rPr>
        <w:t> (for isoniazid), </w:t>
      </w:r>
      <w:proofErr w:type="spellStart"/>
      <w:r w:rsidRPr="00FD77F8">
        <w:rPr>
          <w:rFonts w:ascii="Arial" w:hAnsi="Arial" w:cs="Arial"/>
          <w:i/>
          <w:iCs/>
        </w:rPr>
        <w:t>rpoB</w:t>
      </w:r>
      <w:proofErr w:type="spellEnd"/>
      <w:r w:rsidRPr="00FD77F8">
        <w:rPr>
          <w:rFonts w:ascii="Arial" w:hAnsi="Arial" w:cs="Arial"/>
        </w:rPr>
        <w:t> (for rifampicin), </w:t>
      </w:r>
      <w:proofErr w:type="spellStart"/>
      <w:r w:rsidRPr="00FD77F8">
        <w:rPr>
          <w:rFonts w:ascii="Arial" w:hAnsi="Arial" w:cs="Arial"/>
          <w:i/>
          <w:iCs/>
        </w:rPr>
        <w:t>gyrA</w:t>
      </w:r>
      <w:proofErr w:type="spellEnd"/>
      <w:r w:rsidRPr="00FD77F8">
        <w:rPr>
          <w:rFonts w:ascii="Arial" w:hAnsi="Arial" w:cs="Arial"/>
        </w:rPr>
        <w:t> and </w:t>
      </w:r>
      <w:proofErr w:type="spellStart"/>
      <w:r w:rsidRPr="00FD77F8">
        <w:rPr>
          <w:rFonts w:ascii="Arial" w:hAnsi="Arial" w:cs="Arial"/>
          <w:i/>
          <w:iCs/>
        </w:rPr>
        <w:t>gyrB</w:t>
      </w:r>
      <w:proofErr w:type="spellEnd"/>
      <w:r w:rsidRPr="00FD77F8">
        <w:rPr>
          <w:rFonts w:ascii="Arial" w:hAnsi="Arial" w:cs="Arial"/>
        </w:rPr>
        <w:t> (for fluoroquinolones), and </w:t>
      </w:r>
      <w:proofErr w:type="spellStart"/>
      <w:r w:rsidRPr="00FD77F8">
        <w:rPr>
          <w:rFonts w:ascii="Arial" w:hAnsi="Arial" w:cs="Arial"/>
          <w:i/>
          <w:iCs/>
        </w:rPr>
        <w:t>rrs</w:t>
      </w:r>
      <w:proofErr w:type="spellEnd"/>
      <w:r w:rsidRPr="00FD77F8">
        <w:rPr>
          <w:rFonts w:ascii="Arial" w:hAnsi="Arial" w:cs="Arial"/>
        </w:rPr>
        <w:t xml:space="preserve"> (for aminoglycosides) </w:t>
      </w:r>
      <w:r w:rsidR="007673F6">
        <w:rPr>
          <w:rFonts w:ascii="Arial" w:hAnsi="Arial" w:cs="Arial"/>
        </w:rPr>
        <w:t>[7]</w:t>
      </w:r>
      <w:r w:rsidRPr="00FD77F8">
        <w:rPr>
          <w:rFonts w:ascii="Arial" w:hAnsi="Arial" w:cs="Arial"/>
        </w:rPr>
        <w:t xml:space="preserve">. This resistance, exacerbated by treatment failure and limited access to drug susceptibility testing, poses a severe threat to global TB control efforts </w:t>
      </w:r>
      <w:r w:rsidR="007673F6">
        <w:rPr>
          <w:rFonts w:ascii="Arial" w:hAnsi="Arial" w:cs="Arial"/>
        </w:rPr>
        <w:t>[2, 8]</w:t>
      </w:r>
      <w:r w:rsidRPr="00FD77F8">
        <w:rPr>
          <w:rFonts w:ascii="Arial" w:hAnsi="Arial" w:cs="Arial"/>
        </w:rPr>
        <w:t>.</w:t>
      </w:r>
    </w:p>
    <w:p w:rsidR="00FD77F8" w:rsidRPr="00FD77F8" w:rsidRDefault="00FD77F8" w:rsidP="00FD77F8">
      <w:pPr>
        <w:pStyle w:val="Body"/>
        <w:spacing w:after="0"/>
        <w:rPr>
          <w:rFonts w:ascii="Arial" w:hAnsi="Arial" w:cs="Arial"/>
        </w:rPr>
      </w:pPr>
      <w:r w:rsidRPr="00FD77F8">
        <w:rPr>
          <w:rFonts w:ascii="Arial" w:hAnsi="Arial" w:cs="Arial"/>
        </w:rPr>
        <w:t xml:space="preserve">Despite concerted national and international efforts, Nigeria continues to bear a disproportionately high burden of TB within the sub-Saharan African region </w:t>
      </w:r>
      <w:r w:rsidR="007673F6">
        <w:rPr>
          <w:rFonts w:ascii="Arial" w:hAnsi="Arial" w:cs="Arial"/>
        </w:rPr>
        <w:t>[4]</w:t>
      </w:r>
      <w:r w:rsidRPr="00FD77F8">
        <w:rPr>
          <w:rFonts w:ascii="Arial" w:hAnsi="Arial" w:cs="Arial"/>
        </w:rPr>
        <w:t>. Continuous surveillance of the prevalence of </w:t>
      </w:r>
      <w:r w:rsidRPr="00FD77F8">
        <w:rPr>
          <w:rFonts w:ascii="Arial" w:hAnsi="Arial" w:cs="Arial"/>
          <w:i/>
          <w:iCs/>
        </w:rPr>
        <w:t>M. tuberculosis</w:t>
      </w:r>
      <w:r w:rsidRPr="00FD77F8">
        <w:rPr>
          <w:rFonts w:ascii="Arial" w:hAnsi="Arial" w:cs="Arial"/>
        </w:rPr>
        <w:t> and its drug-resistant variants is essential to guide effective public health policy and intervention strategies. Therefore, this study aims to determine the temporal trend and prevalence of </w:t>
      </w:r>
      <w:r w:rsidRPr="00FD77F8">
        <w:rPr>
          <w:rFonts w:ascii="Arial" w:hAnsi="Arial" w:cs="Arial"/>
          <w:i/>
          <w:iCs/>
        </w:rPr>
        <w:t>Mycobacterium tuberculosis</w:t>
      </w:r>
      <w:r w:rsidRPr="00FD77F8">
        <w:rPr>
          <w:rFonts w:ascii="Arial" w:hAnsi="Arial" w:cs="Arial"/>
        </w:rPr>
        <w:t xml:space="preserve">, including its drug-resistant profiles, among suspected TB patients attending the Tuberculosis Centre at ERCC Medical Centre, </w:t>
      </w:r>
      <w:proofErr w:type="spellStart"/>
      <w:r w:rsidRPr="00FD77F8">
        <w:rPr>
          <w:rFonts w:ascii="Arial" w:hAnsi="Arial" w:cs="Arial"/>
        </w:rPr>
        <w:t>Alushi</w:t>
      </w:r>
      <w:proofErr w:type="spellEnd"/>
      <w:r w:rsidRPr="00FD77F8">
        <w:rPr>
          <w:rFonts w:ascii="Arial" w:hAnsi="Arial" w:cs="Arial"/>
        </w:rPr>
        <w:t>, Nigeria.</w:t>
      </w:r>
    </w:p>
    <w:p w:rsidR="00103599" w:rsidRDefault="00103599" w:rsidP="00FD77F8">
      <w:pPr>
        <w:pStyle w:val="Body"/>
        <w:spacing w:after="0"/>
        <w:rPr>
          <w:rFonts w:ascii="Arial" w:hAnsi="Arial" w:cs="Arial"/>
          <w:b/>
          <w:sz w:val="22"/>
        </w:rPr>
      </w:pPr>
    </w:p>
    <w:p w:rsidR="0006516D" w:rsidRPr="00103599" w:rsidRDefault="00103599" w:rsidP="00FD77F8">
      <w:pPr>
        <w:pStyle w:val="Body"/>
        <w:spacing w:after="0"/>
        <w:rPr>
          <w:rFonts w:ascii="Arial" w:hAnsi="Arial" w:cs="Arial"/>
          <w:b/>
          <w:sz w:val="22"/>
        </w:rPr>
      </w:pPr>
      <w:r w:rsidRPr="00103599">
        <w:rPr>
          <w:rFonts w:ascii="Arial" w:hAnsi="Arial" w:cs="Arial"/>
          <w:b/>
          <w:sz w:val="22"/>
        </w:rPr>
        <w:t xml:space="preserve">2. MATERIAL AND METHODS </w:t>
      </w:r>
    </w:p>
    <w:p w:rsidR="00193B4A" w:rsidRPr="00193B4A" w:rsidRDefault="00790747" w:rsidP="00193B4A">
      <w:pPr>
        <w:pStyle w:val="AbstHead"/>
        <w:rPr>
          <w:rFonts w:ascii="Arial" w:hAnsi="Arial" w:cs="Arial"/>
          <w:lang w:val="en-GB"/>
        </w:rPr>
      </w:pPr>
      <w:r w:rsidRPr="00790747">
        <w:rPr>
          <w:rFonts w:ascii="Arial" w:hAnsi="Arial" w:cs="Arial"/>
          <w:caps w:val="0"/>
        </w:rPr>
        <w:t xml:space="preserve">2.1 </w:t>
      </w:r>
      <w:r w:rsidR="00103599">
        <w:rPr>
          <w:rFonts w:ascii="Arial" w:hAnsi="Arial" w:cs="Arial"/>
          <w:caps w:val="0"/>
          <w:lang w:val="en-GB"/>
        </w:rPr>
        <w:t>Study centre</w:t>
      </w:r>
      <w:r w:rsidR="00193B4A" w:rsidRPr="00193B4A">
        <w:rPr>
          <w:rFonts w:ascii="Arial" w:hAnsi="Arial" w:cs="Arial"/>
          <w:lang w:val="en-GB"/>
        </w:rPr>
        <w:t xml:space="preserve"> </w:t>
      </w:r>
    </w:p>
    <w:p w:rsidR="00670D02" w:rsidRDefault="00D46E78" w:rsidP="00441B6F">
      <w:pPr>
        <w:pStyle w:val="Body"/>
        <w:spacing w:after="0"/>
        <w:rPr>
          <w:rFonts w:ascii="Arial" w:hAnsi="Arial" w:cs="Arial"/>
          <w:lang w:val="en-GB"/>
        </w:rPr>
      </w:pPr>
      <w:r>
        <w:rPr>
          <w:rFonts w:ascii="Arial" w:hAnsi="Arial" w:cs="Arial"/>
        </w:rPr>
        <w:t>T</w:t>
      </w:r>
      <w:r w:rsidRPr="00D46E78">
        <w:rPr>
          <w:rFonts w:ascii="Arial" w:hAnsi="Arial" w:cs="Arial"/>
        </w:rPr>
        <w:t xml:space="preserve">his study was conducted at the Tuberculosis/Leprosy Reference Center of the Evangelical Reformed Church of Christ (ERCC) Hospital, a 100-bed facility in </w:t>
      </w:r>
      <w:proofErr w:type="spellStart"/>
      <w:r w:rsidRPr="00D46E78">
        <w:rPr>
          <w:rFonts w:ascii="Arial" w:hAnsi="Arial" w:cs="Arial"/>
        </w:rPr>
        <w:t>Alushi</w:t>
      </w:r>
      <w:proofErr w:type="spellEnd"/>
      <w:r w:rsidRPr="00D46E78">
        <w:rPr>
          <w:rFonts w:ascii="Arial" w:hAnsi="Arial" w:cs="Arial"/>
        </w:rPr>
        <w:t xml:space="preserve">, </w:t>
      </w:r>
      <w:proofErr w:type="spellStart"/>
      <w:r>
        <w:rPr>
          <w:rFonts w:ascii="Arial" w:hAnsi="Arial" w:cs="Arial"/>
        </w:rPr>
        <w:t>Akwanga</w:t>
      </w:r>
      <w:proofErr w:type="spellEnd"/>
      <w:r w:rsidRPr="00D46E78">
        <w:rPr>
          <w:rFonts w:ascii="Arial" w:hAnsi="Arial" w:cs="Arial"/>
        </w:rPr>
        <w:t xml:space="preserve"> L</w:t>
      </w:r>
      <w:r>
        <w:rPr>
          <w:rFonts w:ascii="Arial" w:hAnsi="Arial" w:cs="Arial"/>
        </w:rPr>
        <w:t xml:space="preserve">ocal </w:t>
      </w:r>
      <w:r w:rsidRPr="00D46E78">
        <w:rPr>
          <w:rFonts w:ascii="Arial" w:hAnsi="Arial" w:cs="Arial"/>
        </w:rPr>
        <w:t>G</w:t>
      </w:r>
      <w:r>
        <w:rPr>
          <w:rFonts w:ascii="Arial" w:hAnsi="Arial" w:cs="Arial"/>
        </w:rPr>
        <w:t xml:space="preserve">overnment </w:t>
      </w:r>
      <w:r w:rsidRPr="00D46E78">
        <w:rPr>
          <w:rFonts w:ascii="Arial" w:hAnsi="Arial" w:cs="Arial"/>
        </w:rPr>
        <w:t>A</w:t>
      </w:r>
      <w:r>
        <w:rPr>
          <w:rFonts w:ascii="Arial" w:hAnsi="Arial" w:cs="Arial"/>
        </w:rPr>
        <w:t>rea</w:t>
      </w:r>
      <w:r w:rsidRPr="00D46E78">
        <w:rPr>
          <w:rFonts w:ascii="Arial" w:hAnsi="Arial" w:cs="Arial"/>
        </w:rPr>
        <w:t>, Nigeria. The center has an annual patient turnover of approximately 5,000.</w:t>
      </w:r>
    </w:p>
    <w:p w:rsidR="00193B4A" w:rsidRPr="00193B4A" w:rsidRDefault="00790747" w:rsidP="00193B4A">
      <w:pPr>
        <w:pStyle w:val="AbstHead"/>
        <w:rPr>
          <w:rFonts w:ascii="Arial" w:hAnsi="Arial" w:cs="Arial"/>
          <w:bCs/>
          <w:lang w:val="en-GB"/>
        </w:rPr>
      </w:pPr>
      <w:r>
        <w:rPr>
          <w:rFonts w:ascii="Arial" w:hAnsi="Arial" w:cs="Arial"/>
          <w:caps w:val="0"/>
        </w:rPr>
        <w:t>2.2</w:t>
      </w:r>
      <w:r w:rsidRPr="00790747">
        <w:rPr>
          <w:rFonts w:ascii="Arial" w:hAnsi="Arial" w:cs="Arial"/>
          <w:caps w:val="0"/>
        </w:rPr>
        <w:t xml:space="preserve"> </w:t>
      </w:r>
      <w:r w:rsidR="00103599">
        <w:rPr>
          <w:rFonts w:ascii="Arial" w:hAnsi="Arial" w:cs="Arial"/>
          <w:bCs/>
          <w:caps w:val="0"/>
          <w:lang w:val="en-GB"/>
        </w:rPr>
        <w:t>Sample collection</w:t>
      </w:r>
    </w:p>
    <w:p w:rsidR="00103599" w:rsidRPr="00103599" w:rsidRDefault="00D46E78" w:rsidP="00103599">
      <w:pPr>
        <w:pStyle w:val="Body"/>
        <w:spacing w:after="0"/>
        <w:rPr>
          <w:rFonts w:ascii="Arial" w:hAnsi="Arial" w:cs="Arial"/>
          <w:bCs/>
        </w:rPr>
      </w:pPr>
      <w:r w:rsidRPr="00D46E78">
        <w:rPr>
          <w:rFonts w:ascii="Arial" w:hAnsi="Arial" w:cs="Arial"/>
          <w:bCs/>
          <w:iCs/>
        </w:rPr>
        <w:t>A total of 425 sputum samples were collected from treatment-naïve patients with suspected tuberculosis, primarily identified by chronic cough, in accordance with standard GeneXpert laboratory procedures [9].</w:t>
      </w:r>
    </w:p>
    <w:p w:rsidR="00D90737" w:rsidRPr="00790747" w:rsidRDefault="00D90737" w:rsidP="00790747">
      <w:pPr>
        <w:pStyle w:val="Body"/>
        <w:spacing w:after="0"/>
        <w:rPr>
          <w:rFonts w:ascii="Arial" w:hAnsi="Arial" w:cs="Arial"/>
          <w:lang w:val="en-GB"/>
        </w:rPr>
      </w:pPr>
    </w:p>
    <w:p w:rsidR="00103599" w:rsidRPr="00103599" w:rsidRDefault="00865928" w:rsidP="00103599">
      <w:pPr>
        <w:pStyle w:val="AbstHead"/>
        <w:rPr>
          <w:rFonts w:ascii="Arial" w:hAnsi="Arial" w:cs="Arial"/>
          <w:bCs/>
        </w:rPr>
      </w:pPr>
      <w:r>
        <w:rPr>
          <w:rFonts w:ascii="Arial" w:hAnsi="Arial" w:cs="Arial"/>
          <w:caps w:val="0"/>
        </w:rPr>
        <w:t>2.3</w:t>
      </w:r>
      <w:r w:rsidR="00D90737" w:rsidRPr="00790747">
        <w:rPr>
          <w:rFonts w:ascii="Arial" w:hAnsi="Arial" w:cs="Arial"/>
          <w:caps w:val="0"/>
        </w:rPr>
        <w:t xml:space="preserve"> </w:t>
      </w:r>
      <w:r w:rsidR="00103599">
        <w:rPr>
          <w:rFonts w:ascii="Arial" w:hAnsi="Arial" w:cs="Arial"/>
          <w:bCs/>
          <w:caps w:val="0"/>
        </w:rPr>
        <w:t>A</w:t>
      </w:r>
      <w:r w:rsidR="00103599" w:rsidRPr="00103599">
        <w:rPr>
          <w:rFonts w:ascii="Arial" w:hAnsi="Arial" w:cs="Arial"/>
          <w:bCs/>
          <w:caps w:val="0"/>
        </w:rPr>
        <w:t xml:space="preserve">cid-fast microscopic identification of </w:t>
      </w:r>
      <w:r w:rsidR="00103599">
        <w:rPr>
          <w:rFonts w:ascii="Arial" w:hAnsi="Arial" w:cs="Arial"/>
          <w:bCs/>
          <w:i/>
          <w:caps w:val="0"/>
        </w:rPr>
        <w:t>M</w:t>
      </w:r>
      <w:r w:rsidR="00103599" w:rsidRPr="00103599">
        <w:rPr>
          <w:rFonts w:ascii="Arial" w:hAnsi="Arial" w:cs="Arial"/>
          <w:bCs/>
          <w:i/>
          <w:caps w:val="0"/>
        </w:rPr>
        <w:t>ycobacterium tuberculosis</w:t>
      </w:r>
    </w:p>
    <w:p w:rsidR="00FE00AC" w:rsidRDefault="00FE00AC" w:rsidP="00865928">
      <w:pPr>
        <w:pStyle w:val="AbstHead"/>
        <w:rPr>
          <w:rFonts w:ascii="Arial" w:hAnsi="Arial" w:cs="Arial"/>
          <w:b w:val="0"/>
          <w:bCs/>
          <w:caps w:val="0"/>
          <w:sz w:val="20"/>
        </w:rPr>
      </w:pPr>
      <w:r w:rsidRPr="00FE00AC">
        <w:rPr>
          <w:rFonts w:ascii="Arial" w:hAnsi="Arial" w:cs="Arial"/>
          <w:b w:val="0"/>
          <w:bCs/>
          <w:caps w:val="0"/>
          <w:sz w:val="20"/>
        </w:rPr>
        <w:t xml:space="preserve">Acid-fast bacilli (AFB) were identified in sputum samples using the </w:t>
      </w:r>
      <w:proofErr w:type="spellStart"/>
      <w:r w:rsidRPr="00FE00AC">
        <w:rPr>
          <w:rFonts w:ascii="Arial" w:hAnsi="Arial" w:cs="Arial"/>
          <w:b w:val="0"/>
          <w:bCs/>
          <w:caps w:val="0"/>
          <w:sz w:val="20"/>
        </w:rPr>
        <w:t>Ziehl-Neelsen</w:t>
      </w:r>
      <w:proofErr w:type="spellEnd"/>
      <w:r w:rsidRPr="00FE00AC">
        <w:rPr>
          <w:rFonts w:ascii="Arial" w:hAnsi="Arial" w:cs="Arial"/>
          <w:b w:val="0"/>
          <w:bCs/>
          <w:caps w:val="0"/>
          <w:sz w:val="20"/>
        </w:rPr>
        <w:t xml:space="preserve"> (ZN) staining method per NTBLCP guidelines [10]. Briefly, direct smears were air-dried, fixed, and stained with 1% </w:t>
      </w:r>
      <w:proofErr w:type="spellStart"/>
      <w:r w:rsidRPr="00FE00AC">
        <w:rPr>
          <w:rFonts w:ascii="Arial" w:hAnsi="Arial" w:cs="Arial"/>
          <w:b w:val="0"/>
          <w:bCs/>
          <w:caps w:val="0"/>
          <w:sz w:val="20"/>
        </w:rPr>
        <w:t>carbol</w:t>
      </w:r>
      <w:proofErr w:type="spellEnd"/>
      <w:r w:rsidRPr="00FE00AC">
        <w:rPr>
          <w:rFonts w:ascii="Arial" w:hAnsi="Arial" w:cs="Arial"/>
          <w:b w:val="0"/>
          <w:bCs/>
          <w:caps w:val="0"/>
          <w:sz w:val="20"/>
        </w:rPr>
        <w:t xml:space="preserve"> fuchsin with heat. Slides were decolorized with 3% acid alcohol and </w:t>
      </w:r>
      <w:r w:rsidRPr="00FE00AC">
        <w:rPr>
          <w:rFonts w:ascii="Arial" w:hAnsi="Arial" w:cs="Arial"/>
          <w:b w:val="0"/>
          <w:bCs/>
          <w:caps w:val="0"/>
          <w:sz w:val="20"/>
        </w:rPr>
        <w:lastRenderedPageBreak/>
        <w:t>counterstained with 0.1% methylene blue. Positive and negative controls were included with each batch. Air-dried slides were examined under a bright-field fluorescence microscope.</w:t>
      </w:r>
    </w:p>
    <w:p w:rsidR="00865928" w:rsidRPr="00865928" w:rsidRDefault="00865928" w:rsidP="00865928">
      <w:pPr>
        <w:pStyle w:val="AbstHead"/>
        <w:rPr>
          <w:rFonts w:ascii="Arial" w:hAnsi="Arial" w:cs="Arial"/>
          <w:bCs/>
          <w:lang w:val="en-GB"/>
        </w:rPr>
      </w:pPr>
      <w:r>
        <w:rPr>
          <w:rFonts w:ascii="Arial" w:hAnsi="Arial" w:cs="Arial"/>
          <w:caps w:val="0"/>
        </w:rPr>
        <w:t>2.4</w:t>
      </w:r>
      <w:r w:rsidR="00D90737" w:rsidRPr="00790747">
        <w:rPr>
          <w:rFonts w:ascii="Arial" w:hAnsi="Arial" w:cs="Arial"/>
          <w:caps w:val="0"/>
        </w:rPr>
        <w:t xml:space="preserve"> </w:t>
      </w:r>
      <w:r w:rsidR="00103599">
        <w:rPr>
          <w:rFonts w:ascii="Arial" w:hAnsi="Arial" w:cs="Arial"/>
          <w:bCs/>
          <w:caps w:val="0"/>
          <w:lang w:val="en-GB"/>
        </w:rPr>
        <w:t>Genotypic detection of b</w:t>
      </w:r>
      <w:r w:rsidR="00103599" w:rsidRPr="00103599">
        <w:rPr>
          <w:rFonts w:ascii="Arial" w:hAnsi="Arial" w:cs="Arial"/>
          <w:bCs/>
          <w:caps w:val="0"/>
          <w:lang w:val="en-GB"/>
        </w:rPr>
        <w:t xml:space="preserve">acteria isolates of </w:t>
      </w:r>
      <w:r w:rsidR="00103599" w:rsidRPr="00103599">
        <w:rPr>
          <w:rFonts w:ascii="Arial" w:hAnsi="Arial" w:cs="Arial"/>
          <w:bCs/>
          <w:i/>
          <w:caps w:val="0"/>
          <w:lang w:val="en-GB"/>
        </w:rPr>
        <w:t>Mycobacterium tuberculosis</w:t>
      </w:r>
    </w:p>
    <w:p w:rsidR="00103599" w:rsidRPr="00103599" w:rsidRDefault="000E04B1" w:rsidP="00103599">
      <w:pPr>
        <w:pStyle w:val="Body"/>
        <w:spacing w:after="0"/>
        <w:rPr>
          <w:rFonts w:ascii="Arial" w:hAnsi="Arial" w:cs="Arial"/>
        </w:rPr>
      </w:pPr>
      <w:r w:rsidRPr="000E04B1">
        <w:rPr>
          <w:rFonts w:ascii="Arial" w:hAnsi="Arial" w:cs="Arial"/>
          <w:i/>
        </w:rPr>
        <w:t>Mycobacterium tuberculosis</w:t>
      </w:r>
      <w:r w:rsidRPr="000E04B1">
        <w:rPr>
          <w:rFonts w:ascii="Arial" w:hAnsi="Arial" w:cs="Arial"/>
        </w:rPr>
        <w:t xml:space="preserve"> was genotypically detected from all sputum samples using the GeneXpert MTB/RIF platform according to the manufacturer's instructions and the method described by </w:t>
      </w:r>
      <w:proofErr w:type="spellStart"/>
      <w:r w:rsidRPr="000E04B1">
        <w:rPr>
          <w:rFonts w:ascii="Arial" w:hAnsi="Arial" w:cs="Arial"/>
        </w:rPr>
        <w:t>Abayneh</w:t>
      </w:r>
      <w:proofErr w:type="spellEnd"/>
      <w:r w:rsidRPr="000E04B1">
        <w:rPr>
          <w:rFonts w:ascii="Arial" w:hAnsi="Arial" w:cs="Arial"/>
        </w:rPr>
        <w:t xml:space="preserve"> &amp; Teressa (2022) [11]. Briefly, samples were homogenized with the provided sample reagent, vortexed, and incubated at room temperature for 15 minutes. A 2 mL aliquot of the processed sample was then transferred to a test cartridge and loaded into the Ge</w:t>
      </w:r>
      <w:r>
        <w:rPr>
          <w:rFonts w:ascii="Arial" w:hAnsi="Arial" w:cs="Arial"/>
        </w:rPr>
        <w:t>neXpert instrument. Results (</w:t>
      </w:r>
      <w:proofErr w:type="spellStart"/>
      <w:r>
        <w:rPr>
          <w:rFonts w:ascii="Arial" w:hAnsi="Arial" w:cs="Arial"/>
        </w:rPr>
        <w:t>MTb</w:t>
      </w:r>
      <w:proofErr w:type="spellEnd"/>
      <w:r w:rsidRPr="000E04B1">
        <w:rPr>
          <w:rFonts w:ascii="Arial" w:hAnsi="Arial" w:cs="Arial"/>
        </w:rPr>
        <w:t xml:space="preserve"> detected, not detected, or invalid) were automatically generated by the system after approximately 90 minutes based on the analysis of fluorescent signals.</w:t>
      </w:r>
    </w:p>
    <w:p w:rsidR="00E037E8" w:rsidRDefault="00E037E8"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2232" w:rsidRPr="00792232" w:rsidRDefault="00792232" w:rsidP="00792232">
      <w:pPr>
        <w:pStyle w:val="Head1"/>
        <w:rPr>
          <w:rFonts w:ascii="Arial" w:hAnsi="Arial" w:cs="Arial"/>
          <w:bCs/>
          <w:lang w:val="en-GB"/>
        </w:rPr>
      </w:pPr>
      <w:r w:rsidRPr="00792232">
        <w:rPr>
          <w:rFonts w:ascii="Arial" w:hAnsi="Arial" w:cs="Arial"/>
        </w:rPr>
        <w:t>3.1</w:t>
      </w:r>
      <w:r w:rsidR="00103599">
        <w:rPr>
          <w:rFonts w:ascii="Arial" w:hAnsi="Arial" w:cs="Arial"/>
        </w:rPr>
        <w:t xml:space="preserve"> </w:t>
      </w:r>
      <w:r w:rsidR="00103599" w:rsidRPr="00103599">
        <w:rPr>
          <w:rFonts w:ascii="Arial" w:hAnsi="Arial" w:cs="Arial"/>
          <w:bCs/>
          <w:caps w:val="0"/>
        </w:rPr>
        <w:t xml:space="preserve">Temporal Trend in </w:t>
      </w:r>
      <w:r w:rsidR="00103599" w:rsidRPr="00103599">
        <w:rPr>
          <w:rFonts w:ascii="Arial" w:hAnsi="Arial" w:cs="Arial"/>
          <w:bCs/>
          <w:i/>
          <w:caps w:val="0"/>
        </w:rPr>
        <w:t>Mycobacterium tuberculosis</w:t>
      </w:r>
    </w:p>
    <w:p w:rsidR="00103599" w:rsidRPr="00103599" w:rsidRDefault="000E04B1" w:rsidP="00103599">
      <w:pPr>
        <w:pStyle w:val="Body"/>
        <w:spacing w:after="0"/>
        <w:rPr>
          <w:rFonts w:ascii="Arial" w:hAnsi="Arial" w:cs="Arial"/>
        </w:rPr>
      </w:pPr>
      <w:r w:rsidRPr="000E04B1">
        <w:rPr>
          <w:rFonts w:ascii="Arial" w:hAnsi="Arial" w:cs="Arial"/>
        </w:rPr>
        <w:t xml:space="preserve">The temporal trend of Mycobacterium tuberculosis cases was analyzed over six months. The time series plot (Figure 1) depicts a visual decline in daily cases throughout the study period. To determine the statistical significance of this trend, a generalized linear model was employed. The model indicated that the number of </w:t>
      </w:r>
      <w:proofErr w:type="spellStart"/>
      <w:r w:rsidRPr="000E04B1">
        <w:rPr>
          <w:rFonts w:ascii="Arial" w:hAnsi="Arial" w:cs="Arial"/>
        </w:rPr>
        <w:t>MTb</w:t>
      </w:r>
      <w:proofErr w:type="spellEnd"/>
      <w:r w:rsidRPr="000E04B1">
        <w:rPr>
          <w:rFonts w:ascii="Arial" w:hAnsi="Arial" w:cs="Arial"/>
        </w:rPr>
        <w:t xml:space="preserve"> cases was not significantly associated with the study period (P=0.366), suggesting the observed decrease was not statistically meaningful.</w:t>
      </w:r>
      <w:r w:rsidR="00103599" w:rsidRPr="00103599">
        <w:rPr>
          <w:rFonts w:ascii="Arial" w:hAnsi="Arial" w:cs="Arial"/>
        </w:rPr>
        <w:t xml:space="preserve"> </w:t>
      </w:r>
    </w:p>
    <w:p w:rsidR="005E4DC9" w:rsidRDefault="005E4DC9" w:rsidP="00441B6F">
      <w:pPr>
        <w:pStyle w:val="Body"/>
        <w:spacing w:after="0"/>
        <w:rPr>
          <w:rFonts w:ascii="Arial" w:hAnsi="Arial" w:cs="Arial"/>
        </w:rPr>
      </w:pPr>
    </w:p>
    <w:p w:rsidR="0048114E" w:rsidRPr="0048114E" w:rsidRDefault="005E4DC9" w:rsidP="00103599">
      <w:pPr>
        <w:pStyle w:val="Head1"/>
        <w:jc w:val="both"/>
        <w:rPr>
          <w:rFonts w:ascii="Arial" w:hAnsi="Arial" w:cs="Arial"/>
          <w:bCs/>
          <w:lang w:val="en-GB"/>
        </w:rPr>
      </w:pPr>
      <w:r>
        <w:rPr>
          <w:rFonts w:ascii="Arial" w:hAnsi="Arial" w:cs="Arial"/>
        </w:rPr>
        <w:t>3.2</w:t>
      </w:r>
      <w:r w:rsidRPr="00792232">
        <w:rPr>
          <w:rFonts w:ascii="Arial" w:hAnsi="Arial" w:cs="Arial"/>
        </w:rPr>
        <w:t xml:space="preserve"> </w:t>
      </w:r>
      <w:r w:rsidR="00103599" w:rsidRPr="00103599">
        <w:rPr>
          <w:rFonts w:ascii="Arial" w:hAnsi="Arial" w:cs="Arial"/>
          <w:bCs/>
          <w:caps w:val="0"/>
        </w:rPr>
        <w:t xml:space="preserve">Prevalence of </w:t>
      </w:r>
      <w:r w:rsidR="00103599" w:rsidRPr="00103599">
        <w:rPr>
          <w:rFonts w:ascii="Arial" w:hAnsi="Arial" w:cs="Arial"/>
          <w:bCs/>
          <w:i/>
          <w:caps w:val="0"/>
        </w:rPr>
        <w:t>Mycobacterium tuberculosis</w:t>
      </w:r>
      <w:r w:rsidR="00103599" w:rsidRPr="00103599">
        <w:rPr>
          <w:rFonts w:ascii="Arial" w:hAnsi="Arial" w:cs="Arial"/>
          <w:bCs/>
          <w:caps w:val="0"/>
        </w:rPr>
        <w:t xml:space="preserve"> in relation to Socio-demographic factor</w:t>
      </w:r>
    </w:p>
    <w:p w:rsidR="00343F57" w:rsidRDefault="000E04B1" w:rsidP="00343F57">
      <w:pPr>
        <w:pStyle w:val="Body"/>
        <w:spacing w:after="0"/>
        <w:rPr>
          <w:rFonts w:ascii="Arial" w:hAnsi="Arial" w:cs="Arial"/>
        </w:rPr>
      </w:pPr>
      <w:r w:rsidRPr="000E04B1">
        <w:rPr>
          <w:rFonts w:ascii="Arial" w:hAnsi="Arial" w:cs="Arial"/>
        </w:rPr>
        <w:t>The overall prevalence rates of MTB, DR-</w:t>
      </w:r>
      <w:proofErr w:type="spellStart"/>
      <w:r w:rsidR="003D206E">
        <w:rPr>
          <w:rFonts w:ascii="Arial" w:hAnsi="Arial" w:cs="Arial"/>
        </w:rPr>
        <w:t>MTb</w:t>
      </w:r>
      <w:proofErr w:type="spellEnd"/>
      <w:r w:rsidR="003D206E">
        <w:rPr>
          <w:rFonts w:ascii="Arial" w:hAnsi="Arial" w:cs="Arial"/>
        </w:rPr>
        <w:t>, and MDR-</w:t>
      </w:r>
      <w:proofErr w:type="spellStart"/>
      <w:r w:rsidR="003D206E">
        <w:rPr>
          <w:rFonts w:ascii="Arial" w:hAnsi="Arial" w:cs="Arial"/>
        </w:rPr>
        <w:t>MTb</w:t>
      </w:r>
      <w:proofErr w:type="spellEnd"/>
      <w:r w:rsidRPr="000E04B1">
        <w:rPr>
          <w:rFonts w:ascii="Arial" w:hAnsi="Arial" w:cs="Arial"/>
        </w:rPr>
        <w:t xml:space="preserve"> among suspected tuberculosis patients were 28.7% (122/425), 2.1% (9/425), and 0.5% (2/425), respectively. Analysis of socio-demographic factors revealed s</w:t>
      </w:r>
      <w:r w:rsidR="003D206E">
        <w:rPr>
          <w:rFonts w:ascii="Arial" w:hAnsi="Arial" w:cs="Arial"/>
        </w:rPr>
        <w:t xml:space="preserve">ignificant associations. The </w:t>
      </w:r>
      <w:proofErr w:type="spellStart"/>
      <w:r w:rsidR="003D206E">
        <w:rPr>
          <w:rFonts w:ascii="Arial" w:hAnsi="Arial" w:cs="Arial"/>
        </w:rPr>
        <w:t>MTb</w:t>
      </w:r>
      <w:proofErr w:type="spellEnd"/>
      <w:r w:rsidRPr="000E04B1">
        <w:rPr>
          <w:rFonts w:ascii="Arial" w:hAnsi="Arial" w:cs="Arial"/>
        </w:rPr>
        <w:t xml:space="preserve"> prevalence was highest in the 18-30 age group (48.2%)</w:t>
      </w:r>
      <w:r w:rsidR="003D206E">
        <w:rPr>
          <w:rFonts w:ascii="Arial" w:hAnsi="Arial" w:cs="Arial"/>
        </w:rPr>
        <w:t xml:space="preserve"> and among males (36.3%). DR-</w:t>
      </w:r>
      <w:proofErr w:type="spellStart"/>
      <w:r w:rsidR="003D206E">
        <w:rPr>
          <w:rFonts w:ascii="Arial" w:hAnsi="Arial" w:cs="Arial"/>
        </w:rPr>
        <w:t>MTb</w:t>
      </w:r>
      <w:proofErr w:type="spellEnd"/>
      <w:r w:rsidR="003D206E">
        <w:rPr>
          <w:rFonts w:ascii="Arial" w:hAnsi="Arial" w:cs="Arial"/>
        </w:rPr>
        <w:t xml:space="preserve"> and MDR-</w:t>
      </w:r>
      <w:proofErr w:type="spellStart"/>
      <w:r w:rsidR="003D206E">
        <w:rPr>
          <w:rFonts w:ascii="Arial" w:hAnsi="Arial" w:cs="Arial"/>
        </w:rPr>
        <w:t>MTb</w:t>
      </w:r>
      <w:proofErr w:type="spellEnd"/>
      <w:r w:rsidRPr="000E04B1">
        <w:rPr>
          <w:rFonts w:ascii="Arial" w:hAnsi="Arial" w:cs="Arial"/>
        </w:rPr>
        <w:t xml:space="preserve"> were most prevalent in the 31-43 age group (3.7% and 1.2%, respectively) and among married individuals. Statistically significant ass</w:t>
      </w:r>
      <w:r w:rsidR="003D206E">
        <w:rPr>
          <w:rFonts w:ascii="Arial" w:hAnsi="Arial" w:cs="Arial"/>
        </w:rPr>
        <w:t xml:space="preserve">ociations were found between </w:t>
      </w:r>
      <w:proofErr w:type="spellStart"/>
      <w:r w:rsidR="003D206E">
        <w:rPr>
          <w:rFonts w:ascii="Arial" w:hAnsi="Arial" w:cs="Arial"/>
        </w:rPr>
        <w:t>MTb</w:t>
      </w:r>
      <w:proofErr w:type="spellEnd"/>
      <w:r w:rsidRPr="000E04B1">
        <w:rPr>
          <w:rFonts w:ascii="Arial" w:hAnsi="Arial" w:cs="Arial"/>
        </w:rPr>
        <w:t xml:space="preserve"> prevalence and gender (χ²=13.952; P&lt;0.001), age (χ²=41.552; P&lt;0.001), and occupation (P=0.002). A full breakdown of prevalence by socio-demographic </w:t>
      </w:r>
      <w:r>
        <w:rPr>
          <w:rFonts w:ascii="Arial" w:hAnsi="Arial" w:cs="Arial"/>
        </w:rPr>
        <w:t xml:space="preserve">category is presented in Table </w:t>
      </w:r>
      <w:r w:rsidRPr="000E04B1">
        <w:rPr>
          <w:rFonts w:ascii="Arial" w:hAnsi="Arial" w:cs="Arial"/>
        </w:rPr>
        <w:t>1.</w:t>
      </w:r>
    </w:p>
    <w:p w:rsidR="000E04B1" w:rsidRPr="00343F57" w:rsidRDefault="000E04B1" w:rsidP="00343F57">
      <w:pPr>
        <w:pStyle w:val="Body"/>
        <w:spacing w:after="0"/>
        <w:rPr>
          <w:rFonts w:ascii="Arial" w:hAnsi="Arial" w:cs="Arial"/>
          <w:lang w:val="en-GB"/>
        </w:rPr>
      </w:pPr>
    </w:p>
    <w:p w:rsidR="004B2275" w:rsidRPr="0048114E" w:rsidRDefault="004B2275" w:rsidP="004B2275">
      <w:pPr>
        <w:pStyle w:val="Head1"/>
        <w:jc w:val="both"/>
        <w:rPr>
          <w:rFonts w:ascii="Arial" w:hAnsi="Arial" w:cs="Arial"/>
          <w:bCs/>
          <w:lang w:val="en-GB"/>
        </w:rPr>
      </w:pPr>
      <w:r>
        <w:rPr>
          <w:rFonts w:ascii="Arial" w:hAnsi="Arial" w:cs="Arial"/>
        </w:rPr>
        <w:t>3.3</w:t>
      </w:r>
      <w:r w:rsidRPr="00792232">
        <w:rPr>
          <w:rFonts w:ascii="Arial" w:hAnsi="Arial" w:cs="Arial"/>
        </w:rPr>
        <w:t xml:space="preserve"> </w:t>
      </w:r>
      <w:r w:rsidRPr="004B2275">
        <w:rPr>
          <w:rFonts w:ascii="Arial" w:hAnsi="Arial" w:cs="Arial"/>
          <w:bCs/>
          <w:caps w:val="0"/>
        </w:rPr>
        <w:t xml:space="preserve">Prevalence of </w:t>
      </w:r>
      <w:r w:rsidRPr="004B2275">
        <w:rPr>
          <w:rFonts w:ascii="Arial" w:hAnsi="Arial" w:cs="Arial"/>
          <w:bCs/>
          <w:i/>
          <w:caps w:val="0"/>
        </w:rPr>
        <w:t>Mycobacterium tuberculosis</w:t>
      </w:r>
      <w:r w:rsidRPr="004B2275">
        <w:rPr>
          <w:rFonts w:ascii="Arial" w:hAnsi="Arial" w:cs="Arial"/>
          <w:bCs/>
          <w:caps w:val="0"/>
        </w:rPr>
        <w:t xml:space="preserve"> in relation to Risk factor</w:t>
      </w:r>
    </w:p>
    <w:p w:rsidR="00343F57" w:rsidRDefault="003D206E" w:rsidP="00AD6B27">
      <w:pPr>
        <w:pStyle w:val="Body"/>
        <w:spacing w:after="0"/>
        <w:rPr>
          <w:rFonts w:ascii="Arial" w:hAnsi="Arial" w:cs="Arial"/>
        </w:rPr>
      </w:pPr>
      <w:r>
        <w:rPr>
          <w:rFonts w:ascii="Arial" w:hAnsi="Arial" w:cs="Arial"/>
        </w:rPr>
        <w:t>The prevalence of MTB, DR-</w:t>
      </w:r>
      <w:proofErr w:type="spellStart"/>
      <w:r>
        <w:rPr>
          <w:rFonts w:ascii="Arial" w:hAnsi="Arial" w:cs="Arial"/>
        </w:rPr>
        <w:t>MTb</w:t>
      </w:r>
      <w:proofErr w:type="spellEnd"/>
      <w:r>
        <w:rPr>
          <w:rFonts w:ascii="Arial" w:hAnsi="Arial" w:cs="Arial"/>
        </w:rPr>
        <w:t>, and MDR-</w:t>
      </w:r>
      <w:proofErr w:type="spellStart"/>
      <w:r>
        <w:rPr>
          <w:rFonts w:ascii="Arial" w:hAnsi="Arial" w:cs="Arial"/>
        </w:rPr>
        <w:t>MTb</w:t>
      </w:r>
      <w:proofErr w:type="spellEnd"/>
      <w:r w:rsidRPr="003D206E">
        <w:rPr>
          <w:rFonts w:ascii="Arial" w:hAnsi="Arial" w:cs="Arial"/>
        </w:rPr>
        <w:t xml:space="preserve"> in relation to patient risk factors is detailed in Table 2. The prevalence of MTB was slightly higher in HIV-negative patients (29.0%) than in HIV-positive patients (25.0%). In contrast, the prevalence of both DR-</w:t>
      </w:r>
      <w:proofErr w:type="spellStart"/>
      <w:r>
        <w:rPr>
          <w:rFonts w:ascii="Arial" w:hAnsi="Arial" w:cs="Arial"/>
        </w:rPr>
        <w:t>MTb</w:t>
      </w:r>
      <w:proofErr w:type="spellEnd"/>
      <w:r>
        <w:rPr>
          <w:rFonts w:ascii="Arial" w:hAnsi="Arial" w:cs="Arial"/>
        </w:rPr>
        <w:t xml:space="preserve"> (28.1%) and MDR-</w:t>
      </w:r>
      <w:proofErr w:type="spellStart"/>
      <w:r>
        <w:rPr>
          <w:rFonts w:ascii="Arial" w:hAnsi="Arial" w:cs="Arial"/>
        </w:rPr>
        <w:t>MTb</w:t>
      </w:r>
      <w:proofErr w:type="spellEnd"/>
      <w:r w:rsidRPr="003D206E">
        <w:rPr>
          <w:rFonts w:ascii="Arial" w:hAnsi="Arial" w:cs="Arial"/>
        </w:rPr>
        <w:t xml:space="preserve"> (6.3%) was substantially higher in the HIV-positive cohort. Analysis by o</w:t>
      </w:r>
      <w:r>
        <w:rPr>
          <w:rFonts w:ascii="Arial" w:hAnsi="Arial" w:cs="Arial"/>
        </w:rPr>
        <w:t xml:space="preserve">ccupation showed the highest </w:t>
      </w:r>
      <w:proofErr w:type="spellStart"/>
      <w:r>
        <w:rPr>
          <w:rFonts w:ascii="Arial" w:hAnsi="Arial" w:cs="Arial"/>
        </w:rPr>
        <w:t>MTb</w:t>
      </w:r>
      <w:proofErr w:type="spellEnd"/>
      <w:r w:rsidRPr="003D206E">
        <w:rPr>
          <w:rFonts w:ascii="Arial" w:hAnsi="Arial" w:cs="Arial"/>
        </w:rPr>
        <w:t xml:space="preserve"> prevalence among artisans (100.0%) and individuals categorized as "others" (36.7%), while farmers had the highest rates of DR-</w:t>
      </w:r>
      <w:r>
        <w:rPr>
          <w:rFonts w:ascii="Arial" w:hAnsi="Arial" w:cs="Arial"/>
        </w:rPr>
        <w:t>MTB (7.4%) and MDR-</w:t>
      </w:r>
      <w:proofErr w:type="spellStart"/>
      <w:r>
        <w:rPr>
          <w:rFonts w:ascii="Arial" w:hAnsi="Arial" w:cs="Arial"/>
        </w:rPr>
        <w:t>MTb</w:t>
      </w:r>
      <w:proofErr w:type="spellEnd"/>
      <w:r w:rsidRPr="003D206E">
        <w:rPr>
          <w:rFonts w:ascii="Arial" w:hAnsi="Arial" w:cs="Arial"/>
        </w:rPr>
        <w:t xml:space="preserve"> (7.4%).</w:t>
      </w:r>
    </w:p>
    <w:p w:rsidR="004B2275" w:rsidRDefault="004B2275" w:rsidP="00AD6B27">
      <w:pPr>
        <w:pStyle w:val="Body"/>
        <w:spacing w:after="0"/>
        <w:rPr>
          <w:rFonts w:ascii="Arial" w:hAnsi="Arial" w:cs="Arial"/>
        </w:rPr>
      </w:pPr>
    </w:p>
    <w:p w:rsidR="004B2275" w:rsidRPr="004B2275" w:rsidRDefault="004B2275" w:rsidP="004B2275">
      <w:pPr>
        <w:pStyle w:val="Body"/>
        <w:spacing w:after="0"/>
        <w:rPr>
          <w:rFonts w:ascii="Arial" w:hAnsi="Arial" w:cs="Arial"/>
        </w:rPr>
      </w:pPr>
    </w:p>
    <w:p w:rsidR="004B2275" w:rsidRPr="004B2275" w:rsidRDefault="004B2275" w:rsidP="004B2275">
      <w:pPr>
        <w:pStyle w:val="Body"/>
        <w:spacing w:after="0"/>
        <w:rPr>
          <w:rFonts w:ascii="Arial" w:hAnsi="Arial" w:cs="Arial"/>
        </w:rPr>
      </w:pPr>
    </w:p>
    <w:p w:rsidR="004B2275" w:rsidRPr="004B2275" w:rsidRDefault="004B2275" w:rsidP="004B2275">
      <w:pPr>
        <w:pStyle w:val="Body"/>
        <w:spacing w:after="0"/>
        <w:rPr>
          <w:rFonts w:ascii="Arial" w:hAnsi="Arial" w:cs="Arial"/>
        </w:rPr>
      </w:pPr>
      <w:r w:rsidRPr="004B2275">
        <w:rPr>
          <w:rFonts w:ascii="Arial" w:hAnsi="Arial" w:cs="Arial"/>
          <w:noProof/>
        </w:rPr>
        <w:lastRenderedPageBreak/>
        <w:drawing>
          <wp:inline distT="0" distB="0" distL="0" distR="0" wp14:anchorId="45857D56" wp14:editId="2D261526">
            <wp:extent cx="5321741" cy="3766782"/>
            <wp:effectExtent l="0" t="0" r="0" b="5715"/>
            <wp:docPr id="2061159889" name="Picture 1" descr="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59889" name="Picture 1" descr="A graph of a graph&#10;&#10;Description automatically generated"/>
                    <pic:cNvPicPr/>
                  </pic:nvPicPr>
                  <pic:blipFill>
                    <a:blip r:embed="rId14"/>
                    <a:stretch>
                      <a:fillRect/>
                    </a:stretch>
                  </pic:blipFill>
                  <pic:spPr>
                    <a:xfrm>
                      <a:off x="0" y="0"/>
                      <a:ext cx="5381767" cy="3809269"/>
                    </a:xfrm>
                    <a:prstGeom prst="rect">
                      <a:avLst/>
                    </a:prstGeom>
                  </pic:spPr>
                </pic:pic>
              </a:graphicData>
            </a:graphic>
          </wp:inline>
        </w:drawing>
      </w:r>
    </w:p>
    <w:p w:rsidR="004B2275" w:rsidRPr="004B2275" w:rsidRDefault="004B2275" w:rsidP="004B2275">
      <w:pPr>
        <w:pStyle w:val="Body"/>
        <w:spacing w:after="0"/>
        <w:rPr>
          <w:rFonts w:ascii="Arial" w:hAnsi="Arial" w:cs="Arial"/>
        </w:rPr>
      </w:pPr>
      <w:r w:rsidRPr="004B2275">
        <w:rPr>
          <w:rFonts w:ascii="Arial" w:hAnsi="Arial" w:cs="Arial"/>
          <w:b/>
          <w:bCs/>
        </w:rPr>
        <w:t>Figure 1</w:t>
      </w:r>
      <w:r w:rsidRPr="004B2275">
        <w:rPr>
          <w:rFonts w:ascii="Arial" w:hAnsi="Arial" w:cs="Arial"/>
        </w:rPr>
        <w:t xml:space="preserve">: Daily Trend in the cases of </w:t>
      </w:r>
      <w:r w:rsidRPr="004B2275">
        <w:rPr>
          <w:rFonts w:ascii="Arial" w:hAnsi="Arial" w:cs="Arial"/>
          <w:i/>
        </w:rPr>
        <w:t>Mycobacterium</w:t>
      </w:r>
      <w:r w:rsidRPr="004B2275">
        <w:rPr>
          <w:rFonts w:ascii="Arial" w:hAnsi="Arial" w:cs="Arial"/>
        </w:rPr>
        <w:t xml:space="preserve"> </w:t>
      </w:r>
      <w:r w:rsidRPr="004B2275">
        <w:rPr>
          <w:rFonts w:ascii="Arial" w:hAnsi="Arial" w:cs="Arial"/>
          <w:i/>
        </w:rPr>
        <w:t>tuberculosis</w:t>
      </w:r>
      <w:r w:rsidRPr="004B2275">
        <w:rPr>
          <w:rFonts w:ascii="Arial" w:hAnsi="Arial" w:cs="Arial"/>
        </w:rPr>
        <w:t xml:space="preserve"> among patients attending Tuberculosis Centre, ERCC Medical Centre, </w:t>
      </w:r>
      <w:proofErr w:type="spellStart"/>
      <w:r w:rsidRPr="004B2275">
        <w:rPr>
          <w:rFonts w:ascii="Arial" w:hAnsi="Arial" w:cs="Arial"/>
        </w:rPr>
        <w:t>Alushi</w:t>
      </w:r>
      <w:proofErr w:type="spellEnd"/>
      <w:r w:rsidRPr="004B2275">
        <w:rPr>
          <w:rFonts w:ascii="Arial" w:hAnsi="Arial" w:cs="Arial"/>
        </w:rPr>
        <w:t xml:space="preserve">, Nasarawa State </w:t>
      </w:r>
    </w:p>
    <w:p w:rsidR="00630B5D" w:rsidRDefault="00630B5D" w:rsidP="004B2275">
      <w:pPr>
        <w:pStyle w:val="Body"/>
        <w:spacing w:after="0"/>
        <w:rPr>
          <w:rFonts w:ascii="Arial" w:hAnsi="Arial" w:cs="Arial"/>
          <w:b/>
        </w:rPr>
      </w:pPr>
    </w:p>
    <w:p w:rsidR="00630B5D" w:rsidRDefault="00630B5D" w:rsidP="004B2275">
      <w:pPr>
        <w:pStyle w:val="Body"/>
        <w:spacing w:after="0"/>
        <w:rPr>
          <w:rFonts w:ascii="Arial" w:hAnsi="Arial" w:cs="Arial"/>
          <w:b/>
        </w:rPr>
      </w:pPr>
    </w:p>
    <w:p w:rsidR="003D206E" w:rsidRDefault="003D206E" w:rsidP="004B2275">
      <w:pPr>
        <w:pStyle w:val="Body"/>
        <w:spacing w:after="0"/>
        <w:rPr>
          <w:rFonts w:ascii="Arial" w:hAnsi="Arial" w:cs="Arial"/>
          <w:b/>
        </w:rPr>
      </w:pPr>
    </w:p>
    <w:p w:rsidR="004B2275" w:rsidRPr="004B2275" w:rsidRDefault="004B2275" w:rsidP="004B2275">
      <w:pPr>
        <w:pStyle w:val="Body"/>
        <w:spacing w:after="0"/>
        <w:rPr>
          <w:rFonts w:ascii="Arial" w:hAnsi="Arial" w:cs="Arial"/>
        </w:rPr>
      </w:pPr>
      <w:r w:rsidRPr="004B2275">
        <w:rPr>
          <w:rFonts w:ascii="Arial" w:hAnsi="Arial" w:cs="Arial"/>
          <w:b/>
        </w:rPr>
        <w:t>Table</w:t>
      </w:r>
      <w:r w:rsidRPr="004B2275">
        <w:rPr>
          <w:rFonts w:ascii="Arial" w:hAnsi="Arial" w:cs="Arial"/>
        </w:rPr>
        <w:t xml:space="preserve"> </w:t>
      </w:r>
      <w:r w:rsidRPr="004B2275">
        <w:rPr>
          <w:rFonts w:ascii="Arial" w:hAnsi="Arial" w:cs="Arial"/>
          <w:b/>
        </w:rPr>
        <w:t>1:</w:t>
      </w:r>
      <w:r w:rsidRPr="004B2275">
        <w:rPr>
          <w:rFonts w:ascii="Arial" w:hAnsi="Arial" w:cs="Arial"/>
        </w:rPr>
        <w:t xml:space="preserve"> Prevalence of </w:t>
      </w:r>
      <w:r w:rsidRPr="004B2275">
        <w:rPr>
          <w:rFonts w:ascii="Arial" w:hAnsi="Arial" w:cs="Arial"/>
          <w:i/>
        </w:rPr>
        <w:t>Mycobacterium</w:t>
      </w:r>
      <w:r w:rsidRPr="004B2275">
        <w:rPr>
          <w:rFonts w:ascii="Arial" w:hAnsi="Arial" w:cs="Arial"/>
        </w:rPr>
        <w:t xml:space="preserve"> </w:t>
      </w:r>
      <w:r w:rsidRPr="004B2275">
        <w:rPr>
          <w:rFonts w:ascii="Arial" w:hAnsi="Arial" w:cs="Arial"/>
          <w:i/>
        </w:rPr>
        <w:t>tuberculosis</w:t>
      </w:r>
      <w:r w:rsidRPr="004B2275">
        <w:rPr>
          <w:rFonts w:ascii="Arial" w:hAnsi="Arial" w:cs="Arial"/>
        </w:rPr>
        <w:t xml:space="preserve">, drug and multidrug resistant </w:t>
      </w:r>
      <w:r w:rsidRPr="004B2275">
        <w:rPr>
          <w:rFonts w:ascii="Arial" w:hAnsi="Arial" w:cs="Arial"/>
          <w:i/>
        </w:rPr>
        <w:t>Mycobacterium</w:t>
      </w:r>
      <w:r w:rsidRPr="004B2275">
        <w:rPr>
          <w:rFonts w:ascii="Arial" w:hAnsi="Arial" w:cs="Arial"/>
        </w:rPr>
        <w:t xml:space="preserve"> </w:t>
      </w:r>
      <w:r w:rsidRPr="004B2275">
        <w:rPr>
          <w:rFonts w:ascii="Arial" w:hAnsi="Arial" w:cs="Arial"/>
          <w:i/>
        </w:rPr>
        <w:t>tuberculosis</w:t>
      </w:r>
      <w:r w:rsidRPr="004B2275">
        <w:rPr>
          <w:rFonts w:ascii="Arial" w:hAnsi="Arial" w:cs="Arial"/>
        </w:rPr>
        <w:t xml:space="preserve"> in relation to socio-demographic factors.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17"/>
        <w:gridCol w:w="1474"/>
        <w:gridCol w:w="1672"/>
        <w:gridCol w:w="1672"/>
        <w:gridCol w:w="1673"/>
      </w:tblGrid>
      <w:tr w:rsidR="004B2275" w:rsidRPr="004B2275" w:rsidTr="00D46E78">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Socio-demographic factor</w:t>
            </w:r>
          </w:p>
        </w:tc>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No. of Sample</w:t>
            </w:r>
          </w:p>
        </w:tc>
        <w:tc>
          <w:tcPr>
            <w:tcW w:w="5746" w:type="dxa"/>
            <w:gridSpan w:val="3"/>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Prevalence (%)</w:t>
            </w:r>
          </w:p>
        </w:tc>
      </w:tr>
      <w:tr w:rsidR="004B2275" w:rsidRPr="004B2275" w:rsidTr="00D46E78">
        <w:trPr>
          <w:trHeight w:val="517"/>
        </w:trPr>
        <w:tc>
          <w:tcPr>
            <w:tcW w:w="1915" w:type="dxa"/>
            <w:vMerge/>
            <w:tcBorders>
              <w:top w:val="single" w:sz="4" w:space="0" w:color="auto"/>
              <w:bottom w:val="nil"/>
            </w:tcBorders>
          </w:tcPr>
          <w:p w:rsidR="004B2275" w:rsidRPr="004B2275" w:rsidRDefault="004B2275" w:rsidP="004B2275">
            <w:pPr>
              <w:pStyle w:val="Body"/>
              <w:spacing w:after="0"/>
              <w:rPr>
                <w:rFonts w:ascii="Arial" w:hAnsi="Arial" w:cs="Arial"/>
              </w:rPr>
            </w:pPr>
          </w:p>
        </w:tc>
        <w:tc>
          <w:tcPr>
            <w:tcW w:w="1915" w:type="dxa"/>
            <w:vMerge/>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p>
        </w:tc>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i/>
              </w:rPr>
            </w:pPr>
            <w:r w:rsidRPr="004B2275">
              <w:rPr>
                <w:rFonts w:ascii="Arial" w:hAnsi="Arial" w:cs="Arial"/>
                <w:i/>
              </w:rPr>
              <w:t>M. tuberculosis</w:t>
            </w:r>
          </w:p>
        </w:tc>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 xml:space="preserve">Drug resistant </w:t>
            </w:r>
          </w:p>
          <w:p w:rsidR="004B2275" w:rsidRPr="004B2275" w:rsidRDefault="004B2275" w:rsidP="004B2275">
            <w:pPr>
              <w:pStyle w:val="Body"/>
              <w:spacing w:after="0"/>
              <w:rPr>
                <w:rFonts w:ascii="Arial" w:hAnsi="Arial" w:cs="Arial"/>
                <w:i/>
              </w:rPr>
            </w:pPr>
            <w:r w:rsidRPr="004B2275">
              <w:rPr>
                <w:rFonts w:ascii="Arial" w:hAnsi="Arial" w:cs="Arial"/>
                <w:i/>
              </w:rPr>
              <w:t>M. tuberculosis</w:t>
            </w:r>
          </w:p>
        </w:tc>
        <w:tc>
          <w:tcPr>
            <w:tcW w:w="1916"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 xml:space="preserve">Multidrug resistant </w:t>
            </w:r>
          </w:p>
          <w:p w:rsidR="004B2275" w:rsidRPr="004B2275" w:rsidRDefault="004B2275" w:rsidP="004B2275">
            <w:pPr>
              <w:pStyle w:val="Body"/>
              <w:spacing w:after="0"/>
              <w:rPr>
                <w:rFonts w:ascii="Arial" w:hAnsi="Arial" w:cs="Arial"/>
                <w:i/>
              </w:rPr>
            </w:pPr>
            <w:r w:rsidRPr="004B2275">
              <w:rPr>
                <w:rFonts w:ascii="Arial" w:hAnsi="Arial" w:cs="Arial"/>
                <w:i/>
              </w:rPr>
              <w:t>M. tuberculosis</w:t>
            </w:r>
          </w:p>
        </w:tc>
      </w:tr>
      <w:tr w:rsidR="004B2275" w:rsidRPr="004B2275" w:rsidTr="00D46E78">
        <w:tc>
          <w:tcPr>
            <w:tcW w:w="1915" w:type="dxa"/>
            <w:tcBorders>
              <w:top w:val="nil"/>
              <w:bottom w:val="single" w:sz="4" w:space="0" w:color="auto"/>
            </w:tcBorders>
          </w:tcPr>
          <w:p w:rsidR="004B2275" w:rsidRPr="004B2275" w:rsidRDefault="004B2275" w:rsidP="004B2275">
            <w:pPr>
              <w:pStyle w:val="Body"/>
              <w:spacing w:after="0"/>
              <w:rPr>
                <w:rFonts w:ascii="Arial" w:hAnsi="Arial" w:cs="Arial"/>
                <w:b/>
              </w:rPr>
            </w:pPr>
          </w:p>
        </w:tc>
        <w:tc>
          <w:tcPr>
            <w:tcW w:w="1915" w:type="dxa"/>
            <w:vMerge/>
            <w:tcBorders>
              <w:bottom w:val="single" w:sz="4" w:space="0" w:color="auto"/>
            </w:tcBorders>
          </w:tcPr>
          <w:p w:rsidR="004B2275" w:rsidRPr="004B2275" w:rsidRDefault="004B2275" w:rsidP="004B2275">
            <w:pPr>
              <w:pStyle w:val="Body"/>
              <w:spacing w:after="0"/>
              <w:rPr>
                <w:rFonts w:ascii="Arial" w:hAnsi="Arial" w:cs="Arial"/>
              </w:rPr>
            </w:pPr>
          </w:p>
        </w:tc>
        <w:tc>
          <w:tcPr>
            <w:tcW w:w="1915" w:type="dxa"/>
            <w:vMerge/>
            <w:tcBorders>
              <w:top w:val="nil"/>
              <w:bottom w:val="single" w:sz="4" w:space="0" w:color="auto"/>
            </w:tcBorders>
          </w:tcPr>
          <w:p w:rsidR="004B2275" w:rsidRPr="004B2275" w:rsidRDefault="004B2275" w:rsidP="004B2275">
            <w:pPr>
              <w:pStyle w:val="Body"/>
              <w:spacing w:after="0"/>
              <w:rPr>
                <w:rFonts w:ascii="Arial" w:hAnsi="Arial" w:cs="Arial"/>
              </w:rPr>
            </w:pPr>
          </w:p>
        </w:tc>
        <w:tc>
          <w:tcPr>
            <w:tcW w:w="1915" w:type="dxa"/>
            <w:vMerge/>
            <w:tcBorders>
              <w:top w:val="nil"/>
              <w:bottom w:val="single" w:sz="4" w:space="0" w:color="auto"/>
            </w:tcBorders>
          </w:tcPr>
          <w:p w:rsidR="004B2275" w:rsidRPr="004B2275" w:rsidRDefault="004B2275" w:rsidP="004B2275">
            <w:pPr>
              <w:pStyle w:val="Body"/>
              <w:spacing w:after="0"/>
              <w:rPr>
                <w:rFonts w:ascii="Arial" w:hAnsi="Arial" w:cs="Arial"/>
              </w:rPr>
            </w:pPr>
          </w:p>
        </w:tc>
        <w:tc>
          <w:tcPr>
            <w:tcW w:w="1916" w:type="dxa"/>
            <w:vMerge/>
            <w:tcBorders>
              <w:top w:val="nil"/>
              <w:bottom w:val="single" w:sz="4" w:space="0" w:color="auto"/>
            </w:tcBorders>
          </w:tcPr>
          <w:p w:rsidR="004B2275" w:rsidRPr="004B2275" w:rsidRDefault="004B2275" w:rsidP="004B2275">
            <w:pPr>
              <w:pStyle w:val="Body"/>
              <w:spacing w:after="0"/>
              <w:rPr>
                <w:rFonts w:ascii="Arial" w:hAnsi="Arial" w:cs="Arial"/>
              </w:rPr>
            </w:pPr>
          </w:p>
        </w:tc>
      </w:tr>
      <w:tr w:rsidR="004B2275" w:rsidRPr="004B2275" w:rsidTr="00D46E78">
        <w:tc>
          <w:tcPr>
            <w:tcW w:w="1915" w:type="dxa"/>
            <w:tcBorders>
              <w:top w:val="single" w:sz="4" w:space="0" w:color="auto"/>
              <w:bottom w:val="nil"/>
            </w:tcBorders>
          </w:tcPr>
          <w:p w:rsidR="004B2275" w:rsidRPr="004B2275" w:rsidRDefault="004B2275" w:rsidP="004B2275">
            <w:pPr>
              <w:pStyle w:val="Body"/>
              <w:spacing w:after="0"/>
              <w:rPr>
                <w:rFonts w:ascii="Arial" w:hAnsi="Arial" w:cs="Arial"/>
              </w:rPr>
            </w:pPr>
            <w:r w:rsidRPr="004B2275">
              <w:rPr>
                <w:rFonts w:ascii="Arial" w:hAnsi="Arial" w:cs="Arial"/>
                <w:b/>
              </w:rPr>
              <w:t>Age</w:t>
            </w:r>
          </w:p>
        </w:tc>
        <w:tc>
          <w:tcPr>
            <w:tcW w:w="1915" w:type="dxa"/>
            <w:tcBorders>
              <w:top w:val="single" w:sz="4" w:space="0" w:color="auto"/>
              <w:bottom w:val="nil"/>
            </w:tcBorders>
          </w:tcPr>
          <w:p w:rsidR="004B2275" w:rsidRPr="004B2275" w:rsidRDefault="004B2275" w:rsidP="004B2275">
            <w:pPr>
              <w:pStyle w:val="Body"/>
              <w:spacing w:after="0"/>
              <w:rPr>
                <w:rFonts w:ascii="Arial" w:hAnsi="Arial" w:cs="Arial"/>
              </w:rPr>
            </w:pPr>
          </w:p>
        </w:tc>
        <w:tc>
          <w:tcPr>
            <w:tcW w:w="1915" w:type="dxa"/>
            <w:tcBorders>
              <w:top w:val="single" w:sz="4" w:space="0" w:color="auto"/>
              <w:bottom w:val="nil"/>
            </w:tcBorders>
          </w:tcPr>
          <w:p w:rsidR="004B2275" w:rsidRPr="004B2275" w:rsidRDefault="004B2275" w:rsidP="004B2275">
            <w:pPr>
              <w:pStyle w:val="Body"/>
              <w:spacing w:after="0"/>
              <w:rPr>
                <w:rFonts w:ascii="Arial" w:hAnsi="Arial" w:cs="Arial"/>
              </w:rPr>
            </w:pPr>
          </w:p>
        </w:tc>
        <w:tc>
          <w:tcPr>
            <w:tcW w:w="1915" w:type="dxa"/>
            <w:tcBorders>
              <w:top w:val="single" w:sz="4" w:space="0" w:color="auto"/>
              <w:bottom w:val="nil"/>
            </w:tcBorders>
          </w:tcPr>
          <w:p w:rsidR="004B2275" w:rsidRPr="004B2275" w:rsidRDefault="004B2275" w:rsidP="004B2275">
            <w:pPr>
              <w:pStyle w:val="Body"/>
              <w:spacing w:after="0"/>
              <w:rPr>
                <w:rFonts w:ascii="Arial" w:hAnsi="Arial" w:cs="Arial"/>
              </w:rPr>
            </w:pPr>
          </w:p>
        </w:tc>
        <w:tc>
          <w:tcPr>
            <w:tcW w:w="1916" w:type="dxa"/>
            <w:tcBorders>
              <w:top w:val="single" w:sz="4" w:space="0" w:color="auto"/>
              <w:bottom w:val="nil"/>
            </w:tcBorders>
          </w:tcPr>
          <w:p w:rsidR="004B2275" w:rsidRPr="004B2275" w:rsidRDefault="004B2275" w:rsidP="004B2275">
            <w:pPr>
              <w:pStyle w:val="Body"/>
              <w:spacing w:after="0"/>
              <w:rPr>
                <w:rFonts w:ascii="Arial" w:hAnsi="Arial" w:cs="Arial"/>
              </w:rPr>
            </w:pPr>
          </w:p>
        </w:tc>
      </w:tr>
      <w:tr w:rsidR="004B2275" w:rsidRPr="004B2275" w:rsidTr="00D46E78">
        <w:tc>
          <w:tcPr>
            <w:tcW w:w="1915" w:type="dxa"/>
            <w:tcBorders>
              <w:top w:val="nil"/>
            </w:tcBorders>
          </w:tcPr>
          <w:p w:rsidR="004B2275" w:rsidRPr="004B2275" w:rsidRDefault="004B2275" w:rsidP="004B2275">
            <w:pPr>
              <w:pStyle w:val="Body"/>
              <w:spacing w:after="0"/>
              <w:rPr>
                <w:rFonts w:ascii="Arial" w:hAnsi="Arial" w:cs="Arial"/>
              </w:rPr>
            </w:pPr>
            <w:r w:rsidRPr="004B2275">
              <w:rPr>
                <w:rFonts w:ascii="Arial" w:hAnsi="Arial" w:cs="Arial"/>
              </w:rPr>
              <w:t>≤17</w:t>
            </w:r>
          </w:p>
        </w:tc>
        <w:tc>
          <w:tcPr>
            <w:tcW w:w="1915" w:type="dxa"/>
            <w:tcBorders>
              <w:top w:val="nil"/>
            </w:tcBorders>
          </w:tcPr>
          <w:p w:rsidR="004B2275" w:rsidRPr="004B2275" w:rsidRDefault="004B2275" w:rsidP="004B2275">
            <w:pPr>
              <w:pStyle w:val="Body"/>
              <w:spacing w:after="0"/>
              <w:rPr>
                <w:rFonts w:ascii="Arial" w:hAnsi="Arial" w:cs="Arial"/>
              </w:rPr>
            </w:pPr>
            <w:r w:rsidRPr="004B2275">
              <w:rPr>
                <w:rFonts w:ascii="Arial" w:hAnsi="Arial" w:cs="Arial"/>
              </w:rPr>
              <w:t>58</w:t>
            </w:r>
          </w:p>
        </w:tc>
        <w:tc>
          <w:tcPr>
            <w:tcW w:w="1915" w:type="dxa"/>
            <w:tcBorders>
              <w:top w:val="nil"/>
            </w:tcBorders>
          </w:tcPr>
          <w:p w:rsidR="004B2275" w:rsidRPr="004B2275" w:rsidRDefault="004B2275" w:rsidP="004B2275">
            <w:pPr>
              <w:pStyle w:val="Body"/>
              <w:spacing w:after="0"/>
              <w:rPr>
                <w:rFonts w:ascii="Arial" w:hAnsi="Arial" w:cs="Arial"/>
              </w:rPr>
            </w:pPr>
            <w:r w:rsidRPr="004B2275">
              <w:rPr>
                <w:rFonts w:ascii="Arial" w:hAnsi="Arial" w:cs="Arial"/>
              </w:rPr>
              <w:t>10 (17.2)</w:t>
            </w:r>
          </w:p>
        </w:tc>
        <w:tc>
          <w:tcPr>
            <w:tcW w:w="1915" w:type="dxa"/>
            <w:tcBorders>
              <w:top w:val="nil"/>
            </w:tcBorders>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Borders>
              <w:top w:val="nil"/>
            </w:tcBorders>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18-30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114</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55 (48.2)</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4(3.5)</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1(0.9)</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31-43</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81</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24 (29.6)</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3(3.7)</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1(1.2)</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44-56</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93</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14(15.1)</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1(1.1)</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57-69</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47</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6(12.8)</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1(2.1)</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≥70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32</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13(40.6)</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Total</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425</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122 (28.7)</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9(2.1)</w:t>
            </w:r>
          </w:p>
        </w:tc>
        <w:tc>
          <w:tcPr>
            <w:tcW w:w="1916" w:type="dxa"/>
          </w:tcPr>
          <w:p w:rsidR="004B2275" w:rsidRPr="004B2275" w:rsidRDefault="004B2275" w:rsidP="004B2275">
            <w:pPr>
              <w:pStyle w:val="Body"/>
              <w:spacing w:after="0"/>
              <w:rPr>
                <w:rFonts w:ascii="Arial" w:hAnsi="Arial" w:cs="Arial"/>
                <w:b/>
              </w:rPr>
            </w:pPr>
            <w:r w:rsidRPr="004B2275">
              <w:rPr>
                <w:rFonts w:ascii="Arial" w:hAnsi="Arial" w:cs="Arial"/>
                <w:b/>
              </w:rPr>
              <w:t>2(0.5)</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Gender</w:t>
            </w:r>
          </w:p>
        </w:tc>
        <w:tc>
          <w:tcPr>
            <w:tcW w:w="1915" w:type="dxa"/>
          </w:tcPr>
          <w:p w:rsidR="004B2275" w:rsidRPr="004B2275" w:rsidRDefault="004B2275" w:rsidP="004B2275">
            <w:pPr>
              <w:pStyle w:val="Body"/>
              <w:spacing w:after="0"/>
              <w:rPr>
                <w:rFonts w:ascii="Arial" w:hAnsi="Arial" w:cs="Arial"/>
              </w:rPr>
            </w:pPr>
          </w:p>
        </w:tc>
        <w:tc>
          <w:tcPr>
            <w:tcW w:w="1915" w:type="dxa"/>
          </w:tcPr>
          <w:p w:rsidR="004B2275" w:rsidRPr="004B2275" w:rsidRDefault="004B2275" w:rsidP="004B2275">
            <w:pPr>
              <w:pStyle w:val="Body"/>
              <w:spacing w:after="0"/>
              <w:rPr>
                <w:rFonts w:ascii="Arial" w:hAnsi="Arial" w:cs="Arial"/>
              </w:rPr>
            </w:pPr>
          </w:p>
        </w:tc>
        <w:tc>
          <w:tcPr>
            <w:tcW w:w="1915" w:type="dxa"/>
          </w:tcPr>
          <w:p w:rsidR="004B2275" w:rsidRPr="004B2275" w:rsidRDefault="004B2275" w:rsidP="004B2275">
            <w:pPr>
              <w:pStyle w:val="Body"/>
              <w:spacing w:after="0"/>
              <w:rPr>
                <w:rFonts w:ascii="Arial" w:hAnsi="Arial" w:cs="Arial"/>
              </w:rPr>
            </w:pPr>
          </w:p>
        </w:tc>
        <w:tc>
          <w:tcPr>
            <w:tcW w:w="1916" w:type="dxa"/>
          </w:tcPr>
          <w:p w:rsidR="004B2275" w:rsidRPr="004B2275" w:rsidRDefault="004B2275" w:rsidP="004B2275">
            <w:pPr>
              <w:pStyle w:val="Body"/>
              <w:spacing w:after="0"/>
              <w:rPr>
                <w:rFonts w:ascii="Arial" w:hAnsi="Arial" w:cs="Arial"/>
              </w:rPr>
            </w:pP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Female</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191</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37(19.4)</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3(1.6)</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1(0.5)</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Male</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234</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85(36.3)</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6(2.7)</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1(0.4)</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Total</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425</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122 (28.7)</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9(2.1)</w:t>
            </w:r>
          </w:p>
        </w:tc>
        <w:tc>
          <w:tcPr>
            <w:tcW w:w="1916" w:type="dxa"/>
          </w:tcPr>
          <w:p w:rsidR="004B2275" w:rsidRPr="004B2275" w:rsidRDefault="004B2275" w:rsidP="004B2275">
            <w:pPr>
              <w:pStyle w:val="Body"/>
              <w:spacing w:after="0"/>
              <w:rPr>
                <w:rFonts w:ascii="Arial" w:hAnsi="Arial" w:cs="Arial"/>
                <w:b/>
              </w:rPr>
            </w:pPr>
            <w:r w:rsidRPr="004B2275">
              <w:rPr>
                <w:rFonts w:ascii="Arial" w:hAnsi="Arial" w:cs="Arial"/>
                <w:b/>
              </w:rPr>
              <w:t>2(0.5)</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Marital status</w:t>
            </w:r>
          </w:p>
        </w:tc>
        <w:tc>
          <w:tcPr>
            <w:tcW w:w="1915" w:type="dxa"/>
          </w:tcPr>
          <w:p w:rsidR="004B2275" w:rsidRPr="004B2275" w:rsidRDefault="004B2275" w:rsidP="004B2275">
            <w:pPr>
              <w:pStyle w:val="Body"/>
              <w:spacing w:after="0"/>
              <w:rPr>
                <w:rFonts w:ascii="Arial" w:hAnsi="Arial" w:cs="Arial"/>
                <w:b/>
              </w:rPr>
            </w:pPr>
          </w:p>
        </w:tc>
        <w:tc>
          <w:tcPr>
            <w:tcW w:w="1915" w:type="dxa"/>
          </w:tcPr>
          <w:p w:rsidR="004B2275" w:rsidRPr="004B2275" w:rsidRDefault="004B2275" w:rsidP="004B2275">
            <w:pPr>
              <w:pStyle w:val="Body"/>
              <w:spacing w:after="0"/>
              <w:rPr>
                <w:rFonts w:ascii="Arial" w:hAnsi="Arial" w:cs="Arial"/>
                <w:b/>
              </w:rPr>
            </w:pPr>
          </w:p>
        </w:tc>
        <w:tc>
          <w:tcPr>
            <w:tcW w:w="1915" w:type="dxa"/>
          </w:tcPr>
          <w:p w:rsidR="004B2275" w:rsidRPr="004B2275" w:rsidRDefault="004B2275" w:rsidP="004B2275">
            <w:pPr>
              <w:pStyle w:val="Body"/>
              <w:spacing w:after="0"/>
              <w:rPr>
                <w:rFonts w:ascii="Arial" w:hAnsi="Arial" w:cs="Arial"/>
                <w:b/>
              </w:rPr>
            </w:pPr>
          </w:p>
        </w:tc>
        <w:tc>
          <w:tcPr>
            <w:tcW w:w="1916" w:type="dxa"/>
          </w:tcPr>
          <w:p w:rsidR="004B2275" w:rsidRPr="004B2275" w:rsidRDefault="004B2275" w:rsidP="004B2275">
            <w:pPr>
              <w:pStyle w:val="Body"/>
              <w:spacing w:after="0"/>
              <w:rPr>
                <w:rFonts w:ascii="Arial" w:hAnsi="Arial" w:cs="Arial"/>
                <w:b/>
              </w:rPr>
            </w:pP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lastRenderedPageBreak/>
              <w:t>Married</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260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61(23.5)</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8(3.1)</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2(0.8)</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Single</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144</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55(38.2)</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1(0.7)</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Widow</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8</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Widower</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13</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6(46.2)</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Total</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425</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122 (28.7)</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9(2.1)</w:t>
            </w:r>
          </w:p>
        </w:tc>
        <w:tc>
          <w:tcPr>
            <w:tcW w:w="1916" w:type="dxa"/>
          </w:tcPr>
          <w:p w:rsidR="004B2275" w:rsidRPr="004B2275" w:rsidRDefault="004B2275" w:rsidP="004B2275">
            <w:pPr>
              <w:pStyle w:val="Body"/>
              <w:spacing w:after="0"/>
              <w:rPr>
                <w:rFonts w:ascii="Arial" w:hAnsi="Arial" w:cs="Arial"/>
                <w:b/>
              </w:rPr>
            </w:pPr>
            <w:r w:rsidRPr="004B2275">
              <w:rPr>
                <w:rFonts w:ascii="Arial" w:hAnsi="Arial" w:cs="Arial"/>
                <w:b/>
              </w:rPr>
              <w:t>2(0.5)</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Location</w:t>
            </w:r>
          </w:p>
        </w:tc>
        <w:tc>
          <w:tcPr>
            <w:tcW w:w="1915" w:type="dxa"/>
          </w:tcPr>
          <w:p w:rsidR="004B2275" w:rsidRPr="004B2275" w:rsidRDefault="004B2275" w:rsidP="004B2275">
            <w:pPr>
              <w:pStyle w:val="Body"/>
              <w:spacing w:after="0"/>
              <w:rPr>
                <w:rFonts w:ascii="Arial" w:hAnsi="Arial" w:cs="Arial"/>
              </w:rPr>
            </w:pPr>
          </w:p>
        </w:tc>
        <w:tc>
          <w:tcPr>
            <w:tcW w:w="1915" w:type="dxa"/>
          </w:tcPr>
          <w:p w:rsidR="004B2275" w:rsidRPr="004B2275" w:rsidRDefault="004B2275" w:rsidP="004B2275">
            <w:pPr>
              <w:pStyle w:val="Body"/>
              <w:spacing w:after="0"/>
              <w:rPr>
                <w:rFonts w:ascii="Arial" w:hAnsi="Arial" w:cs="Arial"/>
              </w:rPr>
            </w:pPr>
          </w:p>
        </w:tc>
        <w:tc>
          <w:tcPr>
            <w:tcW w:w="1915" w:type="dxa"/>
          </w:tcPr>
          <w:p w:rsidR="004B2275" w:rsidRPr="004B2275" w:rsidRDefault="004B2275" w:rsidP="004B2275">
            <w:pPr>
              <w:pStyle w:val="Body"/>
              <w:spacing w:after="0"/>
              <w:rPr>
                <w:rFonts w:ascii="Arial" w:hAnsi="Arial" w:cs="Arial"/>
              </w:rPr>
            </w:pPr>
          </w:p>
        </w:tc>
        <w:tc>
          <w:tcPr>
            <w:tcW w:w="1916" w:type="dxa"/>
          </w:tcPr>
          <w:p w:rsidR="004B2275" w:rsidRPr="004B2275" w:rsidRDefault="004B2275" w:rsidP="004B2275">
            <w:pPr>
              <w:pStyle w:val="Body"/>
              <w:spacing w:after="0"/>
              <w:rPr>
                <w:rFonts w:ascii="Arial" w:hAnsi="Arial" w:cs="Arial"/>
              </w:rPr>
            </w:pP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City</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9</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3(33.3)</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Rural</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296</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80(27.0)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7(2.4)</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2(0.7)</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Semi-rural</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11(36.7)</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Urban</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90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28(31.1)</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2(2.2)</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Total</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425</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122 (28.7)</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9(2.1)</w:t>
            </w:r>
          </w:p>
        </w:tc>
        <w:tc>
          <w:tcPr>
            <w:tcW w:w="1916" w:type="dxa"/>
          </w:tcPr>
          <w:p w:rsidR="004B2275" w:rsidRPr="004B2275" w:rsidRDefault="004B2275" w:rsidP="004B2275">
            <w:pPr>
              <w:pStyle w:val="Body"/>
              <w:spacing w:after="0"/>
              <w:rPr>
                <w:rFonts w:ascii="Arial" w:hAnsi="Arial" w:cs="Arial"/>
                <w:b/>
              </w:rPr>
            </w:pPr>
            <w:r w:rsidRPr="004B2275">
              <w:rPr>
                <w:rFonts w:ascii="Arial" w:hAnsi="Arial" w:cs="Arial"/>
                <w:b/>
              </w:rPr>
              <w:t>2(0.5)</w:t>
            </w:r>
          </w:p>
        </w:tc>
      </w:tr>
    </w:tbl>
    <w:p w:rsidR="004B2275" w:rsidRPr="004B2275" w:rsidRDefault="004B2275" w:rsidP="004B2275">
      <w:pPr>
        <w:pStyle w:val="Body"/>
        <w:spacing w:after="0"/>
        <w:rPr>
          <w:rFonts w:ascii="Arial" w:hAnsi="Arial" w:cs="Arial"/>
        </w:rPr>
      </w:pPr>
    </w:p>
    <w:p w:rsidR="004B2275" w:rsidRPr="004B2275" w:rsidRDefault="004B2275" w:rsidP="004B2275">
      <w:pPr>
        <w:pStyle w:val="Body"/>
        <w:spacing w:after="0"/>
        <w:rPr>
          <w:rFonts w:ascii="Arial" w:hAnsi="Arial" w:cs="Arial"/>
        </w:rPr>
      </w:pPr>
    </w:p>
    <w:p w:rsidR="004B2275" w:rsidRDefault="004B2275" w:rsidP="00AD6B27">
      <w:pPr>
        <w:pStyle w:val="Body"/>
        <w:spacing w:after="0"/>
        <w:rPr>
          <w:rFonts w:ascii="Arial" w:hAnsi="Arial" w:cs="Arial"/>
        </w:rPr>
      </w:pPr>
    </w:p>
    <w:p w:rsidR="004B2275" w:rsidRPr="004B2275" w:rsidRDefault="004B2275" w:rsidP="004B2275">
      <w:pPr>
        <w:pStyle w:val="Body"/>
        <w:spacing w:after="0"/>
        <w:rPr>
          <w:rFonts w:ascii="Arial" w:hAnsi="Arial" w:cs="Arial"/>
        </w:rPr>
      </w:pPr>
      <w:r w:rsidRPr="004B2275">
        <w:rPr>
          <w:rFonts w:ascii="Arial" w:hAnsi="Arial" w:cs="Arial"/>
          <w:b/>
        </w:rPr>
        <w:t>Table</w:t>
      </w:r>
      <w:r w:rsidRPr="004B2275">
        <w:rPr>
          <w:rFonts w:ascii="Arial" w:hAnsi="Arial" w:cs="Arial"/>
        </w:rPr>
        <w:t xml:space="preserve"> </w:t>
      </w:r>
      <w:r w:rsidRPr="004B2275">
        <w:rPr>
          <w:rFonts w:ascii="Arial" w:hAnsi="Arial" w:cs="Arial"/>
          <w:b/>
        </w:rPr>
        <w:t>2:</w:t>
      </w:r>
      <w:r w:rsidRPr="004B2275">
        <w:rPr>
          <w:rFonts w:ascii="Arial" w:hAnsi="Arial" w:cs="Arial"/>
        </w:rPr>
        <w:t xml:space="preserve"> Prevalence of </w:t>
      </w:r>
      <w:r w:rsidRPr="004B2275">
        <w:rPr>
          <w:rFonts w:ascii="Arial" w:hAnsi="Arial" w:cs="Arial"/>
          <w:i/>
        </w:rPr>
        <w:t>Mycobacterium</w:t>
      </w:r>
      <w:r w:rsidRPr="004B2275">
        <w:rPr>
          <w:rFonts w:ascii="Arial" w:hAnsi="Arial" w:cs="Arial"/>
        </w:rPr>
        <w:t xml:space="preserve"> </w:t>
      </w:r>
      <w:r w:rsidRPr="004B2275">
        <w:rPr>
          <w:rFonts w:ascii="Arial" w:hAnsi="Arial" w:cs="Arial"/>
          <w:i/>
        </w:rPr>
        <w:t>tuberculosis</w:t>
      </w:r>
      <w:r w:rsidRPr="004B2275">
        <w:rPr>
          <w:rFonts w:ascii="Arial" w:hAnsi="Arial" w:cs="Arial"/>
        </w:rPr>
        <w:t xml:space="preserve">, drug and multidrug resistant </w:t>
      </w:r>
      <w:r w:rsidRPr="004B2275">
        <w:rPr>
          <w:rFonts w:ascii="Arial" w:hAnsi="Arial" w:cs="Arial"/>
          <w:i/>
        </w:rPr>
        <w:t>Mycobacterium</w:t>
      </w:r>
      <w:r w:rsidRPr="004B2275">
        <w:rPr>
          <w:rFonts w:ascii="Arial" w:hAnsi="Arial" w:cs="Arial"/>
        </w:rPr>
        <w:t xml:space="preserve"> </w:t>
      </w:r>
      <w:r w:rsidRPr="004B2275">
        <w:rPr>
          <w:rFonts w:ascii="Arial" w:hAnsi="Arial" w:cs="Arial"/>
          <w:i/>
        </w:rPr>
        <w:t>tuberculosis</w:t>
      </w:r>
      <w:r w:rsidRPr="004B2275">
        <w:rPr>
          <w:rFonts w:ascii="Arial" w:hAnsi="Arial" w:cs="Arial"/>
        </w:rPr>
        <w:t xml:space="preserve"> in relation to possible risk factors.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94"/>
        <w:gridCol w:w="1483"/>
        <w:gridCol w:w="1677"/>
        <w:gridCol w:w="1677"/>
        <w:gridCol w:w="1677"/>
      </w:tblGrid>
      <w:tr w:rsidR="004B2275" w:rsidRPr="004B2275" w:rsidTr="00D46E78">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Risk factor</w:t>
            </w:r>
          </w:p>
        </w:tc>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No. of Sample</w:t>
            </w:r>
          </w:p>
        </w:tc>
        <w:tc>
          <w:tcPr>
            <w:tcW w:w="5746" w:type="dxa"/>
            <w:gridSpan w:val="3"/>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Prevalence (%)</w:t>
            </w:r>
          </w:p>
        </w:tc>
      </w:tr>
      <w:tr w:rsidR="004B2275" w:rsidRPr="004B2275" w:rsidTr="00D46E78">
        <w:trPr>
          <w:trHeight w:val="517"/>
        </w:trPr>
        <w:tc>
          <w:tcPr>
            <w:tcW w:w="1915" w:type="dxa"/>
            <w:vMerge/>
            <w:tcBorders>
              <w:top w:val="single" w:sz="4" w:space="0" w:color="auto"/>
              <w:bottom w:val="nil"/>
            </w:tcBorders>
          </w:tcPr>
          <w:p w:rsidR="004B2275" w:rsidRPr="004B2275" w:rsidRDefault="004B2275" w:rsidP="004B2275">
            <w:pPr>
              <w:pStyle w:val="Body"/>
              <w:spacing w:after="0"/>
              <w:rPr>
                <w:rFonts w:ascii="Arial" w:hAnsi="Arial" w:cs="Arial"/>
              </w:rPr>
            </w:pPr>
          </w:p>
        </w:tc>
        <w:tc>
          <w:tcPr>
            <w:tcW w:w="1915" w:type="dxa"/>
            <w:vMerge/>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p>
        </w:tc>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i/>
              </w:rPr>
            </w:pPr>
            <w:r w:rsidRPr="004B2275">
              <w:rPr>
                <w:rFonts w:ascii="Arial" w:hAnsi="Arial" w:cs="Arial"/>
                <w:i/>
              </w:rPr>
              <w:t>M. tuberculosis</w:t>
            </w:r>
          </w:p>
        </w:tc>
        <w:tc>
          <w:tcPr>
            <w:tcW w:w="1915"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 xml:space="preserve">Drug resistant </w:t>
            </w:r>
          </w:p>
          <w:p w:rsidR="004B2275" w:rsidRPr="004B2275" w:rsidRDefault="004B2275" w:rsidP="004B2275">
            <w:pPr>
              <w:pStyle w:val="Body"/>
              <w:spacing w:after="0"/>
              <w:rPr>
                <w:rFonts w:ascii="Arial" w:hAnsi="Arial" w:cs="Arial"/>
                <w:i/>
              </w:rPr>
            </w:pPr>
            <w:r w:rsidRPr="004B2275">
              <w:rPr>
                <w:rFonts w:ascii="Arial" w:hAnsi="Arial" w:cs="Arial"/>
                <w:i/>
              </w:rPr>
              <w:t>M. tuberculosis</w:t>
            </w:r>
          </w:p>
        </w:tc>
        <w:tc>
          <w:tcPr>
            <w:tcW w:w="1916" w:type="dxa"/>
            <w:vMerge w:val="restart"/>
            <w:tcBorders>
              <w:top w:val="single" w:sz="4" w:space="0" w:color="auto"/>
              <w:bottom w:val="single" w:sz="4" w:space="0" w:color="auto"/>
            </w:tcBorders>
          </w:tcPr>
          <w:p w:rsidR="004B2275" w:rsidRPr="004B2275" w:rsidRDefault="004B2275" w:rsidP="004B2275">
            <w:pPr>
              <w:pStyle w:val="Body"/>
              <w:spacing w:after="0"/>
              <w:rPr>
                <w:rFonts w:ascii="Arial" w:hAnsi="Arial" w:cs="Arial"/>
              </w:rPr>
            </w:pPr>
            <w:r w:rsidRPr="004B2275">
              <w:rPr>
                <w:rFonts w:ascii="Arial" w:hAnsi="Arial" w:cs="Arial"/>
              </w:rPr>
              <w:t xml:space="preserve">Multidrug resistant </w:t>
            </w:r>
          </w:p>
          <w:p w:rsidR="004B2275" w:rsidRPr="004B2275" w:rsidRDefault="004B2275" w:rsidP="004B2275">
            <w:pPr>
              <w:pStyle w:val="Body"/>
              <w:spacing w:after="0"/>
              <w:rPr>
                <w:rFonts w:ascii="Arial" w:hAnsi="Arial" w:cs="Arial"/>
                <w:i/>
              </w:rPr>
            </w:pPr>
            <w:r w:rsidRPr="004B2275">
              <w:rPr>
                <w:rFonts w:ascii="Arial" w:hAnsi="Arial" w:cs="Arial"/>
                <w:i/>
              </w:rPr>
              <w:t>M. tuberculosis</w:t>
            </w:r>
          </w:p>
        </w:tc>
      </w:tr>
      <w:tr w:rsidR="004B2275" w:rsidRPr="004B2275" w:rsidTr="00D46E78">
        <w:tc>
          <w:tcPr>
            <w:tcW w:w="1915" w:type="dxa"/>
            <w:tcBorders>
              <w:top w:val="nil"/>
              <w:bottom w:val="single" w:sz="4" w:space="0" w:color="auto"/>
            </w:tcBorders>
          </w:tcPr>
          <w:p w:rsidR="004B2275" w:rsidRPr="004B2275" w:rsidRDefault="004B2275" w:rsidP="004B2275">
            <w:pPr>
              <w:pStyle w:val="Body"/>
              <w:spacing w:after="0"/>
              <w:rPr>
                <w:rFonts w:ascii="Arial" w:hAnsi="Arial" w:cs="Arial"/>
              </w:rPr>
            </w:pPr>
          </w:p>
        </w:tc>
        <w:tc>
          <w:tcPr>
            <w:tcW w:w="1915" w:type="dxa"/>
            <w:vMerge/>
            <w:tcBorders>
              <w:bottom w:val="single" w:sz="4" w:space="0" w:color="auto"/>
            </w:tcBorders>
          </w:tcPr>
          <w:p w:rsidR="004B2275" w:rsidRPr="004B2275" w:rsidRDefault="004B2275" w:rsidP="004B2275">
            <w:pPr>
              <w:pStyle w:val="Body"/>
              <w:spacing w:after="0"/>
              <w:rPr>
                <w:rFonts w:ascii="Arial" w:hAnsi="Arial" w:cs="Arial"/>
              </w:rPr>
            </w:pPr>
          </w:p>
        </w:tc>
        <w:tc>
          <w:tcPr>
            <w:tcW w:w="1915" w:type="dxa"/>
            <w:vMerge/>
            <w:tcBorders>
              <w:top w:val="nil"/>
              <w:bottom w:val="single" w:sz="4" w:space="0" w:color="auto"/>
            </w:tcBorders>
          </w:tcPr>
          <w:p w:rsidR="004B2275" w:rsidRPr="004B2275" w:rsidRDefault="004B2275" w:rsidP="004B2275">
            <w:pPr>
              <w:pStyle w:val="Body"/>
              <w:spacing w:after="0"/>
              <w:rPr>
                <w:rFonts w:ascii="Arial" w:hAnsi="Arial" w:cs="Arial"/>
              </w:rPr>
            </w:pPr>
          </w:p>
        </w:tc>
        <w:tc>
          <w:tcPr>
            <w:tcW w:w="1915" w:type="dxa"/>
            <w:vMerge/>
            <w:tcBorders>
              <w:top w:val="nil"/>
              <w:bottom w:val="single" w:sz="4" w:space="0" w:color="auto"/>
            </w:tcBorders>
          </w:tcPr>
          <w:p w:rsidR="004B2275" w:rsidRPr="004B2275" w:rsidRDefault="004B2275" w:rsidP="004B2275">
            <w:pPr>
              <w:pStyle w:val="Body"/>
              <w:spacing w:after="0"/>
              <w:rPr>
                <w:rFonts w:ascii="Arial" w:hAnsi="Arial" w:cs="Arial"/>
              </w:rPr>
            </w:pPr>
          </w:p>
        </w:tc>
        <w:tc>
          <w:tcPr>
            <w:tcW w:w="1916" w:type="dxa"/>
            <w:vMerge/>
            <w:tcBorders>
              <w:top w:val="nil"/>
              <w:bottom w:val="single" w:sz="4" w:space="0" w:color="auto"/>
            </w:tcBorders>
          </w:tcPr>
          <w:p w:rsidR="004B2275" w:rsidRPr="004B2275" w:rsidRDefault="004B2275" w:rsidP="004B2275">
            <w:pPr>
              <w:pStyle w:val="Body"/>
              <w:spacing w:after="0"/>
              <w:rPr>
                <w:rFonts w:ascii="Arial" w:hAnsi="Arial" w:cs="Arial"/>
              </w:rPr>
            </w:pPr>
          </w:p>
        </w:tc>
      </w:tr>
      <w:tr w:rsidR="004B2275" w:rsidRPr="004B2275" w:rsidTr="00D46E78">
        <w:tc>
          <w:tcPr>
            <w:tcW w:w="1915" w:type="dxa"/>
            <w:tcBorders>
              <w:top w:val="single" w:sz="4" w:space="0" w:color="auto"/>
            </w:tcBorders>
          </w:tcPr>
          <w:p w:rsidR="004B2275" w:rsidRPr="004B2275" w:rsidRDefault="004B2275" w:rsidP="004B2275">
            <w:pPr>
              <w:pStyle w:val="Body"/>
              <w:spacing w:after="0"/>
              <w:rPr>
                <w:rFonts w:ascii="Arial" w:hAnsi="Arial" w:cs="Arial"/>
                <w:b/>
              </w:rPr>
            </w:pPr>
            <w:r w:rsidRPr="004B2275">
              <w:rPr>
                <w:rFonts w:ascii="Arial" w:hAnsi="Arial" w:cs="Arial"/>
                <w:b/>
              </w:rPr>
              <w:t>HIV</w:t>
            </w:r>
          </w:p>
        </w:tc>
        <w:tc>
          <w:tcPr>
            <w:tcW w:w="1915" w:type="dxa"/>
            <w:tcBorders>
              <w:top w:val="single" w:sz="4" w:space="0" w:color="auto"/>
            </w:tcBorders>
          </w:tcPr>
          <w:p w:rsidR="004B2275" w:rsidRPr="004B2275" w:rsidRDefault="004B2275" w:rsidP="004B2275">
            <w:pPr>
              <w:pStyle w:val="Body"/>
              <w:spacing w:after="0"/>
              <w:rPr>
                <w:rFonts w:ascii="Arial" w:hAnsi="Arial" w:cs="Arial"/>
              </w:rPr>
            </w:pPr>
          </w:p>
        </w:tc>
        <w:tc>
          <w:tcPr>
            <w:tcW w:w="1915" w:type="dxa"/>
            <w:tcBorders>
              <w:top w:val="single" w:sz="4" w:space="0" w:color="auto"/>
            </w:tcBorders>
          </w:tcPr>
          <w:p w:rsidR="004B2275" w:rsidRPr="004B2275" w:rsidRDefault="004B2275" w:rsidP="004B2275">
            <w:pPr>
              <w:pStyle w:val="Body"/>
              <w:spacing w:after="0"/>
              <w:rPr>
                <w:rFonts w:ascii="Arial" w:hAnsi="Arial" w:cs="Arial"/>
              </w:rPr>
            </w:pPr>
          </w:p>
        </w:tc>
        <w:tc>
          <w:tcPr>
            <w:tcW w:w="1915" w:type="dxa"/>
            <w:tcBorders>
              <w:top w:val="single" w:sz="4" w:space="0" w:color="auto"/>
            </w:tcBorders>
          </w:tcPr>
          <w:p w:rsidR="004B2275" w:rsidRPr="004B2275" w:rsidRDefault="004B2275" w:rsidP="004B2275">
            <w:pPr>
              <w:pStyle w:val="Body"/>
              <w:spacing w:after="0"/>
              <w:rPr>
                <w:rFonts w:ascii="Arial" w:hAnsi="Arial" w:cs="Arial"/>
              </w:rPr>
            </w:pPr>
          </w:p>
        </w:tc>
        <w:tc>
          <w:tcPr>
            <w:tcW w:w="1916" w:type="dxa"/>
            <w:tcBorders>
              <w:top w:val="single" w:sz="4" w:space="0" w:color="auto"/>
            </w:tcBorders>
          </w:tcPr>
          <w:p w:rsidR="004B2275" w:rsidRPr="004B2275" w:rsidRDefault="004B2275" w:rsidP="004B2275">
            <w:pPr>
              <w:pStyle w:val="Body"/>
              <w:spacing w:after="0"/>
              <w:rPr>
                <w:rFonts w:ascii="Arial" w:hAnsi="Arial" w:cs="Arial"/>
              </w:rPr>
            </w:pP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Positive</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32</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8(25.0)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9(28.1)</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2(6.3)</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Negative</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393</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114(29.0)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Total</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425</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122 (28.7)</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9(2.1)</w:t>
            </w:r>
          </w:p>
        </w:tc>
        <w:tc>
          <w:tcPr>
            <w:tcW w:w="1916" w:type="dxa"/>
          </w:tcPr>
          <w:p w:rsidR="004B2275" w:rsidRPr="004B2275" w:rsidRDefault="004B2275" w:rsidP="004B2275">
            <w:pPr>
              <w:pStyle w:val="Body"/>
              <w:spacing w:after="0"/>
              <w:rPr>
                <w:rFonts w:ascii="Arial" w:hAnsi="Arial" w:cs="Arial"/>
                <w:b/>
              </w:rPr>
            </w:pPr>
            <w:r w:rsidRPr="004B2275">
              <w:rPr>
                <w:rFonts w:ascii="Arial" w:hAnsi="Arial" w:cs="Arial"/>
                <w:b/>
              </w:rPr>
              <w:t>2(0.5)</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b/>
              </w:rPr>
              <w:t>Occupation</w:t>
            </w:r>
          </w:p>
        </w:tc>
        <w:tc>
          <w:tcPr>
            <w:tcW w:w="1915" w:type="dxa"/>
          </w:tcPr>
          <w:p w:rsidR="004B2275" w:rsidRPr="004B2275" w:rsidRDefault="004B2275" w:rsidP="004B2275">
            <w:pPr>
              <w:pStyle w:val="Body"/>
              <w:spacing w:after="0"/>
              <w:rPr>
                <w:rFonts w:ascii="Arial" w:hAnsi="Arial" w:cs="Arial"/>
                <w:b/>
              </w:rPr>
            </w:pPr>
          </w:p>
        </w:tc>
        <w:tc>
          <w:tcPr>
            <w:tcW w:w="1915" w:type="dxa"/>
          </w:tcPr>
          <w:p w:rsidR="004B2275" w:rsidRPr="004B2275" w:rsidRDefault="004B2275" w:rsidP="004B2275">
            <w:pPr>
              <w:pStyle w:val="Body"/>
              <w:spacing w:after="0"/>
              <w:rPr>
                <w:rFonts w:ascii="Arial" w:hAnsi="Arial" w:cs="Arial"/>
                <w:b/>
              </w:rPr>
            </w:pPr>
          </w:p>
        </w:tc>
        <w:tc>
          <w:tcPr>
            <w:tcW w:w="1915" w:type="dxa"/>
          </w:tcPr>
          <w:p w:rsidR="004B2275" w:rsidRPr="004B2275" w:rsidRDefault="004B2275" w:rsidP="004B2275">
            <w:pPr>
              <w:pStyle w:val="Body"/>
              <w:spacing w:after="0"/>
              <w:rPr>
                <w:rFonts w:ascii="Arial" w:hAnsi="Arial" w:cs="Arial"/>
                <w:b/>
              </w:rPr>
            </w:pPr>
          </w:p>
        </w:tc>
        <w:tc>
          <w:tcPr>
            <w:tcW w:w="1916" w:type="dxa"/>
          </w:tcPr>
          <w:p w:rsidR="004B2275" w:rsidRPr="004B2275" w:rsidRDefault="004B2275" w:rsidP="004B2275">
            <w:pPr>
              <w:pStyle w:val="Body"/>
              <w:spacing w:after="0"/>
              <w:rPr>
                <w:rFonts w:ascii="Arial" w:hAnsi="Arial" w:cs="Arial"/>
                <w:b/>
              </w:rPr>
            </w:pP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Artisan</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3(100.0)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r w:rsidRPr="004B2275">
              <w:rPr>
                <w:rFonts w:ascii="Arial" w:hAnsi="Arial" w:cs="Arial"/>
                <w:b/>
              </w:rPr>
              <w:tab/>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Business</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220</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54(24.5)</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6(2.7)</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Civil-servant</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28</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6(21.4)</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0</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Farmers</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27</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5(18.5)</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2(7.4)</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2(7.4)</w:t>
            </w:r>
          </w:p>
        </w:tc>
      </w:tr>
      <w:tr w:rsidR="004B2275" w:rsidRPr="004B2275" w:rsidTr="00D46E78">
        <w:tc>
          <w:tcPr>
            <w:tcW w:w="1915" w:type="dxa"/>
          </w:tcPr>
          <w:p w:rsidR="004B2275" w:rsidRPr="004B2275" w:rsidRDefault="004B2275" w:rsidP="004B2275">
            <w:pPr>
              <w:pStyle w:val="Body"/>
              <w:spacing w:after="0"/>
              <w:rPr>
                <w:rFonts w:ascii="Arial" w:hAnsi="Arial" w:cs="Arial"/>
              </w:rPr>
            </w:pPr>
            <w:r w:rsidRPr="004B2275">
              <w:rPr>
                <w:rFonts w:ascii="Arial" w:hAnsi="Arial" w:cs="Arial"/>
              </w:rPr>
              <w:t>Others</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147</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54(36.7)</w:t>
            </w:r>
          </w:p>
        </w:tc>
        <w:tc>
          <w:tcPr>
            <w:tcW w:w="1915" w:type="dxa"/>
          </w:tcPr>
          <w:p w:rsidR="004B2275" w:rsidRPr="004B2275" w:rsidRDefault="004B2275" w:rsidP="004B2275">
            <w:pPr>
              <w:pStyle w:val="Body"/>
              <w:spacing w:after="0"/>
              <w:rPr>
                <w:rFonts w:ascii="Arial" w:hAnsi="Arial" w:cs="Arial"/>
              </w:rPr>
            </w:pPr>
            <w:r w:rsidRPr="004B2275">
              <w:rPr>
                <w:rFonts w:ascii="Arial" w:hAnsi="Arial" w:cs="Arial"/>
              </w:rPr>
              <w:t>1(0.7)</w:t>
            </w:r>
          </w:p>
        </w:tc>
        <w:tc>
          <w:tcPr>
            <w:tcW w:w="1916" w:type="dxa"/>
          </w:tcPr>
          <w:p w:rsidR="004B2275" w:rsidRPr="004B2275" w:rsidRDefault="004B2275" w:rsidP="004B2275">
            <w:pPr>
              <w:pStyle w:val="Body"/>
              <w:spacing w:after="0"/>
              <w:rPr>
                <w:rFonts w:ascii="Arial" w:hAnsi="Arial" w:cs="Arial"/>
              </w:rPr>
            </w:pPr>
            <w:r w:rsidRPr="004B2275">
              <w:rPr>
                <w:rFonts w:ascii="Arial" w:hAnsi="Arial" w:cs="Arial"/>
              </w:rPr>
              <w:t>0</w:t>
            </w:r>
          </w:p>
        </w:tc>
      </w:tr>
      <w:tr w:rsidR="004B2275" w:rsidRPr="004B2275" w:rsidTr="00D46E78">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Total</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425</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122 (28.7)</w:t>
            </w:r>
          </w:p>
        </w:tc>
        <w:tc>
          <w:tcPr>
            <w:tcW w:w="1915" w:type="dxa"/>
          </w:tcPr>
          <w:p w:rsidR="004B2275" w:rsidRPr="004B2275" w:rsidRDefault="004B2275" w:rsidP="004B2275">
            <w:pPr>
              <w:pStyle w:val="Body"/>
              <w:spacing w:after="0"/>
              <w:rPr>
                <w:rFonts w:ascii="Arial" w:hAnsi="Arial" w:cs="Arial"/>
                <w:b/>
              </w:rPr>
            </w:pPr>
            <w:r w:rsidRPr="004B2275">
              <w:rPr>
                <w:rFonts w:ascii="Arial" w:hAnsi="Arial" w:cs="Arial"/>
                <w:b/>
              </w:rPr>
              <w:t>9(2.1)</w:t>
            </w:r>
          </w:p>
        </w:tc>
        <w:tc>
          <w:tcPr>
            <w:tcW w:w="1916" w:type="dxa"/>
          </w:tcPr>
          <w:p w:rsidR="004B2275" w:rsidRPr="004B2275" w:rsidRDefault="004B2275" w:rsidP="004B2275">
            <w:pPr>
              <w:pStyle w:val="Body"/>
              <w:spacing w:after="0"/>
              <w:rPr>
                <w:rFonts w:ascii="Arial" w:hAnsi="Arial" w:cs="Arial"/>
                <w:b/>
              </w:rPr>
            </w:pPr>
            <w:r w:rsidRPr="004B2275">
              <w:rPr>
                <w:rFonts w:ascii="Arial" w:hAnsi="Arial" w:cs="Arial"/>
                <w:b/>
              </w:rPr>
              <w:t>2(0.5)</w:t>
            </w:r>
          </w:p>
        </w:tc>
      </w:tr>
    </w:tbl>
    <w:p w:rsidR="00475FF2" w:rsidRDefault="00475FF2" w:rsidP="004B2275">
      <w:pPr>
        <w:pStyle w:val="Body"/>
        <w:rPr>
          <w:rFonts w:ascii="Times New Roman" w:hAnsi="Times New Roman"/>
          <w:noProof/>
        </w:rPr>
      </w:pPr>
    </w:p>
    <w:p w:rsidR="002E5ABE" w:rsidRPr="002E5ABE" w:rsidRDefault="00201E4B" w:rsidP="002E5ABE">
      <w:pPr>
        <w:pStyle w:val="Body"/>
        <w:spacing w:after="0"/>
        <w:rPr>
          <w:rFonts w:ascii="Arial" w:hAnsi="Arial"/>
        </w:rPr>
      </w:pPr>
      <w:r w:rsidRPr="00201E4B">
        <w:rPr>
          <w:rFonts w:ascii="Arial" w:hAnsi="Arial"/>
        </w:rPr>
        <w:t xml:space="preserve">Tuberculosis is one of the most common causes of death worldwide among immuno-compromised individuals especially in third world countries </w:t>
      </w:r>
      <w:r w:rsidR="00630B5D">
        <w:rPr>
          <w:rFonts w:ascii="Arial" w:hAnsi="Arial"/>
        </w:rPr>
        <w:t>[12]</w:t>
      </w:r>
      <w:r w:rsidRPr="00201E4B">
        <w:rPr>
          <w:rFonts w:ascii="Arial" w:hAnsi="Arial"/>
        </w:rPr>
        <w:t>.</w:t>
      </w:r>
      <w:r w:rsidR="002E5ABE">
        <w:rPr>
          <w:rFonts w:ascii="Arial" w:hAnsi="Arial"/>
        </w:rPr>
        <w:t xml:space="preserve"> This present study investigated</w:t>
      </w:r>
      <w:r w:rsidRPr="00201E4B">
        <w:rPr>
          <w:rFonts w:ascii="Arial" w:hAnsi="Arial"/>
        </w:rPr>
        <w:t xml:space="preserve"> the prevalence of </w:t>
      </w:r>
      <w:proofErr w:type="spellStart"/>
      <w:r w:rsidRPr="00201E4B">
        <w:rPr>
          <w:rFonts w:ascii="Arial" w:hAnsi="Arial"/>
        </w:rPr>
        <w:t>MTb</w:t>
      </w:r>
      <w:proofErr w:type="spellEnd"/>
      <w:r w:rsidRPr="00201E4B">
        <w:rPr>
          <w:rFonts w:ascii="Arial" w:hAnsi="Arial"/>
        </w:rPr>
        <w:t>, DR-</w:t>
      </w:r>
      <w:proofErr w:type="spellStart"/>
      <w:r w:rsidRPr="00201E4B">
        <w:rPr>
          <w:rFonts w:ascii="Arial" w:hAnsi="Arial"/>
        </w:rPr>
        <w:t>MTb</w:t>
      </w:r>
      <w:proofErr w:type="spellEnd"/>
      <w:r w:rsidRPr="00201E4B">
        <w:rPr>
          <w:rFonts w:ascii="Arial" w:hAnsi="Arial"/>
        </w:rPr>
        <w:t xml:space="preserve"> MDR-</w:t>
      </w:r>
      <w:proofErr w:type="spellStart"/>
      <w:r w:rsidRPr="00201E4B">
        <w:rPr>
          <w:rFonts w:ascii="Arial" w:hAnsi="Arial"/>
        </w:rPr>
        <w:t>MTb</w:t>
      </w:r>
      <w:proofErr w:type="spellEnd"/>
      <w:r w:rsidRPr="00201E4B">
        <w:rPr>
          <w:rFonts w:ascii="Arial" w:hAnsi="Arial"/>
        </w:rPr>
        <w:t xml:space="preserve"> among suspected tuberculosis patients in tuberculosis medical center ERCC, </w:t>
      </w:r>
      <w:proofErr w:type="spellStart"/>
      <w:r w:rsidRPr="00201E4B">
        <w:rPr>
          <w:rFonts w:ascii="Arial" w:hAnsi="Arial"/>
        </w:rPr>
        <w:t>Alushi</w:t>
      </w:r>
      <w:proofErr w:type="spellEnd"/>
      <w:r w:rsidRPr="00201E4B">
        <w:rPr>
          <w:rFonts w:ascii="Arial" w:hAnsi="Arial"/>
        </w:rPr>
        <w:t xml:space="preserve">, Nigeria. </w:t>
      </w:r>
      <w:r w:rsidR="00426880">
        <w:rPr>
          <w:rFonts w:ascii="Arial" w:hAnsi="Arial"/>
        </w:rPr>
        <w:t xml:space="preserve">The temporal analysis of </w:t>
      </w:r>
      <w:proofErr w:type="spellStart"/>
      <w:r w:rsidR="00426880">
        <w:rPr>
          <w:rFonts w:ascii="Arial" w:hAnsi="Arial"/>
        </w:rPr>
        <w:t>MTb</w:t>
      </w:r>
      <w:proofErr w:type="spellEnd"/>
      <w:r w:rsidR="002E5ABE" w:rsidRPr="002E5ABE">
        <w:rPr>
          <w:rFonts w:ascii="Arial" w:hAnsi="Arial"/>
        </w:rPr>
        <w:t xml:space="preserve"> cases over the six-month period revealed a non-significa</w:t>
      </w:r>
      <w:r w:rsidR="005D55B6">
        <w:rPr>
          <w:rFonts w:ascii="Arial" w:hAnsi="Arial"/>
        </w:rPr>
        <w:t>nt monthly decline</w:t>
      </w:r>
      <w:r w:rsidR="002E5ABE" w:rsidRPr="002E5ABE">
        <w:rPr>
          <w:rFonts w:ascii="Arial" w:hAnsi="Arial"/>
        </w:rPr>
        <w:t xml:space="preserve">. The absence of a statistically significant linear trend suggests that while short-term fluctuations may occur, the transmission dynamics within the study period were relatively stable. This pattern of oscillation without a definitive trend aligns with observations from other localized studies in sub-Saharan Africa, where transient variations can be influenced by factors such as seasonal healthcare-seeking behavior, periodic public health interventions like contact tracing campaigns, or disruptions in sample referral systems </w:t>
      </w:r>
      <w:r w:rsidR="00630B5D">
        <w:rPr>
          <w:rFonts w:ascii="Arial" w:hAnsi="Arial"/>
        </w:rPr>
        <w:t>[13]</w:t>
      </w:r>
      <w:r w:rsidR="002E5ABE" w:rsidRPr="002E5ABE">
        <w:rPr>
          <w:rFonts w:ascii="Arial" w:hAnsi="Arial"/>
        </w:rPr>
        <w:t xml:space="preserve">. The contrast between this local stability and the significant national increase in TB notifications reported for Nigeria in 2023 underscores the considerable heterogeneity in TB epidemiology across different geographical and administrative scales </w:t>
      </w:r>
      <w:r w:rsidR="00630B5D">
        <w:rPr>
          <w:rFonts w:ascii="Arial" w:hAnsi="Arial"/>
        </w:rPr>
        <w:t>[10]</w:t>
      </w:r>
      <w:r w:rsidR="002E5ABE" w:rsidRPr="002E5ABE">
        <w:rPr>
          <w:rFonts w:ascii="Arial" w:hAnsi="Arial"/>
        </w:rPr>
        <w:t xml:space="preserve">. This discrepancy highlights that national-level progress can mask localized plateaus or declines, possibly due to variable intervention efficacy or regional differences in burden, as emphasized in recent geospatial mapping studies </w:t>
      </w:r>
      <w:r w:rsidR="00630B5D">
        <w:rPr>
          <w:rFonts w:ascii="Arial" w:hAnsi="Arial"/>
        </w:rPr>
        <w:t>[14]</w:t>
      </w:r>
      <w:r w:rsidR="002E5ABE" w:rsidRPr="002E5ABE">
        <w:rPr>
          <w:rFonts w:ascii="Arial" w:hAnsi="Arial"/>
        </w:rPr>
        <w:t>.</w:t>
      </w:r>
    </w:p>
    <w:p w:rsidR="005D55B6" w:rsidRDefault="005D55B6" w:rsidP="002E5ABE">
      <w:pPr>
        <w:pStyle w:val="Body"/>
        <w:spacing w:after="0"/>
        <w:rPr>
          <w:rFonts w:ascii="Arial" w:hAnsi="Arial"/>
        </w:rPr>
      </w:pPr>
      <w:r w:rsidRPr="005D55B6">
        <w:rPr>
          <w:rFonts w:ascii="Arial" w:hAnsi="Arial"/>
        </w:rPr>
        <w:lastRenderedPageBreak/>
        <w:t xml:space="preserve">The percentage prevalence of </w:t>
      </w:r>
      <w:proofErr w:type="spellStart"/>
      <w:r w:rsidRPr="005D55B6">
        <w:rPr>
          <w:rFonts w:ascii="Arial" w:hAnsi="Arial"/>
        </w:rPr>
        <w:t>MTb</w:t>
      </w:r>
      <w:proofErr w:type="spellEnd"/>
      <w:r w:rsidRPr="005D55B6">
        <w:rPr>
          <w:rFonts w:ascii="Arial" w:hAnsi="Arial"/>
        </w:rPr>
        <w:t xml:space="preserve"> in our study was hi</w:t>
      </w:r>
      <w:r>
        <w:rPr>
          <w:rFonts w:ascii="Arial" w:hAnsi="Arial"/>
        </w:rPr>
        <w:t>gher than 15.0% and 13.8% of previous studies</w:t>
      </w:r>
      <w:r w:rsidRPr="005D55B6">
        <w:rPr>
          <w:rFonts w:ascii="Arial" w:hAnsi="Arial"/>
        </w:rPr>
        <w:t xml:space="preserve"> conducted by </w:t>
      </w:r>
      <w:proofErr w:type="spellStart"/>
      <w:r w:rsidRPr="005D55B6">
        <w:rPr>
          <w:rFonts w:ascii="Arial" w:hAnsi="Arial"/>
        </w:rPr>
        <w:t>Olabiyi</w:t>
      </w:r>
      <w:proofErr w:type="spellEnd"/>
      <w:r w:rsidRPr="005D55B6">
        <w:rPr>
          <w:rFonts w:ascii="Arial" w:hAnsi="Arial"/>
        </w:rPr>
        <w:t xml:space="preserve"> </w:t>
      </w:r>
      <w:r w:rsidRPr="005D55B6">
        <w:rPr>
          <w:rFonts w:ascii="Arial" w:hAnsi="Arial"/>
          <w:i/>
        </w:rPr>
        <w:t>et</w:t>
      </w:r>
      <w:r w:rsidRPr="005D55B6">
        <w:rPr>
          <w:rFonts w:ascii="Arial" w:hAnsi="Arial"/>
        </w:rPr>
        <w:t xml:space="preserve"> </w:t>
      </w:r>
      <w:r w:rsidRPr="005D55B6">
        <w:rPr>
          <w:rFonts w:ascii="Arial" w:hAnsi="Arial"/>
          <w:i/>
        </w:rPr>
        <w:t>al</w:t>
      </w:r>
      <w:r w:rsidRPr="005D55B6">
        <w:rPr>
          <w:rFonts w:ascii="Arial" w:hAnsi="Arial"/>
        </w:rPr>
        <w:t>. (2023)</w:t>
      </w:r>
      <w:r w:rsidR="00AE4504">
        <w:rPr>
          <w:rFonts w:ascii="Arial" w:hAnsi="Arial"/>
        </w:rPr>
        <w:t xml:space="preserve"> [12]</w:t>
      </w:r>
      <w:r w:rsidRPr="005D55B6">
        <w:rPr>
          <w:rFonts w:ascii="Arial" w:hAnsi="Arial"/>
        </w:rPr>
        <w:t xml:space="preserve"> in Ekiti and Ondo state</w:t>
      </w:r>
      <w:r>
        <w:rPr>
          <w:rFonts w:ascii="Arial" w:hAnsi="Arial"/>
        </w:rPr>
        <w:t>s,</w:t>
      </w:r>
      <w:r w:rsidRPr="005D55B6">
        <w:rPr>
          <w:rFonts w:ascii="Arial" w:hAnsi="Arial"/>
        </w:rPr>
        <w:t xml:space="preserve"> as well as 22.1% in the study reported by </w:t>
      </w:r>
      <w:proofErr w:type="spellStart"/>
      <w:r w:rsidRPr="005D55B6">
        <w:rPr>
          <w:rFonts w:ascii="Arial" w:hAnsi="Arial"/>
        </w:rPr>
        <w:t>Ugwu</w:t>
      </w:r>
      <w:proofErr w:type="spellEnd"/>
      <w:r w:rsidRPr="005D55B6">
        <w:rPr>
          <w:rFonts w:ascii="Arial" w:hAnsi="Arial"/>
        </w:rPr>
        <w:t xml:space="preserve"> </w:t>
      </w:r>
      <w:r w:rsidRPr="005D55B6">
        <w:rPr>
          <w:rFonts w:ascii="Arial" w:hAnsi="Arial"/>
          <w:i/>
        </w:rPr>
        <w:t>et</w:t>
      </w:r>
      <w:r w:rsidRPr="005D55B6">
        <w:rPr>
          <w:rFonts w:ascii="Arial" w:hAnsi="Arial"/>
        </w:rPr>
        <w:t xml:space="preserve"> </w:t>
      </w:r>
      <w:r w:rsidRPr="005D55B6">
        <w:rPr>
          <w:rFonts w:ascii="Arial" w:hAnsi="Arial"/>
          <w:i/>
        </w:rPr>
        <w:t>al</w:t>
      </w:r>
      <w:r w:rsidRPr="005D55B6">
        <w:rPr>
          <w:rFonts w:ascii="Arial" w:hAnsi="Arial"/>
        </w:rPr>
        <w:t>., (2023)</w:t>
      </w:r>
      <w:r w:rsidR="00AE4504">
        <w:rPr>
          <w:rFonts w:ascii="Arial" w:hAnsi="Arial"/>
        </w:rPr>
        <w:t xml:space="preserve"> [15]</w:t>
      </w:r>
      <w:r w:rsidRPr="005D55B6">
        <w:rPr>
          <w:rFonts w:ascii="Arial" w:hAnsi="Arial"/>
        </w:rPr>
        <w:t xml:space="preserve"> in Enugu state</w:t>
      </w:r>
      <w:r>
        <w:rPr>
          <w:rFonts w:ascii="Arial" w:hAnsi="Arial"/>
        </w:rPr>
        <w:t xml:space="preserve">. </w:t>
      </w:r>
      <w:r w:rsidR="00426880">
        <w:rPr>
          <w:rFonts w:ascii="Arial" w:hAnsi="Arial"/>
        </w:rPr>
        <w:t xml:space="preserve">The observed prevalence of </w:t>
      </w:r>
      <w:proofErr w:type="spellStart"/>
      <w:r w:rsidR="00426880">
        <w:rPr>
          <w:rFonts w:ascii="Arial" w:hAnsi="Arial"/>
        </w:rPr>
        <w:t>MTb</w:t>
      </w:r>
      <w:proofErr w:type="spellEnd"/>
      <w:r w:rsidR="002E5ABE" w:rsidRPr="002E5ABE">
        <w:rPr>
          <w:rFonts w:ascii="Arial" w:hAnsi="Arial"/>
        </w:rPr>
        <w:t xml:space="preserve"> confirms the high burden of tuberculosis within this </w:t>
      </w:r>
      <w:r>
        <w:rPr>
          <w:rFonts w:ascii="Arial" w:hAnsi="Arial"/>
        </w:rPr>
        <w:t>population,</w:t>
      </w:r>
      <w:r w:rsidR="002E5ABE" w:rsidRPr="002E5ABE">
        <w:rPr>
          <w:rFonts w:ascii="Arial" w:hAnsi="Arial"/>
        </w:rPr>
        <w:t xml:space="preserve"> and is consistent with Nigeria's s</w:t>
      </w:r>
      <w:r>
        <w:rPr>
          <w:rFonts w:ascii="Arial" w:hAnsi="Arial"/>
        </w:rPr>
        <w:t xml:space="preserve">tatus as a high-burden country, </w:t>
      </w:r>
      <w:r w:rsidR="002E5ABE" w:rsidRPr="002E5ABE">
        <w:rPr>
          <w:rFonts w:ascii="Arial" w:hAnsi="Arial"/>
        </w:rPr>
        <w:t xml:space="preserve">potentially reflecting a higher underlying community transmission, differences in diagnostic sensitivity among studies, or a particularly high index of suspicion at the study site. It may also indicate challenges in case finding and diagnosis in the private sector, which manages a significant proportion of TB patients in Nigeria, potentially leading to an inflated prevalence among those seeking care in public facilities </w:t>
      </w:r>
      <w:r w:rsidR="00AE4504">
        <w:rPr>
          <w:rFonts w:ascii="Arial" w:hAnsi="Arial"/>
        </w:rPr>
        <w:t>[10]</w:t>
      </w:r>
      <w:r w:rsidR="002E5ABE" w:rsidRPr="002E5ABE">
        <w:rPr>
          <w:rFonts w:ascii="Arial" w:hAnsi="Arial"/>
        </w:rPr>
        <w:t xml:space="preserve">. </w:t>
      </w:r>
    </w:p>
    <w:p w:rsidR="002E5ABE" w:rsidRPr="002E5ABE" w:rsidRDefault="005D55B6" w:rsidP="002E5ABE">
      <w:pPr>
        <w:pStyle w:val="Body"/>
        <w:spacing w:after="0"/>
        <w:rPr>
          <w:rFonts w:ascii="Arial" w:hAnsi="Arial"/>
        </w:rPr>
      </w:pPr>
      <w:r>
        <w:rPr>
          <w:rFonts w:ascii="Arial" w:hAnsi="Arial"/>
        </w:rPr>
        <w:t>Furthermore,</w:t>
      </w:r>
      <w:r w:rsidRPr="005D55B6">
        <w:rPr>
          <w:rFonts w:ascii="Arial" w:hAnsi="Arial"/>
        </w:rPr>
        <w:t xml:space="preserve"> most of the cases of </w:t>
      </w:r>
      <w:proofErr w:type="spellStart"/>
      <w:r w:rsidRPr="005D55B6">
        <w:rPr>
          <w:rFonts w:ascii="Arial" w:hAnsi="Arial"/>
        </w:rPr>
        <w:t>MTb</w:t>
      </w:r>
      <w:proofErr w:type="spellEnd"/>
      <w:r w:rsidRPr="005D55B6">
        <w:rPr>
          <w:rFonts w:ascii="Arial" w:hAnsi="Arial"/>
        </w:rPr>
        <w:t xml:space="preserve"> </w:t>
      </w:r>
      <w:r>
        <w:rPr>
          <w:rFonts w:ascii="Arial" w:hAnsi="Arial"/>
        </w:rPr>
        <w:t>observed in our present study</w:t>
      </w:r>
      <w:r w:rsidRPr="005D55B6">
        <w:rPr>
          <w:rFonts w:ascii="Arial" w:hAnsi="Arial"/>
        </w:rPr>
        <w:t xml:space="preserve"> is associated with DR-</w:t>
      </w:r>
      <w:proofErr w:type="spellStart"/>
      <w:r w:rsidRPr="005D55B6">
        <w:rPr>
          <w:rFonts w:ascii="Arial" w:hAnsi="Arial"/>
        </w:rPr>
        <w:t>MTb</w:t>
      </w:r>
      <w:proofErr w:type="spellEnd"/>
      <w:r w:rsidRPr="005D55B6">
        <w:rPr>
          <w:rFonts w:ascii="Arial" w:hAnsi="Arial"/>
        </w:rPr>
        <w:t xml:space="preserve"> and MDR-</w:t>
      </w:r>
      <w:proofErr w:type="spellStart"/>
      <w:r w:rsidRPr="005D55B6">
        <w:rPr>
          <w:rFonts w:ascii="Arial" w:hAnsi="Arial"/>
        </w:rPr>
        <w:t>MTb</w:t>
      </w:r>
      <w:proofErr w:type="spellEnd"/>
      <w:r w:rsidRPr="005D55B6">
        <w:rPr>
          <w:rFonts w:ascii="Arial" w:hAnsi="Arial"/>
        </w:rPr>
        <w:t xml:space="preserve"> </w:t>
      </w:r>
      <w:r>
        <w:rPr>
          <w:rFonts w:ascii="Arial" w:hAnsi="Arial"/>
        </w:rPr>
        <w:t xml:space="preserve">and </w:t>
      </w:r>
      <w:r w:rsidRPr="005D55B6">
        <w:rPr>
          <w:rFonts w:ascii="Arial" w:hAnsi="Arial"/>
        </w:rPr>
        <w:t>were relatively low compare</w:t>
      </w:r>
      <w:r>
        <w:rPr>
          <w:rFonts w:ascii="Arial" w:hAnsi="Arial"/>
        </w:rPr>
        <w:t>d</w:t>
      </w:r>
      <w:r w:rsidRPr="005D55B6">
        <w:rPr>
          <w:rFonts w:ascii="Arial" w:hAnsi="Arial"/>
        </w:rPr>
        <w:t xml:space="preserve"> with 1.3 to 61.4% of the prevalen</w:t>
      </w:r>
      <w:r>
        <w:rPr>
          <w:rFonts w:ascii="Arial" w:hAnsi="Arial"/>
        </w:rPr>
        <w:t>ce of MDR-</w:t>
      </w:r>
      <w:proofErr w:type="spellStart"/>
      <w:r>
        <w:rPr>
          <w:rFonts w:ascii="Arial" w:hAnsi="Arial"/>
        </w:rPr>
        <w:t>MTb</w:t>
      </w:r>
      <w:proofErr w:type="spellEnd"/>
      <w:r>
        <w:rPr>
          <w:rFonts w:ascii="Arial" w:hAnsi="Arial"/>
        </w:rPr>
        <w:t xml:space="preserve"> and DR-</w:t>
      </w:r>
      <w:proofErr w:type="spellStart"/>
      <w:r>
        <w:rPr>
          <w:rFonts w:ascii="Arial" w:hAnsi="Arial"/>
        </w:rPr>
        <w:t>MTb</w:t>
      </w:r>
      <w:proofErr w:type="spellEnd"/>
      <w:r>
        <w:rPr>
          <w:rFonts w:ascii="Arial" w:hAnsi="Arial"/>
        </w:rPr>
        <w:t xml:space="preserve"> </w:t>
      </w:r>
      <w:r w:rsidRPr="005D55B6">
        <w:rPr>
          <w:rFonts w:ascii="Arial" w:hAnsi="Arial"/>
        </w:rPr>
        <w:t xml:space="preserve">reported by </w:t>
      </w:r>
      <w:proofErr w:type="spellStart"/>
      <w:r w:rsidRPr="005D55B6">
        <w:rPr>
          <w:rFonts w:ascii="Arial" w:hAnsi="Arial"/>
        </w:rPr>
        <w:t>Olabiyi</w:t>
      </w:r>
      <w:proofErr w:type="spellEnd"/>
      <w:r w:rsidRPr="005D55B6">
        <w:rPr>
          <w:rFonts w:ascii="Arial" w:hAnsi="Arial"/>
        </w:rPr>
        <w:t xml:space="preserve"> </w:t>
      </w:r>
      <w:r w:rsidRPr="005D55B6">
        <w:rPr>
          <w:rFonts w:ascii="Arial" w:hAnsi="Arial"/>
          <w:i/>
        </w:rPr>
        <w:t>et</w:t>
      </w:r>
      <w:r w:rsidRPr="005D55B6">
        <w:rPr>
          <w:rFonts w:ascii="Arial" w:hAnsi="Arial"/>
        </w:rPr>
        <w:t xml:space="preserve"> </w:t>
      </w:r>
      <w:r w:rsidRPr="005D55B6">
        <w:rPr>
          <w:rFonts w:ascii="Arial" w:hAnsi="Arial"/>
          <w:i/>
        </w:rPr>
        <w:t>al</w:t>
      </w:r>
      <w:r w:rsidRPr="005D55B6">
        <w:rPr>
          <w:rFonts w:ascii="Arial" w:hAnsi="Arial"/>
        </w:rPr>
        <w:t>., (2023)</w:t>
      </w:r>
      <w:r w:rsidR="008C297C">
        <w:rPr>
          <w:rFonts w:ascii="Arial" w:hAnsi="Arial"/>
        </w:rPr>
        <w:t xml:space="preserve"> [12]</w:t>
      </w:r>
      <w:r w:rsidRPr="005D55B6">
        <w:rPr>
          <w:rFonts w:ascii="Arial" w:hAnsi="Arial"/>
        </w:rPr>
        <w:t xml:space="preserve"> and </w:t>
      </w:r>
      <w:proofErr w:type="spellStart"/>
      <w:r w:rsidRPr="005D55B6">
        <w:rPr>
          <w:rFonts w:ascii="Arial" w:hAnsi="Arial"/>
        </w:rPr>
        <w:t>Oladimeji</w:t>
      </w:r>
      <w:proofErr w:type="spellEnd"/>
      <w:r w:rsidRPr="005D55B6">
        <w:rPr>
          <w:rFonts w:ascii="Arial" w:hAnsi="Arial"/>
        </w:rPr>
        <w:t xml:space="preserve"> </w:t>
      </w:r>
      <w:r w:rsidRPr="005D55B6">
        <w:rPr>
          <w:rFonts w:ascii="Arial" w:hAnsi="Arial"/>
          <w:i/>
        </w:rPr>
        <w:t>et</w:t>
      </w:r>
      <w:r w:rsidRPr="005D55B6">
        <w:rPr>
          <w:rFonts w:ascii="Arial" w:hAnsi="Arial"/>
        </w:rPr>
        <w:t xml:space="preserve"> </w:t>
      </w:r>
      <w:r w:rsidRPr="005D55B6">
        <w:rPr>
          <w:rFonts w:ascii="Arial" w:hAnsi="Arial"/>
          <w:i/>
        </w:rPr>
        <w:t>al</w:t>
      </w:r>
      <w:r w:rsidRPr="005D55B6">
        <w:rPr>
          <w:rFonts w:ascii="Arial" w:hAnsi="Arial"/>
        </w:rPr>
        <w:t>., (2022)</w:t>
      </w:r>
      <w:r w:rsidR="008C297C">
        <w:rPr>
          <w:rFonts w:ascii="Arial" w:hAnsi="Arial"/>
        </w:rPr>
        <w:t xml:space="preserve"> [16]</w:t>
      </w:r>
      <w:r w:rsidRPr="005D55B6">
        <w:rPr>
          <w:rFonts w:ascii="Arial" w:hAnsi="Arial"/>
        </w:rPr>
        <w:t>. The low prevalence of DR-</w:t>
      </w:r>
      <w:proofErr w:type="spellStart"/>
      <w:r w:rsidRPr="005D55B6">
        <w:rPr>
          <w:rFonts w:ascii="Arial" w:hAnsi="Arial"/>
        </w:rPr>
        <w:t>MTb</w:t>
      </w:r>
      <w:proofErr w:type="spellEnd"/>
      <w:r w:rsidRPr="005D55B6">
        <w:rPr>
          <w:rFonts w:ascii="Arial" w:hAnsi="Arial"/>
        </w:rPr>
        <w:t xml:space="preserve"> and MDR-</w:t>
      </w:r>
      <w:proofErr w:type="spellStart"/>
      <w:r w:rsidRPr="005D55B6">
        <w:rPr>
          <w:rFonts w:ascii="Arial" w:hAnsi="Arial"/>
        </w:rPr>
        <w:t>MTb</w:t>
      </w:r>
      <w:proofErr w:type="spellEnd"/>
      <w:r w:rsidRPr="005D55B6">
        <w:rPr>
          <w:rFonts w:ascii="Arial" w:hAnsi="Arial"/>
        </w:rPr>
        <w:t xml:space="preserve"> in our present study may be related to the success of both the first and second-line antimycobacterial drugs use as therapeutic options for tuberculosis. </w:t>
      </w:r>
      <w:r>
        <w:rPr>
          <w:rFonts w:ascii="Arial" w:hAnsi="Arial"/>
        </w:rPr>
        <w:t xml:space="preserve">The </w:t>
      </w:r>
      <w:r w:rsidR="002E5ABE" w:rsidRPr="002E5ABE">
        <w:rPr>
          <w:rFonts w:ascii="Arial" w:hAnsi="Arial"/>
        </w:rPr>
        <w:t xml:space="preserve">low prevalence of drug-resistant TB is an encouraging finding. It aligns with the lower end of the national estimate for MDR-TB in new cases and may suggest successful adherence to first-line treatment regimens in this setting </w:t>
      </w:r>
      <w:r w:rsidR="009D5D51">
        <w:rPr>
          <w:rFonts w:ascii="Arial" w:hAnsi="Arial"/>
        </w:rPr>
        <w:t>[17]</w:t>
      </w:r>
      <w:r w:rsidR="002E5ABE" w:rsidRPr="002E5ABE">
        <w:rPr>
          <w:rFonts w:ascii="Arial" w:hAnsi="Arial"/>
        </w:rPr>
        <w:t xml:space="preserve">. However, this low rate stands in stark contrast to the high rates of drug resistance documented in other parts of Nigeria and West Africa, serving as a critical reminder of the profound regional variability in resistance patterns </w:t>
      </w:r>
      <w:r w:rsidR="009D5D51">
        <w:rPr>
          <w:rFonts w:ascii="Arial" w:hAnsi="Arial"/>
        </w:rPr>
        <w:t>[18]</w:t>
      </w:r>
      <w:r w:rsidR="002E5ABE" w:rsidRPr="002E5ABE">
        <w:rPr>
          <w:rFonts w:ascii="Arial" w:hAnsi="Arial"/>
        </w:rPr>
        <w:t xml:space="preserve">. This reinforces the necessity for expanded and continuous drug susceptibility testing to monitor emerging resistance, especially given that global access to treatment for DR-TB remains suboptimal </w:t>
      </w:r>
      <w:r w:rsidR="009D5D51">
        <w:rPr>
          <w:rFonts w:ascii="Arial" w:hAnsi="Arial"/>
        </w:rPr>
        <w:t>[4]</w:t>
      </w:r>
      <w:r w:rsidR="002E5ABE" w:rsidRPr="002E5ABE">
        <w:rPr>
          <w:rFonts w:ascii="Arial" w:hAnsi="Arial"/>
        </w:rPr>
        <w:t>.</w:t>
      </w:r>
    </w:p>
    <w:p w:rsidR="002E5ABE" w:rsidRPr="002E5ABE" w:rsidRDefault="002E5ABE" w:rsidP="002E5ABE">
      <w:pPr>
        <w:pStyle w:val="Body"/>
        <w:spacing w:after="0"/>
        <w:rPr>
          <w:rFonts w:ascii="Arial" w:hAnsi="Arial"/>
        </w:rPr>
      </w:pPr>
      <w:r w:rsidRPr="002E5ABE">
        <w:rPr>
          <w:rFonts w:ascii="Arial" w:hAnsi="Arial"/>
        </w:rPr>
        <w:t>The significant associations between socio-demographic facto</w:t>
      </w:r>
      <w:r w:rsidR="00426880">
        <w:rPr>
          <w:rFonts w:ascii="Arial" w:hAnsi="Arial"/>
        </w:rPr>
        <w:t xml:space="preserve">rs and </w:t>
      </w:r>
      <w:proofErr w:type="spellStart"/>
      <w:r w:rsidR="00426880">
        <w:rPr>
          <w:rFonts w:ascii="Arial" w:hAnsi="Arial"/>
        </w:rPr>
        <w:t>MTb</w:t>
      </w:r>
      <w:proofErr w:type="spellEnd"/>
      <w:r w:rsidR="009D5D51">
        <w:rPr>
          <w:rFonts w:ascii="Arial" w:hAnsi="Arial"/>
        </w:rPr>
        <w:t xml:space="preserve"> prevalence echo </w:t>
      </w:r>
      <w:r w:rsidR="009D5D51" w:rsidRPr="002E5ABE">
        <w:rPr>
          <w:rFonts w:ascii="Arial" w:hAnsi="Arial"/>
        </w:rPr>
        <w:t>global</w:t>
      </w:r>
      <w:r w:rsidRPr="002E5ABE">
        <w:rPr>
          <w:rFonts w:ascii="Arial" w:hAnsi="Arial"/>
        </w:rPr>
        <w:t xml:space="preserve"> and national patterns. </w:t>
      </w:r>
      <w:r w:rsidR="00C04DA9">
        <w:rPr>
          <w:rFonts w:ascii="Arial" w:hAnsi="Arial"/>
        </w:rPr>
        <w:t>Our study</w:t>
      </w:r>
      <w:r w:rsidR="00426880">
        <w:rPr>
          <w:rFonts w:ascii="Arial" w:hAnsi="Arial"/>
        </w:rPr>
        <w:t xml:space="preserve"> notes higher </w:t>
      </w:r>
      <w:proofErr w:type="spellStart"/>
      <w:r w:rsidR="00426880">
        <w:rPr>
          <w:rFonts w:ascii="Arial" w:hAnsi="Arial"/>
        </w:rPr>
        <w:t>MTb</w:t>
      </w:r>
      <w:proofErr w:type="spellEnd"/>
      <w:r w:rsidR="00C04DA9" w:rsidRPr="00C04DA9">
        <w:rPr>
          <w:rFonts w:ascii="Arial" w:hAnsi="Arial"/>
        </w:rPr>
        <w:t xml:space="preserve"> in males and 18-30-year-olds, consistent </w:t>
      </w:r>
      <w:r w:rsidR="009D5D51">
        <w:rPr>
          <w:rFonts w:ascii="Arial" w:hAnsi="Arial"/>
        </w:rPr>
        <w:t>with a study by</w:t>
      </w:r>
      <w:r w:rsidR="00C04DA9" w:rsidRPr="00C04DA9">
        <w:rPr>
          <w:rFonts w:ascii="Arial" w:hAnsi="Arial"/>
        </w:rPr>
        <w:t xml:space="preserve"> </w:t>
      </w:r>
      <w:proofErr w:type="spellStart"/>
      <w:r w:rsidR="00C04DA9" w:rsidRPr="00C04DA9">
        <w:rPr>
          <w:rFonts w:ascii="Arial" w:hAnsi="Arial"/>
        </w:rPr>
        <w:t>Babajide</w:t>
      </w:r>
      <w:proofErr w:type="spellEnd"/>
      <w:r w:rsidR="00C04DA9" w:rsidRPr="00C04DA9">
        <w:rPr>
          <w:rFonts w:ascii="Arial" w:hAnsi="Arial"/>
        </w:rPr>
        <w:t xml:space="preserve"> et al. (2014)</w:t>
      </w:r>
      <w:r w:rsidR="009D5D51">
        <w:rPr>
          <w:rFonts w:ascii="Arial" w:hAnsi="Arial"/>
        </w:rPr>
        <w:t xml:space="preserve"> [19]</w:t>
      </w:r>
      <w:r w:rsidR="00C04DA9" w:rsidRPr="00C04DA9">
        <w:rPr>
          <w:rFonts w:ascii="Arial" w:hAnsi="Arial"/>
        </w:rPr>
        <w:t>, though rates here exceed those (11.4% and 10.0%</w:t>
      </w:r>
      <w:r w:rsidR="00426880">
        <w:rPr>
          <w:rFonts w:ascii="Arial" w:hAnsi="Arial"/>
        </w:rPr>
        <w:t xml:space="preserve">). It also highlights higher </w:t>
      </w:r>
      <w:proofErr w:type="spellStart"/>
      <w:r w:rsidR="00426880">
        <w:rPr>
          <w:rFonts w:ascii="Arial" w:hAnsi="Arial"/>
        </w:rPr>
        <w:t>MTb</w:t>
      </w:r>
      <w:proofErr w:type="spellEnd"/>
      <w:r w:rsidR="00C04DA9" w:rsidRPr="00C04DA9">
        <w:rPr>
          <w:rFonts w:ascii="Arial" w:hAnsi="Arial"/>
        </w:rPr>
        <w:t xml:space="preserve"> in semi-rural areas with a significant association to location, but no si</w:t>
      </w:r>
      <w:r w:rsidR="00C04DA9">
        <w:rPr>
          <w:rFonts w:ascii="Arial" w:hAnsi="Arial"/>
        </w:rPr>
        <w:t>gnificant link to gender or age.</w:t>
      </w:r>
      <w:r w:rsidR="00C04DA9" w:rsidRPr="00C04DA9">
        <w:rPr>
          <w:rFonts w:ascii="Arial" w:hAnsi="Arial"/>
        </w:rPr>
        <w:t xml:space="preserve"> The age distribution reflects global patterns where young adults are at higher risk due to mobility and exposure, while elderly vulnerability stems from comorbidities </w:t>
      </w:r>
      <w:r w:rsidR="009D5D51">
        <w:rPr>
          <w:rFonts w:ascii="Arial" w:hAnsi="Arial"/>
        </w:rPr>
        <w:t>[20]</w:t>
      </w:r>
      <w:r w:rsidR="00C04DA9" w:rsidRPr="00C04DA9">
        <w:rPr>
          <w:rFonts w:ascii="Arial" w:hAnsi="Arial"/>
        </w:rPr>
        <w:t>. Gender disparities, with higher male prevalence, align with a 2025 Nigerian study</w:t>
      </w:r>
      <w:r w:rsidR="00C04DA9">
        <w:rPr>
          <w:rFonts w:ascii="Arial" w:hAnsi="Arial"/>
        </w:rPr>
        <w:t xml:space="preserve"> showing a national care</w:t>
      </w:r>
      <w:r w:rsidR="00C04DA9" w:rsidRPr="00C04DA9">
        <w:rPr>
          <w:rFonts w:ascii="Arial" w:hAnsi="Arial"/>
        </w:rPr>
        <w:t xml:space="preserve"> gap, where males face barriers to diagnosis </w:t>
      </w:r>
      <w:r w:rsidR="009D5D51">
        <w:rPr>
          <w:rFonts w:ascii="Arial" w:hAnsi="Arial"/>
        </w:rPr>
        <w:t>[15]</w:t>
      </w:r>
      <w:r w:rsidR="00C04DA9" w:rsidRPr="00C04DA9">
        <w:rPr>
          <w:rFonts w:ascii="Arial" w:hAnsi="Arial"/>
        </w:rPr>
        <w:t xml:space="preserve">. The semi-rural peak may relate to intermediate access to healthcare and environmental exposures, differing from urban-rural divides in other studies </w:t>
      </w:r>
      <w:r w:rsidR="009D5D51">
        <w:rPr>
          <w:rFonts w:ascii="Arial" w:hAnsi="Arial"/>
        </w:rPr>
        <w:t>[13]</w:t>
      </w:r>
      <w:r w:rsidR="00C04DA9" w:rsidRPr="00C04DA9">
        <w:rPr>
          <w:rFonts w:ascii="Arial" w:hAnsi="Arial"/>
        </w:rPr>
        <w:t xml:space="preserve">. </w:t>
      </w:r>
      <w:r w:rsidRPr="002E5ABE">
        <w:rPr>
          <w:rFonts w:ascii="Arial" w:hAnsi="Arial"/>
        </w:rPr>
        <w:t xml:space="preserve">The higher burden observed among males is consistent with the Nigerian national care cascade, which indicates that men often face greater barriers to timely diagnosis and care </w:t>
      </w:r>
      <w:r w:rsidR="009D5D51">
        <w:rPr>
          <w:rFonts w:ascii="Arial" w:hAnsi="Arial"/>
        </w:rPr>
        <w:t>[15]</w:t>
      </w:r>
      <w:r w:rsidRPr="002E5ABE">
        <w:rPr>
          <w:rFonts w:ascii="Arial" w:hAnsi="Arial"/>
        </w:rPr>
        <w:t xml:space="preserve">. The bimodal age distribution, with peaks among young adults and the elderly, reflects distinct risk profiles: higher mobility and social exposure in the former and age-related </w:t>
      </w:r>
      <w:proofErr w:type="spellStart"/>
      <w:r w:rsidRPr="002E5ABE">
        <w:rPr>
          <w:rFonts w:ascii="Arial" w:hAnsi="Arial"/>
        </w:rPr>
        <w:t>immunosenescence</w:t>
      </w:r>
      <w:proofErr w:type="spellEnd"/>
      <w:r w:rsidRPr="002E5ABE">
        <w:rPr>
          <w:rFonts w:ascii="Arial" w:hAnsi="Arial"/>
        </w:rPr>
        <w:t xml:space="preserve"> and comorbidities in the latter </w:t>
      </w:r>
      <w:r w:rsidR="009D5D51">
        <w:rPr>
          <w:rFonts w:ascii="Arial" w:hAnsi="Arial"/>
        </w:rPr>
        <w:t>[20]</w:t>
      </w:r>
      <w:r w:rsidRPr="002E5ABE">
        <w:rPr>
          <w:rFonts w:ascii="Arial" w:hAnsi="Arial"/>
        </w:rPr>
        <w:t xml:space="preserve">. The elevated prevalence among residents of semi-rural areas may point to a confluence of factors, including intermediate access to healthcare services, environmental exposures, and socioeconomic conditions that differ from both densely populated urban centers and remote rural villages </w:t>
      </w:r>
      <w:r w:rsidR="009D5D51">
        <w:rPr>
          <w:rFonts w:ascii="Arial" w:hAnsi="Arial"/>
        </w:rPr>
        <w:t>[13]</w:t>
      </w:r>
      <w:r w:rsidRPr="002E5ABE">
        <w:rPr>
          <w:rFonts w:ascii="Arial" w:hAnsi="Arial"/>
        </w:rPr>
        <w:t>. Associations with marital status, such as higher rates among widowers, may act as a proxy for psychosocial stress or social network dynamics that influence exposure risk and health-seeking behavior, warranting further qualitative investigation.</w:t>
      </w:r>
    </w:p>
    <w:p w:rsidR="00C04DA9" w:rsidRPr="00C04DA9" w:rsidRDefault="002E5ABE" w:rsidP="00C04DA9">
      <w:pPr>
        <w:pStyle w:val="Body"/>
        <w:spacing w:after="0"/>
        <w:rPr>
          <w:rFonts w:ascii="Arial" w:hAnsi="Arial"/>
        </w:rPr>
      </w:pPr>
      <w:r w:rsidRPr="002E5ABE">
        <w:rPr>
          <w:rFonts w:ascii="Arial" w:hAnsi="Arial"/>
        </w:rPr>
        <w:t xml:space="preserve">The analysis of clinical and occupational risk factors </w:t>
      </w:r>
      <w:r w:rsidR="00C04DA9">
        <w:rPr>
          <w:rFonts w:ascii="Arial" w:hAnsi="Arial"/>
        </w:rPr>
        <w:t>showed</w:t>
      </w:r>
      <w:r w:rsidRPr="002E5ABE">
        <w:rPr>
          <w:rFonts w:ascii="Arial" w:hAnsi="Arial"/>
        </w:rPr>
        <w:t xml:space="preserve"> insightful patterns. </w:t>
      </w:r>
      <w:r w:rsidR="00C04DA9">
        <w:rPr>
          <w:rFonts w:ascii="Arial" w:hAnsi="Arial"/>
        </w:rPr>
        <w:t>Our study</w:t>
      </w:r>
      <w:r w:rsidR="00426880">
        <w:rPr>
          <w:rFonts w:ascii="Arial" w:hAnsi="Arial"/>
        </w:rPr>
        <w:t xml:space="preserve"> aligns the lower </w:t>
      </w:r>
      <w:proofErr w:type="spellStart"/>
      <w:r w:rsidR="00426880">
        <w:rPr>
          <w:rFonts w:ascii="Arial" w:hAnsi="Arial"/>
        </w:rPr>
        <w:t>MTb</w:t>
      </w:r>
      <w:proofErr w:type="spellEnd"/>
      <w:r w:rsidR="00C04DA9" w:rsidRPr="00C04DA9">
        <w:rPr>
          <w:rFonts w:ascii="Arial" w:hAnsi="Arial"/>
        </w:rPr>
        <w:t xml:space="preserve"> in HIV-positive patients with </w:t>
      </w:r>
      <w:r w:rsidR="000E1C22">
        <w:rPr>
          <w:rFonts w:ascii="Arial" w:hAnsi="Arial"/>
        </w:rPr>
        <w:t>the results from a study by</w:t>
      </w:r>
      <w:r w:rsidR="00C04DA9" w:rsidRPr="00C04DA9">
        <w:rPr>
          <w:rFonts w:ascii="Arial" w:hAnsi="Arial"/>
        </w:rPr>
        <w:t xml:space="preserve"> </w:t>
      </w:r>
      <w:proofErr w:type="spellStart"/>
      <w:r w:rsidR="000E1C22" w:rsidRPr="000E1C22">
        <w:rPr>
          <w:rFonts w:ascii="Arial" w:hAnsi="Arial"/>
        </w:rPr>
        <w:t>Ahiarakwem</w:t>
      </w:r>
      <w:proofErr w:type="spellEnd"/>
      <w:r w:rsidR="000E1C22" w:rsidRPr="000E1C22">
        <w:rPr>
          <w:rFonts w:ascii="Arial" w:hAnsi="Arial"/>
        </w:rPr>
        <w:t xml:space="preserve"> </w:t>
      </w:r>
      <w:r w:rsidR="000E1C22" w:rsidRPr="000E1C22">
        <w:rPr>
          <w:rFonts w:ascii="Arial" w:hAnsi="Arial"/>
          <w:i/>
        </w:rPr>
        <w:t xml:space="preserve">et al </w:t>
      </w:r>
      <w:r w:rsidR="009D5D51">
        <w:rPr>
          <w:rFonts w:ascii="Arial" w:hAnsi="Arial"/>
        </w:rPr>
        <w:t>[21] i</w:t>
      </w:r>
      <w:r w:rsidR="000E1C22" w:rsidRPr="000E1C22">
        <w:rPr>
          <w:rFonts w:ascii="Arial" w:hAnsi="Arial"/>
        </w:rPr>
        <w:t xml:space="preserve">n South-eastern Nigeria </w:t>
      </w:r>
      <w:r w:rsidR="00C04DA9" w:rsidRPr="00C04DA9">
        <w:rPr>
          <w:rFonts w:ascii="Arial" w:hAnsi="Arial"/>
        </w:rPr>
        <w:t xml:space="preserve">but contrasts with </w:t>
      </w:r>
      <w:r w:rsidR="000E1C22">
        <w:rPr>
          <w:rFonts w:ascii="Arial" w:hAnsi="Arial"/>
        </w:rPr>
        <w:t xml:space="preserve">a study by </w:t>
      </w:r>
      <w:r w:rsidR="00C04DA9" w:rsidRPr="00C04DA9">
        <w:rPr>
          <w:rFonts w:ascii="Arial" w:hAnsi="Arial"/>
        </w:rPr>
        <w:t>Belay et al. (2015)</w:t>
      </w:r>
      <w:r w:rsidR="009D5D51">
        <w:rPr>
          <w:rFonts w:ascii="Arial" w:hAnsi="Arial"/>
        </w:rPr>
        <w:t xml:space="preserve"> [22]</w:t>
      </w:r>
      <w:r w:rsidR="00C04DA9" w:rsidRPr="00C04DA9">
        <w:rPr>
          <w:rFonts w:ascii="Arial" w:hAnsi="Arial"/>
        </w:rPr>
        <w:t xml:space="preserve"> reporting 28.6% in Ethiopia, attributing higher DR/MDR in HIV-positive to immune suppression (though mechanisms unclear). It speculates artisan activities increase exposure risk, with significant MTB-occupation association but not for DR/MDR. Expanding this, recent Nigerian data reports TB/HIV co-infection prevalence at 19.1-27.1%, with higher rates in urban areas and among key populations (e.g., 19.2% TB among HIV-positive key populations) </w:t>
      </w:r>
      <w:r w:rsidR="009D5D51">
        <w:rPr>
          <w:rFonts w:ascii="Arial" w:hAnsi="Arial"/>
        </w:rPr>
        <w:t>[23, 24, 25]</w:t>
      </w:r>
      <w:r w:rsidR="00C04DA9" w:rsidRPr="00C04DA9">
        <w:rPr>
          <w:rFonts w:ascii="Arial" w:hAnsi="Arial"/>
        </w:rPr>
        <w:t xml:space="preserve">. The inverse MTB-HIV pattern here may indicate effective TB screening in HIV clinics or underrepresentation of co-infected cases, but elevated DR/MDR in HIV-positive aligns with </w:t>
      </w:r>
      <w:r w:rsidR="00C04DA9" w:rsidRPr="00C04DA9">
        <w:rPr>
          <w:rFonts w:ascii="Arial" w:hAnsi="Arial"/>
        </w:rPr>
        <w:lastRenderedPageBreak/>
        <w:t xml:space="preserve">global trends of 1.3 million isoniazid-resistant cases in 2022, often compounded by immunosuppression </w:t>
      </w:r>
      <w:r w:rsidR="00E53AE4">
        <w:rPr>
          <w:rFonts w:ascii="Arial" w:hAnsi="Arial"/>
        </w:rPr>
        <w:t>[4]</w:t>
      </w:r>
      <w:r w:rsidR="00C04DA9" w:rsidRPr="00C04DA9">
        <w:rPr>
          <w:rFonts w:ascii="Arial" w:hAnsi="Arial"/>
        </w:rPr>
        <w:t xml:space="preserve">. Occupationally, farmers' higher DR/MDR could link to delayed diagnosis or antibiotic misuse in agriculture, while artisans' exposure (e.g., dust) increases susceptibility, consistent with a 2025 study noting high TB risk perception (86.9%) among healthcare workers in HIV centers, extending to other high-exposure groups </w:t>
      </w:r>
      <w:r w:rsidR="00E53AE4">
        <w:rPr>
          <w:rFonts w:ascii="Arial" w:hAnsi="Arial"/>
        </w:rPr>
        <w:t>[26].</w:t>
      </w:r>
    </w:p>
    <w:p w:rsidR="00C04DA9" w:rsidRDefault="00C04DA9" w:rsidP="002E5ABE">
      <w:pPr>
        <w:pStyle w:val="Body"/>
        <w:spacing w:after="0"/>
        <w:rPr>
          <w:rFonts w:ascii="Arial" w:hAnsi="Arial"/>
        </w:rPr>
      </w:pPr>
    </w:p>
    <w:p w:rsidR="00C04DA9" w:rsidRDefault="00C04DA9" w:rsidP="002E5ABE">
      <w:pPr>
        <w:pStyle w:val="Body"/>
        <w:spacing w:after="0"/>
        <w:rPr>
          <w:rFonts w:ascii="Arial" w:hAnsi="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145A37" w:rsidRPr="00145A37" w:rsidRDefault="00145A37" w:rsidP="00145A37">
      <w:pPr>
        <w:jc w:val="both"/>
        <w:rPr>
          <w:rFonts w:ascii="Arial" w:hAnsi="Arial" w:cs="Arial"/>
        </w:rPr>
      </w:pPr>
      <w:r w:rsidRPr="00145A37">
        <w:rPr>
          <w:rFonts w:ascii="Arial" w:hAnsi="Arial" w:cs="Arial"/>
        </w:rPr>
        <w:t>This</w:t>
      </w:r>
      <w:r>
        <w:rPr>
          <w:rFonts w:ascii="Arial" w:hAnsi="Arial" w:cs="Arial"/>
        </w:rPr>
        <w:t xml:space="preserve"> study shows</w:t>
      </w:r>
      <w:r w:rsidRPr="00145A37">
        <w:rPr>
          <w:rFonts w:ascii="Arial" w:hAnsi="Arial" w:cs="Arial"/>
        </w:rPr>
        <w:t xml:space="preserve"> that the tuberculosis (TB) burden in the studied population is high, with a prevalence exceeding 22.1%. A significant portion of these cases were drug-resistant. However, the prevalence of multidrug-resistant TB (MDR-TB) was encouragingly low, falling at the lower end of the national spectrum.</w:t>
      </w:r>
    </w:p>
    <w:p w:rsidR="00145A37" w:rsidRPr="00145A37" w:rsidRDefault="00145A37" w:rsidP="00145A37">
      <w:pPr>
        <w:jc w:val="both"/>
        <w:rPr>
          <w:rFonts w:ascii="Arial" w:hAnsi="Arial" w:cs="Arial"/>
        </w:rPr>
      </w:pPr>
      <w:r w:rsidRPr="00145A37">
        <w:rPr>
          <w:rFonts w:ascii="Arial" w:hAnsi="Arial" w:cs="Arial"/>
        </w:rPr>
        <w:t xml:space="preserve">Key demographic patterns were identified, with significantly higher infection rates observed among males, young adults (aged 18-30), and residents of semi-rural areas. Conversely, a lower-than-expected </w:t>
      </w:r>
      <w:proofErr w:type="spellStart"/>
      <w:r w:rsidRPr="00145A37">
        <w:rPr>
          <w:rFonts w:ascii="Arial" w:hAnsi="Arial" w:cs="Arial"/>
        </w:rPr>
        <w:t>MTb</w:t>
      </w:r>
      <w:proofErr w:type="spellEnd"/>
      <w:r w:rsidRPr="00145A37">
        <w:rPr>
          <w:rFonts w:ascii="Arial" w:hAnsi="Arial" w:cs="Arial"/>
        </w:rPr>
        <w:t xml:space="preserve"> prevalence was found in HIV-positive patients, though drug resistance was elevated within this group. These findings highlight profound regional and demographic variability in TB and drug-resistant TB prevalence in Nigeria, underscoring the critical need for targeted interventions and sustained surveillance.</w:t>
      </w:r>
    </w:p>
    <w:p w:rsidR="000F13F6" w:rsidRDefault="000F13F6" w:rsidP="000F13F6">
      <w:pPr>
        <w:pStyle w:val="ReferHead"/>
        <w:spacing w:after="0"/>
        <w:jc w:val="both"/>
        <w:rPr>
          <w:rFonts w:ascii="Arial" w:hAnsi="Arial" w:cs="Arial"/>
          <w:b w:val="0"/>
          <w:caps w:val="0"/>
          <w:sz w:val="20"/>
        </w:rPr>
      </w:pPr>
    </w:p>
    <w:p w:rsidR="000F13F6" w:rsidRDefault="000F13F6" w:rsidP="000F13F6">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rsidR="000F13F6" w:rsidRPr="002B685A" w:rsidRDefault="000F13F6" w:rsidP="000F13F6">
      <w:pPr>
        <w:pStyle w:val="ReferHead"/>
        <w:spacing w:after="0"/>
        <w:jc w:val="both"/>
        <w:rPr>
          <w:rFonts w:ascii="Arial" w:hAnsi="Arial" w:cs="Arial"/>
          <w:bCs/>
        </w:rPr>
      </w:pPr>
    </w:p>
    <w:p w:rsidR="000F13F6" w:rsidRDefault="000F13F6" w:rsidP="000F13F6">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w:t>
      </w:r>
      <w:r w:rsidR="001572F9">
        <w:rPr>
          <w:rFonts w:ascii="Arial" w:hAnsi="Arial" w:cs="Arial"/>
          <w:b w:val="0"/>
          <w:caps w:val="0"/>
          <w:sz w:val="20"/>
        </w:rPr>
        <w:t xml:space="preserve"> publication of this research</w:t>
      </w:r>
      <w:r>
        <w:rPr>
          <w:rFonts w:ascii="Arial" w:hAnsi="Arial" w:cs="Arial"/>
          <w:b w:val="0"/>
          <w:caps w:val="0"/>
          <w:sz w:val="20"/>
        </w:rPr>
        <w:t>. A copy of the written consent is available for review by the Editorial office/Chief Editor/Editorial Board members of this journal.</w:t>
      </w:r>
    </w:p>
    <w:p w:rsidR="000F13F6" w:rsidRDefault="000F13F6" w:rsidP="000F13F6">
      <w:pPr>
        <w:pStyle w:val="ReferHead"/>
        <w:spacing w:after="0"/>
        <w:jc w:val="both"/>
        <w:rPr>
          <w:rFonts w:ascii="Arial" w:hAnsi="Arial" w:cs="Arial"/>
          <w:b w:val="0"/>
          <w:caps w:val="0"/>
          <w:sz w:val="20"/>
        </w:rPr>
      </w:pPr>
    </w:p>
    <w:p w:rsidR="000F13F6" w:rsidRDefault="000F13F6" w:rsidP="000F13F6">
      <w:pPr>
        <w:pStyle w:val="ReferHead"/>
        <w:spacing w:after="0"/>
        <w:jc w:val="both"/>
        <w:rPr>
          <w:rFonts w:ascii="Arial" w:hAnsi="Arial" w:cs="Arial"/>
          <w:bCs/>
        </w:rPr>
      </w:pPr>
      <w:r>
        <w:rPr>
          <w:rFonts w:ascii="Arial" w:hAnsi="Arial" w:cs="Arial"/>
          <w:bCs/>
        </w:rPr>
        <w:t xml:space="preserve">Ethical approval </w:t>
      </w:r>
    </w:p>
    <w:p w:rsidR="000F13F6" w:rsidRPr="002B685A" w:rsidRDefault="000F13F6" w:rsidP="000F13F6">
      <w:pPr>
        <w:pStyle w:val="ReferHead"/>
        <w:spacing w:after="0"/>
        <w:jc w:val="both"/>
        <w:rPr>
          <w:rFonts w:ascii="Arial" w:hAnsi="Arial" w:cs="Arial"/>
          <w:bCs/>
        </w:rPr>
      </w:pPr>
    </w:p>
    <w:p w:rsidR="000F13F6" w:rsidRDefault="000F13F6" w:rsidP="000F13F6">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rsidR="000F13F6" w:rsidRDefault="000F13F6" w:rsidP="000F13F6">
      <w:pPr>
        <w:pStyle w:val="ReferHead"/>
        <w:spacing w:after="0"/>
        <w:jc w:val="both"/>
        <w:rPr>
          <w:rFonts w:ascii="Arial" w:hAnsi="Arial" w:cs="Arial"/>
          <w:b w:val="0"/>
          <w:caps w:val="0"/>
          <w:sz w:val="20"/>
        </w:rPr>
      </w:pPr>
    </w:p>
    <w:p w:rsidR="000F13F6" w:rsidRPr="00EC727C" w:rsidRDefault="000F13F6" w:rsidP="000F13F6">
      <w:pPr>
        <w:rPr>
          <w:color w:val="000000" w:themeColor="text1"/>
        </w:rPr>
      </w:pPr>
      <w:r w:rsidRPr="00EC727C">
        <w:rPr>
          <w:color w:val="000000" w:themeColor="text1"/>
        </w:rPr>
        <w:t>Disclaimer (Artificial intelligence)</w:t>
      </w:r>
    </w:p>
    <w:p w:rsidR="000F13F6" w:rsidRPr="00EC727C" w:rsidRDefault="000F13F6" w:rsidP="000F13F6">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w:t>
      </w:r>
      <w:proofErr w:type="spellStart"/>
      <w:r w:rsidRPr="00EC727C">
        <w:rPr>
          <w:b w:val="0"/>
          <w:caps w:val="0"/>
          <w:color w:val="000000" w:themeColor="text1"/>
          <w:sz w:val="20"/>
        </w:rPr>
        <w:t>ChatGPT</w:t>
      </w:r>
      <w:proofErr w:type="spellEnd"/>
      <w:r w:rsidRPr="00EC727C">
        <w:rPr>
          <w:b w:val="0"/>
          <w:caps w:val="0"/>
          <w:color w:val="000000" w:themeColor="text1"/>
          <w:sz w:val="20"/>
        </w:rPr>
        <w:t>, COPILOT, etc.) and text-to-image generators have been used during the writing or editing of this manuscript</w:t>
      </w:r>
    </w:p>
    <w:p w:rsidR="00371FB6" w:rsidRDefault="00371FB6"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 </w:t>
      </w:r>
      <w:proofErr w:type="spellStart"/>
      <w:r w:rsidRPr="00907F94">
        <w:rPr>
          <w:rFonts w:ascii="Arial" w:hAnsi="Arial" w:cs="Arial"/>
          <w:color w:val="222222"/>
          <w:shd w:val="clear" w:color="auto" w:fill="FFFFFF"/>
        </w:rPr>
        <w:t>Harshavardhan</w:t>
      </w:r>
      <w:proofErr w:type="spellEnd"/>
      <w:r w:rsidRPr="00907F94">
        <w:rPr>
          <w:rFonts w:ascii="Arial" w:hAnsi="Arial" w:cs="Arial"/>
          <w:color w:val="222222"/>
          <w:shd w:val="clear" w:color="auto" w:fill="FFFFFF"/>
        </w:rPr>
        <w:t xml:space="preserve">, S., Vijayakumar, K. K., </w:t>
      </w:r>
      <w:proofErr w:type="spellStart"/>
      <w:r w:rsidRPr="00907F94">
        <w:rPr>
          <w:rFonts w:ascii="Arial" w:hAnsi="Arial" w:cs="Arial"/>
          <w:color w:val="222222"/>
          <w:shd w:val="clear" w:color="auto" w:fill="FFFFFF"/>
        </w:rPr>
        <w:t>Sounderrajan</w:t>
      </w:r>
      <w:proofErr w:type="spellEnd"/>
      <w:r w:rsidRPr="00907F94">
        <w:rPr>
          <w:rFonts w:ascii="Arial" w:hAnsi="Arial" w:cs="Arial"/>
          <w:color w:val="222222"/>
          <w:shd w:val="clear" w:color="auto" w:fill="FFFFFF"/>
        </w:rPr>
        <w:t xml:space="preserve">, V., Ramasamy, P., &amp; </w:t>
      </w:r>
      <w:proofErr w:type="spellStart"/>
      <w:r w:rsidRPr="00907F94">
        <w:rPr>
          <w:rFonts w:ascii="Arial" w:hAnsi="Arial" w:cs="Arial"/>
          <w:color w:val="222222"/>
          <w:shd w:val="clear" w:color="auto" w:fill="FFFFFF"/>
        </w:rPr>
        <w:t>Rajadas</w:t>
      </w:r>
      <w:proofErr w:type="spellEnd"/>
      <w:r w:rsidRPr="00907F94">
        <w:rPr>
          <w:rFonts w:ascii="Arial" w:hAnsi="Arial" w:cs="Arial"/>
          <w:color w:val="222222"/>
          <w:shd w:val="clear" w:color="auto" w:fill="FFFFFF"/>
        </w:rPr>
        <w:t>, S. E. (2021). Basics of tuberculosis disease and principles of treatment and their effects. In </w:t>
      </w:r>
      <w:r w:rsidRPr="00907F94">
        <w:rPr>
          <w:rFonts w:ascii="Arial" w:hAnsi="Arial" w:cs="Arial"/>
          <w:i/>
          <w:iCs/>
          <w:color w:val="222222"/>
          <w:shd w:val="clear" w:color="auto" w:fill="FFFFFF"/>
        </w:rPr>
        <w:t xml:space="preserve">A Mechanistic Approach to Medicines for Tuberculosis </w:t>
      </w:r>
      <w:proofErr w:type="spellStart"/>
      <w:r w:rsidRPr="00907F94">
        <w:rPr>
          <w:rFonts w:ascii="Arial" w:hAnsi="Arial" w:cs="Arial"/>
          <w:i/>
          <w:iCs/>
          <w:color w:val="222222"/>
          <w:shd w:val="clear" w:color="auto" w:fill="FFFFFF"/>
        </w:rPr>
        <w:t>Nanotherapy</w:t>
      </w:r>
      <w:proofErr w:type="spellEnd"/>
      <w:r w:rsidRPr="00907F94">
        <w:rPr>
          <w:rFonts w:ascii="Arial" w:hAnsi="Arial" w:cs="Arial"/>
          <w:color w:val="222222"/>
          <w:shd w:val="clear" w:color="auto" w:fill="FFFFFF"/>
        </w:rPr>
        <w:t> (pp. 1-29). Academic Press</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2. </w:t>
      </w:r>
      <w:proofErr w:type="spellStart"/>
      <w:r w:rsidRPr="00907F94">
        <w:rPr>
          <w:rFonts w:ascii="Arial" w:hAnsi="Arial" w:cs="Arial"/>
          <w:color w:val="222222"/>
          <w:shd w:val="clear" w:color="auto" w:fill="FFFFFF"/>
        </w:rPr>
        <w:t>Pokam</w:t>
      </w:r>
      <w:proofErr w:type="spellEnd"/>
      <w:r w:rsidRPr="00907F94">
        <w:rPr>
          <w:rFonts w:ascii="Arial" w:hAnsi="Arial" w:cs="Arial"/>
          <w:color w:val="222222"/>
          <w:shd w:val="clear" w:color="auto" w:fill="FFFFFF"/>
        </w:rPr>
        <w:t xml:space="preserve">, B.D.T., Dorothy, Y., Lovett, L., Prisca, W.G., Ruth, O., Laura, M., </w:t>
      </w:r>
      <w:proofErr w:type="spellStart"/>
      <w:r w:rsidRPr="00907F94">
        <w:rPr>
          <w:rFonts w:ascii="Arial" w:hAnsi="Arial" w:cs="Arial"/>
          <w:color w:val="222222"/>
          <w:shd w:val="clear" w:color="auto" w:fill="FFFFFF"/>
        </w:rPr>
        <w:t>Nchawa</w:t>
      </w:r>
      <w:proofErr w:type="spellEnd"/>
      <w:r w:rsidRPr="00907F94">
        <w:rPr>
          <w:rFonts w:ascii="Arial" w:hAnsi="Arial" w:cs="Arial"/>
          <w:color w:val="222222"/>
          <w:shd w:val="clear" w:color="auto" w:fill="FFFFFF"/>
        </w:rPr>
        <w:t xml:space="preserve">, Y.Y., and Anne, E.A (2019). Molecular Analysis of </w:t>
      </w:r>
      <w:r w:rsidRPr="00AC1B3F">
        <w:rPr>
          <w:rFonts w:ascii="Arial" w:hAnsi="Arial" w:cs="Arial"/>
          <w:i/>
          <w:color w:val="222222"/>
          <w:shd w:val="clear" w:color="auto" w:fill="FFFFFF"/>
        </w:rPr>
        <w:t>Mycobacterium tuberculosis</w:t>
      </w:r>
      <w:r w:rsidRPr="00907F94">
        <w:rPr>
          <w:rFonts w:ascii="Arial" w:hAnsi="Arial" w:cs="Arial"/>
          <w:color w:val="222222"/>
          <w:shd w:val="clear" w:color="auto" w:fill="FFFFFF"/>
        </w:rPr>
        <w:t xml:space="preserve"> Isolated in the North Central Zone of Nigeria. </w:t>
      </w:r>
      <w:r w:rsidRPr="00907F94">
        <w:rPr>
          <w:rFonts w:ascii="Arial" w:hAnsi="Arial" w:cs="Arial"/>
          <w:i/>
          <w:color w:val="222222"/>
          <w:shd w:val="clear" w:color="auto" w:fill="FFFFFF"/>
        </w:rPr>
        <w:t>Journal of Epidemiology and Global Health</w:t>
      </w:r>
      <w:r w:rsidRPr="00907F94">
        <w:rPr>
          <w:rFonts w:ascii="Arial" w:hAnsi="Arial" w:cs="Arial"/>
          <w:color w:val="222222"/>
          <w:shd w:val="clear" w:color="auto" w:fill="FFFFFF"/>
        </w:rPr>
        <w:t>, 9(4):259–265</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3. WHO. Global Tuberculosis Report (2022). Available from: </w:t>
      </w:r>
      <w:hyperlink r:id="rId15" w:history="1">
        <w:r w:rsidRPr="00907F94">
          <w:rPr>
            <w:rStyle w:val="Hyperlink"/>
            <w:rFonts w:ascii="Arial" w:hAnsi="Arial" w:cs="Arial"/>
            <w:shd w:val="clear" w:color="auto" w:fill="FFFFFF"/>
          </w:rPr>
          <w:t>https://www.who.int/teams/global-tuberculosis-programme/tb-reports/global-tuberculosis-report-2022</w:t>
        </w:r>
      </w:hyperlink>
      <w:r w:rsidRPr="00907F94">
        <w:rPr>
          <w:rFonts w:ascii="Arial" w:hAnsi="Arial" w:cs="Arial"/>
          <w:color w:val="222222"/>
          <w:shd w:val="clear" w:color="auto" w:fill="FFFFFF"/>
        </w:rPr>
        <w:t>.</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4. World Health Organization. (2024). </w:t>
      </w:r>
      <w:r w:rsidRPr="00907F94">
        <w:rPr>
          <w:rFonts w:ascii="Arial" w:hAnsi="Arial" w:cs="Arial"/>
          <w:i/>
          <w:iCs/>
          <w:color w:val="222222"/>
          <w:shd w:val="clear" w:color="auto" w:fill="FFFFFF"/>
        </w:rPr>
        <w:t>Global tuberculosis report 2024</w:t>
      </w:r>
      <w:r w:rsidRPr="00907F94">
        <w:rPr>
          <w:rFonts w:ascii="Arial" w:hAnsi="Arial" w:cs="Arial"/>
          <w:color w:val="222222"/>
          <w:shd w:val="clear" w:color="auto" w:fill="FFFFFF"/>
        </w:rPr>
        <w:t>. World Health Organization.</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5. </w:t>
      </w:r>
      <w:proofErr w:type="spellStart"/>
      <w:r w:rsidRPr="00907F94">
        <w:rPr>
          <w:rFonts w:ascii="Arial" w:hAnsi="Arial" w:cs="Arial"/>
          <w:color w:val="222222"/>
          <w:shd w:val="clear" w:color="auto" w:fill="FFFFFF"/>
        </w:rPr>
        <w:t>Diriba</w:t>
      </w:r>
      <w:proofErr w:type="spellEnd"/>
      <w:r w:rsidRPr="00907F94">
        <w:rPr>
          <w:rFonts w:ascii="Arial" w:hAnsi="Arial" w:cs="Arial"/>
          <w:color w:val="222222"/>
          <w:shd w:val="clear" w:color="auto" w:fill="FFFFFF"/>
        </w:rPr>
        <w:t xml:space="preserve">, K., &amp; </w:t>
      </w:r>
      <w:proofErr w:type="spellStart"/>
      <w:r w:rsidRPr="00907F94">
        <w:rPr>
          <w:rFonts w:ascii="Arial" w:hAnsi="Arial" w:cs="Arial"/>
          <w:color w:val="222222"/>
          <w:shd w:val="clear" w:color="auto" w:fill="FFFFFF"/>
        </w:rPr>
        <w:t>Churiso</w:t>
      </w:r>
      <w:proofErr w:type="spellEnd"/>
      <w:r w:rsidRPr="00907F94">
        <w:rPr>
          <w:rFonts w:ascii="Arial" w:hAnsi="Arial" w:cs="Arial"/>
          <w:color w:val="222222"/>
          <w:shd w:val="clear" w:color="auto" w:fill="FFFFFF"/>
        </w:rPr>
        <w:t xml:space="preserve">, G. (2022). The prevalence of </w:t>
      </w:r>
      <w:r w:rsidRPr="00AC1B3F">
        <w:rPr>
          <w:rFonts w:ascii="Arial" w:hAnsi="Arial" w:cs="Arial"/>
          <w:i/>
          <w:color w:val="222222"/>
          <w:shd w:val="clear" w:color="auto" w:fill="FFFFFF"/>
        </w:rPr>
        <w:t>Mycobacterium tuberculosis</w:t>
      </w:r>
      <w:r w:rsidRPr="00907F94">
        <w:rPr>
          <w:rFonts w:ascii="Arial" w:hAnsi="Arial" w:cs="Arial"/>
          <w:color w:val="222222"/>
          <w:shd w:val="clear" w:color="auto" w:fill="FFFFFF"/>
        </w:rPr>
        <w:t xml:space="preserve"> using Gene </w:t>
      </w:r>
      <w:proofErr w:type="spellStart"/>
      <w:r w:rsidRPr="00907F94">
        <w:rPr>
          <w:rFonts w:ascii="Arial" w:hAnsi="Arial" w:cs="Arial"/>
          <w:color w:val="222222"/>
          <w:shd w:val="clear" w:color="auto" w:fill="FFFFFF"/>
        </w:rPr>
        <w:t>Xpert</w:t>
      </w:r>
      <w:proofErr w:type="spellEnd"/>
      <w:r w:rsidRPr="00907F94">
        <w:rPr>
          <w:rFonts w:ascii="Arial" w:hAnsi="Arial" w:cs="Arial"/>
          <w:color w:val="222222"/>
          <w:shd w:val="clear" w:color="auto" w:fill="FFFFFF"/>
        </w:rPr>
        <w:t xml:space="preserve"> among tuberculosis suspected patients in </w:t>
      </w:r>
      <w:proofErr w:type="spellStart"/>
      <w:r w:rsidRPr="00907F94">
        <w:rPr>
          <w:rFonts w:ascii="Arial" w:hAnsi="Arial" w:cs="Arial"/>
          <w:color w:val="222222"/>
          <w:shd w:val="clear" w:color="auto" w:fill="FFFFFF"/>
        </w:rPr>
        <w:t>Gedeo</w:t>
      </w:r>
      <w:proofErr w:type="spellEnd"/>
      <w:r w:rsidRPr="00907F94">
        <w:rPr>
          <w:rFonts w:ascii="Arial" w:hAnsi="Arial" w:cs="Arial"/>
          <w:color w:val="222222"/>
          <w:shd w:val="clear" w:color="auto" w:fill="FFFFFF"/>
        </w:rPr>
        <w:t xml:space="preserve"> Zone, Southern Ethiopia. </w:t>
      </w:r>
      <w:r w:rsidRPr="00907F94">
        <w:rPr>
          <w:rFonts w:ascii="Arial" w:hAnsi="Arial" w:cs="Arial"/>
          <w:i/>
          <w:iCs/>
          <w:color w:val="222222"/>
          <w:shd w:val="clear" w:color="auto" w:fill="FFFFFF"/>
        </w:rPr>
        <w:t>European Journal of Medical Research</w:t>
      </w:r>
      <w:r w:rsidRPr="00907F94">
        <w:rPr>
          <w:rFonts w:ascii="Arial" w:hAnsi="Arial" w:cs="Arial"/>
          <w:color w:val="222222"/>
          <w:shd w:val="clear" w:color="auto" w:fill="FFFFFF"/>
        </w:rPr>
        <w:t>, </w:t>
      </w:r>
      <w:r w:rsidRPr="00907F94">
        <w:rPr>
          <w:rFonts w:ascii="Arial" w:hAnsi="Arial" w:cs="Arial"/>
          <w:i/>
          <w:iCs/>
          <w:color w:val="222222"/>
          <w:shd w:val="clear" w:color="auto" w:fill="FFFFFF"/>
        </w:rPr>
        <w:t>27</w:t>
      </w:r>
      <w:r w:rsidRPr="00907F94">
        <w:rPr>
          <w:rFonts w:ascii="Arial" w:hAnsi="Arial" w:cs="Arial"/>
          <w:color w:val="222222"/>
          <w:shd w:val="clear" w:color="auto" w:fill="FFFFFF"/>
        </w:rPr>
        <w:t>(1), 24.</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lastRenderedPageBreak/>
        <w:t xml:space="preserve">6. </w:t>
      </w:r>
      <w:proofErr w:type="spellStart"/>
      <w:r w:rsidRPr="00907F94">
        <w:rPr>
          <w:rFonts w:ascii="Arial" w:hAnsi="Arial" w:cs="Arial"/>
          <w:color w:val="222222"/>
          <w:shd w:val="clear" w:color="auto" w:fill="FFFFFF"/>
        </w:rPr>
        <w:t>Hosle</w:t>
      </w:r>
      <w:proofErr w:type="spellEnd"/>
      <w:r w:rsidRPr="00907F94">
        <w:rPr>
          <w:rFonts w:ascii="Arial" w:hAnsi="Arial" w:cs="Arial"/>
          <w:color w:val="222222"/>
          <w:shd w:val="clear" w:color="auto" w:fill="FFFFFF"/>
        </w:rPr>
        <w:t xml:space="preserve">, T. F., </w:t>
      </w:r>
      <w:proofErr w:type="spellStart"/>
      <w:r w:rsidRPr="00907F94">
        <w:rPr>
          <w:rFonts w:ascii="Arial" w:hAnsi="Arial" w:cs="Arial"/>
          <w:color w:val="222222"/>
          <w:shd w:val="clear" w:color="auto" w:fill="FFFFFF"/>
        </w:rPr>
        <w:t>Dotimi</w:t>
      </w:r>
      <w:proofErr w:type="spellEnd"/>
      <w:r w:rsidRPr="00907F94">
        <w:rPr>
          <w:rFonts w:ascii="Arial" w:hAnsi="Arial" w:cs="Arial"/>
          <w:color w:val="222222"/>
          <w:shd w:val="clear" w:color="auto" w:fill="FFFFFF"/>
        </w:rPr>
        <w:t xml:space="preserve">, D. A., &amp; </w:t>
      </w:r>
      <w:proofErr w:type="spellStart"/>
      <w:r w:rsidRPr="00907F94">
        <w:rPr>
          <w:rFonts w:ascii="Arial" w:hAnsi="Arial" w:cs="Arial"/>
          <w:color w:val="222222"/>
          <w:shd w:val="clear" w:color="auto" w:fill="FFFFFF"/>
        </w:rPr>
        <w:t>Hosle</w:t>
      </w:r>
      <w:proofErr w:type="spellEnd"/>
      <w:r w:rsidRPr="00907F94">
        <w:rPr>
          <w:rFonts w:ascii="Arial" w:hAnsi="Arial" w:cs="Arial"/>
          <w:color w:val="222222"/>
          <w:shd w:val="clear" w:color="auto" w:fill="FFFFFF"/>
        </w:rPr>
        <w:t>, N. (2023). Prevalence of tuberculosis among presumptive tuberculosis patients offered HIV testing services in Federal Capital Territory, Abuja Nigeria.</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7. Prasad, R., Gupta, N., &amp; Banka, A. (2018). Multidrug-resistant tuberculosis/rifampicin-resistant tuberculosis: Principles of management. </w:t>
      </w:r>
      <w:r w:rsidRPr="00907F94">
        <w:rPr>
          <w:rFonts w:ascii="Arial" w:hAnsi="Arial" w:cs="Arial"/>
          <w:i/>
          <w:iCs/>
          <w:color w:val="222222"/>
          <w:shd w:val="clear" w:color="auto" w:fill="FFFFFF"/>
        </w:rPr>
        <w:t>Lung India</w:t>
      </w:r>
      <w:r w:rsidRPr="00907F94">
        <w:rPr>
          <w:rFonts w:ascii="Arial" w:hAnsi="Arial" w:cs="Arial"/>
          <w:color w:val="222222"/>
          <w:shd w:val="clear" w:color="auto" w:fill="FFFFFF"/>
        </w:rPr>
        <w:t>, </w:t>
      </w:r>
      <w:r w:rsidRPr="00907F94">
        <w:rPr>
          <w:rFonts w:ascii="Arial" w:hAnsi="Arial" w:cs="Arial"/>
          <w:i/>
          <w:iCs/>
          <w:color w:val="222222"/>
          <w:shd w:val="clear" w:color="auto" w:fill="FFFFFF"/>
        </w:rPr>
        <w:t>35</w:t>
      </w:r>
      <w:r w:rsidRPr="00907F94">
        <w:rPr>
          <w:rFonts w:ascii="Arial" w:hAnsi="Arial" w:cs="Arial"/>
          <w:color w:val="222222"/>
          <w:shd w:val="clear" w:color="auto" w:fill="FFFFFF"/>
        </w:rPr>
        <w:t>(1), 78-81.</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8. </w:t>
      </w:r>
      <w:proofErr w:type="spellStart"/>
      <w:r w:rsidRPr="00907F94">
        <w:rPr>
          <w:rFonts w:ascii="Arial" w:hAnsi="Arial" w:cs="Arial"/>
          <w:color w:val="222222"/>
          <w:shd w:val="clear" w:color="auto" w:fill="FFFFFF"/>
        </w:rPr>
        <w:t>Shibabaw</w:t>
      </w:r>
      <w:proofErr w:type="spellEnd"/>
      <w:r w:rsidRPr="00907F94">
        <w:rPr>
          <w:rFonts w:ascii="Arial" w:hAnsi="Arial" w:cs="Arial"/>
          <w:color w:val="222222"/>
          <w:shd w:val="clear" w:color="auto" w:fill="FFFFFF"/>
        </w:rPr>
        <w:t xml:space="preserve">, A., </w:t>
      </w:r>
      <w:proofErr w:type="spellStart"/>
      <w:r w:rsidRPr="00907F94">
        <w:rPr>
          <w:rFonts w:ascii="Arial" w:hAnsi="Arial" w:cs="Arial"/>
          <w:color w:val="222222"/>
          <w:shd w:val="clear" w:color="auto" w:fill="FFFFFF"/>
        </w:rPr>
        <w:t>Gelaw</w:t>
      </w:r>
      <w:proofErr w:type="spellEnd"/>
      <w:r w:rsidRPr="00907F94">
        <w:rPr>
          <w:rFonts w:ascii="Arial" w:hAnsi="Arial" w:cs="Arial"/>
          <w:color w:val="222222"/>
          <w:shd w:val="clear" w:color="auto" w:fill="FFFFFF"/>
        </w:rPr>
        <w:t xml:space="preserve">, B., </w:t>
      </w:r>
      <w:proofErr w:type="spellStart"/>
      <w:r w:rsidRPr="00907F94">
        <w:rPr>
          <w:rFonts w:ascii="Arial" w:hAnsi="Arial" w:cs="Arial"/>
          <w:color w:val="222222"/>
          <w:shd w:val="clear" w:color="auto" w:fill="FFFFFF"/>
        </w:rPr>
        <w:t>Gebreyes</w:t>
      </w:r>
      <w:proofErr w:type="spellEnd"/>
      <w:r w:rsidRPr="00907F94">
        <w:rPr>
          <w:rFonts w:ascii="Arial" w:hAnsi="Arial" w:cs="Arial"/>
          <w:color w:val="222222"/>
          <w:shd w:val="clear" w:color="auto" w:fill="FFFFFF"/>
        </w:rPr>
        <w:t xml:space="preserve">, W., Robinson, R., Wang, S. H., &amp; </w:t>
      </w:r>
      <w:proofErr w:type="spellStart"/>
      <w:r w:rsidRPr="00907F94">
        <w:rPr>
          <w:rFonts w:ascii="Arial" w:hAnsi="Arial" w:cs="Arial"/>
          <w:color w:val="222222"/>
          <w:shd w:val="clear" w:color="auto" w:fill="FFFFFF"/>
        </w:rPr>
        <w:t>Tessema</w:t>
      </w:r>
      <w:proofErr w:type="spellEnd"/>
      <w:r w:rsidRPr="00907F94">
        <w:rPr>
          <w:rFonts w:ascii="Arial" w:hAnsi="Arial" w:cs="Arial"/>
          <w:color w:val="222222"/>
          <w:shd w:val="clear" w:color="auto" w:fill="FFFFFF"/>
        </w:rPr>
        <w:t>, B. (2020). The burden of pre-extensively and extensively drug-resistant tuberculosis among MDR-TB patients in the Amhara region, Ethiopia. </w:t>
      </w:r>
      <w:proofErr w:type="spellStart"/>
      <w:r w:rsidRPr="00907F94">
        <w:rPr>
          <w:rFonts w:ascii="Arial" w:hAnsi="Arial" w:cs="Arial"/>
          <w:i/>
          <w:iCs/>
          <w:color w:val="222222"/>
          <w:shd w:val="clear" w:color="auto" w:fill="FFFFFF"/>
        </w:rPr>
        <w:t>PloS</w:t>
      </w:r>
      <w:proofErr w:type="spellEnd"/>
      <w:r w:rsidRPr="00907F94">
        <w:rPr>
          <w:rFonts w:ascii="Arial" w:hAnsi="Arial" w:cs="Arial"/>
          <w:i/>
          <w:iCs/>
          <w:color w:val="222222"/>
          <w:shd w:val="clear" w:color="auto" w:fill="FFFFFF"/>
        </w:rPr>
        <w:t xml:space="preserve"> one</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15</w:t>
      </w:r>
      <w:r w:rsidRPr="00907F94">
        <w:rPr>
          <w:rFonts w:ascii="Arial" w:hAnsi="Arial" w:cs="Arial"/>
          <w:color w:val="222222"/>
          <w:shd w:val="clear" w:color="auto" w:fill="FFFFFF"/>
        </w:rPr>
        <w:t>(2), e0229040.</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9. World Health Organization. (2014). </w:t>
      </w:r>
      <w:proofErr w:type="spellStart"/>
      <w:r w:rsidRPr="00907F94">
        <w:rPr>
          <w:rFonts w:ascii="Arial" w:hAnsi="Arial" w:cs="Arial"/>
          <w:color w:val="222222"/>
          <w:shd w:val="clear" w:color="auto" w:fill="FFFFFF"/>
        </w:rPr>
        <w:t>Xpert</w:t>
      </w:r>
      <w:proofErr w:type="spellEnd"/>
      <w:r w:rsidRPr="00907F94">
        <w:rPr>
          <w:rFonts w:ascii="Arial" w:hAnsi="Arial" w:cs="Arial"/>
          <w:color w:val="222222"/>
          <w:shd w:val="clear" w:color="auto" w:fill="FFFFFF"/>
        </w:rPr>
        <w:t xml:space="preserve"> MTB/RIF implementation manual: technical and operational ‘how-to’; practical considerations. In </w:t>
      </w:r>
      <w:proofErr w:type="spellStart"/>
      <w:r w:rsidRPr="00907F94">
        <w:rPr>
          <w:rFonts w:ascii="Arial" w:hAnsi="Arial" w:cs="Arial"/>
          <w:i/>
          <w:iCs/>
          <w:color w:val="222222"/>
          <w:shd w:val="clear" w:color="auto" w:fill="FFFFFF"/>
        </w:rPr>
        <w:t>Xpert</w:t>
      </w:r>
      <w:proofErr w:type="spellEnd"/>
      <w:r w:rsidRPr="00907F94">
        <w:rPr>
          <w:rFonts w:ascii="Arial" w:hAnsi="Arial" w:cs="Arial"/>
          <w:i/>
          <w:iCs/>
          <w:color w:val="222222"/>
          <w:shd w:val="clear" w:color="auto" w:fill="FFFFFF"/>
        </w:rPr>
        <w:t xml:space="preserve"> MTB/RIF implementation manual: technical and operational ‘how-to’; practical considerations</w:t>
      </w:r>
      <w:r w:rsidRPr="00907F94">
        <w:rPr>
          <w:rFonts w:ascii="Arial" w:hAnsi="Arial" w:cs="Arial"/>
          <w:color w:val="222222"/>
          <w:shd w:val="clear" w:color="auto" w:fill="FFFFFF"/>
        </w:rPr>
        <w:t>.</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10. NTBLCP Data Centre: Total TB cases notified. National Tuberculosis Leprosy and </w:t>
      </w:r>
      <w:proofErr w:type="spellStart"/>
      <w:r w:rsidRPr="00907F94">
        <w:rPr>
          <w:rFonts w:ascii="Arial" w:hAnsi="Arial" w:cs="Arial"/>
          <w:color w:val="222222"/>
          <w:shd w:val="clear" w:color="auto" w:fill="FFFFFF"/>
        </w:rPr>
        <w:t>Buruli</w:t>
      </w:r>
      <w:proofErr w:type="spellEnd"/>
      <w:r w:rsidRPr="00907F94">
        <w:rPr>
          <w:rFonts w:ascii="Arial" w:hAnsi="Arial" w:cs="Arial"/>
          <w:color w:val="222222"/>
          <w:shd w:val="clear" w:color="auto" w:fill="FFFFFF"/>
        </w:rPr>
        <w:t xml:space="preserve"> Ulcer Control Program. Accessed January 9, 2024. </w:t>
      </w:r>
      <w:hyperlink r:id="rId16" w:tgtFrame="_blank" w:history="1">
        <w:r w:rsidRPr="00907F94">
          <w:rPr>
            <w:rStyle w:val="Hyperlink"/>
            <w:rFonts w:ascii="Arial" w:hAnsi="Arial" w:cs="Arial"/>
            <w:shd w:val="clear" w:color="auto" w:fill="FFFFFF"/>
          </w:rPr>
          <w:t>https://ntblcp.org.ng/data-centre</w:t>
        </w:r>
      </w:hyperlink>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11. </w:t>
      </w:r>
      <w:proofErr w:type="spellStart"/>
      <w:r w:rsidRPr="00907F94">
        <w:rPr>
          <w:rFonts w:ascii="Arial" w:hAnsi="Arial" w:cs="Arial"/>
          <w:color w:val="222222"/>
          <w:shd w:val="clear" w:color="auto" w:fill="FFFFFF"/>
        </w:rPr>
        <w:t>Abayneh</w:t>
      </w:r>
      <w:proofErr w:type="spellEnd"/>
      <w:r w:rsidRPr="00907F94">
        <w:rPr>
          <w:rFonts w:ascii="Arial" w:hAnsi="Arial" w:cs="Arial"/>
          <w:color w:val="222222"/>
          <w:shd w:val="clear" w:color="auto" w:fill="FFFFFF"/>
        </w:rPr>
        <w:t xml:space="preserve">, M., &amp; Teressa, M. (2022). Detection of </w:t>
      </w:r>
      <w:r w:rsidRPr="00AC1B3F">
        <w:rPr>
          <w:rFonts w:ascii="Arial" w:hAnsi="Arial" w:cs="Arial"/>
          <w:i/>
          <w:color w:val="222222"/>
          <w:shd w:val="clear" w:color="auto" w:fill="FFFFFF"/>
        </w:rPr>
        <w:t>Mycobacterium tuberculosis</w:t>
      </w:r>
      <w:r w:rsidRPr="00907F94">
        <w:rPr>
          <w:rFonts w:ascii="Arial" w:hAnsi="Arial" w:cs="Arial"/>
          <w:color w:val="222222"/>
          <w:shd w:val="clear" w:color="auto" w:fill="FFFFFF"/>
        </w:rPr>
        <w:t xml:space="preserve"> using Gene </w:t>
      </w:r>
      <w:proofErr w:type="spellStart"/>
      <w:r w:rsidRPr="00907F94">
        <w:rPr>
          <w:rFonts w:ascii="Arial" w:hAnsi="Arial" w:cs="Arial"/>
          <w:color w:val="222222"/>
          <w:shd w:val="clear" w:color="auto" w:fill="FFFFFF"/>
        </w:rPr>
        <w:t>Xpert</w:t>
      </w:r>
      <w:proofErr w:type="spellEnd"/>
      <w:r w:rsidRPr="00907F94">
        <w:rPr>
          <w:rFonts w:ascii="Arial" w:hAnsi="Arial" w:cs="Arial"/>
          <w:color w:val="222222"/>
          <w:shd w:val="clear" w:color="auto" w:fill="FFFFFF"/>
        </w:rPr>
        <w:t xml:space="preserve">-MTB/RIF assay among tuberculosis suspected patients at </w:t>
      </w:r>
      <w:proofErr w:type="spellStart"/>
      <w:r w:rsidRPr="00907F94">
        <w:rPr>
          <w:rFonts w:ascii="Arial" w:hAnsi="Arial" w:cs="Arial"/>
          <w:color w:val="222222"/>
          <w:shd w:val="clear" w:color="auto" w:fill="FFFFFF"/>
        </w:rPr>
        <w:t>Mizan-Tepi</w:t>
      </w:r>
      <w:proofErr w:type="spellEnd"/>
      <w:r w:rsidRPr="00907F94">
        <w:rPr>
          <w:rFonts w:ascii="Arial" w:hAnsi="Arial" w:cs="Arial"/>
          <w:color w:val="222222"/>
          <w:shd w:val="clear" w:color="auto" w:fill="FFFFFF"/>
        </w:rPr>
        <w:t xml:space="preserve"> university teaching hospital, southwest Ethiopia: An institution based cross-sectional study. </w:t>
      </w:r>
      <w:proofErr w:type="spellStart"/>
      <w:r w:rsidRPr="00907F94">
        <w:rPr>
          <w:rFonts w:ascii="Arial" w:hAnsi="Arial" w:cs="Arial"/>
          <w:i/>
          <w:iCs/>
          <w:color w:val="222222"/>
          <w:shd w:val="clear" w:color="auto" w:fill="FFFFFF"/>
        </w:rPr>
        <w:t>Plos</w:t>
      </w:r>
      <w:proofErr w:type="spellEnd"/>
      <w:r w:rsidRPr="00907F94">
        <w:rPr>
          <w:rFonts w:ascii="Arial" w:hAnsi="Arial" w:cs="Arial"/>
          <w:i/>
          <w:iCs/>
          <w:color w:val="222222"/>
          <w:shd w:val="clear" w:color="auto" w:fill="FFFFFF"/>
        </w:rPr>
        <w:t xml:space="preserve"> one</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17</w:t>
      </w:r>
      <w:r w:rsidRPr="00907F94">
        <w:rPr>
          <w:rFonts w:ascii="Arial" w:hAnsi="Arial" w:cs="Arial"/>
          <w:color w:val="222222"/>
          <w:shd w:val="clear" w:color="auto" w:fill="FFFFFF"/>
        </w:rPr>
        <w:t>(11), e0277536.</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12. </w:t>
      </w:r>
      <w:proofErr w:type="spellStart"/>
      <w:r w:rsidRPr="00907F94">
        <w:rPr>
          <w:rFonts w:ascii="Arial" w:hAnsi="Arial" w:cs="Arial"/>
          <w:color w:val="222222"/>
          <w:shd w:val="clear" w:color="auto" w:fill="FFFFFF"/>
        </w:rPr>
        <w:t>Olabiyi</w:t>
      </w:r>
      <w:proofErr w:type="spellEnd"/>
      <w:r w:rsidRPr="00907F94">
        <w:rPr>
          <w:rFonts w:ascii="Arial" w:hAnsi="Arial" w:cs="Arial"/>
          <w:color w:val="222222"/>
          <w:shd w:val="clear" w:color="auto" w:fill="FFFFFF"/>
        </w:rPr>
        <w:t xml:space="preserve">, O. E., </w:t>
      </w:r>
      <w:proofErr w:type="spellStart"/>
      <w:r w:rsidRPr="00907F94">
        <w:rPr>
          <w:rFonts w:ascii="Arial" w:hAnsi="Arial" w:cs="Arial"/>
          <w:color w:val="222222"/>
          <w:shd w:val="clear" w:color="auto" w:fill="FFFFFF"/>
        </w:rPr>
        <w:t>Okiki</w:t>
      </w:r>
      <w:proofErr w:type="spellEnd"/>
      <w:r w:rsidRPr="00907F94">
        <w:rPr>
          <w:rFonts w:ascii="Arial" w:hAnsi="Arial" w:cs="Arial"/>
          <w:color w:val="222222"/>
          <w:shd w:val="clear" w:color="auto" w:fill="FFFFFF"/>
        </w:rPr>
        <w:t xml:space="preserve">, P. A., </w:t>
      </w:r>
      <w:proofErr w:type="spellStart"/>
      <w:r w:rsidRPr="00907F94">
        <w:rPr>
          <w:rFonts w:ascii="Arial" w:hAnsi="Arial" w:cs="Arial"/>
          <w:color w:val="222222"/>
          <w:shd w:val="clear" w:color="auto" w:fill="FFFFFF"/>
        </w:rPr>
        <w:t>Adarabioyo</w:t>
      </w:r>
      <w:proofErr w:type="spellEnd"/>
      <w:r w:rsidRPr="00907F94">
        <w:rPr>
          <w:rFonts w:ascii="Arial" w:hAnsi="Arial" w:cs="Arial"/>
          <w:color w:val="222222"/>
          <w:shd w:val="clear" w:color="auto" w:fill="FFFFFF"/>
        </w:rPr>
        <w:t xml:space="preserve">, M. I., Adebiyi, O. E., Adegoke, O. E., Esan, O. E., &amp; </w:t>
      </w:r>
      <w:proofErr w:type="spellStart"/>
      <w:r w:rsidRPr="00907F94">
        <w:rPr>
          <w:rFonts w:ascii="Arial" w:hAnsi="Arial" w:cs="Arial"/>
          <w:color w:val="222222"/>
          <w:shd w:val="clear" w:color="auto" w:fill="FFFFFF"/>
        </w:rPr>
        <w:t>Agunbiade</w:t>
      </w:r>
      <w:proofErr w:type="spellEnd"/>
      <w:r w:rsidRPr="00907F94">
        <w:rPr>
          <w:rFonts w:ascii="Arial" w:hAnsi="Arial" w:cs="Arial"/>
          <w:color w:val="222222"/>
          <w:shd w:val="clear" w:color="auto" w:fill="FFFFFF"/>
        </w:rPr>
        <w:t>, T. B. (2023). Distribution of multi-drug resistant tuberculosis in Ekiti and Ondo states, Nigeria. </w:t>
      </w:r>
      <w:r w:rsidRPr="00907F94">
        <w:rPr>
          <w:rFonts w:ascii="Arial" w:hAnsi="Arial" w:cs="Arial"/>
          <w:i/>
          <w:iCs/>
          <w:color w:val="222222"/>
          <w:shd w:val="clear" w:color="auto" w:fill="FFFFFF"/>
        </w:rPr>
        <w:t>New Microbes and New Infections</w:t>
      </w:r>
      <w:r w:rsidRPr="00907F94">
        <w:rPr>
          <w:rFonts w:ascii="Arial" w:hAnsi="Arial" w:cs="Arial"/>
          <w:color w:val="222222"/>
          <w:shd w:val="clear" w:color="auto" w:fill="FFFFFF"/>
        </w:rPr>
        <w:t>, </w:t>
      </w:r>
      <w:r w:rsidRPr="00907F94">
        <w:rPr>
          <w:rFonts w:ascii="Arial" w:hAnsi="Arial" w:cs="Arial"/>
          <w:i/>
          <w:iCs/>
          <w:color w:val="222222"/>
          <w:shd w:val="clear" w:color="auto" w:fill="FFFFFF"/>
        </w:rPr>
        <w:t>55</w:t>
      </w:r>
      <w:r w:rsidRPr="00907F94">
        <w:rPr>
          <w:rFonts w:ascii="Arial" w:hAnsi="Arial" w:cs="Arial"/>
          <w:color w:val="222222"/>
          <w:shd w:val="clear" w:color="auto" w:fill="FFFFFF"/>
        </w:rPr>
        <w:t>, 101192.</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13. </w:t>
      </w:r>
      <w:proofErr w:type="spellStart"/>
      <w:r w:rsidRPr="00907F94">
        <w:rPr>
          <w:rFonts w:ascii="Arial" w:hAnsi="Arial" w:cs="Arial"/>
          <w:color w:val="222222"/>
          <w:shd w:val="clear" w:color="auto" w:fill="FFFFFF"/>
        </w:rPr>
        <w:t>Kazemian</w:t>
      </w:r>
      <w:proofErr w:type="spellEnd"/>
      <w:r w:rsidRPr="00907F94">
        <w:rPr>
          <w:rFonts w:ascii="Arial" w:hAnsi="Arial" w:cs="Arial"/>
          <w:color w:val="222222"/>
          <w:shd w:val="clear" w:color="auto" w:fill="FFFFFF"/>
        </w:rPr>
        <w:t xml:space="preserve">, S. V., </w:t>
      </w:r>
      <w:proofErr w:type="spellStart"/>
      <w:r w:rsidRPr="00907F94">
        <w:rPr>
          <w:rFonts w:ascii="Arial" w:hAnsi="Arial" w:cs="Arial"/>
          <w:color w:val="222222"/>
          <w:shd w:val="clear" w:color="auto" w:fill="FFFFFF"/>
        </w:rPr>
        <w:t>Shakeri</w:t>
      </w:r>
      <w:proofErr w:type="spellEnd"/>
      <w:r w:rsidRPr="00907F94">
        <w:rPr>
          <w:rFonts w:ascii="Arial" w:hAnsi="Arial" w:cs="Arial"/>
          <w:color w:val="222222"/>
          <w:shd w:val="clear" w:color="auto" w:fill="FFFFFF"/>
        </w:rPr>
        <w:t xml:space="preserve">, M., </w:t>
      </w:r>
      <w:proofErr w:type="spellStart"/>
      <w:r w:rsidRPr="00907F94">
        <w:rPr>
          <w:rFonts w:ascii="Arial" w:hAnsi="Arial" w:cs="Arial"/>
          <w:color w:val="222222"/>
          <w:shd w:val="clear" w:color="auto" w:fill="FFFFFF"/>
        </w:rPr>
        <w:t>Nazar</w:t>
      </w:r>
      <w:proofErr w:type="spellEnd"/>
      <w:r w:rsidRPr="00907F94">
        <w:rPr>
          <w:rFonts w:ascii="Arial" w:hAnsi="Arial" w:cs="Arial"/>
          <w:color w:val="222222"/>
          <w:shd w:val="clear" w:color="auto" w:fill="FFFFFF"/>
        </w:rPr>
        <w:t xml:space="preserve">, E., </w:t>
      </w:r>
      <w:proofErr w:type="spellStart"/>
      <w:r w:rsidRPr="00907F94">
        <w:rPr>
          <w:rFonts w:ascii="Arial" w:hAnsi="Arial" w:cs="Arial"/>
          <w:color w:val="222222"/>
          <w:shd w:val="clear" w:color="auto" w:fill="FFFFFF"/>
        </w:rPr>
        <w:t>Nasehi</w:t>
      </w:r>
      <w:proofErr w:type="spellEnd"/>
      <w:r w:rsidRPr="00907F94">
        <w:rPr>
          <w:rFonts w:ascii="Arial" w:hAnsi="Arial" w:cs="Arial"/>
          <w:color w:val="222222"/>
          <w:shd w:val="clear" w:color="auto" w:fill="FFFFFF"/>
        </w:rPr>
        <w:t xml:space="preserve">, M., </w:t>
      </w:r>
      <w:proofErr w:type="spellStart"/>
      <w:r w:rsidRPr="00907F94">
        <w:rPr>
          <w:rFonts w:ascii="Arial" w:hAnsi="Arial" w:cs="Arial"/>
          <w:color w:val="222222"/>
          <w:shd w:val="clear" w:color="auto" w:fill="FFFFFF"/>
        </w:rPr>
        <w:t>Sharafi</w:t>
      </w:r>
      <w:proofErr w:type="spellEnd"/>
      <w:r w:rsidRPr="00907F94">
        <w:rPr>
          <w:rFonts w:ascii="Arial" w:hAnsi="Arial" w:cs="Arial"/>
          <w:color w:val="222222"/>
          <w:shd w:val="clear" w:color="auto" w:fill="FFFFFF"/>
        </w:rPr>
        <w:t xml:space="preserve">, S., &amp; </w:t>
      </w:r>
      <w:proofErr w:type="spellStart"/>
      <w:r w:rsidRPr="00907F94">
        <w:rPr>
          <w:rFonts w:ascii="Arial" w:hAnsi="Arial" w:cs="Arial"/>
          <w:color w:val="222222"/>
          <w:shd w:val="clear" w:color="auto" w:fill="FFFFFF"/>
        </w:rPr>
        <w:t>Dadgarmoghaddam</w:t>
      </w:r>
      <w:proofErr w:type="spellEnd"/>
      <w:r w:rsidRPr="00907F94">
        <w:rPr>
          <w:rFonts w:ascii="Arial" w:hAnsi="Arial" w:cs="Arial"/>
          <w:color w:val="222222"/>
          <w:shd w:val="clear" w:color="auto" w:fill="FFFFFF"/>
        </w:rPr>
        <w:t>, M. (2024). Prevalence, treatment outcomes and determinants of TB/HIV coinfection: A 4-year retrospective review of national tuberculosis registry in a country in a MENA region. </w:t>
      </w:r>
      <w:proofErr w:type="spellStart"/>
      <w:r w:rsidRPr="00907F94">
        <w:rPr>
          <w:rFonts w:ascii="Arial" w:hAnsi="Arial" w:cs="Arial"/>
          <w:i/>
          <w:iCs/>
          <w:color w:val="222222"/>
          <w:shd w:val="clear" w:color="auto" w:fill="FFFFFF"/>
        </w:rPr>
        <w:t>Heliyon</w:t>
      </w:r>
      <w:proofErr w:type="spellEnd"/>
      <w:r w:rsidRPr="00907F94">
        <w:rPr>
          <w:rFonts w:ascii="Arial" w:hAnsi="Arial" w:cs="Arial"/>
          <w:color w:val="222222"/>
          <w:shd w:val="clear" w:color="auto" w:fill="FFFFFF"/>
        </w:rPr>
        <w:t>, </w:t>
      </w:r>
      <w:r w:rsidRPr="00907F94">
        <w:rPr>
          <w:rFonts w:ascii="Arial" w:hAnsi="Arial" w:cs="Arial"/>
          <w:i/>
          <w:iCs/>
          <w:color w:val="222222"/>
          <w:shd w:val="clear" w:color="auto" w:fill="FFFFFF"/>
        </w:rPr>
        <w:t>10</w:t>
      </w:r>
      <w:r w:rsidRPr="00907F94">
        <w:rPr>
          <w:rFonts w:ascii="Arial" w:hAnsi="Arial" w:cs="Arial"/>
          <w:color w:val="222222"/>
          <w:shd w:val="clear" w:color="auto" w:fill="FFFFFF"/>
        </w:rPr>
        <w:t>(5).</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14. </w:t>
      </w:r>
      <w:proofErr w:type="spellStart"/>
      <w:r w:rsidRPr="00907F94">
        <w:rPr>
          <w:rFonts w:ascii="Arial" w:hAnsi="Arial" w:cs="Arial"/>
          <w:color w:val="222222"/>
          <w:shd w:val="clear" w:color="auto" w:fill="FFFFFF"/>
        </w:rPr>
        <w:t>Liyew</w:t>
      </w:r>
      <w:proofErr w:type="spellEnd"/>
      <w:r w:rsidRPr="00907F94">
        <w:rPr>
          <w:rFonts w:ascii="Arial" w:hAnsi="Arial" w:cs="Arial"/>
          <w:color w:val="222222"/>
          <w:shd w:val="clear" w:color="auto" w:fill="FFFFFF"/>
        </w:rPr>
        <w:t xml:space="preserve">, A. M., Clements, A. C., </w:t>
      </w:r>
      <w:proofErr w:type="spellStart"/>
      <w:r w:rsidRPr="00907F94">
        <w:rPr>
          <w:rFonts w:ascii="Arial" w:hAnsi="Arial" w:cs="Arial"/>
          <w:color w:val="222222"/>
          <w:shd w:val="clear" w:color="auto" w:fill="FFFFFF"/>
        </w:rPr>
        <w:t>Wagnew</w:t>
      </w:r>
      <w:proofErr w:type="spellEnd"/>
      <w:r w:rsidRPr="00907F94">
        <w:rPr>
          <w:rFonts w:ascii="Arial" w:hAnsi="Arial" w:cs="Arial"/>
          <w:color w:val="222222"/>
          <w:shd w:val="clear" w:color="auto" w:fill="FFFFFF"/>
        </w:rPr>
        <w:t>, F., Gilmour, B., &amp; Alene, K. A. (2025). Geospatial mapping of drug-resistant tuberculosis prevalence in Africa at national and sub-national levels. </w:t>
      </w:r>
      <w:r w:rsidRPr="00907F94">
        <w:rPr>
          <w:rFonts w:ascii="Arial" w:hAnsi="Arial" w:cs="Arial"/>
          <w:i/>
          <w:iCs/>
          <w:color w:val="222222"/>
          <w:shd w:val="clear" w:color="auto" w:fill="FFFFFF"/>
        </w:rPr>
        <w:t>International Journal of Infectious Diseases</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153</w:t>
      </w:r>
      <w:r w:rsidRPr="00907F94">
        <w:rPr>
          <w:rFonts w:ascii="Arial" w:hAnsi="Arial" w:cs="Arial"/>
          <w:color w:val="222222"/>
          <w:shd w:val="clear" w:color="auto" w:fill="FFFFFF"/>
        </w:rPr>
        <w:t>, 107777.</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15. </w:t>
      </w:r>
      <w:proofErr w:type="spellStart"/>
      <w:r w:rsidRPr="00907F94">
        <w:rPr>
          <w:rFonts w:ascii="Arial" w:hAnsi="Arial" w:cs="Arial"/>
          <w:color w:val="222222"/>
          <w:shd w:val="clear" w:color="auto" w:fill="FFFFFF"/>
        </w:rPr>
        <w:t>Ugwu</w:t>
      </w:r>
      <w:proofErr w:type="spellEnd"/>
      <w:r w:rsidRPr="00907F94">
        <w:rPr>
          <w:rFonts w:ascii="Arial" w:hAnsi="Arial" w:cs="Arial"/>
          <w:color w:val="222222"/>
          <w:shd w:val="clear" w:color="auto" w:fill="FFFFFF"/>
        </w:rPr>
        <w:t xml:space="preserve">, C., </w:t>
      </w:r>
      <w:proofErr w:type="spellStart"/>
      <w:r w:rsidRPr="00907F94">
        <w:rPr>
          <w:rFonts w:ascii="Arial" w:hAnsi="Arial" w:cs="Arial"/>
          <w:color w:val="222222"/>
          <w:shd w:val="clear" w:color="auto" w:fill="FFFFFF"/>
        </w:rPr>
        <w:t>Aneke</w:t>
      </w:r>
      <w:proofErr w:type="spellEnd"/>
      <w:r w:rsidRPr="00907F94">
        <w:rPr>
          <w:rFonts w:ascii="Arial" w:hAnsi="Arial" w:cs="Arial"/>
          <w:color w:val="222222"/>
          <w:shd w:val="clear" w:color="auto" w:fill="FFFFFF"/>
        </w:rPr>
        <w:t xml:space="preserve">, C., </w:t>
      </w:r>
      <w:proofErr w:type="spellStart"/>
      <w:r w:rsidRPr="00907F94">
        <w:rPr>
          <w:rFonts w:ascii="Arial" w:hAnsi="Arial" w:cs="Arial"/>
          <w:color w:val="222222"/>
          <w:shd w:val="clear" w:color="auto" w:fill="FFFFFF"/>
        </w:rPr>
        <w:t>Chijioke-Akaniro</w:t>
      </w:r>
      <w:proofErr w:type="spellEnd"/>
      <w:r w:rsidRPr="00907F94">
        <w:rPr>
          <w:rFonts w:ascii="Arial" w:hAnsi="Arial" w:cs="Arial"/>
          <w:color w:val="222222"/>
          <w:shd w:val="clear" w:color="auto" w:fill="FFFFFF"/>
        </w:rPr>
        <w:t xml:space="preserve">, O., </w:t>
      </w:r>
      <w:proofErr w:type="spellStart"/>
      <w:r w:rsidRPr="00907F94">
        <w:rPr>
          <w:rFonts w:ascii="Arial" w:hAnsi="Arial" w:cs="Arial"/>
          <w:color w:val="222222"/>
          <w:shd w:val="clear" w:color="auto" w:fill="FFFFFF"/>
        </w:rPr>
        <w:t>Kushim</w:t>
      </w:r>
      <w:proofErr w:type="spellEnd"/>
      <w:r w:rsidRPr="00907F94">
        <w:rPr>
          <w:rFonts w:ascii="Arial" w:hAnsi="Arial" w:cs="Arial"/>
          <w:color w:val="222222"/>
          <w:shd w:val="clear" w:color="auto" w:fill="FFFFFF"/>
        </w:rPr>
        <w:t>, J.</w:t>
      </w:r>
      <w:r>
        <w:rPr>
          <w:rFonts w:ascii="Arial" w:hAnsi="Arial" w:cs="Arial"/>
          <w:color w:val="222222"/>
          <w:shd w:val="clear" w:color="auto" w:fill="FFFFFF"/>
        </w:rPr>
        <w:t xml:space="preserve">, </w:t>
      </w:r>
      <w:proofErr w:type="spellStart"/>
      <w:r>
        <w:rPr>
          <w:rFonts w:ascii="Arial" w:hAnsi="Arial" w:cs="Arial"/>
          <w:color w:val="222222"/>
          <w:shd w:val="clear" w:color="auto" w:fill="FFFFFF"/>
        </w:rPr>
        <w:t>Adekeye</w:t>
      </w:r>
      <w:proofErr w:type="spellEnd"/>
      <w:r>
        <w:rPr>
          <w:rFonts w:ascii="Arial" w:hAnsi="Arial" w:cs="Arial"/>
          <w:color w:val="222222"/>
          <w:shd w:val="clear" w:color="auto" w:fill="FFFFFF"/>
        </w:rPr>
        <w:t>, O., Kolawole, G.,</w:t>
      </w:r>
      <w:r w:rsidRPr="00907F94">
        <w:rPr>
          <w:rFonts w:ascii="Arial" w:hAnsi="Arial" w:cs="Arial"/>
          <w:color w:val="222222"/>
          <w:shd w:val="clear" w:color="auto" w:fill="FFFFFF"/>
        </w:rPr>
        <w:t xml:space="preserve"> &amp; </w:t>
      </w:r>
      <w:proofErr w:type="spellStart"/>
      <w:r w:rsidRPr="00907F94">
        <w:rPr>
          <w:rFonts w:ascii="Arial" w:hAnsi="Arial" w:cs="Arial"/>
          <w:color w:val="222222"/>
          <w:shd w:val="clear" w:color="auto" w:fill="FFFFFF"/>
        </w:rPr>
        <w:t>Bimba</w:t>
      </w:r>
      <w:proofErr w:type="spellEnd"/>
      <w:r w:rsidRPr="00907F94">
        <w:rPr>
          <w:rFonts w:ascii="Arial" w:hAnsi="Arial" w:cs="Arial"/>
          <w:color w:val="222222"/>
          <w:shd w:val="clear" w:color="auto" w:fill="FFFFFF"/>
        </w:rPr>
        <w:t>, J. (2025). Gender disaggregation of the TB care cascade in Nigeria: a four-year retrospective study 2018–2021. </w:t>
      </w:r>
      <w:r w:rsidRPr="00907F94">
        <w:rPr>
          <w:rFonts w:ascii="Arial" w:hAnsi="Arial" w:cs="Arial"/>
          <w:i/>
          <w:iCs/>
          <w:color w:val="222222"/>
          <w:shd w:val="clear" w:color="auto" w:fill="FFFFFF"/>
        </w:rPr>
        <w:t>Public Health Action</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15</w:t>
      </w:r>
      <w:r w:rsidRPr="00907F94">
        <w:rPr>
          <w:rFonts w:ascii="Arial" w:hAnsi="Arial" w:cs="Arial"/>
          <w:color w:val="222222"/>
          <w:shd w:val="clear" w:color="auto" w:fill="FFFFFF"/>
        </w:rPr>
        <w:t>(2), 1.</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16. </w:t>
      </w:r>
      <w:proofErr w:type="spellStart"/>
      <w:r w:rsidRPr="00907F94">
        <w:rPr>
          <w:rFonts w:ascii="Arial" w:hAnsi="Arial" w:cs="Arial"/>
          <w:color w:val="222222"/>
          <w:shd w:val="clear" w:color="auto" w:fill="FFFFFF"/>
        </w:rPr>
        <w:t>Oladimeji</w:t>
      </w:r>
      <w:proofErr w:type="spellEnd"/>
      <w:r w:rsidRPr="00907F94">
        <w:rPr>
          <w:rFonts w:ascii="Arial" w:hAnsi="Arial" w:cs="Arial"/>
          <w:color w:val="222222"/>
          <w:shd w:val="clear" w:color="auto" w:fill="FFFFFF"/>
        </w:rPr>
        <w:t xml:space="preserve">, O., Othman, Y., </w:t>
      </w:r>
      <w:proofErr w:type="spellStart"/>
      <w:r w:rsidRPr="00907F94">
        <w:rPr>
          <w:rFonts w:ascii="Arial" w:hAnsi="Arial" w:cs="Arial"/>
          <w:color w:val="222222"/>
          <w:shd w:val="clear" w:color="auto" w:fill="FFFFFF"/>
        </w:rPr>
        <w:t>Oladimeji</w:t>
      </w:r>
      <w:proofErr w:type="spellEnd"/>
      <w:r w:rsidRPr="00907F94">
        <w:rPr>
          <w:rFonts w:ascii="Arial" w:hAnsi="Arial" w:cs="Arial"/>
          <w:color w:val="222222"/>
          <w:shd w:val="clear" w:color="auto" w:fill="FFFFFF"/>
        </w:rPr>
        <w:t xml:space="preserve">, K. E., </w:t>
      </w:r>
      <w:proofErr w:type="spellStart"/>
      <w:r w:rsidRPr="00907F94">
        <w:rPr>
          <w:rFonts w:ascii="Arial" w:hAnsi="Arial" w:cs="Arial"/>
          <w:color w:val="222222"/>
          <w:shd w:val="clear" w:color="auto" w:fill="FFFFFF"/>
        </w:rPr>
        <w:t>Atiba</w:t>
      </w:r>
      <w:proofErr w:type="spellEnd"/>
      <w:r w:rsidRPr="00907F94">
        <w:rPr>
          <w:rFonts w:ascii="Arial" w:hAnsi="Arial" w:cs="Arial"/>
          <w:color w:val="222222"/>
          <w:shd w:val="clear" w:color="auto" w:fill="FFFFFF"/>
        </w:rPr>
        <w:t xml:space="preserve">, B. P., </w:t>
      </w:r>
      <w:proofErr w:type="spellStart"/>
      <w:r w:rsidRPr="00907F94">
        <w:rPr>
          <w:rFonts w:ascii="Arial" w:hAnsi="Arial" w:cs="Arial"/>
          <w:color w:val="222222"/>
          <w:shd w:val="clear" w:color="auto" w:fill="FFFFFF"/>
        </w:rPr>
        <w:t>Adepoju</w:t>
      </w:r>
      <w:proofErr w:type="spellEnd"/>
      <w:r w:rsidRPr="00907F94">
        <w:rPr>
          <w:rFonts w:ascii="Arial" w:hAnsi="Arial" w:cs="Arial"/>
          <w:color w:val="222222"/>
          <w:shd w:val="clear" w:color="auto" w:fill="FFFFFF"/>
        </w:rPr>
        <w:t xml:space="preserve">, V. A., &amp; </w:t>
      </w:r>
      <w:proofErr w:type="spellStart"/>
      <w:r w:rsidRPr="00907F94">
        <w:rPr>
          <w:rFonts w:ascii="Arial" w:hAnsi="Arial" w:cs="Arial"/>
          <w:color w:val="222222"/>
          <w:shd w:val="clear" w:color="auto" w:fill="FFFFFF"/>
        </w:rPr>
        <w:t>Odugbemi</w:t>
      </w:r>
      <w:proofErr w:type="spellEnd"/>
      <w:r w:rsidRPr="00907F94">
        <w:rPr>
          <w:rFonts w:ascii="Arial" w:hAnsi="Arial" w:cs="Arial"/>
          <w:color w:val="222222"/>
          <w:shd w:val="clear" w:color="auto" w:fill="FFFFFF"/>
        </w:rPr>
        <w:t>, B. A. (2022). Patterns of presentation of drug-resistant tuberculosis in Nigeria: a retrospective file review. </w:t>
      </w:r>
      <w:r w:rsidRPr="00907F94">
        <w:rPr>
          <w:rFonts w:ascii="Arial" w:hAnsi="Arial" w:cs="Arial"/>
          <w:i/>
          <w:iCs/>
          <w:color w:val="222222"/>
          <w:shd w:val="clear" w:color="auto" w:fill="FFFFFF"/>
        </w:rPr>
        <w:t>Microbiology Research</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13</w:t>
      </w:r>
      <w:r w:rsidRPr="00907F94">
        <w:rPr>
          <w:rFonts w:ascii="Arial" w:hAnsi="Arial" w:cs="Arial"/>
          <w:color w:val="222222"/>
          <w:shd w:val="clear" w:color="auto" w:fill="FFFFFF"/>
        </w:rPr>
        <w:t>(3), 609-619.</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17. </w:t>
      </w:r>
      <w:proofErr w:type="spellStart"/>
      <w:r w:rsidRPr="00907F94">
        <w:rPr>
          <w:rFonts w:ascii="Arial" w:hAnsi="Arial" w:cs="Arial"/>
          <w:color w:val="222222"/>
          <w:shd w:val="clear" w:color="auto" w:fill="FFFFFF"/>
        </w:rPr>
        <w:t>Ikpe</w:t>
      </w:r>
      <w:proofErr w:type="spellEnd"/>
      <w:r w:rsidRPr="00907F94">
        <w:rPr>
          <w:rFonts w:ascii="Arial" w:hAnsi="Arial" w:cs="Arial"/>
          <w:color w:val="222222"/>
          <w:shd w:val="clear" w:color="auto" w:fill="FFFFFF"/>
        </w:rPr>
        <w:t xml:space="preserve">, G., </w:t>
      </w:r>
      <w:proofErr w:type="spellStart"/>
      <w:r w:rsidRPr="00907F94">
        <w:rPr>
          <w:rFonts w:ascii="Arial" w:hAnsi="Arial" w:cs="Arial"/>
          <w:color w:val="222222"/>
          <w:shd w:val="clear" w:color="auto" w:fill="FFFFFF"/>
        </w:rPr>
        <w:t>Dimang</w:t>
      </w:r>
      <w:proofErr w:type="spellEnd"/>
      <w:r w:rsidRPr="00907F94">
        <w:rPr>
          <w:rFonts w:ascii="Arial" w:hAnsi="Arial" w:cs="Arial"/>
          <w:color w:val="222222"/>
          <w:shd w:val="clear" w:color="auto" w:fill="FFFFFF"/>
        </w:rPr>
        <w:t xml:space="preserve">, S., </w:t>
      </w:r>
      <w:proofErr w:type="spellStart"/>
      <w:r w:rsidRPr="00907F94">
        <w:rPr>
          <w:rFonts w:ascii="Arial" w:hAnsi="Arial" w:cs="Arial"/>
          <w:color w:val="222222"/>
          <w:shd w:val="clear" w:color="auto" w:fill="FFFFFF"/>
        </w:rPr>
        <w:t>Aduh</w:t>
      </w:r>
      <w:proofErr w:type="spellEnd"/>
      <w:r w:rsidRPr="00907F94">
        <w:rPr>
          <w:rFonts w:ascii="Arial" w:hAnsi="Arial" w:cs="Arial"/>
          <w:color w:val="222222"/>
          <w:shd w:val="clear" w:color="auto" w:fill="FFFFFF"/>
        </w:rPr>
        <w:t xml:space="preserve">, U., </w:t>
      </w:r>
      <w:proofErr w:type="spellStart"/>
      <w:r w:rsidRPr="00907F94">
        <w:rPr>
          <w:rFonts w:ascii="Arial" w:hAnsi="Arial" w:cs="Arial"/>
          <w:color w:val="222222"/>
          <w:shd w:val="clear" w:color="auto" w:fill="FFFFFF"/>
        </w:rPr>
        <w:t>Omoniyi</w:t>
      </w:r>
      <w:proofErr w:type="spellEnd"/>
      <w:r w:rsidRPr="00907F94">
        <w:rPr>
          <w:rFonts w:ascii="Arial" w:hAnsi="Arial" w:cs="Arial"/>
          <w:color w:val="222222"/>
          <w:shd w:val="clear" w:color="auto" w:fill="FFFFFF"/>
        </w:rPr>
        <w:t xml:space="preserve">, P. I., </w:t>
      </w:r>
      <w:proofErr w:type="spellStart"/>
      <w:r w:rsidRPr="00907F94">
        <w:rPr>
          <w:rFonts w:ascii="Arial" w:hAnsi="Arial" w:cs="Arial"/>
          <w:color w:val="222222"/>
          <w:shd w:val="clear" w:color="auto" w:fill="FFFFFF"/>
        </w:rPr>
        <w:t>Chukwulobelu</w:t>
      </w:r>
      <w:proofErr w:type="spellEnd"/>
      <w:r w:rsidRPr="00907F94">
        <w:rPr>
          <w:rFonts w:ascii="Arial" w:hAnsi="Arial" w:cs="Arial"/>
          <w:color w:val="222222"/>
          <w:shd w:val="clear" w:color="auto" w:fill="FFFFFF"/>
        </w:rPr>
        <w:t>,</w:t>
      </w:r>
      <w:r>
        <w:rPr>
          <w:rFonts w:ascii="Arial" w:hAnsi="Arial" w:cs="Arial"/>
          <w:color w:val="222222"/>
          <w:shd w:val="clear" w:color="auto" w:fill="FFFFFF"/>
        </w:rPr>
        <w:t xml:space="preserve"> U., Okafor, C.,</w:t>
      </w:r>
      <w:r w:rsidRPr="00907F94">
        <w:rPr>
          <w:rFonts w:ascii="Arial" w:hAnsi="Arial" w:cs="Arial"/>
          <w:color w:val="222222"/>
          <w:shd w:val="clear" w:color="auto" w:fill="FFFFFF"/>
        </w:rPr>
        <w:t xml:space="preserve"> &amp; </w:t>
      </w:r>
      <w:proofErr w:type="spellStart"/>
      <w:r w:rsidRPr="00907F94">
        <w:rPr>
          <w:rFonts w:ascii="Arial" w:hAnsi="Arial" w:cs="Arial"/>
          <w:color w:val="222222"/>
          <w:shd w:val="clear" w:color="auto" w:fill="FFFFFF"/>
        </w:rPr>
        <w:t>Nwokocha</w:t>
      </w:r>
      <w:proofErr w:type="spellEnd"/>
      <w:r w:rsidRPr="00907F94">
        <w:rPr>
          <w:rFonts w:ascii="Arial" w:hAnsi="Arial" w:cs="Arial"/>
          <w:color w:val="222222"/>
          <w:shd w:val="clear" w:color="auto" w:fill="FFFFFF"/>
        </w:rPr>
        <w:t xml:space="preserve">, G. (2025). Treatment outcomes among patients with drug-resistant tuberculosis managed with </w:t>
      </w:r>
      <w:proofErr w:type="spellStart"/>
      <w:r w:rsidRPr="00907F94">
        <w:rPr>
          <w:rFonts w:ascii="Arial" w:hAnsi="Arial" w:cs="Arial"/>
          <w:color w:val="222222"/>
          <w:shd w:val="clear" w:color="auto" w:fill="FFFFFF"/>
        </w:rPr>
        <w:t>BPaL</w:t>
      </w:r>
      <w:proofErr w:type="spellEnd"/>
      <w:r w:rsidRPr="00907F94">
        <w:rPr>
          <w:rFonts w:ascii="Arial" w:hAnsi="Arial" w:cs="Arial"/>
          <w:color w:val="222222"/>
          <w:shd w:val="clear" w:color="auto" w:fill="FFFFFF"/>
        </w:rPr>
        <w:t>/</w:t>
      </w:r>
      <w:proofErr w:type="spellStart"/>
      <w:r w:rsidRPr="00907F94">
        <w:rPr>
          <w:rFonts w:ascii="Arial" w:hAnsi="Arial" w:cs="Arial"/>
          <w:color w:val="222222"/>
          <w:shd w:val="clear" w:color="auto" w:fill="FFFFFF"/>
        </w:rPr>
        <w:t>BPaLM</w:t>
      </w:r>
      <w:proofErr w:type="spellEnd"/>
      <w:r w:rsidRPr="00907F94">
        <w:rPr>
          <w:rFonts w:ascii="Arial" w:hAnsi="Arial" w:cs="Arial"/>
          <w:color w:val="222222"/>
          <w:shd w:val="clear" w:color="auto" w:fill="FFFFFF"/>
        </w:rPr>
        <w:t xml:space="preserve"> regimen in the Southeast Zone of Nigeria. </w:t>
      </w:r>
      <w:r w:rsidRPr="00907F94">
        <w:rPr>
          <w:rFonts w:ascii="Arial" w:hAnsi="Arial" w:cs="Arial"/>
          <w:i/>
          <w:iCs/>
          <w:color w:val="222222"/>
          <w:shd w:val="clear" w:color="auto" w:fill="FFFFFF"/>
        </w:rPr>
        <w:t>The Pan African Medical Journal</w:t>
      </w:r>
      <w:r w:rsidRPr="00907F94">
        <w:rPr>
          <w:rFonts w:ascii="Arial" w:hAnsi="Arial" w:cs="Arial"/>
          <w:color w:val="222222"/>
          <w:shd w:val="clear" w:color="auto" w:fill="FFFFFF"/>
        </w:rPr>
        <w:t>, </w:t>
      </w:r>
      <w:r w:rsidRPr="00907F94">
        <w:rPr>
          <w:rFonts w:ascii="Arial" w:hAnsi="Arial" w:cs="Arial"/>
          <w:i/>
          <w:iCs/>
          <w:color w:val="222222"/>
          <w:shd w:val="clear" w:color="auto" w:fill="FFFFFF"/>
        </w:rPr>
        <w:t>51</w:t>
      </w:r>
      <w:r w:rsidRPr="00907F94">
        <w:rPr>
          <w:rFonts w:ascii="Arial" w:hAnsi="Arial" w:cs="Arial"/>
          <w:color w:val="222222"/>
          <w:shd w:val="clear" w:color="auto" w:fill="FFFFFF"/>
        </w:rPr>
        <w:t>(86).</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18. Osei-</w:t>
      </w:r>
      <w:proofErr w:type="spellStart"/>
      <w:r w:rsidRPr="00907F94">
        <w:rPr>
          <w:rFonts w:ascii="Arial" w:hAnsi="Arial" w:cs="Arial"/>
          <w:color w:val="222222"/>
          <w:shd w:val="clear" w:color="auto" w:fill="FFFFFF"/>
        </w:rPr>
        <w:t>Wusu</w:t>
      </w:r>
      <w:proofErr w:type="spellEnd"/>
      <w:r w:rsidRPr="00907F94">
        <w:rPr>
          <w:rFonts w:ascii="Arial" w:hAnsi="Arial" w:cs="Arial"/>
          <w:color w:val="222222"/>
          <w:shd w:val="clear" w:color="auto" w:fill="FFFFFF"/>
        </w:rPr>
        <w:t xml:space="preserve">, S., </w:t>
      </w:r>
      <w:proofErr w:type="spellStart"/>
      <w:r w:rsidRPr="00907F94">
        <w:rPr>
          <w:rFonts w:ascii="Arial" w:hAnsi="Arial" w:cs="Arial"/>
          <w:color w:val="222222"/>
          <w:shd w:val="clear" w:color="auto" w:fill="FFFFFF"/>
        </w:rPr>
        <w:t>Asare</w:t>
      </w:r>
      <w:proofErr w:type="spellEnd"/>
      <w:r w:rsidRPr="00907F94">
        <w:rPr>
          <w:rFonts w:ascii="Arial" w:hAnsi="Arial" w:cs="Arial"/>
          <w:color w:val="222222"/>
          <w:shd w:val="clear" w:color="auto" w:fill="FFFFFF"/>
        </w:rPr>
        <w:t xml:space="preserve">, P., </w:t>
      </w:r>
      <w:proofErr w:type="spellStart"/>
      <w:r w:rsidRPr="00907F94">
        <w:rPr>
          <w:rFonts w:ascii="Arial" w:hAnsi="Arial" w:cs="Arial"/>
          <w:color w:val="222222"/>
          <w:shd w:val="clear" w:color="auto" w:fill="FFFFFF"/>
        </w:rPr>
        <w:t>Danso</w:t>
      </w:r>
      <w:proofErr w:type="spellEnd"/>
      <w:r w:rsidRPr="00907F94">
        <w:rPr>
          <w:rFonts w:ascii="Arial" w:hAnsi="Arial" w:cs="Arial"/>
          <w:color w:val="222222"/>
          <w:shd w:val="clear" w:color="auto" w:fill="FFFFFF"/>
        </w:rPr>
        <w:t xml:space="preserve">, E. K., </w:t>
      </w:r>
      <w:proofErr w:type="spellStart"/>
      <w:r w:rsidRPr="00907F94">
        <w:rPr>
          <w:rFonts w:ascii="Arial" w:hAnsi="Arial" w:cs="Arial"/>
          <w:color w:val="222222"/>
          <w:shd w:val="clear" w:color="auto" w:fill="FFFFFF"/>
        </w:rPr>
        <w:t>Asogun</w:t>
      </w:r>
      <w:proofErr w:type="spellEnd"/>
      <w:r w:rsidRPr="00907F94">
        <w:rPr>
          <w:rFonts w:ascii="Arial" w:hAnsi="Arial" w:cs="Arial"/>
          <w:color w:val="222222"/>
          <w:shd w:val="clear" w:color="auto" w:fill="FFFFFF"/>
        </w:rPr>
        <w:t xml:space="preserve">, D., </w:t>
      </w:r>
      <w:proofErr w:type="spellStart"/>
      <w:r w:rsidRPr="00907F94">
        <w:rPr>
          <w:rFonts w:ascii="Arial" w:hAnsi="Arial" w:cs="Arial"/>
          <w:color w:val="222222"/>
          <w:shd w:val="clear" w:color="auto" w:fill="FFFFFF"/>
        </w:rPr>
        <w:t>Otchere</w:t>
      </w:r>
      <w:proofErr w:type="spellEnd"/>
      <w:r w:rsidRPr="00907F94">
        <w:rPr>
          <w:rFonts w:ascii="Arial" w:hAnsi="Arial" w:cs="Arial"/>
          <w:color w:val="222222"/>
          <w:shd w:val="clear" w:color="auto" w:fill="FFFFFF"/>
        </w:rPr>
        <w:t>, I. D., Asante-</w:t>
      </w:r>
      <w:proofErr w:type="spellStart"/>
      <w:r w:rsidRPr="00907F94">
        <w:rPr>
          <w:rFonts w:ascii="Arial" w:hAnsi="Arial" w:cs="Arial"/>
          <w:color w:val="222222"/>
          <w:shd w:val="clear" w:color="auto" w:fill="FFFFFF"/>
        </w:rPr>
        <w:t>Poku</w:t>
      </w:r>
      <w:proofErr w:type="spellEnd"/>
      <w:r w:rsidRPr="00907F94">
        <w:rPr>
          <w:rFonts w:ascii="Arial" w:hAnsi="Arial" w:cs="Arial"/>
          <w:color w:val="222222"/>
          <w:shd w:val="clear" w:color="auto" w:fill="FFFFFF"/>
        </w:rPr>
        <w:t>, A., &amp; Yeboah-Manu, D. (2025). Addressing key risk factors hindering tuberculosis control activities in West Africa-progress in meeting the UN sustainable development goals. </w:t>
      </w:r>
      <w:r w:rsidRPr="00907F94">
        <w:rPr>
          <w:rFonts w:ascii="Arial" w:hAnsi="Arial" w:cs="Arial"/>
          <w:i/>
          <w:iCs/>
          <w:color w:val="222222"/>
          <w:shd w:val="clear" w:color="auto" w:fill="FFFFFF"/>
        </w:rPr>
        <w:t>IJID regions</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14</w:t>
      </w:r>
      <w:r w:rsidRPr="00907F94">
        <w:rPr>
          <w:rFonts w:ascii="Arial" w:hAnsi="Arial" w:cs="Arial"/>
          <w:color w:val="222222"/>
          <w:shd w:val="clear" w:color="auto" w:fill="FFFFFF"/>
        </w:rPr>
        <w:t>, 100594.</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19. </w:t>
      </w:r>
      <w:proofErr w:type="spellStart"/>
      <w:r w:rsidRPr="00907F94">
        <w:rPr>
          <w:rFonts w:ascii="Arial" w:hAnsi="Arial" w:cs="Arial"/>
          <w:color w:val="222222"/>
          <w:shd w:val="clear" w:color="auto" w:fill="FFFFFF"/>
        </w:rPr>
        <w:t>Babajide</w:t>
      </w:r>
      <w:proofErr w:type="spellEnd"/>
      <w:r w:rsidRPr="00907F94">
        <w:rPr>
          <w:rFonts w:ascii="Arial" w:hAnsi="Arial" w:cs="Arial"/>
          <w:color w:val="222222"/>
          <w:shd w:val="clear" w:color="auto" w:fill="FFFFFF"/>
        </w:rPr>
        <w:t xml:space="preserve">, T. I., Nwadike, V. U., </w:t>
      </w:r>
      <w:proofErr w:type="spellStart"/>
      <w:r w:rsidRPr="00907F94">
        <w:rPr>
          <w:rFonts w:ascii="Arial" w:hAnsi="Arial" w:cs="Arial"/>
          <w:color w:val="222222"/>
          <w:shd w:val="clear" w:color="auto" w:fill="FFFFFF"/>
        </w:rPr>
        <w:t>Ojo</w:t>
      </w:r>
      <w:proofErr w:type="spellEnd"/>
      <w:r w:rsidRPr="00907F94">
        <w:rPr>
          <w:rFonts w:ascii="Arial" w:hAnsi="Arial" w:cs="Arial"/>
          <w:color w:val="222222"/>
          <w:shd w:val="clear" w:color="auto" w:fill="FFFFFF"/>
        </w:rPr>
        <w:t xml:space="preserve">, D. A., </w:t>
      </w:r>
      <w:proofErr w:type="spellStart"/>
      <w:r w:rsidRPr="00907F94">
        <w:rPr>
          <w:rFonts w:ascii="Arial" w:hAnsi="Arial" w:cs="Arial"/>
          <w:color w:val="222222"/>
          <w:shd w:val="clear" w:color="auto" w:fill="FFFFFF"/>
        </w:rPr>
        <w:t>Onasanya</w:t>
      </w:r>
      <w:proofErr w:type="spellEnd"/>
      <w:r w:rsidRPr="00907F94">
        <w:rPr>
          <w:rFonts w:ascii="Arial" w:hAnsi="Arial" w:cs="Arial"/>
          <w:color w:val="222222"/>
          <w:shd w:val="clear" w:color="auto" w:fill="FFFFFF"/>
        </w:rPr>
        <w:t xml:space="preserve">, O. A., </w:t>
      </w:r>
      <w:proofErr w:type="spellStart"/>
      <w:r w:rsidRPr="00907F94">
        <w:rPr>
          <w:rFonts w:ascii="Arial" w:hAnsi="Arial" w:cs="Arial"/>
          <w:color w:val="222222"/>
          <w:shd w:val="clear" w:color="auto" w:fill="FFFFFF"/>
        </w:rPr>
        <w:t>Ojide</w:t>
      </w:r>
      <w:proofErr w:type="spellEnd"/>
      <w:r w:rsidRPr="00907F94">
        <w:rPr>
          <w:rFonts w:ascii="Arial" w:hAnsi="Arial" w:cs="Arial"/>
          <w:color w:val="222222"/>
          <w:shd w:val="clear" w:color="auto" w:fill="FFFFFF"/>
        </w:rPr>
        <w:t>, K. C., &amp; Kula, I. E. (2014). Prevalence of Tuberculosis among patients attending two Secondary Hospitals in Abeokuta Ogun State. </w:t>
      </w:r>
      <w:r w:rsidRPr="00907F94">
        <w:rPr>
          <w:rFonts w:ascii="Arial" w:hAnsi="Arial" w:cs="Arial"/>
          <w:i/>
          <w:iCs/>
          <w:color w:val="222222"/>
          <w:shd w:val="clear" w:color="auto" w:fill="FFFFFF"/>
        </w:rPr>
        <w:t>African Journal of Clinical and Experimental Microbiology</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15</w:t>
      </w:r>
      <w:r w:rsidRPr="00907F94">
        <w:rPr>
          <w:rFonts w:ascii="Arial" w:hAnsi="Arial" w:cs="Arial"/>
          <w:color w:val="222222"/>
          <w:shd w:val="clear" w:color="auto" w:fill="FFFFFF"/>
        </w:rPr>
        <w:t>(3), 144-150.</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20. </w:t>
      </w:r>
      <w:proofErr w:type="spellStart"/>
      <w:r w:rsidRPr="00907F94">
        <w:rPr>
          <w:rFonts w:ascii="Arial" w:hAnsi="Arial" w:cs="Arial"/>
          <w:color w:val="222222"/>
          <w:shd w:val="clear" w:color="auto" w:fill="FFFFFF"/>
        </w:rPr>
        <w:t>Bagcchi</w:t>
      </w:r>
      <w:proofErr w:type="spellEnd"/>
      <w:r w:rsidRPr="00907F94">
        <w:rPr>
          <w:rFonts w:ascii="Arial" w:hAnsi="Arial" w:cs="Arial"/>
          <w:color w:val="222222"/>
          <w:shd w:val="clear" w:color="auto" w:fill="FFFFFF"/>
        </w:rPr>
        <w:t>, S. (2023). WHO's global tuberculosis report (2022). </w:t>
      </w:r>
      <w:r w:rsidRPr="00907F94">
        <w:rPr>
          <w:rFonts w:ascii="Arial" w:hAnsi="Arial" w:cs="Arial"/>
          <w:i/>
          <w:iCs/>
          <w:color w:val="222222"/>
          <w:shd w:val="clear" w:color="auto" w:fill="FFFFFF"/>
        </w:rPr>
        <w:t>The Lancet Microbe</w:t>
      </w:r>
      <w:r w:rsidRPr="00907F94">
        <w:rPr>
          <w:rFonts w:ascii="Arial" w:hAnsi="Arial" w:cs="Arial"/>
          <w:color w:val="222222"/>
          <w:shd w:val="clear" w:color="auto" w:fill="FFFFFF"/>
        </w:rPr>
        <w:t>, </w:t>
      </w:r>
      <w:r w:rsidRPr="00907F94">
        <w:rPr>
          <w:rFonts w:ascii="Arial" w:hAnsi="Arial" w:cs="Arial"/>
          <w:i/>
          <w:iCs/>
          <w:color w:val="222222"/>
          <w:shd w:val="clear" w:color="auto" w:fill="FFFFFF"/>
        </w:rPr>
        <w:t>4</w:t>
      </w:r>
      <w:r w:rsidRPr="00907F94">
        <w:rPr>
          <w:rFonts w:ascii="Arial" w:hAnsi="Arial" w:cs="Arial"/>
          <w:color w:val="222222"/>
          <w:shd w:val="clear" w:color="auto" w:fill="FFFFFF"/>
        </w:rPr>
        <w:t>(1), e20.</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21. </w:t>
      </w:r>
      <w:proofErr w:type="spellStart"/>
      <w:r w:rsidRPr="00907F94">
        <w:rPr>
          <w:rFonts w:ascii="Arial" w:hAnsi="Arial" w:cs="Arial"/>
          <w:color w:val="222222"/>
          <w:shd w:val="clear" w:color="auto" w:fill="FFFFFF"/>
        </w:rPr>
        <w:t>Ahiarakwem</w:t>
      </w:r>
      <w:proofErr w:type="spellEnd"/>
      <w:r w:rsidRPr="00907F94">
        <w:rPr>
          <w:rFonts w:ascii="Arial" w:hAnsi="Arial" w:cs="Arial"/>
          <w:color w:val="222222"/>
          <w:shd w:val="clear" w:color="auto" w:fill="FFFFFF"/>
        </w:rPr>
        <w:t xml:space="preserve">, I. I. E., </w:t>
      </w:r>
      <w:proofErr w:type="spellStart"/>
      <w:r w:rsidRPr="00907F94">
        <w:rPr>
          <w:rFonts w:ascii="Arial" w:hAnsi="Arial" w:cs="Arial"/>
          <w:color w:val="222222"/>
          <w:shd w:val="clear" w:color="auto" w:fill="FFFFFF"/>
        </w:rPr>
        <w:t>Ekejindu</w:t>
      </w:r>
      <w:proofErr w:type="spellEnd"/>
      <w:r w:rsidRPr="00907F94">
        <w:rPr>
          <w:rFonts w:ascii="Arial" w:hAnsi="Arial" w:cs="Arial"/>
          <w:color w:val="222222"/>
          <w:shd w:val="clear" w:color="auto" w:fill="FFFFFF"/>
        </w:rPr>
        <w:t xml:space="preserve">, I. M., </w:t>
      </w:r>
      <w:proofErr w:type="spellStart"/>
      <w:r w:rsidRPr="00907F94">
        <w:rPr>
          <w:rFonts w:ascii="Arial" w:hAnsi="Arial" w:cs="Arial"/>
          <w:color w:val="222222"/>
          <w:shd w:val="clear" w:color="auto" w:fill="FFFFFF"/>
        </w:rPr>
        <w:t>Akujobi</w:t>
      </w:r>
      <w:proofErr w:type="spellEnd"/>
      <w:r w:rsidRPr="00907F94">
        <w:rPr>
          <w:rFonts w:ascii="Arial" w:hAnsi="Arial" w:cs="Arial"/>
          <w:color w:val="222222"/>
          <w:shd w:val="clear" w:color="auto" w:fill="FFFFFF"/>
        </w:rPr>
        <w:t xml:space="preserve">, C. N., &amp; </w:t>
      </w:r>
      <w:proofErr w:type="spellStart"/>
      <w:r w:rsidRPr="00907F94">
        <w:rPr>
          <w:rFonts w:ascii="Arial" w:hAnsi="Arial" w:cs="Arial"/>
          <w:color w:val="222222"/>
          <w:shd w:val="clear" w:color="auto" w:fill="FFFFFF"/>
        </w:rPr>
        <w:t>Aghanya</w:t>
      </w:r>
      <w:proofErr w:type="spellEnd"/>
      <w:r w:rsidRPr="00907F94">
        <w:rPr>
          <w:rFonts w:ascii="Arial" w:hAnsi="Arial" w:cs="Arial"/>
          <w:color w:val="222222"/>
          <w:shd w:val="clear" w:color="auto" w:fill="FFFFFF"/>
        </w:rPr>
        <w:t>, I. N. (2020). Multidrug</w:t>
      </w:r>
      <w:r w:rsidRPr="00907F94">
        <w:rPr>
          <w:rFonts w:ascii="Arial" w:hAnsi="Arial" w:cs="Arial"/>
          <w:color w:val="222222"/>
          <w:shd w:val="clear" w:color="auto" w:fill="FFFFFF"/>
        </w:rPr>
        <w:noBreakHyphen/>
        <w:t>Resistant Tuberculosis in Imo State, Southeast, Nigeria. </w:t>
      </w:r>
      <w:r w:rsidRPr="00907F94">
        <w:rPr>
          <w:rFonts w:ascii="Arial" w:hAnsi="Arial" w:cs="Arial"/>
          <w:i/>
          <w:iCs/>
          <w:color w:val="222222"/>
          <w:shd w:val="clear" w:color="auto" w:fill="FFFFFF"/>
        </w:rPr>
        <w:t>Nigerian journal of clinical practice</w:t>
      </w:r>
      <w:r w:rsidRPr="00907F94">
        <w:rPr>
          <w:rFonts w:ascii="Arial" w:hAnsi="Arial" w:cs="Arial"/>
          <w:color w:val="222222"/>
          <w:shd w:val="clear" w:color="auto" w:fill="FFFFFF"/>
        </w:rPr>
        <w:t>, </w:t>
      </w:r>
      <w:r w:rsidRPr="00907F94">
        <w:rPr>
          <w:rFonts w:ascii="Arial" w:hAnsi="Arial" w:cs="Arial"/>
          <w:i/>
          <w:iCs/>
          <w:color w:val="222222"/>
          <w:shd w:val="clear" w:color="auto" w:fill="FFFFFF"/>
        </w:rPr>
        <w:t>23</w:t>
      </w:r>
      <w:r w:rsidRPr="00907F94">
        <w:rPr>
          <w:rFonts w:ascii="Arial" w:hAnsi="Arial" w:cs="Arial"/>
          <w:color w:val="222222"/>
          <w:shd w:val="clear" w:color="auto" w:fill="FFFFFF"/>
        </w:rPr>
        <w:t>(8), 1172-1177.</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22. Belay, M., </w:t>
      </w:r>
      <w:proofErr w:type="spellStart"/>
      <w:r w:rsidRPr="00907F94">
        <w:rPr>
          <w:rFonts w:ascii="Arial" w:hAnsi="Arial" w:cs="Arial"/>
          <w:color w:val="222222"/>
          <w:shd w:val="clear" w:color="auto" w:fill="FFFFFF"/>
        </w:rPr>
        <w:t>Bjune</w:t>
      </w:r>
      <w:proofErr w:type="spellEnd"/>
      <w:r w:rsidRPr="00907F94">
        <w:rPr>
          <w:rFonts w:ascii="Arial" w:hAnsi="Arial" w:cs="Arial"/>
          <w:color w:val="222222"/>
          <w:shd w:val="clear" w:color="auto" w:fill="FFFFFF"/>
        </w:rPr>
        <w:t>, G., &amp; Abebe, F. (2015). Prevalence of tuberculosis, HIV, and TB-HIV co-infection among pulmonary tuberculosis suspects in a predominantly pastoralist area, northeast Ethiopia. </w:t>
      </w:r>
      <w:r w:rsidRPr="00907F94">
        <w:rPr>
          <w:rFonts w:ascii="Arial" w:hAnsi="Arial" w:cs="Arial"/>
          <w:i/>
          <w:iCs/>
          <w:color w:val="222222"/>
          <w:shd w:val="clear" w:color="auto" w:fill="FFFFFF"/>
        </w:rPr>
        <w:t>Global health action</w:t>
      </w:r>
      <w:r w:rsidRPr="00907F94">
        <w:rPr>
          <w:rFonts w:ascii="Arial" w:hAnsi="Arial" w:cs="Arial"/>
          <w:color w:val="222222"/>
          <w:shd w:val="clear" w:color="auto" w:fill="FFFFFF"/>
        </w:rPr>
        <w:t>, </w:t>
      </w:r>
      <w:r w:rsidRPr="00907F94">
        <w:rPr>
          <w:rFonts w:ascii="Arial" w:hAnsi="Arial" w:cs="Arial"/>
          <w:i/>
          <w:iCs/>
          <w:color w:val="222222"/>
          <w:shd w:val="clear" w:color="auto" w:fill="FFFFFF"/>
        </w:rPr>
        <w:t>8</w:t>
      </w:r>
      <w:r w:rsidRPr="00907F94">
        <w:rPr>
          <w:rFonts w:ascii="Arial" w:hAnsi="Arial" w:cs="Arial"/>
          <w:color w:val="222222"/>
          <w:shd w:val="clear" w:color="auto" w:fill="FFFFFF"/>
        </w:rPr>
        <w:t>(1), 27949.</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lastRenderedPageBreak/>
        <w:t xml:space="preserve">23. </w:t>
      </w:r>
      <w:proofErr w:type="spellStart"/>
      <w:r w:rsidRPr="00907F94">
        <w:rPr>
          <w:rFonts w:ascii="Arial" w:hAnsi="Arial" w:cs="Arial"/>
          <w:color w:val="222222"/>
          <w:shd w:val="clear" w:color="auto" w:fill="FFFFFF"/>
        </w:rPr>
        <w:t>Nwoga</w:t>
      </w:r>
      <w:proofErr w:type="spellEnd"/>
      <w:r w:rsidRPr="00907F94">
        <w:rPr>
          <w:rFonts w:ascii="Arial" w:hAnsi="Arial" w:cs="Arial"/>
          <w:color w:val="222222"/>
          <w:shd w:val="clear" w:color="auto" w:fill="FFFFFF"/>
        </w:rPr>
        <w:t xml:space="preserve">, H. O., </w:t>
      </w:r>
      <w:proofErr w:type="spellStart"/>
      <w:r w:rsidRPr="00907F94">
        <w:rPr>
          <w:rFonts w:ascii="Arial" w:hAnsi="Arial" w:cs="Arial"/>
          <w:color w:val="222222"/>
          <w:shd w:val="clear" w:color="auto" w:fill="FFFFFF"/>
        </w:rPr>
        <w:t>Igweagu</w:t>
      </w:r>
      <w:proofErr w:type="spellEnd"/>
      <w:r w:rsidRPr="00907F94">
        <w:rPr>
          <w:rFonts w:ascii="Arial" w:hAnsi="Arial" w:cs="Arial"/>
          <w:color w:val="222222"/>
          <w:shd w:val="clear" w:color="auto" w:fill="FFFFFF"/>
        </w:rPr>
        <w:t xml:space="preserve">, C. P., &amp; </w:t>
      </w:r>
      <w:proofErr w:type="spellStart"/>
      <w:r w:rsidRPr="00907F94">
        <w:rPr>
          <w:rFonts w:ascii="Arial" w:hAnsi="Arial" w:cs="Arial"/>
          <w:color w:val="222222"/>
          <w:shd w:val="clear" w:color="auto" w:fill="FFFFFF"/>
        </w:rPr>
        <w:t>Umeh</w:t>
      </w:r>
      <w:proofErr w:type="spellEnd"/>
      <w:r w:rsidRPr="00907F94">
        <w:rPr>
          <w:rFonts w:ascii="Arial" w:hAnsi="Arial" w:cs="Arial"/>
          <w:color w:val="222222"/>
          <w:shd w:val="clear" w:color="auto" w:fill="FFFFFF"/>
        </w:rPr>
        <w:t>, G. C. (2024). Prevalence and determinants of TB/HIV coinfection: the double tragedy of infectious disease burden–a 5-year retrospective study in a tertiary health facility in Enugu State, Nigeria. </w:t>
      </w:r>
      <w:r w:rsidRPr="00907F94">
        <w:rPr>
          <w:rFonts w:ascii="Arial" w:hAnsi="Arial" w:cs="Arial"/>
          <w:i/>
          <w:iCs/>
          <w:color w:val="222222"/>
          <w:shd w:val="clear" w:color="auto" w:fill="FFFFFF"/>
        </w:rPr>
        <w:t>BMJ open</w:t>
      </w:r>
      <w:r w:rsidRPr="00907F94">
        <w:rPr>
          <w:rFonts w:ascii="Arial" w:hAnsi="Arial" w:cs="Arial"/>
          <w:color w:val="222222"/>
          <w:shd w:val="clear" w:color="auto" w:fill="FFFFFF"/>
        </w:rPr>
        <w:t>, </w:t>
      </w:r>
      <w:r w:rsidRPr="00907F94">
        <w:rPr>
          <w:rFonts w:ascii="Arial" w:hAnsi="Arial" w:cs="Arial"/>
          <w:i/>
          <w:iCs/>
          <w:color w:val="222222"/>
          <w:shd w:val="clear" w:color="auto" w:fill="FFFFFF"/>
        </w:rPr>
        <w:t>14</w:t>
      </w:r>
      <w:r w:rsidRPr="00907F94">
        <w:rPr>
          <w:rFonts w:ascii="Arial" w:hAnsi="Arial" w:cs="Arial"/>
          <w:color w:val="222222"/>
          <w:shd w:val="clear" w:color="auto" w:fill="FFFFFF"/>
        </w:rPr>
        <w:t>(11), e088287.</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24. </w:t>
      </w:r>
      <w:proofErr w:type="spellStart"/>
      <w:r w:rsidRPr="00907F94">
        <w:rPr>
          <w:rFonts w:ascii="Arial" w:hAnsi="Arial" w:cs="Arial"/>
          <w:color w:val="222222"/>
          <w:shd w:val="clear" w:color="auto" w:fill="FFFFFF"/>
        </w:rPr>
        <w:t>Ochonye</w:t>
      </w:r>
      <w:proofErr w:type="spellEnd"/>
      <w:r w:rsidRPr="00907F94">
        <w:rPr>
          <w:rFonts w:ascii="Arial" w:hAnsi="Arial" w:cs="Arial"/>
          <w:color w:val="222222"/>
          <w:shd w:val="clear" w:color="auto" w:fill="FFFFFF"/>
        </w:rPr>
        <w:t xml:space="preserve">, B., </w:t>
      </w:r>
      <w:proofErr w:type="spellStart"/>
      <w:r w:rsidRPr="00907F94">
        <w:rPr>
          <w:rFonts w:ascii="Arial" w:hAnsi="Arial" w:cs="Arial"/>
          <w:color w:val="222222"/>
          <w:shd w:val="clear" w:color="auto" w:fill="FFFFFF"/>
        </w:rPr>
        <w:t>Sanni</w:t>
      </w:r>
      <w:proofErr w:type="spellEnd"/>
      <w:r w:rsidRPr="00907F94">
        <w:rPr>
          <w:rFonts w:ascii="Arial" w:hAnsi="Arial" w:cs="Arial"/>
          <w:color w:val="222222"/>
          <w:shd w:val="clear" w:color="auto" w:fill="FFFFFF"/>
        </w:rPr>
        <w:t xml:space="preserve">, O. F., Emmanuel, G., </w:t>
      </w:r>
      <w:proofErr w:type="spellStart"/>
      <w:r w:rsidRPr="00907F94">
        <w:rPr>
          <w:rFonts w:ascii="Arial" w:hAnsi="Arial" w:cs="Arial"/>
          <w:color w:val="222222"/>
          <w:shd w:val="clear" w:color="auto" w:fill="FFFFFF"/>
        </w:rPr>
        <w:t>Umoh</w:t>
      </w:r>
      <w:proofErr w:type="spellEnd"/>
      <w:r w:rsidRPr="00907F94">
        <w:rPr>
          <w:rFonts w:ascii="Arial" w:hAnsi="Arial" w:cs="Arial"/>
          <w:color w:val="222222"/>
          <w:shd w:val="clear" w:color="auto" w:fill="FFFFFF"/>
        </w:rPr>
        <w:t>,</w:t>
      </w:r>
      <w:r>
        <w:rPr>
          <w:rFonts w:ascii="Arial" w:hAnsi="Arial" w:cs="Arial"/>
          <w:color w:val="222222"/>
          <w:shd w:val="clear" w:color="auto" w:fill="FFFFFF"/>
        </w:rPr>
        <w:t xml:space="preserve"> P., </w:t>
      </w:r>
      <w:proofErr w:type="spellStart"/>
      <w:r>
        <w:rPr>
          <w:rFonts w:ascii="Arial" w:hAnsi="Arial" w:cs="Arial"/>
          <w:color w:val="222222"/>
          <w:shd w:val="clear" w:color="auto" w:fill="FFFFFF"/>
        </w:rPr>
        <w:t>Kalaiwo</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Abang</w:t>
      </w:r>
      <w:proofErr w:type="spellEnd"/>
      <w:r>
        <w:rPr>
          <w:rFonts w:ascii="Arial" w:hAnsi="Arial" w:cs="Arial"/>
          <w:color w:val="222222"/>
          <w:shd w:val="clear" w:color="auto" w:fill="FFFFFF"/>
        </w:rPr>
        <w:t>, R.</w:t>
      </w:r>
      <w:r w:rsidRPr="00907F94">
        <w:rPr>
          <w:rFonts w:ascii="Arial" w:hAnsi="Arial" w:cs="Arial"/>
          <w:color w:val="222222"/>
          <w:shd w:val="clear" w:color="auto" w:fill="FFFFFF"/>
        </w:rPr>
        <w:t xml:space="preserve"> &amp; </w:t>
      </w:r>
      <w:proofErr w:type="spellStart"/>
      <w:r w:rsidRPr="00907F94">
        <w:rPr>
          <w:rFonts w:ascii="Arial" w:hAnsi="Arial" w:cs="Arial"/>
          <w:color w:val="222222"/>
          <w:shd w:val="clear" w:color="auto" w:fill="FFFFFF"/>
        </w:rPr>
        <w:t>Motilewa</w:t>
      </w:r>
      <w:proofErr w:type="spellEnd"/>
      <w:r w:rsidRPr="00907F94">
        <w:rPr>
          <w:rFonts w:ascii="Arial" w:hAnsi="Arial" w:cs="Arial"/>
          <w:color w:val="222222"/>
          <w:shd w:val="clear" w:color="auto" w:fill="FFFFFF"/>
        </w:rPr>
        <w:t>, O. (2024). A retrospective study of tuberculosis prevalence and associated factors among HIV-positive key populations in Nigeria. </w:t>
      </w:r>
      <w:r w:rsidRPr="00907F94">
        <w:rPr>
          <w:rFonts w:ascii="Arial" w:hAnsi="Arial" w:cs="Arial"/>
          <w:i/>
          <w:iCs/>
          <w:color w:val="222222"/>
          <w:shd w:val="clear" w:color="auto" w:fill="FFFFFF"/>
        </w:rPr>
        <w:t>PLOS Global Public Health</w:t>
      </w:r>
      <w:r w:rsidRPr="00907F94">
        <w:rPr>
          <w:rFonts w:ascii="Arial" w:hAnsi="Arial" w:cs="Arial"/>
          <w:color w:val="222222"/>
          <w:shd w:val="clear" w:color="auto" w:fill="FFFFFF"/>
        </w:rPr>
        <w:t>, </w:t>
      </w:r>
      <w:r w:rsidRPr="00907F94">
        <w:rPr>
          <w:rFonts w:ascii="Arial" w:hAnsi="Arial" w:cs="Arial"/>
          <w:i/>
          <w:iCs/>
          <w:color w:val="222222"/>
          <w:shd w:val="clear" w:color="auto" w:fill="FFFFFF"/>
        </w:rPr>
        <w:t>4</w:t>
      </w:r>
      <w:r w:rsidRPr="00907F94">
        <w:rPr>
          <w:rFonts w:ascii="Arial" w:hAnsi="Arial" w:cs="Arial"/>
          <w:color w:val="222222"/>
          <w:shd w:val="clear" w:color="auto" w:fill="FFFFFF"/>
        </w:rPr>
        <w:t>(7), e0003461.</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25. </w:t>
      </w:r>
      <w:proofErr w:type="spellStart"/>
      <w:r w:rsidRPr="00907F94">
        <w:rPr>
          <w:rFonts w:ascii="Arial" w:hAnsi="Arial" w:cs="Arial"/>
          <w:color w:val="222222"/>
          <w:shd w:val="clear" w:color="auto" w:fill="FFFFFF"/>
        </w:rPr>
        <w:t>Akwafuo</w:t>
      </w:r>
      <w:proofErr w:type="spellEnd"/>
      <w:r w:rsidRPr="00907F94">
        <w:rPr>
          <w:rFonts w:ascii="Arial" w:hAnsi="Arial" w:cs="Arial"/>
          <w:color w:val="222222"/>
          <w:shd w:val="clear" w:color="auto" w:fill="FFFFFF"/>
        </w:rPr>
        <w:t xml:space="preserve">, S. E., </w:t>
      </w:r>
      <w:proofErr w:type="spellStart"/>
      <w:r w:rsidRPr="00907F94">
        <w:rPr>
          <w:rFonts w:ascii="Arial" w:hAnsi="Arial" w:cs="Arial"/>
          <w:color w:val="222222"/>
          <w:shd w:val="clear" w:color="auto" w:fill="FFFFFF"/>
        </w:rPr>
        <w:t>Abah</w:t>
      </w:r>
      <w:proofErr w:type="spellEnd"/>
      <w:r w:rsidRPr="00907F94">
        <w:rPr>
          <w:rFonts w:ascii="Arial" w:hAnsi="Arial" w:cs="Arial"/>
          <w:color w:val="222222"/>
          <w:shd w:val="clear" w:color="auto" w:fill="FFFFFF"/>
        </w:rPr>
        <w:t xml:space="preserve">, T., &amp; Oppong, J. R. (2020). Evaluation of the burden and intervention </w:t>
      </w:r>
      <w:proofErr w:type="spellStart"/>
      <w:r w:rsidRPr="00907F94">
        <w:rPr>
          <w:rFonts w:ascii="Arial" w:hAnsi="Arial" w:cs="Arial"/>
          <w:color w:val="222222"/>
          <w:shd w:val="clear" w:color="auto" w:fill="FFFFFF"/>
        </w:rPr>
        <w:t>strat</w:t>
      </w:r>
      <w:proofErr w:type="spellEnd"/>
      <w:r w:rsidRPr="00907F94">
        <w:rPr>
          <w:rFonts w:ascii="Arial" w:hAnsi="Arial" w:cs="Arial"/>
          <w:color w:val="222222"/>
          <w:shd w:val="clear" w:color="auto" w:fill="FFFFFF"/>
        </w:rPr>
        <w:t>-effigies of TB-HIV co-infection in West Africa. </w:t>
      </w:r>
      <w:r w:rsidRPr="00907F94">
        <w:rPr>
          <w:rFonts w:ascii="Arial" w:hAnsi="Arial" w:cs="Arial"/>
          <w:i/>
          <w:iCs/>
          <w:color w:val="222222"/>
          <w:shd w:val="clear" w:color="auto" w:fill="FFFFFF"/>
        </w:rPr>
        <w:t>J Infect Dis Epidemiol</w:t>
      </w:r>
      <w:r w:rsidRPr="00907F94">
        <w:rPr>
          <w:rFonts w:ascii="Arial" w:hAnsi="Arial" w:cs="Arial"/>
          <w:color w:val="222222"/>
          <w:shd w:val="clear" w:color="auto" w:fill="FFFFFF"/>
        </w:rPr>
        <w:t>, </w:t>
      </w:r>
      <w:r w:rsidRPr="00907F94">
        <w:rPr>
          <w:rFonts w:ascii="Arial" w:hAnsi="Arial" w:cs="Arial"/>
          <w:i/>
          <w:iCs/>
          <w:color w:val="222222"/>
          <w:shd w:val="clear" w:color="auto" w:fill="FFFFFF"/>
        </w:rPr>
        <w:t>6</w:t>
      </w:r>
      <w:r w:rsidRPr="00907F94">
        <w:rPr>
          <w:rFonts w:ascii="Arial" w:hAnsi="Arial" w:cs="Arial"/>
          <w:color w:val="222222"/>
          <w:shd w:val="clear" w:color="auto" w:fill="FFFFFF"/>
        </w:rPr>
        <w:t>, 143.</w:t>
      </w:r>
    </w:p>
    <w:p w:rsidR="00907F94" w:rsidRPr="00907F94" w:rsidRDefault="00907F94" w:rsidP="00907F94">
      <w:pPr>
        <w:pStyle w:val="Body"/>
        <w:spacing w:after="0"/>
        <w:rPr>
          <w:rFonts w:ascii="Arial" w:hAnsi="Arial" w:cs="Arial"/>
          <w:color w:val="222222"/>
          <w:shd w:val="clear" w:color="auto" w:fill="FFFFFF"/>
        </w:rPr>
      </w:pPr>
      <w:r w:rsidRPr="00907F94">
        <w:rPr>
          <w:rFonts w:ascii="Arial" w:hAnsi="Arial" w:cs="Arial"/>
          <w:color w:val="222222"/>
          <w:shd w:val="clear" w:color="auto" w:fill="FFFFFF"/>
        </w:rPr>
        <w:t xml:space="preserve">26. </w:t>
      </w:r>
      <w:proofErr w:type="spellStart"/>
      <w:r w:rsidRPr="00907F94">
        <w:rPr>
          <w:rFonts w:ascii="Arial" w:hAnsi="Arial" w:cs="Arial"/>
          <w:color w:val="222222"/>
          <w:shd w:val="clear" w:color="auto" w:fill="FFFFFF"/>
        </w:rPr>
        <w:t>Okpokoro</w:t>
      </w:r>
      <w:proofErr w:type="spellEnd"/>
      <w:r w:rsidRPr="00907F94">
        <w:rPr>
          <w:rFonts w:ascii="Arial" w:hAnsi="Arial" w:cs="Arial"/>
          <w:color w:val="222222"/>
          <w:shd w:val="clear" w:color="auto" w:fill="FFFFFF"/>
        </w:rPr>
        <w:t xml:space="preserve">, E., Lawal, T., </w:t>
      </w:r>
      <w:proofErr w:type="spellStart"/>
      <w:r w:rsidRPr="00907F94">
        <w:rPr>
          <w:rFonts w:ascii="Arial" w:hAnsi="Arial" w:cs="Arial"/>
          <w:color w:val="222222"/>
          <w:shd w:val="clear" w:color="auto" w:fill="FFFFFF"/>
        </w:rPr>
        <w:t>Oyedele</w:t>
      </w:r>
      <w:proofErr w:type="spellEnd"/>
      <w:r w:rsidRPr="00907F94">
        <w:rPr>
          <w:rFonts w:ascii="Arial" w:hAnsi="Arial" w:cs="Arial"/>
          <w:color w:val="222222"/>
          <w:shd w:val="clear" w:color="auto" w:fill="FFFFFF"/>
        </w:rPr>
        <w:t xml:space="preserve">, O., </w:t>
      </w:r>
      <w:proofErr w:type="spellStart"/>
      <w:r w:rsidRPr="00907F94">
        <w:rPr>
          <w:rFonts w:ascii="Arial" w:hAnsi="Arial" w:cs="Arial"/>
          <w:color w:val="222222"/>
          <w:shd w:val="clear" w:color="auto" w:fill="FFFFFF"/>
        </w:rPr>
        <w:t>Etuk</w:t>
      </w:r>
      <w:proofErr w:type="spellEnd"/>
      <w:r w:rsidRPr="00907F94">
        <w:rPr>
          <w:rFonts w:ascii="Arial" w:hAnsi="Arial" w:cs="Arial"/>
          <w:color w:val="222222"/>
          <w:shd w:val="clear" w:color="auto" w:fill="FFFFFF"/>
        </w:rPr>
        <w:t xml:space="preserve">, </w:t>
      </w:r>
      <w:r>
        <w:rPr>
          <w:rFonts w:ascii="Arial" w:hAnsi="Arial" w:cs="Arial"/>
          <w:color w:val="222222"/>
          <w:shd w:val="clear" w:color="auto" w:fill="FFFFFF"/>
        </w:rPr>
        <w:t xml:space="preserve">V., </w:t>
      </w:r>
      <w:proofErr w:type="spellStart"/>
      <w:r>
        <w:rPr>
          <w:rFonts w:ascii="Arial" w:hAnsi="Arial" w:cs="Arial"/>
          <w:color w:val="222222"/>
          <w:shd w:val="clear" w:color="auto" w:fill="FFFFFF"/>
        </w:rPr>
        <w:t>Ijioma</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Adetiba</w:t>
      </w:r>
      <w:proofErr w:type="spellEnd"/>
      <w:r>
        <w:rPr>
          <w:rFonts w:ascii="Arial" w:hAnsi="Arial" w:cs="Arial"/>
          <w:color w:val="222222"/>
          <w:shd w:val="clear" w:color="auto" w:fill="FFFFFF"/>
        </w:rPr>
        <w:t>, T.</w:t>
      </w:r>
      <w:r w:rsidRPr="00907F94">
        <w:rPr>
          <w:rFonts w:ascii="Arial" w:hAnsi="Arial" w:cs="Arial"/>
          <w:color w:val="222222"/>
          <w:shd w:val="clear" w:color="auto" w:fill="FFFFFF"/>
        </w:rPr>
        <w:t xml:space="preserve"> &amp; </w:t>
      </w:r>
      <w:proofErr w:type="spellStart"/>
      <w:r w:rsidRPr="00907F94">
        <w:rPr>
          <w:rFonts w:ascii="Arial" w:hAnsi="Arial" w:cs="Arial"/>
          <w:color w:val="222222"/>
          <w:shd w:val="clear" w:color="auto" w:fill="FFFFFF"/>
        </w:rPr>
        <w:t>Abimiku</w:t>
      </w:r>
      <w:proofErr w:type="spellEnd"/>
      <w:r w:rsidRPr="00907F94">
        <w:rPr>
          <w:rFonts w:ascii="Arial" w:hAnsi="Arial" w:cs="Arial"/>
          <w:color w:val="222222"/>
          <w:shd w:val="clear" w:color="auto" w:fill="FFFFFF"/>
        </w:rPr>
        <w:t>, A. L. (2025). Prev</w:t>
      </w:r>
      <w:r w:rsidR="00AC1B3F">
        <w:rPr>
          <w:rFonts w:ascii="Arial" w:hAnsi="Arial" w:cs="Arial"/>
          <w:color w:val="222222"/>
          <w:shd w:val="clear" w:color="auto" w:fill="FFFFFF"/>
        </w:rPr>
        <w:t xml:space="preserve">alence, perception of risk and </w:t>
      </w:r>
      <w:r w:rsidR="00AC1B3F" w:rsidRPr="00AC1B3F">
        <w:rPr>
          <w:rFonts w:ascii="Arial" w:hAnsi="Arial" w:cs="Arial"/>
          <w:i/>
          <w:color w:val="222222"/>
          <w:shd w:val="clear" w:color="auto" w:fill="FFFFFF"/>
        </w:rPr>
        <w:t>M</w:t>
      </w:r>
      <w:r w:rsidRPr="00AC1B3F">
        <w:rPr>
          <w:rFonts w:ascii="Arial" w:hAnsi="Arial" w:cs="Arial"/>
          <w:i/>
          <w:color w:val="222222"/>
          <w:shd w:val="clear" w:color="auto" w:fill="FFFFFF"/>
        </w:rPr>
        <w:t>ycobacterium tuberculosis</w:t>
      </w:r>
      <w:r w:rsidRPr="00907F94">
        <w:rPr>
          <w:rFonts w:ascii="Arial" w:hAnsi="Arial" w:cs="Arial"/>
          <w:color w:val="222222"/>
          <w:shd w:val="clear" w:color="auto" w:fill="FFFFFF"/>
        </w:rPr>
        <w:t xml:space="preserve"> control practices among healthcare workers in HIV care and treatment </w:t>
      </w:r>
      <w:proofErr w:type="spellStart"/>
      <w:r w:rsidRPr="00907F94">
        <w:rPr>
          <w:rFonts w:ascii="Arial" w:hAnsi="Arial" w:cs="Arial"/>
          <w:color w:val="222222"/>
          <w:shd w:val="clear" w:color="auto" w:fill="FFFFFF"/>
        </w:rPr>
        <w:t>centres</w:t>
      </w:r>
      <w:proofErr w:type="spellEnd"/>
      <w:r w:rsidRPr="00907F94">
        <w:rPr>
          <w:rFonts w:ascii="Arial" w:hAnsi="Arial" w:cs="Arial"/>
          <w:color w:val="222222"/>
          <w:shd w:val="clear" w:color="auto" w:fill="FFFFFF"/>
        </w:rPr>
        <w:t xml:space="preserve"> in North Central Nigeria. </w:t>
      </w:r>
      <w:r w:rsidRPr="00907F94">
        <w:rPr>
          <w:rFonts w:ascii="Arial" w:hAnsi="Arial" w:cs="Arial"/>
          <w:i/>
          <w:iCs/>
          <w:color w:val="222222"/>
          <w:shd w:val="clear" w:color="auto" w:fill="FFFFFF"/>
        </w:rPr>
        <w:t>BMC Infectious Diseases</w:t>
      </w:r>
      <w:r w:rsidRPr="00907F94">
        <w:rPr>
          <w:rFonts w:ascii="Arial" w:hAnsi="Arial" w:cs="Arial"/>
          <w:color w:val="222222"/>
          <w:shd w:val="clear" w:color="auto" w:fill="FFFFFF"/>
        </w:rPr>
        <w:t>, </w:t>
      </w:r>
      <w:r w:rsidRPr="00907F94">
        <w:rPr>
          <w:rFonts w:ascii="Arial" w:hAnsi="Arial" w:cs="Arial"/>
          <w:i/>
          <w:iCs/>
          <w:color w:val="222222"/>
          <w:shd w:val="clear" w:color="auto" w:fill="FFFFFF"/>
        </w:rPr>
        <w:t>25</w:t>
      </w:r>
      <w:r w:rsidRPr="00907F94">
        <w:rPr>
          <w:rFonts w:ascii="Arial" w:hAnsi="Arial" w:cs="Arial"/>
          <w:color w:val="222222"/>
          <w:shd w:val="clear" w:color="auto" w:fill="FFFFFF"/>
        </w:rPr>
        <w:t>(1), 220.</w:t>
      </w:r>
    </w:p>
    <w:p w:rsidR="004D4277" w:rsidRPr="00FB3A86" w:rsidRDefault="004D4277" w:rsidP="00907F94">
      <w:pPr>
        <w:pStyle w:val="Body"/>
        <w:spacing w:after="0"/>
        <w:rPr>
          <w:rFonts w:ascii="Arial" w:hAnsi="Arial" w:cs="Arial"/>
          <w:b/>
        </w:rPr>
        <w:sectPr w:rsidR="004D4277" w:rsidRPr="00FB3A86" w:rsidSect="00E16CF2">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E16CF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653" w:rsidRDefault="00400653" w:rsidP="00C37E61">
      <w:r>
        <w:separator/>
      </w:r>
    </w:p>
  </w:endnote>
  <w:endnote w:type="continuationSeparator" w:id="0">
    <w:p w:rsidR="00400653" w:rsidRDefault="0040065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3BB" w:rsidRDefault="005E53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3BB" w:rsidRDefault="005E5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E78" w:rsidRDefault="00D46E78">
    <w:pPr>
      <w:pStyle w:val="Footer"/>
      <w:rPr>
        <w:rFonts w:ascii="Arial" w:hAnsi="Arial" w:cs="Arial"/>
        <w:sz w:val="16"/>
      </w:rPr>
    </w:pPr>
  </w:p>
  <w:p w:rsidR="00D46E78" w:rsidRDefault="00D46E7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D46E78" w:rsidRDefault="00D46E78">
    <w:pPr>
      <w:pStyle w:val="Footer"/>
      <w:rPr>
        <w:rFonts w:ascii="Arial" w:hAnsi="Arial" w:cs="Arial"/>
        <w:sz w:val="16"/>
      </w:rPr>
    </w:pPr>
  </w:p>
  <w:p w:rsidR="00D46E78" w:rsidRPr="009E048A" w:rsidRDefault="00D46E7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E78" w:rsidRPr="00C37E61" w:rsidRDefault="00D46E7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653" w:rsidRDefault="00400653" w:rsidP="00C37E61">
      <w:r>
        <w:separator/>
      </w:r>
    </w:p>
  </w:footnote>
  <w:footnote w:type="continuationSeparator" w:id="0">
    <w:p w:rsidR="00400653" w:rsidRDefault="0040065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3BB" w:rsidRDefault="005E53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3418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3BB" w:rsidRDefault="005E53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3418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E78" w:rsidRPr="00296529" w:rsidRDefault="005E53BB"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3418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D46E78" w:rsidRPr="00296529" w:rsidRDefault="00D46E7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D46E78" w:rsidRPr="00296529" w:rsidRDefault="00D46E78" w:rsidP="00296529">
    <w:pPr>
      <w:jc w:val="center"/>
      <w:rPr>
        <w:rFonts w:ascii="Times New Roman" w:eastAsia="Calibri" w:hAnsi="Times New Roman"/>
        <w:i/>
        <w:sz w:val="18"/>
        <w:szCs w:val="22"/>
      </w:rPr>
    </w:pPr>
    <w:r>
      <w:rPr>
        <w:rFonts w:ascii="Times New Roman" w:eastAsia="Calibri" w:hAnsi="Times New Roman"/>
        <w:i/>
        <w:sz w:val="18"/>
        <w:szCs w:val="22"/>
      </w:rPr>
      <w:t>.</w:t>
    </w:r>
  </w:p>
  <w:p w:rsidR="00D46E78" w:rsidRPr="00296529" w:rsidRDefault="00D46E7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D46E78" w:rsidRDefault="00D46E7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D46E78" w:rsidRDefault="00D46E7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D46E78" w:rsidRDefault="00D46E7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3BB" w:rsidRDefault="005E53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3419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3BB" w:rsidRDefault="005E53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3419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3BB" w:rsidRDefault="005E53B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03419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45B"/>
    <w:rsid w:val="000068DE"/>
    <w:rsid w:val="00030174"/>
    <w:rsid w:val="0004579C"/>
    <w:rsid w:val="00054A6E"/>
    <w:rsid w:val="00057710"/>
    <w:rsid w:val="0006516D"/>
    <w:rsid w:val="00076D74"/>
    <w:rsid w:val="0008229B"/>
    <w:rsid w:val="0009316D"/>
    <w:rsid w:val="000A47FA"/>
    <w:rsid w:val="000A54DD"/>
    <w:rsid w:val="000A65D3"/>
    <w:rsid w:val="000B1E33"/>
    <w:rsid w:val="000B6644"/>
    <w:rsid w:val="000C699D"/>
    <w:rsid w:val="000D689F"/>
    <w:rsid w:val="000E04B1"/>
    <w:rsid w:val="000E1C22"/>
    <w:rsid w:val="000E60A9"/>
    <w:rsid w:val="000E7B7B"/>
    <w:rsid w:val="000E7D62"/>
    <w:rsid w:val="000F13F6"/>
    <w:rsid w:val="000F3D13"/>
    <w:rsid w:val="00103357"/>
    <w:rsid w:val="00103599"/>
    <w:rsid w:val="001125D5"/>
    <w:rsid w:val="00114F6A"/>
    <w:rsid w:val="00123C9F"/>
    <w:rsid w:val="00126190"/>
    <w:rsid w:val="00130F17"/>
    <w:rsid w:val="001315ED"/>
    <w:rsid w:val="001320BF"/>
    <w:rsid w:val="00145A37"/>
    <w:rsid w:val="001572F9"/>
    <w:rsid w:val="00163BC4"/>
    <w:rsid w:val="00191062"/>
    <w:rsid w:val="00192B72"/>
    <w:rsid w:val="00193B4A"/>
    <w:rsid w:val="001A29D8"/>
    <w:rsid w:val="001A5CAA"/>
    <w:rsid w:val="001B0427"/>
    <w:rsid w:val="001B7270"/>
    <w:rsid w:val="001D3A51"/>
    <w:rsid w:val="001D5E06"/>
    <w:rsid w:val="001E10D2"/>
    <w:rsid w:val="001E25B4"/>
    <w:rsid w:val="001E44FE"/>
    <w:rsid w:val="00200595"/>
    <w:rsid w:val="00201E4B"/>
    <w:rsid w:val="00204835"/>
    <w:rsid w:val="00231920"/>
    <w:rsid w:val="0023195C"/>
    <w:rsid w:val="00231D9C"/>
    <w:rsid w:val="0024282C"/>
    <w:rsid w:val="002460DC"/>
    <w:rsid w:val="00250985"/>
    <w:rsid w:val="00254EEE"/>
    <w:rsid w:val="002556F6"/>
    <w:rsid w:val="00255FE6"/>
    <w:rsid w:val="002614B7"/>
    <w:rsid w:val="00266114"/>
    <w:rsid w:val="00283105"/>
    <w:rsid w:val="00284C4C"/>
    <w:rsid w:val="00287E68"/>
    <w:rsid w:val="0029101B"/>
    <w:rsid w:val="00296529"/>
    <w:rsid w:val="002B27FB"/>
    <w:rsid w:val="002B685A"/>
    <w:rsid w:val="002C57D2"/>
    <w:rsid w:val="002E0D56"/>
    <w:rsid w:val="002E5ABE"/>
    <w:rsid w:val="00303497"/>
    <w:rsid w:val="00303AB9"/>
    <w:rsid w:val="00315186"/>
    <w:rsid w:val="00323679"/>
    <w:rsid w:val="0033343E"/>
    <w:rsid w:val="00343F57"/>
    <w:rsid w:val="003512C2"/>
    <w:rsid w:val="00353434"/>
    <w:rsid w:val="00371FB6"/>
    <w:rsid w:val="00374798"/>
    <w:rsid w:val="003763C1"/>
    <w:rsid w:val="00376BBE"/>
    <w:rsid w:val="0039224F"/>
    <w:rsid w:val="003A2729"/>
    <w:rsid w:val="003A43A4"/>
    <w:rsid w:val="003A7E18"/>
    <w:rsid w:val="003C4C86"/>
    <w:rsid w:val="003C6258"/>
    <w:rsid w:val="003D206E"/>
    <w:rsid w:val="003E2904"/>
    <w:rsid w:val="003F3D70"/>
    <w:rsid w:val="00400653"/>
    <w:rsid w:val="00401927"/>
    <w:rsid w:val="0041027F"/>
    <w:rsid w:val="00412475"/>
    <w:rsid w:val="00423789"/>
    <w:rsid w:val="00426880"/>
    <w:rsid w:val="00440F43"/>
    <w:rsid w:val="00441B6F"/>
    <w:rsid w:val="004439B2"/>
    <w:rsid w:val="00446221"/>
    <w:rsid w:val="00450E62"/>
    <w:rsid w:val="004539DB"/>
    <w:rsid w:val="00457AAA"/>
    <w:rsid w:val="00471A80"/>
    <w:rsid w:val="004720B2"/>
    <w:rsid w:val="00475FF2"/>
    <w:rsid w:val="00480403"/>
    <w:rsid w:val="0048114E"/>
    <w:rsid w:val="00495654"/>
    <w:rsid w:val="004B2275"/>
    <w:rsid w:val="004D305E"/>
    <w:rsid w:val="004D4277"/>
    <w:rsid w:val="004F6AAC"/>
    <w:rsid w:val="00502516"/>
    <w:rsid w:val="00505F06"/>
    <w:rsid w:val="00506828"/>
    <w:rsid w:val="00517317"/>
    <w:rsid w:val="0053056E"/>
    <w:rsid w:val="00554FDA"/>
    <w:rsid w:val="00571751"/>
    <w:rsid w:val="005C784C"/>
    <w:rsid w:val="005D17F6"/>
    <w:rsid w:val="005D55B6"/>
    <w:rsid w:val="005E0475"/>
    <w:rsid w:val="005E4DC9"/>
    <w:rsid w:val="005E53BB"/>
    <w:rsid w:val="005E5539"/>
    <w:rsid w:val="00602BF5"/>
    <w:rsid w:val="00615F9F"/>
    <w:rsid w:val="00617FDD"/>
    <w:rsid w:val="00630B5D"/>
    <w:rsid w:val="00632A8B"/>
    <w:rsid w:val="00633614"/>
    <w:rsid w:val="00633F68"/>
    <w:rsid w:val="006351E4"/>
    <w:rsid w:val="00636EB2"/>
    <w:rsid w:val="006375B8"/>
    <w:rsid w:val="006427A1"/>
    <w:rsid w:val="00642F3C"/>
    <w:rsid w:val="0066510A"/>
    <w:rsid w:val="00670D02"/>
    <w:rsid w:val="00673F9F"/>
    <w:rsid w:val="006759EF"/>
    <w:rsid w:val="00684CB7"/>
    <w:rsid w:val="00686953"/>
    <w:rsid w:val="00687DEA"/>
    <w:rsid w:val="00687E67"/>
    <w:rsid w:val="0069078B"/>
    <w:rsid w:val="006967F7"/>
    <w:rsid w:val="006A250C"/>
    <w:rsid w:val="006B21D3"/>
    <w:rsid w:val="006B57D0"/>
    <w:rsid w:val="006C3488"/>
    <w:rsid w:val="006D30FF"/>
    <w:rsid w:val="006D6940"/>
    <w:rsid w:val="006F11EC"/>
    <w:rsid w:val="0070082C"/>
    <w:rsid w:val="0070178B"/>
    <w:rsid w:val="00703186"/>
    <w:rsid w:val="00731740"/>
    <w:rsid w:val="007369E6"/>
    <w:rsid w:val="00746E59"/>
    <w:rsid w:val="00754C9A"/>
    <w:rsid w:val="00755656"/>
    <w:rsid w:val="0075599A"/>
    <w:rsid w:val="0075658B"/>
    <w:rsid w:val="00761D52"/>
    <w:rsid w:val="007673F6"/>
    <w:rsid w:val="0077749E"/>
    <w:rsid w:val="00790747"/>
    <w:rsid w:val="00790ADA"/>
    <w:rsid w:val="00792232"/>
    <w:rsid w:val="00795B05"/>
    <w:rsid w:val="007D2288"/>
    <w:rsid w:val="007E088F"/>
    <w:rsid w:val="007F7B32"/>
    <w:rsid w:val="00804BC2"/>
    <w:rsid w:val="008058F7"/>
    <w:rsid w:val="0081431A"/>
    <w:rsid w:val="0083216F"/>
    <w:rsid w:val="00843039"/>
    <w:rsid w:val="00847899"/>
    <w:rsid w:val="00860000"/>
    <w:rsid w:val="00863BD3"/>
    <w:rsid w:val="008641ED"/>
    <w:rsid w:val="00865928"/>
    <w:rsid w:val="00866D66"/>
    <w:rsid w:val="008671C6"/>
    <w:rsid w:val="00875803"/>
    <w:rsid w:val="008B0091"/>
    <w:rsid w:val="008B459E"/>
    <w:rsid w:val="008C297C"/>
    <w:rsid w:val="008C68CD"/>
    <w:rsid w:val="008D25EA"/>
    <w:rsid w:val="008D619D"/>
    <w:rsid w:val="008E13AE"/>
    <w:rsid w:val="008E1506"/>
    <w:rsid w:val="008E54A6"/>
    <w:rsid w:val="008E710C"/>
    <w:rsid w:val="008F69D6"/>
    <w:rsid w:val="00902823"/>
    <w:rsid w:val="00907F94"/>
    <w:rsid w:val="00915CA6"/>
    <w:rsid w:val="00921461"/>
    <w:rsid w:val="00927834"/>
    <w:rsid w:val="009500A6"/>
    <w:rsid w:val="00955342"/>
    <w:rsid w:val="00957C18"/>
    <w:rsid w:val="009659BA"/>
    <w:rsid w:val="00983040"/>
    <w:rsid w:val="00985BF2"/>
    <w:rsid w:val="009B3FB9"/>
    <w:rsid w:val="009C2465"/>
    <w:rsid w:val="009D35A0"/>
    <w:rsid w:val="009D5D51"/>
    <w:rsid w:val="009D6B69"/>
    <w:rsid w:val="009D7EB7"/>
    <w:rsid w:val="009E048A"/>
    <w:rsid w:val="009E08E9"/>
    <w:rsid w:val="009E3DB9"/>
    <w:rsid w:val="009E68EB"/>
    <w:rsid w:val="009E6E35"/>
    <w:rsid w:val="009F0EDA"/>
    <w:rsid w:val="00A03B96"/>
    <w:rsid w:val="00A05B19"/>
    <w:rsid w:val="00A05F44"/>
    <w:rsid w:val="00A1134E"/>
    <w:rsid w:val="00A24E7E"/>
    <w:rsid w:val="00A258C3"/>
    <w:rsid w:val="00A33820"/>
    <w:rsid w:val="00A347C0"/>
    <w:rsid w:val="00A35F33"/>
    <w:rsid w:val="00A51431"/>
    <w:rsid w:val="00A539AD"/>
    <w:rsid w:val="00A620BC"/>
    <w:rsid w:val="00A677A5"/>
    <w:rsid w:val="00A7179F"/>
    <w:rsid w:val="00A759D7"/>
    <w:rsid w:val="00A80567"/>
    <w:rsid w:val="00A83E76"/>
    <w:rsid w:val="00A84942"/>
    <w:rsid w:val="00A94063"/>
    <w:rsid w:val="00AA6219"/>
    <w:rsid w:val="00AA74E0"/>
    <w:rsid w:val="00AB703F"/>
    <w:rsid w:val="00AC1B3F"/>
    <w:rsid w:val="00AC6BB8"/>
    <w:rsid w:val="00AD4ADD"/>
    <w:rsid w:val="00AD6A32"/>
    <w:rsid w:val="00AD6B27"/>
    <w:rsid w:val="00AE008F"/>
    <w:rsid w:val="00AE25DE"/>
    <w:rsid w:val="00AE4504"/>
    <w:rsid w:val="00B01FCD"/>
    <w:rsid w:val="00B1776C"/>
    <w:rsid w:val="00B32776"/>
    <w:rsid w:val="00B52583"/>
    <w:rsid w:val="00B52896"/>
    <w:rsid w:val="00B734E1"/>
    <w:rsid w:val="00B7352C"/>
    <w:rsid w:val="00B81867"/>
    <w:rsid w:val="00B95236"/>
    <w:rsid w:val="00B96BD9"/>
    <w:rsid w:val="00BA1B01"/>
    <w:rsid w:val="00BA2641"/>
    <w:rsid w:val="00BA46A3"/>
    <w:rsid w:val="00BA7CB0"/>
    <w:rsid w:val="00BB37AA"/>
    <w:rsid w:val="00BB7CC3"/>
    <w:rsid w:val="00BC35DA"/>
    <w:rsid w:val="00BC53A0"/>
    <w:rsid w:val="00BD3D38"/>
    <w:rsid w:val="00BE5E77"/>
    <w:rsid w:val="00BE62AD"/>
    <w:rsid w:val="00BF121F"/>
    <w:rsid w:val="00BF1F80"/>
    <w:rsid w:val="00BF696F"/>
    <w:rsid w:val="00BF7F43"/>
    <w:rsid w:val="00C04DA9"/>
    <w:rsid w:val="00C166EF"/>
    <w:rsid w:val="00C17EB0"/>
    <w:rsid w:val="00C27F5F"/>
    <w:rsid w:val="00C30A0F"/>
    <w:rsid w:val="00C36BF6"/>
    <w:rsid w:val="00C37E61"/>
    <w:rsid w:val="00C4581F"/>
    <w:rsid w:val="00C5605A"/>
    <w:rsid w:val="00C70F1B"/>
    <w:rsid w:val="00C71A47"/>
    <w:rsid w:val="00C7464C"/>
    <w:rsid w:val="00C85588"/>
    <w:rsid w:val="00CA1EA4"/>
    <w:rsid w:val="00CC00E9"/>
    <w:rsid w:val="00CC6FD9"/>
    <w:rsid w:val="00CD2341"/>
    <w:rsid w:val="00CD5F92"/>
    <w:rsid w:val="00CD6755"/>
    <w:rsid w:val="00CD6856"/>
    <w:rsid w:val="00CE0089"/>
    <w:rsid w:val="00CE793C"/>
    <w:rsid w:val="00CF193C"/>
    <w:rsid w:val="00D06D0D"/>
    <w:rsid w:val="00D143E4"/>
    <w:rsid w:val="00D173F1"/>
    <w:rsid w:val="00D46E78"/>
    <w:rsid w:val="00D6502C"/>
    <w:rsid w:val="00D74CB0"/>
    <w:rsid w:val="00D8295D"/>
    <w:rsid w:val="00D90737"/>
    <w:rsid w:val="00DC2A65"/>
    <w:rsid w:val="00DC646F"/>
    <w:rsid w:val="00DE15F0"/>
    <w:rsid w:val="00DE5663"/>
    <w:rsid w:val="00DE78AA"/>
    <w:rsid w:val="00E00D40"/>
    <w:rsid w:val="00E037E8"/>
    <w:rsid w:val="00E041DF"/>
    <w:rsid w:val="00E053D0"/>
    <w:rsid w:val="00E05A96"/>
    <w:rsid w:val="00E1448E"/>
    <w:rsid w:val="00E15994"/>
    <w:rsid w:val="00E16CF2"/>
    <w:rsid w:val="00E2345E"/>
    <w:rsid w:val="00E3114E"/>
    <w:rsid w:val="00E31A70"/>
    <w:rsid w:val="00E355F1"/>
    <w:rsid w:val="00E35B02"/>
    <w:rsid w:val="00E4070B"/>
    <w:rsid w:val="00E4306F"/>
    <w:rsid w:val="00E53AE4"/>
    <w:rsid w:val="00E56B8D"/>
    <w:rsid w:val="00E66496"/>
    <w:rsid w:val="00E66B35"/>
    <w:rsid w:val="00E66E10"/>
    <w:rsid w:val="00E769F6"/>
    <w:rsid w:val="00E81A45"/>
    <w:rsid w:val="00E8407C"/>
    <w:rsid w:val="00E84F3C"/>
    <w:rsid w:val="00E957DB"/>
    <w:rsid w:val="00EA012C"/>
    <w:rsid w:val="00EB2C05"/>
    <w:rsid w:val="00EC6A55"/>
    <w:rsid w:val="00ED024F"/>
    <w:rsid w:val="00ED0288"/>
    <w:rsid w:val="00EE52CB"/>
    <w:rsid w:val="00EE648B"/>
    <w:rsid w:val="00EF294A"/>
    <w:rsid w:val="00EF581D"/>
    <w:rsid w:val="00EF61EE"/>
    <w:rsid w:val="00EF7FD8"/>
    <w:rsid w:val="00F06F59"/>
    <w:rsid w:val="00F14DA6"/>
    <w:rsid w:val="00F17988"/>
    <w:rsid w:val="00F239E0"/>
    <w:rsid w:val="00F4117C"/>
    <w:rsid w:val="00F44405"/>
    <w:rsid w:val="00F45A6B"/>
    <w:rsid w:val="00F469F0"/>
    <w:rsid w:val="00F53273"/>
    <w:rsid w:val="00F54CFB"/>
    <w:rsid w:val="00F755E4"/>
    <w:rsid w:val="00F7723D"/>
    <w:rsid w:val="00F77D02"/>
    <w:rsid w:val="00F8615D"/>
    <w:rsid w:val="00FA7DD8"/>
    <w:rsid w:val="00FB3A86"/>
    <w:rsid w:val="00FD36C8"/>
    <w:rsid w:val="00FD67DC"/>
    <w:rsid w:val="00FD77F8"/>
    <w:rsid w:val="00FE00AC"/>
    <w:rsid w:val="00FE6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C3873B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C36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30515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9464710">
      <w:bodyDiv w:val="1"/>
      <w:marLeft w:val="0"/>
      <w:marRight w:val="0"/>
      <w:marTop w:val="0"/>
      <w:marBottom w:val="0"/>
      <w:divBdr>
        <w:top w:val="none" w:sz="0" w:space="0" w:color="auto"/>
        <w:left w:val="none" w:sz="0" w:space="0" w:color="auto"/>
        <w:bottom w:val="none" w:sz="0" w:space="0" w:color="auto"/>
        <w:right w:val="none" w:sz="0" w:space="0" w:color="auto"/>
      </w:divBdr>
    </w:div>
    <w:div w:id="17199091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6048742">
      <w:bodyDiv w:val="1"/>
      <w:marLeft w:val="0"/>
      <w:marRight w:val="0"/>
      <w:marTop w:val="0"/>
      <w:marBottom w:val="0"/>
      <w:divBdr>
        <w:top w:val="none" w:sz="0" w:space="0" w:color="auto"/>
        <w:left w:val="none" w:sz="0" w:space="0" w:color="auto"/>
        <w:bottom w:val="none" w:sz="0" w:space="0" w:color="auto"/>
        <w:right w:val="none" w:sz="0" w:space="0" w:color="auto"/>
      </w:divBdr>
    </w:div>
    <w:div w:id="405152301">
      <w:bodyDiv w:val="1"/>
      <w:marLeft w:val="0"/>
      <w:marRight w:val="0"/>
      <w:marTop w:val="0"/>
      <w:marBottom w:val="0"/>
      <w:divBdr>
        <w:top w:val="none" w:sz="0" w:space="0" w:color="auto"/>
        <w:left w:val="none" w:sz="0" w:space="0" w:color="auto"/>
        <w:bottom w:val="none" w:sz="0" w:space="0" w:color="auto"/>
        <w:right w:val="none" w:sz="0" w:space="0" w:color="auto"/>
      </w:divBdr>
    </w:div>
    <w:div w:id="406073268">
      <w:bodyDiv w:val="1"/>
      <w:marLeft w:val="0"/>
      <w:marRight w:val="0"/>
      <w:marTop w:val="0"/>
      <w:marBottom w:val="0"/>
      <w:divBdr>
        <w:top w:val="none" w:sz="0" w:space="0" w:color="auto"/>
        <w:left w:val="none" w:sz="0" w:space="0" w:color="auto"/>
        <w:bottom w:val="none" w:sz="0" w:space="0" w:color="auto"/>
        <w:right w:val="none" w:sz="0" w:space="0" w:color="auto"/>
      </w:divBdr>
    </w:div>
    <w:div w:id="6302826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4993041">
      <w:bodyDiv w:val="1"/>
      <w:marLeft w:val="0"/>
      <w:marRight w:val="0"/>
      <w:marTop w:val="0"/>
      <w:marBottom w:val="0"/>
      <w:divBdr>
        <w:top w:val="none" w:sz="0" w:space="0" w:color="auto"/>
        <w:left w:val="none" w:sz="0" w:space="0" w:color="auto"/>
        <w:bottom w:val="none" w:sz="0" w:space="0" w:color="auto"/>
        <w:right w:val="none" w:sz="0" w:space="0" w:color="auto"/>
      </w:divBdr>
    </w:div>
    <w:div w:id="694423183">
      <w:bodyDiv w:val="1"/>
      <w:marLeft w:val="0"/>
      <w:marRight w:val="0"/>
      <w:marTop w:val="0"/>
      <w:marBottom w:val="0"/>
      <w:divBdr>
        <w:top w:val="none" w:sz="0" w:space="0" w:color="auto"/>
        <w:left w:val="none" w:sz="0" w:space="0" w:color="auto"/>
        <w:bottom w:val="none" w:sz="0" w:space="0" w:color="auto"/>
        <w:right w:val="none" w:sz="0" w:space="0" w:color="auto"/>
      </w:divBdr>
    </w:div>
    <w:div w:id="886842779">
      <w:bodyDiv w:val="1"/>
      <w:marLeft w:val="0"/>
      <w:marRight w:val="0"/>
      <w:marTop w:val="0"/>
      <w:marBottom w:val="0"/>
      <w:divBdr>
        <w:top w:val="none" w:sz="0" w:space="0" w:color="auto"/>
        <w:left w:val="none" w:sz="0" w:space="0" w:color="auto"/>
        <w:bottom w:val="none" w:sz="0" w:space="0" w:color="auto"/>
        <w:right w:val="none" w:sz="0" w:space="0" w:color="auto"/>
      </w:divBdr>
    </w:div>
    <w:div w:id="97132492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2863277">
      <w:bodyDiv w:val="1"/>
      <w:marLeft w:val="0"/>
      <w:marRight w:val="0"/>
      <w:marTop w:val="0"/>
      <w:marBottom w:val="0"/>
      <w:divBdr>
        <w:top w:val="none" w:sz="0" w:space="0" w:color="auto"/>
        <w:left w:val="none" w:sz="0" w:space="0" w:color="auto"/>
        <w:bottom w:val="none" w:sz="0" w:space="0" w:color="auto"/>
        <w:right w:val="none" w:sz="0" w:space="0" w:color="auto"/>
      </w:divBdr>
    </w:div>
    <w:div w:id="161756513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9662610">
      <w:bodyDiv w:val="1"/>
      <w:marLeft w:val="0"/>
      <w:marRight w:val="0"/>
      <w:marTop w:val="0"/>
      <w:marBottom w:val="0"/>
      <w:divBdr>
        <w:top w:val="none" w:sz="0" w:space="0" w:color="auto"/>
        <w:left w:val="none" w:sz="0" w:space="0" w:color="auto"/>
        <w:bottom w:val="none" w:sz="0" w:space="0" w:color="auto"/>
        <w:right w:val="none" w:sz="0" w:space="0" w:color="auto"/>
      </w:divBdr>
    </w:div>
    <w:div w:id="1838569194">
      <w:bodyDiv w:val="1"/>
      <w:marLeft w:val="0"/>
      <w:marRight w:val="0"/>
      <w:marTop w:val="0"/>
      <w:marBottom w:val="0"/>
      <w:divBdr>
        <w:top w:val="none" w:sz="0" w:space="0" w:color="auto"/>
        <w:left w:val="none" w:sz="0" w:space="0" w:color="auto"/>
        <w:bottom w:val="none" w:sz="0" w:space="0" w:color="auto"/>
        <w:right w:val="none" w:sz="0" w:space="0" w:color="auto"/>
      </w:divBdr>
    </w:div>
    <w:div w:id="18459008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639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ntblcp.org.ng/data-centre"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teams/global-tuberculosis-programme/tb-reports/global-tuberculosis-report-2022"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5ED73-3237-478E-9479-3E5595E1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2054</TotalTime>
  <Pages>9</Pages>
  <Words>3737</Words>
  <Characters>21305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24993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46</cp:revision>
  <cp:lastPrinted>2025-09-15T02:59:00Z</cp:lastPrinted>
  <dcterms:created xsi:type="dcterms:W3CDTF">2025-09-14T02:46:00Z</dcterms:created>
  <dcterms:modified xsi:type="dcterms:W3CDTF">2025-09-17T12:07:00Z</dcterms:modified>
</cp:coreProperties>
</file>