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6F352" w14:textId="77777777" w:rsidR="00C722A6" w:rsidRDefault="00112CFE">
      <w:pPr>
        <w:spacing w:after="0" w:line="360" w:lineRule="auto"/>
        <w:jc w:val="center"/>
        <w:rPr>
          <w:rFonts w:ascii="Times New Roman" w:hAnsi="Times New Roman" w:cs="Times New Roman"/>
        </w:rPr>
      </w:pPr>
      <w:r>
        <w:rPr>
          <w:rFonts w:ascii="Times New Roman" w:hAnsi="Times New Roman" w:cs="Times New Roman"/>
          <w:b/>
          <w:bCs/>
          <w:sz w:val="32"/>
          <w:szCs w:val="32"/>
        </w:rPr>
        <w:t>Psychopathological Issues in Children Living with HIV : A Report on 15 Cases Followed at the Albert Royer National Children's Hospital (CHNEAR) in Dakar.</w:t>
      </w:r>
    </w:p>
    <w:p w14:paraId="654D099B" w14:textId="06D4CDF5" w:rsidR="00C052B2" w:rsidRDefault="00C052B2">
      <w:pPr>
        <w:pBdr>
          <w:top w:val="none" w:sz="4" w:space="0" w:color="auto"/>
          <w:left w:val="none" w:sz="4" w:space="0" w:color="auto"/>
          <w:bottom w:val="none" w:sz="4" w:space="0" w:color="auto"/>
          <w:right w:val="none" w:sz="4" w:space="0" w:color="auto"/>
          <w:between w:val="none" w:sz="4" w:space="0" w:color="auto"/>
          <w:bar w:val="none" w:sz="4" w:color="auto"/>
        </w:pBdr>
        <w:spacing w:after="0" w:line="276" w:lineRule="auto"/>
        <w:jc w:val="both"/>
        <w:rPr>
          <w:color w:val="E2E5E8"/>
          <w:sz w:val="56"/>
        </w:rPr>
      </w:pPr>
    </w:p>
    <w:p w14:paraId="2CEDE43B" w14:textId="3D597610" w:rsidR="00812944" w:rsidRDefault="00812944">
      <w:pPr>
        <w:pBdr>
          <w:top w:val="none" w:sz="4" w:space="0" w:color="auto"/>
          <w:left w:val="none" w:sz="4" w:space="0" w:color="auto"/>
          <w:bottom w:val="none" w:sz="4" w:space="0" w:color="auto"/>
          <w:right w:val="none" w:sz="4" w:space="0" w:color="auto"/>
          <w:between w:val="none" w:sz="4" w:space="0" w:color="auto"/>
          <w:bar w:val="none" w:sz="4" w:color="auto"/>
        </w:pBdr>
        <w:spacing w:after="0" w:line="276" w:lineRule="auto"/>
        <w:jc w:val="both"/>
        <w:rPr>
          <w:color w:val="E2E5E8"/>
          <w:sz w:val="56"/>
        </w:rPr>
      </w:pPr>
    </w:p>
    <w:p w14:paraId="2C131A5B" w14:textId="73E6E707" w:rsidR="00812944" w:rsidRDefault="00812944">
      <w:pPr>
        <w:pBdr>
          <w:top w:val="none" w:sz="4" w:space="0" w:color="auto"/>
          <w:left w:val="none" w:sz="4" w:space="0" w:color="auto"/>
          <w:bottom w:val="none" w:sz="4" w:space="0" w:color="auto"/>
          <w:right w:val="none" w:sz="4" w:space="0" w:color="auto"/>
          <w:between w:val="none" w:sz="4" w:space="0" w:color="auto"/>
          <w:bar w:val="none" w:sz="4" w:color="auto"/>
        </w:pBdr>
        <w:spacing w:after="0" w:line="276" w:lineRule="auto"/>
        <w:jc w:val="both"/>
        <w:rPr>
          <w:color w:val="E2E5E8"/>
          <w:sz w:val="56"/>
        </w:rPr>
      </w:pPr>
    </w:p>
    <w:p w14:paraId="7C39ECCD" w14:textId="77777777" w:rsidR="00812944" w:rsidRDefault="00812944">
      <w:pPr>
        <w:pBdr>
          <w:top w:val="none" w:sz="4" w:space="0" w:color="auto"/>
          <w:left w:val="none" w:sz="4" w:space="0" w:color="auto"/>
          <w:bottom w:val="none" w:sz="4" w:space="0" w:color="auto"/>
          <w:right w:val="none" w:sz="4" w:space="0" w:color="auto"/>
          <w:between w:val="none" w:sz="4" w:space="0" w:color="auto"/>
          <w:bar w:val="none" w:sz="4" w:color="auto"/>
        </w:pBdr>
        <w:spacing w:after="0" w:line="276" w:lineRule="auto"/>
        <w:jc w:val="both"/>
        <w:rPr>
          <w:color w:val="E2E5E8"/>
          <w:sz w:val="56"/>
        </w:rPr>
      </w:pPr>
      <w:bookmarkStart w:id="0" w:name="_GoBack"/>
      <w:bookmarkEnd w:id="0"/>
    </w:p>
    <w:p w14:paraId="415FCEF5" w14:textId="77777777" w:rsidR="00C722A6" w:rsidRDefault="00C722A6">
      <w:pPr>
        <w:pStyle w:val="ListParagraph"/>
        <w:spacing w:before="0" w:after="0"/>
        <w:rPr>
          <w:rFonts w:ascii="Times New Roman" w:hAnsi="Times New Roman" w:cs="Times New Roman"/>
        </w:rPr>
      </w:pPr>
    </w:p>
    <w:p w14:paraId="13935D7B" w14:textId="77777777" w:rsidR="00C722A6" w:rsidRDefault="00112CFE">
      <w:pPr>
        <w:pStyle w:val="ListParagraph"/>
        <w:spacing w:before="0" w:after="0"/>
        <w:ind w:left="0"/>
        <w:jc w:val="left"/>
        <w:rPr>
          <w:rFonts w:ascii="Times New Roman" w:hAnsi="Times New Roman" w:cs="Times New Roman"/>
          <w:b/>
          <w:bCs/>
        </w:rPr>
      </w:pPr>
      <w:r>
        <w:rPr>
          <w:rFonts w:ascii="Times New Roman" w:hAnsi="Times New Roman" w:cs="Times New Roman"/>
          <w:b/>
          <w:bCs/>
        </w:rPr>
        <w:t xml:space="preserve">Abstract </w:t>
      </w:r>
    </w:p>
    <w:p w14:paraId="1775EE4F" w14:textId="77777777" w:rsidR="00C722A6" w:rsidRDefault="00112CFE">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rPr>
      </w:pPr>
      <w:r>
        <w:rPr>
          <w:rFonts w:ascii="Times New Roman" w:hAnsi="Times New Roman" w:cs="Times New Roman"/>
          <w:u w:val="single"/>
        </w:rPr>
        <w:t>Introduction</w:t>
      </w:r>
      <w:r>
        <w:rPr>
          <w:rFonts w:ascii="Times New Roman" w:hAnsi="Times New Roman" w:cs="Times New Roman"/>
        </w:rPr>
        <w:t xml:space="preserve"> : West Africa remains behind in the global AIDS response, particularly among children and adolescents living with HIV (CEaHIV). These children and adolescents constitute a specific population due to the multiple psychological challenges, including the dis</w:t>
      </w:r>
      <w:r>
        <w:rPr>
          <w:rFonts w:ascii="Times New Roman" w:hAnsi="Times New Roman" w:cs="Times New Roman"/>
        </w:rPr>
        <w:t>closure of their HIV status, the impact of infection on their quality of life, and their mental health. Few studies have examined the psychological difficulties of this segment of the population. This motivated the completion of this work, the aim of which</w:t>
      </w:r>
      <w:r>
        <w:rPr>
          <w:rFonts w:ascii="Times New Roman" w:hAnsi="Times New Roman" w:cs="Times New Roman"/>
        </w:rPr>
        <w:t xml:space="preserve"> was to evaluate the quality of life and the prevalence of depression in our study population.</w:t>
      </w:r>
    </w:p>
    <w:p w14:paraId="22441023" w14:textId="77777777" w:rsidR="00C722A6" w:rsidRDefault="00112CFE">
      <w:pPr>
        <w:pBdr>
          <w:top w:val="none" w:sz="4" w:space="0" w:color="auto"/>
          <w:left w:val="none" w:sz="4" w:space="0" w:color="auto"/>
          <w:bottom w:val="none" w:sz="4" w:space="0" w:color="auto"/>
          <w:right w:val="none" w:sz="4" w:space="0" w:color="auto"/>
          <w:between w:val="none" w:sz="4" w:space="0" w:color="auto"/>
          <w:bar w:val="none" w:sz="4" w:color="auto"/>
        </w:pBdr>
        <w:spacing w:line="360" w:lineRule="auto"/>
        <w:jc w:val="both"/>
        <w:rPr>
          <w:rFonts w:ascii="Times New Roman" w:hAnsi="Times New Roman" w:cs="Times New Roman"/>
        </w:rPr>
      </w:pPr>
      <w:r>
        <w:rPr>
          <w:rFonts w:ascii="Times New Roman" w:hAnsi="Times New Roman" w:cs="Times New Roman"/>
          <w:u w:val="single"/>
        </w:rPr>
        <w:t>Patients and Methods</w:t>
      </w:r>
      <w:r>
        <w:rPr>
          <w:rFonts w:ascii="Times New Roman" w:hAnsi="Times New Roman" w:cs="Times New Roman"/>
        </w:rPr>
        <w:t xml:space="preserve"> : This was a mixed-method cross-sectional study over a 6-month period (July 1 to December 31, 2022). The survey was done randomly, from the </w:t>
      </w:r>
      <w:r>
        <w:rPr>
          <w:rFonts w:ascii="Times New Roman" w:hAnsi="Times New Roman" w:cs="Times New Roman"/>
        </w:rPr>
        <w:t>active consultation queue, there were no exclusion criteria. Data collection was conducted using a sociodemographic interview guide and two assessment scales (Kovacs and Beck's CDI and PedsQL).</w:t>
      </w:r>
    </w:p>
    <w:p w14:paraId="282BD47A" w14:textId="77777777" w:rsidR="00C722A6" w:rsidRDefault="00112CFE">
      <w:pPr>
        <w:pStyle w:val="NoSpacing"/>
        <w:spacing w:after="200" w:line="360" w:lineRule="auto"/>
        <w:jc w:val="both"/>
        <w:rPr>
          <w:rFonts w:ascii="Times New Roman" w:hAnsi="Times New Roman" w:cs="Times New Roman"/>
        </w:rPr>
      </w:pPr>
      <w:r>
        <w:rPr>
          <w:rFonts w:ascii="Times New Roman" w:hAnsi="Times New Roman" w:cs="Times New Roman"/>
          <w:u w:val="single"/>
        </w:rPr>
        <w:t>Results</w:t>
      </w:r>
      <w:r>
        <w:rPr>
          <w:rFonts w:ascii="Times New Roman" w:hAnsi="Times New Roman" w:cs="Times New Roman"/>
        </w:rPr>
        <w:t xml:space="preserve"> : The sample consisted of 15 children with a male-to-f</w:t>
      </w:r>
      <w:r>
        <w:rPr>
          <w:rFonts w:ascii="Times New Roman" w:hAnsi="Times New Roman" w:cs="Times New Roman"/>
        </w:rPr>
        <w:t>emale sex ratio of 1.5. The average age was 15 years, with a range of 10 to 18 years. Depression was found in 60% of the children and in orphans (56%), with a female predominance (67%).</w:t>
      </w:r>
    </w:p>
    <w:p w14:paraId="348303EB" w14:textId="77777777" w:rsidR="00C722A6" w:rsidRDefault="00112CFE">
      <w:pPr>
        <w:pStyle w:val="NoSpacing"/>
        <w:spacing w:after="200" w:line="360" w:lineRule="auto"/>
        <w:jc w:val="both"/>
        <w:rPr>
          <w:rFonts w:ascii="Times New Roman" w:hAnsi="Times New Roman" w:cs="Times New Roman"/>
        </w:rPr>
      </w:pPr>
      <w:r>
        <w:rPr>
          <w:rFonts w:ascii="Times New Roman" w:hAnsi="Times New Roman" w:cs="Times New Roman"/>
          <w:u w:val="single"/>
        </w:rPr>
        <w:t>Conclusion</w:t>
      </w:r>
      <w:r>
        <w:rPr>
          <w:rFonts w:ascii="Times New Roman" w:hAnsi="Times New Roman" w:cs="Times New Roman"/>
        </w:rPr>
        <w:t xml:space="preserve"> : This study aimed to highlight the direct and indirect det</w:t>
      </w:r>
      <w:r>
        <w:rPr>
          <w:rFonts w:ascii="Times New Roman" w:hAnsi="Times New Roman" w:cs="Times New Roman"/>
        </w:rPr>
        <w:t>erminants of psychological problems among EAvHIV. The explicitly established link between mental state and physical condition requires collaboration between the various stakeholders involved in childhood. For more effective support, professionals other tha</w:t>
      </w:r>
      <w:r>
        <w:rPr>
          <w:rFonts w:ascii="Times New Roman" w:hAnsi="Times New Roman" w:cs="Times New Roman"/>
        </w:rPr>
        <w:t xml:space="preserve">n psychiatrists could be trained in the use of the </w:t>
      </w:r>
      <w:r>
        <w:rPr>
          <w:rFonts w:ascii="Times New Roman" w:hAnsi="Times New Roman" w:cs="Times New Roman"/>
        </w:rPr>
        <w:lastRenderedPageBreak/>
        <w:t>CDI and PedsQL. This would allow for early detection of depression in this vulnerable population.</w:t>
      </w:r>
    </w:p>
    <w:p w14:paraId="213A1FAC" w14:textId="77777777" w:rsidR="00C722A6" w:rsidRDefault="00112CFE">
      <w:pPr>
        <w:pStyle w:val="NoSpacing"/>
        <w:spacing w:line="360" w:lineRule="auto"/>
        <w:jc w:val="both"/>
        <w:rPr>
          <w:rFonts w:ascii="Times New Roman" w:hAnsi="Times New Roman" w:cs="Times New Roman"/>
        </w:rPr>
      </w:pPr>
      <w:r>
        <w:rPr>
          <w:rFonts w:ascii="Times New Roman" w:hAnsi="Times New Roman" w:cs="Times New Roman"/>
          <w:b/>
          <w:bCs/>
          <w:u w:val="single"/>
        </w:rPr>
        <w:t xml:space="preserve">Keywords </w:t>
      </w:r>
      <w:r>
        <w:rPr>
          <w:rFonts w:ascii="Times New Roman" w:hAnsi="Times New Roman" w:cs="Times New Roman"/>
        </w:rPr>
        <w:t xml:space="preserve">: HIV, </w:t>
      </w:r>
      <w:proofErr w:type="spellStart"/>
      <w:r>
        <w:rPr>
          <w:rFonts w:ascii="Times New Roman" w:hAnsi="Times New Roman" w:cs="Times New Roman"/>
        </w:rPr>
        <w:t>children</w:t>
      </w:r>
      <w:proofErr w:type="spellEnd"/>
      <w:r>
        <w:rPr>
          <w:rFonts w:ascii="Times New Roman" w:hAnsi="Times New Roman" w:cs="Times New Roman"/>
        </w:rPr>
        <w:t xml:space="preserve">, </w:t>
      </w:r>
      <w:proofErr w:type="spellStart"/>
      <w:r>
        <w:rPr>
          <w:rFonts w:ascii="Times New Roman" w:hAnsi="Times New Roman" w:cs="Times New Roman"/>
        </w:rPr>
        <w:t>quality</w:t>
      </w:r>
      <w:proofErr w:type="spellEnd"/>
      <w:r>
        <w:rPr>
          <w:rFonts w:ascii="Times New Roman" w:hAnsi="Times New Roman" w:cs="Times New Roman"/>
        </w:rPr>
        <w:t xml:space="preserve">, </w:t>
      </w:r>
      <w:proofErr w:type="spellStart"/>
      <w:r>
        <w:rPr>
          <w:rFonts w:ascii="Times New Roman" w:hAnsi="Times New Roman" w:cs="Times New Roman"/>
        </w:rPr>
        <w:t>depression</w:t>
      </w:r>
      <w:proofErr w:type="spellEnd"/>
      <w:r>
        <w:rPr>
          <w:rFonts w:ascii="Times New Roman" w:hAnsi="Times New Roman" w:cs="Times New Roman"/>
        </w:rPr>
        <w:t>, Dakar.</w:t>
      </w:r>
    </w:p>
    <w:p w14:paraId="049AB836" w14:textId="77777777" w:rsidR="00C052B2" w:rsidRDefault="00C052B2">
      <w:pPr>
        <w:pStyle w:val="NoSpacing"/>
        <w:spacing w:line="360" w:lineRule="auto"/>
        <w:jc w:val="both"/>
        <w:rPr>
          <w:rFonts w:ascii="Times New Roman" w:hAnsi="Times New Roman" w:cs="Times New Roman"/>
          <w:b/>
          <w:bCs/>
        </w:rPr>
      </w:pPr>
    </w:p>
    <w:p w14:paraId="4DDDC008" w14:textId="77777777" w:rsidR="00C722A6" w:rsidRDefault="00112CFE">
      <w:pPr>
        <w:spacing w:after="0" w:line="360" w:lineRule="auto"/>
        <w:jc w:val="both"/>
        <w:rPr>
          <w:rFonts w:ascii="Times New Roman" w:hAnsi="Times New Roman" w:cs="Times New Roman"/>
          <w:b/>
          <w:bCs/>
        </w:rPr>
      </w:pPr>
      <w:r>
        <w:rPr>
          <w:rFonts w:ascii="Times New Roman" w:hAnsi="Times New Roman" w:cs="Times New Roman"/>
          <w:b/>
          <w:bCs/>
        </w:rPr>
        <w:t>Introduction</w:t>
      </w:r>
    </w:p>
    <w:p w14:paraId="4F1CD5BC"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Globally, 1.7 million children aged 10 </w:t>
      </w:r>
      <w:r>
        <w:rPr>
          <w:rFonts w:ascii="Times New Roman" w:hAnsi="Times New Roman" w:cs="Times New Roman"/>
        </w:rPr>
        <w:t>to 19 were living with HIV in 2022. In West and Central African countries, the number of children and adolescents living with HIV was estimated at 300,000. In Senegal, the UNICEF report mentioned approximately 6,000 EAvHIV. These children constitute a spec</w:t>
      </w:r>
      <w:r>
        <w:rPr>
          <w:rFonts w:ascii="Times New Roman" w:hAnsi="Times New Roman" w:cs="Times New Roman"/>
        </w:rPr>
        <w:t xml:space="preserve">ific vulnerable population. Indeed, this age corresponds to transitions marked by overwhelming physical and psychological changes, influenced by several factors (individual, familial, and environmental) </w:t>
      </w:r>
      <w:r>
        <w:rPr>
          <w:rFonts w:ascii="Times New Roman" w:hAnsi="Times New Roman" w:cs="Times New Roman"/>
          <w:b/>
          <w:bCs/>
        </w:rPr>
        <w:t>[1, 2]</w:t>
      </w:r>
      <w:r>
        <w:rPr>
          <w:rFonts w:ascii="Times New Roman" w:hAnsi="Times New Roman" w:cs="Times New Roman"/>
        </w:rPr>
        <w:t>.</w:t>
      </w:r>
    </w:p>
    <w:p w14:paraId="20407D8B"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EAvHIV must face the multiple psychological c</w:t>
      </w:r>
      <w:r>
        <w:rPr>
          <w:rFonts w:ascii="Times New Roman" w:hAnsi="Times New Roman" w:cs="Times New Roman"/>
        </w:rPr>
        <w:t xml:space="preserve">hallenges of comprehensive care, including disclosure of HIV status, treatment adherence, and the risk of stigmatization. Studies examining the impact of this condition on the mental health of children and adolescents remain rare in our country </w:t>
      </w:r>
      <w:r>
        <w:rPr>
          <w:rFonts w:ascii="Times New Roman" w:hAnsi="Times New Roman" w:cs="Times New Roman"/>
          <w:b/>
          <w:bCs/>
        </w:rPr>
        <w:t>[3]</w:t>
      </w:r>
      <w:r>
        <w:rPr>
          <w:rFonts w:ascii="Times New Roman" w:hAnsi="Times New Roman" w:cs="Times New Roman"/>
        </w:rPr>
        <w:t xml:space="preserve">.  </w:t>
      </w:r>
    </w:p>
    <w:p w14:paraId="651CF4B7"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This</w:t>
      </w:r>
      <w:r>
        <w:rPr>
          <w:rFonts w:ascii="Times New Roman" w:hAnsi="Times New Roman" w:cs="Times New Roman"/>
        </w:rPr>
        <w:t xml:space="preserve"> work highlighted the psychological impact and psycho-pathological issues faced by this juvenile population.</w:t>
      </w:r>
    </w:p>
    <w:p w14:paraId="22E50BAA" w14:textId="77777777" w:rsidR="00C722A6" w:rsidRDefault="00C722A6">
      <w:pPr>
        <w:spacing w:after="0" w:line="360" w:lineRule="auto"/>
        <w:jc w:val="both"/>
        <w:rPr>
          <w:rFonts w:ascii="Times New Roman" w:hAnsi="Times New Roman" w:cs="Times New Roman"/>
        </w:rPr>
      </w:pPr>
    </w:p>
    <w:p w14:paraId="47FD43E9" w14:textId="77777777" w:rsidR="00C722A6" w:rsidRDefault="00112CFE">
      <w:pPr>
        <w:spacing w:after="0" w:line="360" w:lineRule="auto"/>
        <w:jc w:val="both"/>
        <w:rPr>
          <w:rFonts w:ascii="Times New Roman" w:hAnsi="Times New Roman" w:cs="Times New Roman"/>
          <w:b/>
          <w:bCs/>
        </w:rPr>
      </w:pPr>
      <w:r>
        <w:rPr>
          <w:rFonts w:ascii="Times New Roman" w:hAnsi="Times New Roman" w:cs="Times New Roman"/>
          <w:b/>
          <w:bCs/>
        </w:rPr>
        <w:t>Patients and Methods</w:t>
      </w:r>
    </w:p>
    <w:p w14:paraId="5A23229A"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This study was conducted at the Mother-Child Unit of the Albert Royer National Children's Hospital. This center is classified</w:t>
      </w:r>
      <w:r>
        <w:rPr>
          <w:rFonts w:ascii="Times New Roman" w:hAnsi="Times New Roman" w:cs="Times New Roman"/>
        </w:rPr>
        <w:t xml:space="preserve"> as level 3 on the Senegalese health map and provides care to children aged 0 to 15 years. It comprises several units, including the Child and Adolescent Neuropsychiatry Department. The latter offers psychosocial support. Follow-up is provided by a neurops</w:t>
      </w:r>
      <w:r>
        <w:rPr>
          <w:rFonts w:ascii="Times New Roman" w:hAnsi="Times New Roman" w:cs="Times New Roman"/>
        </w:rPr>
        <w:t>ychiatrist and a psychologist during consultations. These meetings are held at the request of the family or healthcare staff.</w:t>
      </w:r>
    </w:p>
    <w:p w14:paraId="10F34970"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This is a cross-sectional study with a mixed design conducted over a six-month period (July 1 to December 31, 2022). The populatio</w:t>
      </w:r>
      <w:r>
        <w:rPr>
          <w:rFonts w:ascii="Times New Roman" w:hAnsi="Times New Roman" w:cs="Times New Roman"/>
        </w:rPr>
        <w:t>n consists of EAvHIV patients aged 10 to 18 years.</w:t>
      </w:r>
    </w:p>
    <w:p w14:paraId="6054F8D8"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survey is conducted randomly, based on the active consultation queue, there were no exclusion criteria.</w:t>
      </w:r>
    </w:p>
    <w:p w14:paraId="36DB6849"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Data collection was conducted using a sociodemographic interview guide administered to the childr</w:t>
      </w:r>
      <w:r>
        <w:rPr>
          <w:rFonts w:ascii="Times New Roman" w:hAnsi="Times New Roman" w:cs="Times New Roman"/>
        </w:rPr>
        <w:t>en and two assessment scales.  These were the Kovacs and Beck Children's Depression Inventory (CDI) and the Pediatric Quality of Life Questionnaire (PedsQL).</w:t>
      </w:r>
    </w:p>
    <w:p w14:paraId="1A3C8EFD"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lastRenderedPageBreak/>
        <w:t>The interview guide was a unique questionnaire, designed specifically for this research. The quest</w:t>
      </w:r>
      <w:r>
        <w:rPr>
          <w:rFonts w:ascii="Times New Roman" w:hAnsi="Times New Roman" w:cs="Times New Roman"/>
        </w:rPr>
        <w:t>ionnaire was administered on paper and lasted an average of 15 minutes, with respect for anonymity and confidentiality. It included several sections exploring marital status, education level, and experience of the illness.</w:t>
      </w:r>
    </w:p>
    <w:p w14:paraId="20464AEA"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CDI is an adaptation of the B</w:t>
      </w:r>
      <w:r>
        <w:rPr>
          <w:rFonts w:ascii="Times New Roman" w:hAnsi="Times New Roman" w:cs="Times New Roman"/>
        </w:rPr>
        <w:t>eck Inventory for children aged 7 to 17. Developed by Kovacs and Beck, the best-known version includes 27 items. It was administered individually. Scoring ranges from 0 to 2. The higher the score, the greater the severity of depression.</w:t>
      </w:r>
    </w:p>
    <w:p w14:paraId="43B4C607"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PedsQL is an in</w:t>
      </w:r>
      <w:r>
        <w:rPr>
          <w:rFonts w:ascii="Times New Roman" w:hAnsi="Times New Roman" w:cs="Times New Roman"/>
        </w:rPr>
        <w:t>strument that assesses health-related quality of life (QOL) in diverse pediatric populations. It has two parts : one administered to the child and the other for parents. The test items are grouped into four domains.</w:t>
      </w:r>
    </w:p>
    <w:p w14:paraId="091DDE47"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The administration time was </w:t>
      </w:r>
      <w:r>
        <w:rPr>
          <w:rFonts w:ascii="Times New Roman" w:hAnsi="Times New Roman" w:cs="Times New Roman"/>
        </w:rPr>
        <w:t>approximately 5 minutes. Scores are linearly transformed onto a scale between 0 and 100, summed, and divided by the number of items completed; higher scores are associated with better health-related quality of life. The results are combined into three diff</w:t>
      </w:r>
      <w:r>
        <w:rPr>
          <w:rFonts w:ascii="Times New Roman" w:hAnsi="Times New Roman" w:cs="Times New Roman"/>
        </w:rPr>
        <w:t>erent scores : global (average of the 23 items);  physical health (means of physical functioning items) and psychosocial health (means of emotional, social, and academic functioning items).</w:t>
      </w:r>
    </w:p>
    <w:p w14:paraId="59E4F433"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A global score between 0 and 60 indicates low functioning, between</w:t>
      </w:r>
      <w:r>
        <w:rPr>
          <w:rFonts w:ascii="Times New Roman" w:hAnsi="Times New Roman" w:cs="Times New Roman"/>
        </w:rPr>
        <w:t xml:space="preserve"> 61 and 80 indicates intermediate functioning, and above 80 indicates high functioning.</w:t>
      </w:r>
    </w:p>
    <w:p w14:paraId="3F794163"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Reliability: Adequate to excellent internal consistency, for questionnaires completed by the child/adolescent (α=.61-.91) and by the parent (α=.58-.92).</w:t>
      </w:r>
    </w:p>
    <w:p w14:paraId="29CE4C48"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Validity: Suppo</w:t>
      </w:r>
      <w:r>
        <w:rPr>
          <w:rFonts w:ascii="Times New Roman" w:hAnsi="Times New Roman" w:cs="Times New Roman"/>
        </w:rPr>
        <w:t>rted by significant correlation with indicators of morbidity and disease burden, as well as known-group validity studies revealing that the PedsQL has a strong ability to distinguish healthy children from those with acute or chronic conditions.  The data w</w:t>
      </w:r>
      <w:r>
        <w:rPr>
          <w:rFonts w:ascii="Times New Roman" w:hAnsi="Times New Roman" w:cs="Times New Roman"/>
        </w:rPr>
        <w:t>ere processed as follows:</w:t>
      </w:r>
    </w:p>
    <w:p w14:paraId="6A512D69"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Qualitative analysis: based on clinical assessments during interviews with the children</w:t>
      </w:r>
    </w:p>
    <w:p w14:paraId="47480B62" w14:textId="77777777" w:rsidR="00C722A6" w:rsidRDefault="00112CFE">
      <w:pPr>
        <w:spacing w:line="360" w:lineRule="auto"/>
        <w:jc w:val="both"/>
        <w:rPr>
          <w:rFonts w:ascii="Times New Roman" w:hAnsi="Times New Roman" w:cs="Times New Roman"/>
        </w:rPr>
      </w:pPr>
      <w:r>
        <w:rPr>
          <w:rFonts w:ascii="Times New Roman" w:hAnsi="Times New Roman" w:cs="Times New Roman"/>
        </w:rPr>
        <w:t>- Quantitative analysis: The collected data were anonymized, coded, and analyzed using Polaris Office Editor version 8.5.03.</w:t>
      </w:r>
    </w:p>
    <w:p w14:paraId="31E97A35" w14:textId="77777777" w:rsidR="00C722A6" w:rsidRDefault="00112CFE">
      <w:pPr>
        <w:spacing w:after="0" w:line="360" w:lineRule="auto"/>
        <w:jc w:val="both"/>
        <w:rPr>
          <w:rFonts w:ascii="Times New Roman" w:hAnsi="Times New Roman" w:cs="Times New Roman"/>
          <w:b/>
          <w:bCs/>
        </w:rPr>
      </w:pPr>
      <w:r>
        <w:rPr>
          <w:rFonts w:ascii="Times New Roman" w:hAnsi="Times New Roman" w:cs="Times New Roman"/>
          <w:b/>
          <w:bCs/>
        </w:rPr>
        <w:t>Results</w:t>
      </w:r>
    </w:p>
    <w:p w14:paraId="6502014B"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stu</w:t>
      </w:r>
      <w:r>
        <w:rPr>
          <w:rFonts w:ascii="Times New Roman" w:hAnsi="Times New Roman" w:cs="Times New Roman"/>
        </w:rPr>
        <w:t>dy population consisted of 15 children and 11 parents or guardians.</w:t>
      </w:r>
    </w:p>
    <w:p w14:paraId="18F88360"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Boys were more prevalent, with 60% and a male-to-female sex ratio of 1.5.</w:t>
      </w:r>
    </w:p>
    <w:p w14:paraId="10D4A749"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average age was 15 years, with a range of 10 to 18 years; 53.3%, or 8 children, were over 16 years old. The ag</w:t>
      </w:r>
      <w:r>
        <w:rPr>
          <w:rFonts w:ascii="Times New Roman" w:hAnsi="Times New Roman" w:cs="Times New Roman"/>
        </w:rPr>
        <w:t>e distribution is shown in Figure 1.</w:t>
      </w:r>
    </w:p>
    <w:p w14:paraId="492251D8" w14:textId="77777777" w:rsidR="00C722A6" w:rsidRDefault="00C722A6">
      <w:pPr>
        <w:spacing w:after="0" w:line="360" w:lineRule="auto"/>
        <w:jc w:val="both"/>
        <w:rPr>
          <w:rFonts w:ascii="Times New Roman" w:hAnsi="Times New Roman" w:cs="Times New Roman"/>
        </w:rPr>
      </w:pPr>
    </w:p>
    <w:p w14:paraId="44AA9965" w14:textId="77777777" w:rsidR="00C722A6" w:rsidRDefault="00C722A6">
      <w:pPr>
        <w:spacing w:after="0" w:line="360" w:lineRule="auto"/>
        <w:jc w:val="both"/>
        <w:rPr>
          <w:rFonts w:ascii="Times New Roman" w:hAnsi="Times New Roman" w:cs="Times New Roman"/>
        </w:rPr>
      </w:pPr>
    </w:p>
    <w:p w14:paraId="5FCB8DEF" w14:textId="77777777" w:rsidR="00C722A6" w:rsidRDefault="00C722A6">
      <w:pPr>
        <w:spacing w:after="0" w:line="360" w:lineRule="auto"/>
        <w:jc w:val="both"/>
        <w:rPr>
          <w:rFonts w:ascii="Times New Roman" w:hAnsi="Times New Roman" w:cs="Times New Roman"/>
        </w:rPr>
      </w:pPr>
    </w:p>
    <w:p w14:paraId="1F10E64A" w14:textId="77777777" w:rsidR="00C722A6" w:rsidRDefault="00112CFE">
      <w:pPr>
        <w:spacing w:after="0" w:line="360" w:lineRule="auto"/>
        <w:jc w:val="both"/>
        <w:rPr>
          <w:rFonts w:ascii="Times New Roman" w:hAnsi="Times New Roman" w:cs="Times New Roman"/>
          <w:b/>
        </w:rPr>
      </w:pPr>
      <w:r>
        <w:rPr>
          <w:rFonts w:ascii="Times New Roman" w:hAnsi="Times New Roman" w:cs="Times New Roman"/>
          <w:b/>
          <w:noProof/>
        </w:rPr>
        <w:drawing>
          <wp:anchor distT="0" distB="0" distL="118872" distR="118872" simplePos="0" relativeHeight="251659264" behindDoc="0" locked="0" layoutInCell="1" allowOverlap="1" wp14:anchorId="1F98D7E7" wp14:editId="459F8785">
            <wp:simplePos x="0" y="0"/>
            <wp:positionH relativeFrom="margin">
              <wp:posOffset>201930</wp:posOffset>
            </wp:positionH>
            <wp:positionV relativeFrom="margin">
              <wp:posOffset>410845</wp:posOffset>
            </wp:positionV>
            <wp:extent cx="5448300" cy="5743575"/>
            <wp:effectExtent l="0" t="0" r="0" b="0"/>
            <wp:wrapSquare wrapText="bothSides"/>
            <wp:docPr id="1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7"/>
                    <a:srcRect/>
                    <a:stretch>
                      <a:fillRect/>
                    </a:stretch>
                  </pic:blipFill>
                  <pic:spPr>
                    <a:xfrm>
                      <a:off x="0" y="0"/>
                      <a:ext cx="5448300" cy="5743575"/>
                    </a:xfrm>
                    <a:prstGeom prst="rect">
                      <a:avLst/>
                    </a:prstGeom>
                    <a:noFill/>
                    <a:ln cap="flat">
                      <a:noFill/>
                      <a:miter/>
                    </a:ln>
                  </pic:spPr>
                </pic:pic>
              </a:graphicData>
            </a:graphic>
          </wp:anchor>
        </w:drawing>
      </w:r>
    </w:p>
    <w:p w14:paraId="665F5DE7" w14:textId="77777777" w:rsidR="00C722A6" w:rsidRDefault="00C722A6">
      <w:pPr>
        <w:spacing w:after="0" w:line="360" w:lineRule="auto"/>
        <w:jc w:val="both"/>
        <w:rPr>
          <w:rFonts w:ascii="Times New Roman" w:hAnsi="Times New Roman" w:cs="Times New Roman"/>
          <w:b/>
          <w:bCs/>
        </w:rPr>
      </w:pPr>
    </w:p>
    <w:p w14:paraId="73A24985"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b/>
          <w:bCs/>
        </w:rPr>
        <w:t>Figure 1</w:t>
      </w:r>
      <w:r>
        <w:rPr>
          <w:rFonts w:ascii="Times New Roman" w:hAnsi="Times New Roman" w:cs="Times New Roman"/>
        </w:rPr>
        <w:t xml:space="preserve"> : Distribution of patients according to age.</w:t>
      </w:r>
    </w:p>
    <w:p w14:paraId="33EB7505"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br w:type="page"/>
      </w:r>
    </w:p>
    <w:p w14:paraId="6AF50479"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lastRenderedPageBreak/>
        <w:t>Out-of-school children represented 33% (n=5). The results are presented in Figure 2.</w:t>
      </w:r>
    </w:p>
    <w:p w14:paraId="54B996FC" w14:textId="77777777" w:rsidR="00C722A6" w:rsidRDefault="00C722A6">
      <w:pPr>
        <w:spacing w:after="0" w:line="360" w:lineRule="auto"/>
        <w:jc w:val="both"/>
        <w:rPr>
          <w:rFonts w:ascii="Times New Roman" w:hAnsi="Times New Roman" w:cs="Times New Roman"/>
        </w:rPr>
      </w:pPr>
    </w:p>
    <w:p w14:paraId="6EE2134B"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noProof/>
        </w:rPr>
        <w:drawing>
          <wp:inline distT="0" distB="0" distL="118872" distR="118872" wp14:anchorId="141EC18D" wp14:editId="7AF3F597">
            <wp:extent cx="5452745" cy="4725670"/>
            <wp:effectExtent l="0" t="0" r="0" b="0"/>
            <wp:docPr id="2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8"/>
                    <a:srcRect/>
                    <a:stretch>
                      <a:fillRect/>
                    </a:stretch>
                  </pic:blipFill>
                  <pic:spPr>
                    <a:xfrm>
                      <a:off x="0" y="0"/>
                      <a:ext cx="5452745" cy="4725670"/>
                    </a:xfrm>
                    <a:prstGeom prst="rect">
                      <a:avLst/>
                    </a:prstGeom>
                    <a:noFill/>
                    <a:ln cap="flat">
                      <a:noFill/>
                      <a:miter/>
                    </a:ln>
                  </pic:spPr>
                </pic:pic>
              </a:graphicData>
            </a:graphic>
          </wp:inline>
        </w:drawing>
      </w:r>
    </w:p>
    <w:p w14:paraId="720B049A" w14:textId="77777777" w:rsidR="00C722A6" w:rsidRDefault="00C722A6">
      <w:pPr>
        <w:spacing w:after="0" w:line="360" w:lineRule="auto"/>
        <w:jc w:val="both"/>
        <w:rPr>
          <w:rFonts w:ascii="Times New Roman" w:hAnsi="Times New Roman" w:cs="Times New Roman"/>
          <w:b/>
          <w:bCs/>
        </w:rPr>
      </w:pPr>
    </w:p>
    <w:p w14:paraId="2BBC7890"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b/>
          <w:bCs/>
        </w:rPr>
        <w:t>Figure 2</w:t>
      </w:r>
      <w:r>
        <w:rPr>
          <w:rFonts w:ascii="Times New Roman" w:hAnsi="Times New Roman" w:cs="Times New Roman"/>
        </w:rPr>
        <w:t xml:space="preserve"> : Distribution of patients according to education.</w:t>
      </w:r>
    </w:p>
    <w:p w14:paraId="786A0673"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ages</w:t>
      </w:r>
      <w:r>
        <w:rPr>
          <w:rFonts w:ascii="Times New Roman" w:hAnsi="Times New Roman" w:cs="Times New Roman"/>
        </w:rPr>
        <w:t xml:space="preserve"> at which the diagnosis was made ranged from 11 to 14 years. 53.3% (8 cases) had HIV status known between 12 and 13 years. One child, or 6%, was unaware of their HIV status. He was 10 years old.</w:t>
      </w:r>
    </w:p>
    <w:p w14:paraId="16865753"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children were orphans in 46.6% of cases (n = 7). They had</w:t>
      </w:r>
      <w:r>
        <w:rPr>
          <w:rFonts w:ascii="Times New Roman" w:hAnsi="Times New Roman" w:cs="Times New Roman"/>
        </w:rPr>
        <w:t xml:space="preserve"> lost their fathers in 20% of cases (n = 3), and maternal orphans accounted for 27% (n = 4).</w:t>
      </w:r>
    </w:p>
    <w:p w14:paraId="3AD0D435"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According to the CDI, depression was found in 60% of cases (n = 9). It predominated in females at 67% (n = 6), and boys represented 33% (n = 3).</w:t>
      </w:r>
    </w:p>
    <w:p w14:paraId="7869D2E9"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Among the depresse</w:t>
      </w:r>
      <w:r>
        <w:rPr>
          <w:rFonts w:ascii="Times New Roman" w:hAnsi="Times New Roman" w:cs="Times New Roman"/>
        </w:rPr>
        <w:t>d patients, 55% (n = 5) were between 16 and 18 years old.</w:t>
      </w:r>
    </w:p>
    <w:p w14:paraId="0ECD36CC"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 The correlation between depressed children and orphans showed that the latter accounted for 56% of cases of depression.</w:t>
      </w:r>
    </w:p>
    <w:p w14:paraId="71BBF737"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lastRenderedPageBreak/>
        <w:t xml:space="preserve">The PedsQL assessment in children reported poor quality of life in 20% of </w:t>
      </w:r>
      <w:r>
        <w:rPr>
          <w:rFonts w:ascii="Times New Roman" w:hAnsi="Times New Roman" w:cs="Times New Roman"/>
        </w:rPr>
        <w:t>cases (n=3) and moderate quality of life in 60% of cases (n=9). Interviews were not conducted in 26% of parents (n=4).</w:t>
      </w:r>
    </w:p>
    <w:p w14:paraId="5307E148"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A comparison was made between the scores obtained from the children and the parents. The latter reported poor or intermediate quality of </w:t>
      </w:r>
      <w:r>
        <w:rPr>
          <w:rFonts w:ascii="Times New Roman" w:hAnsi="Times New Roman" w:cs="Times New Roman"/>
        </w:rPr>
        <w:t>life in their children.</w:t>
      </w:r>
    </w:p>
    <w:p w14:paraId="705A5B00"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correlation between the PedsQL scores and age revealed that all patients with poor quality of life, or 20% of the sample, were between 16 and 18 years of age.</w:t>
      </w:r>
    </w:p>
    <w:p w14:paraId="5561F2A7"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All female patients had either poor or intermediate quality of life. </w:t>
      </w:r>
      <w:r>
        <w:rPr>
          <w:rFonts w:ascii="Times New Roman" w:hAnsi="Times New Roman" w:cs="Times New Roman"/>
        </w:rPr>
        <w:t>They represented 40% of cases (n=9).  The correlation between PedsQL scores and gender is illustrated in Figure 3.</w:t>
      </w:r>
    </w:p>
    <w:p w14:paraId="29A6E0FD" w14:textId="77777777" w:rsidR="00C722A6" w:rsidRDefault="00C722A6">
      <w:pPr>
        <w:spacing w:after="0" w:line="360" w:lineRule="auto"/>
        <w:jc w:val="both"/>
        <w:rPr>
          <w:rFonts w:ascii="Times New Roman" w:hAnsi="Times New Roman" w:cs="Times New Roman"/>
        </w:rPr>
      </w:pPr>
    </w:p>
    <w:p w14:paraId="0212081B"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noProof/>
        </w:rPr>
        <w:drawing>
          <wp:inline distT="0" distB="0" distL="118872" distR="118872" wp14:anchorId="7C21AAF9" wp14:editId="32A8FBE2">
            <wp:extent cx="5829300" cy="4407535"/>
            <wp:effectExtent l="0" t="0" r="0" b="0"/>
            <wp:docPr id="2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a:srcRect/>
                    <a:stretch>
                      <a:fillRect/>
                    </a:stretch>
                  </pic:blipFill>
                  <pic:spPr>
                    <a:xfrm>
                      <a:off x="0" y="0"/>
                      <a:ext cx="5829300" cy="4407535"/>
                    </a:xfrm>
                    <a:prstGeom prst="rect">
                      <a:avLst/>
                    </a:prstGeom>
                    <a:noFill/>
                    <a:ln cap="flat">
                      <a:noFill/>
                      <a:miter/>
                    </a:ln>
                  </pic:spPr>
                </pic:pic>
              </a:graphicData>
            </a:graphic>
          </wp:inline>
        </w:drawing>
      </w:r>
    </w:p>
    <w:p w14:paraId="08CD9E26" w14:textId="77777777" w:rsidR="00C722A6" w:rsidRDefault="00C722A6">
      <w:pPr>
        <w:spacing w:after="0" w:line="360" w:lineRule="auto"/>
        <w:jc w:val="both"/>
        <w:rPr>
          <w:rFonts w:ascii="Times New Roman" w:hAnsi="Times New Roman" w:cs="Times New Roman"/>
          <w:b/>
        </w:rPr>
      </w:pPr>
    </w:p>
    <w:p w14:paraId="5338BCF8"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b/>
          <w:bCs/>
        </w:rPr>
        <w:t xml:space="preserve">Figure 3 </w:t>
      </w:r>
      <w:r>
        <w:rPr>
          <w:rFonts w:ascii="Times New Roman" w:hAnsi="Times New Roman" w:cs="Times New Roman"/>
        </w:rPr>
        <w:t>: Distribution of patients according to quality of life and gender.</w:t>
      </w:r>
    </w:p>
    <w:p w14:paraId="42B66A86" w14:textId="77777777" w:rsidR="00C722A6" w:rsidRDefault="00C722A6">
      <w:pPr>
        <w:spacing w:after="0" w:line="360" w:lineRule="auto"/>
        <w:jc w:val="both"/>
        <w:rPr>
          <w:rFonts w:ascii="Times New Roman" w:hAnsi="Times New Roman" w:cs="Times New Roman"/>
        </w:rPr>
      </w:pPr>
    </w:p>
    <w:p w14:paraId="6B216B92"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correlation between PedsQL scores and orphan/non-orphan</w:t>
      </w:r>
      <w:r>
        <w:rPr>
          <w:rFonts w:ascii="Times New Roman" w:hAnsi="Times New Roman" w:cs="Times New Roman"/>
        </w:rPr>
        <w:t xml:space="preserve"> status showed that all orphans had a poor or intermediate quality of life, representing 47% of cases (n=7).</w:t>
      </w:r>
    </w:p>
    <w:p w14:paraId="7C28B885"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Among patients with a poor quality of life (low functioning), orphans represented 67% of cases (i.e., two-thirds).</w:t>
      </w:r>
    </w:p>
    <w:p w14:paraId="413BC984" w14:textId="77777777" w:rsidR="00C722A6" w:rsidRDefault="00112CFE">
      <w:pPr>
        <w:spacing w:after="0" w:line="360" w:lineRule="auto"/>
        <w:jc w:val="both"/>
        <w:rPr>
          <w:rFonts w:ascii="Times New Roman" w:hAnsi="Times New Roman" w:cs="Times New Roman"/>
          <w:b/>
          <w:bCs/>
        </w:rPr>
      </w:pPr>
      <w:r>
        <w:rPr>
          <w:rFonts w:ascii="Times New Roman" w:hAnsi="Times New Roman" w:cs="Times New Roman"/>
          <w:b/>
          <w:bCs/>
        </w:rPr>
        <w:lastRenderedPageBreak/>
        <w:t>Discussion</w:t>
      </w:r>
    </w:p>
    <w:p w14:paraId="2DAEA8E4"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 Limitations of the </w:t>
      </w:r>
      <w:r>
        <w:rPr>
          <w:rFonts w:ascii="Times New Roman" w:hAnsi="Times New Roman" w:cs="Times New Roman"/>
        </w:rPr>
        <w:t>work : administering questionnaires in a national language can induce translation bias. We attempted to minimize this by retaining a single administrator. The CDI questions are not always adapted to cultural perceptions of depressive symptoms. According to</w:t>
      </w:r>
      <w:r>
        <w:rPr>
          <w:rFonts w:ascii="Times New Roman" w:hAnsi="Times New Roman" w:cs="Times New Roman"/>
        </w:rPr>
        <w:t xml:space="preserve"> Dugas and Bouvard, a literature review indicates that a score greater than or equal to 15 would be synonymous with a depressive state. However, a more in-depth clinical examination in parallel would allow for a correlation between CDI and psychiatric clin</w:t>
      </w:r>
      <w:r>
        <w:rPr>
          <w:rFonts w:ascii="Times New Roman" w:hAnsi="Times New Roman" w:cs="Times New Roman"/>
        </w:rPr>
        <w:t xml:space="preserve">ical assessment </w:t>
      </w:r>
      <w:r>
        <w:rPr>
          <w:rFonts w:ascii="Times New Roman" w:hAnsi="Times New Roman" w:cs="Times New Roman"/>
          <w:b/>
          <w:bCs/>
        </w:rPr>
        <w:t>[4]</w:t>
      </w:r>
      <w:r>
        <w:rPr>
          <w:rFonts w:ascii="Times New Roman" w:hAnsi="Times New Roman" w:cs="Times New Roman"/>
        </w:rPr>
        <w:t>.</w:t>
      </w:r>
    </w:p>
    <w:p w14:paraId="209207CD"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In addition, the limited sample size precludes generalization of the results.  This small sample could be explained, among other factors, by the psychiatric liaison work carried out on an ad hoc (non-regular) basis. This is done in col</w:t>
      </w:r>
      <w:r>
        <w:rPr>
          <w:rFonts w:ascii="Times New Roman" w:hAnsi="Times New Roman" w:cs="Times New Roman"/>
        </w:rPr>
        <w:t>laboration with the neuropsychology unit and the care team of the Esther mother/child unit of the CHNEAR. The neuropsychiatrist's activity includes, on the one hand, investigation and neuropsychological care. Cases are not systematically referred. They are</w:t>
      </w:r>
      <w:r>
        <w:rPr>
          <w:rFonts w:ascii="Times New Roman" w:hAnsi="Times New Roman" w:cs="Times New Roman"/>
        </w:rPr>
        <w:t xml:space="preserve"> only referred if pediatricians suspect an alteration in psychological functioning. Following this, a specialized assessment is carried out by the psychiatrist who offers a space for consultation for care indications in complex situations and, if necessary</w:t>
      </w:r>
      <w:r>
        <w:rPr>
          <w:rFonts w:ascii="Times New Roman" w:hAnsi="Times New Roman" w:cs="Times New Roman"/>
        </w:rPr>
        <w:t>, psychotherapeutic follow-up.</w:t>
      </w:r>
    </w:p>
    <w:p w14:paraId="1D41F634" w14:textId="77777777" w:rsidR="00C722A6" w:rsidRDefault="00112CFE">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rPr>
      </w:pPr>
      <w:r>
        <w:rPr>
          <w:rFonts w:ascii="Times New Roman" w:hAnsi="Times New Roman" w:cs="Times New Roman"/>
        </w:rPr>
        <w:t>- Distribution of children by sex : the male predominance could be explained by the slight preponderance of boys in the Senegalese population among those under 19, i.e. 50.6%. These figures are comparable to those of Thiam wh</w:t>
      </w:r>
      <w:r>
        <w:rPr>
          <w:rFonts w:ascii="Times New Roman" w:hAnsi="Times New Roman" w:cs="Times New Roman"/>
        </w:rPr>
        <w:t xml:space="preserve">o, in his study, obtained similar results, i.e. 14 boys out of 11 girls </w:t>
      </w:r>
      <w:r>
        <w:rPr>
          <w:rFonts w:ascii="Times New Roman" w:hAnsi="Times New Roman" w:cs="Times New Roman"/>
          <w:b/>
          <w:bCs/>
        </w:rPr>
        <w:t>[5, 6]</w:t>
      </w:r>
      <w:r>
        <w:rPr>
          <w:rFonts w:ascii="Times New Roman" w:hAnsi="Times New Roman" w:cs="Times New Roman"/>
        </w:rPr>
        <w:t>.</w:t>
      </w:r>
    </w:p>
    <w:p w14:paraId="068EDB3F"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 Distribution of children by age : more than half of the children were between 16 and 18 years old. The average age was 15 years old with extremes of 10 and 18 years old. And </w:t>
      </w:r>
      <w:r>
        <w:rPr>
          <w:rFonts w:ascii="Times New Roman" w:hAnsi="Times New Roman" w:cs="Times New Roman"/>
        </w:rPr>
        <w:t xml:space="preserve">the lower the age, the smaller the number. This result is similar to that reported by Proulx-Boucher with an average age of 14.24 years old and extremes of 10 and 18 years old </w:t>
      </w:r>
      <w:r>
        <w:rPr>
          <w:rFonts w:ascii="Times New Roman" w:hAnsi="Times New Roman" w:cs="Times New Roman"/>
          <w:b/>
          <w:bCs/>
        </w:rPr>
        <w:t>[7]</w:t>
      </w:r>
      <w:r>
        <w:rPr>
          <w:rFonts w:ascii="Times New Roman" w:hAnsi="Times New Roman" w:cs="Times New Roman"/>
        </w:rPr>
        <w:t>.</w:t>
      </w:r>
    </w:p>
    <w:p w14:paraId="317DB5C3"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 - Distribution by school status : This high school dropout rate could be e</w:t>
      </w:r>
      <w:r>
        <w:rPr>
          <w:rFonts w:ascii="Times New Roman" w:hAnsi="Times New Roman" w:cs="Times New Roman"/>
        </w:rPr>
        <w:t>xplained by the family and social difficulties that some HIV-infected children may encounter. Studies have shown that they drop out of school more frequently. They are more likely to be in the wrong grade for their age or to have repeated a grade. An infer</w:t>
      </w:r>
      <w:r>
        <w:rPr>
          <w:rFonts w:ascii="Times New Roman" w:hAnsi="Times New Roman" w:cs="Times New Roman"/>
        </w:rPr>
        <w:t xml:space="preserve">iority complex encourages these children's disinterest in school life. In addition, they often face other vulnerability factors (frequent somatic illnesses, parental death) that cause school absenteeism, which ultimately leads to dropping out. Infants and </w:t>
      </w:r>
      <w:r>
        <w:rPr>
          <w:rFonts w:ascii="Times New Roman" w:hAnsi="Times New Roman" w:cs="Times New Roman"/>
        </w:rPr>
        <w:t xml:space="preserve">children with HIV are susceptible to cognitive delays compared to HIV-negative children </w:t>
      </w:r>
      <w:r>
        <w:rPr>
          <w:rFonts w:ascii="Times New Roman" w:hAnsi="Times New Roman" w:cs="Times New Roman"/>
          <w:b/>
          <w:bCs/>
        </w:rPr>
        <w:t>[8, 9]</w:t>
      </w:r>
      <w:r>
        <w:rPr>
          <w:rFonts w:ascii="Times New Roman" w:hAnsi="Times New Roman" w:cs="Times New Roman"/>
        </w:rPr>
        <w:t>.</w:t>
      </w:r>
    </w:p>
    <w:p w14:paraId="3EB2C452"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Distribution by age at which HIV status was disclosed : The ages at which children were informed of their diagnosis ranged from 11 to 14 years.  Most children</w:t>
      </w:r>
      <w:r>
        <w:rPr>
          <w:rFonts w:ascii="Times New Roman" w:hAnsi="Times New Roman" w:cs="Times New Roman"/>
        </w:rPr>
        <w:t xml:space="preserve"> learned their HIV status </w:t>
      </w:r>
      <w:r>
        <w:rPr>
          <w:rFonts w:ascii="Times New Roman" w:hAnsi="Times New Roman" w:cs="Times New Roman"/>
        </w:rPr>
        <w:lastRenderedPageBreak/>
        <w:t>between the ages of 12 and 13. In our series, only one child had not yet been informed of their HIV status (they were 10 years old). This observation is consistent with WHO recommendations, which suggest that it be made before the</w:t>
      </w:r>
      <w:r>
        <w:rPr>
          <w:rFonts w:ascii="Times New Roman" w:hAnsi="Times New Roman" w:cs="Times New Roman"/>
        </w:rPr>
        <w:t xml:space="preserve"> age of 12. The later it is made, the more likely it is to occur in traumatic situations, accidentally, or in an ill-prepared manner </w:t>
      </w:r>
      <w:r>
        <w:rPr>
          <w:rFonts w:ascii="Times New Roman" w:hAnsi="Times New Roman" w:cs="Times New Roman"/>
          <w:b/>
          <w:bCs/>
        </w:rPr>
        <w:t>[10]</w:t>
      </w:r>
      <w:r>
        <w:rPr>
          <w:rFonts w:ascii="Times New Roman" w:hAnsi="Times New Roman" w:cs="Times New Roman"/>
        </w:rPr>
        <w:t>.</w:t>
      </w:r>
    </w:p>
    <w:p w14:paraId="6B224664"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Obstacles to the diagnosis disclosure process have been reported in several studies. They primarily involve parents </w:t>
      </w:r>
      <w:r>
        <w:rPr>
          <w:rFonts w:ascii="Times New Roman" w:hAnsi="Times New Roman" w:cs="Times New Roman"/>
        </w:rPr>
        <w:t>or guardians, who cite a fear of rejection from the adolescent. They fear that the adolescent will be surprised by the news of a serious illness without being prepared for it. This could lead to family secrets being revealed or the child disclosing their s</w:t>
      </w:r>
      <w:r>
        <w:rPr>
          <w:rFonts w:ascii="Times New Roman" w:hAnsi="Times New Roman" w:cs="Times New Roman"/>
        </w:rPr>
        <w:t>tatus to those around them.  Other studies also mention the immaturity of the adolescent in receiving his diagnosis (orphan, young age, mental or cognitive retardation) </w:t>
      </w:r>
      <w:r>
        <w:rPr>
          <w:rFonts w:ascii="Times New Roman" w:hAnsi="Times New Roman" w:cs="Times New Roman"/>
          <w:b/>
          <w:bCs/>
        </w:rPr>
        <w:t>[11]</w:t>
      </w:r>
      <w:r>
        <w:rPr>
          <w:rFonts w:ascii="Times New Roman" w:hAnsi="Times New Roman" w:cs="Times New Roman"/>
        </w:rPr>
        <w:t>.</w:t>
      </w:r>
    </w:p>
    <w:p w14:paraId="1CF36AE8"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 Distribution of children according to depressive experience (CDI score) : this </w:t>
      </w:r>
      <w:r>
        <w:rPr>
          <w:rFonts w:ascii="Times New Roman" w:hAnsi="Times New Roman" w:cs="Times New Roman"/>
        </w:rPr>
        <w:t>study shows that HIV infection can increase the risk of developing depression. Indeed, it is the most common psychiatric diagnosis among people living with HIV. The clinical presentation of depressive syndromes is not specific and remains very classic. The</w:t>
      </w:r>
      <w:r>
        <w:rPr>
          <w:rFonts w:ascii="Times New Roman" w:hAnsi="Times New Roman" w:cs="Times New Roman"/>
        </w:rPr>
        <w:t xml:space="preserve"> stigma and social discrimination experienced by people living with HIV are thought to favor its occurrence </w:t>
      </w:r>
      <w:r>
        <w:rPr>
          <w:rFonts w:ascii="Times New Roman" w:hAnsi="Times New Roman" w:cs="Times New Roman"/>
          <w:b/>
          <w:bCs/>
        </w:rPr>
        <w:t>[12]</w:t>
      </w:r>
      <w:r>
        <w:rPr>
          <w:rFonts w:ascii="Times New Roman" w:hAnsi="Times New Roman" w:cs="Times New Roman"/>
        </w:rPr>
        <w:t>.</w:t>
      </w:r>
    </w:p>
    <w:p w14:paraId="4159146F"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Correlation between depressive state and quality of life according to age : the older the children, the more depressive symptoms they presen</w:t>
      </w:r>
      <w:r>
        <w:rPr>
          <w:rFonts w:ascii="Times New Roman" w:hAnsi="Times New Roman" w:cs="Times New Roman"/>
        </w:rPr>
        <w:t>ted. Psychological realities are perceived or experienced differently depending on the age of the affected or infected child. The poor QOL among 16- to 18-year-olds suggests that children, at a certain level (from age 16), better understand what is happeni</w:t>
      </w:r>
      <w:r>
        <w:rPr>
          <w:rFonts w:ascii="Times New Roman" w:hAnsi="Times New Roman" w:cs="Times New Roman"/>
        </w:rPr>
        <w:t>ng to them. Adolescence is a crucial period of development. Often, HIV infection leads to a mismatch between physical development and age.  This growth retardation is a source of insecurities and discomfort. It is therefore difficult for adolescents to par</w:t>
      </w:r>
      <w:r>
        <w:rPr>
          <w:rFonts w:ascii="Times New Roman" w:hAnsi="Times New Roman" w:cs="Times New Roman"/>
        </w:rPr>
        <w:t xml:space="preserve">ticipate in social activities at this age. On the cusp of sexual development, they may resent their parents for transmitting the disease to them </w:t>
      </w:r>
      <w:r>
        <w:rPr>
          <w:rFonts w:ascii="Times New Roman" w:hAnsi="Times New Roman" w:cs="Times New Roman"/>
          <w:b/>
          <w:bCs/>
        </w:rPr>
        <w:t>[13]</w:t>
      </w:r>
      <w:r>
        <w:rPr>
          <w:rFonts w:ascii="Times New Roman" w:hAnsi="Times New Roman" w:cs="Times New Roman"/>
        </w:rPr>
        <w:t>.</w:t>
      </w:r>
    </w:p>
    <w:p w14:paraId="1171AB1D"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QOL and Depressive Status of EAvHIV by Gender: Among the children who presented with depression, 67% were girls. Furthermore, no girls in the sample presented with good QOL. These results suggest that girls were more vulnerable than boys. This reflection i</w:t>
      </w:r>
      <w:r>
        <w:rPr>
          <w:rFonts w:ascii="Times New Roman" w:hAnsi="Times New Roman" w:cs="Times New Roman"/>
        </w:rPr>
        <w:t xml:space="preserve">s consistent with the Yélomé study, where 82.8% of EAvHIV were female, presenting with depressive symptoms (with irritability and guilt) </w:t>
      </w:r>
      <w:r>
        <w:rPr>
          <w:rFonts w:ascii="Times New Roman" w:hAnsi="Times New Roman" w:cs="Times New Roman"/>
          <w:b/>
          <w:bCs/>
        </w:rPr>
        <w:t>[14]</w:t>
      </w:r>
      <w:r>
        <w:rPr>
          <w:rFonts w:ascii="Times New Roman" w:hAnsi="Times New Roman" w:cs="Times New Roman"/>
        </w:rPr>
        <w:t>.</w:t>
      </w:r>
    </w:p>
    <w:p w14:paraId="50BE2145"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Correlation between QOL, depression, and orphan status of EAvHIV: We were unable to find any documents allowing</w:t>
      </w:r>
      <w:r>
        <w:rPr>
          <w:rFonts w:ascii="Times New Roman" w:hAnsi="Times New Roman" w:cs="Times New Roman"/>
        </w:rPr>
        <w:t xml:space="preserve"> us to compare our results.  However, these figures could be explained by the fact that in child psychology, the absence of a parental figure is a factor of psychological imbalance. For Dolto : "The child needs both to structure his intelligence and his em</w:t>
      </w:r>
      <w:r>
        <w:rPr>
          <w:rFonts w:ascii="Times New Roman" w:hAnsi="Times New Roman" w:cs="Times New Roman"/>
        </w:rPr>
        <w:t xml:space="preserve">otions. Between three people, thoughts and feelings circulate. When there are two of you, it acts as a </w:t>
      </w:r>
      <w:r>
        <w:rPr>
          <w:rFonts w:ascii="Times New Roman" w:hAnsi="Times New Roman" w:cs="Times New Roman"/>
        </w:rPr>
        <w:lastRenderedPageBreak/>
        <w:t>mirror and creates a fatal reciprocal dependence." Thus, when, due to illness or death, this were to be lacking, this situation would lead to instability</w:t>
      </w:r>
      <w:r>
        <w:rPr>
          <w:rFonts w:ascii="Times New Roman" w:hAnsi="Times New Roman" w:cs="Times New Roman"/>
        </w:rPr>
        <w:t xml:space="preserve"> in the child characterized by a lack of reference points and difficulties in structuring himself </w:t>
      </w:r>
      <w:r>
        <w:rPr>
          <w:rFonts w:ascii="Times New Roman" w:hAnsi="Times New Roman" w:cs="Times New Roman"/>
          <w:b/>
          <w:bCs/>
        </w:rPr>
        <w:t>[15]</w:t>
      </w:r>
      <w:r>
        <w:rPr>
          <w:rFonts w:ascii="Times New Roman" w:hAnsi="Times New Roman" w:cs="Times New Roman"/>
        </w:rPr>
        <w:t>.</w:t>
      </w:r>
    </w:p>
    <w:p w14:paraId="290F3493"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Comparison of QOL between children's scores and those of parents : by comparing the two assessments, that is, how does the child perceive himself ?  A</w:t>
      </w:r>
      <w:r>
        <w:rPr>
          <w:rFonts w:ascii="Times New Roman" w:hAnsi="Times New Roman" w:cs="Times New Roman"/>
        </w:rPr>
        <w:t xml:space="preserve">nd how does the parent perceive it ? we noted that no child in our series had a good quality of life according to the parents (while 3 children had high functioning according to the PedsQL administered to them directly). This observed discrepancy suggests </w:t>
      </w:r>
      <w:r>
        <w:rPr>
          <w:rFonts w:ascii="Times New Roman" w:hAnsi="Times New Roman" w:cs="Times New Roman"/>
        </w:rPr>
        <w:t xml:space="preserve">that parents are often overprotective of their HIV-infected children. Indeed, the child's physical impact shows us a parent (or guardian) who painfully experiences the fact of not having been able to protect them from the virus </w:t>
      </w:r>
      <w:r>
        <w:rPr>
          <w:rFonts w:ascii="Times New Roman" w:hAnsi="Times New Roman" w:cs="Times New Roman"/>
          <w:b/>
          <w:bCs/>
        </w:rPr>
        <w:t>[16]</w:t>
      </w:r>
      <w:r>
        <w:rPr>
          <w:rFonts w:ascii="Times New Roman" w:hAnsi="Times New Roman" w:cs="Times New Roman"/>
        </w:rPr>
        <w:t>.</w:t>
      </w:r>
    </w:p>
    <w:p w14:paraId="4760C371"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This suffering of the </w:t>
      </w:r>
      <w:r>
        <w:rPr>
          <w:rFonts w:ascii="Times New Roman" w:hAnsi="Times New Roman" w:cs="Times New Roman"/>
        </w:rPr>
        <w:t>mother is all the more significant because the child is a part of her, both physically and psychologically, and she does not know how to support him. It is therefore essential to examine the child's emotional needs. These needs risk biasing the assessments</w:t>
      </w:r>
      <w:r>
        <w:rPr>
          <w:rFonts w:ascii="Times New Roman" w:hAnsi="Times New Roman" w:cs="Times New Roman"/>
        </w:rPr>
        <w:t xml:space="preserve"> of healthcare staff due to the attention directed towards the parent's suffering </w:t>
      </w:r>
      <w:r>
        <w:rPr>
          <w:rFonts w:ascii="Times New Roman" w:hAnsi="Times New Roman" w:cs="Times New Roman"/>
          <w:b/>
          <w:bCs/>
        </w:rPr>
        <w:t>[9]</w:t>
      </w:r>
      <w:r>
        <w:rPr>
          <w:rFonts w:ascii="Times New Roman" w:hAnsi="Times New Roman" w:cs="Times New Roman"/>
        </w:rPr>
        <w:t xml:space="preserve">.  </w:t>
      </w:r>
    </w:p>
    <w:p w14:paraId="6636B04C"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The non-assessment of QOL in 26% of parents is explained by the fact that there were 4 children who came alone for consultation without an accompanying person, conside</w:t>
      </w:r>
      <w:r>
        <w:rPr>
          <w:rFonts w:ascii="Times New Roman" w:hAnsi="Times New Roman" w:cs="Times New Roman"/>
        </w:rPr>
        <w:t>ring themselves capable of managing their follow-ups alone.</w:t>
      </w:r>
    </w:p>
    <w:p w14:paraId="5B16432D" w14:textId="77777777" w:rsidR="00C722A6" w:rsidRDefault="00C722A6">
      <w:pPr>
        <w:spacing w:after="0" w:line="360" w:lineRule="auto"/>
        <w:jc w:val="both"/>
        <w:rPr>
          <w:rFonts w:ascii="Times New Roman" w:hAnsi="Times New Roman" w:cs="Times New Roman"/>
        </w:rPr>
      </w:pPr>
    </w:p>
    <w:p w14:paraId="001C00F3" w14:textId="77777777" w:rsidR="00C722A6" w:rsidRDefault="00112CFE">
      <w:pPr>
        <w:spacing w:after="0" w:line="360" w:lineRule="auto"/>
        <w:jc w:val="both"/>
        <w:rPr>
          <w:rFonts w:ascii="Times New Roman" w:hAnsi="Times New Roman" w:cs="Times New Roman"/>
          <w:b/>
          <w:bCs/>
        </w:rPr>
      </w:pPr>
      <w:r>
        <w:rPr>
          <w:rFonts w:ascii="Times New Roman" w:hAnsi="Times New Roman" w:cs="Times New Roman"/>
          <w:b/>
          <w:bCs/>
        </w:rPr>
        <w:t>Conclusion :</w:t>
      </w:r>
    </w:p>
    <w:p w14:paraId="4D5D1775"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A child with HIV is affected physically (in the body) but also psychologically. The explicitly established link between mental state and physical condition requires collaboration bet</w:t>
      </w:r>
      <w:r>
        <w:rPr>
          <w:rFonts w:ascii="Times New Roman" w:hAnsi="Times New Roman" w:cs="Times New Roman"/>
        </w:rPr>
        <w:t>ween various stakeholders involved in childhood. For more effective support, professionals other than psychiatrists could be trained in the use of the CDI and PedsQL. This would allow for early detection of depression in this vulnerable population.</w:t>
      </w:r>
    </w:p>
    <w:p w14:paraId="0759D1A7" w14:textId="77777777" w:rsidR="00C722A6" w:rsidRDefault="00C722A6">
      <w:pPr>
        <w:spacing w:after="0" w:line="360" w:lineRule="auto"/>
        <w:jc w:val="both"/>
        <w:rPr>
          <w:rFonts w:ascii="Times New Roman" w:hAnsi="Times New Roman" w:cs="Times New Roman"/>
        </w:rPr>
      </w:pPr>
    </w:p>
    <w:p w14:paraId="1BCCB5FB"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REFERE</w:t>
      </w:r>
      <w:r>
        <w:rPr>
          <w:rFonts w:ascii="Times New Roman" w:hAnsi="Times New Roman" w:cs="Times New Roman"/>
        </w:rPr>
        <w:t>NCES</w:t>
      </w:r>
    </w:p>
    <w:p w14:paraId="176E2E82"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[1]- UNAIDS. HIV estimates for children dashboard (global/regional level). UNICEF, 2023.</w:t>
      </w:r>
    </w:p>
    <w:p w14:paraId="78FB0046"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[2]- Giedd J N. "Structural Magnetic Resonance Imaging of the Adolescent Brain." Annals of the New York Academy of Sciences. 2004 : 77-85.</w:t>
      </w:r>
    </w:p>
    <w:p w14:paraId="50466F78"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[3]- Romer D. "Adolesce</w:t>
      </w:r>
      <w:r>
        <w:rPr>
          <w:rFonts w:ascii="Times New Roman" w:hAnsi="Times New Roman" w:cs="Times New Roman"/>
        </w:rPr>
        <w:t>nt Risk Taking, Impulsivity, and Brain Development: Implications for Prevention." Developmental Psychobioly. 2010 ; 52 (3) : 263-76.</w:t>
      </w:r>
    </w:p>
    <w:p w14:paraId="392F3A1E"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[4]- Bouvard M. Assessment scales and questionnaires for children and adolescents. Paris : Elsevier Masson ; 2008.</w:t>
      </w:r>
    </w:p>
    <w:p w14:paraId="63D55D79" w14:textId="77777777" w:rsidR="00C722A6" w:rsidRDefault="00112CFE">
      <w:pPr>
        <w:pBdr>
          <w:top w:val="none" w:sz="4" w:space="0" w:color="auto"/>
          <w:left w:val="none" w:sz="4" w:space="0" w:color="auto"/>
          <w:bottom w:val="none" w:sz="4" w:space="0" w:color="auto"/>
          <w:right w:val="none" w:sz="4" w:space="0" w:color="auto"/>
          <w:between w:val="none" w:sz="4" w:space="0" w:color="auto"/>
          <w:bar w:val="none" w:sz="4" w:color="auto"/>
        </w:pBdr>
        <w:spacing w:after="0" w:line="360" w:lineRule="auto"/>
        <w:jc w:val="both"/>
        <w:rPr>
          <w:rFonts w:ascii="Times New Roman" w:hAnsi="Times New Roman" w:cs="Times New Roman"/>
        </w:rPr>
      </w:pPr>
      <w:r>
        <w:rPr>
          <w:rFonts w:ascii="Times New Roman" w:hAnsi="Times New Roman" w:cs="Times New Roman"/>
        </w:rPr>
        <w:lastRenderedPageBreak/>
        <w:t>[5]- Nat</w:t>
      </w:r>
      <w:r>
        <w:rPr>
          <w:rFonts w:ascii="Times New Roman" w:hAnsi="Times New Roman" w:cs="Times New Roman"/>
        </w:rPr>
        <w:t>ional Agency for Statistics and Demography. Directory of the population of Senegal. Dakar (SN): NASD; 2022.</w:t>
      </w:r>
    </w:p>
    <w:p w14:paraId="0B6FDD3A"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[6]- Thiam L, Coly I J, Diouf F N, et al. Children living with HIV in Ziguinchor/Senegal : epidemiological, clinical, therapeutic, and developmental</w:t>
      </w:r>
      <w:r>
        <w:rPr>
          <w:rFonts w:ascii="Times New Roman" w:hAnsi="Times New Roman" w:cs="Times New Roman"/>
        </w:rPr>
        <w:t xml:space="preserve"> aspects.  Therapeutic Medicine/Pediatrics. 2021 ; 23(1) : 56-62.</w:t>
      </w:r>
    </w:p>
    <w:p w14:paraId="5D86AD9F"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[7]- Proulx-Boucher K, Blais M, Fernet M, et al. Silence and Disclosure in Families of Adolescents Living with HIV Since Birth : A Qualitative Exploration. Pediatric and Child Health. 2011 ;</w:t>
      </w:r>
      <w:r>
        <w:rPr>
          <w:rFonts w:ascii="Times New Roman" w:hAnsi="Times New Roman" w:cs="Times New Roman"/>
        </w:rPr>
        <w:t xml:space="preserve"> 16(7) : 404-08.</w:t>
      </w:r>
    </w:p>
    <w:p w14:paraId="12BF8568"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[8]- Parchure R, Vijaya J, Kulkarni S, et al. Educational Outcomes of Children Infected and Affected by HIV in Their Families in Maharashtra, India. Studies on Vulnerable Children and Youth. 2016 ; 11(4) : 332–338.</w:t>
      </w:r>
    </w:p>
    <w:p w14:paraId="586D95AF"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[9]- Zinyemba T, Pavlova</w:t>
      </w:r>
      <w:r>
        <w:rPr>
          <w:rFonts w:ascii="Times New Roman" w:hAnsi="Times New Roman" w:cs="Times New Roman"/>
        </w:rPr>
        <w:t xml:space="preserve"> M, Groot W. Effects of HIV/AIDS on Children's Educational Attainment: A Systematic Literature Review. Journal of Economic Surveys; 2020 :34 :35-84.  Enter the abbreviation of the journal</w:t>
      </w:r>
    </w:p>
    <w:p w14:paraId="7F144F89"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[10]- Dahourou D, Masson D, Dago-Akribi H, et al.  HIV disclosure to</w:t>
      </w:r>
      <w:r>
        <w:rPr>
          <w:rFonts w:ascii="Times New Roman" w:hAnsi="Times New Roman" w:cs="Times New Roman"/>
        </w:rPr>
        <w:t xml:space="preserve"> the child/adolescent in central and francophone Africa.  Bulletin of Society Pathological Exotic.  2019 ; 112 (1) :14-21.</w:t>
      </w:r>
    </w:p>
    <w:p w14:paraId="493C295D"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[11]- Boudarse K. Psychosis and care.  A reading from Winnicott.  Dialogue.  2012 ; 1 :7-18.</w:t>
      </w:r>
    </w:p>
    <w:p w14:paraId="240BB286"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[12] -Robertson K, Bayon C, Molina J M, </w:t>
      </w:r>
      <w:r>
        <w:rPr>
          <w:rFonts w:ascii="Times New Roman" w:hAnsi="Times New Roman" w:cs="Times New Roman"/>
        </w:rPr>
        <w:t>et al.  Screening for neurocognitive impairment, depression, and anxiety in HIV infected patients in Western Europe and Canada.  AIDSCare.  2014 : 1555-6.</w:t>
      </w:r>
    </w:p>
    <w:p w14:paraId="6FCC7B12"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[13] - Delaroche P. Adolescence, Clinical and therapeutic issues. Paris, Nathan ; 2000 : 128.</w:t>
      </w:r>
    </w:p>
    <w:p w14:paraId="129A4AD1"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[14] - </w:t>
      </w:r>
      <w:r>
        <w:rPr>
          <w:rFonts w:ascii="Times New Roman" w:hAnsi="Times New Roman" w:cs="Times New Roman"/>
        </w:rPr>
        <w:t>Yelomé D M, Houessou P, Fiossi-Kpadonou H, et al. Individual factors and resilience of orphans and children infected with HIV/AIDS in the city of Cotonou. Editions francophone universitaires d'Afrique. 2022 : 291-318.</w:t>
      </w:r>
    </w:p>
    <w:p w14:paraId="4434EF58"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 xml:space="preserve">[15] - Grignon O. The contribution of </w:t>
      </w:r>
      <w:r>
        <w:rPr>
          <w:rFonts w:ascii="Times New Roman" w:hAnsi="Times New Roman" w:cs="Times New Roman"/>
        </w:rPr>
        <w:t>Françoise Dolto to psychoanalysis. Conference in Dijon, June 20, 1997. Paris : Le Coq-héron.  2002 ; 168 : 13-36.</w:t>
      </w:r>
    </w:p>
    <w:p w14:paraId="3DCEDE62" w14:textId="77777777" w:rsidR="00C722A6" w:rsidRDefault="00112CFE">
      <w:pPr>
        <w:spacing w:after="0" w:line="360" w:lineRule="auto"/>
        <w:jc w:val="both"/>
        <w:rPr>
          <w:rFonts w:ascii="Times New Roman" w:hAnsi="Times New Roman" w:cs="Times New Roman"/>
        </w:rPr>
      </w:pPr>
      <w:r>
        <w:rPr>
          <w:rFonts w:ascii="Times New Roman" w:hAnsi="Times New Roman" w:cs="Times New Roman"/>
        </w:rPr>
        <w:t>[16] - Dago-Akribi H. Children and HIV : From Somatic to Psychological. Experiences in Abidjan. Face to Face : A Look at Health. 2007 ; 10 : 8</w:t>
      </w:r>
      <w:r>
        <w:rPr>
          <w:rFonts w:ascii="Times New Roman" w:hAnsi="Times New Roman" w:cs="Times New Roman"/>
        </w:rPr>
        <w:t>-9.</w:t>
      </w:r>
    </w:p>
    <w:p w14:paraId="44362028" w14:textId="77777777" w:rsidR="00C722A6" w:rsidRDefault="00C722A6">
      <w:pPr>
        <w:spacing w:after="0" w:line="360" w:lineRule="auto"/>
        <w:jc w:val="both"/>
        <w:rPr>
          <w:rFonts w:ascii="Times New Roman" w:hAnsi="Times New Roman" w:cs="Times New Roman"/>
        </w:rPr>
      </w:pPr>
    </w:p>
    <w:p w14:paraId="6B7C6E1A" w14:textId="77777777" w:rsidR="00C722A6" w:rsidRDefault="00C722A6">
      <w:pPr>
        <w:spacing w:after="0" w:line="360" w:lineRule="auto"/>
        <w:jc w:val="both"/>
        <w:rPr>
          <w:rFonts w:ascii="Times New Roman" w:hAnsi="Times New Roman" w:cs="Times New Roman"/>
        </w:rPr>
      </w:pPr>
    </w:p>
    <w:sectPr w:rsidR="00C722A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BF5FE" w14:textId="77777777" w:rsidR="00112CFE" w:rsidRDefault="00112CFE" w:rsidP="00812944">
      <w:pPr>
        <w:spacing w:after="0" w:line="240" w:lineRule="auto"/>
      </w:pPr>
      <w:r>
        <w:separator/>
      </w:r>
    </w:p>
  </w:endnote>
  <w:endnote w:type="continuationSeparator" w:id="0">
    <w:p w14:paraId="3E6545CA" w14:textId="77777777" w:rsidR="00112CFE" w:rsidRDefault="00112CFE" w:rsidP="0081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F2AEE" w14:textId="77777777" w:rsidR="00812944" w:rsidRDefault="0081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EF77" w14:textId="77777777" w:rsidR="00812944" w:rsidRDefault="00812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2A3B4" w14:textId="77777777" w:rsidR="00812944" w:rsidRDefault="0081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663C3" w14:textId="77777777" w:rsidR="00112CFE" w:rsidRDefault="00112CFE" w:rsidP="00812944">
      <w:pPr>
        <w:spacing w:after="0" w:line="240" w:lineRule="auto"/>
      </w:pPr>
      <w:r>
        <w:separator/>
      </w:r>
    </w:p>
  </w:footnote>
  <w:footnote w:type="continuationSeparator" w:id="0">
    <w:p w14:paraId="779FEDC2" w14:textId="77777777" w:rsidR="00112CFE" w:rsidRDefault="00112CFE" w:rsidP="00812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BA7E" w14:textId="5C6F9887" w:rsidR="00812944" w:rsidRDefault="00812944">
    <w:pPr>
      <w:pStyle w:val="Header"/>
    </w:pPr>
    <w:r>
      <w:rPr>
        <w:noProof/>
      </w:rPr>
      <w:pict w14:anchorId="1532E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5881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C656D" w14:textId="7131BBAA" w:rsidR="00812944" w:rsidRDefault="00812944">
    <w:pPr>
      <w:pStyle w:val="Header"/>
    </w:pPr>
    <w:r>
      <w:rPr>
        <w:noProof/>
      </w:rPr>
      <w:pict w14:anchorId="60928C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5881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309DA" w14:textId="599E5FCD" w:rsidR="00812944" w:rsidRDefault="00812944">
    <w:pPr>
      <w:pStyle w:val="Header"/>
    </w:pPr>
    <w:r>
      <w:rPr>
        <w:noProof/>
      </w:rPr>
      <w:pict w14:anchorId="12EE43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5881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53EBB"/>
    <w:multiLevelType w:val="hybridMultilevel"/>
    <w:tmpl w:val="BBE02774"/>
    <w:lvl w:ilvl="0" w:tplc="EB12B8AE">
      <w:start w:val="1"/>
      <w:numFmt w:val="bullet"/>
      <w:lvlText w:val="-"/>
      <w:lvlJc w:val="left"/>
      <w:pPr>
        <w:ind w:left="720" w:hanging="360"/>
      </w:pPr>
      <w:rPr>
        <w:rFonts w:ascii="Calibri" w:hAnsi="Calibri"/>
      </w:rPr>
    </w:lvl>
    <w:lvl w:ilvl="1" w:tplc="903A75DA" w:tentative="1">
      <w:start w:val="1"/>
      <w:numFmt w:val="bullet"/>
      <w:lvlText w:val="o"/>
      <w:lvlJc w:val="left"/>
      <w:pPr>
        <w:ind w:left="1440" w:hanging="360"/>
      </w:pPr>
      <w:rPr>
        <w:rFonts w:ascii="Courier New" w:hAnsi="Courier New"/>
      </w:rPr>
    </w:lvl>
    <w:lvl w:ilvl="2" w:tplc="C1FA373E" w:tentative="1">
      <w:start w:val="1"/>
      <w:numFmt w:val="bullet"/>
      <w:lvlText w:val=""/>
      <w:lvlJc w:val="left"/>
      <w:pPr>
        <w:ind w:left="2160" w:hanging="360"/>
      </w:pPr>
      <w:rPr>
        <w:rFonts w:ascii="Wingdings" w:hAnsi="Wingdings"/>
      </w:rPr>
    </w:lvl>
    <w:lvl w:ilvl="3" w:tplc="ACA494E6" w:tentative="1">
      <w:start w:val="1"/>
      <w:numFmt w:val="bullet"/>
      <w:lvlText w:val=""/>
      <w:lvlJc w:val="left"/>
      <w:pPr>
        <w:ind w:left="2880" w:hanging="360"/>
      </w:pPr>
      <w:rPr>
        <w:rFonts w:ascii="Symbol" w:hAnsi="Symbol"/>
      </w:rPr>
    </w:lvl>
    <w:lvl w:ilvl="4" w:tplc="DFD23148" w:tentative="1">
      <w:start w:val="1"/>
      <w:numFmt w:val="bullet"/>
      <w:lvlText w:val="o"/>
      <w:lvlJc w:val="left"/>
      <w:pPr>
        <w:ind w:left="3600" w:hanging="360"/>
      </w:pPr>
      <w:rPr>
        <w:rFonts w:ascii="Courier New" w:hAnsi="Courier New"/>
      </w:rPr>
    </w:lvl>
    <w:lvl w:ilvl="5" w:tplc="04F22316" w:tentative="1">
      <w:start w:val="1"/>
      <w:numFmt w:val="bullet"/>
      <w:lvlText w:val=""/>
      <w:lvlJc w:val="left"/>
      <w:pPr>
        <w:ind w:left="4320" w:hanging="360"/>
      </w:pPr>
      <w:rPr>
        <w:rFonts w:ascii="Wingdings" w:hAnsi="Wingdings"/>
      </w:rPr>
    </w:lvl>
    <w:lvl w:ilvl="6" w:tplc="6152EE80" w:tentative="1">
      <w:start w:val="1"/>
      <w:numFmt w:val="bullet"/>
      <w:lvlText w:val=""/>
      <w:lvlJc w:val="left"/>
      <w:pPr>
        <w:ind w:left="5040" w:hanging="360"/>
      </w:pPr>
      <w:rPr>
        <w:rFonts w:ascii="Symbol" w:hAnsi="Symbol"/>
      </w:rPr>
    </w:lvl>
    <w:lvl w:ilvl="7" w:tplc="35A67D56" w:tentative="1">
      <w:start w:val="1"/>
      <w:numFmt w:val="bullet"/>
      <w:lvlText w:val="o"/>
      <w:lvlJc w:val="left"/>
      <w:pPr>
        <w:ind w:left="5760" w:hanging="360"/>
      </w:pPr>
      <w:rPr>
        <w:rFonts w:ascii="Courier New" w:hAnsi="Courier New"/>
      </w:rPr>
    </w:lvl>
    <w:lvl w:ilvl="8" w:tplc="B31CD3A6" w:tentative="1">
      <w:start w:val="1"/>
      <w:numFmt w:val="bullet"/>
      <w:lvlText w:val=""/>
      <w:lvlJc w:val="left"/>
      <w:pPr>
        <w:ind w:left="6480" w:hanging="360"/>
      </w:pPr>
      <w:rPr>
        <w:rFonts w:ascii="Wingdings" w:hAnsi="Wingdings"/>
      </w:rPr>
    </w:lvl>
  </w:abstractNum>
  <w:abstractNum w:abstractNumId="1" w15:restartNumberingAfterBreak="0">
    <w:nsid w:val="2F7B3618"/>
    <w:multiLevelType w:val="hybridMultilevel"/>
    <w:tmpl w:val="D69485D4"/>
    <w:lvl w:ilvl="0" w:tplc="9D90406A">
      <w:start w:val="1"/>
      <w:numFmt w:val="bullet"/>
      <w:lvlText w:val="-"/>
      <w:lvlJc w:val="left"/>
      <w:pPr>
        <w:ind w:left="720" w:hanging="360"/>
      </w:pPr>
      <w:rPr>
        <w:rFonts w:ascii="Calibri" w:hAnsi="Calibri"/>
      </w:rPr>
    </w:lvl>
    <w:lvl w:ilvl="1" w:tplc="9E64D834" w:tentative="1">
      <w:start w:val="1"/>
      <w:numFmt w:val="bullet"/>
      <w:lvlText w:val="o"/>
      <w:lvlJc w:val="left"/>
      <w:pPr>
        <w:ind w:left="1440" w:hanging="360"/>
      </w:pPr>
      <w:rPr>
        <w:rFonts w:ascii="Courier New" w:hAnsi="Courier New"/>
      </w:rPr>
    </w:lvl>
    <w:lvl w:ilvl="2" w:tplc="F2D0A78A" w:tentative="1">
      <w:start w:val="1"/>
      <w:numFmt w:val="bullet"/>
      <w:lvlText w:val=""/>
      <w:lvlJc w:val="left"/>
      <w:pPr>
        <w:ind w:left="2160" w:hanging="360"/>
      </w:pPr>
      <w:rPr>
        <w:rFonts w:ascii="Wingdings" w:hAnsi="Wingdings"/>
      </w:rPr>
    </w:lvl>
    <w:lvl w:ilvl="3" w:tplc="D08AF5CE" w:tentative="1">
      <w:start w:val="1"/>
      <w:numFmt w:val="bullet"/>
      <w:lvlText w:val=""/>
      <w:lvlJc w:val="left"/>
      <w:pPr>
        <w:ind w:left="2880" w:hanging="360"/>
      </w:pPr>
      <w:rPr>
        <w:rFonts w:ascii="Symbol" w:hAnsi="Symbol"/>
      </w:rPr>
    </w:lvl>
    <w:lvl w:ilvl="4" w:tplc="A41A0858" w:tentative="1">
      <w:start w:val="1"/>
      <w:numFmt w:val="bullet"/>
      <w:lvlText w:val="o"/>
      <w:lvlJc w:val="left"/>
      <w:pPr>
        <w:ind w:left="3600" w:hanging="360"/>
      </w:pPr>
      <w:rPr>
        <w:rFonts w:ascii="Courier New" w:hAnsi="Courier New"/>
      </w:rPr>
    </w:lvl>
    <w:lvl w:ilvl="5" w:tplc="5BCABBB0" w:tentative="1">
      <w:start w:val="1"/>
      <w:numFmt w:val="bullet"/>
      <w:lvlText w:val=""/>
      <w:lvlJc w:val="left"/>
      <w:pPr>
        <w:ind w:left="4320" w:hanging="360"/>
      </w:pPr>
      <w:rPr>
        <w:rFonts w:ascii="Wingdings" w:hAnsi="Wingdings"/>
      </w:rPr>
    </w:lvl>
    <w:lvl w:ilvl="6" w:tplc="E778A916" w:tentative="1">
      <w:start w:val="1"/>
      <w:numFmt w:val="bullet"/>
      <w:lvlText w:val=""/>
      <w:lvlJc w:val="left"/>
      <w:pPr>
        <w:ind w:left="5040" w:hanging="360"/>
      </w:pPr>
      <w:rPr>
        <w:rFonts w:ascii="Symbol" w:hAnsi="Symbol"/>
      </w:rPr>
    </w:lvl>
    <w:lvl w:ilvl="7" w:tplc="34F022A4" w:tentative="1">
      <w:start w:val="1"/>
      <w:numFmt w:val="bullet"/>
      <w:lvlText w:val="o"/>
      <w:lvlJc w:val="left"/>
      <w:pPr>
        <w:ind w:left="5760" w:hanging="360"/>
      </w:pPr>
      <w:rPr>
        <w:rFonts w:ascii="Courier New" w:hAnsi="Courier New"/>
      </w:rPr>
    </w:lvl>
    <w:lvl w:ilvl="8" w:tplc="42C29732" w:tentative="1">
      <w:start w:val="1"/>
      <w:numFmt w:val="bullet"/>
      <w:lvlText w:val=""/>
      <w:lvlJc w:val="left"/>
      <w:pPr>
        <w:ind w:left="6480" w:hanging="360"/>
      </w:pPr>
      <w:rPr>
        <w:rFonts w:ascii="Wingdings" w:hAnsi="Wingdings"/>
      </w:rPr>
    </w:lvl>
  </w:abstractNum>
  <w:abstractNum w:abstractNumId="2" w15:restartNumberingAfterBreak="0">
    <w:nsid w:val="3E434249"/>
    <w:multiLevelType w:val="hybridMultilevel"/>
    <w:tmpl w:val="373EA6C0"/>
    <w:lvl w:ilvl="0" w:tplc="986AA518">
      <w:start w:val="1"/>
      <w:numFmt w:val="bullet"/>
      <w:lvlText w:val="-"/>
      <w:lvlJc w:val="left"/>
      <w:pPr>
        <w:ind w:left="720" w:hanging="360"/>
      </w:pPr>
      <w:rPr>
        <w:rFonts w:ascii="Calibri" w:hAnsi="Calibri"/>
      </w:rPr>
    </w:lvl>
    <w:lvl w:ilvl="1" w:tplc="313C32A0" w:tentative="1">
      <w:start w:val="1"/>
      <w:numFmt w:val="bullet"/>
      <w:lvlText w:val="o"/>
      <w:lvlJc w:val="left"/>
      <w:pPr>
        <w:ind w:left="1440" w:hanging="360"/>
      </w:pPr>
      <w:rPr>
        <w:rFonts w:ascii="Courier New" w:hAnsi="Courier New"/>
      </w:rPr>
    </w:lvl>
    <w:lvl w:ilvl="2" w:tplc="74B4B7C2" w:tentative="1">
      <w:start w:val="1"/>
      <w:numFmt w:val="bullet"/>
      <w:lvlText w:val=""/>
      <w:lvlJc w:val="left"/>
      <w:pPr>
        <w:ind w:left="2160" w:hanging="360"/>
      </w:pPr>
      <w:rPr>
        <w:rFonts w:ascii="Wingdings" w:hAnsi="Wingdings"/>
      </w:rPr>
    </w:lvl>
    <w:lvl w:ilvl="3" w:tplc="039267A0" w:tentative="1">
      <w:start w:val="1"/>
      <w:numFmt w:val="bullet"/>
      <w:lvlText w:val=""/>
      <w:lvlJc w:val="left"/>
      <w:pPr>
        <w:ind w:left="2880" w:hanging="360"/>
      </w:pPr>
      <w:rPr>
        <w:rFonts w:ascii="Symbol" w:hAnsi="Symbol"/>
      </w:rPr>
    </w:lvl>
    <w:lvl w:ilvl="4" w:tplc="00447766" w:tentative="1">
      <w:start w:val="1"/>
      <w:numFmt w:val="bullet"/>
      <w:lvlText w:val="o"/>
      <w:lvlJc w:val="left"/>
      <w:pPr>
        <w:ind w:left="3600" w:hanging="360"/>
      </w:pPr>
      <w:rPr>
        <w:rFonts w:ascii="Courier New" w:hAnsi="Courier New"/>
      </w:rPr>
    </w:lvl>
    <w:lvl w:ilvl="5" w:tplc="2618B380" w:tentative="1">
      <w:start w:val="1"/>
      <w:numFmt w:val="bullet"/>
      <w:lvlText w:val=""/>
      <w:lvlJc w:val="left"/>
      <w:pPr>
        <w:ind w:left="4320" w:hanging="360"/>
      </w:pPr>
      <w:rPr>
        <w:rFonts w:ascii="Wingdings" w:hAnsi="Wingdings"/>
      </w:rPr>
    </w:lvl>
    <w:lvl w:ilvl="6" w:tplc="BCBAB5F0" w:tentative="1">
      <w:start w:val="1"/>
      <w:numFmt w:val="bullet"/>
      <w:lvlText w:val=""/>
      <w:lvlJc w:val="left"/>
      <w:pPr>
        <w:ind w:left="5040" w:hanging="360"/>
      </w:pPr>
      <w:rPr>
        <w:rFonts w:ascii="Symbol" w:hAnsi="Symbol"/>
      </w:rPr>
    </w:lvl>
    <w:lvl w:ilvl="7" w:tplc="399C9542" w:tentative="1">
      <w:start w:val="1"/>
      <w:numFmt w:val="bullet"/>
      <w:lvlText w:val="o"/>
      <w:lvlJc w:val="left"/>
      <w:pPr>
        <w:ind w:left="5760" w:hanging="360"/>
      </w:pPr>
      <w:rPr>
        <w:rFonts w:ascii="Courier New" w:hAnsi="Courier New"/>
      </w:rPr>
    </w:lvl>
    <w:lvl w:ilvl="8" w:tplc="A5A064AA" w:tentative="1">
      <w:start w:val="1"/>
      <w:numFmt w:val="bullet"/>
      <w:lvlText w:val=""/>
      <w:lvlJc w:val="left"/>
      <w:pPr>
        <w:ind w:left="6480" w:hanging="360"/>
      </w:pPr>
      <w:rPr>
        <w:rFonts w:ascii="Wingdings" w:hAnsi="Wingdings"/>
      </w:rPr>
    </w:lvl>
  </w:abstractNum>
  <w:abstractNum w:abstractNumId="3" w15:restartNumberingAfterBreak="0">
    <w:nsid w:val="47612A11"/>
    <w:multiLevelType w:val="hybridMultilevel"/>
    <w:tmpl w:val="F06863A0"/>
    <w:lvl w:ilvl="0" w:tplc="6F30F442">
      <w:start w:val="1"/>
      <w:numFmt w:val="bullet"/>
      <w:lvlText w:val="-"/>
      <w:lvlJc w:val="left"/>
      <w:pPr>
        <w:ind w:left="720" w:hanging="360"/>
      </w:pPr>
      <w:rPr>
        <w:rFonts w:ascii="Calibri" w:hAnsi="Calibri"/>
      </w:rPr>
    </w:lvl>
    <w:lvl w:ilvl="1" w:tplc="517C8646" w:tentative="1">
      <w:start w:val="1"/>
      <w:numFmt w:val="bullet"/>
      <w:lvlText w:val="o"/>
      <w:lvlJc w:val="left"/>
      <w:pPr>
        <w:ind w:left="1440" w:hanging="360"/>
      </w:pPr>
      <w:rPr>
        <w:rFonts w:ascii="Courier New" w:hAnsi="Courier New"/>
      </w:rPr>
    </w:lvl>
    <w:lvl w:ilvl="2" w:tplc="C36A5F70" w:tentative="1">
      <w:start w:val="1"/>
      <w:numFmt w:val="bullet"/>
      <w:lvlText w:val=""/>
      <w:lvlJc w:val="left"/>
      <w:pPr>
        <w:ind w:left="2160" w:hanging="360"/>
      </w:pPr>
      <w:rPr>
        <w:rFonts w:ascii="Wingdings" w:hAnsi="Wingdings"/>
      </w:rPr>
    </w:lvl>
    <w:lvl w:ilvl="3" w:tplc="B98CC2E6" w:tentative="1">
      <w:start w:val="1"/>
      <w:numFmt w:val="bullet"/>
      <w:lvlText w:val=""/>
      <w:lvlJc w:val="left"/>
      <w:pPr>
        <w:ind w:left="2880" w:hanging="360"/>
      </w:pPr>
      <w:rPr>
        <w:rFonts w:ascii="Symbol" w:hAnsi="Symbol"/>
      </w:rPr>
    </w:lvl>
    <w:lvl w:ilvl="4" w:tplc="9850C27C" w:tentative="1">
      <w:start w:val="1"/>
      <w:numFmt w:val="bullet"/>
      <w:lvlText w:val="o"/>
      <w:lvlJc w:val="left"/>
      <w:pPr>
        <w:ind w:left="3600" w:hanging="360"/>
      </w:pPr>
      <w:rPr>
        <w:rFonts w:ascii="Courier New" w:hAnsi="Courier New"/>
      </w:rPr>
    </w:lvl>
    <w:lvl w:ilvl="5" w:tplc="8BCED320" w:tentative="1">
      <w:start w:val="1"/>
      <w:numFmt w:val="bullet"/>
      <w:lvlText w:val=""/>
      <w:lvlJc w:val="left"/>
      <w:pPr>
        <w:ind w:left="4320" w:hanging="360"/>
      </w:pPr>
      <w:rPr>
        <w:rFonts w:ascii="Wingdings" w:hAnsi="Wingdings"/>
      </w:rPr>
    </w:lvl>
    <w:lvl w:ilvl="6" w:tplc="0214291C" w:tentative="1">
      <w:start w:val="1"/>
      <w:numFmt w:val="bullet"/>
      <w:lvlText w:val=""/>
      <w:lvlJc w:val="left"/>
      <w:pPr>
        <w:ind w:left="5040" w:hanging="360"/>
      </w:pPr>
      <w:rPr>
        <w:rFonts w:ascii="Symbol" w:hAnsi="Symbol"/>
      </w:rPr>
    </w:lvl>
    <w:lvl w:ilvl="7" w:tplc="854E98F0" w:tentative="1">
      <w:start w:val="1"/>
      <w:numFmt w:val="bullet"/>
      <w:lvlText w:val="o"/>
      <w:lvlJc w:val="left"/>
      <w:pPr>
        <w:ind w:left="5760" w:hanging="360"/>
      </w:pPr>
      <w:rPr>
        <w:rFonts w:ascii="Courier New" w:hAnsi="Courier New"/>
      </w:rPr>
    </w:lvl>
    <w:lvl w:ilvl="8" w:tplc="B214414A" w:tentative="1">
      <w:start w:val="1"/>
      <w:numFmt w:val="bullet"/>
      <w:lvlText w:val=""/>
      <w:lvlJc w:val="left"/>
      <w:pPr>
        <w:ind w:left="6480" w:hanging="360"/>
      </w:pPr>
      <w:rPr>
        <w:rFonts w:ascii="Wingdings" w:hAnsi="Wingdings"/>
      </w:rPr>
    </w:lvl>
  </w:abstractNum>
  <w:abstractNum w:abstractNumId="4" w15:restartNumberingAfterBreak="0">
    <w:nsid w:val="48AA6EE6"/>
    <w:multiLevelType w:val="hybridMultilevel"/>
    <w:tmpl w:val="76063646"/>
    <w:lvl w:ilvl="0" w:tplc="9FC61318">
      <w:start w:val="1"/>
      <w:numFmt w:val="bullet"/>
      <w:lvlText w:val="-"/>
      <w:lvlJc w:val="left"/>
      <w:pPr>
        <w:ind w:left="416" w:hanging="360"/>
      </w:pPr>
      <w:rPr>
        <w:rFonts w:ascii="Calibri" w:hAnsi="Calibri"/>
      </w:rPr>
    </w:lvl>
    <w:lvl w:ilvl="1" w:tplc="D5F24022" w:tentative="1">
      <w:start w:val="1"/>
      <w:numFmt w:val="bullet"/>
      <w:lvlText w:val="o"/>
      <w:lvlJc w:val="left"/>
      <w:pPr>
        <w:ind w:left="1136" w:hanging="360"/>
      </w:pPr>
      <w:rPr>
        <w:rFonts w:ascii="Courier New" w:hAnsi="Courier New"/>
      </w:rPr>
    </w:lvl>
    <w:lvl w:ilvl="2" w:tplc="D50E20C4" w:tentative="1">
      <w:start w:val="1"/>
      <w:numFmt w:val="bullet"/>
      <w:lvlText w:val=""/>
      <w:lvlJc w:val="left"/>
      <w:pPr>
        <w:ind w:left="1856" w:hanging="360"/>
      </w:pPr>
      <w:rPr>
        <w:rFonts w:ascii="Wingdings" w:hAnsi="Wingdings"/>
      </w:rPr>
    </w:lvl>
    <w:lvl w:ilvl="3" w:tplc="6FA8F602" w:tentative="1">
      <w:start w:val="1"/>
      <w:numFmt w:val="bullet"/>
      <w:lvlText w:val=""/>
      <w:lvlJc w:val="left"/>
      <w:pPr>
        <w:ind w:left="2577" w:hanging="360"/>
      </w:pPr>
      <w:rPr>
        <w:rFonts w:ascii="Symbol" w:hAnsi="Symbol"/>
      </w:rPr>
    </w:lvl>
    <w:lvl w:ilvl="4" w:tplc="2B002812" w:tentative="1">
      <w:start w:val="1"/>
      <w:numFmt w:val="bullet"/>
      <w:lvlText w:val="o"/>
      <w:lvlJc w:val="left"/>
      <w:pPr>
        <w:ind w:left="3297" w:hanging="360"/>
      </w:pPr>
      <w:rPr>
        <w:rFonts w:ascii="Courier New" w:hAnsi="Courier New"/>
      </w:rPr>
    </w:lvl>
    <w:lvl w:ilvl="5" w:tplc="C8A4C338" w:tentative="1">
      <w:start w:val="1"/>
      <w:numFmt w:val="bullet"/>
      <w:lvlText w:val=""/>
      <w:lvlJc w:val="left"/>
      <w:pPr>
        <w:ind w:left="4017" w:hanging="360"/>
      </w:pPr>
      <w:rPr>
        <w:rFonts w:ascii="Wingdings" w:hAnsi="Wingdings"/>
      </w:rPr>
    </w:lvl>
    <w:lvl w:ilvl="6" w:tplc="D494D4C6" w:tentative="1">
      <w:start w:val="1"/>
      <w:numFmt w:val="bullet"/>
      <w:lvlText w:val=""/>
      <w:lvlJc w:val="left"/>
      <w:pPr>
        <w:ind w:left="4737" w:hanging="360"/>
      </w:pPr>
      <w:rPr>
        <w:rFonts w:ascii="Symbol" w:hAnsi="Symbol"/>
      </w:rPr>
    </w:lvl>
    <w:lvl w:ilvl="7" w:tplc="29CCE3F4" w:tentative="1">
      <w:start w:val="1"/>
      <w:numFmt w:val="bullet"/>
      <w:lvlText w:val="o"/>
      <w:lvlJc w:val="left"/>
      <w:pPr>
        <w:ind w:left="5457" w:hanging="360"/>
      </w:pPr>
      <w:rPr>
        <w:rFonts w:ascii="Courier New" w:hAnsi="Courier New"/>
      </w:rPr>
    </w:lvl>
    <w:lvl w:ilvl="8" w:tplc="C1EACAEE" w:tentative="1">
      <w:start w:val="1"/>
      <w:numFmt w:val="bullet"/>
      <w:lvlText w:val=""/>
      <w:lvlJc w:val="left"/>
      <w:pPr>
        <w:ind w:left="6177" w:hanging="360"/>
      </w:pPr>
      <w:rPr>
        <w:rFonts w:ascii="Wingdings" w:hAnsi="Wingdings"/>
      </w:rPr>
    </w:lvl>
  </w:abstractNum>
  <w:abstractNum w:abstractNumId="5" w15:restartNumberingAfterBreak="0">
    <w:nsid w:val="5E523358"/>
    <w:multiLevelType w:val="hybridMultilevel"/>
    <w:tmpl w:val="FA9E0792"/>
    <w:lvl w:ilvl="0" w:tplc="AE880752">
      <w:start w:val="1"/>
      <w:numFmt w:val="bullet"/>
      <w:lvlText w:val="-"/>
      <w:lvlJc w:val="left"/>
      <w:pPr>
        <w:ind w:left="720" w:hanging="360"/>
      </w:pPr>
      <w:rPr>
        <w:rFonts w:ascii="Calibri" w:hAnsi="Calibri"/>
      </w:rPr>
    </w:lvl>
    <w:lvl w:ilvl="1" w:tplc="28548B1A" w:tentative="1">
      <w:start w:val="1"/>
      <w:numFmt w:val="bullet"/>
      <w:lvlText w:val="o"/>
      <w:lvlJc w:val="left"/>
      <w:pPr>
        <w:ind w:left="1440" w:hanging="360"/>
      </w:pPr>
      <w:rPr>
        <w:rFonts w:ascii="Courier New" w:hAnsi="Courier New"/>
      </w:rPr>
    </w:lvl>
    <w:lvl w:ilvl="2" w:tplc="EDEAD4CC" w:tentative="1">
      <w:start w:val="1"/>
      <w:numFmt w:val="bullet"/>
      <w:lvlText w:val=""/>
      <w:lvlJc w:val="left"/>
      <w:pPr>
        <w:ind w:left="2160" w:hanging="360"/>
      </w:pPr>
      <w:rPr>
        <w:rFonts w:ascii="Wingdings" w:hAnsi="Wingdings"/>
      </w:rPr>
    </w:lvl>
    <w:lvl w:ilvl="3" w:tplc="10A25ED8" w:tentative="1">
      <w:start w:val="1"/>
      <w:numFmt w:val="bullet"/>
      <w:lvlText w:val=""/>
      <w:lvlJc w:val="left"/>
      <w:pPr>
        <w:ind w:left="2880" w:hanging="360"/>
      </w:pPr>
      <w:rPr>
        <w:rFonts w:ascii="Symbol" w:hAnsi="Symbol"/>
      </w:rPr>
    </w:lvl>
    <w:lvl w:ilvl="4" w:tplc="DC94BE9A" w:tentative="1">
      <w:start w:val="1"/>
      <w:numFmt w:val="bullet"/>
      <w:lvlText w:val="o"/>
      <w:lvlJc w:val="left"/>
      <w:pPr>
        <w:ind w:left="3600" w:hanging="360"/>
      </w:pPr>
      <w:rPr>
        <w:rFonts w:ascii="Courier New" w:hAnsi="Courier New"/>
      </w:rPr>
    </w:lvl>
    <w:lvl w:ilvl="5" w:tplc="A584535C" w:tentative="1">
      <w:start w:val="1"/>
      <w:numFmt w:val="bullet"/>
      <w:lvlText w:val=""/>
      <w:lvlJc w:val="left"/>
      <w:pPr>
        <w:ind w:left="4320" w:hanging="360"/>
      </w:pPr>
      <w:rPr>
        <w:rFonts w:ascii="Wingdings" w:hAnsi="Wingdings"/>
      </w:rPr>
    </w:lvl>
    <w:lvl w:ilvl="6" w:tplc="70C22002" w:tentative="1">
      <w:start w:val="1"/>
      <w:numFmt w:val="bullet"/>
      <w:lvlText w:val=""/>
      <w:lvlJc w:val="left"/>
      <w:pPr>
        <w:ind w:left="5040" w:hanging="360"/>
      </w:pPr>
      <w:rPr>
        <w:rFonts w:ascii="Symbol" w:hAnsi="Symbol"/>
      </w:rPr>
    </w:lvl>
    <w:lvl w:ilvl="7" w:tplc="74C8A2FC" w:tentative="1">
      <w:start w:val="1"/>
      <w:numFmt w:val="bullet"/>
      <w:lvlText w:val="o"/>
      <w:lvlJc w:val="left"/>
      <w:pPr>
        <w:ind w:left="5760" w:hanging="360"/>
      </w:pPr>
      <w:rPr>
        <w:rFonts w:ascii="Courier New" w:hAnsi="Courier New"/>
      </w:rPr>
    </w:lvl>
    <w:lvl w:ilvl="8" w:tplc="4FB66500" w:tentative="1">
      <w:start w:val="1"/>
      <w:numFmt w:val="bullet"/>
      <w:lvlText w:val=""/>
      <w:lvlJc w:val="left"/>
      <w:pPr>
        <w:ind w:left="6480" w:hanging="360"/>
      </w:pPr>
      <w:rPr>
        <w:rFonts w:ascii="Wingdings" w:hAnsi="Wingdings"/>
      </w:rPr>
    </w:lvl>
  </w:abstractNum>
  <w:abstractNum w:abstractNumId="6" w15:restartNumberingAfterBreak="0">
    <w:nsid w:val="634234D1"/>
    <w:multiLevelType w:val="hybridMultilevel"/>
    <w:tmpl w:val="D7E63BC6"/>
    <w:lvl w:ilvl="0" w:tplc="6FC2DF26">
      <w:start w:val="1"/>
      <w:numFmt w:val="bullet"/>
      <w:lvlText w:val="-"/>
      <w:lvlJc w:val="left"/>
      <w:pPr>
        <w:ind w:left="720" w:hanging="360"/>
      </w:pPr>
      <w:rPr>
        <w:rFonts w:ascii="Calibri" w:hAnsi="Calibri"/>
      </w:rPr>
    </w:lvl>
    <w:lvl w:ilvl="1" w:tplc="7166DEEA" w:tentative="1">
      <w:start w:val="1"/>
      <w:numFmt w:val="bullet"/>
      <w:lvlText w:val="o"/>
      <w:lvlJc w:val="left"/>
      <w:pPr>
        <w:ind w:left="1440" w:hanging="360"/>
      </w:pPr>
      <w:rPr>
        <w:rFonts w:ascii="Courier New" w:hAnsi="Courier New"/>
      </w:rPr>
    </w:lvl>
    <w:lvl w:ilvl="2" w:tplc="5F92D902" w:tentative="1">
      <w:start w:val="1"/>
      <w:numFmt w:val="bullet"/>
      <w:lvlText w:val=""/>
      <w:lvlJc w:val="left"/>
      <w:pPr>
        <w:ind w:left="2160" w:hanging="360"/>
      </w:pPr>
      <w:rPr>
        <w:rFonts w:ascii="Wingdings" w:hAnsi="Wingdings"/>
      </w:rPr>
    </w:lvl>
    <w:lvl w:ilvl="3" w:tplc="CC24FD24" w:tentative="1">
      <w:start w:val="1"/>
      <w:numFmt w:val="bullet"/>
      <w:lvlText w:val=""/>
      <w:lvlJc w:val="left"/>
      <w:pPr>
        <w:ind w:left="2880" w:hanging="360"/>
      </w:pPr>
      <w:rPr>
        <w:rFonts w:ascii="Symbol" w:hAnsi="Symbol"/>
      </w:rPr>
    </w:lvl>
    <w:lvl w:ilvl="4" w:tplc="D4729DB2" w:tentative="1">
      <w:start w:val="1"/>
      <w:numFmt w:val="bullet"/>
      <w:lvlText w:val="o"/>
      <w:lvlJc w:val="left"/>
      <w:pPr>
        <w:ind w:left="3600" w:hanging="360"/>
      </w:pPr>
      <w:rPr>
        <w:rFonts w:ascii="Courier New" w:hAnsi="Courier New"/>
      </w:rPr>
    </w:lvl>
    <w:lvl w:ilvl="5" w:tplc="4072BF20" w:tentative="1">
      <w:start w:val="1"/>
      <w:numFmt w:val="bullet"/>
      <w:lvlText w:val=""/>
      <w:lvlJc w:val="left"/>
      <w:pPr>
        <w:ind w:left="4320" w:hanging="360"/>
      </w:pPr>
      <w:rPr>
        <w:rFonts w:ascii="Wingdings" w:hAnsi="Wingdings"/>
      </w:rPr>
    </w:lvl>
    <w:lvl w:ilvl="6" w:tplc="B27AA9F8" w:tentative="1">
      <w:start w:val="1"/>
      <w:numFmt w:val="bullet"/>
      <w:lvlText w:val=""/>
      <w:lvlJc w:val="left"/>
      <w:pPr>
        <w:ind w:left="5040" w:hanging="360"/>
      </w:pPr>
      <w:rPr>
        <w:rFonts w:ascii="Symbol" w:hAnsi="Symbol"/>
      </w:rPr>
    </w:lvl>
    <w:lvl w:ilvl="7" w:tplc="0F78F076" w:tentative="1">
      <w:start w:val="1"/>
      <w:numFmt w:val="bullet"/>
      <w:lvlText w:val="o"/>
      <w:lvlJc w:val="left"/>
      <w:pPr>
        <w:ind w:left="5760" w:hanging="360"/>
      </w:pPr>
      <w:rPr>
        <w:rFonts w:ascii="Courier New" w:hAnsi="Courier New"/>
      </w:rPr>
    </w:lvl>
    <w:lvl w:ilvl="8" w:tplc="6160F7D6" w:tentative="1">
      <w:start w:val="1"/>
      <w:numFmt w:val="bullet"/>
      <w:lvlText w:val=""/>
      <w:lvlJc w:val="left"/>
      <w:pPr>
        <w:ind w:left="6480" w:hanging="360"/>
      </w:pPr>
      <w:rPr>
        <w:rFonts w:ascii="Wingdings" w:hAnsi="Wingdings"/>
      </w:rPr>
    </w:lvl>
  </w:abstractNum>
  <w:abstractNum w:abstractNumId="7" w15:restartNumberingAfterBreak="0">
    <w:nsid w:val="7537173C"/>
    <w:multiLevelType w:val="hybridMultilevel"/>
    <w:tmpl w:val="21E83D1E"/>
    <w:lvl w:ilvl="0" w:tplc="1018E212">
      <w:start w:val="1"/>
      <w:numFmt w:val="bullet"/>
      <w:lvlText w:val="-"/>
      <w:lvlJc w:val="left"/>
      <w:pPr>
        <w:ind w:left="720" w:hanging="360"/>
      </w:pPr>
      <w:rPr>
        <w:rFonts w:ascii="Calibri" w:hAnsi="Calibri"/>
      </w:rPr>
    </w:lvl>
    <w:lvl w:ilvl="1" w:tplc="8A460130" w:tentative="1">
      <w:start w:val="1"/>
      <w:numFmt w:val="bullet"/>
      <w:lvlText w:val="o"/>
      <w:lvlJc w:val="left"/>
      <w:pPr>
        <w:ind w:left="1440" w:hanging="360"/>
      </w:pPr>
      <w:rPr>
        <w:rFonts w:ascii="Courier New" w:hAnsi="Courier New"/>
      </w:rPr>
    </w:lvl>
    <w:lvl w:ilvl="2" w:tplc="CE3A32C8" w:tentative="1">
      <w:start w:val="1"/>
      <w:numFmt w:val="bullet"/>
      <w:lvlText w:val=""/>
      <w:lvlJc w:val="left"/>
      <w:pPr>
        <w:ind w:left="2160" w:hanging="360"/>
      </w:pPr>
      <w:rPr>
        <w:rFonts w:ascii="Wingdings" w:hAnsi="Wingdings"/>
      </w:rPr>
    </w:lvl>
    <w:lvl w:ilvl="3" w:tplc="7438F0CA" w:tentative="1">
      <w:start w:val="1"/>
      <w:numFmt w:val="bullet"/>
      <w:lvlText w:val=""/>
      <w:lvlJc w:val="left"/>
      <w:pPr>
        <w:ind w:left="2880" w:hanging="360"/>
      </w:pPr>
      <w:rPr>
        <w:rFonts w:ascii="Symbol" w:hAnsi="Symbol"/>
      </w:rPr>
    </w:lvl>
    <w:lvl w:ilvl="4" w:tplc="39EC933C" w:tentative="1">
      <w:start w:val="1"/>
      <w:numFmt w:val="bullet"/>
      <w:lvlText w:val="o"/>
      <w:lvlJc w:val="left"/>
      <w:pPr>
        <w:ind w:left="3600" w:hanging="360"/>
      </w:pPr>
      <w:rPr>
        <w:rFonts w:ascii="Courier New" w:hAnsi="Courier New"/>
      </w:rPr>
    </w:lvl>
    <w:lvl w:ilvl="5" w:tplc="C860AF2A" w:tentative="1">
      <w:start w:val="1"/>
      <w:numFmt w:val="bullet"/>
      <w:lvlText w:val=""/>
      <w:lvlJc w:val="left"/>
      <w:pPr>
        <w:ind w:left="4320" w:hanging="360"/>
      </w:pPr>
      <w:rPr>
        <w:rFonts w:ascii="Wingdings" w:hAnsi="Wingdings"/>
      </w:rPr>
    </w:lvl>
    <w:lvl w:ilvl="6" w:tplc="7382DADC" w:tentative="1">
      <w:start w:val="1"/>
      <w:numFmt w:val="bullet"/>
      <w:lvlText w:val=""/>
      <w:lvlJc w:val="left"/>
      <w:pPr>
        <w:ind w:left="5040" w:hanging="360"/>
      </w:pPr>
      <w:rPr>
        <w:rFonts w:ascii="Symbol" w:hAnsi="Symbol"/>
      </w:rPr>
    </w:lvl>
    <w:lvl w:ilvl="7" w:tplc="C974E90C" w:tentative="1">
      <w:start w:val="1"/>
      <w:numFmt w:val="bullet"/>
      <w:lvlText w:val="o"/>
      <w:lvlJc w:val="left"/>
      <w:pPr>
        <w:ind w:left="5760" w:hanging="360"/>
      </w:pPr>
      <w:rPr>
        <w:rFonts w:ascii="Courier New" w:hAnsi="Courier New"/>
      </w:rPr>
    </w:lvl>
    <w:lvl w:ilvl="8" w:tplc="058AE82A" w:tentative="1">
      <w:start w:val="1"/>
      <w:numFmt w:val="bullet"/>
      <w:lvlText w:val=""/>
      <w:lvlJc w:val="left"/>
      <w:pPr>
        <w:ind w:left="6480" w:hanging="360"/>
      </w:pPr>
      <w:rPr>
        <w:rFonts w:ascii="Wingdings" w:hAnsi="Wingdings"/>
      </w:rPr>
    </w:lvl>
  </w:abstractNum>
  <w:abstractNum w:abstractNumId="8" w15:restartNumberingAfterBreak="0">
    <w:nsid w:val="7E4F6BDC"/>
    <w:multiLevelType w:val="hybridMultilevel"/>
    <w:tmpl w:val="6A4C76D8"/>
    <w:lvl w:ilvl="0" w:tplc="C89C8708">
      <w:start w:val="1"/>
      <w:numFmt w:val="bullet"/>
      <w:lvlText w:val="-"/>
      <w:lvlJc w:val="left"/>
      <w:pPr>
        <w:ind w:left="720" w:hanging="360"/>
      </w:pPr>
      <w:rPr>
        <w:rFonts w:ascii="Calibri" w:hAnsi="Calibri"/>
      </w:rPr>
    </w:lvl>
    <w:lvl w:ilvl="1" w:tplc="D20CC0CE" w:tentative="1">
      <w:start w:val="1"/>
      <w:numFmt w:val="bullet"/>
      <w:lvlText w:val="o"/>
      <w:lvlJc w:val="left"/>
      <w:pPr>
        <w:ind w:left="1440" w:hanging="360"/>
      </w:pPr>
      <w:rPr>
        <w:rFonts w:ascii="Courier New" w:hAnsi="Courier New"/>
      </w:rPr>
    </w:lvl>
    <w:lvl w:ilvl="2" w:tplc="4CFE26A4" w:tentative="1">
      <w:start w:val="1"/>
      <w:numFmt w:val="bullet"/>
      <w:lvlText w:val=""/>
      <w:lvlJc w:val="left"/>
      <w:pPr>
        <w:ind w:left="2160" w:hanging="360"/>
      </w:pPr>
      <w:rPr>
        <w:rFonts w:ascii="Wingdings" w:hAnsi="Wingdings"/>
      </w:rPr>
    </w:lvl>
    <w:lvl w:ilvl="3" w:tplc="D7824D32" w:tentative="1">
      <w:start w:val="1"/>
      <w:numFmt w:val="bullet"/>
      <w:lvlText w:val=""/>
      <w:lvlJc w:val="left"/>
      <w:pPr>
        <w:ind w:left="2880" w:hanging="360"/>
      </w:pPr>
      <w:rPr>
        <w:rFonts w:ascii="Symbol" w:hAnsi="Symbol"/>
      </w:rPr>
    </w:lvl>
    <w:lvl w:ilvl="4" w:tplc="09E01EAA" w:tentative="1">
      <w:start w:val="1"/>
      <w:numFmt w:val="bullet"/>
      <w:lvlText w:val="o"/>
      <w:lvlJc w:val="left"/>
      <w:pPr>
        <w:ind w:left="3600" w:hanging="360"/>
      </w:pPr>
      <w:rPr>
        <w:rFonts w:ascii="Courier New" w:hAnsi="Courier New"/>
      </w:rPr>
    </w:lvl>
    <w:lvl w:ilvl="5" w:tplc="CFCA1390" w:tentative="1">
      <w:start w:val="1"/>
      <w:numFmt w:val="bullet"/>
      <w:lvlText w:val=""/>
      <w:lvlJc w:val="left"/>
      <w:pPr>
        <w:ind w:left="4320" w:hanging="360"/>
      </w:pPr>
      <w:rPr>
        <w:rFonts w:ascii="Wingdings" w:hAnsi="Wingdings"/>
      </w:rPr>
    </w:lvl>
    <w:lvl w:ilvl="6" w:tplc="CB04DA12" w:tentative="1">
      <w:start w:val="1"/>
      <w:numFmt w:val="bullet"/>
      <w:lvlText w:val=""/>
      <w:lvlJc w:val="left"/>
      <w:pPr>
        <w:ind w:left="5040" w:hanging="360"/>
      </w:pPr>
      <w:rPr>
        <w:rFonts w:ascii="Symbol" w:hAnsi="Symbol"/>
      </w:rPr>
    </w:lvl>
    <w:lvl w:ilvl="7" w:tplc="A6D2782E" w:tentative="1">
      <w:start w:val="1"/>
      <w:numFmt w:val="bullet"/>
      <w:lvlText w:val="o"/>
      <w:lvlJc w:val="left"/>
      <w:pPr>
        <w:ind w:left="5760" w:hanging="360"/>
      </w:pPr>
      <w:rPr>
        <w:rFonts w:ascii="Courier New" w:hAnsi="Courier New"/>
      </w:rPr>
    </w:lvl>
    <w:lvl w:ilvl="8" w:tplc="02F01A46" w:tentative="1">
      <w:start w:val="1"/>
      <w:numFmt w:val="bullet"/>
      <w:lvlText w:val=""/>
      <w:lvlJc w:val="left"/>
      <w:pPr>
        <w:ind w:left="6480" w:hanging="360"/>
      </w:pPr>
      <w:rPr>
        <w:rFonts w:ascii="Wingdings" w:hAnsi="Wingdings"/>
      </w:rPr>
    </w:lvl>
  </w:abstractNum>
  <w:abstractNum w:abstractNumId="9" w15:restartNumberingAfterBreak="0">
    <w:nsid w:val="7F885AD0"/>
    <w:multiLevelType w:val="hybridMultilevel"/>
    <w:tmpl w:val="64744446"/>
    <w:lvl w:ilvl="0" w:tplc="8854A684">
      <w:start w:val="1"/>
      <w:numFmt w:val="bullet"/>
      <w:lvlText w:val="-"/>
      <w:lvlJc w:val="left"/>
      <w:pPr>
        <w:ind w:left="720" w:hanging="360"/>
      </w:pPr>
      <w:rPr>
        <w:rFonts w:ascii="Calibri" w:hAnsi="Calibri"/>
      </w:rPr>
    </w:lvl>
    <w:lvl w:ilvl="1" w:tplc="C4AA5614" w:tentative="1">
      <w:start w:val="1"/>
      <w:numFmt w:val="bullet"/>
      <w:lvlText w:val="o"/>
      <w:lvlJc w:val="left"/>
      <w:pPr>
        <w:ind w:left="1440" w:hanging="360"/>
      </w:pPr>
      <w:rPr>
        <w:rFonts w:ascii="Courier New" w:hAnsi="Courier New"/>
      </w:rPr>
    </w:lvl>
    <w:lvl w:ilvl="2" w:tplc="C9E02BA0" w:tentative="1">
      <w:start w:val="1"/>
      <w:numFmt w:val="bullet"/>
      <w:lvlText w:val=""/>
      <w:lvlJc w:val="left"/>
      <w:pPr>
        <w:ind w:left="2160" w:hanging="360"/>
      </w:pPr>
      <w:rPr>
        <w:rFonts w:ascii="Wingdings" w:hAnsi="Wingdings"/>
      </w:rPr>
    </w:lvl>
    <w:lvl w:ilvl="3" w:tplc="E46A6872" w:tentative="1">
      <w:start w:val="1"/>
      <w:numFmt w:val="bullet"/>
      <w:lvlText w:val=""/>
      <w:lvlJc w:val="left"/>
      <w:pPr>
        <w:ind w:left="2880" w:hanging="360"/>
      </w:pPr>
      <w:rPr>
        <w:rFonts w:ascii="Symbol" w:hAnsi="Symbol"/>
      </w:rPr>
    </w:lvl>
    <w:lvl w:ilvl="4" w:tplc="34561066" w:tentative="1">
      <w:start w:val="1"/>
      <w:numFmt w:val="bullet"/>
      <w:lvlText w:val="o"/>
      <w:lvlJc w:val="left"/>
      <w:pPr>
        <w:ind w:left="3600" w:hanging="360"/>
      </w:pPr>
      <w:rPr>
        <w:rFonts w:ascii="Courier New" w:hAnsi="Courier New"/>
      </w:rPr>
    </w:lvl>
    <w:lvl w:ilvl="5" w:tplc="6478D6B0" w:tentative="1">
      <w:start w:val="1"/>
      <w:numFmt w:val="bullet"/>
      <w:lvlText w:val=""/>
      <w:lvlJc w:val="left"/>
      <w:pPr>
        <w:ind w:left="4320" w:hanging="360"/>
      </w:pPr>
      <w:rPr>
        <w:rFonts w:ascii="Wingdings" w:hAnsi="Wingdings"/>
      </w:rPr>
    </w:lvl>
    <w:lvl w:ilvl="6" w:tplc="A2B8E230" w:tentative="1">
      <w:start w:val="1"/>
      <w:numFmt w:val="bullet"/>
      <w:lvlText w:val=""/>
      <w:lvlJc w:val="left"/>
      <w:pPr>
        <w:ind w:left="5040" w:hanging="360"/>
      </w:pPr>
      <w:rPr>
        <w:rFonts w:ascii="Symbol" w:hAnsi="Symbol"/>
      </w:rPr>
    </w:lvl>
    <w:lvl w:ilvl="7" w:tplc="DCF2E2A2" w:tentative="1">
      <w:start w:val="1"/>
      <w:numFmt w:val="bullet"/>
      <w:lvlText w:val="o"/>
      <w:lvlJc w:val="left"/>
      <w:pPr>
        <w:ind w:left="5760" w:hanging="360"/>
      </w:pPr>
      <w:rPr>
        <w:rFonts w:ascii="Courier New" w:hAnsi="Courier New"/>
      </w:rPr>
    </w:lvl>
    <w:lvl w:ilvl="8" w:tplc="F9E6987C" w:tentative="1">
      <w:start w:val="1"/>
      <w:numFmt w:val="bullet"/>
      <w:lvlText w:val=""/>
      <w:lvlJc w:val="left"/>
      <w:pPr>
        <w:ind w:left="6480" w:hanging="360"/>
      </w:pPr>
      <w:rPr>
        <w:rFonts w:ascii="Wingdings" w:hAnsi="Wingdings"/>
      </w:rPr>
    </w:lvl>
  </w:abstractNum>
  <w:num w:numId="1">
    <w:abstractNumId w:val="7"/>
  </w:num>
  <w:num w:numId="2">
    <w:abstractNumId w:val="1"/>
  </w:num>
  <w:num w:numId="3">
    <w:abstractNumId w:val="9"/>
  </w:num>
  <w:num w:numId="4">
    <w:abstractNumId w:val="8"/>
  </w:num>
  <w:num w:numId="5">
    <w:abstractNumId w:val="4"/>
  </w:num>
  <w:num w:numId="6">
    <w:abstractNumId w:val="2"/>
  </w:num>
  <w:num w:numId="7">
    <w:abstractNumId w:val="0"/>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87"/>
    <w:rsid w:val="00112CFE"/>
    <w:rsid w:val="00637E93"/>
    <w:rsid w:val="0075376C"/>
    <w:rsid w:val="007A1D0E"/>
    <w:rsid w:val="00812944"/>
    <w:rsid w:val="00B721D2"/>
    <w:rsid w:val="00C052B2"/>
    <w:rsid w:val="00C42787"/>
    <w:rsid w:val="00C722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B19B3"/>
  <w15:chartTrackingRefBased/>
  <w15:docId w15:val="{A903C448-31CB-4CF0-B342-4D845971C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1"/>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1"/>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1"/>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1"/>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1"/>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1"/>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1"/>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1"/>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Pr>
      <w:rFonts w:asciiTheme="majorHAnsi" w:eastAsiaTheme="majorEastAsia" w:hAnsiTheme="majorHAnsi" w:cstheme="majorBidi"/>
      <w:b/>
      <w:bCs/>
      <w:color w:val="4472C4" w:themeColor="accent1"/>
    </w:rPr>
  </w:style>
  <w:style w:type="character" w:customStyle="1" w:styleId="Heading4Char">
    <w:name w:val="Heading 4 Char"/>
    <w:uiPriority w:val="9"/>
    <w:rPr>
      <w:rFonts w:asciiTheme="majorHAnsi" w:eastAsiaTheme="majorEastAsia" w:hAnsiTheme="majorHAnsi" w:cstheme="majorBidi"/>
      <w:b/>
      <w:bCs/>
      <w:i/>
      <w:iCs/>
      <w:color w:val="4472C4" w:themeColor="accent1"/>
    </w:rPr>
  </w:style>
  <w:style w:type="character" w:customStyle="1" w:styleId="Heading5Char">
    <w:name w:val="Heading 5 Char"/>
    <w:uiPriority w:val="9"/>
    <w:rPr>
      <w:rFonts w:asciiTheme="majorHAnsi" w:eastAsiaTheme="majorEastAsia" w:hAnsiTheme="majorHAnsi" w:cstheme="majorBidi"/>
      <w:color w:val="1F3763" w:themeColor="accent1" w:themeShade="7F"/>
    </w:rPr>
  </w:style>
  <w:style w:type="character" w:customStyle="1" w:styleId="Heading6Char">
    <w:name w:val="Heading 6 Char"/>
    <w:uiPriority w:val="9"/>
    <w:rPr>
      <w:rFonts w:asciiTheme="majorHAnsi" w:eastAsiaTheme="majorEastAsia" w:hAnsiTheme="majorHAnsi" w:cstheme="majorBidi"/>
      <w:i/>
      <w:iCs/>
      <w:color w:val="1F3763" w:themeColor="accent1" w:themeShade="7F"/>
    </w:rPr>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uiPriority w:val="19"/>
    <w:qFormat/>
    <w:rPr>
      <w:i/>
      <w:iCs/>
      <w:color w:val="808080" w:themeColor="text1" w:themeTint="7F"/>
    </w:rPr>
  </w:style>
  <w:style w:type="character" w:styleId="Emphasis">
    <w:name w:val="Emphasis"/>
    <w:uiPriority w:val="20"/>
    <w:qFormat/>
    <w:rPr>
      <w:i/>
      <w:iCs/>
    </w:rPr>
  </w:style>
  <w:style w:type="character" w:styleId="Strong">
    <w:name w:val="Strong"/>
    <w:uiPriority w:val="22"/>
    <w:qFormat/>
    <w:rPr>
      <w:b/>
      <w:bCs/>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472C4" w:themeColor="accent1"/>
    </w:rPr>
  </w:style>
  <w:style w:type="character" w:styleId="SubtleReference">
    <w:name w:val="Subtle Reference"/>
    <w:uiPriority w:val="31"/>
    <w:qFormat/>
    <w:rPr>
      <w:smallCaps/>
      <w:color w:val="ED7D31" w:themeColor="accent2"/>
      <w:u w:val="single"/>
    </w:rPr>
  </w:style>
  <w:style w:type="character" w:styleId="BookTitle">
    <w:name w:val="Book Title"/>
    <w:uiPriority w:val="33"/>
    <w:qFormat/>
    <w:rPr>
      <w:b/>
      <w:bCs/>
      <w:smallCaps/>
      <w:spacing w:val="5"/>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unhideWhenUsed/>
    <w:rPr>
      <w:vertAlign w:val="superscript"/>
    </w:rPr>
  </w:style>
  <w:style w:type="character" w:styleId="Hyperlink">
    <w:name w:val="Hyperlink"/>
    <w:uiPriority w:val="99"/>
    <w:unhideWhenUsed/>
    <w:rPr>
      <w:color w:val="0563C1" w:themeColor="hyperlink"/>
      <w:u w:val="single"/>
    </w:rPr>
  </w:style>
  <w:style w:type="character" w:styleId="FollowedHyperlink">
    <w:name w:val="FollowedHyperlink"/>
    <w:uiPriority w:val="99"/>
    <w:semiHidden/>
    <w:unhideWhenUsed/>
    <w:rPr>
      <w:color w:val="954F72" w:themeColor="followed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link w:val="Footer"/>
    <w:uiPriority w:val="99"/>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1">
    <w:name w:val="Heading 2 Char1"/>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1">
    <w:name w:val="Heading 3 Char1"/>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1">
    <w:name w:val="Heading 4 Char1"/>
    <w:basedOn w:val="DefaultParagraphFont"/>
    <w:link w:val="Heading4"/>
    <w:uiPriority w:val="9"/>
    <w:semiHidden/>
    <w:rPr>
      <w:rFonts w:eastAsiaTheme="majorEastAsia" w:cstheme="majorBidi"/>
      <w:i/>
      <w:iCs/>
      <w:color w:val="2F5496" w:themeColor="accent1" w:themeShade="BF"/>
    </w:rPr>
  </w:style>
  <w:style w:type="character" w:customStyle="1" w:styleId="Heading5Char1">
    <w:name w:val="Heading 5 Char1"/>
    <w:basedOn w:val="DefaultParagraphFont"/>
    <w:link w:val="Heading5"/>
    <w:uiPriority w:val="9"/>
    <w:semiHidden/>
    <w:rPr>
      <w:rFonts w:eastAsiaTheme="majorEastAsia" w:cstheme="majorBidi"/>
      <w:color w:val="2F5496" w:themeColor="accent1" w:themeShade="BF"/>
    </w:rPr>
  </w:style>
  <w:style w:type="character" w:customStyle="1" w:styleId="Heading6Char1">
    <w:name w:val="Heading 6 Char1"/>
    <w:basedOn w:val="DefaultParagraphFont"/>
    <w:link w:val="Heading6"/>
    <w:uiPriority w:val="9"/>
    <w:semiHidden/>
    <w:rPr>
      <w:rFonts w:eastAsiaTheme="majorEastAsia" w:cstheme="majorBidi"/>
      <w:i/>
      <w:iCs/>
      <w:color w:val="595959" w:themeColor="text1" w:themeTint="A6"/>
    </w:rPr>
  </w:style>
  <w:style w:type="character" w:customStyle="1" w:styleId="Heading7Char1">
    <w:name w:val="Heading 7 Char1"/>
    <w:basedOn w:val="DefaultParagraphFont"/>
    <w:link w:val="Heading7"/>
    <w:uiPriority w:val="9"/>
    <w:semiHidden/>
    <w:rPr>
      <w:rFonts w:eastAsiaTheme="majorEastAsia" w:cstheme="majorBidi"/>
      <w:color w:val="595959" w:themeColor="text1" w:themeTint="A6"/>
    </w:rPr>
  </w:style>
  <w:style w:type="character" w:customStyle="1" w:styleId="Heading8Char1">
    <w:name w:val="Heading 8 Char1"/>
    <w:basedOn w:val="DefaultParagraphFont"/>
    <w:link w:val="Heading8"/>
    <w:uiPriority w:val="9"/>
    <w:semiHidden/>
    <w:rPr>
      <w:rFonts w:eastAsiaTheme="majorEastAsia" w:cstheme="majorBidi"/>
      <w:i/>
      <w:iCs/>
      <w:color w:val="272727" w:themeColor="text1" w:themeTint="D8"/>
    </w:rPr>
  </w:style>
  <w:style w:type="character" w:customStyle="1" w:styleId="Heading9Char1">
    <w:name w:val="Heading 9 Char1"/>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1"/>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1">
    <w:name w:val="Title Char1"/>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1"/>
    <w:uiPriority w:val="11"/>
    <w:qFormat/>
    <w:rPr>
      <w:rFonts w:eastAsiaTheme="majorEastAsia" w:cstheme="majorBidi"/>
      <w:color w:val="595959" w:themeColor="text1" w:themeTint="A6"/>
      <w:spacing w:val="15"/>
      <w:sz w:val="28"/>
      <w:szCs w:val="28"/>
    </w:rPr>
  </w:style>
  <w:style w:type="character" w:customStyle="1" w:styleId="SubtitleChar1">
    <w:name w:val="Subtitle Char1"/>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1"/>
    <w:uiPriority w:val="29"/>
    <w:qFormat/>
    <w:pPr>
      <w:spacing w:before="160"/>
      <w:jc w:val="center"/>
    </w:pPr>
    <w:rPr>
      <w:i/>
      <w:iCs/>
      <w:color w:val="404040" w:themeColor="text1" w:themeTint="BF"/>
    </w:rPr>
  </w:style>
  <w:style w:type="character" w:customStyle="1" w:styleId="QuoteChar1">
    <w:name w:val="Quote Char1"/>
    <w:basedOn w:val="DefaultParagraphFont"/>
    <w:link w:val="Quote"/>
    <w:uiPriority w:val="29"/>
    <w:rPr>
      <w:i/>
      <w:iCs/>
      <w:color w:val="404040" w:themeColor="text1" w:themeTint="BF"/>
    </w:rPr>
  </w:style>
  <w:style w:type="paragraph" w:styleId="ListParagraph">
    <w:name w:val="List Paragraph"/>
    <w:basedOn w:val="Normal"/>
    <w:uiPriority w:val="34"/>
    <w:qFormat/>
    <w:pPr>
      <w:spacing w:before="240" w:line="360" w:lineRule="auto"/>
      <w:ind w:left="720"/>
      <w:contextualSpacing/>
      <w:jc w:val="both"/>
    </w:pPr>
    <w:rPr>
      <w:rFonts w:ascii="Arial" w:hAnsi="Arial" w:cs="Arial"/>
      <w:u w:val="single"/>
    </w:r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1"/>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1">
    <w:name w:val="Intense Quote Char1"/>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UnresolvedMention">
    <w:name w:val="Unresolved Mention"/>
    <w:basedOn w:val="DefaultParagraphFont"/>
    <w:uiPriority w:val="99"/>
    <w:semiHidden/>
    <w:unhideWhenUsed/>
    <w:rsid w:val="00C05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10</Pages>
  <Words>2799</Words>
  <Characters>15955</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1180</cp:lastModifiedBy>
  <cp:revision>3</cp:revision>
  <dcterms:created xsi:type="dcterms:W3CDTF">2025-09-04T07:49:00Z</dcterms:created>
  <dcterms:modified xsi:type="dcterms:W3CDTF">2025-09-04T12:35:00Z</dcterms:modified>
</cp:coreProperties>
</file>