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7.xml" ContentType="application/vnd.openxmlformats-officedocument.themeOverride+xml"/>
  <Override PartName="/word/charts/chart14.xml" ContentType="application/vnd.openxmlformats-officedocument.drawingml.chart+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442" w:rsidRPr="007E6400" w:rsidRDefault="00FB5A0C" w:rsidP="00486170">
      <w:pPr>
        <w:bidi w:val="0"/>
        <w:spacing w:before="240" w:after="0" w:line="240" w:lineRule="auto"/>
        <w:jc w:val="center"/>
        <w:rPr>
          <w:rFonts w:ascii="Times New Roman" w:eastAsia="Times New Roman" w:hAnsi="Times New Roman" w:cs="Times New Roman"/>
          <w:b/>
          <w:bCs/>
          <w:sz w:val="28"/>
          <w:szCs w:val="28"/>
        </w:rPr>
      </w:pPr>
      <w:r w:rsidRPr="007E6400">
        <w:rPr>
          <w:rFonts w:ascii="Times New Roman" w:eastAsia="Times New Roman" w:hAnsi="Times New Roman" w:cs="Times New Roman"/>
          <w:b/>
          <w:bCs/>
          <w:sz w:val="28"/>
          <w:szCs w:val="28"/>
        </w:rPr>
        <w:t>Viability</w:t>
      </w:r>
      <w:r w:rsidR="009B162E" w:rsidRPr="007E6400">
        <w:rPr>
          <w:rFonts w:ascii="Times New Roman" w:eastAsia="Times New Roman" w:hAnsi="Times New Roman" w:cs="Times New Roman"/>
          <w:b/>
          <w:bCs/>
          <w:sz w:val="28"/>
          <w:szCs w:val="28"/>
        </w:rPr>
        <w:t xml:space="preserve"> </w:t>
      </w:r>
      <w:r w:rsidR="0085786F" w:rsidRPr="007E6400">
        <w:rPr>
          <w:rFonts w:ascii="Times New Roman" w:eastAsia="Times New Roman" w:hAnsi="Times New Roman" w:cs="Times New Roman"/>
          <w:b/>
          <w:bCs/>
          <w:sz w:val="28"/>
          <w:szCs w:val="28"/>
        </w:rPr>
        <w:t>of</w:t>
      </w:r>
      <w:r w:rsidR="009B162E" w:rsidRPr="007E6400">
        <w:rPr>
          <w:rFonts w:ascii="Times New Roman" w:eastAsia="Times New Roman" w:hAnsi="Times New Roman" w:cs="Times New Roman"/>
          <w:b/>
          <w:bCs/>
          <w:sz w:val="28"/>
          <w:szCs w:val="28"/>
        </w:rPr>
        <w:t xml:space="preserve"> </w:t>
      </w:r>
      <w:r w:rsidR="00486170" w:rsidRPr="007E6400">
        <w:rPr>
          <w:rFonts w:ascii="Times New Roman" w:eastAsia="Times New Roman" w:hAnsi="Times New Roman" w:cs="Times New Roman"/>
          <w:b/>
          <w:bCs/>
          <w:sz w:val="28"/>
          <w:szCs w:val="28"/>
        </w:rPr>
        <w:t>Some</w:t>
      </w:r>
      <w:r w:rsidR="009B162E" w:rsidRPr="007E6400">
        <w:rPr>
          <w:rFonts w:ascii="Times New Roman" w:eastAsia="Times New Roman" w:hAnsi="Times New Roman" w:cs="Times New Roman"/>
          <w:b/>
          <w:bCs/>
          <w:sz w:val="28"/>
          <w:szCs w:val="28"/>
        </w:rPr>
        <w:t xml:space="preserve"> Br</w:t>
      </w:r>
      <w:r w:rsidRPr="007E6400">
        <w:rPr>
          <w:rFonts w:ascii="Times New Roman" w:eastAsia="Times New Roman" w:hAnsi="Times New Roman" w:cs="Times New Roman"/>
          <w:b/>
          <w:bCs/>
          <w:sz w:val="28"/>
          <w:szCs w:val="28"/>
        </w:rPr>
        <w:t>e</w:t>
      </w:r>
      <w:r w:rsidR="009B162E" w:rsidRPr="007E6400">
        <w:rPr>
          <w:rFonts w:ascii="Times New Roman" w:eastAsia="Times New Roman" w:hAnsi="Times New Roman" w:cs="Times New Roman"/>
          <w:b/>
          <w:bCs/>
          <w:sz w:val="28"/>
          <w:szCs w:val="28"/>
        </w:rPr>
        <w:t>ad Wheat Cultivars Under Different Storage Condition</w:t>
      </w:r>
      <w:r w:rsidRPr="007E6400">
        <w:rPr>
          <w:rFonts w:ascii="Times New Roman" w:eastAsia="Times New Roman" w:hAnsi="Times New Roman" w:cs="Times New Roman"/>
          <w:b/>
          <w:bCs/>
          <w:sz w:val="28"/>
          <w:szCs w:val="28"/>
        </w:rPr>
        <w:t>s</w:t>
      </w:r>
    </w:p>
    <w:p w:rsidR="00FB5A0C" w:rsidRPr="007E6400" w:rsidRDefault="00FB5A0C" w:rsidP="000A718B">
      <w:pPr>
        <w:bidi w:val="0"/>
        <w:spacing w:before="120"/>
        <w:jc w:val="center"/>
        <w:rPr>
          <w:rFonts w:ascii="Times New Roman" w:hAnsi="Times New Roman" w:cs="Times New Roman"/>
          <w:b/>
          <w:bCs/>
          <w:sz w:val="24"/>
          <w:szCs w:val="24"/>
        </w:rPr>
      </w:pPr>
    </w:p>
    <w:p w:rsidR="00055A70" w:rsidRDefault="00055A70" w:rsidP="000A718B">
      <w:pPr>
        <w:bidi w:val="0"/>
        <w:spacing w:before="240" w:after="0" w:line="240" w:lineRule="auto"/>
        <w:ind w:firstLine="680"/>
        <w:jc w:val="both"/>
        <w:rPr>
          <w:rFonts w:ascii="Times New Roman" w:eastAsia="Times New Roman" w:hAnsi="Times New Roman" w:cs="Times New Roman"/>
          <w:b/>
          <w:bCs/>
          <w:sz w:val="24"/>
          <w:szCs w:val="24"/>
        </w:rPr>
      </w:pPr>
    </w:p>
    <w:p w:rsidR="00854E4B" w:rsidRPr="007E6400" w:rsidRDefault="00854E4B" w:rsidP="00055A70">
      <w:pPr>
        <w:bidi w:val="0"/>
        <w:spacing w:before="240" w:after="0" w:line="240" w:lineRule="auto"/>
        <w:ind w:firstLine="680"/>
        <w:jc w:val="both"/>
        <w:rPr>
          <w:rFonts w:ascii="Times New Roman" w:eastAsia="Times New Roman" w:hAnsi="Times New Roman" w:cs="Times New Roman"/>
          <w:b/>
          <w:bCs/>
          <w:sz w:val="24"/>
          <w:szCs w:val="24"/>
        </w:rPr>
      </w:pPr>
      <w:bookmarkStart w:id="0" w:name="_GoBack"/>
      <w:bookmarkEnd w:id="0"/>
      <w:r w:rsidRPr="007E6400">
        <w:rPr>
          <w:rFonts w:ascii="Times New Roman" w:eastAsia="Times New Roman" w:hAnsi="Times New Roman" w:cs="Times New Roman"/>
          <w:b/>
          <w:bCs/>
          <w:sz w:val="24"/>
          <w:szCs w:val="24"/>
        </w:rPr>
        <w:t xml:space="preserve">ABSTRACT </w:t>
      </w:r>
    </w:p>
    <w:p w:rsidR="00854E4B" w:rsidRPr="007E6400" w:rsidRDefault="000733E1" w:rsidP="0076710E">
      <w:pPr>
        <w:bidi w:val="0"/>
        <w:spacing w:before="120" w:after="0" w:line="240" w:lineRule="auto"/>
        <w:ind w:firstLine="680"/>
        <w:jc w:val="both"/>
        <w:rPr>
          <w:rFonts w:ascii="Times New Roman" w:hAnsi="Times New Roman" w:cs="Times New Roman"/>
          <w:bCs/>
          <w:sz w:val="24"/>
          <w:szCs w:val="24"/>
        </w:rPr>
      </w:pPr>
      <w:r w:rsidRPr="007E6400">
        <w:rPr>
          <w:rFonts w:ascii="Times New Roman" w:eastAsia="Times New Roman" w:hAnsi="Times New Roman" w:cs="Times New Roman"/>
          <w:sz w:val="24"/>
          <w:szCs w:val="24"/>
        </w:rPr>
        <w:t xml:space="preserve"> This study was conducted at</w:t>
      </w:r>
      <w:r w:rsidR="00854E4B" w:rsidRPr="007E6400">
        <w:rPr>
          <w:rFonts w:ascii="Times New Roman" w:eastAsia="Times New Roman" w:hAnsi="Times New Roman" w:cs="Times New Roman"/>
          <w:sz w:val="24"/>
          <w:szCs w:val="24"/>
        </w:rPr>
        <w:t xml:space="preserve"> Seed Technology Department during </w:t>
      </w:r>
      <w:r w:rsidR="00FB5A0C" w:rsidRPr="007E6400">
        <w:rPr>
          <w:rFonts w:ascii="Times New Roman" w:eastAsia="Times New Roman" w:hAnsi="Times New Roman" w:cs="Times New Roman"/>
          <w:sz w:val="24"/>
          <w:szCs w:val="24"/>
        </w:rPr>
        <w:t>2023 season</w:t>
      </w:r>
      <w:r w:rsidR="00606A5A" w:rsidRPr="007E6400">
        <w:rPr>
          <w:rFonts w:ascii="Times New Roman" w:eastAsia="Times New Roman" w:hAnsi="Times New Roman" w:cs="Times New Roman"/>
          <w:sz w:val="24"/>
          <w:szCs w:val="24"/>
        </w:rPr>
        <w:t xml:space="preserve"> </w:t>
      </w:r>
      <w:r w:rsidR="00854E4B" w:rsidRPr="007E6400">
        <w:rPr>
          <w:rFonts w:ascii="Times New Roman" w:eastAsia="Times New Roman" w:hAnsi="Times New Roman" w:cs="Times New Roman"/>
          <w:sz w:val="24"/>
          <w:szCs w:val="24"/>
        </w:rPr>
        <w:t>to investigate the effect of some stora</w:t>
      </w:r>
      <w:r w:rsidR="00606A5A" w:rsidRPr="007E6400">
        <w:rPr>
          <w:rFonts w:ascii="Times New Roman" w:eastAsia="Times New Roman" w:hAnsi="Times New Roman" w:cs="Times New Roman"/>
          <w:sz w:val="24"/>
          <w:szCs w:val="24"/>
        </w:rPr>
        <w:t>ge conditions</w:t>
      </w:r>
      <w:r w:rsidR="00030BDB" w:rsidRPr="007E6400">
        <w:rPr>
          <w:rFonts w:ascii="Times New Roman" w:eastAsia="Times New Roman" w:hAnsi="Times New Roman" w:cs="Times New Roman"/>
          <w:sz w:val="24"/>
          <w:szCs w:val="24"/>
        </w:rPr>
        <w:t>:</w:t>
      </w:r>
      <w:r w:rsidR="00606A5A" w:rsidRPr="007E6400">
        <w:rPr>
          <w:rFonts w:ascii="Times New Roman" w:eastAsia="Times New Roman" w:hAnsi="Times New Roman" w:cs="Times New Roman"/>
          <w:sz w:val="24"/>
          <w:szCs w:val="24"/>
        </w:rPr>
        <w:t xml:space="preserve"> (normal and drought of wheat),  storage period</w:t>
      </w:r>
      <w:r w:rsidR="00854E4B" w:rsidRPr="007E6400">
        <w:rPr>
          <w:rFonts w:ascii="Times New Roman" w:eastAsia="Times New Roman" w:hAnsi="Times New Roman" w:cs="Times New Roman"/>
          <w:sz w:val="24"/>
          <w:szCs w:val="24"/>
        </w:rPr>
        <w:t xml:space="preserve">s (after harvest, </w:t>
      </w:r>
      <w:r w:rsidR="00FB5A0C" w:rsidRPr="007E6400">
        <w:rPr>
          <w:rFonts w:ascii="Times New Roman" w:eastAsia="Times New Roman" w:hAnsi="Times New Roman" w:cs="Times New Roman"/>
          <w:sz w:val="24"/>
          <w:szCs w:val="24"/>
        </w:rPr>
        <w:t>3</w:t>
      </w:r>
      <w:r w:rsidR="00854E4B" w:rsidRPr="007E6400">
        <w:rPr>
          <w:rFonts w:ascii="Times New Roman" w:eastAsia="Times New Roman" w:hAnsi="Times New Roman" w:cs="Times New Roman"/>
          <w:sz w:val="24"/>
          <w:szCs w:val="24"/>
        </w:rPr>
        <w:t xml:space="preserve"> and 6 months), package (H.D.P and jute), and three wheat cultivars (</w:t>
      </w:r>
      <w:r w:rsidR="00606A5A" w:rsidRPr="007E6400">
        <w:rPr>
          <w:rFonts w:ascii="Times New Roman" w:eastAsia="Times New Roman" w:hAnsi="Times New Roman" w:cs="Times New Roman"/>
          <w:sz w:val="24"/>
          <w:szCs w:val="24"/>
        </w:rPr>
        <w:t>Sakha</w:t>
      </w:r>
      <w:r w:rsidR="00854E4B" w:rsidRPr="007E6400">
        <w:rPr>
          <w:rFonts w:ascii="Times New Roman" w:eastAsia="Times New Roman" w:hAnsi="Times New Roman" w:cs="Times New Roman"/>
          <w:sz w:val="24"/>
          <w:szCs w:val="24"/>
        </w:rPr>
        <w:t>95, Giza 1</w:t>
      </w:r>
      <w:r w:rsidR="00606A5A" w:rsidRPr="007E6400">
        <w:rPr>
          <w:rFonts w:ascii="Times New Roman" w:eastAsia="Times New Roman" w:hAnsi="Times New Roman" w:cs="Times New Roman"/>
          <w:sz w:val="24"/>
          <w:szCs w:val="24"/>
        </w:rPr>
        <w:t>71and Misr</w:t>
      </w:r>
      <w:r w:rsidR="00854E4B" w:rsidRPr="007E6400">
        <w:rPr>
          <w:rFonts w:ascii="Times New Roman" w:eastAsia="Times New Roman" w:hAnsi="Times New Roman" w:cs="Times New Roman"/>
          <w:sz w:val="24"/>
          <w:szCs w:val="24"/>
        </w:rPr>
        <w:t>1) on germination percentage, seedling vigor</w:t>
      </w:r>
      <w:r w:rsidR="007363AC" w:rsidRPr="007E6400">
        <w:rPr>
          <w:rFonts w:ascii="Times New Roman" w:eastAsia="Times New Roman" w:hAnsi="Times New Roman" w:cs="Times New Roman"/>
          <w:sz w:val="24"/>
          <w:szCs w:val="24"/>
        </w:rPr>
        <w:t xml:space="preserve"> </w:t>
      </w:r>
      <w:r w:rsidR="00606A5A" w:rsidRPr="007E6400">
        <w:rPr>
          <w:rFonts w:ascii="Times New Roman" w:eastAsia="Times New Roman" w:hAnsi="Times New Roman" w:cs="Times New Roman"/>
          <w:sz w:val="24"/>
          <w:szCs w:val="24"/>
        </w:rPr>
        <w:t xml:space="preserve">parameters </w:t>
      </w:r>
      <w:r w:rsidR="007363AC" w:rsidRPr="007E6400">
        <w:rPr>
          <w:rFonts w:ascii="Times New Roman" w:eastAsia="Times New Roman" w:hAnsi="Times New Roman" w:cs="Times New Roman"/>
          <w:sz w:val="24"/>
          <w:szCs w:val="24"/>
        </w:rPr>
        <w:t>(shoot length, root length and seedling dry weight)</w:t>
      </w:r>
      <w:r w:rsidR="00854E4B" w:rsidRPr="007E6400">
        <w:rPr>
          <w:rFonts w:ascii="Times New Roman" w:eastAsia="Times New Roman" w:hAnsi="Times New Roman" w:cs="Times New Roman"/>
          <w:sz w:val="24"/>
          <w:szCs w:val="24"/>
        </w:rPr>
        <w:t>, seedling vigor index</w:t>
      </w:r>
      <w:r w:rsidR="00B82841" w:rsidRPr="007E6400">
        <w:rPr>
          <w:rFonts w:ascii="Times New Roman" w:eastAsia="Times New Roman" w:hAnsi="Times New Roman" w:cs="Times New Roman"/>
          <w:sz w:val="24"/>
          <w:szCs w:val="24"/>
        </w:rPr>
        <w:t xml:space="preserve">, </w:t>
      </w:r>
      <w:r w:rsidR="007363AC" w:rsidRPr="007E6400">
        <w:rPr>
          <w:rFonts w:ascii="Times New Roman" w:eastAsia="Times New Roman" w:hAnsi="Times New Roman" w:cs="Times New Roman"/>
          <w:sz w:val="24"/>
          <w:szCs w:val="24"/>
        </w:rPr>
        <w:t>seed index</w:t>
      </w:r>
      <w:r w:rsidR="00854E4B" w:rsidRPr="007E6400">
        <w:rPr>
          <w:rFonts w:ascii="Times New Roman" w:eastAsia="Times New Roman" w:hAnsi="Times New Roman" w:cs="Times New Roman"/>
          <w:sz w:val="24"/>
          <w:szCs w:val="24"/>
        </w:rPr>
        <w:t xml:space="preserve"> and </w:t>
      </w:r>
      <w:r w:rsidR="007363AC" w:rsidRPr="007E6400">
        <w:rPr>
          <w:rFonts w:ascii="Times New Roman" w:eastAsia="Times New Roman" w:hAnsi="Times New Roman" w:cs="Times New Roman"/>
          <w:sz w:val="24"/>
          <w:szCs w:val="24"/>
        </w:rPr>
        <w:t xml:space="preserve">electrical </w:t>
      </w:r>
      <w:r w:rsidR="00606A5A" w:rsidRPr="007E6400">
        <w:rPr>
          <w:rFonts w:ascii="Times New Roman" w:eastAsia="Times New Roman" w:hAnsi="Times New Roman" w:cs="Times New Roman"/>
          <w:sz w:val="24"/>
          <w:szCs w:val="24"/>
        </w:rPr>
        <w:t xml:space="preserve">conductivity </w:t>
      </w:r>
      <w:r w:rsidR="007363AC" w:rsidRPr="007E6400">
        <w:rPr>
          <w:rFonts w:ascii="Times New Roman" w:eastAsia="Times New Roman" w:hAnsi="Times New Roman" w:cs="Times New Roman"/>
          <w:sz w:val="24"/>
          <w:szCs w:val="24"/>
        </w:rPr>
        <w:t>of stored seeds</w:t>
      </w:r>
      <w:r w:rsidR="00854E4B" w:rsidRPr="007E6400">
        <w:rPr>
          <w:rFonts w:ascii="Times New Roman" w:eastAsia="Times New Roman" w:hAnsi="Times New Roman" w:cs="Times New Roman"/>
          <w:sz w:val="24"/>
          <w:szCs w:val="24"/>
        </w:rPr>
        <w:t xml:space="preserve">. </w:t>
      </w:r>
      <w:r w:rsidR="00606A5A" w:rsidRPr="007E6400">
        <w:rPr>
          <w:rFonts w:ascii="Times New Roman" w:eastAsia="Times New Roman" w:hAnsi="Times New Roman" w:cs="Times New Roman"/>
          <w:sz w:val="24"/>
          <w:szCs w:val="24"/>
        </w:rPr>
        <w:t>The obtained results revealed that, increasing storage period had a negative effect on seed viability (by increasing electrical conductivity and decreasing) and decreased germination percent and seedling vigor parameters. Also, the results cleared</w:t>
      </w:r>
      <w:r w:rsidR="00854E4B" w:rsidRPr="007E6400">
        <w:rPr>
          <w:rFonts w:ascii="Times New Roman" w:eastAsia="Times New Roman" w:hAnsi="Times New Roman" w:cs="Times New Roman"/>
          <w:sz w:val="24"/>
          <w:szCs w:val="24"/>
        </w:rPr>
        <w:t xml:space="preserve"> that, there was a significant </w:t>
      </w:r>
      <w:r w:rsidR="007363AC" w:rsidRPr="007E6400">
        <w:rPr>
          <w:rFonts w:ascii="Times New Roman" w:eastAsia="Times New Roman" w:hAnsi="Times New Roman" w:cs="Times New Roman"/>
          <w:sz w:val="24"/>
          <w:szCs w:val="24"/>
        </w:rPr>
        <w:t>difference in all studied traits</w:t>
      </w:r>
      <w:r w:rsidR="00606A5A" w:rsidRPr="007E6400">
        <w:rPr>
          <w:rFonts w:ascii="Times New Roman" w:eastAsia="Times New Roman" w:hAnsi="Times New Roman" w:cs="Times New Roman"/>
          <w:sz w:val="24"/>
          <w:szCs w:val="24"/>
        </w:rPr>
        <w:t xml:space="preserve"> due to treatment</w:t>
      </w:r>
      <w:r w:rsidR="007363AC" w:rsidRPr="007E6400">
        <w:rPr>
          <w:rFonts w:ascii="Times New Roman" w:eastAsia="Times New Roman" w:hAnsi="Times New Roman" w:cs="Times New Roman"/>
          <w:sz w:val="24"/>
          <w:szCs w:val="24"/>
        </w:rPr>
        <w:t xml:space="preserve">. </w:t>
      </w:r>
      <w:r w:rsidR="002D4404" w:rsidRPr="007E6400">
        <w:rPr>
          <w:rFonts w:ascii="Times New Roman" w:eastAsia="Times New Roman" w:hAnsi="Times New Roman" w:cs="Times New Roman"/>
          <w:sz w:val="24"/>
          <w:szCs w:val="24"/>
        </w:rPr>
        <w:t xml:space="preserve">Normal gave </w:t>
      </w:r>
      <w:r w:rsidR="00D82570" w:rsidRPr="007E6400">
        <w:rPr>
          <w:rFonts w:ascii="Times New Roman" w:eastAsia="Times New Roman" w:hAnsi="Times New Roman" w:cs="Times New Roman"/>
          <w:sz w:val="24"/>
          <w:szCs w:val="24"/>
        </w:rPr>
        <w:t xml:space="preserve">the best values </w:t>
      </w:r>
      <w:r w:rsidR="004C481B" w:rsidRPr="007E6400">
        <w:rPr>
          <w:rFonts w:ascii="Times New Roman" w:eastAsia="Times New Roman" w:hAnsi="Times New Roman" w:cs="Times New Roman"/>
          <w:sz w:val="24"/>
          <w:szCs w:val="24"/>
        </w:rPr>
        <w:t>f</w:t>
      </w:r>
      <w:r w:rsidR="00D82570" w:rsidRPr="007E6400">
        <w:rPr>
          <w:rFonts w:ascii="Times New Roman" w:eastAsia="Times New Roman" w:hAnsi="Times New Roman" w:cs="Times New Roman"/>
          <w:sz w:val="24"/>
          <w:szCs w:val="24"/>
        </w:rPr>
        <w:t>or</w:t>
      </w:r>
      <w:r w:rsidR="004C481B" w:rsidRPr="007E6400">
        <w:rPr>
          <w:rFonts w:ascii="Times New Roman" w:eastAsia="Times New Roman" w:hAnsi="Times New Roman" w:cs="Times New Roman"/>
          <w:sz w:val="24"/>
          <w:szCs w:val="24"/>
        </w:rPr>
        <w:t xml:space="preserve"> </w:t>
      </w:r>
      <w:r w:rsidR="00D82570" w:rsidRPr="007E6400">
        <w:rPr>
          <w:rFonts w:ascii="Times New Roman" w:eastAsia="Times New Roman" w:hAnsi="Times New Roman" w:cs="Times New Roman"/>
          <w:sz w:val="24"/>
          <w:szCs w:val="24"/>
        </w:rPr>
        <w:t xml:space="preserve">all studied traits. </w:t>
      </w:r>
      <w:r w:rsidR="00B7673D" w:rsidRPr="007E6400">
        <w:rPr>
          <w:rFonts w:ascii="Times New Roman" w:eastAsia="Times New Roman" w:hAnsi="Times New Roman" w:cs="Times New Roman"/>
          <w:sz w:val="24"/>
          <w:szCs w:val="24"/>
        </w:rPr>
        <w:t>T</w:t>
      </w:r>
      <w:r w:rsidR="000355DC" w:rsidRPr="007E6400">
        <w:rPr>
          <w:rFonts w:ascii="Times New Roman" w:eastAsia="Times New Roman" w:hAnsi="Times New Roman" w:cs="Times New Roman"/>
          <w:sz w:val="24"/>
          <w:szCs w:val="24"/>
        </w:rPr>
        <w:t xml:space="preserve">here were highly significant differences among </w:t>
      </w:r>
      <w:r w:rsidR="00D82570" w:rsidRPr="007E6400">
        <w:rPr>
          <w:rFonts w:ascii="Times New Roman" w:eastAsia="Times New Roman" w:hAnsi="Times New Roman" w:cs="Times New Roman"/>
          <w:sz w:val="24"/>
          <w:szCs w:val="24"/>
        </w:rPr>
        <w:t xml:space="preserve">all studied traits </w:t>
      </w:r>
      <w:r w:rsidR="000355DC" w:rsidRPr="007E6400">
        <w:rPr>
          <w:rFonts w:ascii="Times New Roman" w:eastAsia="Times New Roman" w:hAnsi="Times New Roman" w:cs="Times New Roman"/>
          <w:sz w:val="24"/>
          <w:szCs w:val="24"/>
        </w:rPr>
        <w:t xml:space="preserve">due to </w:t>
      </w:r>
      <w:r w:rsidR="00854E4B" w:rsidRPr="007E6400">
        <w:rPr>
          <w:rFonts w:ascii="Times New Roman" w:eastAsia="Times New Roman" w:hAnsi="Times New Roman" w:cs="Times New Roman"/>
          <w:sz w:val="24"/>
          <w:szCs w:val="24"/>
        </w:rPr>
        <w:t xml:space="preserve">storage package. Due to lower moisture value inside high density polyethylene compared with jute package, so that high density polyethylene gave </w:t>
      </w:r>
      <w:r w:rsidR="00D82570" w:rsidRPr="007E6400">
        <w:rPr>
          <w:rFonts w:ascii="Times New Roman" w:eastAsia="Times New Roman" w:hAnsi="Times New Roman" w:cs="Times New Roman"/>
          <w:sz w:val="24"/>
          <w:szCs w:val="24"/>
        </w:rPr>
        <w:t>the best values</w:t>
      </w:r>
      <w:r w:rsidR="00854E4B" w:rsidRPr="007E6400">
        <w:rPr>
          <w:rFonts w:ascii="Times New Roman" w:eastAsia="Times New Roman" w:hAnsi="Times New Roman" w:cs="Times New Roman"/>
          <w:sz w:val="24"/>
          <w:szCs w:val="24"/>
        </w:rPr>
        <w:t xml:space="preserve"> for </w:t>
      </w:r>
      <w:r w:rsidR="00D82570" w:rsidRPr="007E6400">
        <w:rPr>
          <w:rFonts w:ascii="Times New Roman" w:eastAsia="Times New Roman" w:hAnsi="Times New Roman" w:cs="Times New Roman"/>
          <w:sz w:val="24"/>
          <w:szCs w:val="24"/>
        </w:rPr>
        <w:t>all studied traits.</w:t>
      </w:r>
      <w:r w:rsidR="00854E4B" w:rsidRPr="007E6400">
        <w:rPr>
          <w:rFonts w:ascii="Times New Roman" w:eastAsia="Times New Roman" w:hAnsi="Times New Roman" w:cs="Times New Roman"/>
          <w:sz w:val="24"/>
          <w:szCs w:val="24"/>
        </w:rPr>
        <w:t xml:space="preserve"> On the other hand, results recorded highly significant differences among the tested cultivars for all studied characters mainly due to differences in the genetic constitution of these cultivars.</w:t>
      </w:r>
      <w:r w:rsidR="0076710E" w:rsidRPr="007E6400">
        <w:rPr>
          <w:rFonts w:ascii="Times New Roman" w:eastAsia="Times New Roman" w:hAnsi="Times New Roman" w:cs="Times New Roman"/>
          <w:sz w:val="24"/>
          <w:szCs w:val="24"/>
        </w:rPr>
        <w:t xml:space="preserve"> </w:t>
      </w:r>
      <w:r w:rsidR="00854E4B" w:rsidRPr="007E6400">
        <w:rPr>
          <w:rFonts w:ascii="Times New Roman" w:eastAsia="Times New Roman" w:hAnsi="Times New Roman" w:cs="Times New Roman"/>
          <w:sz w:val="24"/>
          <w:szCs w:val="24"/>
        </w:rPr>
        <w:t xml:space="preserve">Giza </w:t>
      </w:r>
      <w:r w:rsidR="000355DC" w:rsidRPr="007E6400">
        <w:rPr>
          <w:rFonts w:ascii="Times New Roman" w:eastAsia="Times New Roman" w:hAnsi="Times New Roman" w:cs="Times New Roman"/>
          <w:sz w:val="24"/>
          <w:szCs w:val="24"/>
        </w:rPr>
        <w:t>171</w:t>
      </w:r>
      <w:r w:rsidR="005C1D0C" w:rsidRPr="007E6400">
        <w:rPr>
          <w:rFonts w:ascii="Times New Roman" w:eastAsia="Times New Roman" w:hAnsi="Times New Roman" w:cs="Times New Roman"/>
          <w:sz w:val="24"/>
          <w:szCs w:val="24"/>
        </w:rPr>
        <w:t xml:space="preserve"> </w:t>
      </w:r>
      <w:r w:rsidR="0076710E" w:rsidRPr="007E6400">
        <w:rPr>
          <w:rFonts w:ascii="Times New Roman" w:eastAsia="Times New Roman" w:hAnsi="Times New Roman" w:cs="Times New Roman"/>
          <w:sz w:val="24"/>
          <w:szCs w:val="24"/>
        </w:rPr>
        <w:t>gave the highest values for</w:t>
      </w:r>
      <w:r w:rsidR="00854E4B" w:rsidRPr="007E6400">
        <w:rPr>
          <w:rFonts w:ascii="Times New Roman" w:eastAsia="Times New Roman" w:hAnsi="Times New Roman" w:cs="Times New Roman"/>
          <w:sz w:val="24"/>
          <w:szCs w:val="24"/>
        </w:rPr>
        <w:t xml:space="preserve"> germination percentage, </w:t>
      </w:r>
      <w:r w:rsidR="00562BA9" w:rsidRPr="007E6400">
        <w:rPr>
          <w:rFonts w:ascii="Times New Roman" w:eastAsia="Times New Roman" w:hAnsi="Times New Roman" w:cs="Times New Roman"/>
          <w:sz w:val="24"/>
          <w:szCs w:val="24"/>
        </w:rPr>
        <w:t>root</w:t>
      </w:r>
      <w:r w:rsidR="005C1D0C" w:rsidRPr="007E6400">
        <w:rPr>
          <w:rFonts w:ascii="Times New Roman" w:eastAsia="Times New Roman" w:hAnsi="Times New Roman" w:cs="Times New Roman"/>
          <w:sz w:val="24"/>
          <w:szCs w:val="24"/>
        </w:rPr>
        <w:t xml:space="preserve"> length, and</w:t>
      </w:r>
      <w:r w:rsidR="00854E4B" w:rsidRPr="007E6400">
        <w:rPr>
          <w:rFonts w:ascii="Times New Roman" w:eastAsia="Times New Roman" w:hAnsi="Times New Roman" w:cs="Times New Roman"/>
          <w:sz w:val="24"/>
          <w:szCs w:val="24"/>
        </w:rPr>
        <w:t xml:space="preserve"> seed index while, </w:t>
      </w:r>
      <w:r w:rsidR="0076710E" w:rsidRPr="007E6400">
        <w:rPr>
          <w:rFonts w:ascii="Times New Roman" w:eastAsia="Times New Roman" w:hAnsi="Times New Roman" w:cs="Times New Roman"/>
          <w:sz w:val="24"/>
          <w:szCs w:val="24"/>
        </w:rPr>
        <w:t>Misr</w:t>
      </w:r>
      <w:proofErr w:type="gramStart"/>
      <w:r w:rsidR="00562BA9" w:rsidRPr="007E6400">
        <w:rPr>
          <w:rFonts w:ascii="Times New Roman" w:eastAsia="Times New Roman" w:hAnsi="Times New Roman" w:cs="Times New Roman"/>
          <w:sz w:val="24"/>
          <w:szCs w:val="24"/>
        </w:rPr>
        <w:t>1</w:t>
      </w:r>
      <w:r w:rsidR="00854E4B" w:rsidRPr="007E6400">
        <w:rPr>
          <w:rFonts w:ascii="Times New Roman" w:eastAsia="Times New Roman" w:hAnsi="Times New Roman" w:cs="Times New Roman"/>
          <w:sz w:val="24"/>
          <w:szCs w:val="24"/>
        </w:rPr>
        <w:t xml:space="preserve">  gave</w:t>
      </w:r>
      <w:proofErr w:type="gramEnd"/>
      <w:r w:rsidR="00854E4B" w:rsidRPr="007E6400">
        <w:rPr>
          <w:rFonts w:ascii="Times New Roman" w:eastAsia="Times New Roman" w:hAnsi="Times New Roman" w:cs="Times New Roman"/>
          <w:sz w:val="24"/>
          <w:szCs w:val="24"/>
        </w:rPr>
        <w:t xml:space="preserve"> the lowest value </w:t>
      </w:r>
      <w:r w:rsidR="0076710E" w:rsidRPr="007E6400">
        <w:rPr>
          <w:rFonts w:ascii="Times New Roman" w:eastAsia="Times New Roman" w:hAnsi="Times New Roman" w:cs="Times New Roman"/>
          <w:sz w:val="24"/>
          <w:szCs w:val="24"/>
        </w:rPr>
        <w:t>the same traits</w:t>
      </w:r>
      <w:r w:rsidR="0075645F" w:rsidRPr="007E6400">
        <w:rPr>
          <w:rFonts w:ascii="Times New Roman" w:eastAsia="Times New Roman" w:hAnsi="Times New Roman" w:cs="Times New Roman"/>
          <w:sz w:val="24"/>
          <w:szCs w:val="24"/>
        </w:rPr>
        <w:t>.</w:t>
      </w:r>
      <w:r w:rsidR="00562BA9" w:rsidRPr="007E6400">
        <w:rPr>
          <w:rFonts w:ascii="Times New Roman" w:eastAsia="Times New Roman" w:hAnsi="Times New Roman" w:cs="Times New Roman"/>
          <w:sz w:val="24"/>
          <w:szCs w:val="24"/>
        </w:rPr>
        <w:t xml:space="preserve"> </w:t>
      </w:r>
      <w:r w:rsidR="0076710E" w:rsidRPr="007E6400">
        <w:rPr>
          <w:rFonts w:ascii="Times New Roman" w:eastAsia="Times New Roman" w:hAnsi="Times New Roman" w:cs="Times New Roman"/>
          <w:sz w:val="24"/>
          <w:szCs w:val="24"/>
        </w:rPr>
        <w:t>On the other hand, Misr</w:t>
      </w:r>
      <w:proofErr w:type="gramStart"/>
      <w:r w:rsidR="0075645F" w:rsidRPr="007E6400">
        <w:rPr>
          <w:rFonts w:ascii="Times New Roman" w:eastAsia="Times New Roman" w:hAnsi="Times New Roman" w:cs="Times New Roman"/>
          <w:sz w:val="24"/>
          <w:szCs w:val="24"/>
        </w:rPr>
        <w:t>1  gave</w:t>
      </w:r>
      <w:proofErr w:type="gramEnd"/>
      <w:r w:rsidR="0075645F" w:rsidRPr="007E6400">
        <w:rPr>
          <w:rFonts w:ascii="Times New Roman" w:eastAsia="Times New Roman" w:hAnsi="Times New Roman" w:cs="Times New Roman"/>
          <w:sz w:val="24"/>
          <w:szCs w:val="24"/>
        </w:rPr>
        <w:t xml:space="preserve"> the highest values of shoot length, seedling dry weight (S.D.W) and seedling vigor index (S.V.I)</w:t>
      </w:r>
      <w:r w:rsidR="00B05D24" w:rsidRPr="007E6400">
        <w:rPr>
          <w:rFonts w:ascii="Times New Roman" w:eastAsia="Times New Roman" w:hAnsi="Times New Roman" w:cs="Times New Roman"/>
          <w:sz w:val="24"/>
          <w:szCs w:val="24"/>
        </w:rPr>
        <w:t xml:space="preserve">. </w:t>
      </w:r>
      <w:r w:rsidR="00854E4B" w:rsidRPr="007E6400">
        <w:rPr>
          <w:rFonts w:ascii="Times New Roman" w:eastAsia="Times New Roman" w:hAnsi="Times New Roman" w:cs="Times New Roman"/>
          <w:sz w:val="24"/>
          <w:szCs w:val="24"/>
        </w:rPr>
        <w:t xml:space="preserve">The results illustrated that increasing storage time after harvest until </w:t>
      </w:r>
      <w:r w:rsidR="00B05D24" w:rsidRPr="007E6400">
        <w:rPr>
          <w:rFonts w:ascii="Times New Roman" w:eastAsia="Times New Roman" w:hAnsi="Times New Roman" w:cs="Times New Roman"/>
          <w:sz w:val="24"/>
          <w:szCs w:val="24"/>
        </w:rPr>
        <w:t>6</w:t>
      </w:r>
      <w:r w:rsidR="00854E4B" w:rsidRPr="007E6400">
        <w:rPr>
          <w:rFonts w:ascii="Times New Roman" w:eastAsia="Times New Roman" w:hAnsi="Times New Roman" w:cs="Times New Roman"/>
          <w:sz w:val="24"/>
          <w:szCs w:val="24"/>
        </w:rPr>
        <w:t xml:space="preserve"> months caused negative effect on </w:t>
      </w:r>
      <w:r w:rsidR="00C73BED" w:rsidRPr="007E6400">
        <w:rPr>
          <w:rFonts w:ascii="Times New Roman" w:eastAsia="Times New Roman" w:hAnsi="Times New Roman" w:cs="Times New Roman"/>
          <w:sz w:val="24"/>
          <w:szCs w:val="24"/>
        </w:rPr>
        <w:t>seed viability</w:t>
      </w:r>
      <w:r w:rsidR="00854E4B" w:rsidRPr="007E6400">
        <w:rPr>
          <w:rFonts w:ascii="Times New Roman" w:eastAsia="Times New Roman" w:hAnsi="Times New Roman" w:cs="Times New Roman"/>
          <w:sz w:val="24"/>
          <w:szCs w:val="24"/>
        </w:rPr>
        <w:t>.</w:t>
      </w:r>
      <w:r w:rsidR="00B82841" w:rsidRPr="007E6400">
        <w:rPr>
          <w:rFonts w:ascii="Times New Roman" w:eastAsia="Times New Roman" w:hAnsi="Times New Roman" w:cs="Times New Roman"/>
          <w:sz w:val="24"/>
          <w:szCs w:val="24"/>
        </w:rPr>
        <w:t xml:space="preserve"> So </w:t>
      </w:r>
      <w:r w:rsidR="002E177D" w:rsidRPr="007E6400">
        <w:rPr>
          <w:rFonts w:ascii="Times New Roman" w:eastAsia="Times New Roman" w:hAnsi="Times New Roman" w:cs="Times New Roman"/>
          <w:sz w:val="24"/>
          <w:szCs w:val="24"/>
        </w:rPr>
        <w:t>that, this study</w:t>
      </w:r>
      <w:r w:rsidR="00B82841" w:rsidRPr="007E6400">
        <w:rPr>
          <w:rFonts w:ascii="Times New Roman" w:eastAsia="Times New Roman" w:hAnsi="Times New Roman" w:cs="Times New Roman"/>
          <w:sz w:val="24"/>
          <w:szCs w:val="24"/>
        </w:rPr>
        <w:t xml:space="preserve"> </w:t>
      </w:r>
      <w:proofErr w:type="gramStart"/>
      <w:r w:rsidR="00B82841" w:rsidRPr="007E6400">
        <w:rPr>
          <w:rFonts w:ascii="Times New Roman" w:eastAsia="Times New Roman" w:hAnsi="Times New Roman" w:cs="Times New Roman"/>
          <w:sz w:val="24"/>
          <w:szCs w:val="24"/>
        </w:rPr>
        <w:t>recommend</w:t>
      </w:r>
      <w:proofErr w:type="gramEnd"/>
      <w:r w:rsidR="00B82841" w:rsidRPr="007E6400">
        <w:rPr>
          <w:rFonts w:ascii="Times New Roman" w:eastAsia="Times New Roman" w:hAnsi="Times New Roman" w:cs="Times New Roman"/>
          <w:sz w:val="24"/>
          <w:szCs w:val="24"/>
        </w:rPr>
        <w:t xml:space="preserve"> using </w:t>
      </w:r>
      <w:r w:rsidR="00B82841" w:rsidRPr="007E6400">
        <w:rPr>
          <w:rFonts w:ascii="Times New Roman" w:hAnsi="Times New Roman" w:cs="Times New Roman"/>
          <w:bCs/>
          <w:sz w:val="24"/>
          <w:szCs w:val="24"/>
        </w:rPr>
        <w:t>high density polyethylene</w:t>
      </w:r>
      <w:r w:rsidR="00854E4B" w:rsidRPr="007E6400">
        <w:rPr>
          <w:rFonts w:ascii="Times New Roman" w:hAnsi="Times New Roman" w:cs="Times New Roman"/>
          <w:bCs/>
          <w:sz w:val="24"/>
          <w:szCs w:val="24"/>
        </w:rPr>
        <w:t xml:space="preserve"> </w:t>
      </w:r>
      <w:r w:rsidR="00B82841" w:rsidRPr="007E6400">
        <w:rPr>
          <w:rFonts w:ascii="Times New Roman" w:hAnsi="Times New Roman" w:cs="Times New Roman"/>
          <w:bCs/>
          <w:sz w:val="24"/>
          <w:szCs w:val="24"/>
        </w:rPr>
        <w:t>packages to reduce this negative effect.</w:t>
      </w:r>
    </w:p>
    <w:p w:rsidR="00854E4B" w:rsidRPr="007E6400" w:rsidRDefault="00854E4B" w:rsidP="00BC5A14">
      <w:pPr>
        <w:bidi w:val="0"/>
        <w:spacing w:before="120" w:after="0" w:line="240" w:lineRule="auto"/>
        <w:ind w:left="794" w:hanging="794"/>
        <w:rPr>
          <w:b/>
          <w:sz w:val="24"/>
          <w:szCs w:val="24"/>
          <w:rtl/>
          <w:lang w:bidi="ar-EG"/>
        </w:rPr>
      </w:pPr>
      <w:r w:rsidRPr="007E6400">
        <w:rPr>
          <w:rFonts w:ascii="Times New Roman" w:hAnsi="Times New Roman" w:cs="Times New Roman"/>
          <w:b/>
          <w:sz w:val="24"/>
          <w:szCs w:val="24"/>
        </w:rPr>
        <w:t>Keywords:</w:t>
      </w:r>
      <w:r w:rsidRPr="007E6400">
        <w:rPr>
          <w:rFonts w:ascii="Times New Roman" w:hAnsi="Times New Roman" w:cs="Times New Roman"/>
          <w:sz w:val="24"/>
          <w:szCs w:val="24"/>
        </w:rPr>
        <w:t xml:space="preserve"> Grain quality, Storage package, Storage time, Storage </w:t>
      </w:r>
      <w:r w:rsidR="00BC5A14" w:rsidRPr="007E6400">
        <w:rPr>
          <w:rFonts w:ascii="Times New Roman" w:hAnsi="Times New Roman" w:cs="Times New Roman"/>
          <w:sz w:val="24"/>
          <w:szCs w:val="24"/>
        </w:rPr>
        <w:t>Treat</w:t>
      </w:r>
      <w:r w:rsidRPr="007E6400">
        <w:rPr>
          <w:rFonts w:ascii="Times New Roman" w:hAnsi="Times New Roman" w:cs="Times New Roman"/>
          <w:sz w:val="24"/>
          <w:szCs w:val="24"/>
        </w:rPr>
        <w:t xml:space="preserve"> and Viability, </w:t>
      </w:r>
      <w:r w:rsidR="00BC5A14" w:rsidRPr="007E6400">
        <w:rPr>
          <w:rFonts w:ascii="Times New Roman" w:hAnsi="Times New Roman" w:cs="Times New Roman"/>
          <w:sz w:val="24"/>
          <w:szCs w:val="24"/>
        </w:rPr>
        <w:t>wheat</w:t>
      </w:r>
    </w:p>
    <w:p w:rsidR="00C22165" w:rsidRPr="007E6400" w:rsidRDefault="00C22165" w:rsidP="00854E4B">
      <w:pPr>
        <w:bidi w:val="0"/>
        <w:spacing w:before="240" w:after="120" w:line="240" w:lineRule="auto"/>
        <w:ind w:firstLine="720"/>
        <w:rPr>
          <w:rFonts w:ascii="Times New Roman" w:hAnsi="Times New Roman" w:cs="Times New Roman"/>
          <w:b/>
          <w:sz w:val="24"/>
          <w:szCs w:val="24"/>
          <w:rtl/>
          <w:lang w:bidi="ar-EG"/>
        </w:rPr>
        <w:sectPr w:rsidR="00C22165" w:rsidRPr="007E6400" w:rsidSect="00B9228C">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797" w:bottom="1440" w:left="1797" w:header="737" w:footer="737" w:gutter="0"/>
          <w:cols w:space="709"/>
          <w:bidi/>
          <w:rtlGutter/>
          <w:docGrid w:linePitch="360"/>
        </w:sectPr>
      </w:pPr>
    </w:p>
    <w:p w:rsidR="00854E4B" w:rsidRPr="007E6400" w:rsidRDefault="00854E4B" w:rsidP="00854E4B">
      <w:pPr>
        <w:bidi w:val="0"/>
        <w:spacing w:before="240" w:after="120" w:line="240" w:lineRule="auto"/>
        <w:ind w:firstLine="720"/>
        <w:rPr>
          <w:rFonts w:ascii="Times New Roman" w:hAnsi="Times New Roman" w:cs="Times New Roman"/>
          <w:sz w:val="24"/>
          <w:szCs w:val="24"/>
        </w:rPr>
      </w:pPr>
      <w:r w:rsidRPr="007E6400">
        <w:rPr>
          <w:rFonts w:ascii="Times New Roman" w:hAnsi="Times New Roman" w:cs="Times New Roman"/>
          <w:b/>
          <w:sz w:val="24"/>
          <w:szCs w:val="24"/>
        </w:rPr>
        <w:lastRenderedPageBreak/>
        <w:t>Introduction</w:t>
      </w:r>
    </w:p>
    <w:p w:rsidR="004046DB" w:rsidRPr="007E6400" w:rsidRDefault="00E74144" w:rsidP="00245D2F">
      <w:pPr>
        <w:tabs>
          <w:tab w:val="left" w:pos="2055"/>
          <w:tab w:val="center" w:pos="4153"/>
        </w:tabs>
        <w:bidi w:val="0"/>
        <w:spacing w:after="0" w:line="240" w:lineRule="auto"/>
        <w:ind w:firstLine="680"/>
        <w:jc w:val="both"/>
        <w:rPr>
          <w:rFonts w:ascii="Times New Roman" w:hAnsi="Times New Roman" w:cs="Times New Roman"/>
          <w:sz w:val="24"/>
          <w:szCs w:val="24"/>
        </w:rPr>
      </w:pPr>
      <w:r w:rsidRPr="007E6400">
        <w:rPr>
          <w:rFonts w:ascii="Times New Roman" w:hAnsi="Times New Roman" w:cs="Times New Roman"/>
          <w:sz w:val="24"/>
          <w:szCs w:val="24"/>
        </w:rPr>
        <w:t>Wheat</w:t>
      </w:r>
      <w:r w:rsidR="00854E4B" w:rsidRPr="007E6400">
        <w:rPr>
          <w:rFonts w:ascii="Times New Roman" w:hAnsi="Times New Roman" w:cs="Times New Roman"/>
          <w:sz w:val="24"/>
          <w:szCs w:val="24"/>
        </w:rPr>
        <w:t xml:space="preserve"> is the most important crop in Egypt. cautious storage for wheat or a</w:t>
      </w:r>
      <w:r w:rsidR="002E177D" w:rsidRPr="007E6400">
        <w:rPr>
          <w:rFonts w:ascii="Times New Roman" w:hAnsi="Times New Roman" w:cs="Times New Roman"/>
          <w:sz w:val="24"/>
          <w:szCs w:val="24"/>
        </w:rPr>
        <w:t>ny crop may be very important for</w:t>
      </w:r>
      <w:r w:rsidR="00854E4B" w:rsidRPr="007E6400">
        <w:rPr>
          <w:rFonts w:ascii="Times New Roman" w:hAnsi="Times New Roman" w:cs="Times New Roman"/>
          <w:sz w:val="24"/>
          <w:szCs w:val="24"/>
        </w:rPr>
        <w:t xml:space="preserve"> lessening many problems of seed viability and we can use large seed crops several times for many years of reactivation for the germ, preventing the need to depend solely on the recent crop (Nasreen, 1999). Environmental temperature and relative humidity are the most important factors influencing seed viability and longevity during storage (</w:t>
      </w:r>
      <w:r w:rsidR="00245D2F" w:rsidRPr="007E6400">
        <w:rPr>
          <w:rFonts w:ascii="Times New Roman" w:hAnsi="Times New Roman" w:cs="Times New Roman"/>
          <w:sz w:val="24"/>
          <w:szCs w:val="24"/>
        </w:rPr>
        <w:t>Li, 2023 and Kamel</w:t>
      </w:r>
      <w:r w:rsidR="00854E4B" w:rsidRPr="007E6400">
        <w:rPr>
          <w:rFonts w:ascii="Times New Roman" w:hAnsi="Times New Roman" w:cs="Times New Roman"/>
          <w:sz w:val="24"/>
          <w:szCs w:val="24"/>
        </w:rPr>
        <w:t xml:space="preserve">, </w:t>
      </w:r>
      <w:r w:rsidR="00245D2F" w:rsidRPr="007E6400">
        <w:rPr>
          <w:rFonts w:ascii="Times New Roman" w:hAnsi="Times New Roman" w:cs="Times New Roman"/>
          <w:sz w:val="24"/>
          <w:szCs w:val="24"/>
        </w:rPr>
        <w:t>2025</w:t>
      </w:r>
      <w:r w:rsidR="00854E4B" w:rsidRPr="007E6400">
        <w:rPr>
          <w:rFonts w:ascii="Times New Roman" w:hAnsi="Times New Roman" w:cs="Times New Roman"/>
          <w:sz w:val="24"/>
          <w:szCs w:val="24"/>
        </w:rPr>
        <w:t>). Most species of seed crops could be stored safely avoiding the bad conditions by control of temperature and relative humidity in different locations all over the w</w:t>
      </w:r>
      <w:r w:rsidR="00B54E5F" w:rsidRPr="007E6400">
        <w:rPr>
          <w:rFonts w:ascii="Times New Roman" w:hAnsi="Times New Roman" w:cs="Times New Roman"/>
          <w:sz w:val="24"/>
          <w:szCs w:val="24"/>
        </w:rPr>
        <w:t>orld, especially tropical parts. C</w:t>
      </w:r>
      <w:r w:rsidR="00854E4B" w:rsidRPr="007E6400">
        <w:rPr>
          <w:rFonts w:ascii="Times New Roman" w:hAnsi="Times New Roman" w:cs="Times New Roman"/>
          <w:sz w:val="24"/>
          <w:szCs w:val="24"/>
        </w:rPr>
        <w:t xml:space="preserve">onditioned storage is very urgent to maintain the viability of some seeds still high and not highly affected from harvest time during its season to sowing time in another season (Harrington, 1973 and Nagel &amp; </w:t>
      </w:r>
      <w:proofErr w:type="spellStart"/>
      <w:r w:rsidR="00854E4B" w:rsidRPr="007E6400">
        <w:rPr>
          <w:rFonts w:ascii="Times New Roman" w:hAnsi="Times New Roman" w:cs="Times New Roman"/>
          <w:sz w:val="24"/>
          <w:szCs w:val="24"/>
        </w:rPr>
        <w:t>Borner</w:t>
      </w:r>
      <w:proofErr w:type="spellEnd"/>
      <w:r w:rsidR="00854E4B" w:rsidRPr="007E6400">
        <w:rPr>
          <w:rFonts w:ascii="Times New Roman" w:hAnsi="Times New Roman" w:cs="Times New Roman"/>
          <w:sz w:val="24"/>
          <w:szCs w:val="24"/>
        </w:rPr>
        <w:t>, 2010).  Harrington (197</w:t>
      </w:r>
      <w:r w:rsidR="00B54E5F" w:rsidRPr="007E6400">
        <w:rPr>
          <w:rFonts w:ascii="Times New Roman" w:hAnsi="Times New Roman" w:cs="Times New Roman"/>
          <w:sz w:val="24"/>
          <w:szCs w:val="24"/>
        </w:rPr>
        <w:t>3</w:t>
      </w:r>
      <w:r w:rsidR="00854E4B" w:rsidRPr="007E6400">
        <w:rPr>
          <w:rFonts w:ascii="Times New Roman" w:hAnsi="Times New Roman" w:cs="Times New Roman"/>
          <w:sz w:val="24"/>
          <w:szCs w:val="24"/>
        </w:rPr>
        <w:t>) investigated that there was a relation between temperature of storage, moisture inside seeds and their longevity and the</w:t>
      </w:r>
      <w:r w:rsidR="002E177D" w:rsidRPr="007E6400">
        <w:rPr>
          <w:rFonts w:ascii="Times New Roman" w:hAnsi="Times New Roman" w:cs="Times New Roman"/>
          <w:sz w:val="24"/>
          <w:szCs w:val="24"/>
        </w:rPr>
        <w:t xml:space="preserve">n he proposed two rules </w:t>
      </w:r>
      <w:r w:rsidR="00854E4B" w:rsidRPr="007E6400">
        <w:rPr>
          <w:rFonts w:ascii="Times New Roman" w:hAnsi="Times New Roman" w:cs="Times New Roman"/>
          <w:sz w:val="24"/>
          <w:szCs w:val="24"/>
        </w:rPr>
        <w:t xml:space="preserve"> according to the optimum storage (1 each 1% reduction in seed moisture increases the seeds life twice, and (2 each 5°C reduction in seed temperature increases the seeds life twice). Also, Harrington (197</w:t>
      </w:r>
      <w:r w:rsidR="00B54E5F" w:rsidRPr="007E6400">
        <w:rPr>
          <w:rFonts w:ascii="Times New Roman" w:hAnsi="Times New Roman" w:cs="Times New Roman"/>
          <w:sz w:val="24"/>
          <w:szCs w:val="24"/>
        </w:rPr>
        <w:t>3</w:t>
      </w:r>
      <w:r w:rsidR="00854E4B" w:rsidRPr="007E6400">
        <w:rPr>
          <w:rFonts w:ascii="Times New Roman" w:hAnsi="Times New Roman" w:cs="Times New Roman"/>
          <w:sz w:val="24"/>
          <w:szCs w:val="24"/>
        </w:rPr>
        <w:t>) found that there are some requirements should be a</w:t>
      </w:r>
      <w:r w:rsidR="002E177D" w:rsidRPr="007E6400">
        <w:rPr>
          <w:rFonts w:ascii="Times New Roman" w:hAnsi="Times New Roman" w:cs="Times New Roman"/>
          <w:sz w:val="24"/>
          <w:szCs w:val="24"/>
        </w:rPr>
        <w:t xml:space="preserve">vailable to those </w:t>
      </w:r>
      <w:proofErr w:type="gramStart"/>
      <w:r w:rsidR="002E177D" w:rsidRPr="007E6400">
        <w:rPr>
          <w:rFonts w:ascii="Times New Roman" w:hAnsi="Times New Roman" w:cs="Times New Roman"/>
          <w:sz w:val="24"/>
          <w:szCs w:val="24"/>
        </w:rPr>
        <w:t xml:space="preserve">rules </w:t>
      </w:r>
      <w:r w:rsidR="00854E4B" w:rsidRPr="007E6400">
        <w:rPr>
          <w:rFonts w:ascii="Times New Roman" w:hAnsi="Times New Roman" w:cs="Times New Roman"/>
          <w:sz w:val="24"/>
          <w:szCs w:val="24"/>
        </w:rPr>
        <w:t>,</w:t>
      </w:r>
      <w:proofErr w:type="gramEnd"/>
      <w:r w:rsidR="00854E4B" w:rsidRPr="007E6400">
        <w:rPr>
          <w:rFonts w:ascii="Times New Roman" w:hAnsi="Times New Roman" w:cs="Times New Roman"/>
          <w:sz w:val="24"/>
          <w:szCs w:val="24"/>
        </w:rPr>
        <w:t xml:space="preserve"> the 14 or below 5% seed moisture. </w:t>
      </w:r>
      <w:r w:rsidR="004046DB" w:rsidRPr="007E6400">
        <w:rPr>
          <w:rFonts w:ascii="Times New Roman" w:hAnsi="Times New Roman" w:cs="Times New Roman"/>
          <w:sz w:val="24"/>
          <w:szCs w:val="24"/>
        </w:rPr>
        <w:t xml:space="preserve"> This work was conducted </w:t>
      </w:r>
      <w:r w:rsidR="00B54E5F" w:rsidRPr="007E6400">
        <w:rPr>
          <w:rFonts w:ascii="Times New Roman" w:hAnsi="Times New Roman" w:cs="Times New Roman"/>
          <w:sz w:val="24"/>
          <w:szCs w:val="24"/>
        </w:rPr>
        <w:t>to know what may occur during storage using</w:t>
      </w:r>
      <w:r w:rsidR="004046DB" w:rsidRPr="007E6400">
        <w:rPr>
          <w:rFonts w:ascii="Times New Roman" w:hAnsi="Times New Roman" w:cs="Times New Roman"/>
          <w:sz w:val="24"/>
          <w:szCs w:val="24"/>
        </w:rPr>
        <w:t xml:space="preserve"> different package and treatment (Normal and Drought) under </w:t>
      </w:r>
      <w:proofErr w:type="gramStart"/>
      <w:r w:rsidR="004046DB" w:rsidRPr="007E6400">
        <w:rPr>
          <w:rFonts w:ascii="Times New Roman" w:hAnsi="Times New Roman" w:cs="Times New Roman"/>
          <w:sz w:val="24"/>
          <w:szCs w:val="24"/>
        </w:rPr>
        <w:t>Egyptian  conditions</w:t>
      </w:r>
      <w:proofErr w:type="gramEnd"/>
      <w:r w:rsidR="004046DB" w:rsidRPr="007E6400">
        <w:rPr>
          <w:rFonts w:ascii="Times New Roman" w:hAnsi="Times New Roman" w:cs="Times New Roman"/>
          <w:sz w:val="24"/>
          <w:szCs w:val="24"/>
        </w:rPr>
        <w:t>.</w:t>
      </w:r>
    </w:p>
    <w:p w:rsidR="004046DB" w:rsidRPr="007E6400" w:rsidRDefault="004046DB" w:rsidP="004046DB">
      <w:pPr>
        <w:tabs>
          <w:tab w:val="left" w:pos="2055"/>
          <w:tab w:val="center" w:pos="4153"/>
        </w:tabs>
        <w:bidi w:val="0"/>
        <w:spacing w:after="0" w:line="240" w:lineRule="auto"/>
        <w:ind w:firstLine="680"/>
        <w:jc w:val="both"/>
        <w:rPr>
          <w:rFonts w:ascii="Times New Roman" w:hAnsi="Times New Roman" w:cs="Times New Roman"/>
          <w:sz w:val="24"/>
          <w:szCs w:val="24"/>
        </w:rPr>
      </w:pPr>
    </w:p>
    <w:p w:rsidR="00854E4B" w:rsidRPr="007E6400" w:rsidRDefault="00854E4B" w:rsidP="00854E4B">
      <w:pPr>
        <w:tabs>
          <w:tab w:val="left" w:pos="2055"/>
          <w:tab w:val="center" w:pos="4153"/>
        </w:tabs>
        <w:bidi w:val="0"/>
        <w:spacing w:before="240" w:after="120" w:line="240" w:lineRule="auto"/>
        <w:rPr>
          <w:rFonts w:ascii="Times New Roman" w:hAnsi="Times New Roman" w:cs="Times New Roman"/>
          <w:b/>
          <w:bCs/>
          <w:sz w:val="24"/>
          <w:szCs w:val="24"/>
        </w:rPr>
      </w:pPr>
      <w:r w:rsidRPr="007E6400">
        <w:rPr>
          <w:rFonts w:ascii="Times New Roman" w:hAnsi="Times New Roman" w:cs="Times New Roman"/>
          <w:b/>
          <w:bCs/>
          <w:sz w:val="24"/>
          <w:szCs w:val="24"/>
        </w:rPr>
        <w:t>Materials and Methods</w:t>
      </w:r>
    </w:p>
    <w:p w:rsidR="00854E4B" w:rsidRPr="007E6400" w:rsidRDefault="00B3364D" w:rsidP="002E177D">
      <w:pPr>
        <w:bidi w:val="0"/>
        <w:spacing w:after="0" w:line="240" w:lineRule="auto"/>
        <w:ind w:firstLine="720"/>
        <w:jc w:val="both"/>
        <w:rPr>
          <w:rFonts w:ascii="Times New Roman" w:hAnsi="Times New Roman" w:cs="Times New Roman"/>
          <w:sz w:val="24"/>
          <w:szCs w:val="24"/>
        </w:rPr>
      </w:pPr>
      <w:r w:rsidRPr="007E6400">
        <w:rPr>
          <w:rFonts w:ascii="Times New Roman" w:hAnsi="Times New Roman" w:cs="Times New Roman"/>
          <w:sz w:val="24"/>
          <w:szCs w:val="24"/>
        </w:rPr>
        <w:t>Wheat</w:t>
      </w:r>
      <w:r w:rsidR="00854E4B" w:rsidRPr="007E6400">
        <w:rPr>
          <w:rFonts w:ascii="Times New Roman" w:hAnsi="Times New Roman" w:cs="Times New Roman"/>
          <w:sz w:val="24"/>
          <w:szCs w:val="24"/>
        </w:rPr>
        <w:t xml:space="preserve"> under investigation were produced at Sakha Agriculture Research</w:t>
      </w:r>
      <w:r w:rsidR="002E177D" w:rsidRPr="007E6400">
        <w:rPr>
          <w:rFonts w:ascii="Times New Roman" w:hAnsi="Times New Roman" w:cs="Times New Roman"/>
          <w:sz w:val="24"/>
          <w:szCs w:val="24"/>
        </w:rPr>
        <w:t xml:space="preserve"> Station, ARC, Egypt during 2023 season</w:t>
      </w:r>
      <w:r w:rsidR="00854E4B" w:rsidRPr="007E6400">
        <w:rPr>
          <w:rFonts w:ascii="Times New Roman" w:hAnsi="Times New Roman" w:cs="Times New Roman"/>
          <w:sz w:val="24"/>
          <w:szCs w:val="24"/>
        </w:rPr>
        <w:t xml:space="preserve">. Viability parameters, laboratory vigor seedling parameters were conducted at the seed Technology laboratory, Field </w:t>
      </w:r>
      <w:proofErr w:type="gramStart"/>
      <w:r w:rsidR="00854E4B" w:rsidRPr="007E6400">
        <w:rPr>
          <w:rFonts w:ascii="Times New Roman" w:hAnsi="Times New Roman" w:cs="Times New Roman"/>
          <w:sz w:val="24"/>
          <w:szCs w:val="24"/>
        </w:rPr>
        <w:t>crop  Research</w:t>
      </w:r>
      <w:proofErr w:type="gramEnd"/>
      <w:r w:rsidR="00854E4B" w:rsidRPr="007E6400">
        <w:rPr>
          <w:rFonts w:ascii="Times New Roman" w:hAnsi="Times New Roman" w:cs="Times New Roman"/>
          <w:sz w:val="24"/>
          <w:szCs w:val="24"/>
        </w:rPr>
        <w:t xml:space="preserve"> Institute , Sakha to investigate the effect of some storage conditions </w:t>
      </w:r>
      <w:proofErr w:type="spellStart"/>
      <w:r w:rsidR="00854E4B" w:rsidRPr="007E6400">
        <w:rPr>
          <w:rFonts w:ascii="Times New Roman" w:hAnsi="Times New Roman" w:cs="Times New Roman"/>
          <w:sz w:val="24"/>
          <w:szCs w:val="24"/>
        </w:rPr>
        <w:t>i.e</w:t>
      </w:r>
      <w:proofErr w:type="spellEnd"/>
    </w:p>
    <w:p w:rsidR="00854E4B" w:rsidRPr="007E6400" w:rsidRDefault="00854E4B" w:rsidP="00B3364D">
      <w:pPr>
        <w:pStyle w:val="ListParagraph"/>
        <w:numPr>
          <w:ilvl w:val="0"/>
          <w:numId w:val="1"/>
        </w:numPr>
        <w:bidi w:val="0"/>
        <w:ind w:left="227" w:firstLine="0"/>
        <w:jc w:val="both"/>
        <w:rPr>
          <w:rFonts w:ascii="Times New Roman" w:hAnsi="Times New Roman" w:cs="Times New Roman"/>
          <w:sz w:val="24"/>
          <w:szCs w:val="24"/>
        </w:rPr>
      </w:pPr>
      <w:r w:rsidRPr="007E6400">
        <w:rPr>
          <w:rFonts w:ascii="Times New Roman" w:hAnsi="Times New Roman" w:cs="Times New Roman"/>
          <w:sz w:val="24"/>
          <w:szCs w:val="24"/>
        </w:rPr>
        <w:t xml:space="preserve">Storage period:  After harvest, </w:t>
      </w:r>
      <w:r w:rsidR="002E177D" w:rsidRPr="007E6400">
        <w:rPr>
          <w:rFonts w:ascii="Times New Roman" w:hAnsi="Times New Roman" w:cs="Times New Roman"/>
          <w:sz w:val="24"/>
          <w:szCs w:val="24"/>
        </w:rPr>
        <w:t>3</w:t>
      </w:r>
      <w:r w:rsidRPr="007E6400">
        <w:rPr>
          <w:rFonts w:ascii="Times New Roman" w:hAnsi="Times New Roman" w:cs="Times New Roman"/>
          <w:sz w:val="24"/>
          <w:szCs w:val="24"/>
        </w:rPr>
        <w:t xml:space="preserve"> and </w:t>
      </w:r>
      <w:r w:rsidR="00B3364D" w:rsidRPr="007E6400">
        <w:rPr>
          <w:rFonts w:ascii="Times New Roman" w:hAnsi="Times New Roman" w:cs="Times New Roman"/>
          <w:sz w:val="24"/>
          <w:szCs w:val="24"/>
        </w:rPr>
        <w:t>6</w:t>
      </w:r>
      <w:r w:rsidRPr="007E6400">
        <w:rPr>
          <w:rFonts w:ascii="Times New Roman" w:hAnsi="Times New Roman" w:cs="Times New Roman"/>
          <w:sz w:val="24"/>
          <w:szCs w:val="24"/>
        </w:rPr>
        <w:t xml:space="preserve"> months</w:t>
      </w:r>
      <w:r w:rsidR="00030BDB" w:rsidRPr="007E6400">
        <w:rPr>
          <w:rFonts w:ascii="Times New Roman" w:hAnsi="Times New Roman" w:cs="Times New Roman"/>
          <w:sz w:val="24"/>
          <w:szCs w:val="24"/>
        </w:rPr>
        <w:t>.</w:t>
      </w:r>
      <w:r w:rsidRPr="007E6400">
        <w:rPr>
          <w:rFonts w:ascii="Times New Roman" w:hAnsi="Times New Roman" w:cs="Times New Roman"/>
          <w:sz w:val="24"/>
          <w:szCs w:val="24"/>
        </w:rPr>
        <w:t xml:space="preserve"> </w:t>
      </w:r>
    </w:p>
    <w:p w:rsidR="00854E4B" w:rsidRPr="007E6400" w:rsidRDefault="00854E4B" w:rsidP="00854E4B">
      <w:pPr>
        <w:pStyle w:val="ListParagraph"/>
        <w:numPr>
          <w:ilvl w:val="0"/>
          <w:numId w:val="1"/>
        </w:numPr>
        <w:bidi w:val="0"/>
        <w:ind w:left="584" w:hanging="357"/>
        <w:jc w:val="both"/>
        <w:rPr>
          <w:rFonts w:ascii="Times New Roman" w:hAnsi="Times New Roman" w:cs="Times New Roman"/>
          <w:sz w:val="24"/>
          <w:szCs w:val="24"/>
        </w:rPr>
      </w:pPr>
      <w:r w:rsidRPr="007E6400">
        <w:rPr>
          <w:rFonts w:ascii="Times New Roman" w:hAnsi="Times New Roman" w:cs="Times New Roman"/>
          <w:sz w:val="24"/>
          <w:szCs w:val="24"/>
        </w:rPr>
        <w:t xml:space="preserve"> Storage package: High density polyethylene (H.D.P) and jute</w:t>
      </w:r>
      <w:r w:rsidR="00030BDB" w:rsidRPr="007E6400">
        <w:rPr>
          <w:rFonts w:ascii="Times New Roman" w:hAnsi="Times New Roman" w:cs="Times New Roman"/>
          <w:sz w:val="24"/>
          <w:szCs w:val="24"/>
        </w:rPr>
        <w:t>.</w:t>
      </w:r>
      <w:r w:rsidRPr="007E6400">
        <w:rPr>
          <w:rFonts w:ascii="Times New Roman" w:hAnsi="Times New Roman" w:cs="Times New Roman"/>
          <w:sz w:val="24"/>
          <w:szCs w:val="24"/>
        </w:rPr>
        <w:t xml:space="preserve"> </w:t>
      </w:r>
    </w:p>
    <w:p w:rsidR="00854E4B" w:rsidRPr="007E6400" w:rsidRDefault="00854E4B" w:rsidP="00B3364D">
      <w:pPr>
        <w:pStyle w:val="ListParagraph"/>
        <w:numPr>
          <w:ilvl w:val="0"/>
          <w:numId w:val="1"/>
        </w:numPr>
        <w:bidi w:val="0"/>
        <w:ind w:left="584" w:hanging="357"/>
        <w:jc w:val="both"/>
        <w:rPr>
          <w:rFonts w:ascii="Times New Roman" w:hAnsi="Times New Roman" w:cs="Times New Roman"/>
          <w:sz w:val="24"/>
          <w:szCs w:val="24"/>
        </w:rPr>
      </w:pPr>
      <w:r w:rsidRPr="007E6400">
        <w:rPr>
          <w:rFonts w:ascii="Times New Roman" w:hAnsi="Times New Roman" w:cs="Times New Roman"/>
          <w:sz w:val="24"/>
          <w:szCs w:val="24"/>
        </w:rPr>
        <w:t xml:space="preserve"> </w:t>
      </w:r>
      <w:r w:rsidR="00B3364D" w:rsidRPr="007E6400">
        <w:rPr>
          <w:rFonts w:ascii="Times New Roman" w:hAnsi="Times New Roman" w:cs="Times New Roman"/>
          <w:sz w:val="24"/>
          <w:szCs w:val="24"/>
        </w:rPr>
        <w:t xml:space="preserve">Treatment: </w:t>
      </w:r>
      <w:proofErr w:type="gramStart"/>
      <w:r w:rsidR="00B3364D" w:rsidRPr="007E6400">
        <w:rPr>
          <w:rFonts w:ascii="Times New Roman" w:hAnsi="Times New Roman" w:cs="Times New Roman"/>
          <w:sz w:val="24"/>
          <w:szCs w:val="24"/>
        </w:rPr>
        <w:t xml:space="preserve">Normal </w:t>
      </w:r>
      <w:r w:rsidRPr="007E6400">
        <w:rPr>
          <w:rFonts w:ascii="Times New Roman" w:hAnsi="Times New Roman" w:cs="Times New Roman"/>
          <w:sz w:val="24"/>
          <w:szCs w:val="24"/>
        </w:rPr>
        <w:t xml:space="preserve"> </w:t>
      </w:r>
      <w:r w:rsidR="00B3364D" w:rsidRPr="007E6400">
        <w:rPr>
          <w:rFonts w:ascii="Times New Roman" w:hAnsi="Times New Roman" w:cs="Times New Roman"/>
          <w:sz w:val="24"/>
          <w:szCs w:val="24"/>
        </w:rPr>
        <w:t>and</w:t>
      </w:r>
      <w:proofErr w:type="gramEnd"/>
      <w:r w:rsidR="00B3364D" w:rsidRPr="007E6400">
        <w:rPr>
          <w:rFonts w:ascii="Times New Roman" w:hAnsi="Times New Roman" w:cs="Times New Roman"/>
          <w:sz w:val="24"/>
          <w:szCs w:val="24"/>
        </w:rPr>
        <w:t xml:space="preserve"> drought </w:t>
      </w:r>
      <w:r w:rsidRPr="007E6400">
        <w:rPr>
          <w:rFonts w:ascii="Times New Roman" w:hAnsi="Times New Roman" w:cs="Times New Roman"/>
          <w:sz w:val="24"/>
          <w:szCs w:val="24"/>
        </w:rPr>
        <w:t xml:space="preserve">of  </w:t>
      </w:r>
      <w:r w:rsidR="00B3364D" w:rsidRPr="007E6400">
        <w:rPr>
          <w:rFonts w:ascii="Times New Roman" w:hAnsi="Times New Roman" w:cs="Times New Roman"/>
          <w:sz w:val="24"/>
          <w:szCs w:val="24"/>
        </w:rPr>
        <w:t>wheat</w:t>
      </w:r>
      <w:r w:rsidR="00030BDB" w:rsidRPr="007E6400">
        <w:rPr>
          <w:rFonts w:ascii="Times New Roman" w:hAnsi="Times New Roman" w:cs="Times New Roman"/>
          <w:sz w:val="24"/>
          <w:szCs w:val="24"/>
        </w:rPr>
        <w:t>.</w:t>
      </w:r>
    </w:p>
    <w:p w:rsidR="00854E4B" w:rsidRPr="007E6400" w:rsidRDefault="00854E4B" w:rsidP="00B3364D">
      <w:pPr>
        <w:pStyle w:val="ListParagraph"/>
        <w:numPr>
          <w:ilvl w:val="0"/>
          <w:numId w:val="1"/>
        </w:numPr>
        <w:bidi w:val="0"/>
        <w:ind w:left="584" w:hanging="357"/>
        <w:jc w:val="both"/>
        <w:rPr>
          <w:rFonts w:ascii="Times New Roman" w:hAnsi="Times New Roman" w:cs="Times New Roman"/>
          <w:sz w:val="24"/>
          <w:szCs w:val="24"/>
        </w:rPr>
      </w:pPr>
      <w:r w:rsidRPr="007E6400">
        <w:rPr>
          <w:rFonts w:ascii="Times New Roman" w:hAnsi="Times New Roman" w:cs="Times New Roman"/>
          <w:sz w:val="24"/>
          <w:szCs w:val="24"/>
        </w:rPr>
        <w:t xml:space="preserve">Cultivars: </w:t>
      </w:r>
      <w:r w:rsidR="00B3364D" w:rsidRPr="007E6400">
        <w:rPr>
          <w:rFonts w:ascii="Times New Roman" w:hAnsi="Times New Roman" w:cs="Times New Roman"/>
          <w:sz w:val="24"/>
          <w:szCs w:val="24"/>
        </w:rPr>
        <w:t>Three wheat</w:t>
      </w:r>
      <w:r w:rsidRPr="007E6400">
        <w:rPr>
          <w:rFonts w:ascii="Times New Roman" w:hAnsi="Times New Roman" w:cs="Times New Roman"/>
          <w:sz w:val="24"/>
          <w:szCs w:val="24"/>
        </w:rPr>
        <w:t xml:space="preserve"> cultivars </w:t>
      </w:r>
      <w:r w:rsidR="00030BDB" w:rsidRPr="007E6400">
        <w:rPr>
          <w:rFonts w:ascii="Times New Roman" w:hAnsi="Times New Roman" w:cs="Times New Roman"/>
          <w:sz w:val="24"/>
          <w:szCs w:val="24"/>
        </w:rPr>
        <w:t>(Sakha</w:t>
      </w:r>
      <w:r w:rsidR="00B3364D" w:rsidRPr="007E6400">
        <w:rPr>
          <w:rFonts w:ascii="Times New Roman" w:hAnsi="Times New Roman" w:cs="Times New Roman"/>
          <w:sz w:val="24"/>
          <w:szCs w:val="24"/>
        </w:rPr>
        <w:t xml:space="preserve">95, </w:t>
      </w:r>
      <w:r w:rsidRPr="007E6400">
        <w:rPr>
          <w:rFonts w:ascii="Times New Roman" w:hAnsi="Times New Roman" w:cs="Times New Roman"/>
          <w:sz w:val="24"/>
          <w:szCs w:val="24"/>
        </w:rPr>
        <w:t>Giza 1</w:t>
      </w:r>
      <w:r w:rsidR="00030BDB" w:rsidRPr="007E6400">
        <w:rPr>
          <w:rFonts w:ascii="Times New Roman" w:hAnsi="Times New Roman" w:cs="Times New Roman"/>
          <w:sz w:val="24"/>
          <w:szCs w:val="24"/>
        </w:rPr>
        <w:t>71and Misr</w:t>
      </w:r>
      <w:r w:rsidR="00B3364D" w:rsidRPr="007E6400">
        <w:rPr>
          <w:rFonts w:ascii="Times New Roman" w:hAnsi="Times New Roman" w:cs="Times New Roman"/>
          <w:sz w:val="24"/>
          <w:szCs w:val="24"/>
        </w:rPr>
        <w:t>1)</w:t>
      </w:r>
      <w:r w:rsidR="00030BDB" w:rsidRPr="007E6400">
        <w:rPr>
          <w:rFonts w:ascii="Times New Roman" w:hAnsi="Times New Roman" w:cs="Times New Roman"/>
          <w:sz w:val="24"/>
          <w:szCs w:val="24"/>
        </w:rPr>
        <w:t>.</w:t>
      </w:r>
    </w:p>
    <w:p w:rsidR="00854E4B" w:rsidRPr="007E6400" w:rsidRDefault="001A0318" w:rsidP="00D5133C">
      <w:pPr>
        <w:pStyle w:val="ListParagraph"/>
        <w:bidi w:val="0"/>
        <w:ind w:left="0"/>
        <w:jc w:val="both"/>
        <w:rPr>
          <w:rFonts w:ascii="Times New Roman" w:hAnsi="Times New Roman" w:cs="Times New Roman"/>
          <w:sz w:val="24"/>
          <w:szCs w:val="24"/>
        </w:rPr>
      </w:pPr>
      <w:r w:rsidRPr="007E6400">
        <w:rPr>
          <w:rFonts w:ascii="Times New Roman" w:hAnsi="Times New Roman" w:cs="Times New Roman"/>
          <w:sz w:val="24"/>
          <w:szCs w:val="24"/>
        </w:rPr>
        <w:t>S</w:t>
      </w:r>
      <w:r w:rsidR="00854E4B" w:rsidRPr="007E6400">
        <w:rPr>
          <w:rFonts w:ascii="Times New Roman" w:hAnsi="Times New Roman" w:cs="Times New Roman"/>
          <w:sz w:val="24"/>
          <w:szCs w:val="24"/>
        </w:rPr>
        <w:t xml:space="preserve">amples were taken immediately after one month from harvesting. The samples were sieved and cleaned from dust, husk or any inert materials and the seed moisture content was 12%. </w:t>
      </w:r>
      <w:r w:rsidRPr="007E6400">
        <w:rPr>
          <w:rFonts w:ascii="Times New Roman" w:hAnsi="Times New Roman" w:cs="Times New Roman"/>
          <w:sz w:val="24"/>
          <w:szCs w:val="24"/>
        </w:rPr>
        <w:t>S</w:t>
      </w:r>
      <w:r w:rsidR="002E177D" w:rsidRPr="007E6400">
        <w:rPr>
          <w:rFonts w:ascii="Times New Roman" w:hAnsi="Times New Roman" w:cs="Times New Roman"/>
          <w:sz w:val="24"/>
          <w:szCs w:val="24"/>
        </w:rPr>
        <w:t>eed samples of each cultivar</w:t>
      </w:r>
      <w:r w:rsidR="00854E4B" w:rsidRPr="007E6400">
        <w:rPr>
          <w:rFonts w:ascii="Times New Roman" w:hAnsi="Times New Roman" w:cs="Times New Roman"/>
          <w:sz w:val="24"/>
          <w:szCs w:val="24"/>
        </w:rPr>
        <w:t xml:space="preserve"> were stored in two types of package   High density polyethylene (H.D.P) and Jute </w:t>
      </w:r>
      <w:proofErr w:type="gramStart"/>
      <w:r w:rsidR="00854E4B" w:rsidRPr="007E6400">
        <w:rPr>
          <w:rFonts w:ascii="Times New Roman" w:hAnsi="Times New Roman" w:cs="Times New Roman"/>
          <w:sz w:val="24"/>
          <w:szCs w:val="24"/>
        </w:rPr>
        <w:t>bag .</w:t>
      </w:r>
      <w:proofErr w:type="gramEnd"/>
      <w:r w:rsidR="00854E4B" w:rsidRPr="007E6400">
        <w:rPr>
          <w:rFonts w:ascii="Times New Roman" w:hAnsi="Times New Roman" w:cs="Times New Roman"/>
          <w:sz w:val="24"/>
          <w:szCs w:val="24"/>
        </w:rPr>
        <w:t xml:space="preserve"> Each package was filled with 500g of </w:t>
      </w:r>
      <w:r w:rsidR="00D5133C" w:rsidRPr="007E6400">
        <w:rPr>
          <w:rFonts w:ascii="Times New Roman" w:hAnsi="Times New Roman" w:cs="Times New Roman"/>
          <w:sz w:val="24"/>
          <w:szCs w:val="24"/>
        </w:rPr>
        <w:t>wheat</w:t>
      </w:r>
      <w:r w:rsidR="00854E4B" w:rsidRPr="007E6400">
        <w:rPr>
          <w:rFonts w:ascii="Times New Roman" w:hAnsi="Times New Roman" w:cs="Times New Roman"/>
          <w:sz w:val="24"/>
          <w:szCs w:val="24"/>
        </w:rPr>
        <w:t xml:space="preserve"> seeds in three replicates and stored for </w:t>
      </w:r>
      <w:r w:rsidR="002E177D" w:rsidRPr="007E6400">
        <w:rPr>
          <w:rFonts w:ascii="Times New Roman" w:hAnsi="Times New Roman" w:cs="Times New Roman"/>
          <w:sz w:val="24"/>
          <w:szCs w:val="24"/>
        </w:rPr>
        <w:t>3</w:t>
      </w:r>
      <w:r w:rsidR="00854E4B" w:rsidRPr="007E6400">
        <w:rPr>
          <w:rFonts w:ascii="Times New Roman" w:hAnsi="Times New Roman" w:cs="Times New Roman"/>
          <w:sz w:val="24"/>
          <w:szCs w:val="24"/>
        </w:rPr>
        <w:t xml:space="preserve"> and </w:t>
      </w:r>
      <w:r w:rsidR="00D5133C" w:rsidRPr="007E6400">
        <w:rPr>
          <w:rFonts w:ascii="Times New Roman" w:hAnsi="Times New Roman" w:cs="Times New Roman"/>
          <w:sz w:val="24"/>
          <w:szCs w:val="24"/>
        </w:rPr>
        <w:t xml:space="preserve">6 </w:t>
      </w:r>
      <w:r w:rsidR="00854E4B" w:rsidRPr="007E6400">
        <w:rPr>
          <w:rFonts w:ascii="Times New Roman" w:hAnsi="Times New Roman" w:cs="Times New Roman"/>
          <w:sz w:val="24"/>
          <w:szCs w:val="24"/>
        </w:rPr>
        <w:t xml:space="preserve">months under warehouse. Random samples were taken from each package to determine seed viability </w:t>
      </w:r>
      <w:r w:rsidR="002E177D" w:rsidRPr="007E6400">
        <w:rPr>
          <w:rFonts w:ascii="Times New Roman" w:hAnsi="Times New Roman" w:cs="Times New Roman"/>
          <w:sz w:val="24"/>
          <w:szCs w:val="24"/>
        </w:rPr>
        <w:t>parameters.</w:t>
      </w:r>
    </w:p>
    <w:p w:rsidR="00854E4B" w:rsidRPr="007E6400" w:rsidRDefault="00854E4B" w:rsidP="00854E4B">
      <w:pPr>
        <w:pStyle w:val="ListParagraph"/>
        <w:bidi w:val="0"/>
        <w:ind w:left="0"/>
        <w:jc w:val="both"/>
        <w:rPr>
          <w:rFonts w:ascii="Times New Roman" w:hAnsi="Times New Roman" w:cs="Times New Roman"/>
          <w:sz w:val="28"/>
          <w:szCs w:val="28"/>
        </w:rPr>
      </w:pPr>
    </w:p>
    <w:p w:rsidR="00854E4B" w:rsidRPr="007E6400" w:rsidRDefault="00854E4B" w:rsidP="00854E4B">
      <w:pPr>
        <w:bidi w:val="0"/>
        <w:spacing w:before="120" w:after="120" w:line="240" w:lineRule="auto"/>
        <w:ind w:left="510" w:hanging="510"/>
        <w:jc w:val="lowKashida"/>
        <w:rPr>
          <w:rFonts w:ascii="Times New Roman" w:hAnsi="Times New Roman" w:cs="Times New Roman"/>
          <w:b/>
          <w:bCs/>
          <w:sz w:val="24"/>
          <w:szCs w:val="24"/>
        </w:rPr>
      </w:pPr>
      <w:r w:rsidRPr="007E6400">
        <w:rPr>
          <w:rFonts w:ascii="Times New Roman" w:hAnsi="Times New Roman" w:cs="Times New Roman"/>
          <w:b/>
          <w:bCs/>
          <w:sz w:val="24"/>
          <w:szCs w:val="24"/>
        </w:rPr>
        <w:t>- Stander germination percentage (G.P):</w:t>
      </w:r>
    </w:p>
    <w:p w:rsidR="00854E4B" w:rsidRPr="007E6400" w:rsidRDefault="00854E4B" w:rsidP="00854E4B">
      <w:pPr>
        <w:bidi w:val="0"/>
        <w:spacing w:after="0" w:line="240" w:lineRule="auto"/>
        <w:ind w:firstLine="680"/>
        <w:jc w:val="lowKashida"/>
        <w:rPr>
          <w:rFonts w:ascii="Times New Roman" w:hAnsi="Times New Roman" w:cs="Times New Roman"/>
          <w:sz w:val="24"/>
          <w:szCs w:val="24"/>
        </w:rPr>
      </w:pPr>
      <w:r w:rsidRPr="007E6400">
        <w:rPr>
          <w:rFonts w:ascii="Times New Roman" w:hAnsi="Times New Roman" w:cs="Times New Roman"/>
          <w:sz w:val="24"/>
          <w:szCs w:val="24"/>
        </w:rPr>
        <w:t xml:space="preserve">Eight replications of 50 seeds per lot were planted in plastic boxes of 40 x 20 x20 cm dimensions and contained sterilized sand. The boxes were watered and kept at 25 C° in </w:t>
      </w:r>
      <w:proofErr w:type="gramStart"/>
      <w:r w:rsidRPr="007E6400">
        <w:rPr>
          <w:rFonts w:ascii="Times New Roman" w:hAnsi="Times New Roman" w:cs="Times New Roman"/>
          <w:sz w:val="24"/>
          <w:szCs w:val="24"/>
        </w:rPr>
        <w:t>an  inculcated</w:t>
      </w:r>
      <w:proofErr w:type="gramEnd"/>
      <w:r w:rsidRPr="007E6400">
        <w:rPr>
          <w:rFonts w:ascii="Times New Roman" w:hAnsi="Times New Roman" w:cs="Times New Roman"/>
          <w:sz w:val="24"/>
          <w:szCs w:val="24"/>
        </w:rPr>
        <w:t xml:space="preserve"> chamber and following parameters were evaluated:</w:t>
      </w:r>
    </w:p>
    <w:p w:rsidR="00854E4B" w:rsidRPr="007E6400" w:rsidRDefault="00854E4B" w:rsidP="00854E4B">
      <w:pPr>
        <w:bidi w:val="0"/>
        <w:spacing w:after="120" w:line="240" w:lineRule="auto"/>
        <w:ind w:left="567"/>
        <w:jc w:val="lowKashida"/>
        <w:rPr>
          <w:rFonts w:ascii="Times New Roman" w:hAnsi="Times New Roman" w:cs="Times New Roman"/>
          <w:sz w:val="24"/>
          <w:szCs w:val="24"/>
        </w:rPr>
      </w:pPr>
      <w:r w:rsidRPr="007E6400">
        <w:rPr>
          <w:rFonts w:ascii="Times New Roman" w:hAnsi="Times New Roman" w:cs="Times New Roman"/>
          <w:sz w:val="24"/>
          <w:szCs w:val="24"/>
        </w:rPr>
        <w:t xml:space="preserve">Germination percentage (G.P) was calculated by counting only normal seedlings 8 days after planting according to international rules of ISTA (1999). </w:t>
      </w:r>
    </w:p>
    <w:p w:rsidR="00854E4B" w:rsidRPr="007E6400" w:rsidRDefault="00854E4B" w:rsidP="00854E4B">
      <w:pPr>
        <w:bidi w:val="0"/>
        <w:spacing w:before="120" w:line="240" w:lineRule="auto"/>
        <w:ind w:firstLine="720"/>
        <w:jc w:val="lowKashida"/>
        <w:rPr>
          <w:rFonts w:ascii="Times New Roman" w:hAnsi="Times New Roman" w:cs="Times New Roman"/>
          <w:sz w:val="24"/>
          <w:szCs w:val="24"/>
        </w:rPr>
      </w:pPr>
      <w:r w:rsidRPr="007E6400">
        <w:rPr>
          <w:rFonts w:ascii="Times New Roman" w:hAnsi="Times New Roman" w:cs="Times New Roman"/>
          <w:sz w:val="24"/>
          <w:szCs w:val="24"/>
        </w:rPr>
        <w:t xml:space="preserve">G.P = </w:t>
      </w:r>
      <w:r w:rsidRPr="007E6400">
        <w:rPr>
          <w:rFonts w:ascii="Times New Roman" w:hAnsi="Times New Roman" w:cs="Times New Roman"/>
          <w:sz w:val="24"/>
          <w:szCs w:val="24"/>
          <w:vertAlign w:val="subscript"/>
        </w:rPr>
        <w:object w:dxaOrig="33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05pt;height:30.7pt" o:ole="">
            <v:imagedata r:id="rId14" o:title=""/>
          </v:shape>
          <o:OLEObject Type="Embed" ProgID="Equation.3" ShapeID="_x0000_i1025" DrawAspect="Content" ObjectID="_1816618887" r:id="rId15"/>
        </w:object>
      </w:r>
    </w:p>
    <w:p w:rsidR="00854E4B" w:rsidRPr="007E6400" w:rsidRDefault="00854E4B" w:rsidP="00CB6A12">
      <w:pPr>
        <w:bidi w:val="0"/>
        <w:spacing w:after="0" w:line="240" w:lineRule="auto"/>
        <w:ind w:firstLine="680"/>
        <w:jc w:val="lowKashida"/>
        <w:rPr>
          <w:rFonts w:ascii="Times New Roman" w:hAnsi="Times New Roman" w:cs="Times New Roman"/>
          <w:sz w:val="24"/>
          <w:szCs w:val="24"/>
        </w:rPr>
      </w:pPr>
      <w:r w:rsidRPr="007E6400">
        <w:rPr>
          <w:rFonts w:ascii="Times New Roman" w:hAnsi="Times New Roman" w:cs="Times New Roman"/>
          <w:sz w:val="24"/>
          <w:szCs w:val="24"/>
        </w:rPr>
        <w:lastRenderedPageBreak/>
        <w:t xml:space="preserve">Parameters were </w:t>
      </w:r>
      <w:proofErr w:type="gramStart"/>
      <w:r w:rsidRPr="007E6400">
        <w:rPr>
          <w:rFonts w:ascii="Times New Roman" w:hAnsi="Times New Roman" w:cs="Times New Roman"/>
          <w:sz w:val="24"/>
          <w:szCs w:val="24"/>
        </w:rPr>
        <w:t>evaluated  using</w:t>
      </w:r>
      <w:proofErr w:type="gramEnd"/>
      <w:r w:rsidRPr="007E6400">
        <w:rPr>
          <w:rFonts w:ascii="Times New Roman" w:hAnsi="Times New Roman" w:cs="Times New Roman"/>
          <w:sz w:val="24"/>
          <w:szCs w:val="24"/>
        </w:rPr>
        <w:t xml:space="preserve"> the following formula</w:t>
      </w:r>
      <w:r w:rsidR="00030BDB" w:rsidRPr="007E6400">
        <w:rPr>
          <w:rFonts w:ascii="Times New Roman" w:hAnsi="Times New Roman" w:cs="Times New Roman"/>
          <w:sz w:val="24"/>
          <w:szCs w:val="24"/>
        </w:rPr>
        <w:t>, where seedling vigo</w:t>
      </w:r>
      <w:r w:rsidRPr="007E6400">
        <w:rPr>
          <w:rFonts w:ascii="Times New Roman" w:hAnsi="Times New Roman" w:cs="Times New Roman"/>
          <w:sz w:val="24"/>
          <w:szCs w:val="24"/>
        </w:rPr>
        <w:t>r as measured by the length of normal seedling and dry weight which was made on 10 seedling per replicate at the end  of germination test . The seedling were oven dried at 70ºC for 24 hours and weight</w:t>
      </w:r>
      <w:r w:rsidR="00ED52AA" w:rsidRPr="007E6400">
        <w:rPr>
          <w:rFonts w:ascii="Times New Roman" w:hAnsi="Times New Roman" w:cs="Times New Roman"/>
          <w:sz w:val="24"/>
          <w:szCs w:val="24"/>
        </w:rPr>
        <w:t xml:space="preserve"> to measure seedling dry weight (SDW)</w:t>
      </w:r>
      <w:r w:rsidR="00165C53" w:rsidRPr="007E6400">
        <w:rPr>
          <w:rFonts w:ascii="Times New Roman" w:hAnsi="Times New Roman" w:cs="Times New Roman"/>
          <w:sz w:val="24"/>
          <w:szCs w:val="24"/>
        </w:rPr>
        <w:t>.</w:t>
      </w:r>
      <w:r w:rsidRPr="007E6400">
        <w:rPr>
          <w:rFonts w:ascii="Times New Roman" w:hAnsi="Times New Roman" w:cs="Times New Roman"/>
          <w:sz w:val="24"/>
          <w:szCs w:val="24"/>
        </w:rPr>
        <w:t xml:space="preserve"> </w:t>
      </w:r>
    </w:p>
    <w:p w:rsidR="00854E4B" w:rsidRPr="007E6400" w:rsidRDefault="00854E4B" w:rsidP="00854E4B">
      <w:pPr>
        <w:bidi w:val="0"/>
        <w:spacing w:after="0" w:line="240" w:lineRule="auto"/>
        <w:ind w:left="720" w:hanging="720"/>
        <w:jc w:val="lowKashida"/>
        <w:rPr>
          <w:rFonts w:ascii="Times New Roman" w:hAnsi="Times New Roman" w:cs="Times New Roman"/>
          <w:sz w:val="24"/>
          <w:szCs w:val="24"/>
        </w:rPr>
      </w:pPr>
      <w:r w:rsidRPr="007E6400">
        <w:rPr>
          <w:rFonts w:ascii="Times New Roman" w:hAnsi="Times New Roman" w:cs="Times New Roman"/>
          <w:sz w:val="24"/>
          <w:szCs w:val="24"/>
        </w:rPr>
        <w:t xml:space="preserve">- </w:t>
      </w:r>
      <w:r w:rsidRPr="007E6400">
        <w:rPr>
          <w:rFonts w:ascii="Times New Roman" w:hAnsi="Times New Roman" w:cs="Times New Roman"/>
          <w:b/>
          <w:bCs/>
          <w:sz w:val="24"/>
          <w:szCs w:val="24"/>
        </w:rPr>
        <w:t>Seedling vigor index</w:t>
      </w:r>
      <w:r w:rsidRPr="007E6400">
        <w:rPr>
          <w:rFonts w:ascii="Times New Roman" w:hAnsi="Times New Roman" w:cs="Times New Roman"/>
          <w:sz w:val="24"/>
          <w:szCs w:val="24"/>
        </w:rPr>
        <w:t xml:space="preserve"> (S.V.I):</w:t>
      </w:r>
    </w:p>
    <w:p w:rsidR="00854E4B" w:rsidRPr="007E6400" w:rsidRDefault="00854E4B" w:rsidP="002B1CB1">
      <w:pPr>
        <w:bidi w:val="0"/>
        <w:spacing w:line="240" w:lineRule="auto"/>
        <w:ind w:firstLine="680"/>
        <w:jc w:val="lowKashida"/>
        <w:rPr>
          <w:rFonts w:ascii="Times New Roman" w:hAnsi="Times New Roman" w:cs="Times New Roman"/>
          <w:sz w:val="24"/>
          <w:szCs w:val="24"/>
        </w:rPr>
      </w:pPr>
      <w:r w:rsidRPr="007E6400">
        <w:rPr>
          <w:rFonts w:ascii="Times New Roman" w:hAnsi="Times New Roman" w:cs="Times New Roman"/>
          <w:sz w:val="24"/>
          <w:szCs w:val="24"/>
        </w:rPr>
        <w:t xml:space="preserve">Seedling vigor index was calculated using the following formula outlined by </w:t>
      </w:r>
      <w:r w:rsidR="002B1CB1" w:rsidRPr="007E6400">
        <w:rPr>
          <w:rFonts w:ascii="Times New Roman" w:hAnsi="Times New Roman" w:cs="Times New Roman"/>
          <w:sz w:val="24"/>
          <w:szCs w:val="24"/>
        </w:rPr>
        <w:t>ISTA (1999</w:t>
      </w:r>
      <w:r w:rsidRPr="007E6400">
        <w:rPr>
          <w:rFonts w:ascii="Times New Roman" w:hAnsi="Times New Roman" w:cs="Times New Roman"/>
          <w:sz w:val="24"/>
          <w:szCs w:val="24"/>
        </w:rPr>
        <w:t>)</w:t>
      </w:r>
      <w:r w:rsidR="00030BDB" w:rsidRPr="007E6400">
        <w:rPr>
          <w:rFonts w:ascii="Times New Roman" w:hAnsi="Times New Roman" w:cs="Times New Roman"/>
          <w:sz w:val="24"/>
          <w:szCs w:val="24"/>
        </w:rPr>
        <w:t>.</w:t>
      </w:r>
    </w:p>
    <w:p w:rsidR="00854E4B" w:rsidRPr="007E6400" w:rsidRDefault="00854E4B" w:rsidP="00854E4B">
      <w:pPr>
        <w:bidi w:val="0"/>
        <w:spacing w:after="0" w:line="240" w:lineRule="auto"/>
        <w:jc w:val="lowKashida"/>
        <w:rPr>
          <w:rFonts w:ascii="Times New Roman" w:hAnsi="Times New Roman" w:cs="Times New Roman"/>
          <w:sz w:val="24"/>
          <w:szCs w:val="24"/>
        </w:rPr>
      </w:pPr>
      <w:r w:rsidRPr="007E6400">
        <w:rPr>
          <w:rFonts w:ascii="Times New Roman" w:hAnsi="Times New Roman" w:cs="Times New Roman"/>
          <w:sz w:val="24"/>
          <w:szCs w:val="24"/>
        </w:rPr>
        <w:t>Seedling vigor index = SDW × G.P</w:t>
      </w:r>
    </w:p>
    <w:p w:rsidR="00854E4B" w:rsidRPr="007E6400" w:rsidRDefault="00854E4B" w:rsidP="00854E4B">
      <w:pPr>
        <w:bidi w:val="0"/>
        <w:spacing w:after="0" w:line="240" w:lineRule="auto"/>
        <w:ind w:left="720" w:hanging="720"/>
        <w:jc w:val="lowKashida"/>
        <w:rPr>
          <w:rFonts w:ascii="Times New Roman" w:hAnsi="Times New Roman" w:cs="Times New Roman"/>
          <w:sz w:val="24"/>
          <w:szCs w:val="24"/>
        </w:rPr>
      </w:pPr>
      <w:r w:rsidRPr="007E6400">
        <w:rPr>
          <w:rFonts w:ascii="Times New Roman" w:hAnsi="Times New Roman" w:cs="Times New Roman"/>
          <w:sz w:val="24"/>
          <w:szCs w:val="24"/>
        </w:rPr>
        <w:t>Where SDW = Seedling dry weight</w:t>
      </w:r>
    </w:p>
    <w:p w:rsidR="00854E4B" w:rsidRPr="007E6400" w:rsidRDefault="00854E4B" w:rsidP="00854E4B">
      <w:pPr>
        <w:bidi w:val="0"/>
        <w:spacing w:after="0" w:line="240" w:lineRule="auto"/>
        <w:ind w:left="720" w:hanging="720"/>
        <w:jc w:val="lowKashida"/>
        <w:rPr>
          <w:rFonts w:ascii="Times New Roman" w:hAnsi="Times New Roman" w:cs="Times New Roman"/>
          <w:sz w:val="24"/>
          <w:szCs w:val="24"/>
        </w:rPr>
      </w:pPr>
      <w:r w:rsidRPr="007E6400">
        <w:rPr>
          <w:rFonts w:ascii="Times New Roman" w:hAnsi="Times New Roman" w:cs="Times New Roman"/>
          <w:sz w:val="24"/>
          <w:szCs w:val="24"/>
        </w:rPr>
        <w:t>G.P = Germination percentage</w:t>
      </w:r>
    </w:p>
    <w:p w:rsidR="00854E4B" w:rsidRPr="007E6400" w:rsidRDefault="00153FA0" w:rsidP="00153FA0">
      <w:pPr>
        <w:bidi w:val="0"/>
        <w:spacing w:before="120" w:after="120" w:line="240" w:lineRule="auto"/>
        <w:rPr>
          <w:rFonts w:ascii="Times New Roman" w:hAnsi="Times New Roman" w:cs="Times New Roman"/>
          <w:b/>
          <w:bCs/>
          <w:iCs/>
          <w:sz w:val="24"/>
          <w:szCs w:val="24"/>
        </w:rPr>
      </w:pPr>
      <w:r w:rsidRPr="007E6400">
        <w:rPr>
          <w:rFonts w:ascii="Times New Roman" w:hAnsi="Times New Roman" w:cs="Times New Roman"/>
          <w:b/>
          <w:bCs/>
          <w:iCs/>
          <w:sz w:val="24"/>
          <w:szCs w:val="24"/>
        </w:rPr>
        <w:t>-</w:t>
      </w:r>
      <w:r w:rsidR="00854E4B" w:rsidRPr="007E6400">
        <w:rPr>
          <w:rFonts w:ascii="Times New Roman" w:hAnsi="Times New Roman" w:cs="Times New Roman"/>
          <w:b/>
          <w:bCs/>
          <w:iCs/>
          <w:sz w:val="24"/>
          <w:szCs w:val="24"/>
        </w:rPr>
        <w:t xml:space="preserve">Electrical conductivity test (EC): </w:t>
      </w:r>
    </w:p>
    <w:p w:rsidR="00854E4B" w:rsidRPr="007E6400" w:rsidRDefault="00854E4B" w:rsidP="00854E4B">
      <w:pPr>
        <w:bidi w:val="0"/>
        <w:spacing w:after="0" w:line="240" w:lineRule="auto"/>
        <w:ind w:firstLine="680"/>
        <w:jc w:val="both"/>
        <w:rPr>
          <w:rFonts w:ascii="Times New Roman" w:hAnsi="Times New Roman" w:cs="Times New Roman"/>
          <w:sz w:val="24"/>
          <w:szCs w:val="24"/>
        </w:rPr>
      </w:pPr>
      <w:r w:rsidRPr="007E6400">
        <w:rPr>
          <w:rFonts w:ascii="Times New Roman" w:hAnsi="Times New Roman" w:cs="Times New Roman"/>
          <w:sz w:val="24"/>
          <w:szCs w:val="24"/>
        </w:rPr>
        <w:t>Four sub-samples each of 50 seeds were taken from the pure seed portion of each seed grade. Each sub-sample was weighed to the nearest two decimal points after which it was placed in 500 ml conical flask containing 250 ml distilled water. The flasks were covered and then incubated at 25 ± 1ºC for 24-hour period. Conductivity measures were recorded at the end of each test period at 20 ºC using a calibrated conductivity meter. The conductivity per gram of seed weight for each sub-sample was calculated as follows:</w:t>
      </w:r>
    </w:p>
    <w:p w:rsidR="00854E4B" w:rsidRPr="007E6400" w:rsidRDefault="00854E4B" w:rsidP="00854E4B">
      <w:pPr>
        <w:pStyle w:val="Heading2"/>
        <w:spacing w:before="240" w:line="240" w:lineRule="auto"/>
        <w:ind w:left="11" w:firstLine="0"/>
        <w:jc w:val="both"/>
        <w:rPr>
          <w:color w:val="auto"/>
          <w:szCs w:val="24"/>
        </w:rPr>
      </w:pPr>
      <w:r w:rsidRPr="007E6400">
        <w:rPr>
          <w:color w:val="auto"/>
          <w:szCs w:val="24"/>
        </w:rPr>
        <w:t xml:space="preserve">           Conductivity (</w:t>
      </w:r>
      <w:r w:rsidRPr="007E6400">
        <w:rPr>
          <w:rFonts w:eastAsia="Segoe UI Symbol"/>
          <w:color w:val="auto"/>
          <w:szCs w:val="24"/>
        </w:rPr>
        <w:t>µ</w:t>
      </w:r>
      <w:r w:rsidRPr="007E6400">
        <w:rPr>
          <w:color w:val="auto"/>
          <w:szCs w:val="24"/>
        </w:rPr>
        <w:t xml:space="preserve">S) for each flask </w:t>
      </w:r>
    </w:p>
    <w:p w:rsidR="00854E4B" w:rsidRPr="007E6400" w:rsidRDefault="00854E4B" w:rsidP="00854E4B">
      <w:pPr>
        <w:tabs>
          <w:tab w:val="right" w:pos="4019"/>
        </w:tabs>
        <w:bidi w:val="0"/>
        <w:spacing w:after="0" w:line="240" w:lineRule="auto"/>
        <w:jc w:val="both"/>
        <w:rPr>
          <w:rFonts w:ascii="Times New Roman" w:hAnsi="Times New Roman" w:cs="Times New Roman"/>
          <w:i/>
          <w:sz w:val="24"/>
          <w:szCs w:val="24"/>
        </w:rPr>
      </w:pPr>
      <w:r w:rsidRPr="007E6400">
        <w:rPr>
          <w:rFonts w:ascii="Times New Roman" w:hAnsi="Times New Roman" w:cs="Times New Roman"/>
          <w:i/>
          <w:sz w:val="24"/>
          <w:szCs w:val="24"/>
        </w:rPr>
        <w:t xml:space="preserve">E.C = </w:t>
      </w:r>
      <w:r w:rsidRPr="007E6400">
        <w:rPr>
          <w:rFonts w:ascii="Times New Roman" w:hAnsi="Times New Roman" w:cs="Times New Roman"/>
          <w:i/>
          <w:sz w:val="24"/>
          <w:szCs w:val="24"/>
        </w:rPr>
        <w:tab/>
      </w:r>
      <w:r w:rsidRPr="007E6400">
        <w:rPr>
          <w:rFonts w:ascii="Times New Roman" w:eastAsia="Calibri" w:hAnsi="Times New Roman" w:cs="Times New Roman"/>
          <w:i/>
          <w:noProof/>
          <w:sz w:val="24"/>
          <w:szCs w:val="24"/>
        </w:rPr>
        <mc:AlternateContent>
          <mc:Choice Requires="wpg">
            <w:drawing>
              <wp:inline distT="0" distB="0" distL="0" distR="0" wp14:anchorId="3CC478F1" wp14:editId="58608499">
                <wp:extent cx="2144012" cy="6351"/>
                <wp:effectExtent l="0" t="0" r="0" b="0"/>
                <wp:docPr id="53613" name="Group 53613"/>
                <wp:cNvGraphicFramePr/>
                <a:graphic xmlns:a="http://schemas.openxmlformats.org/drawingml/2006/main">
                  <a:graphicData uri="http://schemas.microsoft.com/office/word/2010/wordprocessingGroup">
                    <wpg:wgp>
                      <wpg:cNvGrpSpPr/>
                      <wpg:grpSpPr>
                        <a:xfrm>
                          <a:off x="0" y="0"/>
                          <a:ext cx="2144012" cy="6351"/>
                          <a:chOff x="0" y="0"/>
                          <a:chExt cx="2144012" cy="6351"/>
                        </a:xfrm>
                      </wpg:grpSpPr>
                      <wps:wsp>
                        <wps:cNvPr id="1601" name="Shape 1601"/>
                        <wps:cNvSpPr/>
                        <wps:spPr>
                          <a:xfrm>
                            <a:off x="0" y="0"/>
                            <a:ext cx="2144012" cy="0"/>
                          </a:xfrm>
                          <a:custGeom>
                            <a:avLst/>
                            <a:gdLst/>
                            <a:ahLst/>
                            <a:cxnLst/>
                            <a:rect l="0" t="0" r="0" b="0"/>
                            <a:pathLst>
                              <a:path w="2144012">
                                <a:moveTo>
                                  <a:pt x="0" y="0"/>
                                </a:moveTo>
                                <a:lnTo>
                                  <a:pt x="2144012" y="0"/>
                                </a:lnTo>
                              </a:path>
                            </a:pathLst>
                          </a:custGeom>
                          <a:ln w="6351"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42EE69" id="Group 53613" o:spid="_x0000_s1026" style="width:168.8pt;height:.5pt;mso-position-horizontal-relative:char;mso-position-vertical-relative:line" coordsize="214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5xPXgIAANQFAAAOAAAAZHJzL2Uyb0RvYy54bWykVMlu2zAQvRfoPxC815LsxA0ESzk0rS9F&#10;GzTpB9AUtQDcStKW/fcdjhYbDpqD64M8JGd58zh8m8ejkuQgnO+MLmi2SCkRmpuq001Bf79++/RA&#10;iQ9MV0waLQp6Ep4+lh8/bHqbi6VpjayEI5BE+7y3BW1DsHmSeN4KxfzCWKHhsDZOsQBL1ySVYz1k&#10;VzJZpuk66Y2rrDNceA+7T8MhLTF/XQsefta1F4HIggK2gF+H3138JuWG5Y1jtu34CIPdgEKxTkPR&#10;OdUTC4zsXfcmleq4M97UYcGNSkxdd1xgD9BNll51s3Vmb7GXJu8bO9ME1F7xdHNa/uPw7EhXFfR+&#10;tc5WlGim4JqwMhm2gKLeNjl4bp19sc9u3GiGVez6WDsV/6EfckRyTzO54hgIh81ldneXZktKOJyt&#10;V/fZwD1v4YLeBPH263thyVQyichmIL2FIfJnnvz/8fTSMiuQfh+7H3nK1mk20YQeBHeQFPSbKfK5&#10;B7Zu4gcHc+6S5Xzvw1YYJJkdvvswzG01WaydLH7Uk+lg+t+de8tCjIsIo0n68y3FPWUO4tXgabi6&#10;IYB2PpX60mu+52kEwHfwACOWKTejgaXBvmxO6ogCx4NwBoLg/+C7Ul0AnZCdApFZfk7TiSCpIV28&#10;94FqtMJJioha6l+ihtmG4cswiXfN7ot05MCiGuAvDiECBNcYU3dSzlHpP6OiK5O2ZWOuMc1YAFOO&#10;maKnQCG6TstHNIMawZsGfZo0CSDNQQjL6DDHa1BSLHjRbTR3pjrh60RC4CEgNSgdiGiUuahNl2v0&#10;Ootx+RcAAP//AwBQSwMEFAAGAAgAAAAhAEK/dpHaAAAAAwEAAA8AAABkcnMvZG93bnJldi54bWxM&#10;j0FLw0AQhe+C/2EZwZvdxGCVNJtSinoqgq0gvU2TaRKanQ3ZbZL+e0cv9vJgeI/3vsmWk23VQL1v&#10;HBuIZxEo4sKVDVcGvnZvDy+gfEAusXVMBi7kYZnf3mSYlm7kTxq2oVJSwj5FA3UIXaq1L2qy6Geu&#10;Ixbv6HqLQc6+0mWPo5TbVj9G0VxbbFgWauxoXVNx2p6tgfcRx1USvw6b03F92e+ePr43MRlzfzet&#10;FqACTeE/DL/4gg65MB3cmUuvWgPySPhT8ZLkeQ7qIKEIdJ7pa/b8BwAA//8DAFBLAQItABQABgAI&#10;AAAAIQC2gziS/gAAAOEBAAATAAAAAAAAAAAAAAAAAAAAAABbQ29udGVudF9UeXBlc10ueG1sUEsB&#10;Ai0AFAAGAAgAAAAhADj9If/WAAAAlAEAAAsAAAAAAAAAAAAAAAAALwEAAF9yZWxzLy5yZWxzUEsB&#10;Ai0AFAAGAAgAAAAhAKTTnE9eAgAA1AUAAA4AAAAAAAAAAAAAAAAALgIAAGRycy9lMm9Eb2MueG1s&#10;UEsBAi0AFAAGAAgAAAAhAEK/dpHaAAAAAwEAAA8AAAAAAAAAAAAAAAAAuAQAAGRycy9kb3ducmV2&#10;LnhtbFBLBQYAAAAABAAEAPMAAAC/BQAAAAA=&#10;">
                <v:shape id="Shape 1601" o:spid="_x0000_s1027" style="position:absolute;width:21440;height:0;visibility:visible;mso-wrap-style:square;v-text-anchor:top" coordsize="21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JvwAAAN0AAAAPAAAAZHJzL2Rvd25yZXYueG1sRE/NisIw&#10;EL4LvkMYYS+iqYpSalNxhS5erT7A2IxtsZmUJqv17TcLgrf5+H4n3Q2mFQ/qXWNZwWIegSAurW64&#10;UnA557MYhPPIGlvLpOBFDnbZeJRiou2TT/QofCVCCLsEFdTed4mUrqzJoJvbjjhwN9sb9AH2ldQ9&#10;PkO4aeUyijbSYMOhocaODjWV9+LXKDB5vI4v8QrzEjUVVyp+pt8vpb4mw34LwtPgP+K3+6jD/E20&#10;gP9vwgky+wMAAP//AwBQSwECLQAUAAYACAAAACEA2+H2y+4AAACFAQAAEwAAAAAAAAAAAAAAAAAA&#10;AAAAW0NvbnRlbnRfVHlwZXNdLnhtbFBLAQItABQABgAIAAAAIQBa9CxbvwAAABUBAAALAAAAAAAA&#10;AAAAAAAAAB8BAABfcmVscy8ucmVsc1BLAQItABQABgAIAAAAIQD+gf5JvwAAAN0AAAAPAAAAAAAA&#10;AAAAAAAAAAcCAABkcnMvZG93bnJldi54bWxQSwUGAAAAAAMAAwC3AAAA8wIAAAAA&#10;" path="m,l2144012,e" filled="f" strokeweight=".17642mm">
                  <v:stroke miterlimit="83231f" joinstyle="miter" endcap="square"/>
                  <v:path arrowok="t" textboxrect="0,0,2144012,0"/>
                </v:shape>
                <w10:anchorlock/>
              </v:group>
            </w:pict>
          </mc:Fallback>
        </mc:AlternateContent>
      </w:r>
      <w:r w:rsidRPr="007E6400">
        <w:rPr>
          <w:rFonts w:ascii="Times New Roman" w:hAnsi="Times New Roman" w:cs="Times New Roman"/>
          <w:i/>
          <w:sz w:val="24"/>
          <w:szCs w:val="24"/>
        </w:rPr>
        <w:t xml:space="preserve"> </w:t>
      </w:r>
    </w:p>
    <w:p w:rsidR="00854E4B" w:rsidRPr="007E6400" w:rsidRDefault="00854E4B" w:rsidP="00854E4B">
      <w:pPr>
        <w:bidi w:val="0"/>
        <w:spacing w:after="240" w:line="240" w:lineRule="auto"/>
        <w:ind w:left="-17"/>
        <w:jc w:val="both"/>
        <w:rPr>
          <w:rFonts w:ascii="Times New Roman" w:hAnsi="Times New Roman" w:cs="Times New Roman"/>
          <w:i/>
          <w:sz w:val="24"/>
          <w:szCs w:val="24"/>
        </w:rPr>
      </w:pPr>
      <w:r w:rsidRPr="007E6400">
        <w:rPr>
          <w:rFonts w:ascii="Times New Roman" w:hAnsi="Times New Roman" w:cs="Times New Roman"/>
          <w:i/>
          <w:sz w:val="24"/>
          <w:szCs w:val="24"/>
        </w:rPr>
        <w:t xml:space="preserve">             Weight (g) of seed sample              = </w:t>
      </w:r>
      <w:r w:rsidRPr="007E6400">
        <w:rPr>
          <w:rFonts w:ascii="Times New Roman" w:eastAsia="Segoe UI Symbol" w:hAnsi="Times New Roman" w:cs="Times New Roman"/>
          <w:i/>
          <w:sz w:val="24"/>
          <w:szCs w:val="24"/>
        </w:rPr>
        <w:t xml:space="preserve">           µ</w:t>
      </w:r>
      <w:r w:rsidRPr="007E6400">
        <w:rPr>
          <w:rFonts w:ascii="Times New Roman" w:hAnsi="Times New Roman" w:cs="Times New Roman"/>
          <w:i/>
          <w:sz w:val="24"/>
          <w:szCs w:val="24"/>
        </w:rPr>
        <w:t>S</w:t>
      </w:r>
      <w:r w:rsidRPr="007E6400">
        <w:rPr>
          <w:rFonts w:ascii="Times New Roman" w:eastAsia="Segoe UI Symbol" w:hAnsi="Times New Roman" w:cs="Times New Roman"/>
          <w:i/>
          <w:sz w:val="24"/>
          <w:szCs w:val="24"/>
        </w:rPr>
        <w:t>)</w:t>
      </w:r>
      <w:r w:rsidRPr="007E6400">
        <w:rPr>
          <w:rFonts w:ascii="Times New Roman" w:hAnsi="Times New Roman" w:cs="Times New Roman"/>
          <w:i/>
          <w:sz w:val="24"/>
          <w:szCs w:val="24"/>
        </w:rPr>
        <w:t xml:space="preserve"> cm</w:t>
      </w:r>
      <w:r w:rsidRPr="007E6400">
        <w:rPr>
          <w:rFonts w:ascii="Times New Roman" w:hAnsi="Times New Roman" w:cs="Times New Roman"/>
          <w:i/>
          <w:sz w:val="24"/>
          <w:szCs w:val="24"/>
          <w:vertAlign w:val="superscript"/>
        </w:rPr>
        <w:t>-1</w:t>
      </w:r>
      <w:r w:rsidRPr="007E6400">
        <w:rPr>
          <w:rFonts w:ascii="Times New Roman" w:hAnsi="Times New Roman" w:cs="Times New Roman"/>
          <w:i/>
          <w:sz w:val="24"/>
          <w:szCs w:val="24"/>
        </w:rPr>
        <w:t xml:space="preserve"> g</w:t>
      </w:r>
      <w:r w:rsidRPr="007E6400">
        <w:rPr>
          <w:rFonts w:ascii="Times New Roman" w:hAnsi="Times New Roman" w:cs="Times New Roman"/>
          <w:i/>
          <w:sz w:val="24"/>
          <w:szCs w:val="24"/>
          <w:vertAlign w:val="superscript"/>
        </w:rPr>
        <w:t>-1</w:t>
      </w:r>
    </w:p>
    <w:p w:rsidR="00854E4B" w:rsidRPr="007E6400" w:rsidRDefault="00854E4B" w:rsidP="00854E4B">
      <w:pPr>
        <w:pStyle w:val="Heading3"/>
        <w:spacing w:before="120" w:line="240" w:lineRule="auto"/>
        <w:ind w:left="680" w:hanging="680"/>
        <w:jc w:val="both"/>
        <w:rPr>
          <w:b/>
          <w:bCs/>
          <w:i w:val="0"/>
          <w:iCs/>
          <w:color w:val="auto"/>
          <w:sz w:val="24"/>
          <w:szCs w:val="24"/>
        </w:rPr>
      </w:pPr>
      <w:r w:rsidRPr="007E6400">
        <w:rPr>
          <w:b/>
          <w:bCs/>
          <w:i w:val="0"/>
          <w:iCs/>
          <w:color w:val="auto"/>
          <w:sz w:val="24"/>
          <w:szCs w:val="24"/>
        </w:rPr>
        <w:t>Statistical analysis</w:t>
      </w:r>
    </w:p>
    <w:p w:rsidR="00854E4B" w:rsidRPr="007E6400" w:rsidRDefault="00854E4B" w:rsidP="00793230">
      <w:pPr>
        <w:bidi w:val="0"/>
        <w:spacing w:after="0" w:line="240" w:lineRule="auto"/>
        <w:ind w:firstLine="680"/>
        <w:jc w:val="both"/>
        <w:rPr>
          <w:rFonts w:ascii="Times New Roman" w:hAnsi="Times New Roman" w:cs="Times New Roman"/>
          <w:sz w:val="24"/>
          <w:szCs w:val="24"/>
        </w:rPr>
      </w:pPr>
      <w:r w:rsidRPr="007E6400">
        <w:rPr>
          <w:rFonts w:ascii="Times New Roman" w:hAnsi="Times New Roman" w:cs="Times New Roman"/>
          <w:sz w:val="24"/>
          <w:szCs w:val="24"/>
        </w:rPr>
        <w:t xml:space="preserve">Collected data were analyzed </w:t>
      </w:r>
      <w:r w:rsidR="00165C53" w:rsidRPr="007E6400">
        <w:rPr>
          <w:rFonts w:ascii="Times New Roman" w:hAnsi="Times New Roman" w:cs="Times New Roman"/>
          <w:sz w:val="24"/>
          <w:szCs w:val="24"/>
        </w:rPr>
        <w:t xml:space="preserve">as a factorial experiment using </w:t>
      </w:r>
      <w:r w:rsidRPr="007E6400">
        <w:rPr>
          <w:rFonts w:ascii="Times New Roman" w:hAnsi="Times New Roman" w:cs="Times New Roman"/>
          <w:sz w:val="24"/>
          <w:szCs w:val="24"/>
        </w:rPr>
        <w:t>completely randomized design with three replicates. Analysis of variance computed</w:t>
      </w:r>
      <w:r w:rsidR="00793230" w:rsidRPr="007E6400">
        <w:rPr>
          <w:rFonts w:ascii="Times New Roman" w:hAnsi="Times New Roman" w:cs="Times New Roman"/>
          <w:sz w:val="24"/>
          <w:szCs w:val="24"/>
        </w:rPr>
        <w:t xml:space="preserve"> </w:t>
      </w:r>
      <w:r w:rsidRPr="007E6400">
        <w:rPr>
          <w:rFonts w:ascii="Times New Roman" w:hAnsi="Times New Roman" w:cs="Times New Roman"/>
          <w:sz w:val="24"/>
          <w:szCs w:val="24"/>
        </w:rPr>
        <w:t>according to Snedecor and Cochran (1982) and treatment means was compared by Duncan Multiple Range Test, (Duncan, 1955</w:t>
      </w:r>
      <w:proofErr w:type="gramStart"/>
      <w:r w:rsidRPr="007E6400">
        <w:rPr>
          <w:rFonts w:ascii="Times New Roman" w:hAnsi="Times New Roman" w:cs="Times New Roman"/>
          <w:sz w:val="24"/>
          <w:szCs w:val="24"/>
        </w:rPr>
        <w:t>)..</w:t>
      </w:r>
      <w:proofErr w:type="gramEnd"/>
      <w:r w:rsidRPr="007E6400">
        <w:rPr>
          <w:rFonts w:ascii="Times New Roman" w:hAnsi="Times New Roman" w:cs="Times New Roman"/>
          <w:sz w:val="24"/>
          <w:szCs w:val="24"/>
        </w:rPr>
        <w:t xml:space="preserve"> All statistical analyses were performed using analysis of variance technique by “MSTAT-C” (1990) computer software package</w:t>
      </w:r>
      <w:r w:rsidR="00432BBA" w:rsidRPr="007E6400">
        <w:rPr>
          <w:rFonts w:ascii="Times New Roman" w:hAnsi="Times New Roman" w:cs="Times New Roman"/>
          <w:sz w:val="24"/>
          <w:szCs w:val="24"/>
        </w:rPr>
        <w:t>.</w:t>
      </w:r>
    </w:p>
    <w:p w:rsidR="00CC47B9" w:rsidRPr="007E6400" w:rsidRDefault="00CC47B9" w:rsidP="00CC47B9">
      <w:pPr>
        <w:bidi w:val="0"/>
        <w:spacing w:after="0" w:line="240" w:lineRule="auto"/>
        <w:rPr>
          <w:rFonts w:ascii="Times New Roman" w:eastAsia="Times New Roman" w:hAnsi="Times New Roman" w:cs="Times New Roman"/>
        </w:rPr>
      </w:pPr>
    </w:p>
    <w:p w:rsidR="00E74144" w:rsidRPr="007E6400" w:rsidRDefault="00E74144" w:rsidP="00E74144">
      <w:pPr>
        <w:pStyle w:val="Heading3"/>
        <w:spacing w:before="240" w:after="120" w:line="240" w:lineRule="auto"/>
        <w:ind w:left="663" w:hanging="680"/>
        <w:rPr>
          <w:color w:val="auto"/>
          <w:sz w:val="24"/>
          <w:szCs w:val="24"/>
        </w:rPr>
      </w:pPr>
      <w:r w:rsidRPr="007E6400">
        <w:rPr>
          <w:b/>
          <w:i w:val="0"/>
          <w:color w:val="auto"/>
          <w:sz w:val="24"/>
          <w:szCs w:val="24"/>
          <w:u w:val="single" w:color="181717"/>
        </w:rPr>
        <w:t xml:space="preserve">Results and Discussion         </w:t>
      </w:r>
    </w:p>
    <w:p w:rsidR="00E74144" w:rsidRPr="007E6400" w:rsidRDefault="00E74144" w:rsidP="00E74144">
      <w:pPr>
        <w:bidi w:val="0"/>
        <w:spacing w:after="120" w:line="240" w:lineRule="auto"/>
        <w:ind w:left="680" w:hanging="680"/>
        <w:jc w:val="both"/>
        <w:rPr>
          <w:rFonts w:ascii="Times New Roman" w:hAnsi="Times New Roman" w:cs="Times New Roman"/>
          <w:b/>
          <w:bCs/>
          <w:i/>
          <w:iCs/>
          <w:sz w:val="24"/>
          <w:szCs w:val="24"/>
        </w:rPr>
      </w:pPr>
      <w:r w:rsidRPr="007E6400">
        <w:rPr>
          <w:rFonts w:ascii="Times New Roman" w:hAnsi="Times New Roman" w:cs="Times New Roman"/>
          <w:b/>
          <w:bCs/>
          <w:i/>
          <w:iCs/>
          <w:sz w:val="24"/>
          <w:szCs w:val="24"/>
        </w:rPr>
        <w:t>Effect of storage time</w:t>
      </w:r>
    </w:p>
    <w:p w:rsidR="00E74144" w:rsidRPr="007E6400" w:rsidRDefault="00E74144" w:rsidP="007142B5">
      <w:pPr>
        <w:bidi w:val="0"/>
        <w:spacing w:after="0" w:line="240" w:lineRule="auto"/>
        <w:ind w:firstLine="720"/>
        <w:jc w:val="both"/>
        <w:rPr>
          <w:rFonts w:ascii="Times New Roman" w:hAnsi="Times New Roman" w:cs="Times New Roman"/>
          <w:sz w:val="24"/>
          <w:szCs w:val="24"/>
        </w:rPr>
      </w:pPr>
      <w:r w:rsidRPr="007E6400">
        <w:rPr>
          <w:rFonts w:ascii="Times New Roman" w:hAnsi="Times New Roman" w:cs="Times New Roman"/>
          <w:sz w:val="24"/>
          <w:szCs w:val="24"/>
        </w:rPr>
        <w:t>Results of germinatio</w:t>
      </w:r>
      <w:r w:rsidR="00CB7A73" w:rsidRPr="007E6400">
        <w:rPr>
          <w:rFonts w:ascii="Times New Roman" w:hAnsi="Times New Roman" w:cs="Times New Roman"/>
          <w:sz w:val="24"/>
          <w:szCs w:val="24"/>
        </w:rPr>
        <w:t>n percentage, seedling vigor</w:t>
      </w:r>
      <w:r w:rsidRPr="007E6400">
        <w:rPr>
          <w:rFonts w:ascii="Times New Roman" w:hAnsi="Times New Roman" w:cs="Times New Roman"/>
          <w:sz w:val="24"/>
          <w:szCs w:val="24"/>
        </w:rPr>
        <w:t xml:space="preserve"> (root length, shoot length and </w:t>
      </w:r>
      <w:r w:rsidR="00ED52AA" w:rsidRPr="007E6400">
        <w:rPr>
          <w:rFonts w:ascii="Times New Roman" w:hAnsi="Times New Roman" w:cs="Times New Roman"/>
          <w:sz w:val="24"/>
          <w:szCs w:val="24"/>
        </w:rPr>
        <w:t>seedling dry weight</w:t>
      </w:r>
      <w:r w:rsidRPr="007E6400">
        <w:rPr>
          <w:rFonts w:ascii="Times New Roman" w:hAnsi="Times New Roman" w:cs="Times New Roman"/>
          <w:sz w:val="24"/>
          <w:szCs w:val="24"/>
        </w:rPr>
        <w:t xml:space="preserve">), </w:t>
      </w:r>
      <w:r w:rsidR="00ED52AA" w:rsidRPr="007E6400">
        <w:rPr>
          <w:rFonts w:ascii="Times New Roman" w:hAnsi="Times New Roman" w:cs="Times New Roman"/>
          <w:sz w:val="24"/>
          <w:szCs w:val="24"/>
        </w:rPr>
        <w:t xml:space="preserve">seedling vigor index </w:t>
      </w:r>
      <w:r w:rsidRPr="007E6400">
        <w:rPr>
          <w:rFonts w:ascii="Times New Roman" w:hAnsi="Times New Roman" w:cs="Times New Roman"/>
          <w:sz w:val="24"/>
          <w:szCs w:val="24"/>
        </w:rPr>
        <w:t>(S.V.I)</w:t>
      </w:r>
      <w:r w:rsidR="00CB7A73" w:rsidRPr="007E6400">
        <w:rPr>
          <w:rFonts w:ascii="Times New Roman" w:hAnsi="Times New Roman" w:cs="Times New Roman"/>
          <w:sz w:val="24"/>
          <w:szCs w:val="24"/>
        </w:rPr>
        <w:t>, seed index</w:t>
      </w:r>
      <w:r w:rsidR="00AC1EFE" w:rsidRPr="007E6400">
        <w:rPr>
          <w:rFonts w:ascii="Times New Roman" w:hAnsi="Times New Roman" w:cs="Times New Roman"/>
          <w:sz w:val="24"/>
          <w:szCs w:val="24"/>
        </w:rPr>
        <w:t xml:space="preserve"> and</w:t>
      </w:r>
      <w:r w:rsidRPr="007E6400">
        <w:rPr>
          <w:rFonts w:ascii="Times New Roman" w:hAnsi="Times New Roman" w:cs="Times New Roman"/>
          <w:sz w:val="24"/>
          <w:szCs w:val="24"/>
        </w:rPr>
        <w:t xml:space="preserve"> </w:t>
      </w:r>
      <w:r w:rsidRPr="007E6400">
        <w:rPr>
          <w:rFonts w:ascii="Times New Roman" w:hAnsi="Times New Roman" w:cs="Times New Roman"/>
          <w:iCs/>
          <w:sz w:val="24"/>
          <w:szCs w:val="24"/>
        </w:rPr>
        <w:t>(E.C) as affected by storage period under study are presented in Table (</w:t>
      </w:r>
      <w:r w:rsidR="00AC1EFE" w:rsidRPr="007E6400">
        <w:rPr>
          <w:rFonts w:ascii="Times New Roman" w:hAnsi="Times New Roman" w:cs="Times New Roman"/>
          <w:iCs/>
          <w:sz w:val="24"/>
          <w:szCs w:val="24"/>
        </w:rPr>
        <w:t>1</w:t>
      </w:r>
      <w:r w:rsidRPr="007E6400">
        <w:rPr>
          <w:rFonts w:ascii="Times New Roman" w:hAnsi="Times New Roman" w:cs="Times New Roman"/>
          <w:iCs/>
          <w:sz w:val="24"/>
          <w:szCs w:val="24"/>
        </w:rPr>
        <w:t xml:space="preserve">). Increasing storage time after harvest to </w:t>
      </w:r>
      <w:r w:rsidR="00ED52AA" w:rsidRPr="007E6400">
        <w:rPr>
          <w:rFonts w:ascii="Times New Roman" w:hAnsi="Times New Roman" w:cs="Times New Roman"/>
          <w:iCs/>
          <w:sz w:val="24"/>
          <w:szCs w:val="24"/>
        </w:rPr>
        <w:t>3</w:t>
      </w:r>
      <w:r w:rsidRPr="007E6400">
        <w:rPr>
          <w:rFonts w:ascii="Times New Roman" w:hAnsi="Times New Roman" w:cs="Times New Roman"/>
          <w:iCs/>
          <w:sz w:val="24"/>
          <w:szCs w:val="24"/>
        </w:rPr>
        <w:t xml:space="preserve"> and </w:t>
      </w:r>
      <w:r w:rsidR="00AC1EFE" w:rsidRPr="007E6400">
        <w:rPr>
          <w:rFonts w:ascii="Times New Roman" w:hAnsi="Times New Roman" w:cs="Times New Roman"/>
          <w:iCs/>
          <w:sz w:val="24"/>
          <w:szCs w:val="24"/>
        </w:rPr>
        <w:t>6</w:t>
      </w:r>
      <w:r w:rsidRPr="007E6400">
        <w:rPr>
          <w:rFonts w:ascii="Times New Roman" w:hAnsi="Times New Roman" w:cs="Times New Roman"/>
          <w:iCs/>
          <w:sz w:val="24"/>
          <w:szCs w:val="24"/>
        </w:rPr>
        <w:t xml:space="preserve"> mont</w:t>
      </w:r>
      <w:r w:rsidR="00CB7A73" w:rsidRPr="007E6400">
        <w:rPr>
          <w:rFonts w:ascii="Times New Roman" w:hAnsi="Times New Roman" w:cs="Times New Roman"/>
          <w:iCs/>
          <w:sz w:val="24"/>
          <w:szCs w:val="24"/>
        </w:rPr>
        <w:t>hs significantly decreased</w:t>
      </w:r>
      <w:r w:rsidRPr="007E6400">
        <w:rPr>
          <w:rFonts w:ascii="Times New Roman" w:hAnsi="Times New Roman" w:cs="Times New Roman"/>
          <w:iCs/>
          <w:sz w:val="24"/>
          <w:szCs w:val="24"/>
        </w:rPr>
        <w:t xml:space="preserve"> germination percentage</w:t>
      </w:r>
      <w:r w:rsidR="007E0500" w:rsidRPr="007E6400">
        <w:rPr>
          <w:rFonts w:ascii="Times New Roman" w:hAnsi="Times New Roman" w:cs="Times New Roman"/>
          <w:iCs/>
          <w:sz w:val="24"/>
          <w:szCs w:val="24"/>
        </w:rPr>
        <w:t xml:space="preserve"> </w:t>
      </w:r>
      <w:r w:rsidRPr="007E6400">
        <w:rPr>
          <w:rFonts w:ascii="Times New Roman" w:hAnsi="Times New Roman" w:cs="Times New Roman"/>
          <w:iCs/>
          <w:sz w:val="24"/>
          <w:szCs w:val="24"/>
        </w:rPr>
        <w:t>from 9</w:t>
      </w:r>
      <w:r w:rsidR="001E2168" w:rsidRPr="007E6400">
        <w:rPr>
          <w:rFonts w:ascii="Times New Roman" w:hAnsi="Times New Roman" w:cs="Times New Roman"/>
          <w:iCs/>
          <w:sz w:val="24"/>
          <w:szCs w:val="24"/>
        </w:rPr>
        <w:t xml:space="preserve">5.19 </w:t>
      </w:r>
      <w:r w:rsidR="00ED52AA" w:rsidRPr="007E6400">
        <w:rPr>
          <w:rFonts w:ascii="Times New Roman" w:hAnsi="Times New Roman" w:cs="Times New Roman"/>
          <w:iCs/>
          <w:sz w:val="24"/>
          <w:szCs w:val="24"/>
        </w:rPr>
        <w:t>to</w:t>
      </w:r>
      <w:r w:rsidRPr="007E6400">
        <w:rPr>
          <w:rFonts w:ascii="Times New Roman" w:hAnsi="Times New Roman" w:cs="Times New Roman"/>
          <w:iCs/>
          <w:sz w:val="24"/>
          <w:szCs w:val="24"/>
        </w:rPr>
        <w:t xml:space="preserve"> </w:t>
      </w:r>
      <w:r w:rsidR="001E2168" w:rsidRPr="007E6400">
        <w:rPr>
          <w:rFonts w:ascii="Times New Roman" w:hAnsi="Times New Roman" w:cs="Times New Roman"/>
          <w:iCs/>
          <w:sz w:val="24"/>
          <w:szCs w:val="24"/>
        </w:rPr>
        <w:t>87.94</w:t>
      </w:r>
      <w:r w:rsidRPr="007E6400">
        <w:rPr>
          <w:rFonts w:ascii="Times New Roman" w:hAnsi="Times New Roman" w:cs="Times New Roman"/>
          <w:iCs/>
          <w:sz w:val="24"/>
          <w:szCs w:val="24"/>
        </w:rPr>
        <w:t xml:space="preserve"> %, respectively. The decline in germination percentage with storage time was associated with</w:t>
      </w:r>
      <w:r w:rsidR="00CB7A73" w:rsidRPr="007E6400">
        <w:rPr>
          <w:rFonts w:ascii="Times New Roman" w:hAnsi="Times New Roman" w:cs="Times New Roman"/>
          <w:iCs/>
          <w:sz w:val="24"/>
          <w:szCs w:val="24"/>
        </w:rPr>
        <w:t xml:space="preserve"> a decrease in seedling vigor</w:t>
      </w:r>
      <w:r w:rsidRPr="007E6400">
        <w:rPr>
          <w:rFonts w:ascii="Times New Roman" w:hAnsi="Times New Roman" w:cs="Times New Roman"/>
          <w:iCs/>
          <w:sz w:val="24"/>
          <w:szCs w:val="24"/>
        </w:rPr>
        <w:t xml:space="preserve"> [root length, shoot length and S.D.W) from</w:t>
      </w:r>
      <w:r w:rsidR="007E0500" w:rsidRPr="007E6400">
        <w:rPr>
          <w:rFonts w:ascii="Times New Roman" w:hAnsi="Times New Roman" w:cs="Times New Roman"/>
          <w:iCs/>
          <w:sz w:val="24"/>
          <w:szCs w:val="24"/>
        </w:rPr>
        <w:t xml:space="preserve"> </w:t>
      </w:r>
      <w:r w:rsidRPr="007E6400">
        <w:rPr>
          <w:rFonts w:ascii="Times New Roman" w:hAnsi="Times New Roman" w:cs="Times New Roman"/>
          <w:iCs/>
          <w:sz w:val="24"/>
          <w:szCs w:val="24"/>
        </w:rPr>
        <w:t>(</w:t>
      </w:r>
      <w:r w:rsidR="001E2168" w:rsidRPr="007E6400">
        <w:rPr>
          <w:rFonts w:ascii="Times New Roman" w:hAnsi="Times New Roman" w:cs="Times New Roman"/>
          <w:iCs/>
          <w:sz w:val="24"/>
          <w:szCs w:val="24"/>
        </w:rPr>
        <w:t>15.37</w:t>
      </w:r>
      <w:r w:rsidRPr="007E6400">
        <w:rPr>
          <w:rFonts w:ascii="Times New Roman" w:hAnsi="Times New Roman" w:cs="Times New Roman"/>
          <w:iCs/>
          <w:sz w:val="24"/>
          <w:szCs w:val="24"/>
        </w:rPr>
        <w:t>cm</w:t>
      </w:r>
      <w:r w:rsidR="001E2168" w:rsidRPr="007E6400">
        <w:rPr>
          <w:rFonts w:ascii="Times New Roman" w:hAnsi="Times New Roman" w:cs="Times New Roman"/>
          <w:iCs/>
          <w:sz w:val="24"/>
          <w:szCs w:val="24"/>
        </w:rPr>
        <w:t xml:space="preserve"> </w:t>
      </w:r>
      <w:r w:rsidR="00CB7A73" w:rsidRPr="007E6400">
        <w:rPr>
          <w:rFonts w:ascii="Times New Roman" w:hAnsi="Times New Roman" w:cs="Times New Roman"/>
          <w:iCs/>
          <w:sz w:val="24"/>
          <w:szCs w:val="24"/>
        </w:rPr>
        <w:t>to</w:t>
      </w:r>
      <w:r w:rsidRPr="007E6400">
        <w:rPr>
          <w:rFonts w:ascii="Times New Roman" w:hAnsi="Times New Roman" w:cs="Times New Roman"/>
          <w:iCs/>
          <w:sz w:val="24"/>
          <w:szCs w:val="24"/>
        </w:rPr>
        <w:t xml:space="preserve"> </w:t>
      </w:r>
      <w:r w:rsidR="001E2168" w:rsidRPr="007E6400">
        <w:rPr>
          <w:rFonts w:ascii="Times New Roman" w:hAnsi="Times New Roman" w:cs="Times New Roman"/>
          <w:iCs/>
          <w:sz w:val="24"/>
          <w:szCs w:val="24"/>
        </w:rPr>
        <w:t>11.61</w:t>
      </w:r>
      <w:r w:rsidRPr="007E6400">
        <w:rPr>
          <w:rFonts w:ascii="Times New Roman" w:hAnsi="Times New Roman" w:cs="Times New Roman"/>
          <w:iCs/>
          <w:sz w:val="24"/>
          <w:szCs w:val="24"/>
        </w:rPr>
        <w:t>cm), (</w:t>
      </w:r>
      <w:r w:rsidR="001E2168" w:rsidRPr="007E6400">
        <w:rPr>
          <w:rFonts w:ascii="Times New Roman" w:hAnsi="Times New Roman" w:cs="Times New Roman"/>
          <w:iCs/>
          <w:sz w:val="24"/>
          <w:szCs w:val="24"/>
        </w:rPr>
        <w:t>12.85</w:t>
      </w:r>
      <w:r w:rsidR="00CB7A73" w:rsidRPr="007E6400">
        <w:rPr>
          <w:rFonts w:ascii="Times New Roman" w:hAnsi="Times New Roman" w:cs="Times New Roman"/>
          <w:iCs/>
          <w:sz w:val="24"/>
          <w:szCs w:val="24"/>
        </w:rPr>
        <w:t>cm to</w:t>
      </w:r>
      <w:r w:rsidRPr="007E6400">
        <w:rPr>
          <w:rFonts w:ascii="Times New Roman" w:hAnsi="Times New Roman" w:cs="Times New Roman"/>
          <w:iCs/>
          <w:sz w:val="24"/>
          <w:szCs w:val="24"/>
        </w:rPr>
        <w:t xml:space="preserve"> </w:t>
      </w:r>
      <w:r w:rsidR="001E2168" w:rsidRPr="007E6400">
        <w:rPr>
          <w:rFonts w:ascii="Times New Roman" w:hAnsi="Times New Roman" w:cs="Times New Roman"/>
          <w:iCs/>
          <w:sz w:val="24"/>
          <w:szCs w:val="24"/>
        </w:rPr>
        <w:t>10.63</w:t>
      </w:r>
      <w:r w:rsidRPr="007E6400">
        <w:rPr>
          <w:rFonts w:ascii="Times New Roman" w:hAnsi="Times New Roman" w:cs="Times New Roman"/>
          <w:iCs/>
          <w:sz w:val="24"/>
          <w:szCs w:val="24"/>
        </w:rPr>
        <w:t xml:space="preserve"> cm) and (</w:t>
      </w:r>
      <w:r w:rsidR="001E2168" w:rsidRPr="007E6400">
        <w:rPr>
          <w:rFonts w:ascii="Times New Roman" w:hAnsi="Times New Roman" w:cs="Times New Roman"/>
          <w:iCs/>
          <w:sz w:val="24"/>
          <w:szCs w:val="24"/>
        </w:rPr>
        <w:t>22.86</w:t>
      </w:r>
      <w:r w:rsidRPr="007E6400">
        <w:rPr>
          <w:rFonts w:ascii="Times New Roman" w:hAnsi="Times New Roman" w:cs="Times New Roman"/>
          <w:iCs/>
          <w:sz w:val="24"/>
          <w:szCs w:val="24"/>
        </w:rPr>
        <w:t>mg</w:t>
      </w:r>
      <w:r w:rsidR="00CB7A73" w:rsidRPr="007E6400">
        <w:rPr>
          <w:rFonts w:ascii="Times New Roman" w:hAnsi="Times New Roman" w:cs="Times New Roman"/>
          <w:iCs/>
          <w:sz w:val="24"/>
          <w:szCs w:val="24"/>
        </w:rPr>
        <w:t xml:space="preserve"> to</w:t>
      </w:r>
      <w:r w:rsidRPr="007E6400">
        <w:rPr>
          <w:rFonts w:ascii="Times New Roman" w:hAnsi="Times New Roman" w:cs="Times New Roman"/>
          <w:iCs/>
          <w:sz w:val="24"/>
          <w:szCs w:val="24"/>
        </w:rPr>
        <w:t xml:space="preserve"> </w:t>
      </w:r>
      <w:r w:rsidR="001E2168" w:rsidRPr="007E6400">
        <w:rPr>
          <w:rFonts w:ascii="Times New Roman" w:hAnsi="Times New Roman" w:cs="Times New Roman"/>
          <w:iCs/>
          <w:sz w:val="24"/>
          <w:szCs w:val="24"/>
        </w:rPr>
        <w:t>18.25</w:t>
      </w:r>
      <w:r w:rsidRPr="007E6400">
        <w:rPr>
          <w:rFonts w:ascii="Times New Roman" w:hAnsi="Times New Roman" w:cs="Times New Roman"/>
          <w:iCs/>
          <w:sz w:val="24"/>
          <w:szCs w:val="24"/>
        </w:rPr>
        <w:t>mg), respectively</w:t>
      </w:r>
      <w:r w:rsidR="00CB7A73" w:rsidRPr="007E6400">
        <w:rPr>
          <w:rFonts w:ascii="Times New Roman" w:hAnsi="Times New Roman" w:cs="Times New Roman"/>
          <w:iCs/>
          <w:sz w:val="24"/>
          <w:szCs w:val="24"/>
        </w:rPr>
        <w:t xml:space="preserve"> as shown in Table 1</w:t>
      </w:r>
      <w:r w:rsidRPr="007E6400">
        <w:rPr>
          <w:rFonts w:ascii="Times New Roman" w:hAnsi="Times New Roman" w:cs="Times New Roman"/>
          <w:iCs/>
          <w:sz w:val="24"/>
          <w:szCs w:val="24"/>
        </w:rPr>
        <w:t xml:space="preserve">. </w:t>
      </w:r>
      <w:r w:rsidR="00011857" w:rsidRPr="007E6400">
        <w:rPr>
          <w:rFonts w:ascii="Times New Roman" w:hAnsi="Times New Roman" w:cs="Times New Roman"/>
          <w:iCs/>
          <w:sz w:val="24"/>
          <w:szCs w:val="24"/>
        </w:rPr>
        <w:t>Also, t</w:t>
      </w:r>
      <w:r w:rsidRPr="007E6400">
        <w:rPr>
          <w:rFonts w:ascii="Times New Roman" w:hAnsi="Times New Roman" w:cs="Times New Roman"/>
          <w:iCs/>
          <w:sz w:val="24"/>
          <w:szCs w:val="24"/>
        </w:rPr>
        <w:t xml:space="preserve">he decline in germination percentage with storage time was associated with a decrease in seedling vigor index from </w:t>
      </w:r>
      <w:r w:rsidR="0025589F" w:rsidRPr="007E6400">
        <w:rPr>
          <w:rFonts w:ascii="Times New Roman" w:hAnsi="Times New Roman" w:cs="Times New Roman"/>
          <w:sz w:val="24"/>
          <w:szCs w:val="24"/>
        </w:rPr>
        <w:t xml:space="preserve">2.18 </w:t>
      </w:r>
      <w:r w:rsidR="00CB7A73" w:rsidRPr="007E6400">
        <w:rPr>
          <w:rFonts w:ascii="Times New Roman" w:hAnsi="Times New Roman" w:cs="Times New Roman"/>
          <w:iCs/>
          <w:sz w:val="24"/>
          <w:szCs w:val="24"/>
        </w:rPr>
        <w:t>to</w:t>
      </w:r>
      <w:r w:rsidRPr="007E6400">
        <w:rPr>
          <w:rFonts w:ascii="Times New Roman" w:hAnsi="Times New Roman" w:cs="Times New Roman"/>
          <w:iCs/>
          <w:sz w:val="24"/>
          <w:szCs w:val="24"/>
        </w:rPr>
        <w:t xml:space="preserve"> </w:t>
      </w:r>
      <w:r w:rsidRPr="007E6400">
        <w:rPr>
          <w:rFonts w:ascii="Times New Roman" w:hAnsi="Times New Roman" w:cs="Times New Roman"/>
          <w:sz w:val="24"/>
          <w:szCs w:val="24"/>
        </w:rPr>
        <w:t>1.</w:t>
      </w:r>
      <w:r w:rsidR="0025589F" w:rsidRPr="007E6400">
        <w:rPr>
          <w:rFonts w:ascii="Times New Roman" w:hAnsi="Times New Roman" w:cs="Times New Roman"/>
          <w:sz w:val="24"/>
          <w:szCs w:val="24"/>
        </w:rPr>
        <w:t>62</w:t>
      </w:r>
      <w:r w:rsidR="00011857" w:rsidRPr="007E6400">
        <w:rPr>
          <w:rFonts w:ascii="Times New Roman" w:hAnsi="Times New Roman" w:cs="Times New Roman"/>
          <w:iCs/>
          <w:sz w:val="24"/>
          <w:szCs w:val="24"/>
        </w:rPr>
        <w:t>, respectively. In addition</w:t>
      </w:r>
      <w:r w:rsidRPr="007E6400">
        <w:rPr>
          <w:rFonts w:ascii="Times New Roman" w:hAnsi="Times New Roman" w:cs="Times New Roman"/>
          <w:iCs/>
          <w:sz w:val="24"/>
          <w:szCs w:val="24"/>
        </w:rPr>
        <w:t xml:space="preserve">, </w:t>
      </w:r>
      <w:r w:rsidR="00011857" w:rsidRPr="007E6400">
        <w:rPr>
          <w:rFonts w:ascii="Times New Roman" w:hAnsi="Times New Roman" w:cs="Times New Roman"/>
          <w:iCs/>
          <w:sz w:val="24"/>
          <w:szCs w:val="24"/>
        </w:rPr>
        <w:t>seed index was decreased from (56.11 to 51.14) by increasing storage period. Data in this</w:t>
      </w:r>
      <w:r w:rsidRPr="007E6400">
        <w:rPr>
          <w:rFonts w:ascii="Times New Roman" w:hAnsi="Times New Roman" w:cs="Times New Roman"/>
          <w:iCs/>
          <w:sz w:val="24"/>
          <w:szCs w:val="24"/>
        </w:rPr>
        <w:t xml:space="preserve"> table indicate clearly that the decline in germination percentage with storage time was associated with a decrease in seed viability (by increasing E.C value)</w:t>
      </w:r>
      <w:r w:rsidR="0025589F" w:rsidRPr="007E6400">
        <w:rPr>
          <w:rFonts w:ascii="Times New Roman" w:hAnsi="Times New Roman" w:cs="Times New Roman"/>
          <w:iCs/>
          <w:sz w:val="24"/>
          <w:szCs w:val="24"/>
        </w:rPr>
        <w:t>.</w:t>
      </w:r>
      <w:r w:rsidRPr="007E6400">
        <w:rPr>
          <w:rFonts w:ascii="Times New Roman" w:hAnsi="Times New Roman" w:cs="Times New Roman"/>
          <w:iCs/>
          <w:sz w:val="24"/>
          <w:szCs w:val="24"/>
        </w:rPr>
        <w:t xml:space="preserve"> Increasing storage time after harvest to </w:t>
      </w:r>
      <w:r w:rsidR="00011857" w:rsidRPr="007E6400">
        <w:rPr>
          <w:rFonts w:ascii="Times New Roman" w:hAnsi="Times New Roman" w:cs="Times New Roman"/>
          <w:iCs/>
          <w:sz w:val="24"/>
          <w:szCs w:val="24"/>
        </w:rPr>
        <w:t>3</w:t>
      </w:r>
      <w:r w:rsidRPr="007E6400">
        <w:rPr>
          <w:rFonts w:ascii="Times New Roman" w:hAnsi="Times New Roman" w:cs="Times New Roman"/>
          <w:iCs/>
          <w:sz w:val="24"/>
          <w:szCs w:val="24"/>
        </w:rPr>
        <w:t xml:space="preserve"> and </w:t>
      </w:r>
      <w:r w:rsidR="0025589F" w:rsidRPr="007E6400">
        <w:rPr>
          <w:rFonts w:ascii="Times New Roman" w:hAnsi="Times New Roman" w:cs="Times New Roman"/>
          <w:iCs/>
          <w:sz w:val="24"/>
          <w:szCs w:val="24"/>
        </w:rPr>
        <w:t>6</w:t>
      </w:r>
      <w:r w:rsidRPr="007E6400">
        <w:rPr>
          <w:rFonts w:ascii="Times New Roman" w:hAnsi="Times New Roman" w:cs="Times New Roman"/>
          <w:iCs/>
          <w:sz w:val="24"/>
          <w:szCs w:val="24"/>
        </w:rPr>
        <w:t xml:space="preserve"> months significantly </w:t>
      </w:r>
      <w:r w:rsidR="0025589F" w:rsidRPr="007E6400">
        <w:rPr>
          <w:rFonts w:ascii="Times New Roman" w:hAnsi="Times New Roman" w:cs="Times New Roman"/>
          <w:iCs/>
          <w:sz w:val="24"/>
          <w:szCs w:val="24"/>
        </w:rPr>
        <w:t>inc</w:t>
      </w:r>
      <w:r w:rsidRPr="007E6400">
        <w:rPr>
          <w:rFonts w:ascii="Times New Roman" w:hAnsi="Times New Roman" w:cs="Times New Roman"/>
          <w:iCs/>
          <w:sz w:val="24"/>
          <w:szCs w:val="24"/>
        </w:rPr>
        <w:t xml:space="preserve">reased E.C value </w:t>
      </w:r>
      <w:r w:rsidRPr="007E6400">
        <w:rPr>
          <w:rFonts w:ascii="Times New Roman" w:hAnsi="Times New Roman" w:cs="Times New Roman"/>
          <w:sz w:val="24"/>
          <w:szCs w:val="24"/>
        </w:rPr>
        <w:t>from [</w:t>
      </w:r>
      <w:r w:rsidR="0025589F" w:rsidRPr="007E6400">
        <w:rPr>
          <w:rFonts w:ascii="Times New Roman" w:hAnsi="Times New Roman" w:cs="Times New Roman"/>
          <w:sz w:val="24"/>
          <w:szCs w:val="24"/>
        </w:rPr>
        <w:t xml:space="preserve">15.16 </w:t>
      </w:r>
      <w:r w:rsidR="00011857" w:rsidRPr="007E6400">
        <w:rPr>
          <w:rFonts w:ascii="Times New Roman" w:hAnsi="Times New Roman" w:cs="Times New Roman"/>
          <w:sz w:val="24"/>
          <w:szCs w:val="24"/>
        </w:rPr>
        <w:t>to</w:t>
      </w:r>
      <w:r w:rsidRPr="007E6400">
        <w:rPr>
          <w:rFonts w:ascii="Times New Roman" w:hAnsi="Times New Roman" w:cs="Times New Roman"/>
          <w:sz w:val="24"/>
          <w:szCs w:val="24"/>
        </w:rPr>
        <w:t xml:space="preserve"> </w:t>
      </w:r>
      <w:r w:rsidR="00CB3031" w:rsidRPr="007E6400">
        <w:rPr>
          <w:rFonts w:ascii="Times New Roman" w:hAnsi="Times New Roman" w:cs="Times New Roman"/>
          <w:sz w:val="24"/>
          <w:szCs w:val="24"/>
        </w:rPr>
        <w:t>2</w:t>
      </w:r>
      <w:r w:rsidR="0025589F" w:rsidRPr="007E6400">
        <w:rPr>
          <w:rFonts w:ascii="Times New Roman" w:hAnsi="Times New Roman" w:cs="Times New Roman"/>
          <w:sz w:val="24"/>
          <w:szCs w:val="24"/>
        </w:rPr>
        <w:t>3.05</w:t>
      </w:r>
      <w:r w:rsidRPr="007E6400">
        <w:rPr>
          <w:rFonts w:ascii="Times New Roman" w:hAnsi="Times New Roman" w:cs="Times New Roman"/>
          <w:sz w:val="24"/>
          <w:szCs w:val="24"/>
        </w:rPr>
        <w:t>]</w:t>
      </w:r>
      <w:r w:rsidR="0025589F" w:rsidRPr="007E6400">
        <w:rPr>
          <w:rFonts w:ascii="Times New Roman" w:hAnsi="Times New Roman" w:cs="Times New Roman"/>
          <w:sz w:val="24"/>
          <w:szCs w:val="24"/>
        </w:rPr>
        <w:t>,</w:t>
      </w:r>
      <w:r w:rsidRPr="007E6400">
        <w:rPr>
          <w:rFonts w:ascii="Times New Roman" w:hAnsi="Times New Roman" w:cs="Times New Roman"/>
          <w:sz w:val="24"/>
          <w:szCs w:val="24"/>
        </w:rPr>
        <w:t xml:space="preserve"> respectively. These findings are in agreement with </w:t>
      </w:r>
      <w:r w:rsidR="00011857" w:rsidRPr="007E6400">
        <w:rPr>
          <w:rFonts w:ascii="Times New Roman" w:hAnsi="Times New Roman" w:cs="Times New Roman"/>
          <w:sz w:val="24"/>
          <w:szCs w:val="24"/>
        </w:rPr>
        <w:t xml:space="preserve">those </w:t>
      </w:r>
      <w:r w:rsidR="007142B5" w:rsidRPr="007E6400">
        <w:rPr>
          <w:rFonts w:ascii="Times New Roman" w:hAnsi="Times New Roman" w:cs="Times New Roman"/>
          <w:sz w:val="24"/>
          <w:szCs w:val="24"/>
        </w:rPr>
        <w:t>obtained by O</w:t>
      </w:r>
      <w:r w:rsidRPr="007E6400">
        <w:rPr>
          <w:rFonts w:ascii="Times New Roman" w:hAnsi="Times New Roman" w:cs="Times New Roman"/>
          <w:sz w:val="24"/>
          <w:szCs w:val="24"/>
        </w:rPr>
        <w:t xml:space="preserve">mar et al (2012), Kibar (2015) </w:t>
      </w:r>
      <w:r w:rsidRPr="007E6400">
        <w:rPr>
          <w:rFonts w:ascii="Times New Roman" w:hAnsi="Times New Roman" w:cs="Times New Roman"/>
          <w:sz w:val="24"/>
          <w:szCs w:val="24"/>
        </w:rPr>
        <w:lastRenderedPageBreak/>
        <w:t>Shahein and Mohamed (2016)</w:t>
      </w:r>
      <w:r w:rsidR="00001C50" w:rsidRPr="007E6400">
        <w:rPr>
          <w:rFonts w:ascii="Times New Roman" w:hAnsi="Times New Roman" w:cs="Times New Roman"/>
          <w:sz w:val="24"/>
          <w:szCs w:val="24"/>
        </w:rPr>
        <w:t>, Bilsborrow (2023)</w:t>
      </w:r>
      <w:r w:rsidR="004C1518" w:rsidRPr="007E6400">
        <w:rPr>
          <w:rFonts w:ascii="Times New Roman" w:hAnsi="Times New Roman" w:cs="Times New Roman"/>
          <w:sz w:val="24"/>
          <w:szCs w:val="24"/>
        </w:rPr>
        <w:t xml:space="preserve"> and Smith (2025)</w:t>
      </w:r>
      <w:r w:rsidRPr="007E6400">
        <w:rPr>
          <w:rFonts w:ascii="Times New Roman" w:hAnsi="Times New Roman" w:cs="Times New Roman"/>
          <w:sz w:val="24"/>
          <w:szCs w:val="24"/>
        </w:rPr>
        <w:t xml:space="preserve"> who found s</w:t>
      </w:r>
      <w:r w:rsidR="007142B5" w:rsidRPr="007E6400">
        <w:rPr>
          <w:rFonts w:ascii="Times New Roman" w:hAnsi="Times New Roman" w:cs="Times New Roman"/>
          <w:sz w:val="24"/>
          <w:szCs w:val="24"/>
        </w:rPr>
        <w:t>imilar results in different</w:t>
      </w:r>
      <w:r w:rsidRPr="007E6400">
        <w:rPr>
          <w:rFonts w:ascii="Times New Roman" w:hAnsi="Times New Roman" w:cs="Times New Roman"/>
          <w:sz w:val="24"/>
          <w:szCs w:val="24"/>
        </w:rPr>
        <w:t xml:space="preserve"> seeds under different storage condition and observed that the long storage time resulted in a decrease in viability parameters associated with a dec</w:t>
      </w:r>
      <w:r w:rsidR="007142B5" w:rsidRPr="007E6400">
        <w:rPr>
          <w:rFonts w:ascii="Times New Roman" w:hAnsi="Times New Roman" w:cs="Times New Roman"/>
          <w:sz w:val="24"/>
          <w:szCs w:val="24"/>
        </w:rPr>
        <w:t>rease in germination percentage.</w:t>
      </w:r>
    </w:p>
    <w:p w:rsidR="00AC1EFE" w:rsidRPr="007E6400" w:rsidRDefault="00AC1EFE" w:rsidP="004D1C7A">
      <w:pPr>
        <w:pStyle w:val="PlainText"/>
        <w:bidi w:val="0"/>
        <w:spacing w:before="240" w:after="120"/>
        <w:jc w:val="center"/>
        <w:rPr>
          <w:rFonts w:ascii="Times New Roman" w:hAnsi="Times New Roman" w:cs="Times New Roman"/>
          <w:sz w:val="22"/>
          <w:szCs w:val="22"/>
        </w:rPr>
      </w:pPr>
      <w:r w:rsidRPr="007E6400">
        <w:rPr>
          <w:rFonts w:ascii="Times New Roman" w:hAnsi="Times New Roman" w:cs="Times New Roman"/>
        </w:rPr>
        <w:t xml:space="preserve">Table </w:t>
      </w:r>
      <w:proofErr w:type="gramStart"/>
      <w:r w:rsidRPr="007E6400">
        <w:rPr>
          <w:rFonts w:ascii="Times New Roman" w:hAnsi="Times New Roman" w:cs="Times New Roman"/>
        </w:rPr>
        <w:t>(  1</w:t>
      </w:r>
      <w:proofErr w:type="gramEnd"/>
      <w:r w:rsidRPr="007E6400">
        <w:rPr>
          <w:rFonts w:ascii="Times New Roman" w:hAnsi="Times New Roman" w:cs="Times New Roman"/>
        </w:rPr>
        <w:t xml:space="preserve"> ) The</w:t>
      </w:r>
      <w:r w:rsidRPr="007E6400">
        <w:rPr>
          <w:rFonts w:ascii="Times New Roman" w:hAnsi="Times New Roman" w:cs="Times New Roman"/>
          <w:sz w:val="22"/>
          <w:szCs w:val="22"/>
        </w:rPr>
        <w:t xml:space="preserve"> general effect of storage </w:t>
      </w:r>
      <w:r w:rsidR="004D1C7A" w:rsidRPr="007E6400">
        <w:rPr>
          <w:rFonts w:ascii="Times New Roman" w:hAnsi="Times New Roman" w:cs="Times New Roman"/>
          <w:sz w:val="22"/>
          <w:szCs w:val="22"/>
        </w:rPr>
        <w:t>period</w:t>
      </w:r>
      <w:r w:rsidR="00B568E7" w:rsidRPr="007E6400">
        <w:rPr>
          <w:rFonts w:ascii="Times New Roman" w:hAnsi="Times New Roman" w:cs="Times New Roman"/>
          <w:sz w:val="22"/>
          <w:szCs w:val="22"/>
        </w:rPr>
        <w:t xml:space="preserve"> and</w:t>
      </w:r>
      <w:r w:rsidRPr="007E6400">
        <w:rPr>
          <w:rFonts w:ascii="Times New Roman" w:hAnsi="Times New Roman" w:cs="Times New Roman"/>
          <w:sz w:val="22"/>
          <w:szCs w:val="22"/>
        </w:rPr>
        <w:t xml:space="preserve"> </w:t>
      </w:r>
      <w:r w:rsidR="005927BE" w:rsidRPr="007E6400">
        <w:rPr>
          <w:rFonts w:ascii="Times New Roman" w:hAnsi="Times New Roman" w:cs="Times New Roman"/>
          <w:sz w:val="22"/>
          <w:szCs w:val="22"/>
        </w:rPr>
        <w:t xml:space="preserve">treatment </w:t>
      </w:r>
      <w:r w:rsidRPr="007E6400">
        <w:rPr>
          <w:rFonts w:ascii="Times New Roman" w:hAnsi="Times New Roman" w:cs="Times New Roman"/>
          <w:sz w:val="22"/>
          <w:szCs w:val="22"/>
        </w:rPr>
        <w:t xml:space="preserve">on germination, seedling vigor , S.V.I, </w:t>
      </w:r>
      <w:r w:rsidR="005927BE" w:rsidRPr="007E6400">
        <w:rPr>
          <w:rFonts w:ascii="Times New Roman" w:hAnsi="Times New Roman" w:cs="Times New Roman"/>
          <w:sz w:val="22"/>
          <w:szCs w:val="22"/>
        </w:rPr>
        <w:t xml:space="preserve">seed index </w:t>
      </w:r>
      <w:r w:rsidRPr="007E6400">
        <w:rPr>
          <w:rFonts w:ascii="Times New Roman" w:hAnsi="Times New Roman" w:cs="Times New Roman"/>
          <w:sz w:val="22"/>
          <w:szCs w:val="22"/>
        </w:rPr>
        <w:t>and E.C.</w:t>
      </w:r>
    </w:p>
    <w:tbl>
      <w:tblPr>
        <w:tblW w:w="9639"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295"/>
        <w:gridCol w:w="1574"/>
        <w:gridCol w:w="855"/>
        <w:gridCol w:w="784"/>
        <w:gridCol w:w="1063"/>
        <w:gridCol w:w="1104"/>
        <w:gridCol w:w="1499"/>
        <w:gridCol w:w="1465"/>
      </w:tblGrid>
      <w:tr w:rsidR="00F62A25" w:rsidRPr="007E6400" w:rsidTr="004F61D4">
        <w:trPr>
          <w:jc w:val="center"/>
        </w:trPr>
        <w:tc>
          <w:tcPr>
            <w:tcW w:w="1295" w:type="dxa"/>
            <w:vMerge w:val="restart"/>
            <w:tcBorders>
              <w:top w:val="single" w:sz="4" w:space="0" w:color="auto"/>
              <w:bottom w:val="nil"/>
            </w:tcBorders>
            <w:vAlign w:val="center"/>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Treatment</w:t>
            </w:r>
          </w:p>
        </w:tc>
        <w:tc>
          <w:tcPr>
            <w:tcW w:w="1574" w:type="dxa"/>
            <w:vMerge w:val="restart"/>
            <w:tcBorders>
              <w:top w:val="single" w:sz="4" w:space="0" w:color="auto"/>
              <w:bottom w:val="nil"/>
            </w:tcBorders>
            <w:vAlign w:val="center"/>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Germination</w:t>
            </w:r>
          </w:p>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 %</w:t>
            </w:r>
          </w:p>
        </w:tc>
        <w:tc>
          <w:tcPr>
            <w:tcW w:w="2702" w:type="dxa"/>
            <w:gridSpan w:val="3"/>
            <w:tcBorders>
              <w:top w:val="single" w:sz="4" w:space="0" w:color="auto"/>
              <w:bottom w:val="single" w:sz="4" w:space="0" w:color="auto"/>
            </w:tcBorders>
            <w:vAlign w:val="center"/>
          </w:tcPr>
          <w:p w:rsidR="00AC1EFE" w:rsidRPr="007E6400" w:rsidRDefault="00AC1EFE" w:rsidP="008156CF">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Seedling vigor </w:t>
            </w:r>
          </w:p>
        </w:tc>
        <w:tc>
          <w:tcPr>
            <w:tcW w:w="1104" w:type="dxa"/>
            <w:vMerge w:val="restart"/>
            <w:tcBorders>
              <w:top w:val="single" w:sz="4" w:space="0" w:color="auto"/>
              <w:bottom w:val="nil"/>
            </w:tcBorders>
            <w:vAlign w:val="center"/>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 (S.V.I)</w:t>
            </w:r>
          </w:p>
        </w:tc>
        <w:tc>
          <w:tcPr>
            <w:tcW w:w="1499" w:type="dxa"/>
            <w:vMerge w:val="restart"/>
            <w:tcBorders>
              <w:top w:val="single" w:sz="4" w:space="0" w:color="auto"/>
              <w:bottom w:val="nil"/>
            </w:tcBorders>
            <w:vAlign w:val="center"/>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Seed index</w:t>
            </w:r>
          </w:p>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(g)</w:t>
            </w:r>
          </w:p>
        </w:tc>
        <w:tc>
          <w:tcPr>
            <w:tcW w:w="1465" w:type="dxa"/>
            <w:tcBorders>
              <w:top w:val="single" w:sz="4" w:space="0" w:color="auto"/>
              <w:bottom w:val="nil"/>
            </w:tcBorders>
          </w:tcPr>
          <w:p w:rsidR="00AC1EFE" w:rsidRPr="007E6400" w:rsidRDefault="00AC1EFE" w:rsidP="004F61D4">
            <w:pPr>
              <w:pStyle w:val="PlainText"/>
              <w:bidi w:val="0"/>
              <w:jc w:val="center"/>
              <w:rPr>
                <w:rFonts w:ascii="Times New Roman" w:hAnsi="Times New Roman" w:cs="Times New Roman"/>
                <w:sz w:val="22"/>
                <w:szCs w:val="22"/>
              </w:rPr>
            </w:pPr>
          </w:p>
        </w:tc>
      </w:tr>
      <w:tr w:rsidR="00F62A25" w:rsidRPr="007E6400" w:rsidTr="004F61D4">
        <w:trPr>
          <w:jc w:val="center"/>
        </w:trPr>
        <w:tc>
          <w:tcPr>
            <w:tcW w:w="1295" w:type="dxa"/>
            <w:vMerge/>
            <w:tcBorders>
              <w:top w:val="nil"/>
              <w:bottom w:val="single" w:sz="4" w:space="0" w:color="auto"/>
            </w:tcBorders>
          </w:tcPr>
          <w:p w:rsidR="00AC1EFE" w:rsidRPr="007E6400" w:rsidRDefault="00AC1EFE" w:rsidP="004F61D4">
            <w:pPr>
              <w:pStyle w:val="PlainText"/>
              <w:bidi w:val="0"/>
              <w:rPr>
                <w:rFonts w:ascii="Times New Roman" w:hAnsi="Times New Roman" w:cs="Times New Roman"/>
                <w:sz w:val="22"/>
                <w:szCs w:val="22"/>
              </w:rPr>
            </w:pPr>
          </w:p>
        </w:tc>
        <w:tc>
          <w:tcPr>
            <w:tcW w:w="1574" w:type="dxa"/>
            <w:vMerge/>
            <w:tcBorders>
              <w:top w:val="nil"/>
              <w:bottom w:val="single" w:sz="4" w:space="0" w:color="auto"/>
            </w:tcBorders>
          </w:tcPr>
          <w:p w:rsidR="00AC1EFE" w:rsidRPr="007E6400" w:rsidRDefault="00AC1EFE" w:rsidP="004F61D4">
            <w:pPr>
              <w:pStyle w:val="PlainText"/>
              <w:bidi w:val="0"/>
              <w:rPr>
                <w:rFonts w:ascii="Times New Roman" w:hAnsi="Times New Roman" w:cs="Times New Roman"/>
                <w:sz w:val="22"/>
                <w:szCs w:val="22"/>
              </w:rPr>
            </w:pPr>
          </w:p>
        </w:tc>
        <w:tc>
          <w:tcPr>
            <w:tcW w:w="855" w:type="dxa"/>
            <w:tcBorders>
              <w:top w:val="single" w:sz="4" w:space="0" w:color="auto"/>
              <w:bottom w:val="single" w:sz="4" w:space="0" w:color="auto"/>
            </w:tcBorders>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Root length (cm)</w:t>
            </w:r>
          </w:p>
        </w:tc>
        <w:tc>
          <w:tcPr>
            <w:tcW w:w="784" w:type="dxa"/>
            <w:tcBorders>
              <w:top w:val="single" w:sz="4" w:space="0" w:color="auto"/>
              <w:bottom w:val="single" w:sz="4" w:space="0" w:color="auto"/>
            </w:tcBorders>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Shoot length (cm)</w:t>
            </w:r>
          </w:p>
        </w:tc>
        <w:tc>
          <w:tcPr>
            <w:tcW w:w="1063" w:type="dxa"/>
            <w:tcBorders>
              <w:top w:val="single" w:sz="4" w:space="0" w:color="auto"/>
              <w:bottom w:val="single" w:sz="4" w:space="0" w:color="auto"/>
            </w:tcBorders>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S.D.W (mg)</w:t>
            </w:r>
          </w:p>
        </w:tc>
        <w:tc>
          <w:tcPr>
            <w:tcW w:w="1104" w:type="dxa"/>
            <w:vMerge/>
            <w:tcBorders>
              <w:top w:val="nil"/>
              <w:bottom w:val="single" w:sz="4" w:space="0" w:color="auto"/>
            </w:tcBorders>
          </w:tcPr>
          <w:p w:rsidR="00AC1EFE" w:rsidRPr="007E6400" w:rsidRDefault="00AC1EFE" w:rsidP="004F61D4">
            <w:pPr>
              <w:pStyle w:val="PlainText"/>
              <w:bidi w:val="0"/>
              <w:rPr>
                <w:rFonts w:ascii="Times New Roman" w:hAnsi="Times New Roman" w:cs="Times New Roman"/>
                <w:sz w:val="22"/>
                <w:szCs w:val="22"/>
              </w:rPr>
            </w:pPr>
          </w:p>
        </w:tc>
        <w:tc>
          <w:tcPr>
            <w:tcW w:w="1499" w:type="dxa"/>
            <w:vMerge/>
            <w:tcBorders>
              <w:top w:val="nil"/>
              <w:bottom w:val="single" w:sz="4" w:space="0" w:color="auto"/>
            </w:tcBorders>
          </w:tcPr>
          <w:p w:rsidR="00AC1EFE" w:rsidRPr="007E6400" w:rsidRDefault="00AC1EFE" w:rsidP="004F61D4">
            <w:pPr>
              <w:pStyle w:val="PlainText"/>
              <w:bidi w:val="0"/>
              <w:jc w:val="center"/>
              <w:rPr>
                <w:rFonts w:ascii="Times New Roman" w:hAnsi="Times New Roman" w:cs="Times New Roman"/>
                <w:sz w:val="22"/>
                <w:szCs w:val="22"/>
              </w:rPr>
            </w:pPr>
          </w:p>
        </w:tc>
        <w:tc>
          <w:tcPr>
            <w:tcW w:w="1465" w:type="dxa"/>
            <w:tcBorders>
              <w:top w:val="nil"/>
              <w:bottom w:val="single" w:sz="4" w:space="0" w:color="auto"/>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E.C</w:t>
            </w:r>
          </w:p>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 (µbmhose/g)</w:t>
            </w:r>
          </w:p>
        </w:tc>
      </w:tr>
      <w:tr w:rsidR="00F62A25" w:rsidRPr="007E6400" w:rsidTr="004F61D4">
        <w:trPr>
          <w:jc w:val="center"/>
        </w:trPr>
        <w:tc>
          <w:tcPr>
            <w:tcW w:w="8174" w:type="dxa"/>
            <w:gridSpan w:val="7"/>
            <w:tcBorders>
              <w:top w:val="single" w:sz="4" w:space="0" w:color="auto"/>
              <w:bottom w:val="nil"/>
            </w:tcBorders>
          </w:tcPr>
          <w:p w:rsidR="00AC1EFE" w:rsidRPr="007E6400" w:rsidRDefault="00AC1EFE" w:rsidP="004D1C7A">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Effect of storage </w:t>
            </w:r>
            <w:r w:rsidR="004D1C7A" w:rsidRPr="007E6400">
              <w:rPr>
                <w:rFonts w:ascii="Times New Roman" w:hAnsi="Times New Roman" w:cs="Times New Roman"/>
                <w:sz w:val="22"/>
                <w:szCs w:val="22"/>
              </w:rPr>
              <w:t>period</w:t>
            </w:r>
          </w:p>
        </w:tc>
        <w:tc>
          <w:tcPr>
            <w:tcW w:w="1465" w:type="dxa"/>
            <w:tcBorders>
              <w:top w:val="single" w:sz="4" w:space="0" w:color="auto"/>
              <w:bottom w:val="nil"/>
            </w:tcBorders>
          </w:tcPr>
          <w:p w:rsidR="00AC1EFE" w:rsidRPr="007E6400" w:rsidRDefault="00AC1EFE" w:rsidP="004F61D4">
            <w:pPr>
              <w:pStyle w:val="PlainText"/>
              <w:bidi w:val="0"/>
              <w:jc w:val="center"/>
              <w:rPr>
                <w:rFonts w:ascii="Times New Roman" w:hAnsi="Times New Roman" w:cs="Times New Roman"/>
                <w:sz w:val="22"/>
                <w:szCs w:val="22"/>
              </w:rPr>
            </w:pPr>
          </w:p>
        </w:tc>
      </w:tr>
      <w:tr w:rsidR="00F62A25" w:rsidRPr="007E6400" w:rsidTr="004F61D4">
        <w:trPr>
          <w:jc w:val="center"/>
        </w:trPr>
        <w:tc>
          <w:tcPr>
            <w:tcW w:w="1295" w:type="dxa"/>
            <w:tcBorders>
              <w:top w:val="nil"/>
              <w:bottom w:val="nil"/>
            </w:tcBorders>
          </w:tcPr>
          <w:p w:rsidR="00AC1EFE" w:rsidRPr="007E6400" w:rsidRDefault="008156CF"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3</w:t>
            </w:r>
            <w:r w:rsidR="00AC1EFE" w:rsidRPr="007E6400">
              <w:rPr>
                <w:rFonts w:ascii="Times New Roman" w:hAnsi="Times New Roman" w:cs="Times New Roman"/>
                <w:sz w:val="22"/>
                <w:szCs w:val="22"/>
              </w:rPr>
              <w:t xml:space="preserve"> months</w:t>
            </w:r>
          </w:p>
        </w:tc>
        <w:tc>
          <w:tcPr>
            <w:tcW w:w="1574" w:type="dxa"/>
            <w:tcBorders>
              <w:top w:val="nil"/>
              <w:bottom w:val="nil"/>
            </w:tcBorders>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95.19</w:t>
            </w:r>
          </w:p>
        </w:tc>
        <w:tc>
          <w:tcPr>
            <w:tcW w:w="855" w:type="dxa"/>
            <w:tcBorders>
              <w:top w:val="nil"/>
              <w:bottom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15.37 a</w:t>
            </w:r>
          </w:p>
        </w:tc>
        <w:tc>
          <w:tcPr>
            <w:tcW w:w="784" w:type="dxa"/>
            <w:tcBorders>
              <w:top w:val="nil"/>
              <w:bottom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12.85 a</w:t>
            </w:r>
          </w:p>
        </w:tc>
        <w:tc>
          <w:tcPr>
            <w:tcW w:w="1063" w:type="dxa"/>
            <w:tcBorders>
              <w:top w:val="nil"/>
              <w:bottom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22.86 a</w:t>
            </w:r>
          </w:p>
        </w:tc>
        <w:tc>
          <w:tcPr>
            <w:tcW w:w="1104" w:type="dxa"/>
            <w:tcBorders>
              <w:top w:val="nil"/>
              <w:bottom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2.18 a</w:t>
            </w:r>
          </w:p>
        </w:tc>
        <w:tc>
          <w:tcPr>
            <w:tcW w:w="1499" w:type="dxa"/>
            <w:tcBorders>
              <w:top w:val="nil"/>
              <w:bottom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56.11a</w:t>
            </w:r>
          </w:p>
        </w:tc>
        <w:tc>
          <w:tcPr>
            <w:tcW w:w="1465" w:type="dxa"/>
            <w:tcBorders>
              <w:top w:val="nil"/>
              <w:bottom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15.16 b</w:t>
            </w:r>
          </w:p>
        </w:tc>
      </w:tr>
      <w:tr w:rsidR="00F62A25" w:rsidRPr="007E6400" w:rsidTr="004F61D4">
        <w:trPr>
          <w:jc w:val="center"/>
        </w:trPr>
        <w:tc>
          <w:tcPr>
            <w:tcW w:w="1295" w:type="dxa"/>
            <w:tcBorders>
              <w:top w:val="nil"/>
            </w:tcBorders>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6 months </w:t>
            </w:r>
          </w:p>
        </w:tc>
        <w:tc>
          <w:tcPr>
            <w:tcW w:w="1574" w:type="dxa"/>
            <w:tcBorders>
              <w:top w:val="nil"/>
            </w:tcBorders>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87.94</w:t>
            </w:r>
          </w:p>
        </w:tc>
        <w:tc>
          <w:tcPr>
            <w:tcW w:w="855" w:type="dxa"/>
            <w:tcBorders>
              <w:top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11.61 b</w:t>
            </w:r>
          </w:p>
        </w:tc>
        <w:tc>
          <w:tcPr>
            <w:tcW w:w="784" w:type="dxa"/>
            <w:tcBorders>
              <w:top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10.63 b</w:t>
            </w:r>
          </w:p>
        </w:tc>
        <w:tc>
          <w:tcPr>
            <w:tcW w:w="1063" w:type="dxa"/>
            <w:tcBorders>
              <w:top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18.25 b</w:t>
            </w:r>
          </w:p>
        </w:tc>
        <w:tc>
          <w:tcPr>
            <w:tcW w:w="1104" w:type="dxa"/>
            <w:tcBorders>
              <w:top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1.62 b</w:t>
            </w:r>
          </w:p>
        </w:tc>
        <w:tc>
          <w:tcPr>
            <w:tcW w:w="1499" w:type="dxa"/>
            <w:tcBorders>
              <w:top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51.14 b</w:t>
            </w:r>
          </w:p>
        </w:tc>
        <w:tc>
          <w:tcPr>
            <w:tcW w:w="1465" w:type="dxa"/>
            <w:tcBorders>
              <w:top w:val="nil"/>
            </w:tcBorders>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23.05 a</w:t>
            </w:r>
          </w:p>
        </w:tc>
      </w:tr>
      <w:tr w:rsidR="00F62A25" w:rsidRPr="007E6400" w:rsidTr="004F61D4">
        <w:trPr>
          <w:jc w:val="center"/>
        </w:trPr>
        <w:tc>
          <w:tcPr>
            <w:tcW w:w="1295"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F. Test</w:t>
            </w:r>
          </w:p>
        </w:tc>
        <w:tc>
          <w:tcPr>
            <w:tcW w:w="1574"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 *</w:t>
            </w:r>
          </w:p>
        </w:tc>
        <w:tc>
          <w:tcPr>
            <w:tcW w:w="855" w:type="dxa"/>
          </w:tcPr>
          <w:p w:rsidR="00AC1EFE" w:rsidRPr="007E6400" w:rsidRDefault="00AC1EFE" w:rsidP="004F61D4">
            <w:pPr>
              <w:pStyle w:val="PlainText"/>
              <w:bidi w:val="0"/>
              <w:jc w:val="center"/>
              <w:rPr>
                <w:rFonts w:ascii="Times New Roman" w:hAnsi="Times New Roman" w:cs="Times New Roman"/>
                <w:sz w:val="22"/>
                <w:szCs w:val="22"/>
              </w:rPr>
            </w:pPr>
          </w:p>
        </w:tc>
        <w:tc>
          <w:tcPr>
            <w:tcW w:w="78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063"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10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99"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65"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r>
      <w:tr w:rsidR="00F62A25" w:rsidRPr="007E6400" w:rsidTr="004F61D4">
        <w:trPr>
          <w:jc w:val="center"/>
        </w:trPr>
        <w:tc>
          <w:tcPr>
            <w:tcW w:w="8174" w:type="dxa"/>
            <w:gridSpan w:val="7"/>
          </w:tcPr>
          <w:p w:rsidR="00AC1EFE" w:rsidRPr="007E6400" w:rsidRDefault="00AC1EFE" w:rsidP="006976C6">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Effect of </w:t>
            </w:r>
            <w:r w:rsidR="006976C6" w:rsidRPr="007E6400">
              <w:rPr>
                <w:rFonts w:ascii="Times New Roman" w:hAnsi="Times New Roman" w:cs="Times New Roman"/>
                <w:sz w:val="22"/>
                <w:szCs w:val="22"/>
              </w:rPr>
              <w:t>treatment</w:t>
            </w:r>
          </w:p>
        </w:tc>
        <w:tc>
          <w:tcPr>
            <w:tcW w:w="1465" w:type="dxa"/>
          </w:tcPr>
          <w:p w:rsidR="00AC1EFE" w:rsidRPr="007E6400" w:rsidRDefault="00AC1EFE" w:rsidP="004F61D4">
            <w:pPr>
              <w:pStyle w:val="PlainText"/>
              <w:bidi w:val="0"/>
              <w:jc w:val="center"/>
              <w:rPr>
                <w:rFonts w:ascii="Times New Roman" w:hAnsi="Times New Roman" w:cs="Times New Roman"/>
                <w:sz w:val="22"/>
                <w:szCs w:val="22"/>
              </w:rPr>
            </w:pPr>
          </w:p>
        </w:tc>
      </w:tr>
      <w:tr w:rsidR="00F62A25" w:rsidRPr="007E6400" w:rsidTr="004F61D4">
        <w:trPr>
          <w:jc w:val="center"/>
        </w:trPr>
        <w:tc>
          <w:tcPr>
            <w:tcW w:w="1295"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Normal</w:t>
            </w:r>
          </w:p>
        </w:tc>
        <w:tc>
          <w:tcPr>
            <w:tcW w:w="1574"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96.11</w:t>
            </w:r>
          </w:p>
        </w:tc>
        <w:tc>
          <w:tcPr>
            <w:tcW w:w="855"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14.40 a</w:t>
            </w:r>
          </w:p>
        </w:tc>
        <w:tc>
          <w:tcPr>
            <w:tcW w:w="78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12.66 a</w:t>
            </w:r>
          </w:p>
        </w:tc>
        <w:tc>
          <w:tcPr>
            <w:tcW w:w="1063"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22.95 a</w:t>
            </w:r>
          </w:p>
        </w:tc>
        <w:tc>
          <w:tcPr>
            <w:tcW w:w="110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2.21 a</w:t>
            </w:r>
          </w:p>
        </w:tc>
        <w:tc>
          <w:tcPr>
            <w:tcW w:w="1499"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55.61 a</w:t>
            </w:r>
          </w:p>
        </w:tc>
        <w:tc>
          <w:tcPr>
            <w:tcW w:w="1465"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16.05 b</w:t>
            </w:r>
          </w:p>
        </w:tc>
      </w:tr>
      <w:tr w:rsidR="00F62A25" w:rsidRPr="007E6400" w:rsidTr="004F61D4">
        <w:trPr>
          <w:jc w:val="center"/>
        </w:trPr>
        <w:tc>
          <w:tcPr>
            <w:tcW w:w="1295"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Drought</w:t>
            </w:r>
          </w:p>
        </w:tc>
        <w:tc>
          <w:tcPr>
            <w:tcW w:w="1574"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87.03</w:t>
            </w:r>
          </w:p>
        </w:tc>
        <w:tc>
          <w:tcPr>
            <w:tcW w:w="855"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12.58 b</w:t>
            </w:r>
          </w:p>
        </w:tc>
        <w:tc>
          <w:tcPr>
            <w:tcW w:w="78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10.82 b</w:t>
            </w:r>
          </w:p>
        </w:tc>
        <w:tc>
          <w:tcPr>
            <w:tcW w:w="1063"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18.16 b</w:t>
            </w:r>
          </w:p>
        </w:tc>
        <w:tc>
          <w:tcPr>
            <w:tcW w:w="110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1.59 b</w:t>
            </w:r>
          </w:p>
        </w:tc>
        <w:tc>
          <w:tcPr>
            <w:tcW w:w="1499"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51.64 b</w:t>
            </w:r>
          </w:p>
        </w:tc>
        <w:tc>
          <w:tcPr>
            <w:tcW w:w="1465"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22.17 a</w:t>
            </w:r>
          </w:p>
        </w:tc>
      </w:tr>
      <w:tr w:rsidR="00F62A25" w:rsidRPr="007E6400" w:rsidTr="004F61D4">
        <w:trPr>
          <w:jc w:val="center"/>
        </w:trPr>
        <w:tc>
          <w:tcPr>
            <w:tcW w:w="1295"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F. Test</w:t>
            </w:r>
          </w:p>
        </w:tc>
        <w:tc>
          <w:tcPr>
            <w:tcW w:w="1574" w:type="dxa"/>
          </w:tcPr>
          <w:p w:rsidR="00AC1EFE" w:rsidRPr="007E6400" w:rsidRDefault="00AC1EFE" w:rsidP="004F61D4">
            <w:pPr>
              <w:pStyle w:val="PlainText"/>
              <w:bidi w:val="0"/>
              <w:rPr>
                <w:rFonts w:ascii="Times New Roman" w:hAnsi="Times New Roman" w:cs="Times New Roman"/>
                <w:sz w:val="22"/>
                <w:szCs w:val="22"/>
              </w:rPr>
            </w:pPr>
            <w:r w:rsidRPr="007E6400">
              <w:rPr>
                <w:rFonts w:ascii="Times New Roman" w:hAnsi="Times New Roman" w:cs="Times New Roman"/>
                <w:sz w:val="22"/>
                <w:szCs w:val="22"/>
              </w:rPr>
              <w:t>* *</w:t>
            </w:r>
          </w:p>
        </w:tc>
        <w:tc>
          <w:tcPr>
            <w:tcW w:w="855"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78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063"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104"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99"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65" w:type="dxa"/>
          </w:tcPr>
          <w:p w:rsidR="00AC1EFE" w:rsidRPr="007E6400" w:rsidRDefault="00AC1EFE" w:rsidP="004F61D4">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r>
    </w:tbl>
    <w:p w:rsidR="002C2383" w:rsidRPr="007E6400" w:rsidRDefault="002C2383" w:rsidP="002C2383">
      <w:pPr>
        <w:bidi w:val="0"/>
        <w:spacing w:after="0"/>
        <w:rPr>
          <w:rFonts w:ascii="Times New Roman" w:hAnsi="Times New Roman" w:cs="Times New Roman"/>
          <w:sz w:val="18"/>
          <w:szCs w:val="18"/>
        </w:rPr>
      </w:pPr>
      <w:r w:rsidRPr="007E6400">
        <w:rPr>
          <w:rFonts w:ascii="Times New Roman" w:hAnsi="Times New Roman" w:cs="Times New Roman"/>
          <w:sz w:val="18"/>
          <w:szCs w:val="18"/>
        </w:rPr>
        <w:t>**, * and NS indicated P&lt; 0.01, 0.05 and not significant, respectively.</w:t>
      </w:r>
    </w:p>
    <w:p w:rsidR="002C2383" w:rsidRPr="007E6400" w:rsidRDefault="002C2383" w:rsidP="002C2383">
      <w:pPr>
        <w:bidi w:val="0"/>
      </w:pPr>
    </w:p>
    <w:p w:rsidR="004F61D4" w:rsidRPr="007E6400" w:rsidRDefault="004F61D4" w:rsidP="004F61D4">
      <w:pPr>
        <w:bidi w:val="0"/>
        <w:spacing w:before="240" w:after="120" w:line="240" w:lineRule="auto"/>
        <w:ind w:left="680" w:hanging="680"/>
        <w:jc w:val="both"/>
        <w:rPr>
          <w:rFonts w:ascii="Times New Roman" w:hAnsi="Times New Roman" w:cs="Times New Roman"/>
          <w:b/>
          <w:bCs/>
          <w:i/>
          <w:iCs/>
          <w:sz w:val="26"/>
          <w:szCs w:val="26"/>
        </w:rPr>
      </w:pPr>
      <w:r w:rsidRPr="007E6400">
        <w:rPr>
          <w:rFonts w:ascii="Times New Roman" w:hAnsi="Times New Roman" w:cs="Times New Roman"/>
          <w:b/>
          <w:bCs/>
          <w:i/>
          <w:iCs/>
          <w:sz w:val="26"/>
          <w:szCs w:val="26"/>
        </w:rPr>
        <w:t>Effect of treatment</w:t>
      </w:r>
    </w:p>
    <w:p w:rsidR="00002AEA" w:rsidRPr="007E6400" w:rsidRDefault="00FE481B" w:rsidP="00D92818">
      <w:pPr>
        <w:bidi w:val="0"/>
        <w:spacing w:before="240" w:after="120" w:line="240" w:lineRule="auto"/>
        <w:jc w:val="both"/>
        <w:rPr>
          <w:rFonts w:ascii="Times New Roman" w:hAnsi="Times New Roman" w:cs="Times New Roman"/>
          <w:sz w:val="24"/>
          <w:szCs w:val="24"/>
        </w:rPr>
      </w:pPr>
      <w:r w:rsidRPr="007E6400">
        <w:rPr>
          <w:rFonts w:ascii="Times New Roman" w:hAnsi="Times New Roman" w:cs="Times New Roman"/>
          <w:sz w:val="24"/>
          <w:szCs w:val="24"/>
        </w:rPr>
        <w:t>G</w:t>
      </w:r>
      <w:r w:rsidR="004F61D4" w:rsidRPr="007E6400">
        <w:rPr>
          <w:rFonts w:ascii="Times New Roman" w:hAnsi="Times New Roman" w:cs="Times New Roman"/>
          <w:sz w:val="24"/>
          <w:szCs w:val="24"/>
        </w:rPr>
        <w:t>erminati</w:t>
      </w:r>
      <w:r w:rsidR="004C1518" w:rsidRPr="007E6400">
        <w:rPr>
          <w:rFonts w:ascii="Times New Roman" w:hAnsi="Times New Roman" w:cs="Times New Roman"/>
          <w:sz w:val="24"/>
          <w:szCs w:val="24"/>
        </w:rPr>
        <w:t>on percentage, seedling</w:t>
      </w:r>
      <w:r w:rsidR="004F61D4" w:rsidRPr="007E6400">
        <w:rPr>
          <w:rFonts w:ascii="Times New Roman" w:hAnsi="Times New Roman" w:cs="Times New Roman"/>
          <w:sz w:val="24"/>
          <w:szCs w:val="24"/>
        </w:rPr>
        <w:t xml:space="preserve"> </w:t>
      </w:r>
      <w:r w:rsidRPr="007E6400">
        <w:rPr>
          <w:rFonts w:ascii="Times New Roman" w:hAnsi="Times New Roman" w:cs="Times New Roman"/>
          <w:sz w:val="24"/>
          <w:szCs w:val="24"/>
        </w:rPr>
        <w:t xml:space="preserve">vigor parameters, seedling vigor index, seed index and electrical conductivity </w:t>
      </w:r>
      <w:r w:rsidR="004F61D4" w:rsidRPr="007E6400">
        <w:rPr>
          <w:rFonts w:ascii="Times New Roman" w:hAnsi="Times New Roman" w:cs="Times New Roman"/>
          <w:sz w:val="24"/>
          <w:szCs w:val="24"/>
        </w:rPr>
        <w:t>of wheat seed</w:t>
      </w:r>
      <w:r w:rsidRPr="007E6400">
        <w:rPr>
          <w:rFonts w:ascii="Times New Roman" w:hAnsi="Times New Roman" w:cs="Times New Roman"/>
          <w:sz w:val="24"/>
          <w:szCs w:val="24"/>
        </w:rPr>
        <w:t>s</w:t>
      </w:r>
      <w:r w:rsidR="004F61D4" w:rsidRPr="007E6400">
        <w:rPr>
          <w:rFonts w:ascii="Times New Roman" w:hAnsi="Times New Roman" w:cs="Times New Roman"/>
          <w:sz w:val="24"/>
          <w:szCs w:val="24"/>
        </w:rPr>
        <w:t xml:space="preserve"> as affected by treatment (normal and drought) are</w:t>
      </w:r>
      <w:r w:rsidRPr="007E6400">
        <w:rPr>
          <w:rFonts w:ascii="Times New Roman" w:hAnsi="Times New Roman" w:cs="Times New Roman"/>
          <w:sz w:val="24"/>
          <w:szCs w:val="24"/>
        </w:rPr>
        <w:t xml:space="preserve"> given in Table</w:t>
      </w:r>
      <w:r w:rsidR="004F61D4" w:rsidRPr="007E6400">
        <w:rPr>
          <w:rFonts w:ascii="Times New Roman" w:hAnsi="Times New Roman" w:cs="Times New Roman"/>
          <w:sz w:val="24"/>
          <w:szCs w:val="24"/>
        </w:rPr>
        <w:t xml:space="preserve"> (1). Germination percentage, seedling </w:t>
      </w:r>
      <w:r w:rsidR="004C1518" w:rsidRPr="007E6400">
        <w:rPr>
          <w:rFonts w:ascii="Times New Roman" w:hAnsi="Times New Roman" w:cs="Times New Roman"/>
          <w:sz w:val="24"/>
          <w:szCs w:val="24"/>
        </w:rPr>
        <w:t>vigo</w:t>
      </w:r>
      <w:r w:rsidR="004F61D4" w:rsidRPr="007E6400">
        <w:rPr>
          <w:rFonts w:ascii="Times New Roman" w:hAnsi="Times New Roman" w:cs="Times New Roman"/>
          <w:sz w:val="24"/>
          <w:szCs w:val="24"/>
        </w:rPr>
        <w:t>r (root length, shoot length and S.D.W)</w:t>
      </w:r>
      <w:r w:rsidR="004C1518" w:rsidRPr="007E6400">
        <w:rPr>
          <w:rFonts w:ascii="Times New Roman" w:hAnsi="Times New Roman" w:cs="Times New Roman"/>
          <w:sz w:val="24"/>
          <w:szCs w:val="24"/>
        </w:rPr>
        <w:t>,</w:t>
      </w:r>
      <w:r w:rsidR="004F61D4" w:rsidRPr="007E6400">
        <w:rPr>
          <w:rFonts w:ascii="Times New Roman" w:hAnsi="Times New Roman" w:cs="Times New Roman"/>
          <w:sz w:val="24"/>
          <w:szCs w:val="24"/>
        </w:rPr>
        <w:t xml:space="preserve"> seedling </w:t>
      </w:r>
      <w:r w:rsidR="004F61D4" w:rsidRPr="007E6400">
        <w:rPr>
          <w:rFonts w:ascii="Times New Roman" w:hAnsi="Times New Roman" w:cs="Times New Roman"/>
          <w:sz w:val="24"/>
          <w:szCs w:val="24"/>
          <w:lang w:bidi="ar-EG"/>
        </w:rPr>
        <w:t>vigor</w:t>
      </w:r>
      <w:r w:rsidR="00900047" w:rsidRPr="007E6400">
        <w:rPr>
          <w:rFonts w:ascii="Times New Roman" w:hAnsi="Times New Roman" w:cs="Times New Roman"/>
          <w:sz w:val="24"/>
          <w:szCs w:val="24"/>
        </w:rPr>
        <w:t xml:space="preserve"> index</w:t>
      </w:r>
      <w:r w:rsidR="004F61D4" w:rsidRPr="007E6400">
        <w:rPr>
          <w:rFonts w:ascii="Times New Roman" w:hAnsi="Times New Roman" w:cs="Times New Roman"/>
          <w:sz w:val="24"/>
          <w:szCs w:val="24"/>
        </w:rPr>
        <w:t xml:space="preserve">  and seed index of wheat stored from normal treat</w:t>
      </w:r>
      <w:r w:rsidR="00900047" w:rsidRPr="007E6400">
        <w:rPr>
          <w:rFonts w:ascii="Times New Roman" w:hAnsi="Times New Roman" w:cs="Times New Roman"/>
          <w:sz w:val="24"/>
          <w:szCs w:val="24"/>
        </w:rPr>
        <w:t>ment</w:t>
      </w:r>
      <w:r w:rsidR="004F61D4" w:rsidRPr="007E6400">
        <w:rPr>
          <w:rFonts w:ascii="Times New Roman" w:hAnsi="Times New Roman" w:cs="Times New Roman"/>
          <w:sz w:val="24"/>
          <w:szCs w:val="24"/>
        </w:rPr>
        <w:t xml:space="preserve"> 96.11% (14.40cm, 12.66cm and 22.95</w:t>
      </w:r>
      <w:r w:rsidR="004F61D4" w:rsidRPr="007E6400">
        <w:rPr>
          <w:rFonts w:ascii="Times New Roman" w:hAnsi="Times New Roman" w:cs="Times New Roman"/>
          <w:sz w:val="24"/>
          <w:szCs w:val="24"/>
          <w:lang w:bidi="ar-EG"/>
        </w:rPr>
        <w:t xml:space="preserve">  </w:t>
      </w:r>
      <w:r w:rsidR="004F61D4" w:rsidRPr="007E6400">
        <w:rPr>
          <w:rFonts w:ascii="Times New Roman" w:hAnsi="Times New Roman" w:cs="Times New Roman"/>
          <w:sz w:val="24"/>
          <w:szCs w:val="24"/>
        </w:rPr>
        <w:t xml:space="preserve">mg), 2.21 </w:t>
      </w:r>
      <w:r w:rsidR="00002AEA" w:rsidRPr="007E6400">
        <w:rPr>
          <w:rFonts w:ascii="Times New Roman" w:hAnsi="Times New Roman" w:cs="Times New Roman"/>
          <w:sz w:val="24"/>
          <w:szCs w:val="24"/>
        </w:rPr>
        <w:t>and 55.61g</w:t>
      </w:r>
      <w:r w:rsidR="004F61D4" w:rsidRPr="007E6400">
        <w:rPr>
          <w:rFonts w:ascii="Times New Roman" w:hAnsi="Times New Roman" w:cs="Times New Roman"/>
          <w:sz w:val="24"/>
          <w:szCs w:val="24"/>
        </w:rPr>
        <w:t xml:space="preserve"> were significantly higher than those of </w:t>
      </w:r>
      <w:r w:rsidR="00002AEA" w:rsidRPr="007E6400">
        <w:rPr>
          <w:rFonts w:ascii="Times New Roman" w:hAnsi="Times New Roman" w:cs="Times New Roman"/>
          <w:sz w:val="24"/>
          <w:szCs w:val="24"/>
        </w:rPr>
        <w:t>wheat</w:t>
      </w:r>
      <w:r w:rsidR="004F61D4" w:rsidRPr="007E6400">
        <w:rPr>
          <w:rFonts w:ascii="Times New Roman" w:hAnsi="Times New Roman" w:cs="Times New Roman"/>
          <w:sz w:val="24"/>
          <w:szCs w:val="24"/>
        </w:rPr>
        <w:t xml:space="preserve"> stored form  </w:t>
      </w:r>
      <w:r w:rsidR="00002AEA" w:rsidRPr="007E6400">
        <w:rPr>
          <w:rFonts w:ascii="Times New Roman" w:hAnsi="Times New Roman" w:cs="Times New Roman"/>
          <w:sz w:val="24"/>
          <w:szCs w:val="24"/>
        </w:rPr>
        <w:t>drought 87.03</w:t>
      </w:r>
      <w:r w:rsidR="004F61D4" w:rsidRPr="007E6400">
        <w:rPr>
          <w:rFonts w:ascii="Times New Roman" w:hAnsi="Times New Roman" w:cs="Times New Roman"/>
          <w:sz w:val="24"/>
          <w:szCs w:val="24"/>
        </w:rPr>
        <w:t>%, (12.</w:t>
      </w:r>
      <w:r w:rsidR="00002AEA" w:rsidRPr="007E6400">
        <w:rPr>
          <w:rFonts w:ascii="Times New Roman" w:hAnsi="Times New Roman" w:cs="Times New Roman"/>
          <w:sz w:val="24"/>
          <w:szCs w:val="24"/>
        </w:rPr>
        <w:t>58</w:t>
      </w:r>
      <w:r w:rsidR="004F61D4" w:rsidRPr="007E6400">
        <w:rPr>
          <w:rFonts w:ascii="Times New Roman" w:hAnsi="Times New Roman" w:cs="Times New Roman"/>
          <w:sz w:val="24"/>
          <w:szCs w:val="24"/>
        </w:rPr>
        <w:t xml:space="preserve"> cm, </w:t>
      </w:r>
      <w:r w:rsidR="00002AEA" w:rsidRPr="007E6400">
        <w:rPr>
          <w:rFonts w:ascii="Times New Roman" w:hAnsi="Times New Roman" w:cs="Times New Roman"/>
          <w:sz w:val="24"/>
          <w:szCs w:val="24"/>
        </w:rPr>
        <w:t>10.82</w:t>
      </w:r>
      <w:r w:rsidR="004F61D4" w:rsidRPr="007E6400">
        <w:rPr>
          <w:rFonts w:ascii="Times New Roman" w:hAnsi="Times New Roman" w:cs="Times New Roman"/>
          <w:sz w:val="24"/>
          <w:szCs w:val="24"/>
        </w:rPr>
        <w:t xml:space="preserve"> cm and </w:t>
      </w:r>
      <w:r w:rsidR="00002AEA" w:rsidRPr="007E6400">
        <w:rPr>
          <w:rFonts w:ascii="Times New Roman" w:hAnsi="Times New Roman" w:cs="Times New Roman"/>
          <w:sz w:val="24"/>
          <w:szCs w:val="24"/>
        </w:rPr>
        <w:t>18.16</w:t>
      </w:r>
      <w:r w:rsidR="004F61D4" w:rsidRPr="007E6400">
        <w:rPr>
          <w:rFonts w:ascii="Times New Roman" w:hAnsi="Times New Roman" w:cs="Times New Roman"/>
          <w:sz w:val="24"/>
          <w:szCs w:val="24"/>
          <w:lang w:bidi="ar-EG"/>
        </w:rPr>
        <w:t xml:space="preserve"> </w:t>
      </w:r>
      <w:r w:rsidR="004F61D4" w:rsidRPr="007E6400">
        <w:rPr>
          <w:rFonts w:ascii="Times New Roman" w:hAnsi="Times New Roman" w:cs="Times New Roman"/>
          <w:sz w:val="24"/>
          <w:szCs w:val="24"/>
        </w:rPr>
        <w:t xml:space="preserve">mg), </w:t>
      </w:r>
      <w:r w:rsidR="00002AEA" w:rsidRPr="007E6400">
        <w:rPr>
          <w:rFonts w:ascii="Times New Roman" w:hAnsi="Times New Roman" w:cs="Times New Roman"/>
          <w:sz w:val="24"/>
          <w:szCs w:val="24"/>
        </w:rPr>
        <w:t>1.59 and 51.64,</w:t>
      </w:r>
      <w:r w:rsidR="004F61D4" w:rsidRPr="007E6400">
        <w:rPr>
          <w:rFonts w:ascii="Times New Roman" w:hAnsi="Times New Roman" w:cs="Times New Roman"/>
          <w:sz w:val="24"/>
          <w:szCs w:val="24"/>
        </w:rPr>
        <w:t xml:space="preserve"> respectively. Meantime, </w:t>
      </w:r>
      <w:r w:rsidR="00002AEA" w:rsidRPr="007E6400">
        <w:rPr>
          <w:rFonts w:ascii="Times New Roman" w:hAnsi="Times New Roman" w:cs="Times New Roman"/>
          <w:sz w:val="24"/>
          <w:szCs w:val="24"/>
        </w:rPr>
        <w:t>wheat</w:t>
      </w:r>
      <w:r w:rsidR="004F61D4" w:rsidRPr="007E6400">
        <w:rPr>
          <w:rFonts w:ascii="Times New Roman" w:hAnsi="Times New Roman" w:cs="Times New Roman"/>
          <w:sz w:val="24"/>
          <w:szCs w:val="24"/>
        </w:rPr>
        <w:t xml:space="preserve"> stored </w:t>
      </w:r>
      <w:r w:rsidR="00002AEA" w:rsidRPr="007E6400">
        <w:rPr>
          <w:rFonts w:ascii="Times New Roman" w:hAnsi="Times New Roman" w:cs="Times New Roman"/>
          <w:sz w:val="24"/>
          <w:szCs w:val="24"/>
        </w:rPr>
        <w:t>from normal treat</w:t>
      </w:r>
      <w:r w:rsidR="00900047" w:rsidRPr="007E6400">
        <w:rPr>
          <w:rFonts w:ascii="Times New Roman" w:hAnsi="Times New Roman" w:cs="Times New Roman"/>
          <w:sz w:val="24"/>
          <w:szCs w:val="24"/>
        </w:rPr>
        <w:t>ment</w:t>
      </w:r>
      <w:r w:rsidR="004F61D4" w:rsidRPr="007E6400">
        <w:rPr>
          <w:rFonts w:ascii="Times New Roman" w:hAnsi="Times New Roman" w:cs="Times New Roman"/>
          <w:sz w:val="24"/>
          <w:szCs w:val="24"/>
        </w:rPr>
        <w:t xml:space="preserve"> recorded the highest viability (by decreasing EC value)</w:t>
      </w:r>
      <w:r w:rsidR="00002AEA" w:rsidRPr="007E6400">
        <w:rPr>
          <w:rFonts w:ascii="Times New Roman" w:hAnsi="Times New Roman" w:cs="Times New Roman"/>
          <w:sz w:val="24"/>
          <w:szCs w:val="24"/>
        </w:rPr>
        <w:t>.</w:t>
      </w:r>
      <w:r w:rsidR="004F61D4" w:rsidRPr="007E6400">
        <w:rPr>
          <w:rFonts w:ascii="Times New Roman" w:hAnsi="Times New Roman" w:cs="Times New Roman"/>
          <w:sz w:val="24"/>
          <w:szCs w:val="24"/>
        </w:rPr>
        <w:t xml:space="preserve"> In Spite of, </w:t>
      </w:r>
      <w:r w:rsidR="00002AEA" w:rsidRPr="007E6400">
        <w:rPr>
          <w:rFonts w:ascii="Times New Roman" w:hAnsi="Times New Roman" w:cs="Times New Roman"/>
          <w:sz w:val="24"/>
          <w:szCs w:val="24"/>
        </w:rPr>
        <w:t>E.C value</w:t>
      </w:r>
      <w:r w:rsidR="004F61D4" w:rsidRPr="007E6400">
        <w:rPr>
          <w:rFonts w:ascii="Times New Roman" w:hAnsi="Times New Roman" w:cs="Times New Roman"/>
          <w:sz w:val="24"/>
          <w:szCs w:val="24"/>
        </w:rPr>
        <w:t xml:space="preserve"> of </w:t>
      </w:r>
      <w:r w:rsidR="00002AEA" w:rsidRPr="007E6400">
        <w:rPr>
          <w:rFonts w:ascii="Times New Roman" w:hAnsi="Times New Roman" w:cs="Times New Roman"/>
          <w:sz w:val="24"/>
          <w:szCs w:val="24"/>
        </w:rPr>
        <w:t>wheat</w:t>
      </w:r>
      <w:r w:rsidR="004F61D4" w:rsidRPr="007E6400">
        <w:rPr>
          <w:rFonts w:ascii="Times New Roman" w:hAnsi="Times New Roman" w:cs="Times New Roman"/>
          <w:sz w:val="24"/>
          <w:szCs w:val="24"/>
        </w:rPr>
        <w:t xml:space="preserve"> stored </w:t>
      </w:r>
      <w:r w:rsidR="00002AEA" w:rsidRPr="007E6400">
        <w:rPr>
          <w:rFonts w:ascii="Times New Roman" w:hAnsi="Times New Roman" w:cs="Times New Roman"/>
          <w:sz w:val="24"/>
          <w:szCs w:val="24"/>
        </w:rPr>
        <w:t>from drought treat</w:t>
      </w:r>
      <w:r w:rsidR="004F61D4" w:rsidRPr="007E6400">
        <w:rPr>
          <w:rFonts w:ascii="Times New Roman" w:hAnsi="Times New Roman" w:cs="Times New Roman"/>
          <w:sz w:val="24"/>
          <w:szCs w:val="24"/>
        </w:rPr>
        <w:t xml:space="preserve"> were significantly </w:t>
      </w:r>
      <w:r w:rsidR="00002AEA" w:rsidRPr="007E6400">
        <w:rPr>
          <w:rFonts w:ascii="Times New Roman" w:hAnsi="Times New Roman" w:cs="Times New Roman"/>
          <w:sz w:val="24"/>
          <w:szCs w:val="24"/>
        </w:rPr>
        <w:t>higher</w:t>
      </w:r>
      <w:r w:rsidR="004F61D4" w:rsidRPr="007E6400">
        <w:rPr>
          <w:rFonts w:ascii="Times New Roman" w:hAnsi="Times New Roman" w:cs="Times New Roman"/>
          <w:sz w:val="24"/>
          <w:szCs w:val="24"/>
        </w:rPr>
        <w:t xml:space="preserve"> than those of </w:t>
      </w:r>
      <w:r w:rsidR="00002AEA" w:rsidRPr="007E6400">
        <w:rPr>
          <w:rFonts w:ascii="Times New Roman" w:hAnsi="Times New Roman" w:cs="Times New Roman"/>
          <w:sz w:val="24"/>
          <w:szCs w:val="24"/>
        </w:rPr>
        <w:t>wheat</w:t>
      </w:r>
      <w:r w:rsidR="004F61D4" w:rsidRPr="007E6400">
        <w:rPr>
          <w:rFonts w:ascii="Times New Roman" w:hAnsi="Times New Roman" w:cs="Times New Roman"/>
          <w:sz w:val="24"/>
          <w:szCs w:val="24"/>
        </w:rPr>
        <w:t xml:space="preserve"> stored </w:t>
      </w:r>
      <w:r w:rsidR="00002AEA" w:rsidRPr="007E6400">
        <w:rPr>
          <w:rFonts w:ascii="Times New Roman" w:hAnsi="Times New Roman" w:cs="Times New Roman"/>
          <w:sz w:val="24"/>
          <w:szCs w:val="24"/>
        </w:rPr>
        <w:t>from normal treat</w:t>
      </w:r>
      <w:r w:rsidR="004F61D4" w:rsidRPr="007E6400">
        <w:rPr>
          <w:rFonts w:ascii="Times New Roman" w:hAnsi="Times New Roman" w:cs="Times New Roman"/>
          <w:sz w:val="24"/>
          <w:szCs w:val="24"/>
        </w:rPr>
        <w:t>.</w:t>
      </w:r>
      <w:r w:rsidR="004C1518" w:rsidRPr="007E6400">
        <w:rPr>
          <w:rFonts w:ascii="Times New Roman" w:hAnsi="Times New Roman" w:cs="Times New Roman"/>
          <w:sz w:val="24"/>
          <w:szCs w:val="24"/>
        </w:rPr>
        <w:t xml:space="preserve"> Similar results were observed by</w:t>
      </w:r>
      <w:r w:rsidR="00D92818" w:rsidRPr="007E6400">
        <w:rPr>
          <w:rFonts w:ascii="Times New Roman" w:hAnsi="Times New Roman" w:cs="Times New Roman"/>
          <w:sz w:val="24"/>
          <w:szCs w:val="24"/>
        </w:rPr>
        <w:t xml:space="preserve"> Kandil et al (2013</w:t>
      </w:r>
      <w:proofErr w:type="gramStart"/>
      <w:r w:rsidR="00D92818" w:rsidRPr="007E6400">
        <w:rPr>
          <w:rFonts w:ascii="Times New Roman" w:hAnsi="Times New Roman" w:cs="Times New Roman"/>
          <w:sz w:val="24"/>
          <w:szCs w:val="24"/>
        </w:rPr>
        <w:t xml:space="preserve">), </w:t>
      </w:r>
      <w:r w:rsidR="004C1518" w:rsidRPr="007E6400">
        <w:rPr>
          <w:rFonts w:ascii="Times New Roman" w:hAnsi="Times New Roman" w:cs="Times New Roman"/>
          <w:sz w:val="24"/>
          <w:szCs w:val="24"/>
        </w:rPr>
        <w:t xml:space="preserve"> Badawi</w:t>
      </w:r>
      <w:proofErr w:type="gramEnd"/>
      <w:r w:rsidR="004C1518" w:rsidRPr="007E6400">
        <w:rPr>
          <w:rFonts w:ascii="Times New Roman" w:hAnsi="Times New Roman" w:cs="Times New Roman"/>
          <w:sz w:val="24"/>
          <w:szCs w:val="24"/>
        </w:rPr>
        <w:t xml:space="preserve"> et al., (2017)</w:t>
      </w:r>
      <w:r w:rsidR="00001C50" w:rsidRPr="007E6400">
        <w:rPr>
          <w:rFonts w:ascii="Times New Roman" w:hAnsi="Times New Roman" w:cs="Times New Roman"/>
          <w:sz w:val="24"/>
          <w:szCs w:val="24"/>
        </w:rPr>
        <w:t>, Jones (2023)</w:t>
      </w:r>
      <w:r w:rsidR="004C1518" w:rsidRPr="007E6400">
        <w:rPr>
          <w:rFonts w:ascii="Times New Roman" w:hAnsi="Times New Roman" w:cs="Times New Roman"/>
          <w:sz w:val="24"/>
          <w:szCs w:val="24"/>
        </w:rPr>
        <w:t xml:space="preserve"> and Mosalem (2024).</w:t>
      </w:r>
    </w:p>
    <w:p w:rsidR="00E74144" w:rsidRPr="007E6400" w:rsidRDefault="00E74144" w:rsidP="00002AEA">
      <w:pPr>
        <w:bidi w:val="0"/>
        <w:spacing w:before="240" w:after="120" w:line="240" w:lineRule="auto"/>
        <w:jc w:val="both"/>
        <w:rPr>
          <w:rFonts w:ascii="Times New Roman" w:hAnsi="Times New Roman" w:cs="Times New Roman"/>
          <w:b/>
          <w:bCs/>
          <w:i/>
          <w:iCs/>
          <w:sz w:val="24"/>
          <w:szCs w:val="24"/>
        </w:rPr>
      </w:pPr>
      <w:r w:rsidRPr="007E6400">
        <w:rPr>
          <w:rFonts w:ascii="Times New Roman" w:hAnsi="Times New Roman" w:cs="Times New Roman"/>
          <w:b/>
          <w:bCs/>
          <w:i/>
          <w:iCs/>
          <w:sz w:val="24"/>
          <w:szCs w:val="24"/>
        </w:rPr>
        <w:t>Effect of storage package</w:t>
      </w:r>
    </w:p>
    <w:p w:rsidR="00E74144" w:rsidRPr="007E6400" w:rsidRDefault="00FE481B" w:rsidP="00001C50">
      <w:pPr>
        <w:bidi w:val="0"/>
        <w:spacing w:after="0" w:line="240" w:lineRule="auto"/>
        <w:ind w:firstLine="720"/>
        <w:jc w:val="both"/>
        <w:rPr>
          <w:rFonts w:ascii="Times New Roman" w:hAnsi="Times New Roman" w:cs="Times New Roman"/>
          <w:sz w:val="24"/>
          <w:szCs w:val="24"/>
        </w:rPr>
      </w:pPr>
      <w:r w:rsidRPr="007E6400">
        <w:rPr>
          <w:rFonts w:ascii="Times New Roman" w:hAnsi="Times New Roman" w:cs="Times New Roman"/>
          <w:sz w:val="24"/>
          <w:szCs w:val="24"/>
        </w:rPr>
        <w:t>H</w:t>
      </w:r>
      <w:r w:rsidR="00E74144" w:rsidRPr="007E6400">
        <w:rPr>
          <w:rFonts w:ascii="Times New Roman" w:hAnsi="Times New Roman" w:cs="Times New Roman"/>
          <w:sz w:val="24"/>
          <w:szCs w:val="24"/>
        </w:rPr>
        <w:t xml:space="preserve">ighly significantly differences among germination percentage, seedling </w:t>
      </w:r>
      <w:r w:rsidR="00456A44" w:rsidRPr="007E6400">
        <w:rPr>
          <w:rFonts w:ascii="Times New Roman" w:hAnsi="Times New Roman" w:cs="Times New Roman"/>
          <w:sz w:val="24"/>
          <w:szCs w:val="24"/>
        </w:rPr>
        <w:t>vigor</w:t>
      </w:r>
      <w:r w:rsidR="00D92818" w:rsidRPr="007E6400">
        <w:rPr>
          <w:rFonts w:ascii="Times New Roman" w:hAnsi="Times New Roman" w:cs="Times New Roman"/>
          <w:sz w:val="24"/>
          <w:szCs w:val="24"/>
        </w:rPr>
        <w:t xml:space="preserve"> parameters</w:t>
      </w:r>
      <w:r w:rsidR="00E74144" w:rsidRPr="007E6400">
        <w:rPr>
          <w:rFonts w:ascii="Times New Roman" w:hAnsi="Times New Roman" w:cs="Times New Roman"/>
          <w:sz w:val="24"/>
          <w:szCs w:val="24"/>
        </w:rPr>
        <w:t>, seedling vigor index</w:t>
      </w:r>
      <w:r w:rsidR="00456A44" w:rsidRPr="007E6400">
        <w:rPr>
          <w:rFonts w:ascii="Times New Roman" w:hAnsi="Times New Roman" w:cs="Times New Roman"/>
          <w:sz w:val="24"/>
          <w:szCs w:val="24"/>
        </w:rPr>
        <w:t>, seed index and</w:t>
      </w:r>
      <w:r w:rsidR="00E74144" w:rsidRPr="007E6400">
        <w:rPr>
          <w:rFonts w:ascii="Times New Roman" w:hAnsi="Times New Roman" w:cs="Times New Roman"/>
          <w:sz w:val="24"/>
          <w:szCs w:val="24"/>
        </w:rPr>
        <w:t xml:space="preserve"> </w:t>
      </w:r>
      <w:r w:rsidR="00E74144" w:rsidRPr="007E6400">
        <w:rPr>
          <w:rFonts w:ascii="Times New Roman" w:hAnsi="Times New Roman" w:cs="Times New Roman"/>
          <w:iCs/>
          <w:sz w:val="24"/>
          <w:szCs w:val="24"/>
        </w:rPr>
        <w:t>E.C</w:t>
      </w:r>
      <w:r w:rsidR="00E74144" w:rsidRPr="007E6400">
        <w:rPr>
          <w:rFonts w:ascii="Times New Roman" w:hAnsi="Times New Roman" w:cs="Times New Roman"/>
          <w:b/>
          <w:bCs/>
          <w:iCs/>
          <w:sz w:val="24"/>
          <w:szCs w:val="24"/>
        </w:rPr>
        <w:t xml:space="preserve"> </w:t>
      </w:r>
      <w:r w:rsidR="00E74144" w:rsidRPr="007E6400">
        <w:rPr>
          <w:rFonts w:ascii="Times New Roman" w:hAnsi="Times New Roman" w:cs="Times New Roman"/>
          <w:sz w:val="24"/>
          <w:szCs w:val="24"/>
        </w:rPr>
        <w:t>value as affected by storage package under study</w:t>
      </w:r>
      <w:r w:rsidRPr="007E6400">
        <w:rPr>
          <w:rFonts w:ascii="Times New Roman" w:hAnsi="Times New Roman" w:cs="Times New Roman"/>
          <w:sz w:val="24"/>
          <w:szCs w:val="24"/>
        </w:rPr>
        <w:t xml:space="preserve"> were observed as </w:t>
      </w:r>
      <w:r w:rsidR="00E74144" w:rsidRPr="007E6400">
        <w:rPr>
          <w:rFonts w:ascii="Times New Roman" w:hAnsi="Times New Roman" w:cs="Times New Roman"/>
          <w:sz w:val="24"/>
          <w:szCs w:val="24"/>
        </w:rPr>
        <w:t>presented in Table (</w:t>
      </w:r>
      <w:r w:rsidR="005D2C01" w:rsidRPr="007E6400">
        <w:rPr>
          <w:rFonts w:ascii="Times New Roman" w:hAnsi="Times New Roman" w:cs="Times New Roman"/>
          <w:sz w:val="24"/>
          <w:szCs w:val="24"/>
        </w:rPr>
        <w:t>2</w:t>
      </w:r>
      <w:r w:rsidR="00E74144" w:rsidRPr="007E6400">
        <w:rPr>
          <w:rFonts w:ascii="Times New Roman" w:hAnsi="Times New Roman" w:cs="Times New Roman"/>
          <w:sz w:val="24"/>
          <w:szCs w:val="24"/>
        </w:rPr>
        <w:t xml:space="preserve">). Germination percentage for </w:t>
      </w:r>
      <w:r w:rsidR="00456A44" w:rsidRPr="007E6400">
        <w:rPr>
          <w:rFonts w:ascii="Times New Roman" w:hAnsi="Times New Roman" w:cs="Times New Roman"/>
          <w:sz w:val="24"/>
          <w:szCs w:val="24"/>
        </w:rPr>
        <w:t>wheat</w:t>
      </w:r>
      <w:r w:rsidR="00E74144" w:rsidRPr="007E6400">
        <w:rPr>
          <w:rFonts w:ascii="Times New Roman" w:hAnsi="Times New Roman" w:cs="Times New Roman"/>
          <w:sz w:val="24"/>
          <w:szCs w:val="24"/>
        </w:rPr>
        <w:t xml:space="preserve"> seed </w:t>
      </w:r>
      <w:r w:rsidR="005D2C01" w:rsidRPr="007E6400">
        <w:rPr>
          <w:rFonts w:ascii="Times New Roman" w:hAnsi="Times New Roman" w:cs="Times New Roman"/>
          <w:sz w:val="24"/>
          <w:szCs w:val="24"/>
        </w:rPr>
        <w:t xml:space="preserve">stored </w:t>
      </w:r>
      <w:r w:rsidR="00E74144" w:rsidRPr="007E6400">
        <w:rPr>
          <w:rFonts w:ascii="Times New Roman" w:hAnsi="Times New Roman" w:cs="Times New Roman"/>
          <w:sz w:val="24"/>
          <w:szCs w:val="24"/>
        </w:rPr>
        <w:t xml:space="preserve">within H.D.P </w:t>
      </w:r>
      <w:r w:rsidR="005D2C01" w:rsidRPr="007E6400">
        <w:rPr>
          <w:rFonts w:ascii="Times New Roman" w:hAnsi="Times New Roman" w:cs="Times New Roman"/>
          <w:sz w:val="24"/>
          <w:szCs w:val="24"/>
        </w:rPr>
        <w:t xml:space="preserve">package </w:t>
      </w:r>
      <w:r w:rsidR="00E74144" w:rsidRPr="007E6400">
        <w:rPr>
          <w:rFonts w:ascii="Times New Roman" w:hAnsi="Times New Roman" w:cs="Times New Roman"/>
          <w:sz w:val="24"/>
          <w:szCs w:val="24"/>
        </w:rPr>
        <w:t xml:space="preserve">was significantly higher than Jute </w:t>
      </w:r>
      <w:proofErr w:type="gramStart"/>
      <w:r w:rsidR="00E74144" w:rsidRPr="007E6400">
        <w:rPr>
          <w:rFonts w:ascii="Times New Roman" w:hAnsi="Times New Roman" w:cs="Times New Roman"/>
          <w:sz w:val="24"/>
          <w:szCs w:val="24"/>
        </w:rPr>
        <w:t>package</w:t>
      </w:r>
      <w:r w:rsidR="005D2C01" w:rsidRPr="007E6400">
        <w:rPr>
          <w:rFonts w:ascii="Times New Roman" w:hAnsi="Times New Roman" w:cs="Times New Roman"/>
          <w:sz w:val="24"/>
          <w:szCs w:val="24"/>
        </w:rPr>
        <w:t xml:space="preserve"> </w:t>
      </w:r>
      <w:r w:rsidR="00E74144" w:rsidRPr="007E6400">
        <w:rPr>
          <w:rFonts w:ascii="Times New Roman" w:hAnsi="Times New Roman" w:cs="Times New Roman"/>
          <w:sz w:val="24"/>
          <w:szCs w:val="24"/>
        </w:rPr>
        <w:t xml:space="preserve"> </w:t>
      </w:r>
      <w:r w:rsidRPr="007E6400">
        <w:rPr>
          <w:rFonts w:ascii="Times New Roman" w:hAnsi="Times New Roman" w:cs="Times New Roman"/>
          <w:sz w:val="24"/>
          <w:szCs w:val="24"/>
        </w:rPr>
        <w:t>(</w:t>
      </w:r>
      <w:proofErr w:type="gramEnd"/>
      <w:r w:rsidR="00456A44" w:rsidRPr="007E6400">
        <w:rPr>
          <w:rFonts w:ascii="Times New Roman" w:hAnsi="Times New Roman" w:cs="Times New Roman"/>
          <w:sz w:val="24"/>
          <w:szCs w:val="24"/>
        </w:rPr>
        <w:t>93.28</w:t>
      </w:r>
      <w:r w:rsidR="00E74144" w:rsidRPr="007E6400">
        <w:rPr>
          <w:rFonts w:ascii="Times New Roman" w:hAnsi="Times New Roman" w:cs="Times New Roman"/>
          <w:sz w:val="24"/>
          <w:szCs w:val="24"/>
        </w:rPr>
        <w:t xml:space="preserve"> % and </w:t>
      </w:r>
      <w:r w:rsidR="00456A44" w:rsidRPr="007E6400">
        <w:rPr>
          <w:rFonts w:ascii="Times New Roman" w:hAnsi="Times New Roman" w:cs="Times New Roman"/>
          <w:sz w:val="24"/>
          <w:szCs w:val="24"/>
        </w:rPr>
        <w:t>89.86</w:t>
      </w:r>
      <w:r w:rsidR="00E74144" w:rsidRPr="007E6400">
        <w:rPr>
          <w:rFonts w:ascii="Times New Roman" w:hAnsi="Times New Roman" w:cs="Times New Roman"/>
          <w:sz w:val="24"/>
          <w:szCs w:val="24"/>
        </w:rPr>
        <w:t xml:space="preserve"> %</w:t>
      </w:r>
      <w:r w:rsidRPr="007E6400">
        <w:rPr>
          <w:rFonts w:ascii="Times New Roman" w:hAnsi="Times New Roman" w:cs="Times New Roman"/>
          <w:sz w:val="24"/>
          <w:szCs w:val="24"/>
        </w:rPr>
        <w:t>)</w:t>
      </w:r>
      <w:r w:rsidR="00E74144" w:rsidRPr="007E6400">
        <w:rPr>
          <w:rFonts w:ascii="Times New Roman" w:hAnsi="Times New Roman" w:cs="Times New Roman"/>
          <w:sz w:val="24"/>
          <w:szCs w:val="24"/>
        </w:rPr>
        <w:t xml:space="preserve">, respectively. Meantime, storage with H.D.P recorded high value of seedling </w:t>
      </w:r>
      <w:r w:rsidR="00D92818" w:rsidRPr="007E6400">
        <w:rPr>
          <w:rFonts w:ascii="Times New Roman" w:hAnsi="Times New Roman" w:cs="Times New Roman"/>
          <w:sz w:val="24"/>
          <w:szCs w:val="24"/>
        </w:rPr>
        <w:t>vigo</w:t>
      </w:r>
      <w:r w:rsidR="00456A44" w:rsidRPr="007E6400">
        <w:rPr>
          <w:rFonts w:ascii="Times New Roman" w:hAnsi="Times New Roman" w:cs="Times New Roman"/>
          <w:sz w:val="24"/>
          <w:szCs w:val="24"/>
        </w:rPr>
        <w:t>r</w:t>
      </w:r>
      <w:r w:rsidR="00E74144" w:rsidRPr="007E6400">
        <w:rPr>
          <w:rFonts w:ascii="Times New Roman" w:hAnsi="Times New Roman" w:cs="Times New Roman"/>
          <w:sz w:val="24"/>
          <w:szCs w:val="24"/>
        </w:rPr>
        <w:t xml:space="preserve"> (root length, shoot length and S.D.W) </w:t>
      </w:r>
      <w:r w:rsidR="00456A44" w:rsidRPr="007E6400">
        <w:rPr>
          <w:rFonts w:ascii="Times New Roman" w:hAnsi="Times New Roman" w:cs="Times New Roman"/>
          <w:sz w:val="24"/>
          <w:szCs w:val="24"/>
        </w:rPr>
        <w:t>14.18</w:t>
      </w:r>
      <w:r w:rsidR="00E74144" w:rsidRPr="007E6400">
        <w:rPr>
          <w:rFonts w:ascii="Times New Roman" w:hAnsi="Times New Roman" w:cs="Times New Roman"/>
          <w:sz w:val="24"/>
          <w:szCs w:val="24"/>
        </w:rPr>
        <w:t xml:space="preserve"> cm, </w:t>
      </w:r>
      <w:r w:rsidR="00456A44" w:rsidRPr="007E6400">
        <w:rPr>
          <w:rFonts w:ascii="Times New Roman" w:hAnsi="Times New Roman" w:cs="Times New Roman"/>
          <w:sz w:val="24"/>
          <w:szCs w:val="24"/>
        </w:rPr>
        <w:t xml:space="preserve">12.83 </w:t>
      </w:r>
      <w:r w:rsidR="00E74144" w:rsidRPr="007E6400">
        <w:rPr>
          <w:rFonts w:ascii="Times New Roman" w:hAnsi="Times New Roman" w:cs="Times New Roman"/>
          <w:sz w:val="24"/>
          <w:szCs w:val="24"/>
        </w:rPr>
        <w:t xml:space="preserve">cm and </w:t>
      </w:r>
      <w:r w:rsidR="00456A44" w:rsidRPr="007E6400">
        <w:rPr>
          <w:rFonts w:ascii="Times New Roman" w:hAnsi="Times New Roman" w:cs="Times New Roman"/>
          <w:sz w:val="24"/>
          <w:szCs w:val="24"/>
        </w:rPr>
        <w:t xml:space="preserve">22.04 </w:t>
      </w:r>
      <w:r w:rsidR="00E74144" w:rsidRPr="007E6400">
        <w:rPr>
          <w:rFonts w:ascii="Times New Roman" w:hAnsi="Times New Roman" w:cs="Times New Roman"/>
          <w:sz w:val="24"/>
          <w:szCs w:val="24"/>
        </w:rPr>
        <w:t xml:space="preserve">mg), respectively. Also, H.D.P recorded high of seedling vigor index (S.V.I) </w:t>
      </w:r>
      <w:r w:rsidR="00456A44" w:rsidRPr="007E6400">
        <w:rPr>
          <w:rFonts w:ascii="Times New Roman" w:hAnsi="Times New Roman" w:cs="Times New Roman"/>
          <w:sz w:val="24"/>
          <w:szCs w:val="24"/>
        </w:rPr>
        <w:t>2.07</w:t>
      </w:r>
      <w:r w:rsidR="00E74144" w:rsidRPr="007E6400">
        <w:rPr>
          <w:rFonts w:ascii="Times New Roman" w:hAnsi="Times New Roman" w:cs="Times New Roman"/>
          <w:sz w:val="24"/>
          <w:szCs w:val="24"/>
        </w:rPr>
        <w:t xml:space="preserve"> compared with Jute package </w:t>
      </w:r>
      <w:r w:rsidR="00456A44" w:rsidRPr="007E6400">
        <w:rPr>
          <w:rFonts w:ascii="Times New Roman" w:hAnsi="Times New Roman" w:cs="Times New Roman"/>
          <w:sz w:val="24"/>
          <w:szCs w:val="24"/>
        </w:rPr>
        <w:t>1.73</w:t>
      </w:r>
      <w:r w:rsidR="00E74144" w:rsidRPr="007E6400">
        <w:rPr>
          <w:rFonts w:ascii="Times New Roman" w:hAnsi="Times New Roman" w:cs="Times New Roman"/>
          <w:sz w:val="24"/>
          <w:szCs w:val="24"/>
        </w:rPr>
        <w:t>. On the other hand, jute package gave the lowest viability (by increasing EC value). These findings agreed with those obtained by Nagu</w:t>
      </w:r>
      <w:r w:rsidR="00001C50" w:rsidRPr="007E6400">
        <w:rPr>
          <w:rFonts w:ascii="Times New Roman" w:hAnsi="Times New Roman" w:cs="Times New Roman"/>
          <w:sz w:val="24"/>
          <w:szCs w:val="24"/>
        </w:rPr>
        <w:t>i</w:t>
      </w:r>
      <w:r w:rsidR="00E74144" w:rsidRPr="007E6400">
        <w:rPr>
          <w:rFonts w:ascii="Times New Roman" w:hAnsi="Times New Roman" w:cs="Times New Roman"/>
          <w:sz w:val="24"/>
          <w:szCs w:val="24"/>
        </w:rPr>
        <w:t>b et al (2011), El-Sayed et al (2018)</w:t>
      </w:r>
      <w:r w:rsidR="00001C50" w:rsidRPr="007E6400">
        <w:rPr>
          <w:rFonts w:ascii="Times New Roman" w:hAnsi="Times New Roman" w:cs="Times New Roman"/>
          <w:sz w:val="24"/>
          <w:szCs w:val="24"/>
        </w:rPr>
        <w:t>, Gebissa (2023), Taha and El-Sawy (2023)</w:t>
      </w:r>
      <w:r w:rsidR="00D92818" w:rsidRPr="007E6400">
        <w:rPr>
          <w:rFonts w:ascii="Times New Roman" w:hAnsi="Times New Roman" w:cs="Times New Roman"/>
          <w:sz w:val="24"/>
          <w:szCs w:val="24"/>
        </w:rPr>
        <w:t xml:space="preserve"> and Hassan (2023)</w:t>
      </w:r>
      <w:r w:rsidR="00E74144" w:rsidRPr="007E6400">
        <w:rPr>
          <w:rFonts w:ascii="Times New Roman" w:hAnsi="Times New Roman" w:cs="Times New Roman"/>
          <w:sz w:val="24"/>
          <w:szCs w:val="24"/>
        </w:rPr>
        <w:t>.</w:t>
      </w:r>
    </w:p>
    <w:p w:rsidR="00CB3031" w:rsidRPr="007E6400" w:rsidRDefault="00CB3031" w:rsidP="00CB3031">
      <w:pPr>
        <w:bidi w:val="0"/>
        <w:spacing w:after="0" w:line="240" w:lineRule="auto"/>
        <w:ind w:firstLine="720"/>
        <w:jc w:val="both"/>
        <w:rPr>
          <w:rFonts w:ascii="Times New Roman" w:hAnsi="Times New Roman" w:cs="Times New Roman"/>
          <w:sz w:val="24"/>
          <w:szCs w:val="24"/>
        </w:rPr>
      </w:pPr>
    </w:p>
    <w:p w:rsidR="00CB3031" w:rsidRPr="007E6400" w:rsidRDefault="00CB3031" w:rsidP="00F07B0F">
      <w:pPr>
        <w:pStyle w:val="PlainText"/>
        <w:bidi w:val="0"/>
        <w:spacing w:before="240" w:after="120"/>
        <w:jc w:val="center"/>
        <w:rPr>
          <w:rFonts w:ascii="Times New Roman" w:hAnsi="Times New Roman" w:cs="Times New Roman"/>
          <w:sz w:val="22"/>
          <w:szCs w:val="22"/>
        </w:rPr>
      </w:pPr>
      <w:r w:rsidRPr="007E6400">
        <w:rPr>
          <w:rFonts w:ascii="Times New Roman" w:hAnsi="Times New Roman" w:cs="Times New Roman"/>
        </w:rPr>
        <w:lastRenderedPageBreak/>
        <w:t xml:space="preserve">Table </w:t>
      </w:r>
      <w:proofErr w:type="gramStart"/>
      <w:r w:rsidRPr="007E6400">
        <w:rPr>
          <w:rFonts w:ascii="Times New Roman" w:hAnsi="Times New Roman" w:cs="Times New Roman"/>
        </w:rPr>
        <w:t>(  2</w:t>
      </w:r>
      <w:proofErr w:type="gramEnd"/>
      <w:r w:rsidRPr="007E6400">
        <w:rPr>
          <w:rFonts w:ascii="Times New Roman" w:hAnsi="Times New Roman" w:cs="Times New Roman"/>
        </w:rPr>
        <w:t xml:space="preserve"> ) The</w:t>
      </w:r>
      <w:r w:rsidRPr="007E6400">
        <w:rPr>
          <w:rFonts w:ascii="Times New Roman" w:hAnsi="Times New Roman" w:cs="Times New Roman"/>
          <w:sz w:val="22"/>
          <w:szCs w:val="22"/>
        </w:rPr>
        <w:t xml:space="preserve"> general effect of storage package and cultivar</w:t>
      </w:r>
      <w:r w:rsidR="00FE481B" w:rsidRPr="007E6400">
        <w:rPr>
          <w:rFonts w:ascii="Times New Roman" w:hAnsi="Times New Roman" w:cs="Times New Roman"/>
          <w:sz w:val="22"/>
          <w:szCs w:val="22"/>
        </w:rPr>
        <w:t>s on germination, seedling vigo</w:t>
      </w:r>
      <w:r w:rsidR="00CB31BA" w:rsidRPr="007E6400">
        <w:rPr>
          <w:rFonts w:ascii="Times New Roman" w:hAnsi="Times New Roman" w:cs="Times New Roman"/>
          <w:sz w:val="22"/>
          <w:szCs w:val="22"/>
        </w:rPr>
        <w:t>r</w:t>
      </w:r>
      <w:r w:rsidRPr="007E6400">
        <w:rPr>
          <w:rFonts w:ascii="Times New Roman" w:hAnsi="Times New Roman" w:cs="Times New Roman"/>
          <w:sz w:val="22"/>
          <w:szCs w:val="22"/>
        </w:rPr>
        <w:t xml:space="preserve">, </w:t>
      </w:r>
      <w:r w:rsidR="00F07B0F" w:rsidRPr="007E6400">
        <w:rPr>
          <w:rFonts w:ascii="Times New Roman" w:hAnsi="Times New Roman" w:cs="Times New Roman"/>
          <w:sz w:val="22"/>
          <w:szCs w:val="22"/>
        </w:rPr>
        <w:t>Seedling vigor index (</w:t>
      </w:r>
      <w:r w:rsidRPr="007E6400">
        <w:rPr>
          <w:rFonts w:ascii="Times New Roman" w:hAnsi="Times New Roman" w:cs="Times New Roman"/>
          <w:sz w:val="22"/>
          <w:szCs w:val="22"/>
        </w:rPr>
        <w:t>S.V.I</w:t>
      </w:r>
      <w:r w:rsidR="00F07B0F" w:rsidRPr="007E6400">
        <w:rPr>
          <w:rFonts w:ascii="Times New Roman" w:hAnsi="Times New Roman" w:cs="Times New Roman"/>
          <w:sz w:val="22"/>
          <w:szCs w:val="22"/>
        </w:rPr>
        <w:t>),</w:t>
      </w:r>
      <w:r w:rsidRPr="007E6400">
        <w:rPr>
          <w:rFonts w:ascii="Times New Roman" w:hAnsi="Times New Roman" w:cs="Times New Roman"/>
          <w:sz w:val="22"/>
          <w:szCs w:val="22"/>
        </w:rPr>
        <w:t xml:space="preserve"> seed index and E.C.</w:t>
      </w:r>
    </w:p>
    <w:tbl>
      <w:tblPr>
        <w:tblW w:w="9639"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295"/>
        <w:gridCol w:w="1574"/>
        <w:gridCol w:w="855"/>
        <w:gridCol w:w="784"/>
        <w:gridCol w:w="1063"/>
        <w:gridCol w:w="1104"/>
        <w:gridCol w:w="1499"/>
        <w:gridCol w:w="1465"/>
      </w:tblGrid>
      <w:tr w:rsidR="00F62A25" w:rsidRPr="007E6400" w:rsidTr="00570850">
        <w:trPr>
          <w:jc w:val="center"/>
        </w:trPr>
        <w:tc>
          <w:tcPr>
            <w:tcW w:w="1295" w:type="dxa"/>
            <w:vMerge w:val="restart"/>
            <w:tcBorders>
              <w:top w:val="single" w:sz="4" w:space="0" w:color="auto"/>
              <w:bottom w:val="nil"/>
            </w:tcBorders>
            <w:vAlign w:val="center"/>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Treatment</w:t>
            </w:r>
          </w:p>
        </w:tc>
        <w:tc>
          <w:tcPr>
            <w:tcW w:w="1574" w:type="dxa"/>
            <w:vMerge w:val="restart"/>
            <w:tcBorders>
              <w:top w:val="single" w:sz="4" w:space="0" w:color="auto"/>
              <w:bottom w:val="nil"/>
            </w:tcBorders>
            <w:vAlign w:val="center"/>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Germination</w:t>
            </w:r>
          </w:p>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 %</w:t>
            </w:r>
          </w:p>
        </w:tc>
        <w:tc>
          <w:tcPr>
            <w:tcW w:w="2702" w:type="dxa"/>
            <w:gridSpan w:val="3"/>
            <w:tcBorders>
              <w:top w:val="single" w:sz="4" w:space="0" w:color="auto"/>
              <w:bottom w:val="single" w:sz="4" w:space="0" w:color="auto"/>
            </w:tcBorders>
            <w:vAlign w:val="center"/>
          </w:tcPr>
          <w:p w:rsidR="00CB3031" w:rsidRPr="007E6400" w:rsidRDefault="008156CF" w:rsidP="008156CF">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Seedling vigor </w:t>
            </w:r>
          </w:p>
        </w:tc>
        <w:tc>
          <w:tcPr>
            <w:tcW w:w="1104" w:type="dxa"/>
            <w:vMerge w:val="restart"/>
            <w:tcBorders>
              <w:top w:val="single" w:sz="4" w:space="0" w:color="auto"/>
              <w:bottom w:val="nil"/>
            </w:tcBorders>
            <w:vAlign w:val="center"/>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 (S.V.I)</w:t>
            </w:r>
          </w:p>
        </w:tc>
        <w:tc>
          <w:tcPr>
            <w:tcW w:w="1499" w:type="dxa"/>
            <w:vMerge w:val="restart"/>
            <w:tcBorders>
              <w:top w:val="single" w:sz="4" w:space="0" w:color="auto"/>
              <w:bottom w:val="nil"/>
            </w:tcBorders>
            <w:vAlign w:val="center"/>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Seed index</w:t>
            </w:r>
          </w:p>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(g)</w:t>
            </w:r>
          </w:p>
        </w:tc>
        <w:tc>
          <w:tcPr>
            <w:tcW w:w="1465" w:type="dxa"/>
            <w:tcBorders>
              <w:top w:val="single" w:sz="4" w:space="0" w:color="auto"/>
              <w:bottom w:val="nil"/>
            </w:tcBorders>
          </w:tcPr>
          <w:p w:rsidR="00CB3031" w:rsidRPr="007E6400" w:rsidRDefault="00CB3031" w:rsidP="00570850">
            <w:pPr>
              <w:pStyle w:val="PlainText"/>
              <w:bidi w:val="0"/>
              <w:jc w:val="center"/>
              <w:rPr>
                <w:rFonts w:ascii="Times New Roman" w:hAnsi="Times New Roman" w:cs="Times New Roman"/>
                <w:sz w:val="22"/>
                <w:szCs w:val="22"/>
              </w:rPr>
            </w:pPr>
          </w:p>
        </w:tc>
      </w:tr>
      <w:tr w:rsidR="00F62A25" w:rsidRPr="007E6400" w:rsidTr="00570850">
        <w:trPr>
          <w:jc w:val="center"/>
        </w:trPr>
        <w:tc>
          <w:tcPr>
            <w:tcW w:w="1295" w:type="dxa"/>
            <w:vMerge/>
            <w:tcBorders>
              <w:top w:val="nil"/>
              <w:bottom w:val="single" w:sz="4" w:space="0" w:color="auto"/>
            </w:tcBorders>
          </w:tcPr>
          <w:p w:rsidR="00CB3031" w:rsidRPr="007E6400" w:rsidRDefault="00CB3031" w:rsidP="00570850">
            <w:pPr>
              <w:pStyle w:val="PlainText"/>
              <w:bidi w:val="0"/>
              <w:rPr>
                <w:rFonts w:ascii="Times New Roman" w:hAnsi="Times New Roman" w:cs="Times New Roman"/>
                <w:sz w:val="22"/>
                <w:szCs w:val="22"/>
              </w:rPr>
            </w:pPr>
          </w:p>
        </w:tc>
        <w:tc>
          <w:tcPr>
            <w:tcW w:w="1574" w:type="dxa"/>
            <w:vMerge/>
            <w:tcBorders>
              <w:top w:val="nil"/>
              <w:bottom w:val="single" w:sz="4" w:space="0" w:color="auto"/>
            </w:tcBorders>
          </w:tcPr>
          <w:p w:rsidR="00CB3031" w:rsidRPr="007E6400" w:rsidRDefault="00CB3031" w:rsidP="00570850">
            <w:pPr>
              <w:pStyle w:val="PlainText"/>
              <w:bidi w:val="0"/>
              <w:rPr>
                <w:rFonts w:ascii="Times New Roman" w:hAnsi="Times New Roman" w:cs="Times New Roman"/>
                <w:sz w:val="22"/>
                <w:szCs w:val="22"/>
              </w:rPr>
            </w:pPr>
          </w:p>
        </w:tc>
        <w:tc>
          <w:tcPr>
            <w:tcW w:w="855" w:type="dxa"/>
            <w:tcBorders>
              <w:top w:val="single" w:sz="4" w:space="0" w:color="auto"/>
              <w:bottom w:val="single" w:sz="4" w:space="0" w:color="auto"/>
            </w:tcBorders>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Root length (cm)</w:t>
            </w:r>
          </w:p>
        </w:tc>
        <w:tc>
          <w:tcPr>
            <w:tcW w:w="784" w:type="dxa"/>
            <w:tcBorders>
              <w:top w:val="single" w:sz="4" w:space="0" w:color="auto"/>
              <w:bottom w:val="single" w:sz="4" w:space="0" w:color="auto"/>
            </w:tcBorders>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Shoot length (cm)</w:t>
            </w:r>
          </w:p>
        </w:tc>
        <w:tc>
          <w:tcPr>
            <w:tcW w:w="1063" w:type="dxa"/>
            <w:tcBorders>
              <w:top w:val="single" w:sz="4" w:space="0" w:color="auto"/>
              <w:bottom w:val="single" w:sz="4" w:space="0" w:color="auto"/>
            </w:tcBorders>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S.D.W (mg)</w:t>
            </w:r>
          </w:p>
        </w:tc>
        <w:tc>
          <w:tcPr>
            <w:tcW w:w="1104" w:type="dxa"/>
            <w:vMerge/>
            <w:tcBorders>
              <w:top w:val="nil"/>
              <w:bottom w:val="single" w:sz="4" w:space="0" w:color="auto"/>
            </w:tcBorders>
          </w:tcPr>
          <w:p w:rsidR="00CB3031" w:rsidRPr="007E6400" w:rsidRDefault="00CB3031" w:rsidP="00570850">
            <w:pPr>
              <w:pStyle w:val="PlainText"/>
              <w:bidi w:val="0"/>
              <w:rPr>
                <w:rFonts w:ascii="Times New Roman" w:hAnsi="Times New Roman" w:cs="Times New Roman"/>
                <w:sz w:val="22"/>
                <w:szCs w:val="22"/>
              </w:rPr>
            </w:pPr>
          </w:p>
        </w:tc>
        <w:tc>
          <w:tcPr>
            <w:tcW w:w="1499" w:type="dxa"/>
            <w:vMerge/>
            <w:tcBorders>
              <w:top w:val="nil"/>
              <w:bottom w:val="single" w:sz="4" w:space="0" w:color="auto"/>
            </w:tcBorders>
          </w:tcPr>
          <w:p w:rsidR="00CB3031" w:rsidRPr="007E6400" w:rsidRDefault="00CB3031" w:rsidP="00570850">
            <w:pPr>
              <w:pStyle w:val="PlainText"/>
              <w:bidi w:val="0"/>
              <w:jc w:val="center"/>
              <w:rPr>
                <w:rFonts w:ascii="Times New Roman" w:hAnsi="Times New Roman" w:cs="Times New Roman"/>
                <w:sz w:val="22"/>
                <w:szCs w:val="22"/>
              </w:rPr>
            </w:pPr>
          </w:p>
        </w:tc>
        <w:tc>
          <w:tcPr>
            <w:tcW w:w="1465" w:type="dxa"/>
            <w:tcBorders>
              <w:top w:val="nil"/>
              <w:bottom w:val="single" w:sz="4" w:space="0" w:color="auto"/>
            </w:tcBorders>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E.C</w:t>
            </w:r>
          </w:p>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 (µbmhose/g)</w:t>
            </w:r>
          </w:p>
        </w:tc>
      </w:tr>
      <w:tr w:rsidR="00F62A25" w:rsidRPr="007E6400" w:rsidTr="00570850">
        <w:trPr>
          <w:jc w:val="center"/>
        </w:trPr>
        <w:tc>
          <w:tcPr>
            <w:tcW w:w="8174" w:type="dxa"/>
            <w:gridSpan w:val="7"/>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Effect of package</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p>
        </w:tc>
      </w:tr>
      <w:tr w:rsidR="00F62A25" w:rsidRPr="007E6400" w:rsidTr="00570850">
        <w:trPr>
          <w:jc w:val="center"/>
        </w:trPr>
        <w:tc>
          <w:tcPr>
            <w:tcW w:w="1295"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Jute</w:t>
            </w:r>
          </w:p>
        </w:tc>
        <w:tc>
          <w:tcPr>
            <w:tcW w:w="1574"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89.86</w:t>
            </w:r>
          </w:p>
        </w:tc>
        <w:tc>
          <w:tcPr>
            <w:tcW w:w="85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12.81 b</w:t>
            </w:r>
          </w:p>
        </w:tc>
        <w:tc>
          <w:tcPr>
            <w:tcW w:w="78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10.64 b</w:t>
            </w:r>
          </w:p>
        </w:tc>
        <w:tc>
          <w:tcPr>
            <w:tcW w:w="1063"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19.07 b</w:t>
            </w:r>
          </w:p>
        </w:tc>
        <w:tc>
          <w:tcPr>
            <w:tcW w:w="110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1.73 b</w:t>
            </w:r>
          </w:p>
        </w:tc>
        <w:tc>
          <w:tcPr>
            <w:tcW w:w="1499"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52.47 b</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20.50 a</w:t>
            </w:r>
          </w:p>
        </w:tc>
      </w:tr>
      <w:tr w:rsidR="00F62A25" w:rsidRPr="007E6400" w:rsidTr="00570850">
        <w:trPr>
          <w:jc w:val="center"/>
        </w:trPr>
        <w:tc>
          <w:tcPr>
            <w:tcW w:w="1295"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H.D.P</w:t>
            </w:r>
          </w:p>
        </w:tc>
        <w:tc>
          <w:tcPr>
            <w:tcW w:w="1574"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93.28</w:t>
            </w:r>
          </w:p>
        </w:tc>
        <w:tc>
          <w:tcPr>
            <w:tcW w:w="85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14.18 a</w:t>
            </w:r>
          </w:p>
        </w:tc>
        <w:tc>
          <w:tcPr>
            <w:tcW w:w="78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12.83 a</w:t>
            </w:r>
          </w:p>
        </w:tc>
        <w:tc>
          <w:tcPr>
            <w:tcW w:w="1063"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22.04 a</w:t>
            </w:r>
          </w:p>
        </w:tc>
        <w:tc>
          <w:tcPr>
            <w:tcW w:w="110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2.07 a </w:t>
            </w:r>
          </w:p>
        </w:tc>
        <w:tc>
          <w:tcPr>
            <w:tcW w:w="1499"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54.78 a</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17.72 b</w:t>
            </w:r>
          </w:p>
        </w:tc>
      </w:tr>
      <w:tr w:rsidR="00F62A25" w:rsidRPr="007E6400" w:rsidTr="00570850">
        <w:trPr>
          <w:jc w:val="center"/>
        </w:trPr>
        <w:tc>
          <w:tcPr>
            <w:tcW w:w="1295"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F. Test</w:t>
            </w:r>
          </w:p>
        </w:tc>
        <w:tc>
          <w:tcPr>
            <w:tcW w:w="1574"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 *</w:t>
            </w:r>
          </w:p>
        </w:tc>
        <w:tc>
          <w:tcPr>
            <w:tcW w:w="85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78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063"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 * </w:t>
            </w:r>
          </w:p>
        </w:tc>
        <w:tc>
          <w:tcPr>
            <w:tcW w:w="110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99"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r>
      <w:tr w:rsidR="00F62A25" w:rsidRPr="007E6400" w:rsidTr="00570850">
        <w:trPr>
          <w:jc w:val="center"/>
        </w:trPr>
        <w:tc>
          <w:tcPr>
            <w:tcW w:w="8174" w:type="dxa"/>
            <w:gridSpan w:val="7"/>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Effect of cultivar</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p>
        </w:tc>
      </w:tr>
      <w:tr w:rsidR="00F62A25" w:rsidRPr="007E6400" w:rsidTr="00570850">
        <w:trPr>
          <w:jc w:val="center"/>
        </w:trPr>
        <w:tc>
          <w:tcPr>
            <w:tcW w:w="1295"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Sakha 95</w:t>
            </w:r>
          </w:p>
        </w:tc>
        <w:tc>
          <w:tcPr>
            <w:tcW w:w="1574"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91.83 b</w:t>
            </w:r>
          </w:p>
        </w:tc>
        <w:tc>
          <w:tcPr>
            <w:tcW w:w="85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13.44 b</w:t>
            </w:r>
          </w:p>
        </w:tc>
        <w:tc>
          <w:tcPr>
            <w:tcW w:w="78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11.18 c</w:t>
            </w:r>
          </w:p>
        </w:tc>
        <w:tc>
          <w:tcPr>
            <w:tcW w:w="1063"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19.09 c</w:t>
            </w:r>
          </w:p>
        </w:tc>
        <w:tc>
          <w:tcPr>
            <w:tcW w:w="110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1.77 c</w:t>
            </w:r>
          </w:p>
        </w:tc>
        <w:tc>
          <w:tcPr>
            <w:tcW w:w="1499"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54.71 b</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18.10 c   </w:t>
            </w:r>
          </w:p>
        </w:tc>
      </w:tr>
      <w:tr w:rsidR="00F62A25" w:rsidRPr="007E6400" w:rsidTr="00570850">
        <w:trPr>
          <w:jc w:val="center"/>
        </w:trPr>
        <w:tc>
          <w:tcPr>
            <w:tcW w:w="1295"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Giza 171</w:t>
            </w:r>
          </w:p>
        </w:tc>
        <w:tc>
          <w:tcPr>
            <w:tcW w:w="1574"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93.33 a</w:t>
            </w:r>
          </w:p>
        </w:tc>
        <w:tc>
          <w:tcPr>
            <w:tcW w:w="85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14.50 a</w:t>
            </w:r>
          </w:p>
        </w:tc>
        <w:tc>
          <w:tcPr>
            <w:tcW w:w="78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11.78 b</w:t>
            </w:r>
          </w:p>
        </w:tc>
        <w:tc>
          <w:tcPr>
            <w:tcW w:w="1063"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20.21 b</w:t>
            </w:r>
          </w:p>
        </w:tc>
        <w:tc>
          <w:tcPr>
            <w:tcW w:w="110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1.90 b</w:t>
            </w:r>
          </w:p>
        </w:tc>
        <w:tc>
          <w:tcPr>
            <w:tcW w:w="1499"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56.08 a</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19.01 b</w:t>
            </w:r>
          </w:p>
        </w:tc>
      </w:tr>
      <w:tr w:rsidR="00F62A25" w:rsidRPr="007E6400" w:rsidTr="00570850">
        <w:trPr>
          <w:jc w:val="center"/>
        </w:trPr>
        <w:tc>
          <w:tcPr>
            <w:tcW w:w="1295"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Misr 1</w:t>
            </w:r>
          </w:p>
        </w:tc>
        <w:tc>
          <w:tcPr>
            <w:tcW w:w="1574"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89.54 c</w:t>
            </w:r>
          </w:p>
        </w:tc>
        <w:tc>
          <w:tcPr>
            <w:tcW w:w="85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12.53 c</w:t>
            </w:r>
          </w:p>
        </w:tc>
        <w:tc>
          <w:tcPr>
            <w:tcW w:w="78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12.26 a</w:t>
            </w:r>
          </w:p>
        </w:tc>
        <w:tc>
          <w:tcPr>
            <w:tcW w:w="1063"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22.36 a</w:t>
            </w:r>
          </w:p>
        </w:tc>
        <w:tc>
          <w:tcPr>
            <w:tcW w:w="110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2.03 a</w:t>
            </w:r>
          </w:p>
        </w:tc>
        <w:tc>
          <w:tcPr>
            <w:tcW w:w="1499"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50.08 c</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20.22 a</w:t>
            </w:r>
          </w:p>
        </w:tc>
      </w:tr>
      <w:tr w:rsidR="00F62A25" w:rsidRPr="007E6400" w:rsidTr="00570850">
        <w:trPr>
          <w:jc w:val="center"/>
        </w:trPr>
        <w:tc>
          <w:tcPr>
            <w:tcW w:w="1295"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F. Test</w:t>
            </w:r>
          </w:p>
        </w:tc>
        <w:tc>
          <w:tcPr>
            <w:tcW w:w="1574" w:type="dxa"/>
          </w:tcPr>
          <w:p w:rsidR="00CB3031" w:rsidRPr="007E6400" w:rsidRDefault="00CB3031" w:rsidP="00570850">
            <w:pPr>
              <w:pStyle w:val="PlainText"/>
              <w:bidi w:val="0"/>
              <w:rPr>
                <w:rFonts w:ascii="Times New Roman" w:hAnsi="Times New Roman" w:cs="Times New Roman"/>
                <w:sz w:val="22"/>
                <w:szCs w:val="22"/>
              </w:rPr>
            </w:pPr>
            <w:r w:rsidRPr="007E6400">
              <w:rPr>
                <w:rFonts w:ascii="Times New Roman" w:hAnsi="Times New Roman" w:cs="Times New Roman"/>
                <w:sz w:val="22"/>
                <w:szCs w:val="22"/>
              </w:rPr>
              <w:t>* *</w:t>
            </w:r>
          </w:p>
        </w:tc>
        <w:tc>
          <w:tcPr>
            <w:tcW w:w="85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 * </w:t>
            </w:r>
          </w:p>
        </w:tc>
        <w:tc>
          <w:tcPr>
            <w:tcW w:w="78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063"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xml:space="preserve">* * </w:t>
            </w:r>
          </w:p>
        </w:tc>
        <w:tc>
          <w:tcPr>
            <w:tcW w:w="1104"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99"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c>
          <w:tcPr>
            <w:tcW w:w="1465" w:type="dxa"/>
          </w:tcPr>
          <w:p w:rsidR="00CB3031" w:rsidRPr="007E6400" w:rsidRDefault="00CB3031" w:rsidP="00570850">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 *</w:t>
            </w:r>
          </w:p>
        </w:tc>
      </w:tr>
    </w:tbl>
    <w:p w:rsidR="00CB3031" w:rsidRPr="007E6400" w:rsidRDefault="00CB3031" w:rsidP="00CB3031">
      <w:pPr>
        <w:bidi w:val="0"/>
        <w:spacing w:after="0"/>
        <w:rPr>
          <w:rFonts w:ascii="Times New Roman" w:hAnsi="Times New Roman" w:cs="Times New Roman"/>
          <w:sz w:val="18"/>
          <w:szCs w:val="18"/>
        </w:rPr>
      </w:pPr>
      <w:r w:rsidRPr="007E6400">
        <w:rPr>
          <w:rFonts w:ascii="Times New Roman" w:hAnsi="Times New Roman" w:cs="Times New Roman"/>
          <w:sz w:val="18"/>
          <w:szCs w:val="18"/>
        </w:rPr>
        <w:t>**, * and NS indicated P&lt; 0.01, 0.05 and not significant, respectively.</w:t>
      </w:r>
    </w:p>
    <w:p w:rsidR="004809B9" w:rsidRPr="007E6400" w:rsidRDefault="004809B9" w:rsidP="004809B9">
      <w:pPr>
        <w:bidi w:val="0"/>
        <w:spacing w:before="240" w:after="120" w:line="240" w:lineRule="auto"/>
        <w:ind w:left="720" w:hanging="720"/>
        <w:jc w:val="both"/>
        <w:rPr>
          <w:rFonts w:ascii="Times New Roman" w:hAnsi="Times New Roman" w:cs="Times New Roman"/>
          <w:sz w:val="24"/>
          <w:szCs w:val="24"/>
        </w:rPr>
      </w:pPr>
      <w:r w:rsidRPr="007E6400">
        <w:rPr>
          <w:rFonts w:ascii="Times New Roman" w:hAnsi="Times New Roman" w:cs="Times New Roman"/>
          <w:b/>
          <w:bCs/>
          <w:i/>
          <w:iCs/>
          <w:sz w:val="24"/>
          <w:szCs w:val="24"/>
        </w:rPr>
        <w:t>Effect of cultivars</w:t>
      </w:r>
    </w:p>
    <w:p w:rsidR="00D92818" w:rsidRPr="007E6400" w:rsidRDefault="00FE481B" w:rsidP="00D92818">
      <w:pPr>
        <w:bidi w:val="0"/>
        <w:spacing w:before="120" w:after="0" w:line="240" w:lineRule="auto"/>
        <w:ind w:firstLine="720"/>
        <w:jc w:val="both"/>
        <w:rPr>
          <w:rFonts w:ascii="Times New Roman" w:hAnsi="Times New Roman" w:cs="Times New Roman"/>
          <w:sz w:val="26"/>
          <w:szCs w:val="26"/>
        </w:rPr>
      </w:pPr>
      <w:r w:rsidRPr="007E6400">
        <w:rPr>
          <w:rFonts w:ascii="Times New Roman" w:hAnsi="Times New Roman" w:cs="Times New Roman"/>
          <w:sz w:val="24"/>
          <w:szCs w:val="24"/>
        </w:rPr>
        <w:t>Table</w:t>
      </w:r>
      <w:r w:rsidR="004809B9" w:rsidRPr="007E6400">
        <w:rPr>
          <w:rFonts w:ascii="Times New Roman" w:hAnsi="Times New Roman" w:cs="Times New Roman"/>
          <w:sz w:val="24"/>
          <w:szCs w:val="24"/>
        </w:rPr>
        <w:t xml:space="preserve"> (</w:t>
      </w:r>
      <w:r w:rsidR="005D2C01" w:rsidRPr="007E6400">
        <w:rPr>
          <w:rFonts w:ascii="Times New Roman" w:hAnsi="Times New Roman" w:cs="Times New Roman"/>
          <w:sz w:val="24"/>
          <w:szCs w:val="24"/>
        </w:rPr>
        <w:t>2</w:t>
      </w:r>
      <w:r w:rsidR="004809B9" w:rsidRPr="007E6400">
        <w:rPr>
          <w:rFonts w:ascii="Times New Roman" w:hAnsi="Times New Roman" w:cs="Times New Roman"/>
          <w:sz w:val="24"/>
          <w:szCs w:val="24"/>
        </w:rPr>
        <w:t xml:space="preserve">) indicated that the germination percentage, seedling vigour (root length, shoot length and </w:t>
      </w:r>
      <w:proofErr w:type="gramStart"/>
      <w:r w:rsidR="004809B9" w:rsidRPr="007E6400">
        <w:rPr>
          <w:rFonts w:ascii="Times New Roman" w:hAnsi="Times New Roman" w:cs="Times New Roman"/>
          <w:sz w:val="24"/>
          <w:szCs w:val="24"/>
        </w:rPr>
        <w:t>S.D.W</w:t>
      </w:r>
      <w:r w:rsidR="00BC05F3" w:rsidRPr="007E6400">
        <w:rPr>
          <w:rFonts w:ascii="Times New Roman" w:hAnsi="Times New Roman" w:cs="Times New Roman"/>
          <w:sz w:val="24"/>
          <w:szCs w:val="24"/>
        </w:rPr>
        <w:t xml:space="preserve"> )</w:t>
      </w:r>
      <w:proofErr w:type="gramEnd"/>
      <w:r w:rsidR="004809B9" w:rsidRPr="007E6400">
        <w:rPr>
          <w:rFonts w:ascii="Times New Roman" w:hAnsi="Times New Roman" w:cs="Times New Roman"/>
          <w:sz w:val="24"/>
          <w:szCs w:val="24"/>
        </w:rPr>
        <w:t>, seedling vigor index</w:t>
      </w:r>
      <w:r w:rsidRPr="007E6400">
        <w:rPr>
          <w:rFonts w:ascii="Times New Roman" w:hAnsi="Times New Roman" w:cs="Times New Roman"/>
          <w:sz w:val="24"/>
          <w:szCs w:val="24"/>
        </w:rPr>
        <w:t>, seed index</w:t>
      </w:r>
      <w:r w:rsidR="004809B9" w:rsidRPr="007E6400">
        <w:rPr>
          <w:rFonts w:ascii="Times New Roman" w:hAnsi="Times New Roman" w:cs="Times New Roman"/>
          <w:sz w:val="24"/>
          <w:szCs w:val="24"/>
        </w:rPr>
        <w:t xml:space="preserve"> and E.C</w:t>
      </w:r>
      <w:r w:rsidR="001B0E97" w:rsidRPr="007E6400">
        <w:rPr>
          <w:rFonts w:ascii="Times New Roman" w:hAnsi="Times New Roman" w:cs="Times New Roman"/>
          <w:sz w:val="24"/>
          <w:szCs w:val="24"/>
        </w:rPr>
        <w:t xml:space="preserve"> </w:t>
      </w:r>
      <w:r w:rsidR="004809B9" w:rsidRPr="007E6400">
        <w:rPr>
          <w:rFonts w:ascii="Times New Roman" w:hAnsi="Times New Roman" w:cs="Times New Roman"/>
          <w:sz w:val="24"/>
          <w:szCs w:val="24"/>
        </w:rPr>
        <w:t>of wheat seeds were significantly affected by cultivars. Giza 1</w:t>
      </w:r>
      <w:r w:rsidR="001B0E97" w:rsidRPr="007E6400">
        <w:rPr>
          <w:rFonts w:ascii="Times New Roman" w:hAnsi="Times New Roman" w:cs="Times New Roman"/>
          <w:sz w:val="24"/>
          <w:szCs w:val="24"/>
        </w:rPr>
        <w:t>71</w:t>
      </w:r>
      <w:r w:rsidR="004809B9" w:rsidRPr="007E6400">
        <w:rPr>
          <w:rFonts w:ascii="Times New Roman" w:hAnsi="Times New Roman" w:cs="Times New Roman"/>
          <w:sz w:val="24"/>
          <w:szCs w:val="24"/>
        </w:rPr>
        <w:t xml:space="preserve"> was significantly higher in germination percentage, root length</w:t>
      </w:r>
      <w:r w:rsidR="001B0E97" w:rsidRPr="007E6400">
        <w:rPr>
          <w:rFonts w:ascii="Times New Roman" w:hAnsi="Times New Roman" w:cs="Times New Roman"/>
          <w:sz w:val="24"/>
          <w:szCs w:val="24"/>
        </w:rPr>
        <w:t xml:space="preserve"> and seed index 93.33 %, 14.50 cm and 56.08 g. </w:t>
      </w:r>
      <w:r w:rsidR="004809B9" w:rsidRPr="007E6400">
        <w:rPr>
          <w:rFonts w:ascii="Times New Roman" w:hAnsi="Times New Roman" w:cs="Times New Roman"/>
          <w:sz w:val="24"/>
          <w:szCs w:val="24"/>
        </w:rPr>
        <w:t xml:space="preserve"> </w:t>
      </w:r>
      <w:r w:rsidR="00BC05F3" w:rsidRPr="007E6400">
        <w:rPr>
          <w:rFonts w:ascii="Times New Roman" w:hAnsi="Times New Roman" w:cs="Times New Roman"/>
          <w:sz w:val="24"/>
          <w:szCs w:val="24"/>
        </w:rPr>
        <w:t>r</w:t>
      </w:r>
      <w:r w:rsidR="004809B9" w:rsidRPr="007E6400">
        <w:rPr>
          <w:rFonts w:ascii="Times New Roman" w:hAnsi="Times New Roman" w:cs="Times New Roman"/>
          <w:sz w:val="24"/>
          <w:szCs w:val="24"/>
        </w:rPr>
        <w:t>espectively</w:t>
      </w:r>
      <w:r w:rsidR="001B0E97" w:rsidRPr="007E6400">
        <w:rPr>
          <w:rFonts w:ascii="Times New Roman" w:hAnsi="Times New Roman" w:cs="Times New Roman"/>
          <w:sz w:val="24"/>
          <w:szCs w:val="24"/>
        </w:rPr>
        <w:t>.</w:t>
      </w:r>
      <w:r w:rsidR="00D14B6F" w:rsidRPr="007E6400">
        <w:rPr>
          <w:rFonts w:ascii="Times New Roman" w:hAnsi="Times New Roman" w:cs="Times New Roman"/>
          <w:sz w:val="24"/>
          <w:szCs w:val="24"/>
        </w:rPr>
        <w:t xml:space="preserve"> </w:t>
      </w:r>
      <w:r w:rsidR="004809B9" w:rsidRPr="007E6400">
        <w:rPr>
          <w:rFonts w:ascii="Times New Roman" w:hAnsi="Times New Roman" w:cs="Times New Roman"/>
          <w:sz w:val="24"/>
          <w:szCs w:val="24"/>
        </w:rPr>
        <w:t>In the meantime,</w:t>
      </w:r>
      <w:r w:rsidR="00D14B6F" w:rsidRPr="007E6400">
        <w:rPr>
          <w:rFonts w:ascii="Times New Roman" w:hAnsi="Times New Roman" w:cs="Times New Roman"/>
          <w:sz w:val="24"/>
          <w:szCs w:val="24"/>
        </w:rPr>
        <w:t xml:space="preserve"> Misr1 was significantly lower in germination, root length and seed index 89.54 %, 12.53 cm and 50.08g. Also,</w:t>
      </w:r>
      <w:r w:rsidR="004809B9" w:rsidRPr="007E6400">
        <w:rPr>
          <w:rFonts w:ascii="Times New Roman" w:hAnsi="Times New Roman" w:cs="Times New Roman"/>
          <w:sz w:val="24"/>
          <w:szCs w:val="24"/>
        </w:rPr>
        <w:t xml:space="preserve"> </w:t>
      </w:r>
      <w:r w:rsidR="001B0E97" w:rsidRPr="007E6400">
        <w:rPr>
          <w:rFonts w:ascii="Times New Roman" w:hAnsi="Times New Roman" w:cs="Times New Roman"/>
          <w:sz w:val="24"/>
          <w:szCs w:val="24"/>
        </w:rPr>
        <w:t>Misr 1</w:t>
      </w:r>
      <w:r w:rsidR="004809B9" w:rsidRPr="007E6400">
        <w:rPr>
          <w:rFonts w:ascii="Times New Roman" w:hAnsi="Times New Roman" w:cs="Times New Roman"/>
          <w:sz w:val="24"/>
          <w:szCs w:val="24"/>
        </w:rPr>
        <w:t xml:space="preserve"> was significantly </w:t>
      </w:r>
      <w:r w:rsidR="001B0E97" w:rsidRPr="007E6400">
        <w:rPr>
          <w:rFonts w:ascii="Times New Roman" w:hAnsi="Times New Roman" w:cs="Times New Roman"/>
          <w:sz w:val="24"/>
          <w:szCs w:val="24"/>
        </w:rPr>
        <w:t>lower</w:t>
      </w:r>
      <w:r w:rsidR="004809B9" w:rsidRPr="007E6400">
        <w:rPr>
          <w:rFonts w:ascii="Times New Roman" w:hAnsi="Times New Roman" w:cs="Times New Roman"/>
          <w:sz w:val="24"/>
          <w:szCs w:val="24"/>
        </w:rPr>
        <w:t xml:space="preserve"> viability [ by </w:t>
      </w:r>
      <w:r w:rsidR="001B0E97" w:rsidRPr="007E6400">
        <w:rPr>
          <w:rFonts w:ascii="Times New Roman" w:hAnsi="Times New Roman" w:cs="Times New Roman"/>
          <w:sz w:val="24"/>
          <w:szCs w:val="24"/>
        </w:rPr>
        <w:t>inc</w:t>
      </w:r>
      <w:r w:rsidR="004809B9" w:rsidRPr="007E6400">
        <w:rPr>
          <w:rFonts w:ascii="Times New Roman" w:hAnsi="Times New Roman" w:cs="Times New Roman"/>
          <w:sz w:val="24"/>
          <w:szCs w:val="24"/>
        </w:rPr>
        <w:t xml:space="preserve">reasing EC value]. </w:t>
      </w:r>
      <w:r w:rsidR="00D14B6F" w:rsidRPr="007E6400">
        <w:rPr>
          <w:rFonts w:ascii="Times New Roman" w:hAnsi="Times New Roman" w:cs="Times New Roman"/>
          <w:sz w:val="26"/>
          <w:szCs w:val="26"/>
        </w:rPr>
        <w:t>On the other hand, Misr 1 was significantly higher in shoot length, S.D.W and S.V.I 12.26</w:t>
      </w:r>
      <w:r w:rsidR="00692FEA" w:rsidRPr="007E6400">
        <w:rPr>
          <w:rFonts w:ascii="Times New Roman" w:hAnsi="Times New Roman" w:cs="Times New Roman"/>
          <w:sz w:val="26"/>
          <w:szCs w:val="26"/>
        </w:rPr>
        <w:t xml:space="preserve"> cm</w:t>
      </w:r>
      <w:r w:rsidR="00D14B6F" w:rsidRPr="007E6400">
        <w:rPr>
          <w:rFonts w:ascii="Times New Roman" w:hAnsi="Times New Roman" w:cs="Times New Roman"/>
          <w:sz w:val="26"/>
          <w:szCs w:val="26"/>
        </w:rPr>
        <w:t>, 22.36</w:t>
      </w:r>
      <w:r w:rsidR="00692FEA" w:rsidRPr="007E6400">
        <w:rPr>
          <w:rFonts w:ascii="Times New Roman" w:hAnsi="Times New Roman" w:cs="Times New Roman"/>
          <w:sz w:val="26"/>
          <w:szCs w:val="26"/>
        </w:rPr>
        <w:t xml:space="preserve"> </w:t>
      </w:r>
      <w:r w:rsidR="00BC05F3" w:rsidRPr="007E6400">
        <w:rPr>
          <w:rFonts w:ascii="Times New Roman" w:hAnsi="Times New Roman" w:cs="Times New Roman"/>
          <w:sz w:val="26"/>
          <w:szCs w:val="26"/>
        </w:rPr>
        <w:t>mg</w:t>
      </w:r>
      <w:r w:rsidR="00D14B6F" w:rsidRPr="007E6400">
        <w:rPr>
          <w:rFonts w:ascii="Times New Roman" w:hAnsi="Times New Roman" w:cs="Times New Roman"/>
          <w:sz w:val="26"/>
          <w:szCs w:val="26"/>
        </w:rPr>
        <w:t xml:space="preserve">. and 2.03, </w:t>
      </w:r>
      <w:r w:rsidR="00D92818" w:rsidRPr="007E6400">
        <w:rPr>
          <w:rFonts w:ascii="Times New Roman" w:hAnsi="Times New Roman" w:cs="Times New Roman"/>
          <w:sz w:val="24"/>
          <w:szCs w:val="24"/>
        </w:rPr>
        <w:t>respectively</w:t>
      </w:r>
      <w:r w:rsidR="00D92818" w:rsidRPr="007E6400">
        <w:rPr>
          <w:rFonts w:ascii="Times New Roman" w:hAnsi="Times New Roman" w:cs="Times New Roman"/>
          <w:sz w:val="26"/>
          <w:szCs w:val="26"/>
        </w:rPr>
        <w:t>. These results are similar to those recorded by Omar et al., (2012), El-Sayed et al (2018)</w:t>
      </w:r>
      <w:r w:rsidR="00001C50" w:rsidRPr="007E6400">
        <w:rPr>
          <w:rFonts w:ascii="Times New Roman" w:hAnsi="Times New Roman" w:cs="Times New Roman"/>
          <w:sz w:val="26"/>
          <w:szCs w:val="26"/>
        </w:rPr>
        <w:t>,</w:t>
      </w:r>
      <w:r w:rsidR="00D92818" w:rsidRPr="007E6400">
        <w:rPr>
          <w:rFonts w:ascii="Times New Roman" w:hAnsi="Times New Roman" w:cs="Times New Roman"/>
          <w:sz w:val="26"/>
          <w:szCs w:val="26"/>
        </w:rPr>
        <w:t xml:space="preserve"> Ibrahim (2023)</w:t>
      </w:r>
      <w:r w:rsidR="00001C50" w:rsidRPr="007E6400">
        <w:rPr>
          <w:rFonts w:ascii="Times New Roman" w:hAnsi="Times New Roman" w:cs="Times New Roman"/>
          <w:sz w:val="26"/>
          <w:szCs w:val="26"/>
        </w:rPr>
        <w:t xml:space="preserve"> and Li (2023)</w:t>
      </w:r>
      <w:r w:rsidR="00D92818" w:rsidRPr="007E6400">
        <w:rPr>
          <w:rFonts w:ascii="Times New Roman" w:hAnsi="Times New Roman" w:cs="Times New Roman"/>
          <w:sz w:val="26"/>
          <w:szCs w:val="26"/>
        </w:rPr>
        <w:t>.</w:t>
      </w:r>
    </w:p>
    <w:p w:rsidR="00745FB2" w:rsidRPr="007E6400" w:rsidRDefault="00745FB2" w:rsidP="00D92818">
      <w:pPr>
        <w:bidi w:val="0"/>
        <w:spacing w:before="120" w:after="0" w:line="240" w:lineRule="auto"/>
        <w:ind w:firstLine="720"/>
        <w:jc w:val="both"/>
        <w:rPr>
          <w:rFonts w:ascii="Times New Roman" w:hAnsi="Times New Roman" w:cs="Times New Roman"/>
          <w:sz w:val="26"/>
          <w:szCs w:val="26"/>
        </w:rPr>
      </w:pPr>
    </w:p>
    <w:p w:rsidR="00E74144" w:rsidRPr="007E6400" w:rsidRDefault="00E74144" w:rsidP="00745FB2">
      <w:pPr>
        <w:bidi w:val="0"/>
        <w:spacing w:before="120" w:after="60" w:line="240" w:lineRule="auto"/>
        <w:jc w:val="both"/>
        <w:rPr>
          <w:rFonts w:ascii="Times New Roman" w:hAnsi="Times New Roman" w:cs="Times New Roman"/>
          <w:b/>
          <w:bCs/>
          <w:i/>
          <w:iCs/>
          <w:sz w:val="24"/>
          <w:szCs w:val="24"/>
        </w:rPr>
      </w:pPr>
      <w:r w:rsidRPr="007E6400">
        <w:rPr>
          <w:rFonts w:ascii="Times New Roman" w:hAnsi="Times New Roman" w:cs="Times New Roman"/>
          <w:b/>
          <w:bCs/>
          <w:i/>
          <w:iCs/>
          <w:sz w:val="24"/>
          <w:szCs w:val="24"/>
        </w:rPr>
        <w:t>Effect of interaction</w:t>
      </w:r>
    </w:p>
    <w:p w:rsidR="00302B5A" w:rsidRPr="007E6400" w:rsidRDefault="00302B5A" w:rsidP="00745FB2">
      <w:pPr>
        <w:bidi w:val="0"/>
        <w:rPr>
          <w:rFonts w:ascii="Times New Roman" w:hAnsi="Times New Roman" w:cs="Times New Roman"/>
          <w:lang w:bidi="ar-EG"/>
        </w:rPr>
        <w:sectPr w:rsidR="00302B5A" w:rsidRPr="007E6400" w:rsidSect="002C1799">
          <w:pgSz w:w="11906" w:h="16838"/>
          <w:pgMar w:top="1440" w:right="1800" w:bottom="1440" w:left="1800" w:header="708" w:footer="708" w:gutter="0"/>
          <w:cols w:space="708"/>
          <w:bidi/>
          <w:rtlGutter/>
          <w:docGrid w:linePitch="360"/>
        </w:sectPr>
      </w:pPr>
    </w:p>
    <w:p w:rsidR="00933454" w:rsidRPr="007E6400" w:rsidRDefault="00933454" w:rsidP="00933454">
      <w:pPr>
        <w:bidi w:val="0"/>
        <w:spacing w:before="240" w:after="0" w:line="240" w:lineRule="auto"/>
        <w:ind w:firstLine="720"/>
        <w:jc w:val="both"/>
        <w:rPr>
          <w:rFonts w:ascii="Times New Roman" w:hAnsi="Times New Roman" w:cs="Times New Roman"/>
          <w:sz w:val="24"/>
          <w:szCs w:val="24"/>
        </w:rPr>
      </w:pPr>
      <w:r w:rsidRPr="007E6400">
        <w:rPr>
          <w:rFonts w:ascii="Times New Roman" w:hAnsi="Times New Roman" w:cs="Times New Roman"/>
          <w:sz w:val="24"/>
          <w:szCs w:val="24"/>
        </w:rPr>
        <w:t xml:space="preserve">The interaction effect between storage time and Treatment according to data collected is presented in Fig. (1-2). The highest seed index and viability (by decrease E.C value,) was recorded from seeds stored from normal treatment after </w:t>
      </w:r>
      <w:r w:rsidR="00FE481B" w:rsidRPr="007E6400">
        <w:rPr>
          <w:rFonts w:ascii="Times New Roman" w:hAnsi="Times New Roman" w:cs="Times New Roman"/>
          <w:sz w:val="24"/>
          <w:szCs w:val="24"/>
        </w:rPr>
        <w:t>3</w:t>
      </w:r>
      <w:r w:rsidRPr="007E6400">
        <w:rPr>
          <w:rFonts w:ascii="Times New Roman" w:hAnsi="Times New Roman" w:cs="Times New Roman"/>
          <w:sz w:val="24"/>
          <w:szCs w:val="24"/>
        </w:rPr>
        <w:t xml:space="preserve">, and 6 months </w:t>
      </w:r>
      <w:proofErr w:type="gramStart"/>
      <w:r w:rsidRPr="007E6400">
        <w:rPr>
          <w:rFonts w:ascii="Times New Roman" w:hAnsi="Times New Roman" w:cs="Times New Roman"/>
          <w:sz w:val="24"/>
          <w:szCs w:val="24"/>
        </w:rPr>
        <w:t>storage .</w:t>
      </w:r>
      <w:proofErr w:type="gramEnd"/>
    </w:p>
    <w:p w:rsidR="00966E4D" w:rsidRPr="007E6400" w:rsidRDefault="00966E4D" w:rsidP="00966E4D">
      <w:pPr>
        <w:bidi w:val="0"/>
        <w:spacing w:after="0" w:line="240" w:lineRule="auto"/>
        <w:ind w:left="567" w:hanging="567"/>
        <w:rPr>
          <w:rFonts w:ascii="Times New Roman" w:eastAsia="Times New Roman" w:hAnsi="Times New Roman" w:cs="Times New Roman"/>
        </w:rPr>
      </w:pPr>
    </w:p>
    <w:p w:rsidR="007E0500" w:rsidRPr="007E6400" w:rsidRDefault="007E0500" w:rsidP="00F07B0F">
      <w:pPr>
        <w:bidi w:val="0"/>
        <w:spacing w:after="0" w:line="240" w:lineRule="auto"/>
        <w:rPr>
          <w:rFonts w:ascii="Times New Roman" w:eastAsia="Times New Roman" w:hAnsi="Times New Roman" w:cs="Times New Roman"/>
        </w:rPr>
        <w:sectPr w:rsidR="007E0500" w:rsidRPr="007E6400" w:rsidSect="007F0B2C">
          <w:type w:val="continuous"/>
          <w:pgSz w:w="11906" w:h="16838"/>
          <w:pgMar w:top="1440" w:right="1800" w:bottom="1440" w:left="1800" w:header="708" w:footer="708" w:gutter="0"/>
          <w:cols w:space="709"/>
          <w:bidi/>
          <w:rtlGutter/>
          <w:docGrid w:linePitch="360"/>
        </w:sectPr>
      </w:pPr>
    </w:p>
    <w:p w:rsidR="00910D8A" w:rsidRPr="007E6400" w:rsidRDefault="005F5F88" w:rsidP="00F07B0F">
      <w:pPr>
        <w:bidi w:val="0"/>
        <w:rPr>
          <w:rFonts w:ascii="Times New Roman" w:hAnsi="Times New Roman" w:cs="Times New Roman"/>
          <w:lang w:bidi="ar-EG"/>
        </w:rPr>
      </w:pPr>
      <w:r w:rsidRPr="007E6400">
        <w:rPr>
          <w:noProof/>
        </w:rPr>
        <w:drawing>
          <wp:inline distT="0" distB="0" distL="0" distR="0" wp14:anchorId="09CBD3A0" wp14:editId="6B826622">
            <wp:extent cx="2417197" cy="1598212"/>
            <wp:effectExtent l="0" t="0" r="21590" b="215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F1ACB" w:rsidRPr="007E6400">
        <w:rPr>
          <w:rFonts w:ascii="Times New Roman" w:eastAsia="Times New Roman" w:hAnsi="Times New Roman" w:cs="Times New Roman"/>
        </w:rPr>
        <w:t>Fig (</w:t>
      </w:r>
      <w:r w:rsidR="00910D8A" w:rsidRPr="007E6400">
        <w:rPr>
          <w:rFonts w:ascii="Times New Roman" w:eastAsia="Times New Roman" w:hAnsi="Times New Roman" w:cs="Times New Roman"/>
        </w:rPr>
        <w:t xml:space="preserve">2): Effect of </w:t>
      </w:r>
      <w:proofErr w:type="gramStart"/>
      <w:r w:rsidR="00910D8A" w:rsidRPr="007E6400">
        <w:rPr>
          <w:rFonts w:ascii="Times New Roman" w:eastAsia="Times New Roman" w:hAnsi="Times New Roman" w:cs="Times New Roman"/>
        </w:rPr>
        <w:t>interaction  between</w:t>
      </w:r>
      <w:proofErr w:type="gramEnd"/>
      <w:r w:rsidR="00910D8A" w:rsidRPr="007E6400">
        <w:rPr>
          <w:rFonts w:ascii="Times New Roman" w:eastAsia="Times New Roman" w:hAnsi="Times New Roman" w:cs="Times New Roman"/>
        </w:rPr>
        <w:t xml:space="preserve"> </w:t>
      </w:r>
      <w:r w:rsidR="00FF1ACB" w:rsidRPr="007E6400">
        <w:rPr>
          <w:rFonts w:ascii="Times New Roman" w:eastAsia="Times New Roman" w:hAnsi="Times New Roman" w:cs="Times New Roman"/>
        </w:rPr>
        <w:t>storage p</w:t>
      </w:r>
      <w:r w:rsidR="00910D8A" w:rsidRPr="007E6400">
        <w:rPr>
          <w:rFonts w:ascii="Times New Roman" w:eastAsia="Times New Roman" w:hAnsi="Times New Roman" w:cs="Times New Roman"/>
        </w:rPr>
        <w:t xml:space="preserve">eriod </w:t>
      </w:r>
      <w:r w:rsidR="00FF1ACB" w:rsidRPr="007E6400">
        <w:rPr>
          <w:rFonts w:ascii="Times New Roman" w:eastAsia="Times New Roman" w:hAnsi="Times New Roman" w:cs="Times New Roman"/>
        </w:rPr>
        <w:t xml:space="preserve">and treat </w:t>
      </w:r>
      <w:r w:rsidR="00910D8A" w:rsidRPr="007E6400">
        <w:rPr>
          <w:rFonts w:ascii="Times New Roman" w:eastAsia="Times New Roman" w:hAnsi="Times New Roman" w:cs="Times New Roman"/>
        </w:rPr>
        <w:t>on seed index</w:t>
      </w:r>
    </w:p>
    <w:p w:rsidR="00302B5A" w:rsidRPr="007E6400" w:rsidRDefault="00302B5A" w:rsidP="00302B5A">
      <w:pPr>
        <w:bidi w:val="0"/>
        <w:spacing w:before="120" w:after="60" w:line="240" w:lineRule="auto"/>
        <w:jc w:val="both"/>
        <w:rPr>
          <w:rFonts w:ascii="Times New Roman" w:eastAsia="Times New Roman" w:hAnsi="Times New Roman" w:cs="Times New Roman"/>
        </w:rPr>
      </w:pPr>
    </w:p>
    <w:p w:rsidR="00302B5A" w:rsidRPr="007E6400" w:rsidRDefault="005F5F88" w:rsidP="00302B5A">
      <w:pPr>
        <w:bidi w:val="0"/>
        <w:spacing w:before="120" w:after="60" w:line="240" w:lineRule="auto"/>
        <w:jc w:val="both"/>
        <w:rPr>
          <w:rFonts w:ascii="Times New Roman" w:eastAsia="Times New Roman" w:hAnsi="Times New Roman" w:cs="Times New Roman"/>
        </w:rPr>
      </w:pPr>
      <w:r w:rsidRPr="007E6400">
        <w:rPr>
          <w:noProof/>
        </w:rPr>
        <w:drawing>
          <wp:inline distT="0" distB="0" distL="0" distR="0" wp14:anchorId="04950B5C" wp14:editId="64E17633">
            <wp:extent cx="2411730" cy="1565564"/>
            <wp:effectExtent l="0" t="0" r="2667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0B2C" w:rsidRPr="007E6400" w:rsidRDefault="007F0B2C" w:rsidP="007E0500">
      <w:pPr>
        <w:bidi w:val="0"/>
        <w:spacing w:after="0" w:line="240" w:lineRule="auto"/>
        <w:ind w:left="567" w:hanging="567"/>
        <w:rPr>
          <w:rFonts w:ascii="Times New Roman" w:eastAsia="Times New Roman" w:hAnsi="Times New Roman" w:cs="Times New Roman"/>
        </w:rPr>
      </w:pPr>
      <w:r w:rsidRPr="007E6400">
        <w:rPr>
          <w:rFonts w:ascii="Times New Roman" w:eastAsia="Times New Roman" w:hAnsi="Times New Roman" w:cs="Times New Roman"/>
        </w:rPr>
        <w:t>Fig (</w:t>
      </w:r>
      <w:r w:rsidR="007E0500" w:rsidRPr="007E6400">
        <w:rPr>
          <w:rFonts w:ascii="Times New Roman" w:eastAsia="Times New Roman" w:hAnsi="Times New Roman" w:cs="Times New Roman"/>
        </w:rPr>
        <w:t>1</w:t>
      </w:r>
      <w:r w:rsidRPr="007E6400">
        <w:rPr>
          <w:rFonts w:ascii="Times New Roman" w:eastAsia="Times New Roman" w:hAnsi="Times New Roman" w:cs="Times New Roman"/>
        </w:rPr>
        <w:t xml:space="preserve">): Effect of interaction  </w:t>
      </w:r>
      <w:r w:rsidR="00BC05F3" w:rsidRPr="007E6400">
        <w:rPr>
          <w:rFonts w:ascii="Times New Roman" w:eastAsia="Times New Roman" w:hAnsi="Times New Roman" w:cs="Times New Roman"/>
        </w:rPr>
        <w:t xml:space="preserve"> </w:t>
      </w:r>
      <w:r w:rsidRPr="007E6400">
        <w:rPr>
          <w:rFonts w:ascii="Times New Roman" w:eastAsia="Times New Roman" w:hAnsi="Times New Roman" w:cs="Times New Roman"/>
        </w:rPr>
        <w:t>between</w:t>
      </w:r>
      <w:r w:rsidR="00FF1ACB" w:rsidRPr="007E6400">
        <w:rPr>
          <w:rFonts w:ascii="Times New Roman" w:eastAsia="Times New Roman" w:hAnsi="Times New Roman" w:cs="Times New Roman"/>
        </w:rPr>
        <w:t xml:space="preserve"> storage</w:t>
      </w:r>
      <w:r w:rsidRPr="007E6400">
        <w:rPr>
          <w:rFonts w:ascii="Times New Roman" w:eastAsia="Times New Roman" w:hAnsi="Times New Roman" w:cs="Times New Roman"/>
        </w:rPr>
        <w:t xml:space="preserve"> period and </w:t>
      </w:r>
      <w:proofErr w:type="gramStart"/>
      <w:r w:rsidRPr="007E6400">
        <w:rPr>
          <w:rFonts w:ascii="Times New Roman" w:eastAsia="Times New Roman" w:hAnsi="Times New Roman" w:cs="Times New Roman"/>
        </w:rPr>
        <w:t>treat  on</w:t>
      </w:r>
      <w:proofErr w:type="gramEnd"/>
      <w:r w:rsidRPr="007E6400">
        <w:rPr>
          <w:rFonts w:ascii="Times New Roman" w:eastAsia="Times New Roman" w:hAnsi="Times New Roman" w:cs="Times New Roman"/>
        </w:rPr>
        <w:t xml:space="preserve"> (E.C)</w:t>
      </w:r>
    </w:p>
    <w:p w:rsidR="00302B5A" w:rsidRPr="007E6400" w:rsidRDefault="00302B5A" w:rsidP="00302B5A">
      <w:pPr>
        <w:bidi w:val="0"/>
        <w:spacing w:before="120" w:after="60" w:line="240" w:lineRule="auto"/>
        <w:jc w:val="both"/>
        <w:rPr>
          <w:rFonts w:ascii="Times New Roman" w:eastAsia="Times New Roman" w:hAnsi="Times New Roman" w:cs="Times New Roman"/>
        </w:rPr>
      </w:pPr>
    </w:p>
    <w:p w:rsidR="00933454" w:rsidRPr="007E6400" w:rsidRDefault="00933454" w:rsidP="00302B5A">
      <w:pPr>
        <w:bidi w:val="0"/>
        <w:spacing w:before="120" w:after="60" w:line="240" w:lineRule="auto"/>
        <w:jc w:val="both"/>
        <w:rPr>
          <w:rFonts w:ascii="Times New Roman" w:eastAsia="Times New Roman" w:hAnsi="Times New Roman" w:cs="Times New Roman"/>
        </w:rPr>
        <w:sectPr w:rsidR="00933454" w:rsidRPr="007E6400" w:rsidSect="007F0B2C">
          <w:type w:val="continuous"/>
          <w:pgSz w:w="11906" w:h="16838"/>
          <w:pgMar w:top="1440" w:right="1800" w:bottom="1440" w:left="1800" w:header="708" w:footer="708" w:gutter="0"/>
          <w:cols w:num="2" w:space="709"/>
          <w:bidi/>
          <w:rtlGutter/>
          <w:docGrid w:linePitch="360"/>
        </w:sectPr>
      </w:pPr>
    </w:p>
    <w:p w:rsidR="00634F1A" w:rsidRPr="007E6400" w:rsidRDefault="00FE481B" w:rsidP="000843BE">
      <w:pPr>
        <w:bidi w:val="0"/>
        <w:spacing w:after="0" w:line="240" w:lineRule="auto"/>
        <w:ind w:firstLine="720"/>
        <w:jc w:val="both"/>
        <w:rPr>
          <w:rFonts w:ascii="Times New Roman" w:hAnsi="Times New Roman" w:cs="Times New Roman"/>
          <w:sz w:val="24"/>
          <w:szCs w:val="24"/>
        </w:rPr>
      </w:pPr>
      <w:r w:rsidRPr="007E6400">
        <w:rPr>
          <w:rFonts w:ascii="Times New Roman" w:hAnsi="Times New Roman" w:cs="Times New Roman"/>
          <w:sz w:val="24"/>
          <w:szCs w:val="24"/>
        </w:rPr>
        <w:lastRenderedPageBreak/>
        <w:t>Regarding the</w:t>
      </w:r>
      <w:r w:rsidR="00634F1A" w:rsidRPr="007E6400">
        <w:rPr>
          <w:rFonts w:ascii="Times New Roman" w:hAnsi="Times New Roman" w:cs="Times New Roman"/>
          <w:sz w:val="24"/>
          <w:szCs w:val="24"/>
        </w:rPr>
        <w:t xml:space="preserve"> interaction between storage time and package material (Fig.</w:t>
      </w:r>
      <w:r w:rsidR="00F54D1D" w:rsidRPr="007E6400">
        <w:rPr>
          <w:rFonts w:ascii="Times New Roman" w:hAnsi="Times New Roman" w:cs="Times New Roman"/>
          <w:sz w:val="24"/>
          <w:szCs w:val="24"/>
        </w:rPr>
        <w:t>3-</w:t>
      </w:r>
      <w:r w:rsidR="00256CEA" w:rsidRPr="007E6400">
        <w:rPr>
          <w:rFonts w:ascii="Times New Roman" w:hAnsi="Times New Roman" w:cs="Times New Roman"/>
          <w:sz w:val="24"/>
          <w:szCs w:val="24"/>
        </w:rPr>
        <w:t>6</w:t>
      </w:r>
      <w:proofErr w:type="gramStart"/>
      <w:r w:rsidRPr="007E6400">
        <w:rPr>
          <w:rFonts w:ascii="Times New Roman" w:hAnsi="Times New Roman" w:cs="Times New Roman"/>
          <w:sz w:val="24"/>
          <w:szCs w:val="24"/>
        </w:rPr>
        <w:t xml:space="preserve">) </w:t>
      </w:r>
      <w:r w:rsidR="00634F1A" w:rsidRPr="007E6400">
        <w:rPr>
          <w:rFonts w:ascii="Times New Roman" w:hAnsi="Times New Roman" w:cs="Times New Roman"/>
          <w:sz w:val="24"/>
          <w:szCs w:val="24"/>
        </w:rPr>
        <w:t xml:space="preserve"> revealed</w:t>
      </w:r>
      <w:proofErr w:type="gramEnd"/>
      <w:r w:rsidR="00634F1A" w:rsidRPr="007E6400">
        <w:rPr>
          <w:rFonts w:ascii="Times New Roman" w:hAnsi="Times New Roman" w:cs="Times New Roman"/>
          <w:sz w:val="24"/>
          <w:szCs w:val="24"/>
        </w:rPr>
        <w:t xml:space="preserve"> that </w:t>
      </w:r>
      <w:r w:rsidR="00BA2544" w:rsidRPr="007E6400">
        <w:rPr>
          <w:rFonts w:ascii="Times New Roman" w:hAnsi="Times New Roman" w:cs="Times New Roman"/>
          <w:sz w:val="24"/>
          <w:szCs w:val="24"/>
        </w:rPr>
        <w:t>t</w:t>
      </w:r>
      <w:r w:rsidR="00634F1A" w:rsidRPr="007E6400">
        <w:rPr>
          <w:rFonts w:ascii="Times New Roman" w:hAnsi="Times New Roman" w:cs="Times New Roman"/>
          <w:sz w:val="24"/>
          <w:szCs w:val="24"/>
        </w:rPr>
        <w:t>he highest seedling vigor index (S.V.I)</w:t>
      </w:r>
      <w:r w:rsidR="00875498" w:rsidRPr="007E6400">
        <w:rPr>
          <w:rFonts w:ascii="Times New Roman" w:hAnsi="Times New Roman" w:cs="Times New Roman"/>
          <w:sz w:val="24"/>
          <w:szCs w:val="24"/>
        </w:rPr>
        <w:t>,</w:t>
      </w:r>
      <w:r w:rsidR="00634F1A" w:rsidRPr="007E6400">
        <w:rPr>
          <w:rFonts w:ascii="Times New Roman" w:hAnsi="Times New Roman" w:cs="Times New Roman"/>
          <w:sz w:val="24"/>
          <w:szCs w:val="24"/>
        </w:rPr>
        <w:t xml:space="preserve"> seed viability (by decrease E.C value)</w:t>
      </w:r>
      <w:r w:rsidR="00EA446C" w:rsidRPr="007E6400">
        <w:rPr>
          <w:rFonts w:ascii="Times New Roman" w:hAnsi="Times New Roman" w:cs="Times New Roman"/>
          <w:sz w:val="24"/>
          <w:szCs w:val="24"/>
        </w:rPr>
        <w:t>, S.D.W and seed index</w:t>
      </w:r>
      <w:r w:rsidR="00634F1A" w:rsidRPr="007E6400">
        <w:rPr>
          <w:rFonts w:ascii="Times New Roman" w:hAnsi="Times New Roman" w:cs="Times New Roman"/>
          <w:sz w:val="24"/>
          <w:szCs w:val="24"/>
        </w:rPr>
        <w:t xml:space="preserve"> was recorded from seeds stored inside H.D.P</w:t>
      </w:r>
      <w:r w:rsidR="00875498" w:rsidRPr="007E6400">
        <w:rPr>
          <w:rFonts w:ascii="Times New Roman" w:hAnsi="Times New Roman" w:cs="Times New Roman"/>
          <w:sz w:val="24"/>
          <w:szCs w:val="24"/>
        </w:rPr>
        <w:t xml:space="preserve"> package</w:t>
      </w:r>
      <w:r w:rsidR="00634F1A" w:rsidRPr="007E6400">
        <w:rPr>
          <w:rFonts w:ascii="Times New Roman" w:hAnsi="Times New Roman" w:cs="Times New Roman"/>
          <w:sz w:val="24"/>
          <w:szCs w:val="24"/>
        </w:rPr>
        <w:t xml:space="preserve"> after </w:t>
      </w:r>
      <w:r w:rsidRPr="007E6400">
        <w:rPr>
          <w:rFonts w:ascii="Times New Roman" w:hAnsi="Times New Roman" w:cs="Times New Roman"/>
          <w:sz w:val="24"/>
          <w:szCs w:val="24"/>
        </w:rPr>
        <w:t>3</w:t>
      </w:r>
      <w:r w:rsidR="00BA2544" w:rsidRPr="007E6400">
        <w:rPr>
          <w:rFonts w:ascii="Times New Roman" w:hAnsi="Times New Roman" w:cs="Times New Roman"/>
          <w:sz w:val="24"/>
          <w:szCs w:val="24"/>
        </w:rPr>
        <w:t xml:space="preserve"> and 6</w:t>
      </w:r>
      <w:r w:rsidR="00634F1A" w:rsidRPr="007E6400">
        <w:rPr>
          <w:rFonts w:ascii="Times New Roman" w:hAnsi="Times New Roman" w:cs="Times New Roman"/>
          <w:sz w:val="24"/>
          <w:szCs w:val="24"/>
        </w:rPr>
        <w:t xml:space="preserve"> months of storage. Fig. (</w:t>
      </w:r>
      <w:r w:rsidR="00BA2544" w:rsidRPr="007E6400">
        <w:rPr>
          <w:rFonts w:ascii="Times New Roman" w:hAnsi="Times New Roman" w:cs="Times New Roman"/>
          <w:sz w:val="24"/>
          <w:szCs w:val="24"/>
        </w:rPr>
        <w:t>3</w:t>
      </w:r>
      <w:r w:rsidR="00634F1A" w:rsidRPr="007E6400">
        <w:rPr>
          <w:rFonts w:ascii="Times New Roman" w:hAnsi="Times New Roman" w:cs="Times New Roman"/>
          <w:sz w:val="24"/>
          <w:szCs w:val="24"/>
        </w:rPr>
        <w:t>-</w:t>
      </w:r>
      <w:r w:rsidR="00256CEA" w:rsidRPr="007E6400">
        <w:rPr>
          <w:rFonts w:ascii="Times New Roman" w:hAnsi="Times New Roman" w:cs="Times New Roman"/>
          <w:sz w:val="24"/>
          <w:szCs w:val="24"/>
        </w:rPr>
        <w:t>6</w:t>
      </w:r>
      <w:r w:rsidR="00634F1A" w:rsidRPr="007E6400">
        <w:rPr>
          <w:rFonts w:ascii="Times New Roman" w:hAnsi="Times New Roman" w:cs="Times New Roman"/>
          <w:sz w:val="24"/>
          <w:szCs w:val="24"/>
        </w:rPr>
        <w:t>) observed a decline in (S.V.I</w:t>
      </w:r>
      <w:proofErr w:type="gramStart"/>
      <w:r w:rsidR="00634F1A" w:rsidRPr="007E6400">
        <w:rPr>
          <w:rFonts w:ascii="Times New Roman" w:hAnsi="Times New Roman" w:cs="Times New Roman"/>
          <w:sz w:val="24"/>
          <w:szCs w:val="24"/>
        </w:rPr>
        <w:t>)</w:t>
      </w:r>
      <w:r w:rsidR="00256CEA" w:rsidRPr="007E6400">
        <w:rPr>
          <w:rFonts w:ascii="Times New Roman" w:hAnsi="Times New Roman" w:cs="Times New Roman"/>
          <w:sz w:val="24"/>
          <w:szCs w:val="24"/>
        </w:rPr>
        <w:t>,S</w:t>
      </w:r>
      <w:proofErr w:type="gramEnd"/>
      <w:r w:rsidR="00256CEA" w:rsidRPr="007E6400">
        <w:rPr>
          <w:rFonts w:ascii="Times New Roman" w:hAnsi="Times New Roman" w:cs="Times New Roman"/>
          <w:sz w:val="24"/>
          <w:szCs w:val="24"/>
        </w:rPr>
        <w:t>.D.W, seed index</w:t>
      </w:r>
      <w:r w:rsidR="00634F1A" w:rsidRPr="007E6400">
        <w:rPr>
          <w:rFonts w:ascii="Times New Roman" w:hAnsi="Times New Roman" w:cs="Times New Roman"/>
          <w:sz w:val="24"/>
          <w:szCs w:val="24"/>
        </w:rPr>
        <w:t xml:space="preserve"> and viability (by increase E.C value) </w:t>
      </w:r>
      <w:r w:rsidR="00BA2544" w:rsidRPr="007E6400">
        <w:rPr>
          <w:rFonts w:ascii="Times New Roman" w:hAnsi="Times New Roman" w:cs="Times New Roman"/>
          <w:sz w:val="24"/>
          <w:szCs w:val="24"/>
        </w:rPr>
        <w:t>1.42</w:t>
      </w:r>
      <w:r w:rsidRPr="007E6400">
        <w:rPr>
          <w:rFonts w:ascii="Times New Roman" w:hAnsi="Times New Roman" w:cs="Times New Roman"/>
          <w:sz w:val="24"/>
          <w:szCs w:val="24"/>
        </w:rPr>
        <w:t>, 16.31 mg, 49.5</w:t>
      </w:r>
      <w:r w:rsidR="00256CEA" w:rsidRPr="007E6400">
        <w:rPr>
          <w:rFonts w:ascii="Times New Roman" w:hAnsi="Times New Roman" w:cs="Times New Roman"/>
          <w:sz w:val="24"/>
          <w:szCs w:val="24"/>
        </w:rPr>
        <w:t xml:space="preserve">g. </w:t>
      </w:r>
      <w:r w:rsidR="00BA2544" w:rsidRPr="007E6400">
        <w:rPr>
          <w:rFonts w:ascii="Times New Roman" w:hAnsi="Times New Roman" w:cs="Times New Roman"/>
          <w:sz w:val="24"/>
          <w:szCs w:val="24"/>
        </w:rPr>
        <w:t xml:space="preserve"> and</w:t>
      </w:r>
      <w:r w:rsidR="00634F1A" w:rsidRPr="007E6400">
        <w:rPr>
          <w:rFonts w:ascii="Times New Roman" w:hAnsi="Times New Roman" w:cs="Times New Roman"/>
          <w:sz w:val="24"/>
          <w:szCs w:val="24"/>
        </w:rPr>
        <w:t xml:space="preserve"> </w:t>
      </w:r>
      <w:r w:rsidR="00570850" w:rsidRPr="007E6400">
        <w:rPr>
          <w:rFonts w:ascii="Times New Roman" w:hAnsi="Times New Roman" w:cs="Times New Roman"/>
          <w:sz w:val="24"/>
          <w:szCs w:val="24"/>
        </w:rPr>
        <w:t>2</w:t>
      </w:r>
      <w:r w:rsidR="00BA2544" w:rsidRPr="007E6400">
        <w:rPr>
          <w:rFonts w:ascii="Times New Roman" w:hAnsi="Times New Roman" w:cs="Times New Roman"/>
          <w:sz w:val="24"/>
          <w:szCs w:val="24"/>
        </w:rPr>
        <w:t>5.</w:t>
      </w:r>
      <w:r w:rsidR="00570850" w:rsidRPr="007E6400">
        <w:rPr>
          <w:rFonts w:ascii="Times New Roman" w:hAnsi="Times New Roman" w:cs="Times New Roman"/>
          <w:sz w:val="24"/>
          <w:szCs w:val="24"/>
        </w:rPr>
        <w:t>11</w:t>
      </w:r>
      <w:r w:rsidR="00BA2544" w:rsidRPr="007E6400">
        <w:rPr>
          <w:rFonts w:ascii="Times New Roman" w:hAnsi="Times New Roman" w:cs="Times New Roman"/>
          <w:sz w:val="24"/>
          <w:szCs w:val="24"/>
        </w:rPr>
        <w:t xml:space="preserve"> </w:t>
      </w:r>
      <w:r w:rsidR="00634F1A" w:rsidRPr="007E6400">
        <w:rPr>
          <w:rFonts w:ascii="Times New Roman" w:hAnsi="Times New Roman" w:cs="Times New Roman"/>
          <w:sz w:val="24"/>
          <w:szCs w:val="24"/>
        </w:rPr>
        <w:t xml:space="preserve">when stored inside jute compared with stored inside H.D.P material </w:t>
      </w:r>
      <w:r w:rsidR="00BA2544" w:rsidRPr="007E6400">
        <w:rPr>
          <w:rFonts w:ascii="Times New Roman" w:hAnsi="Times New Roman" w:cs="Times New Roman"/>
          <w:sz w:val="24"/>
          <w:szCs w:val="24"/>
        </w:rPr>
        <w:t>1.82</w:t>
      </w:r>
      <w:r w:rsidR="00256CEA" w:rsidRPr="007E6400">
        <w:rPr>
          <w:rFonts w:ascii="Times New Roman" w:hAnsi="Times New Roman" w:cs="Times New Roman"/>
          <w:sz w:val="24"/>
          <w:szCs w:val="24"/>
        </w:rPr>
        <w:t>, 20.19</w:t>
      </w:r>
      <w:r w:rsidR="00570850" w:rsidRPr="007E6400">
        <w:rPr>
          <w:rFonts w:ascii="Times New Roman" w:hAnsi="Times New Roman" w:cs="Times New Roman"/>
          <w:sz w:val="24"/>
          <w:szCs w:val="24"/>
        </w:rPr>
        <w:t xml:space="preserve"> </w:t>
      </w:r>
      <w:r w:rsidR="00256CEA" w:rsidRPr="007E6400">
        <w:rPr>
          <w:rFonts w:ascii="Times New Roman" w:hAnsi="Times New Roman" w:cs="Times New Roman"/>
          <w:sz w:val="24"/>
          <w:szCs w:val="24"/>
        </w:rPr>
        <w:t>mg., 52.78</w:t>
      </w:r>
      <w:r w:rsidR="00570850" w:rsidRPr="007E6400">
        <w:rPr>
          <w:rFonts w:ascii="Times New Roman" w:hAnsi="Times New Roman" w:cs="Times New Roman"/>
          <w:sz w:val="24"/>
          <w:szCs w:val="24"/>
        </w:rPr>
        <w:t xml:space="preserve"> </w:t>
      </w:r>
      <w:r w:rsidR="00256CEA" w:rsidRPr="007E6400">
        <w:rPr>
          <w:rFonts w:ascii="Times New Roman" w:hAnsi="Times New Roman" w:cs="Times New Roman"/>
          <w:sz w:val="24"/>
          <w:szCs w:val="24"/>
        </w:rPr>
        <w:t>g.</w:t>
      </w:r>
      <w:r w:rsidR="00634F1A" w:rsidRPr="007E6400">
        <w:rPr>
          <w:rFonts w:ascii="Times New Roman" w:hAnsi="Times New Roman" w:cs="Times New Roman"/>
          <w:sz w:val="24"/>
          <w:szCs w:val="24"/>
        </w:rPr>
        <w:t xml:space="preserve"> and </w:t>
      </w:r>
      <w:r w:rsidR="00570850" w:rsidRPr="007E6400">
        <w:rPr>
          <w:rFonts w:ascii="Times New Roman" w:hAnsi="Times New Roman" w:cs="Times New Roman"/>
          <w:sz w:val="24"/>
          <w:szCs w:val="24"/>
        </w:rPr>
        <w:t>20.98</w:t>
      </w:r>
      <w:r w:rsidR="00634F1A" w:rsidRPr="007E6400">
        <w:rPr>
          <w:rFonts w:ascii="Times New Roman" w:hAnsi="Times New Roman" w:cs="Times New Roman"/>
          <w:sz w:val="24"/>
          <w:szCs w:val="24"/>
        </w:rPr>
        <w:t>, respectively.</w:t>
      </w:r>
      <w:r w:rsidR="0036618A" w:rsidRPr="007E6400">
        <w:rPr>
          <w:rFonts w:ascii="Times New Roman" w:hAnsi="Times New Roman" w:cs="Times New Roman"/>
          <w:sz w:val="24"/>
          <w:szCs w:val="24"/>
        </w:rPr>
        <w:t xml:space="preserve"> </w:t>
      </w:r>
      <w:r w:rsidR="00634F1A" w:rsidRPr="007E6400">
        <w:rPr>
          <w:rFonts w:ascii="Times New Roman" w:hAnsi="Times New Roman" w:cs="Times New Roman"/>
          <w:sz w:val="24"/>
          <w:szCs w:val="24"/>
        </w:rPr>
        <w:t xml:space="preserve">The reduction in seed index is mainly attributable to the decrease in seed density during storage time. Similar results were reported by </w:t>
      </w:r>
      <w:r w:rsidR="000843BE" w:rsidRPr="007E6400">
        <w:rPr>
          <w:rFonts w:ascii="Times New Roman" w:hAnsi="Times New Roman" w:cs="Times New Roman"/>
          <w:sz w:val="24"/>
          <w:szCs w:val="24"/>
        </w:rPr>
        <w:t>Mersal et al., (2006),</w:t>
      </w:r>
      <w:r w:rsidR="00634F1A" w:rsidRPr="007E6400">
        <w:rPr>
          <w:rFonts w:ascii="Times New Roman" w:hAnsi="Times New Roman" w:cs="Times New Roman"/>
          <w:sz w:val="24"/>
          <w:szCs w:val="24"/>
        </w:rPr>
        <w:t xml:space="preserve"> El-Sayed et al (2018)</w:t>
      </w:r>
      <w:r w:rsidR="000843BE" w:rsidRPr="007E6400">
        <w:rPr>
          <w:rFonts w:ascii="Times New Roman" w:hAnsi="Times New Roman" w:cs="Times New Roman"/>
          <w:sz w:val="24"/>
          <w:szCs w:val="24"/>
        </w:rPr>
        <w:t xml:space="preserve"> and Jones (2023)</w:t>
      </w:r>
      <w:r w:rsidR="00634F1A" w:rsidRPr="007E6400">
        <w:rPr>
          <w:rFonts w:ascii="Times New Roman" w:hAnsi="Times New Roman" w:cs="Times New Roman"/>
          <w:sz w:val="24"/>
          <w:szCs w:val="24"/>
        </w:rPr>
        <w:t xml:space="preserve">. </w:t>
      </w:r>
    </w:p>
    <w:p w:rsidR="003D74D7" w:rsidRPr="007E6400" w:rsidRDefault="003D74D7" w:rsidP="003D74D7">
      <w:pPr>
        <w:bidi w:val="0"/>
        <w:spacing w:after="0" w:line="240" w:lineRule="auto"/>
        <w:ind w:firstLine="720"/>
        <w:jc w:val="both"/>
        <w:rPr>
          <w:rFonts w:ascii="Times New Roman" w:hAnsi="Times New Roman" w:cs="Times New Roman"/>
          <w:sz w:val="24"/>
          <w:szCs w:val="24"/>
        </w:rPr>
      </w:pPr>
    </w:p>
    <w:p w:rsidR="003D74D7" w:rsidRPr="007E6400" w:rsidRDefault="003D74D7" w:rsidP="003D74D7">
      <w:pPr>
        <w:bidi w:val="0"/>
        <w:spacing w:after="0" w:line="240" w:lineRule="auto"/>
        <w:ind w:firstLine="720"/>
        <w:jc w:val="both"/>
        <w:rPr>
          <w:rFonts w:ascii="Times New Roman" w:hAnsi="Times New Roman" w:cs="Times New Roman"/>
          <w:sz w:val="24"/>
          <w:szCs w:val="24"/>
        </w:rPr>
      </w:pPr>
    </w:p>
    <w:p w:rsidR="00EA446C" w:rsidRPr="007E6400" w:rsidRDefault="00EA446C" w:rsidP="00EA446C">
      <w:pPr>
        <w:bidi w:val="0"/>
        <w:spacing w:before="120" w:after="60" w:line="240" w:lineRule="auto"/>
        <w:jc w:val="both"/>
        <w:rPr>
          <w:rFonts w:ascii="Times New Roman" w:eastAsia="Times New Roman" w:hAnsi="Times New Roman" w:cs="Times New Roman"/>
        </w:rPr>
      </w:pPr>
    </w:p>
    <w:p w:rsidR="00EA446C" w:rsidRPr="007E6400" w:rsidRDefault="00EA446C" w:rsidP="00EA446C">
      <w:pPr>
        <w:bidi w:val="0"/>
        <w:spacing w:before="120" w:after="60" w:line="240" w:lineRule="auto"/>
        <w:jc w:val="both"/>
        <w:rPr>
          <w:rFonts w:ascii="Times New Roman" w:eastAsia="Times New Roman" w:hAnsi="Times New Roman" w:cs="Times New Roman"/>
        </w:rPr>
        <w:sectPr w:rsidR="00EA446C" w:rsidRPr="007E6400" w:rsidSect="007F0B2C">
          <w:type w:val="continuous"/>
          <w:pgSz w:w="11906" w:h="16838"/>
          <w:pgMar w:top="1440" w:right="1800" w:bottom="1440" w:left="1800" w:header="708" w:footer="708" w:gutter="0"/>
          <w:cols w:space="709"/>
          <w:bidi/>
          <w:rtlGutter/>
          <w:docGrid w:linePitch="360"/>
        </w:sectPr>
      </w:pPr>
    </w:p>
    <w:p w:rsidR="00B27925" w:rsidRPr="007E6400" w:rsidRDefault="005F5F88" w:rsidP="00B27925">
      <w:pPr>
        <w:bidi w:val="0"/>
        <w:rPr>
          <w:rFonts w:ascii="Times New Roman" w:hAnsi="Times New Roman" w:cs="Times New Roman"/>
          <w:lang w:bidi="ar-EG"/>
        </w:rPr>
      </w:pPr>
      <w:r w:rsidRPr="007E6400">
        <w:rPr>
          <w:noProof/>
        </w:rPr>
        <w:drawing>
          <wp:inline distT="0" distB="0" distL="0" distR="0" wp14:anchorId="3880820E" wp14:editId="350A32C5">
            <wp:extent cx="2417197" cy="1558456"/>
            <wp:effectExtent l="0" t="0" r="21590" b="228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7560" w:type="dxa"/>
        <w:tblInd w:w="93" w:type="dxa"/>
        <w:tblLook w:val="04A0" w:firstRow="1" w:lastRow="0" w:firstColumn="1" w:lastColumn="0" w:noHBand="0" w:noVBand="1"/>
      </w:tblPr>
      <w:tblGrid>
        <w:gridCol w:w="6480"/>
        <w:gridCol w:w="1080"/>
      </w:tblGrid>
      <w:tr w:rsidR="00F62A25" w:rsidRPr="007E6400" w:rsidTr="00432BBA">
        <w:trPr>
          <w:trHeight w:val="330"/>
        </w:trPr>
        <w:tc>
          <w:tcPr>
            <w:tcW w:w="6480" w:type="dxa"/>
            <w:tcBorders>
              <w:top w:val="nil"/>
              <w:left w:val="nil"/>
              <w:bottom w:val="nil"/>
              <w:right w:val="nil"/>
            </w:tcBorders>
            <w:shd w:val="clear" w:color="auto" w:fill="auto"/>
            <w:noWrap/>
            <w:vAlign w:val="bottom"/>
            <w:hideMark/>
          </w:tcPr>
          <w:p w:rsidR="00B27925" w:rsidRPr="007E6400" w:rsidRDefault="00B27925" w:rsidP="00F01BE6">
            <w:pPr>
              <w:bidi w:val="0"/>
              <w:spacing w:after="0" w:line="216" w:lineRule="auto"/>
              <w:ind w:left="567" w:hanging="567"/>
              <w:rPr>
                <w:rFonts w:ascii="Times New Roman" w:eastAsia="Times New Roman" w:hAnsi="Times New Roman" w:cs="Times New Roman"/>
                <w:sz w:val="24"/>
                <w:szCs w:val="24"/>
              </w:rPr>
            </w:pPr>
            <w:r w:rsidRPr="007E6400">
              <w:rPr>
                <w:rFonts w:ascii="Times New Roman" w:eastAsia="Times New Roman" w:hAnsi="Times New Roman" w:cs="Times New Roman"/>
                <w:sz w:val="24"/>
                <w:szCs w:val="24"/>
              </w:rPr>
              <w:t>Fig (</w:t>
            </w:r>
            <w:r w:rsidR="00F01BE6" w:rsidRPr="007E6400">
              <w:rPr>
                <w:rFonts w:ascii="Times New Roman" w:eastAsia="Times New Roman" w:hAnsi="Times New Roman" w:cs="Times New Roman"/>
                <w:sz w:val="24"/>
                <w:szCs w:val="24"/>
              </w:rPr>
              <w:t>4</w:t>
            </w:r>
            <w:r w:rsidRPr="007E6400">
              <w:rPr>
                <w:rFonts w:ascii="Times New Roman" w:eastAsia="Times New Roman" w:hAnsi="Times New Roman" w:cs="Times New Roman"/>
                <w:sz w:val="24"/>
                <w:szCs w:val="24"/>
              </w:rPr>
              <w:t>): Effect of interaction  between</w:t>
            </w:r>
            <w:r w:rsidR="005F5F88" w:rsidRPr="007E6400">
              <w:rPr>
                <w:rFonts w:ascii="Times New Roman" w:eastAsia="Times New Roman" w:hAnsi="Times New Roman" w:cs="Times New Roman"/>
                <w:sz w:val="24"/>
                <w:szCs w:val="24"/>
              </w:rPr>
              <w:t xml:space="preserve"> storage</w:t>
            </w:r>
            <w:r w:rsidRPr="007E6400">
              <w:rPr>
                <w:rFonts w:ascii="Times New Roman" w:eastAsia="Times New Roman" w:hAnsi="Times New Roman" w:cs="Times New Roman"/>
                <w:sz w:val="24"/>
                <w:szCs w:val="24"/>
              </w:rPr>
              <w:t xml:space="preserve"> </w:t>
            </w:r>
          </w:p>
          <w:p w:rsidR="00B27925" w:rsidRPr="007E6400" w:rsidRDefault="00B27925" w:rsidP="00F54D1D">
            <w:pPr>
              <w:bidi w:val="0"/>
              <w:spacing w:after="0" w:line="216" w:lineRule="auto"/>
              <w:ind w:left="567" w:hanging="567"/>
              <w:rPr>
                <w:rFonts w:ascii="Times New Roman" w:eastAsia="Times New Roman" w:hAnsi="Times New Roman" w:cs="Times New Roman"/>
                <w:sz w:val="24"/>
                <w:szCs w:val="24"/>
              </w:rPr>
            </w:pPr>
            <w:r w:rsidRPr="007E6400">
              <w:rPr>
                <w:rFonts w:ascii="Times New Roman" w:eastAsia="Times New Roman" w:hAnsi="Times New Roman" w:cs="Times New Roman"/>
                <w:sz w:val="24"/>
                <w:szCs w:val="24"/>
              </w:rPr>
              <w:t xml:space="preserve">           period   and   package on (S.V.I)</w:t>
            </w:r>
          </w:p>
        </w:tc>
        <w:tc>
          <w:tcPr>
            <w:tcW w:w="1080" w:type="dxa"/>
            <w:tcBorders>
              <w:top w:val="nil"/>
              <w:left w:val="nil"/>
              <w:bottom w:val="nil"/>
              <w:right w:val="nil"/>
            </w:tcBorders>
            <w:shd w:val="clear" w:color="auto" w:fill="auto"/>
            <w:noWrap/>
            <w:vAlign w:val="bottom"/>
            <w:hideMark/>
          </w:tcPr>
          <w:p w:rsidR="00B27925" w:rsidRPr="007E6400" w:rsidRDefault="00B27925" w:rsidP="00432BBA">
            <w:pPr>
              <w:bidi w:val="0"/>
              <w:spacing w:after="0" w:line="240" w:lineRule="auto"/>
              <w:ind w:left="567" w:hanging="567"/>
              <w:rPr>
                <w:rFonts w:ascii="Arial" w:eastAsia="Times New Roman" w:hAnsi="Arial" w:cs="Arial"/>
                <w:sz w:val="24"/>
                <w:szCs w:val="24"/>
              </w:rPr>
            </w:pPr>
          </w:p>
        </w:tc>
      </w:tr>
    </w:tbl>
    <w:p w:rsidR="00634F1A" w:rsidRPr="007E6400" w:rsidRDefault="00634F1A" w:rsidP="00634F1A">
      <w:pPr>
        <w:bidi w:val="0"/>
        <w:spacing w:before="120" w:after="60" w:line="240" w:lineRule="auto"/>
        <w:jc w:val="both"/>
        <w:rPr>
          <w:rFonts w:ascii="Times New Roman" w:eastAsia="Times New Roman" w:hAnsi="Times New Roman" w:cs="Times New Roman"/>
        </w:rPr>
      </w:pPr>
    </w:p>
    <w:p w:rsidR="00EA446C" w:rsidRPr="007E6400" w:rsidRDefault="00CC09D9" w:rsidP="00256CEA">
      <w:pPr>
        <w:bidi w:val="0"/>
        <w:rPr>
          <w:rFonts w:ascii="Times New Roman" w:hAnsi="Times New Roman" w:cs="Times New Roman"/>
          <w:lang w:bidi="ar-EG"/>
        </w:rPr>
      </w:pPr>
      <w:r w:rsidRPr="007E6400">
        <w:rPr>
          <w:noProof/>
        </w:rPr>
        <w:drawing>
          <wp:inline distT="0" distB="0" distL="0" distR="0" wp14:anchorId="634A87AE" wp14:editId="3D440F6E">
            <wp:extent cx="2417197" cy="1486894"/>
            <wp:effectExtent l="0" t="0" r="21590"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09D9" w:rsidRPr="007E6400" w:rsidRDefault="00CC09D9" w:rsidP="00CC09D9">
      <w:pPr>
        <w:bidi w:val="0"/>
        <w:spacing w:after="0" w:line="240" w:lineRule="auto"/>
        <w:ind w:left="567" w:hanging="567"/>
        <w:rPr>
          <w:rFonts w:ascii="Times New Roman" w:hAnsi="Times New Roman" w:cs="Times New Roman"/>
          <w:lang w:bidi="ar-EG"/>
        </w:rPr>
      </w:pPr>
      <w:r w:rsidRPr="007E6400">
        <w:rPr>
          <w:rFonts w:ascii="Times New Roman" w:hAnsi="Times New Roman" w:cs="Times New Roman"/>
          <w:lang w:bidi="ar-EG"/>
        </w:rPr>
        <w:t xml:space="preserve">Fig (6): Effect of </w:t>
      </w:r>
      <w:proofErr w:type="gramStart"/>
      <w:r w:rsidRPr="007E6400">
        <w:rPr>
          <w:rFonts w:ascii="Times New Roman" w:hAnsi="Times New Roman" w:cs="Times New Roman"/>
          <w:lang w:bidi="ar-EG"/>
        </w:rPr>
        <w:t>interaction  between</w:t>
      </w:r>
      <w:proofErr w:type="gramEnd"/>
      <w:r w:rsidRPr="007E6400">
        <w:rPr>
          <w:rFonts w:ascii="Times New Roman" w:hAnsi="Times New Roman" w:cs="Times New Roman"/>
          <w:lang w:bidi="ar-EG"/>
        </w:rPr>
        <w:t xml:space="preserve"> storage period and package on (S.D.W)</w:t>
      </w:r>
    </w:p>
    <w:p w:rsidR="003D74D7" w:rsidRPr="007E6400" w:rsidRDefault="003D74D7" w:rsidP="00F01BE6">
      <w:pPr>
        <w:bidi w:val="0"/>
        <w:spacing w:after="0" w:line="240" w:lineRule="auto"/>
        <w:ind w:left="567" w:hanging="567"/>
        <w:rPr>
          <w:rFonts w:ascii="Times New Roman" w:eastAsia="Times New Roman" w:hAnsi="Times New Roman" w:cs="Times New Roman"/>
          <w:sz w:val="20"/>
          <w:szCs w:val="20"/>
        </w:rPr>
      </w:pPr>
    </w:p>
    <w:p w:rsidR="003D74D7" w:rsidRPr="007E6400" w:rsidRDefault="003D74D7" w:rsidP="00CC09D9">
      <w:pPr>
        <w:bidi w:val="0"/>
        <w:spacing w:after="0" w:line="240" w:lineRule="auto"/>
        <w:rPr>
          <w:rFonts w:ascii="Times New Roman" w:eastAsia="Times New Roman" w:hAnsi="Times New Roman" w:cs="Times New Roman"/>
          <w:sz w:val="20"/>
          <w:szCs w:val="20"/>
        </w:rPr>
      </w:pPr>
    </w:p>
    <w:p w:rsidR="003D74D7" w:rsidRPr="007E6400" w:rsidRDefault="003D74D7" w:rsidP="00CC09D9">
      <w:pPr>
        <w:bidi w:val="0"/>
        <w:spacing w:after="0" w:line="240" w:lineRule="auto"/>
        <w:rPr>
          <w:rFonts w:ascii="Times New Roman" w:eastAsia="Times New Roman" w:hAnsi="Times New Roman" w:cs="Times New Roman"/>
          <w:sz w:val="20"/>
          <w:szCs w:val="20"/>
        </w:rPr>
      </w:pPr>
      <w:r w:rsidRPr="007E6400">
        <w:rPr>
          <w:noProof/>
        </w:rPr>
        <w:drawing>
          <wp:inline distT="0" distB="0" distL="0" distR="0" wp14:anchorId="7710B40B" wp14:editId="56D7F5F7">
            <wp:extent cx="2411730" cy="1559251"/>
            <wp:effectExtent l="0" t="0" r="26670"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74D7" w:rsidRPr="007E6400" w:rsidRDefault="003D74D7" w:rsidP="003D74D7">
      <w:pPr>
        <w:bidi w:val="0"/>
        <w:spacing w:after="0" w:line="240" w:lineRule="auto"/>
        <w:ind w:left="567" w:hanging="567"/>
        <w:rPr>
          <w:rFonts w:ascii="Times New Roman" w:eastAsia="Times New Roman" w:hAnsi="Times New Roman" w:cs="Times New Roman"/>
          <w:sz w:val="20"/>
          <w:szCs w:val="20"/>
        </w:rPr>
      </w:pPr>
    </w:p>
    <w:p w:rsidR="00634F1A" w:rsidRPr="007E6400" w:rsidRDefault="00634F1A" w:rsidP="003D74D7">
      <w:pPr>
        <w:bidi w:val="0"/>
        <w:spacing w:after="0" w:line="240" w:lineRule="auto"/>
        <w:ind w:left="567" w:hanging="567"/>
        <w:rPr>
          <w:rFonts w:ascii="Times New Roman" w:eastAsia="Times New Roman" w:hAnsi="Times New Roman" w:cs="Times New Roman"/>
          <w:sz w:val="20"/>
          <w:szCs w:val="20"/>
        </w:rPr>
      </w:pPr>
      <w:r w:rsidRPr="007E6400">
        <w:rPr>
          <w:rFonts w:ascii="Times New Roman" w:eastAsia="Times New Roman" w:hAnsi="Times New Roman" w:cs="Times New Roman"/>
          <w:sz w:val="20"/>
          <w:szCs w:val="20"/>
        </w:rPr>
        <w:t>Fig (</w:t>
      </w:r>
      <w:r w:rsidR="00F01BE6" w:rsidRPr="007E6400">
        <w:rPr>
          <w:rFonts w:ascii="Times New Roman" w:eastAsia="Times New Roman" w:hAnsi="Times New Roman" w:cs="Times New Roman"/>
          <w:sz w:val="20"/>
          <w:szCs w:val="20"/>
        </w:rPr>
        <w:t>3</w:t>
      </w:r>
      <w:r w:rsidRPr="007E6400">
        <w:rPr>
          <w:rFonts w:ascii="Times New Roman" w:eastAsia="Times New Roman" w:hAnsi="Times New Roman" w:cs="Times New Roman"/>
          <w:sz w:val="20"/>
          <w:szCs w:val="20"/>
        </w:rPr>
        <w:t xml:space="preserve">): Effect of </w:t>
      </w:r>
      <w:proofErr w:type="gramStart"/>
      <w:r w:rsidRPr="007E6400">
        <w:rPr>
          <w:rFonts w:ascii="Times New Roman" w:eastAsia="Times New Roman" w:hAnsi="Times New Roman" w:cs="Times New Roman"/>
          <w:sz w:val="20"/>
          <w:szCs w:val="20"/>
        </w:rPr>
        <w:t>interaction  between</w:t>
      </w:r>
      <w:proofErr w:type="gramEnd"/>
      <w:r w:rsidRPr="007E6400">
        <w:rPr>
          <w:rFonts w:ascii="Times New Roman" w:eastAsia="Times New Roman" w:hAnsi="Times New Roman" w:cs="Times New Roman"/>
          <w:sz w:val="20"/>
          <w:szCs w:val="20"/>
        </w:rPr>
        <w:t xml:space="preserve"> </w:t>
      </w:r>
      <w:r w:rsidR="005F5F88" w:rsidRPr="007E6400">
        <w:rPr>
          <w:rFonts w:ascii="Times New Roman" w:eastAsia="Times New Roman" w:hAnsi="Times New Roman" w:cs="Times New Roman"/>
          <w:sz w:val="20"/>
          <w:szCs w:val="20"/>
        </w:rPr>
        <w:t xml:space="preserve">storage </w:t>
      </w:r>
      <w:r w:rsidRPr="007E6400">
        <w:rPr>
          <w:rFonts w:ascii="Times New Roman" w:eastAsia="Times New Roman" w:hAnsi="Times New Roman" w:cs="Times New Roman"/>
          <w:sz w:val="20"/>
          <w:szCs w:val="20"/>
        </w:rPr>
        <w:t>period and package on (E.C)</w:t>
      </w:r>
    </w:p>
    <w:p w:rsidR="00634F1A" w:rsidRPr="007E6400" w:rsidRDefault="00634F1A" w:rsidP="00634F1A">
      <w:pPr>
        <w:bidi w:val="0"/>
        <w:spacing w:before="120" w:after="60" w:line="240" w:lineRule="auto"/>
        <w:jc w:val="both"/>
        <w:rPr>
          <w:rFonts w:ascii="Times New Roman" w:eastAsia="Times New Roman" w:hAnsi="Times New Roman" w:cs="Times New Roman"/>
        </w:rPr>
      </w:pPr>
    </w:p>
    <w:p w:rsidR="00CC09D9" w:rsidRPr="007E6400" w:rsidRDefault="00CC09D9" w:rsidP="005F5F88">
      <w:pPr>
        <w:bidi w:val="0"/>
        <w:spacing w:after="0" w:line="240" w:lineRule="auto"/>
        <w:ind w:left="567" w:hanging="567"/>
        <w:rPr>
          <w:rFonts w:ascii="Times New Roman" w:hAnsi="Times New Roman" w:cs="Times New Roman"/>
          <w:lang w:bidi="ar-EG"/>
        </w:rPr>
      </w:pPr>
      <w:r w:rsidRPr="007E6400">
        <w:rPr>
          <w:noProof/>
        </w:rPr>
        <w:drawing>
          <wp:inline distT="0" distB="0" distL="0" distR="0" wp14:anchorId="3603FB31" wp14:editId="51C8674F">
            <wp:extent cx="2411730" cy="1517650"/>
            <wp:effectExtent l="0" t="0" r="26670"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09D9" w:rsidRPr="007E6400" w:rsidRDefault="00CC09D9" w:rsidP="00CC09D9">
      <w:pPr>
        <w:bidi w:val="0"/>
        <w:spacing w:after="0" w:line="240" w:lineRule="auto"/>
        <w:ind w:left="567" w:hanging="567"/>
        <w:rPr>
          <w:rFonts w:ascii="Times New Roman" w:hAnsi="Times New Roman" w:cs="Times New Roman"/>
          <w:lang w:bidi="ar-EG"/>
        </w:rPr>
      </w:pPr>
    </w:p>
    <w:p w:rsidR="00CC09D9" w:rsidRPr="007E6400" w:rsidRDefault="00CC09D9" w:rsidP="00CC09D9">
      <w:pPr>
        <w:bidi w:val="0"/>
        <w:spacing w:after="0" w:line="240" w:lineRule="auto"/>
        <w:ind w:left="567" w:hanging="567"/>
        <w:rPr>
          <w:rFonts w:ascii="Times New Roman" w:hAnsi="Times New Roman" w:cs="Times New Roman"/>
          <w:lang w:bidi="ar-EG"/>
        </w:rPr>
        <w:sectPr w:rsidR="00CC09D9" w:rsidRPr="007E6400" w:rsidSect="00634F1A">
          <w:type w:val="continuous"/>
          <w:pgSz w:w="11906" w:h="16838"/>
          <w:pgMar w:top="1440" w:right="1800" w:bottom="1440" w:left="1800" w:header="708" w:footer="708" w:gutter="0"/>
          <w:cols w:num="2" w:space="709"/>
          <w:bidi/>
          <w:rtlGutter/>
          <w:docGrid w:linePitch="360"/>
        </w:sectPr>
      </w:pPr>
      <w:r w:rsidRPr="007E6400">
        <w:rPr>
          <w:rFonts w:ascii="Times New Roman" w:hAnsi="Times New Roman" w:cs="Times New Roman"/>
          <w:lang w:bidi="ar-EG"/>
        </w:rPr>
        <w:t xml:space="preserve">Fig (5): Effect of </w:t>
      </w:r>
      <w:proofErr w:type="gramStart"/>
      <w:r w:rsidRPr="007E6400">
        <w:rPr>
          <w:rFonts w:ascii="Times New Roman" w:hAnsi="Times New Roman" w:cs="Times New Roman"/>
          <w:lang w:bidi="ar-EG"/>
        </w:rPr>
        <w:t>interaction  between</w:t>
      </w:r>
      <w:proofErr w:type="gramEnd"/>
      <w:r w:rsidRPr="007E6400">
        <w:rPr>
          <w:rFonts w:ascii="Times New Roman" w:hAnsi="Times New Roman" w:cs="Times New Roman"/>
          <w:lang w:bidi="ar-EG"/>
        </w:rPr>
        <w:t xml:space="preserve"> storage period and package on seed index</w:t>
      </w:r>
    </w:p>
    <w:p w:rsidR="00E74144" w:rsidRPr="007E6400" w:rsidRDefault="00745FB2" w:rsidP="000843BE">
      <w:pPr>
        <w:bidi w:val="0"/>
        <w:spacing w:before="240" w:after="0" w:line="240" w:lineRule="auto"/>
        <w:jc w:val="both"/>
        <w:rPr>
          <w:rFonts w:ascii="Times New Roman" w:hAnsi="Times New Roman" w:cs="Times New Roman"/>
          <w:sz w:val="24"/>
          <w:szCs w:val="24"/>
        </w:rPr>
      </w:pPr>
      <w:r w:rsidRPr="007E6400">
        <w:rPr>
          <w:rFonts w:ascii="Times New Roman" w:hAnsi="Times New Roman" w:cs="Times New Roman"/>
          <w:sz w:val="26"/>
          <w:szCs w:val="26"/>
        </w:rPr>
        <w:t xml:space="preserve">       </w:t>
      </w:r>
      <w:r w:rsidR="00FE481B" w:rsidRPr="007E6400">
        <w:rPr>
          <w:rFonts w:ascii="Times New Roman" w:hAnsi="Times New Roman" w:cs="Times New Roman"/>
          <w:sz w:val="24"/>
          <w:szCs w:val="24"/>
        </w:rPr>
        <w:t>For the</w:t>
      </w:r>
      <w:r w:rsidR="00E74144" w:rsidRPr="007E6400">
        <w:rPr>
          <w:rFonts w:ascii="Times New Roman" w:hAnsi="Times New Roman" w:cs="Times New Roman"/>
          <w:sz w:val="24"/>
          <w:szCs w:val="24"/>
        </w:rPr>
        <w:t xml:space="preserve"> interaction between </w:t>
      </w:r>
      <w:r w:rsidR="00F01BE6" w:rsidRPr="007E6400">
        <w:rPr>
          <w:rFonts w:ascii="Times New Roman" w:hAnsi="Times New Roman" w:cs="Times New Roman"/>
          <w:sz w:val="24"/>
          <w:szCs w:val="24"/>
        </w:rPr>
        <w:t>treatment</w:t>
      </w:r>
      <w:r w:rsidR="00E74144" w:rsidRPr="007E6400">
        <w:rPr>
          <w:rFonts w:ascii="Times New Roman" w:hAnsi="Times New Roman" w:cs="Times New Roman"/>
          <w:sz w:val="24"/>
          <w:szCs w:val="24"/>
        </w:rPr>
        <w:t xml:space="preserve"> and package material (Fig.</w:t>
      </w:r>
      <w:r w:rsidR="003A504D" w:rsidRPr="007E6400">
        <w:rPr>
          <w:rFonts w:ascii="Times New Roman" w:hAnsi="Times New Roman" w:cs="Times New Roman"/>
          <w:sz w:val="24"/>
          <w:szCs w:val="24"/>
        </w:rPr>
        <w:t>7</w:t>
      </w:r>
      <w:r w:rsidR="00E74144" w:rsidRPr="007E6400">
        <w:rPr>
          <w:rFonts w:ascii="Times New Roman" w:hAnsi="Times New Roman" w:cs="Times New Roman"/>
          <w:sz w:val="24"/>
          <w:szCs w:val="24"/>
        </w:rPr>
        <w:t>-</w:t>
      </w:r>
      <w:r w:rsidR="003A504D" w:rsidRPr="007E6400">
        <w:rPr>
          <w:rFonts w:ascii="Times New Roman" w:hAnsi="Times New Roman" w:cs="Times New Roman"/>
          <w:sz w:val="24"/>
          <w:szCs w:val="24"/>
        </w:rPr>
        <w:t>11</w:t>
      </w:r>
      <w:r w:rsidR="00E74144" w:rsidRPr="007E6400">
        <w:rPr>
          <w:rFonts w:ascii="Times New Roman" w:hAnsi="Times New Roman" w:cs="Times New Roman"/>
          <w:sz w:val="24"/>
          <w:szCs w:val="24"/>
        </w:rPr>
        <w:t xml:space="preserve">) revealed that </w:t>
      </w:r>
      <w:r w:rsidR="00854466" w:rsidRPr="007E6400">
        <w:rPr>
          <w:rFonts w:ascii="Times New Roman" w:hAnsi="Times New Roman" w:cs="Times New Roman"/>
          <w:sz w:val="24"/>
          <w:szCs w:val="24"/>
        </w:rPr>
        <w:t>t</w:t>
      </w:r>
      <w:r w:rsidR="00E74144" w:rsidRPr="007E6400">
        <w:rPr>
          <w:rFonts w:ascii="Times New Roman" w:hAnsi="Times New Roman" w:cs="Times New Roman"/>
          <w:sz w:val="24"/>
          <w:szCs w:val="24"/>
        </w:rPr>
        <w:t xml:space="preserve">he highest </w:t>
      </w:r>
      <w:r w:rsidR="003A504D" w:rsidRPr="007E6400">
        <w:rPr>
          <w:rFonts w:ascii="Times New Roman" w:hAnsi="Times New Roman" w:cs="Times New Roman"/>
          <w:sz w:val="24"/>
          <w:szCs w:val="24"/>
        </w:rPr>
        <w:t>viability (by decrease E.C value)</w:t>
      </w:r>
      <w:r w:rsidR="00E74144" w:rsidRPr="007E6400">
        <w:rPr>
          <w:rFonts w:ascii="Times New Roman" w:hAnsi="Times New Roman" w:cs="Times New Roman"/>
          <w:sz w:val="24"/>
          <w:szCs w:val="24"/>
        </w:rPr>
        <w:t>, S.V.I</w:t>
      </w:r>
      <w:r w:rsidR="003A504D" w:rsidRPr="007E6400">
        <w:rPr>
          <w:rFonts w:ascii="Times New Roman" w:hAnsi="Times New Roman" w:cs="Times New Roman"/>
          <w:sz w:val="24"/>
          <w:szCs w:val="24"/>
        </w:rPr>
        <w:t>, shoot length, S.D.W</w:t>
      </w:r>
      <w:r w:rsidR="00E74144" w:rsidRPr="007E6400">
        <w:rPr>
          <w:rFonts w:ascii="Times New Roman" w:hAnsi="Times New Roman" w:cs="Times New Roman"/>
          <w:sz w:val="24"/>
          <w:szCs w:val="24"/>
        </w:rPr>
        <w:t xml:space="preserve"> and </w:t>
      </w:r>
      <w:r w:rsidR="003A504D" w:rsidRPr="007E6400">
        <w:rPr>
          <w:rFonts w:ascii="Times New Roman" w:hAnsi="Times New Roman" w:cs="Times New Roman"/>
          <w:sz w:val="24"/>
          <w:szCs w:val="24"/>
        </w:rPr>
        <w:t>seed index</w:t>
      </w:r>
      <w:r w:rsidR="00E74144" w:rsidRPr="007E6400">
        <w:rPr>
          <w:rFonts w:ascii="Times New Roman" w:hAnsi="Times New Roman" w:cs="Times New Roman"/>
          <w:sz w:val="24"/>
          <w:szCs w:val="24"/>
        </w:rPr>
        <w:t xml:space="preserve"> was recorded from</w:t>
      </w:r>
      <w:r w:rsidR="003A504D" w:rsidRPr="007E6400">
        <w:rPr>
          <w:rFonts w:ascii="Times New Roman" w:hAnsi="Times New Roman" w:cs="Times New Roman"/>
          <w:sz w:val="24"/>
          <w:szCs w:val="24"/>
        </w:rPr>
        <w:t xml:space="preserve"> seeds stored from normal treatment when stored inside H.D.P</w:t>
      </w:r>
      <w:r w:rsidR="000A1CF5" w:rsidRPr="007E6400">
        <w:rPr>
          <w:rFonts w:ascii="Times New Roman" w:hAnsi="Times New Roman" w:cs="Times New Roman"/>
          <w:sz w:val="24"/>
          <w:szCs w:val="24"/>
        </w:rPr>
        <w:t xml:space="preserve"> package 15.17, 2.38, 14.03 cm, 24.36 mg. and 56.44g, respectively</w:t>
      </w:r>
      <w:r w:rsidR="00854466" w:rsidRPr="007E6400">
        <w:rPr>
          <w:rFonts w:ascii="Times New Roman" w:hAnsi="Times New Roman" w:cs="Times New Roman"/>
          <w:sz w:val="24"/>
          <w:szCs w:val="24"/>
        </w:rPr>
        <w:t>.</w:t>
      </w:r>
      <w:r w:rsidR="003A504D" w:rsidRPr="007E6400">
        <w:rPr>
          <w:rFonts w:ascii="Times New Roman" w:hAnsi="Times New Roman" w:cs="Times New Roman"/>
          <w:sz w:val="24"/>
          <w:szCs w:val="24"/>
        </w:rPr>
        <w:t xml:space="preserve"> </w:t>
      </w:r>
      <w:r w:rsidR="00854466" w:rsidRPr="007E6400">
        <w:rPr>
          <w:rFonts w:ascii="Times New Roman" w:hAnsi="Times New Roman" w:cs="Times New Roman"/>
          <w:sz w:val="24"/>
          <w:szCs w:val="24"/>
        </w:rPr>
        <w:t>On the other hand, the lowest viability (by increase E.C value), S.V.I, shoot length, S.D.W and seed index was recorded from seeds stored from drought treatment when stored inside jute package.</w:t>
      </w:r>
      <w:r w:rsidR="000A1CF5" w:rsidRPr="007E6400">
        <w:rPr>
          <w:rFonts w:ascii="Times New Roman" w:hAnsi="Times New Roman" w:cs="Times New Roman"/>
          <w:sz w:val="24"/>
          <w:szCs w:val="24"/>
        </w:rPr>
        <w:t xml:space="preserve"> 24.07, 1.42, 10.01 cm, 16.60 mg and 50.17, respectively.</w:t>
      </w:r>
      <w:r w:rsidR="00590407" w:rsidRPr="007E6400">
        <w:rPr>
          <w:rFonts w:ascii="Times New Roman" w:hAnsi="Times New Roman" w:cs="Times New Roman"/>
          <w:sz w:val="24"/>
          <w:szCs w:val="24"/>
        </w:rPr>
        <w:t xml:space="preserve"> </w:t>
      </w:r>
      <w:r w:rsidR="00E74144" w:rsidRPr="007E6400">
        <w:rPr>
          <w:rFonts w:ascii="Times New Roman" w:hAnsi="Times New Roman" w:cs="Times New Roman"/>
          <w:sz w:val="24"/>
          <w:szCs w:val="24"/>
        </w:rPr>
        <w:t xml:space="preserve">Similar results were reported by </w:t>
      </w:r>
      <w:r w:rsidR="000843BE" w:rsidRPr="007E6400">
        <w:rPr>
          <w:rFonts w:ascii="Times New Roman" w:hAnsi="Times New Roman" w:cs="Times New Roman"/>
          <w:sz w:val="24"/>
          <w:szCs w:val="24"/>
        </w:rPr>
        <w:t>Omar et al., (2012) and Jones (2023)</w:t>
      </w:r>
      <w:r w:rsidR="00E74144" w:rsidRPr="007E6400">
        <w:rPr>
          <w:rFonts w:ascii="Times New Roman" w:hAnsi="Times New Roman" w:cs="Times New Roman"/>
          <w:sz w:val="24"/>
          <w:szCs w:val="24"/>
        </w:rPr>
        <w:t xml:space="preserve">. </w:t>
      </w:r>
    </w:p>
    <w:p w:rsidR="00154A2E" w:rsidRPr="007E6400" w:rsidRDefault="00154A2E" w:rsidP="00154A2E">
      <w:pPr>
        <w:bidi w:val="0"/>
        <w:spacing w:before="240" w:after="0"/>
        <w:ind w:firstLine="720"/>
        <w:jc w:val="both"/>
        <w:rPr>
          <w:rFonts w:ascii="Times New Roman" w:hAnsi="Times New Roman" w:cs="Times New Roman"/>
          <w:sz w:val="24"/>
          <w:szCs w:val="24"/>
        </w:rPr>
      </w:pPr>
    </w:p>
    <w:p w:rsidR="00154A2E" w:rsidRPr="007E6400" w:rsidRDefault="00154A2E" w:rsidP="00154A2E">
      <w:pPr>
        <w:bidi w:val="0"/>
        <w:spacing w:before="240" w:after="0"/>
        <w:ind w:firstLine="720"/>
        <w:jc w:val="both"/>
        <w:rPr>
          <w:rFonts w:ascii="Times New Roman" w:hAnsi="Times New Roman" w:cs="Times New Roman"/>
          <w:sz w:val="24"/>
          <w:szCs w:val="24"/>
        </w:rPr>
      </w:pPr>
    </w:p>
    <w:p w:rsidR="00154A2E" w:rsidRPr="007E6400" w:rsidRDefault="00154A2E" w:rsidP="00154A2E">
      <w:pPr>
        <w:bidi w:val="0"/>
        <w:spacing w:before="240" w:after="0"/>
        <w:ind w:firstLine="720"/>
        <w:jc w:val="both"/>
        <w:rPr>
          <w:rFonts w:ascii="Times New Roman" w:hAnsi="Times New Roman" w:cs="Times New Roman"/>
          <w:sz w:val="24"/>
          <w:szCs w:val="24"/>
        </w:rPr>
      </w:pPr>
    </w:p>
    <w:p w:rsidR="00154A2E" w:rsidRPr="007E6400" w:rsidRDefault="00154A2E" w:rsidP="00B7739F">
      <w:pPr>
        <w:bidi w:val="0"/>
        <w:spacing w:before="240" w:after="0"/>
        <w:jc w:val="both"/>
        <w:rPr>
          <w:rFonts w:ascii="Times New Roman" w:hAnsi="Times New Roman" w:cs="Times New Roman"/>
          <w:sz w:val="24"/>
          <w:szCs w:val="24"/>
        </w:rPr>
        <w:sectPr w:rsidR="00154A2E" w:rsidRPr="007E6400" w:rsidSect="00DE56A3">
          <w:headerReference w:type="even" r:id="rId22"/>
          <w:headerReference w:type="default" r:id="rId23"/>
          <w:footerReference w:type="even" r:id="rId24"/>
          <w:headerReference w:type="first" r:id="rId25"/>
          <w:footerReference w:type="first" r:id="rId26"/>
          <w:type w:val="continuous"/>
          <w:pgSz w:w="11906" w:h="16838"/>
          <w:pgMar w:top="1440" w:right="1800" w:bottom="1440" w:left="1800" w:header="708" w:footer="708" w:gutter="0"/>
          <w:cols w:space="708"/>
          <w:bidi/>
          <w:rtlGutter/>
          <w:docGrid w:linePitch="360"/>
        </w:sectPr>
      </w:pPr>
    </w:p>
    <w:p w:rsidR="006558F2" w:rsidRPr="007E6400" w:rsidRDefault="006558F2" w:rsidP="00B7739F">
      <w:pPr>
        <w:bidi w:val="0"/>
        <w:rPr>
          <w:rFonts w:ascii="Times New Roman" w:hAnsi="Times New Roman" w:cs="Times New Roman"/>
          <w:lang w:bidi="ar-EG"/>
        </w:rPr>
      </w:pPr>
      <w:r w:rsidRPr="007E6400">
        <w:rPr>
          <w:noProof/>
        </w:rPr>
        <w:drawing>
          <wp:inline distT="0" distB="0" distL="0" distR="0" wp14:anchorId="103019BE" wp14:editId="205851E9">
            <wp:extent cx="2218414" cy="1669774"/>
            <wp:effectExtent l="0" t="0" r="0" b="698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7E6400">
        <w:rPr>
          <w:rFonts w:ascii="Times New Roman" w:hAnsi="Times New Roman" w:cs="Times New Roman"/>
          <w:lang w:bidi="ar-EG"/>
        </w:rPr>
        <w:t xml:space="preserve">              </w:t>
      </w:r>
      <w:r w:rsidRPr="007E6400">
        <w:rPr>
          <w:rFonts w:ascii="Times New Roman" w:eastAsia="Times New Roman" w:hAnsi="Times New Roman" w:cs="Times New Roman"/>
        </w:rPr>
        <w:t>Fig (</w:t>
      </w:r>
      <w:r w:rsidR="009E563A" w:rsidRPr="007E6400">
        <w:rPr>
          <w:rFonts w:ascii="Times New Roman" w:eastAsia="Times New Roman" w:hAnsi="Times New Roman" w:cs="Times New Roman"/>
        </w:rPr>
        <w:t>8</w:t>
      </w:r>
      <w:r w:rsidRPr="007E6400">
        <w:rPr>
          <w:rFonts w:ascii="Times New Roman" w:eastAsia="Times New Roman" w:hAnsi="Times New Roman" w:cs="Times New Roman"/>
        </w:rPr>
        <w:t xml:space="preserve">): Effect of </w:t>
      </w:r>
      <w:proofErr w:type="gramStart"/>
      <w:r w:rsidRPr="007E6400">
        <w:rPr>
          <w:rFonts w:ascii="Times New Roman" w:eastAsia="Times New Roman" w:hAnsi="Times New Roman" w:cs="Times New Roman"/>
        </w:rPr>
        <w:t>interaction  between</w:t>
      </w:r>
      <w:proofErr w:type="gramEnd"/>
      <w:r w:rsidRPr="007E6400">
        <w:rPr>
          <w:rFonts w:ascii="Times New Roman" w:eastAsia="Times New Roman" w:hAnsi="Times New Roman" w:cs="Times New Roman"/>
        </w:rPr>
        <w:t xml:space="preserve"> treat and package on (S.V.I)     </w:t>
      </w:r>
    </w:p>
    <w:p w:rsidR="00154A2E" w:rsidRPr="007E6400" w:rsidRDefault="00154A2E" w:rsidP="00154A2E">
      <w:pPr>
        <w:bidi w:val="0"/>
        <w:spacing w:before="240" w:after="0"/>
        <w:ind w:firstLine="720"/>
        <w:jc w:val="both"/>
        <w:rPr>
          <w:rFonts w:ascii="Times New Roman" w:hAnsi="Times New Roman" w:cs="Times New Roman"/>
          <w:sz w:val="24"/>
          <w:szCs w:val="24"/>
        </w:rPr>
      </w:pPr>
      <w:r w:rsidRPr="007E6400">
        <w:rPr>
          <w:noProof/>
        </w:rPr>
        <w:drawing>
          <wp:inline distT="0" distB="0" distL="0" distR="0" wp14:anchorId="774B20D9" wp14:editId="1838106F">
            <wp:extent cx="1940118" cy="1669774"/>
            <wp:effectExtent l="0" t="0" r="3175" b="698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54A2E" w:rsidRPr="007E6400" w:rsidRDefault="006558F2" w:rsidP="00B7739F">
      <w:pPr>
        <w:bidi w:val="0"/>
        <w:spacing w:after="0" w:line="240" w:lineRule="auto"/>
        <w:ind w:left="454" w:hanging="454"/>
        <w:rPr>
          <w:rFonts w:ascii="Times New Roman" w:eastAsia="Times New Roman" w:hAnsi="Times New Roman" w:cs="Times New Roman"/>
        </w:rPr>
      </w:pPr>
      <w:r w:rsidRPr="007E6400">
        <w:rPr>
          <w:rFonts w:ascii="Times New Roman" w:eastAsia="Times New Roman" w:hAnsi="Times New Roman" w:cs="Times New Roman"/>
        </w:rPr>
        <w:t xml:space="preserve"> </w:t>
      </w:r>
      <w:r w:rsidR="00154A2E" w:rsidRPr="007E6400">
        <w:rPr>
          <w:rFonts w:ascii="Times New Roman" w:eastAsia="Times New Roman" w:hAnsi="Times New Roman" w:cs="Times New Roman"/>
        </w:rPr>
        <w:t xml:space="preserve">Fig (7): Effect of interaction   between </w:t>
      </w:r>
    </w:p>
    <w:p w:rsidR="00154A2E" w:rsidRPr="007E6400" w:rsidRDefault="00154A2E" w:rsidP="00154A2E">
      <w:pPr>
        <w:bidi w:val="0"/>
        <w:spacing w:after="0" w:line="240" w:lineRule="auto"/>
        <w:ind w:left="340" w:hanging="340"/>
        <w:rPr>
          <w:rFonts w:ascii="Times New Roman" w:eastAsia="Times New Roman" w:hAnsi="Times New Roman" w:cs="Times New Roman"/>
        </w:rPr>
      </w:pPr>
      <w:r w:rsidRPr="007E6400">
        <w:rPr>
          <w:rFonts w:ascii="Times New Roman" w:eastAsia="Times New Roman" w:hAnsi="Times New Roman" w:cs="Times New Roman"/>
        </w:rPr>
        <w:t xml:space="preserve">      </w:t>
      </w:r>
      <w:r w:rsidR="006558F2" w:rsidRPr="007E6400">
        <w:rPr>
          <w:rFonts w:ascii="Times New Roman" w:eastAsia="Times New Roman" w:hAnsi="Times New Roman" w:cs="Times New Roman"/>
        </w:rPr>
        <w:t xml:space="preserve">  </w:t>
      </w:r>
      <w:r w:rsidRPr="007E6400">
        <w:rPr>
          <w:rFonts w:ascii="Times New Roman" w:eastAsia="Times New Roman" w:hAnsi="Times New Roman" w:cs="Times New Roman"/>
        </w:rPr>
        <w:t xml:space="preserve"> treat and package on (E.C)</w:t>
      </w:r>
    </w:p>
    <w:p w:rsidR="00A14344" w:rsidRPr="007E6400" w:rsidRDefault="00A14344" w:rsidP="00154A2E">
      <w:pPr>
        <w:bidi w:val="0"/>
        <w:spacing w:before="240" w:after="0"/>
        <w:ind w:firstLine="720"/>
        <w:jc w:val="both"/>
        <w:rPr>
          <w:rFonts w:ascii="Times New Roman" w:hAnsi="Times New Roman" w:cs="Times New Roman"/>
          <w:sz w:val="24"/>
          <w:szCs w:val="24"/>
        </w:rPr>
        <w:sectPr w:rsidR="00A14344" w:rsidRPr="007E6400" w:rsidSect="00A14344">
          <w:type w:val="continuous"/>
          <w:pgSz w:w="11906" w:h="16838"/>
          <w:pgMar w:top="1440" w:right="1800" w:bottom="1440" w:left="1800" w:header="708" w:footer="708" w:gutter="0"/>
          <w:cols w:num="2" w:space="709"/>
          <w:bidi/>
          <w:rtlGutter/>
          <w:docGrid w:linePitch="360"/>
        </w:sectPr>
      </w:pPr>
    </w:p>
    <w:p w:rsidR="00102D71" w:rsidRPr="007E6400" w:rsidRDefault="00102D71" w:rsidP="00102D71">
      <w:pPr>
        <w:bidi w:val="0"/>
        <w:spacing w:before="240" w:after="0"/>
        <w:ind w:firstLine="720"/>
        <w:jc w:val="both"/>
        <w:rPr>
          <w:rFonts w:ascii="Times New Roman" w:hAnsi="Times New Roman" w:cs="Times New Roman"/>
          <w:sz w:val="24"/>
          <w:szCs w:val="24"/>
        </w:rPr>
      </w:pPr>
      <w:r w:rsidRPr="007E6400">
        <w:rPr>
          <w:noProof/>
        </w:rPr>
        <w:drawing>
          <wp:inline distT="0" distB="0" distL="0" distR="0" wp14:anchorId="39DB1F82" wp14:editId="26548602">
            <wp:extent cx="1775706" cy="1586927"/>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73F67" w:rsidRPr="007E6400" w:rsidRDefault="00873F67" w:rsidP="00345C93">
      <w:pPr>
        <w:bidi w:val="0"/>
        <w:spacing w:after="0" w:line="240" w:lineRule="auto"/>
        <w:ind w:left="567" w:hanging="567"/>
        <w:rPr>
          <w:rFonts w:ascii="Times New Roman" w:hAnsi="Times New Roman" w:cs="Times New Roman"/>
          <w:lang w:bidi="ar-EG"/>
        </w:rPr>
      </w:pPr>
      <w:r w:rsidRPr="007E6400">
        <w:rPr>
          <w:rFonts w:ascii="Times New Roman" w:eastAsia="Times New Roman" w:hAnsi="Times New Roman" w:cs="Times New Roman"/>
          <w:sz w:val="20"/>
          <w:szCs w:val="20"/>
        </w:rPr>
        <w:t xml:space="preserve">Fig (10): Effect of </w:t>
      </w:r>
      <w:proofErr w:type="gramStart"/>
      <w:r w:rsidRPr="007E6400">
        <w:rPr>
          <w:rFonts w:ascii="Times New Roman" w:eastAsia="Times New Roman" w:hAnsi="Times New Roman" w:cs="Times New Roman"/>
          <w:sz w:val="20"/>
          <w:szCs w:val="20"/>
        </w:rPr>
        <w:t>interaction  between</w:t>
      </w:r>
      <w:proofErr w:type="gramEnd"/>
      <w:r w:rsidRPr="007E6400">
        <w:rPr>
          <w:rFonts w:ascii="Times New Roman" w:eastAsia="Times New Roman" w:hAnsi="Times New Roman" w:cs="Times New Roman"/>
          <w:sz w:val="20"/>
          <w:szCs w:val="20"/>
        </w:rPr>
        <w:t xml:space="preserve"> treat and package on (S.D.W)</w:t>
      </w:r>
    </w:p>
    <w:p w:rsidR="00873F67" w:rsidRPr="007E6400" w:rsidRDefault="00873F67" w:rsidP="00873F67">
      <w:pPr>
        <w:bidi w:val="0"/>
        <w:spacing w:before="240" w:after="0"/>
        <w:ind w:firstLine="720"/>
        <w:jc w:val="both"/>
        <w:rPr>
          <w:rFonts w:ascii="Times New Roman" w:hAnsi="Times New Roman" w:cs="Times New Roman"/>
          <w:sz w:val="24"/>
          <w:szCs w:val="24"/>
        </w:rPr>
      </w:pPr>
    </w:p>
    <w:p w:rsidR="00AC3AB0" w:rsidRPr="007E6400" w:rsidRDefault="00A14344" w:rsidP="00102D71">
      <w:pPr>
        <w:bidi w:val="0"/>
        <w:spacing w:before="240" w:after="0"/>
        <w:ind w:firstLine="720"/>
        <w:jc w:val="both"/>
        <w:rPr>
          <w:rFonts w:ascii="Times New Roman" w:hAnsi="Times New Roman" w:cs="Times New Roman"/>
          <w:sz w:val="24"/>
          <w:szCs w:val="24"/>
        </w:rPr>
      </w:pPr>
      <w:r w:rsidRPr="007E6400">
        <w:rPr>
          <w:noProof/>
        </w:rPr>
        <w:drawing>
          <wp:inline distT="0" distB="0" distL="0" distR="0" wp14:anchorId="13A5D505" wp14:editId="5BE9CF92">
            <wp:extent cx="1741336" cy="1637969"/>
            <wp:effectExtent l="0" t="0" r="0" b="63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02D71" w:rsidRPr="007E6400" w:rsidRDefault="00102D71" w:rsidP="009E563A">
      <w:pPr>
        <w:bidi w:val="0"/>
        <w:spacing w:after="0"/>
        <w:ind w:left="397" w:hanging="397"/>
        <w:jc w:val="both"/>
        <w:rPr>
          <w:rFonts w:ascii="Times New Roman" w:eastAsia="Times New Roman" w:hAnsi="Times New Roman" w:cs="Times New Roman"/>
          <w:sz w:val="20"/>
          <w:szCs w:val="20"/>
        </w:rPr>
      </w:pPr>
      <w:r w:rsidRPr="007E6400">
        <w:rPr>
          <w:rFonts w:ascii="Times New Roman" w:eastAsia="Times New Roman" w:hAnsi="Times New Roman" w:cs="Times New Roman"/>
          <w:sz w:val="20"/>
          <w:szCs w:val="20"/>
        </w:rPr>
        <w:t>Fig (</w:t>
      </w:r>
      <w:r w:rsidR="009E563A" w:rsidRPr="007E6400">
        <w:rPr>
          <w:rFonts w:ascii="Times New Roman" w:eastAsia="Times New Roman" w:hAnsi="Times New Roman" w:cs="Times New Roman"/>
          <w:sz w:val="20"/>
          <w:szCs w:val="20"/>
        </w:rPr>
        <w:t>9</w:t>
      </w:r>
      <w:r w:rsidRPr="007E6400">
        <w:rPr>
          <w:rFonts w:ascii="Times New Roman" w:eastAsia="Times New Roman" w:hAnsi="Times New Roman" w:cs="Times New Roman"/>
          <w:sz w:val="20"/>
          <w:szCs w:val="20"/>
        </w:rPr>
        <w:t xml:space="preserve">): Effect of </w:t>
      </w:r>
      <w:proofErr w:type="gramStart"/>
      <w:r w:rsidRPr="007E6400">
        <w:rPr>
          <w:rFonts w:ascii="Times New Roman" w:eastAsia="Times New Roman" w:hAnsi="Times New Roman" w:cs="Times New Roman"/>
          <w:sz w:val="20"/>
          <w:szCs w:val="20"/>
        </w:rPr>
        <w:t>interaction  between</w:t>
      </w:r>
      <w:proofErr w:type="gramEnd"/>
    </w:p>
    <w:p w:rsidR="00102D71" w:rsidRPr="007E6400" w:rsidRDefault="00102D71" w:rsidP="00102D71">
      <w:pPr>
        <w:bidi w:val="0"/>
        <w:spacing w:after="0"/>
        <w:ind w:left="397" w:hanging="397"/>
        <w:jc w:val="both"/>
        <w:rPr>
          <w:rFonts w:ascii="Times New Roman" w:hAnsi="Times New Roman" w:cs="Times New Roman"/>
          <w:sz w:val="20"/>
          <w:szCs w:val="20"/>
        </w:rPr>
      </w:pPr>
      <w:r w:rsidRPr="007E6400">
        <w:rPr>
          <w:rFonts w:ascii="Times New Roman" w:eastAsia="Times New Roman" w:hAnsi="Times New Roman" w:cs="Times New Roman"/>
          <w:sz w:val="20"/>
          <w:szCs w:val="20"/>
        </w:rPr>
        <w:t xml:space="preserve"> </w:t>
      </w:r>
      <w:r w:rsidR="009E563A" w:rsidRPr="007E6400">
        <w:rPr>
          <w:rFonts w:ascii="Times New Roman" w:eastAsia="Times New Roman" w:hAnsi="Times New Roman" w:cs="Times New Roman"/>
          <w:sz w:val="20"/>
          <w:szCs w:val="20"/>
        </w:rPr>
        <w:t xml:space="preserve">      </w:t>
      </w:r>
      <w:r w:rsidRPr="007E6400">
        <w:rPr>
          <w:rFonts w:ascii="Times New Roman" w:eastAsia="Times New Roman" w:hAnsi="Times New Roman" w:cs="Times New Roman"/>
          <w:sz w:val="20"/>
          <w:szCs w:val="20"/>
        </w:rPr>
        <w:t xml:space="preserve">treat and </w:t>
      </w:r>
      <w:proofErr w:type="gramStart"/>
      <w:r w:rsidRPr="007E6400">
        <w:rPr>
          <w:rFonts w:ascii="Times New Roman" w:eastAsia="Times New Roman" w:hAnsi="Times New Roman" w:cs="Times New Roman"/>
          <w:sz w:val="20"/>
          <w:szCs w:val="20"/>
        </w:rPr>
        <w:t>package  on</w:t>
      </w:r>
      <w:proofErr w:type="gramEnd"/>
      <w:r w:rsidRPr="007E6400">
        <w:rPr>
          <w:rFonts w:ascii="Times New Roman" w:eastAsia="Times New Roman" w:hAnsi="Times New Roman" w:cs="Times New Roman"/>
          <w:sz w:val="20"/>
          <w:szCs w:val="20"/>
        </w:rPr>
        <w:t xml:space="preserve"> shoot length</w:t>
      </w:r>
    </w:p>
    <w:p w:rsidR="00102D71" w:rsidRPr="007E6400" w:rsidRDefault="00102D71" w:rsidP="00B7739F">
      <w:pPr>
        <w:bidi w:val="0"/>
        <w:spacing w:before="240" w:after="0"/>
        <w:jc w:val="both"/>
        <w:rPr>
          <w:rFonts w:ascii="Times New Roman" w:hAnsi="Times New Roman" w:cs="Times New Roman"/>
          <w:sz w:val="24"/>
          <w:szCs w:val="24"/>
        </w:rPr>
        <w:sectPr w:rsidR="00102D71" w:rsidRPr="007E6400" w:rsidSect="00A14344">
          <w:type w:val="continuous"/>
          <w:pgSz w:w="11906" w:h="16838"/>
          <w:pgMar w:top="1440" w:right="1800" w:bottom="1440" w:left="1800" w:header="708" w:footer="708" w:gutter="0"/>
          <w:cols w:num="2" w:space="709"/>
          <w:bidi/>
          <w:rtlGutter/>
          <w:docGrid w:linePitch="360"/>
        </w:sectPr>
      </w:pPr>
    </w:p>
    <w:p w:rsidR="005F3559" w:rsidRPr="007E6400" w:rsidRDefault="005F3559" w:rsidP="00B7739F">
      <w:pPr>
        <w:bidi w:val="0"/>
        <w:spacing w:after="0"/>
        <w:jc w:val="both"/>
        <w:rPr>
          <w:rFonts w:ascii="Times New Roman" w:eastAsia="Times New Roman" w:hAnsi="Times New Roman" w:cs="Times New Roman"/>
          <w:sz w:val="20"/>
          <w:szCs w:val="20"/>
        </w:rPr>
        <w:sectPr w:rsidR="005F3559" w:rsidRPr="007E6400" w:rsidSect="005F3559">
          <w:type w:val="continuous"/>
          <w:pgSz w:w="11906" w:h="16838"/>
          <w:pgMar w:top="1440" w:right="1800" w:bottom="1440" w:left="1800" w:header="708" w:footer="708" w:gutter="0"/>
          <w:cols w:space="709"/>
          <w:bidi/>
          <w:rtlGutter/>
          <w:docGrid w:linePitch="360"/>
        </w:sectPr>
      </w:pPr>
      <w:r w:rsidRPr="007E6400">
        <w:rPr>
          <w:noProof/>
        </w:rPr>
        <w:drawing>
          <wp:inline distT="0" distB="0" distL="0" distR="0" wp14:anchorId="33CCFB11" wp14:editId="59C88BA6">
            <wp:extent cx="3061252" cy="1844703"/>
            <wp:effectExtent l="0" t="0" r="6350" b="317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B7447" w:rsidRPr="007E6400" w:rsidRDefault="008B7447" w:rsidP="00B7739F">
      <w:pPr>
        <w:bidi w:val="0"/>
        <w:spacing w:after="0"/>
        <w:jc w:val="both"/>
        <w:rPr>
          <w:rFonts w:ascii="Times New Roman" w:eastAsia="Times New Roman" w:hAnsi="Times New Roman" w:cs="Times New Roman"/>
          <w:sz w:val="20"/>
          <w:szCs w:val="20"/>
        </w:rPr>
      </w:pPr>
    </w:p>
    <w:p w:rsidR="008B7447" w:rsidRPr="007E6400" w:rsidRDefault="008B7447" w:rsidP="008B7447">
      <w:pPr>
        <w:bidi w:val="0"/>
        <w:spacing w:after="0"/>
        <w:ind w:left="397" w:hanging="397"/>
        <w:jc w:val="both"/>
        <w:rPr>
          <w:rFonts w:ascii="Times New Roman" w:eastAsia="Times New Roman" w:hAnsi="Times New Roman" w:cs="Times New Roman"/>
          <w:sz w:val="20"/>
          <w:szCs w:val="20"/>
        </w:rPr>
        <w:sectPr w:rsidR="008B7447" w:rsidRPr="007E6400" w:rsidSect="00A14344">
          <w:type w:val="continuous"/>
          <w:pgSz w:w="11906" w:h="16838"/>
          <w:pgMar w:top="1440" w:right="1800" w:bottom="1440" w:left="1800" w:header="708" w:footer="708" w:gutter="0"/>
          <w:cols w:num="2" w:space="709"/>
          <w:bidi/>
          <w:rtlGutter/>
          <w:docGrid w:linePitch="360"/>
        </w:sectPr>
      </w:pPr>
    </w:p>
    <w:p w:rsidR="00BD1830" w:rsidRPr="007E6400" w:rsidRDefault="00BD1830" w:rsidP="00BD1830">
      <w:pPr>
        <w:bidi w:val="0"/>
        <w:rPr>
          <w:rFonts w:ascii="Times New Roman" w:hAnsi="Times New Roman" w:cs="Times New Roman"/>
          <w:lang w:bidi="ar-EG"/>
        </w:rPr>
      </w:pPr>
    </w:p>
    <w:p w:rsidR="00BD1830" w:rsidRPr="007E6400" w:rsidRDefault="00BD1830" w:rsidP="00BD1830">
      <w:pPr>
        <w:bidi w:val="0"/>
        <w:spacing w:after="0" w:line="240" w:lineRule="auto"/>
        <w:ind w:left="567" w:hanging="567"/>
        <w:rPr>
          <w:rFonts w:ascii="Times New Roman" w:eastAsia="Times New Roman" w:hAnsi="Times New Roman" w:cs="Times New Roman"/>
        </w:rPr>
      </w:pPr>
    </w:p>
    <w:p w:rsidR="008B73FF" w:rsidRPr="007E6400" w:rsidRDefault="008B73FF" w:rsidP="008B73FF">
      <w:pPr>
        <w:bidi w:val="0"/>
        <w:spacing w:after="0" w:line="240" w:lineRule="auto"/>
        <w:ind w:left="567" w:hanging="567"/>
        <w:rPr>
          <w:rFonts w:ascii="Times New Roman" w:eastAsia="Times New Roman" w:hAnsi="Times New Roman" w:cs="Times New Roman"/>
        </w:rPr>
      </w:pPr>
      <w:r w:rsidRPr="007E6400">
        <w:rPr>
          <w:rFonts w:ascii="Times New Roman" w:eastAsia="Times New Roman" w:hAnsi="Times New Roman" w:cs="Times New Roman"/>
        </w:rPr>
        <w:t xml:space="preserve">Fig (11): Effect of </w:t>
      </w:r>
      <w:proofErr w:type="gramStart"/>
      <w:r w:rsidRPr="007E6400">
        <w:rPr>
          <w:rFonts w:ascii="Times New Roman" w:eastAsia="Times New Roman" w:hAnsi="Times New Roman" w:cs="Times New Roman"/>
        </w:rPr>
        <w:t>interaction  between</w:t>
      </w:r>
      <w:proofErr w:type="gramEnd"/>
      <w:r w:rsidRPr="007E6400">
        <w:rPr>
          <w:rFonts w:ascii="Times New Roman" w:eastAsia="Times New Roman" w:hAnsi="Times New Roman" w:cs="Times New Roman"/>
        </w:rPr>
        <w:t xml:space="preserve"> Treat  and cultivars on seed index</w:t>
      </w:r>
    </w:p>
    <w:p w:rsidR="00154A2E" w:rsidRPr="007E6400" w:rsidRDefault="00154A2E" w:rsidP="00154A2E">
      <w:pPr>
        <w:bidi w:val="0"/>
        <w:spacing w:before="240" w:after="0"/>
        <w:ind w:firstLine="720"/>
        <w:jc w:val="both"/>
        <w:rPr>
          <w:rFonts w:ascii="Times New Roman" w:hAnsi="Times New Roman" w:cs="Times New Roman"/>
          <w:sz w:val="24"/>
          <w:szCs w:val="24"/>
        </w:rPr>
      </w:pPr>
    </w:p>
    <w:p w:rsidR="006B043C" w:rsidRPr="007E6400" w:rsidRDefault="006B043C" w:rsidP="00B7739F">
      <w:pPr>
        <w:bidi w:val="0"/>
        <w:spacing w:before="240" w:after="0"/>
        <w:jc w:val="both"/>
        <w:rPr>
          <w:rFonts w:ascii="Times New Roman" w:hAnsi="Times New Roman" w:cs="Times New Roman"/>
          <w:sz w:val="24"/>
          <w:szCs w:val="24"/>
        </w:rPr>
        <w:sectPr w:rsidR="006B043C" w:rsidRPr="007E6400" w:rsidSect="00752B9E">
          <w:type w:val="continuous"/>
          <w:pgSz w:w="11906" w:h="16838"/>
          <w:pgMar w:top="1440" w:right="1800" w:bottom="1440" w:left="1800" w:header="708" w:footer="708" w:gutter="0"/>
          <w:cols w:num="2" w:space="709"/>
          <w:bidi/>
          <w:rtlGutter/>
          <w:docGrid w:linePitch="360"/>
        </w:sectPr>
      </w:pPr>
    </w:p>
    <w:p w:rsidR="00154A2E" w:rsidRPr="007E6400" w:rsidRDefault="006B043C" w:rsidP="00832086">
      <w:pPr>
        <w:bidi w:val="0"/>
        <w:spacing w:after="0" w:line="240" w:lineRule="auto"/>
        <w:ind w:firstLine="680"/>
        <w:jc w:val="both"/>
        <w:rPr>
          <w:rFonts w:ascii="Times New Roman" w:hAnsi="Times New Roman" w:cs="Times New Roman"/>
          <w:sz w:val="24"/>
          <w:szCs w:val="24"/>
          <w:lang w:bidi="ar-EG"/>
        </w:rPr>
      </w:pPr>
      <w:r w:rsidRPr="007E6400">
        <w:rPr>
          <w:rFonts w:ascii="Times New Roman" w:hAnsi="Times New Roman" w:cs="Times New Roman"/>
          <w:sz w:val="24"/>
          <w:szCs w:val="24"/>
          <w:lang w:bidi="ar-EG"/>
        </w:rPr>
        <w:t xml:space="preserve">The </w:t>
      </w:r>
      <w:r w:rsidR="00C519F2" w:rsidRPr="007E6400">
        <w:rPr>
          <w:rFonts w:ascii="Times New Roman" w:hAnsi="Times New Roman" w:cs="Times New Roman"/>
          <w:sz w:val="24"/>
          <w:szCs w:val="24"/>
          <w:lang w:bidi="ar-EG"/>
        </w:rPr>
        <w:t xml:space="preserve">effect of </w:t>
      </w:r>
      <w:r w:rsidRPr="007E6400">
        <w:rPr>
          <w:rFonts w:ascii="Times New Roman" w:hAnsi="Times New Roman" w:cs="Times New Roman"/>
          <w:sz w:val="24"/>
          <w:szCs w:val="24"/>
          <w:lang w:bidi="ar-EG"/>
        </w:rPr>
        <w:t xml:space="preserve">interaction between cultivars and storage time </w:t>
      </w:r>
      <w:r w:rsidR="00C519F2" w:rsidRPr="007E6400">
        <w:rPr>
          <w:rFonts w:ascii="Times New Roman" w:hAnsi="Times New Roman" w:cs="Times New Roman"/>
          <w:sz w:val="24"/>
          <w:szCs w:val="24"/>
          <w:lang w:bidi="ar-EG"/>
        </w:rPr>
        <w:t xml:space="preserve">on seed index </w:t>
      </w:r>
      <w:r w:rsidRPr="007E6400">
        <w:rPr>
          <w:rFonts w:ascii="Times New Roman" w:hAnsi="Times New Roman" w:cs="Times New Roman"/>
          <w:sz w:val="24"/>
          <w:szCs w:val="24"/>
          <w:lang w:bidi="ar-EG"/>
        </w:rPr>
        <w:t>is presented in Fig. (</w:t>
      </w:r>
      <w:r w:rsidR="00AF3B91" w:rsidRPr="007E6400">
        <w:rPr>
          <w:rFonts w:ascii="Times New Roman" w:hAnsi="Times New Roman" w:cs="Times New Roman"/>
          <w:sz w:val="24"/>
          <w:szCs w:val="24"/>
          <w:lang w:bidi="ar-EG"/>
        </w:rPr>
        <w:t>12</w:t>
      </w:r>
      <w:r w:rsidRPr="007E6400">
        <w:rPr>
          <w:rFonts w:ascii="Times New Roman" w:hAnsi="Times New Roman" w:cs="Times New Roman"/>
          <w:sz w:val="24"/>
          <w:szCs w:val="24"/>
          <w:lang w:bidi="ar-EG"/>
        </w:rPr>
        <w:t>)</w:t>
      </w:r>
      <w:r w:rsidR="00AF3B91" w:rsidRPr="007E6400">
        <w:rPr>
          <w:rFonts w:ascii="Times New Roman" w:hAnsi="Times New Roman" w:cs="Times New Roman"/>
          <w:sz w:val="24"/>
          <w:szCs w:val="24"/>
          <w:lang w:bidi="ar-EG"/>
        </w:rPr>
        <w:t>.</w:t>
      </w:r>
      <w:r w:rsidRPr="007E6400">
        <w:rPr>
          <w:rFonts w:ascii="Times New Roman" w:hAnsi="Times New Roman" w:cs="Times New Roman"/>
          <w:sz w:val="24"/>
          <w:szCs w:val="24"/>
          <w:lang w:bidi="ar-EG"/>
        </w:rPr>
        <w:t xml:space="preserve"> </w:t>
      </w:r>
      <w:r w:rsidR="00AF3B91" w:rsidRPr="007E6400">
        <w:rPr>
          <w:rFonts w:ascii="Times New Roman" w:hAnsi="Times New Roman" w:cs="Times New Roman"/>
          <w:sz w:val="24"/>
          <w:szCs w:val="24"/>
          <w:lang w:bidi="ar-EG"/>
        </w:rPr>
        <w:t>Giza 171</w:t>
      </w:r>
      <w:r w:rsidRPr="007E6400">
        <w:rPr>
          <w:rFonts w:ascii="Times New Roman" w:hAnsi="Times New Roman" w:cs="Times New Roman"/>
          <w:sz w:val="24"/>
          <w:szCs w:val="24"/>
          <w:lang w:bidi="ar-EG"/>
        </w:rPr>
        <w:t xml:space="preserve"> gave the highest </w:t>
      </w:r>
      <w:r w:rsidR="00AF3B91" w:rsidRPr="007E6400">
        <w:rPr>
          <w:rFonts w:ascii="Times New Roman" w:hAnsi="Times New Roman" w:cs="Times New Roman"/>
          <w:sz w:val="24"/>
          <w:szCs w:val="24"/>
          <w:lang w:bidi="ar-EG"/>
        </w:rPr>
        <w:t>seed index</w:t>
      </w:r>
      <w:r w:rsidR="00AF3B91" w:rsidRPr="007E6400">
        <w:rPr>
          <w:rFonts w:ascii="Times New Roman" w:hAnsi="Times New Roman" w:cs="Times New Roman"/>
          <w:sz w:val="24"/>
          <w:szCs w:val="24"/>
        </w:rPr>
        <w:t>.</w:t>
      </w:r>
      <w:r w:rsidRPr="007E6400">
        <w:rPr>
          <w:rFonts w:ascii="Times New Roman" w:hAnsi="Times New Roman" w:cs="Times New Roman"/>
          <w:sz w:val="24"/>
          <w:szCs w:val="24"/>
        </w:rPr>
        <w:t xml:space="preserve"> Meanwhile, after </w:t>
      </w:r>
      <w:r w:rsidR="00C519F2" w:rsidRPr="007E6400">
        <w:rPr>
          <w:rFonts w:ascii="Times New Roman" w:hAnsi="Times New Roman" w:cs="Times New Roman"/>
          <w:sz w:val="24"/>
          <w:szCs w:val="24"/>
        </w:rPr>
        <w:t>3</w:t>
      </w:r>
      <w:r w:rsidR="00AF3B91" w:rsidRPr="007E6400">
        <w:rPr>
          <w:rFonts w:ascii="Times New Roman" w:hAnsi="Times New Roman" w:cs="Times New Roman"/>
          <w:sz w:val="24"/>
          <w:szCs w:val="24"/>
        </w:rPr>
        <w:t xml:space="preserve"> and 6 </w:t>
      </w:r>
      <w:r w:rsidRPr="007E6400">
        <w:rPr>
          <w:rFonts w:ascii="Times New Roman" w:hAnsi="Times New Roman" w:cs="Times New Roman"/>
          <w:sz w:val="24"/>
          <w:szCs w:val="24"/>
        </w:rPr>
        <w:t xml:space="preserve">months, Giza </w:t>
      </w:r>
      <w:r w:rsidR="00AF3B91" w:rsidRPr="007E6400">
        <w:rPr>
          <w:rFonts w:ascii="Times New Roman" w:hAnsi="Times New Roman" w:cs="Times New Roman"/>
          <w:sz w:val="24"/>
          <w:szCs w:val="24"/>
        </w:rPr>
        <w:t>171</w:t>
      </w:r>
      <w:r w:rsidRPr="007E6400">
        <w:rPr>
          <w:rFonts w:ascii="Times New Roman" w:hAnsi="Times New Roman" w:cs="Times New Roman"/>
          <w:sz w:val="24"/>
          <w:szCs w:val="24"/>
        </w:rPr>
        <w:t xml:space="preserve"> gave the </w:t>
      </w:r>
      <w:r w:rsidR="00AF3B91" w:rsidRPr="007E6400">
        <w:rPr>
          <w:rFonts w:ascii="Times New Roman" w:hAnsi="Times New Roman" w:cs="Times New Roman"/>
          <w:sz w:val="24"/>
          <w:szCs w:val="24"/>
        </w:rPr>
        <w:t>highest</w:t>
      </w:r>
      <w:r w:rsidRPr="007E6400">
        <w:rPr>
          <w:rFonts w:ascii="Times New Roman" w:hAnsi="Times New Roman" w:cs="Times New Roman"/>
          <w:sz w:val="24"/>
          <w:szCs w:val="24"/>
        </w:rPr>
        <w:t xml:space="preserve"> </w:t>
      </w:r>
      <w:r w:rsidRPr="007E6400">
        <w:rPr>
          <w:rFonts w:ascii="Times New Roman" w:hAnsi="Times New Roman" w:cs="Times New Roman"/>
          <w:sz w:val="24"/>
          <w:szCs w:val="24"/>
          <w:lang w:bidi="ar-EG"/>
        </w:rPr>
        <w:t>seed index</w:t>
      </w:r>
      <w:r w:rsidR="00AF3B91" w:rsidRPr="007E6400">
        <w:rPr>
          <w:rFonts w:ascii="Times New Roman" w:hAnsi="Times New Roman" w:cs="Times New Roman"/>
          <w:sz w:val="24"/>
          <w:szCs w:val="24"/>
          <w:lang w:bidi="ar-EG"/>
        </w:rPr>
        <w:t xml:space="preserve">. On the other hand, after </w:t>
      </w:r>
      <w:r w:rsidR="00C519F2" w:rsidRPr="007E6400">
        <w:rPr>
          <w:rFonts w:ascii="Times New Roman" w:hAnsi="Times New Roman" w:cs="Times New Roman"/>
          <w:sz w:val="24"/>
          <w:szCs w:val="24"/>
          <w:lang w:bidi="ar-EG"/>
        </w:rPr>
        <w:t>3</w:t>
      </w:r>
      <w:r w:rsidR="00AF3B91" w:rsidRPr="007E6400">
        <w:rPr>
          <w:rFonts w:ascii="Times New Roman" w:hAnsi="Times New Roman" w:cs="Times New Roman"/>
          <w:sz w:val="24"/>
          <w:szCs w:val="24"/>
          <w:lang w:bidi="ar-EG"/>
        </w:rPr>
        <w:t xml:space="preserve"> and 6 months Misr 1 gave the lowest seed index</w:t>
      </w:r>
      <w:r w:rsidR="00517E52" w:rsidRPr="007E6400">
        <w:rPr>
          <w:rFonts w:ascii="Times New Roman" w:hAnsi="Times New Roman" w:cs="Times New Roman"/>
          <w:sz w:val="24"/>
          <w:szCs w:val="24"/>
          <w:lang w:bidi="ar-EG"/>
        </w:rPr>
        <w:t xml:space="preserve">. </w:t>
      </w:r>
      <w:r w:rsidRPr="007E6400">
        <w:rPr>
          <w:rFonts w:ascii="Times New Roman" w:hAnsi="Times New Roman" w:cs="Times New Roman"/>
          <w:sz w:val="24"/>
          <w:szCs w:val="24"/>
          <w:lang w:bidi="ar-EG"/>
        </w:rPr>
        <w:t>These differences between cultivars might be due to the genetic factors and seed chemical composition influence the expression on seed deterioration and vigor decline (</w:t>
      </w:r>
      <w:r w:rsidR="00832086" w:rsidRPr="007E6400">
        <w:rPr>
          <w:rFonts w:ascii="Times New Roman" w:hAnsi="Times New Roman" w:cs="Times New Roman"/>
          <w:sz w:val="24"/>
          <w:szCs w:val="24"/>
          <w:lang w:bidi="ar-EG"/>
        </w:rPr>
        <w:t xml:space="preserve">Roberts </w:t>
      </w:r>
      <w:r w:rsidRPr="007E6400">
        <w:rPr>
          <w:rFonts w:ascii="Times New Roman" w:hAnsi="Times New Roman" w:cs="Times New Roman"/>
          <w:sz w:val="24"/>
          <w:szCs w:val="24"/>
          <w:lang w:bidi="ar-EG"/>
        </w:rPr>
        <w:t xml:space="preserve">1972). </w:t>
      </w:r>
    </w:p>
    <w:p w:rsidR="006B043C" w:rsidRPr="007E6400" w:rsidRDefault="006B043C" w:rsidP="00B7739F">
      <w:pPr>
        <w:bidi w:val="0"/>
        <w:spacing w:before="240" w:after="0"/>
        <w:jc w:val="both"/>
        <w:rPr>
          <w:rFonts w:ascii="Times New Roman" w:hAnsi="Times New Roman" w:cs="Times New Roman"/>
          <w:sz w:val="24"/>
          <w:szCs w:val="24"/>
        </w:rPr>
        <w:sectPr w:rsidR="006B043C" w:rsidRPr="007E6400" w:rsidSect="006B043C">
          <w:type w:val="continuous"/>
          <w:pgSz w:w="11906" w:h="16838"/>
          <w:pgMar w:top="1440" w:right="1800" w:bottom="1440" w:left="1800" w:header="708" w:footer="708" w:gutter="0"/>
          <w:cols w:space="709"/>
          <w:bidi/>
          <w:rtlGutter/>
          <w:docGrid w:linePitch="360"/>
        </w:sectPr>
      </w:pPr>
    </w:p>
    <w:p w:rsidR="003E4B63" w:rsidRPr="007E6400" w:rsidRDefault="003E4B63" w:rsidP="003E4B63">
      <w:pPr>
        <w:bidi w:val="0"/>
        <w:rPr>
          <w:rFonts w:ascii="Times New Roman" w:hAnsi="Times New Roman" w:cs="Times New Roman"/>
          <w:lang w:bidi="ar-EG"/>
        </w:rPr>
      </w:pPr>
      <w:r w:rsidRPr="007E6400">
        <w:rPr>
          <w:noProof/>
        </w:rPr>
        <w:lastRenderedPageBreak/>
        <w:drawing>
          <wp:inline distT="0" distB="0" distL="0" distR="0" wp14:anchorId="7DA23C4A" wp14:editId="53EFCCAE">
            <wp:extent cx="1796995" cy="1868557"/>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E4B63" w:rsidRPr="007E6400" w:rsidRDefault="003E4B63" w:rsidP="0018058F">
      <w:pPr>
        <w:bidi w:val="0"/>
        <w:spacing w:after="0" w:line="240" w:lineRule="auto"/>
        <w:ind w:left="567" w:hanging="567"/>
        <w:rPr>
          <w:rFonts w:ascii="Times New Roman" w:eastAsia="Times New Roman" w:hAnsi="Times New Roman" w:cs="Times New Roman"/>
        </w:rPr>
      </w:pPr>
      <w:r w:rsidRPr="007E6400">
        <w:rPr>
          <w:rFonts w:ascii="Times New Roman" w:eastAsia="Times New Roman" w:hAnsi="Times New Roman" w:cs="Times New Roman"/>
        </w:rPr>
        <w:t>Fig (</w:t>
      </w:r>
      <w:r w:rsidR="0018058F" w:rsidRPr="007E6400">
        <w:rPr>
          <w:rFonts w:ascii="Times New Roman" w:eastAsia="Times New Roman" w:hAnsi="Times New Roman" w:cs="Times New Roman"/>
        </w:rPr>
        <w:t>13</w:t>
      </w:r>
      <w:r w:rsidRPr="007E6400">
        <w:rPr>
          <w:rFonts w:ascii="Times New Roman" w:eastAsia="Times New Roman" w:hAnsi="Times New Roman" w:cs="Times New Roman"/>
        </w:rPr>
        <w:t xml:space="preserve">): Effect of interaction </w:t>
      </w:r>
      <w:r w:rsidR="0018058F" w:rsidRPr="007E6400">
        <w:rPr>
          <w:rFonts w:ascii="Times New Roman" w:eastAsia="Times New Roman" w:hAnsi="Times New Roman" w:cs="Times New Roman"/>
        </w:rPr>
        <w:t xml:space="preserve"> </w:t>
      </w:r>
      <w:r w:rsidR="00073A8B" w:rsidRPr="007E6400">
        <w:rPr>
          <w:rFonts w:ascii="Times New Roman" w:eastAsia="Times New Roman" w:hAnsi="Times New Roman" w:cs="Times New Roman"/>
        </w:rPr>
        <w:t xml:space="preserve"> between </w:t>
      </w:r>
      <w:proofErr w:type="gramStart"/>
      <w:r w:rsidR="00073A8B" w:rsidRPr="007E6400">
        <w:rPr>
          <w:rFonts w:ascii="Times New Roman" w:eastAsia="Times New Roman" w:hAnsi="Times New Roman" w:cs="Times New Roman"/>
        </w:rPr>
        <w:t>t</w:t>
      </w:r>
      <w:r w:rsidRPr="007E6400">
        <w:rPr>
          <w:rFonts w:ascii="Times New Roman" w:eastAsia="Times New Roman" w:hAnsi="Times New Roman" w:cs="Times New Roman"/>
        </w:rPr>
        <w:t>reat  and</w:t>
      </w:r>
      <w:proofErr w:type="gramEnd"/>
      <w:r w:rsidRPr="007E6400">
        <w:rPr>
          <w:rFonts w:ascii="Times New Roman" w:eastAsia="Times New Roman" w:hAnsi="Times New Roman" w:cs="Times New Roman"/>
        </w:rPr>
        <w:t xml:space="preserve"> cultivars on seed index</w:t>
      </w:r>
    </w:p>
    <w:p w:rsidR="003E4B63" w:rsidRPr="007E6400" w:rsidRDefault="003E4B63" w:rsidP="003E4B63">
      <w:pPr>
        <w:bidi w:val="0"/>
        <w:spacing w:after="0" w:line="240" w:lineRule="auto"/>
        <w:ind w:left="567" w:hanging="567"/>
        <w:rPr>
          <w:rFonts w:ascii="Times New Roman" w:eastAsia="Times New Roman" w:hAnsi="Times New Roman" w:cs="Times New Roman"/>
          <w:sz w:val="20"/>
          <w:szCs w:val="20"/>
        </w:rPr>
      </w:pPr>
    </w:p>
    <w:p w:rsidR="003E4B63" w:rsidRPr="007E6400" w:rsidRDefault="003E4B63" w:rsidP="003E4B63">
      <w:pPr>
        <w:bidi w:val="0"/>
        <w:spacing w:after="0" w:line="240" w:lineRule="auto"/>
        <w:ind w:left="567" w:hanging="567"/>
        <w:rPr>
          <w:rFonts w:ascii="Times New Roman" w:eastAsia="Times New Roman" w:hAnsi="Times New Roman" w:cs="Times New Roman"/>
          <w:sz w:val="20"/>
          <w:szCs w:val="20"/>
        </w:rPr>
      </w:pPr>
    </w:p>
    <w:p w:rsidR="003E4B63" w:rsidRPr="007E6400" w:rsidRDefault="00073A8B" w:rsidP="003E4B63">
      <w:pPr>
        <w:bidi w:val="0"/>
        <w:spacing w:after="0" w:line="240" w:lineRule="auto"/>
        <w:ind w:left="567" w:hanging="567"/>
        <w:rPr>
          <w:rFonts w:ascii="Times New Roman" w:eastAsia="Times New Roman" w:hAnsi="Times New Roman" w:cs="Times New Roman"/>
          <w:sz w:val="20"/>
          <w:szCs w:val="20"/>
        </w:rPr>
      </w:pPr>
      <w:r w:rsidRPr="007E6400">
        <w:rPr>
          <w:noProof/>
        </w:rPr>
        <w:drawing>
          <wp:inline distT="0" distB="0" distL="0" distR="0" wp14:anchorId="318C1B55" wp14:editId="670169D6">
            <wp:extent cx="2417196" cy="1868557"/>
            <wp:effectExtent l="0" t="0" r="254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73A8B" w:rsidRPr="007E6400" w:rsidRDefault="00073A8B" w:rsidP="003E4B63">
      <w:pPr>
        <w:bidi w:val="0"/>
        <w:spacing w:after="0" w:line="240" w:lineRule="auto"/>
        <w:ind w:left="567" w:hanging="567"/>
        <w:rPr>
          <w:rFonts w:ascii="Times New Roman" w:eastAsia="Times New Roman" w:hAnsi="Times New Roman" w:cs="Times New Roman"/>
          <w:sz w:val="20"/>
          <w:szCs w:val="20"/>
        </w:rPr>
      </w:pPr>
    </w:p>
    <w:p w:rsidR="003E4B63" w:rsidRPr="007E6400" w:rsidRDefault="003E4B63" w:rsidP="00073A8B">
      <w:pPr>
        <w:bidi w:val="0"/>
        <w:spacing w:after="0" w:line="240" w:lineRule="auto"/>
        <w:ind w:left="567" w:hanging="567"/>
        <w:rPr>
          <w:rFonts w:ascii="Times New Roman" w:eastAsia="Times New Roman" w:hAnsi="Times New Roman" w:cs="Times New Roman"/>
          <w:sz w:val="20"/>
          <w:szCs w:val="20"/>
        </w:rPr>
      </w:pPr>
      <w:r w:rsidRPr="007E6400">
        <w:rPr>
          <w:rFonts w:ascii="Times New Roman" w:eastAsia="Times New Roman" w:hAnsi="Times New Roman" w:cs="Times New Roman"/>
          <w:sz w:val="20"/>
          <w:szCs w:val="20"/>
        </w:rPr>
        <w:t xml:space="preserve">Fig (12): Effect of </w:t>
      </w:r>
      <w:proofErr w:type="gramStart"/>
      <w:r w:rsidRPr="007E6400">
        <w:rPr>
          <w:rFonts w:ascii="Times New Roman" w:eastAsia="Times New Roman" w:hAnsi="Times New Roman" w:cs="Times New Roman"/>
          <w:sz w:val="20"/>
          <w:szCs w:val="20"/>
        </w:rPr>
        <w:t>i</w:t>
      </w:r>
      <w:r w:rsidR="00073A8B" w:rsidRPr="007E6400">
        <w:rPr>
          <w:rFonts w:ascii="Times New Roman" w:eastAsia="Times New Roman" w:hAnsi="Times New Roman" w:cs="Times New Roman"/>
          <w:sz w:val="20"/>
          <w:szCs w:val="20"/>
        </w:rPr>
        <w:t>nteraction  between</w:t>
      </w:r>
      <w:proofErr w:type="gramEnd"/>
      <w:r w:rsidR="00073A8B" w:rsidRPr="007E6400">
        <w:rPr>
          <w:rFonts w:ascii="Times New Roman" w:eastAsia="Times New Roman" w:hAnsi="Times New Roman" w:cs="Times New Roman"/>
          <w:sz w:val="20"/>
          <w:szCs w:val="20"/>
        </w:rPr>
        <w:t xml:space="preserve"> storage period</w:t>
      </w:r>
      <w:r w:rsidRPr="007E6400">
        <w:rPr>
          <w:rFonts w:ascii="Times New Roman" w:eastAsia="Times New Roman" w:hAnsi="Times New Roman" w:cs="Times New Roman"/>
          <w:sz w:val="20"/>
          <w:szCs w:val="20"/>
        </w:rPr>
        <w:t xml:space="preserve">  and cultivars on seed index</w:t>
      </w:r>
    </w:p>
    <w:p w:rsidR="006B043C" w:rsidRPr="007E6400" w:rsidRDefault="006B043C" w:rsidP="00073A8B">
      <w:pPr>
        <w:bidi w:val="0"/>
        <w:spacing w:before="240" w:after="0"/>
        <w:jc w:val="both"/>
        <w:rPr>
          <w:rFonts w:ascii="Times New Roman" w:hAnsi="Times New Roman" w:cs="Times New Roman"/>
          <w:sz w:val="24"/>
          <w:szCs w:val="24"/>
        </w:rPr>
        <w:sectPr w:rsidR="006B043C" w:rsidRPr="007E6400" w:rsidSect="003E4B63">
          <w:type w:val="continuous"/>
          <w:pgSz w:w="11906" w:h="16838"/>
          <w:pgMar w:top="1440" w:right="1800" w:bottom="1440" w:left="1800" w:header="708" w:footer="708" w:gutter="0"/>
          <w:cols w:num="2" w:space="709"/>
          <w:bidi/>
          <w:rtlGutter/>
          <w:docGrid w:linePitch="360"/>
        </w:sectPr>
      </w:pPr>
    </w:p>
    <w:p w:rsidR="009D1804" w:rsidRPr="007E6400" w:rsidRDefault="009D1804" w:rsidP="00C519F2">
      <w:pPr>
        <w:bidi w:val="0"/>
        <w:spacing w:after="0" w:line="240" w:lineRule="auto"/>
        <w:ind w:firstLine="680"/>
        <w:jc w:val="both"/>
        <w:rPr>
          <w:rFonts w:ascii="Times New Roman" w:hAnsi="Times New Roman" w:cs="Times New Roman"/>
          <w:sz w:val="24"/>
          <w:szCs w:val="24"/>
          <w:lang w:bidi="ar-EG"/>
        </w:rPr>
      </w:pPr>
      <w:r w:rsidRPr="007E6400">
        <w:rPr>
          <w:rFonts w:ascii="Times New Roman" w:hAnsi="Times New Roman" w:cs="Times New Roman"/>
          <w:sz w:val="24"/>
          <w:szCs w:val="24"/>
          <w:lang w:bidi="ar-EG"/>
        </w:rPr>
        <w:t xml:space="preserve">The </w:t>
      </w:r>
      <w:r w:rsidR="00C519F2" w:rsidRPr="007E6400">
        <w:rPr>
          <w:rFonts w:ascii="Times New Roman" w:hAnsi="Times New Roman" w:cs="Times New Roman"/>
          <w:sz w:val="24"/>
          <w:szCs w:val="24"/>
          <w:lang w:bidi="ar-EG"/>
        </w:rPr>
        <w:t xml:space="preserve">effect of </w:t>
      </w:r>
      <w:r w:rsidRPr="007E6400">
        <w:rPr>
          <w:rFonts w:ascii="Times New Roman" w:hAnsi="Times New Roman" w:cs="Times New Roman"/>
          <w:sz w:val="24"/>
          <w:szCs w:val="24"/>
          <w:lang w:bidi="ar-EG"/>
        </w:rPr>
        <w:t xml:space="preserve">interaction between </w:t>
      </w:r>
      <w:r w:rsidR="0018058F" w:rsidRPr="007E6400">
        <w:rPr>
          <w:rFonts w:ascii="Times New Roman" w:hAnsi="Times New Roman" w:cs="Times New Roman"/>
          <w:sz w:val="24"/>
          <w:szCs w:val="24"/>
          <w:lang w:bidi="ar-EG"/>
        </w:rPr>
        <w:t xml:space="preserve">treatment and </w:t>
      </w:r>
      <w:r w:rsidRPr="007E6400">
        <w:rPr>
          <w:rFonts w:ascii="Times New Roman" w:hAnsi="Times New Roman" w:cs="Times New Roman"/>
          <w:sz w:val="24"/>
          <w:szCs w:val="24"/>
          <w:lang w:bidi="ar-EG"/>
        </w:rPr>
        <w:t xml:space="preserve">cultivars </w:t>
      </w:r>
      <w:r w:rsidR="00C519F2" w:rsidRPr="007E6400">
        <w:rPr>
          <w:rFonts w:ascii="Times New Roman" w:hAnsi="Times New Roman" w:cs="Times New Roman"/>
          <w:sz w:val="24"/>
          <w:szCs w:val="24"/>
          <w:lang w:bidi="ar-EG"/>
        </w:rPr>
        <w:t xml:space="preserve">on seed index </w:t>
      </w:r>
      <w:r w:rsidRPr="007E6400">
        <w:rPr>
          <w:rFonts w:ascii="Times New Roman" w:hAnsi="Times New Roman" w:cs="Times New Roman"/>
          <w:sz w:val="24"/>
          <w:szCs w:val="24"/>
          <w:lang w:bidi="ar-EG"/>
        </w:rPr>
        <w:t>is presented in Fig. (</w:t>
      </w:r>
      <w:r w:rsidR="0018058F" w:rsidRPr="007E6400">
        <w:rPr>
          <w:rFonts w:ascii="Times New Roman" w:hAnsi="Times New Roman" w:cs="Times New Roman"/>
          <w:sz w:val="24"/>
          <w:szCs w:val="24"/>
          <w:lang w:bidi="ar-EG"/>
        </w:rPr>
        <w:t>13)</w:t>
      </w:r>
      <w:r w:rsidRPr="007E6400">
        <w:rPr>
          <w:rFonts w:ascii="Times New Roman" w:hAnsi="Times New Roman" w:cs="Times New Roman"/>
          <w:sz w:val="24"/>
          <w:szCs w:val="24"/>
          <w:lang w:bidi="ar-EG"/>
        </w:rPr>
        <w:t xml:space="preserve">. </w:t>
      </w:r>
      <w:r w:rsidR="0018058F" w:rsidRPr="007E6400">
        <w:rPr>
          <w:rFonts w:ascii="Times New Roman" w:hAnsi="Times New Roman" w:cs="Times New Roman"/>
          <w:sz w:val="24"/>
          <w:szCs w:val="24"/>
          <w:lang w:bidi="ar-EG"/>
        </w:rPr>
        <w:t>Giza 171 gave the highest seed index</w:t>
      </w:r>
      <w:r w:rsidR="0018058F" w:rsidRPr="007E6400">
        <w:rPr>
          <w:rFonts w:ascii="Times New Roman" w:hAnsi="Times New Roman" w:cs="Times New Roman"/>
          <w:sz w:val="24"/>
          <w:szCs w:val="24"/>
        </w:rPr>
        <w:t xml:space="preserve">. Meanwhile, seed index was recorded highest value from seeds stored from normal treatment compared with </w:t>
      </w:r>
      <w:r w:rsidR="000C3A25" w:rsidRPr="007E6400">
        <w:rPr>
          <w:rFonts w:ascii="Times New Roman" w:hAnsi="Times New Roman" w:cs="Times New Roman"/>
          <w:sz w:val="24"/>
          <w:szCs w:val="24"/>
        </w:rPr>
        <w:t xml:space="preserve">drought treatment 58.58 and 53.58 g., respectively. </w:t>
      </w:r>
      <w:r w:rsidRPr="007E6400">
        <w:rPr>
          <w:rFonts w:ascii="Times New Roman" w:hAnsi="Times New Roman" w:cs="Times New Roman"/>
          <w:sz w:val="24"/>
          <w:szCs w:val="24"/>
          <w:lang w:bidi="ar-EG"/>
        </w:rPr>
        <w:t>These differences between cultivars might be due to the genetic factors and seed chemical composition influence the expression on seed deterioration and vigor d</w:t>
      </w:r>
      <w:r w:rsidR="00832086" w:rsidRPr="007E6400">
        <w:rPr>
          <w:rFonts w:ascii="Times New Roman" w:hAnsi="Times New Roman" w:cs="Times New Roman"/>
          <w:sz w:val="24"/>
          <w:szCs w:val="24"/>
          <w:lang w:bidi="ar-EG"/>
        </w:rPr>
        <w:t xml:space="preserve">ecline (Roberts </w:t>
      </w:r>
      <w:r w:rsidRPr="007E6400">
        <w:rPr>
          <w:rFonts w:ascii="Times New Roman" w:hAnsi="Times New Roman" w:cs="Times New Roman"/>
          <w:sz w:val="24"/>
          <w:szCs w:val="24"/>
          <w:lang w:bidi="ar-EG"/>
        </w:rPr>
        <w:t xml:space="preserve">1972). </w:t>
      </w:r>
    </w:p>
    <w:p w:rsidR="006C6AB4" w:rsidRPr="007E6400" w:rsidRDefault="00BC2447" w:rsidP="00C519F2">
      <w:pPr>
        <w:bidi w:val="0"/>
        <w:spacing w:after="0" w:line="240" w:lineRule="auto"/>
        <w:ind w:firstLine="680"/>
        <w:jc w:val="both"/>
        <w:rPr>
          <w:rFonts w:ascii="Times New Roman" w:hAnsi="Times New Roman" w:cs="Times New Roman"/>
          <w:sz w:val="24"/>
          <w:szCs w:val="24"/>
          <w:lang w:bidi="ar-EG"/>
        </w:rPr>
      </w:pPr>
      <w:r w:rsidRPr="007E6400">
        <w:rPr>
          <w:rFonts w:ascii="Times New Roman" w:hAnsi="Times New Roman" w:cs="Times New Roman"/>
          <w:sz w:val="24"/>
          <w:szCs w:val="24"/>
          <w:lang w:bidi="ar-EG"/>
        </w:rPr>
        <w:t>The interaction between storage time, treatment and storage package according to data collected is presented in Fig. (14,15). The shoot length and seed index</w:t>
      </w:r>
      <w:r w:rsidR="00E81E34" w:rsidRPr="007E6400">
        <w:rPr>
          <w:rFonts w:ascii="Times New Roman" w:hAnsi="Times New Roman" w:cs="Times New Roman"/>
          <w:sz w:val="24"/>
          <w:szCs w:val="24"/>
          <w:lang w:bidi="ar-EG"/>
        </w:rPr>
        <w:t xml:space="preserve"> </w:t>
      </w:r>
      <w:r w:rsidR="00C519F2" w:rsidRPr="007E6400">
        <w:rPr>
          <w:rFonts w:ascii="Times New Roman" w:hAnsi="Times New Roman" w:cs="Times New Roman"/>
          <w:sz w:val="24"/>
          <w:szCs w:val="24"/>
        </w:rPr>
        <w:t>of</w:t>
      </w:r>
      <w:r w:rsidR="00E81E34" w:rsidRPr="007E6400">
        <w:rPr>
          <w:rFonts w:ascii="Times New Roman" w:hAnsi="Times New Roman" w:cs="Times New Roman"/>
          <w:sz w:val="24"/>
          <w:szCs w:val="24"/>
        </w:rPr>
        <w:t xml:space="preserve"> </w:t>
      </w:r>
      <w:r w:rsidR="00C519F2" w:rsidRPr="007E6400">
        <w:rPr>
          <w:rFonts w:ascii="Times New Roman" w:hAnsi="Times New Roman" w:cs="Times New Roman"/>
          <w:sz w:val="24"/>
          <w:szCs w:val="24"/>
        </w:rPr>
        <w:t xml:space="preserve">stored </w:t>
      </w:r>
      <w:r w:rsidR="00E81E34" w:rsidRPr="007E6400">
        <w:rPr>
          <w:rFonts w:ascii="Times New Roman" w:hAnsi="Times New Roman" w:cs="Times New Roman"/>
          <w:sz w:val="24"/>
          <w:szCs w:val="24"/>
        </w:rPr>
        <w:t xml:space="preserve">seeds from normal treatment </w:t>
      </w:r>
      <w:r w:rsidR="00E81E34" w:rsidRPr="007E6400">
        <w:rPr>
          <w:rFonts w:ascii="Times New Roman" w:hAnsi="Times New Roman" w:cs="Times New Roman"/>
          <w:sz w:val="24"/>
          <w:szCs w:val="24"/>
          <w:lang w:bidi="ar-EG"/>
        </w:rPr>
        <w:t xml:space="preserve">inside both H.D.P and jute gave the highest </w:t>
      </w:r>
      <w:r w:rsidR="00E81E34" w:rsidRPr="007E6400">
        <w:rPr>
          <w:rFonts w:ascii="Times New Roman" w:hAnsi="Times New Roman" w:cs="Times New Roman"/>
          <w:sz w:val="24"/>
          <w:szCs w:val="24"/>
        </w:rPr>
        <w:t>value compared with drought treatment inside both package</w:t>
      </w:r>
      <w:r w:rsidR="006C6AB4" w:rsidRPr="007E6400">
        <w:rPr>
          <w:rFonts w:ascii="Times New Roman" w:hAnsi="Times New Roman" w:cs="Times New Roman"/>
          <w:sz w:val="24"/>
          <w:szCs w:val="24"/>
          <w:lang w:bidi="ar-EG"/>
        </w:rPr>
        <w:t>.</w:t>
      </w:r>
    </w:p>
    <w:p w:rsidR="008F0E9E" w:rsidRPr="007E6400" w:rsidRDefault="008F0E9E" w:rsidP="008F0E9E">
      <w:pPr>
        <w:bidi w:val="0"/>
        <w:spacing w:after="0" w:line="240" w:lineRule="auto"/>
        <w:ind w:firstLine="680"/>
        <w:jc w:val="both"/>
        <w:rPr>
          <w:rFonts w:ascii="Times New Roman" w:hAnsi="Times New Roman" w:cs="Times New Roman"/>
          <w:sz w:val="24"/>
          <w:szCs w:val="24"/>
          <w:lang w:bidi="ar-EG"/>
        </w:rPr>
      </w:pPr>
    </w:p>
    <w:p w:rsidR="008F0E9E" w:rsidRPr="007E6400" w:rsidRDefault="008F0E9E" w:rsidP="008F0E9E">
      <w:pPr>
        <w:bidi w:val="0"/>
        <w:spacing w:after="0" w:line="240" w:lineRule="auto"/>
        <w:ind w:firstLine="680"/>
        <w:jc w:val="both"/>
        <w:rPr>
          <w:rFonts w:ascii="Times New Roman" w:hAnsi="Times New Roman" w:cs="Times New Roman"/>
          <w:sz w:val="24"/>
          <w:szCs w:val="24"/>
          <w:lang w:bidi="ar-EG"/>
        </w:rPr>
        <w:sectPr w:rsidR="008F0E9E" w:rsidRPr="007E6400" w:rsidSect="009D1804">
          <w:type w:val="continuous"/>
          <w:pgSz w:w="11906" w:h="16838"/>
          <w:pgMar w:top="1440" w:right="1800" w:bottom="1440" w:left="1800" w:header="708" w:footer="708" w:gutter="0"/>
          <w:cols w:space="708"/>
          <w:bidi/>
          <w:rtlGutter/>
          <w:docGrid w:linePitch="360"/>
        </w:sectPr>
      </w:pPr>
    </w:p>
    <w:p w:rsidR="008F0E9E" w:rsidRPr="007E6400" w:rsidRDefault="008F0E9E" w:rsidP="008F0E9E">
      <w:pPr>
        <w:bidi w:val="0"/>
        <w:spacing w:before="120" w:after="120" w:line="240" w:lineRule="auto"/>
        <w:rPr>
          <w:rFonts w:ascii="Times New Roman" w:hAnsi="Times New Roman" w:cs="Times New Roman"/>
          <w:sz w:val="26"/>
          <w:szCs w:val="26"/>
        </w:rPr>
      </w:pPr>
      <w:r w:rsidRPr="007E6400">
        <w:rPr>
          <w:noProof/>
        </w:rPr>
        <w:lastRenderedPageBreak/>
        <w:drawing>
          <wp:inline distT="0" distB="0" distL="0" distR="0" wp14:anchorId="3C462E67" wp14:editId="6B6F0254">
            <wp:extent cx="2759103" cy="1741336"/>
            <wp:effectExtent l="0" t="0" r="317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F3F84" w:rsidRPr="007E6400" w:rsidRDefault="001F3F84" w:rsidP="001F3F84">
      <w:pPr>
        <w:bidi w:val="0"/>
        <w:spacing w:before="120" w:after="120" w:line="240" w:lineRule="auto"/>
        <w:rPr>
          <w:rFonts w:ascii="Times New Roman" w:hAnsi="Times New Roman" w:cs="Times New Roman"/>
        </w:rPr>
      </w:pPr>
    </w:p>
    <w:p w:rsidR="008F0E9E" w:rsidRPr="007E6400" w:rsidRDefault="008F0E9E" w:rsidP="001F3F84">
      <w:pPr>
        <w:bidi w:val="0"/>
        <w:spacing w:before="120" w:after="120" w:line="240" w:lineRule="auto"/>
        <w:rPr>
          <w:rFonts w:ascii="Times New Roman" w:hAnsi="Times New Roman" w:cs="Times New Roman"/>
        </w:rPr>
      </w:pPr>
      <w:r w:rsidRPr="007E6400">
        <w:rPr>
          <w:rFonts w:ascii="Times New Roman" w:hAnsi="Times New Roman" w:cs="Times New Roman"/>
        </w:rPr>
        <w:t>Fig (15): Effe</w:t>
      </w:r>
      <w:r w:rsidR="001F3F84" w:rsidRPr="007E6400">
        <w:rPr>
          <w:rFonts w:ascii="Times New Roman" w:hAnsi="Times New Roman" w:cs="Times New Roman"/>
        </w:rPr>
        <w:t xml:space="preserve">ct of </w:t>
      </w:r>
      <w:proofErr w:type="gramStart"/>
      <w:r w:rsidR="001F3F84" w:rsidRPr="007E6400">
        <w:rPr>
          <w:rFonts w:ascii="Times New Roman" w:hAnsi="Times New Roman" w:cs="Times New Roman"/>
        </w:rPr>
        <w:t>interaction  between</w:t>
      </w:r>
      <w:proofErr w:type="gramEnd"/>
      <w:r w:rsidR="001F3F84" w:rsidRPr="007E6400">
        <w:rPr>
          <w:rFonts w:ascii="Times New Roman" w:hAnsi="Times New Roman" w:cs="Times New Roman"/>
        </w:rPr>
        <w:t xml:space="preserve"> </w:t>
      </w:r>
      <w:r w:rsidRPr="007E6400">
        <w:rPr>
          <w:rFonts w:ascii="Times New Roman" w:hAnsi="Times New Roman" w:cs="Times New Roman"/>
        </w:rPr>
        <w:t>storage</w:t>
      </w:r>
      <w:r w:rsidR="001F3F84" w:rsidRPr="007E6400">
        <w:rPr>
          <w:rFonts w:ascii="Times New Roman" w:hAnsi="Times New Roman" w:cs="Times New Roman"/>
        </w:rPr>
        <w:t xml:space="preserve"> period</w:t>
      </w:r>
      <w:r w:rsidRPr="007E6400">
        <w:rPr>
          <w:rFonts w:ascii="Times New Roman" w:hAnsi="Times New Roman" w:cs="Times New Roman"/>
        </w:rPr>
        <w:t>, treat and package</w:t>
      </w:r>
      <w:r w:rsidR="001F3F84" w:rsidRPr="007E6400">
        <w:rPr>
          <w:rFonts w:ascii="Times New Roman" w:hAnsi="Times New Roman" w:cs="Times New Roman"/>
        </w:rPr>
        <w:t xml:space="preserve"> on seed index</w:t>
      </w:r>
    </w:p>
    <w:p w:rsidR="008F0E9E" w:rsidRPr="007E6400" w:rsidRDefault="008F0E9E" w:rsidP="008F0E9E">
      <w:pPr>
        <w:bidi w:val="0"/>
        <w:spacing w:before="120" w:after="120" w:line="240" w:lineRule="auto"/>
        <w:rPr>
          <w:rFonts w:ascii="Times New Roman" w:hAnsi="Times New Roman" w:cs="Times New Roman"/>
          <w:sz w:val="24"/>
          <w:szCs w:val="24"/>
        </w:rPr>
      </w:pPr>
    </w:p>
    <w:p w:rsidR="008F0E9E" w:rsidRPr="007E6400" w:rsidRDefault="008F0E9E" w:rsidP="008F0E9E">
      <w:pPr>
        <w:bidi w:val="0"/>
        <w:spacing w:before="120" w:after="120" w:line="240" w:lineRule="auto"/>
        <w:rPr>
          <w:rFonts w:ascii="Times New Roman" w:hAnsi="Times New Roman" w:cs="Times New Roman"/>
          <w:sz w:val="24"/>
          <w:szCs w:val="24"/>
        </w:rPr>
      </w:pPr>
    </w:p>
    <w:p w:rsidR="008F0E9E" w:rsidRPr="007E6400" w:rsidRDefault="008F0E9E" w:rsidP="008F0E9E">
      <w:pPr>
        <w:bidi w:val="0"/>
        <w:spacing w:before="120" w:after="120" w:line="240" w:lineRule="auto"/>
        <w:rPr>
          <w:rFonts w:ascii="Times New Roman" w:hAnsi="Times New Roman" w:cs="Times New Roman"/>
          <w:sz w:val="24"/>
          <w:szCs w:val="24"/>
        </w:rPr>
      </w:pPr>
      <w:r w:rsidRPr="007E6400">
        <w:rPr>
          <w:noProof/>
        </w:rPr>
        <w:drawing>
          <wp:inline distT="0" distB="0" distL="0" distR="0" wp14:anchorId="1CB93359" wp14:editId="07F3A74A">
            <wp:extent cx="2409245" cy="1900362"/>
            <wp:effectExtent l="0" t="0" r="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F3F84" w:rsidRPr="007E6400" w:rsidRDefault="001F3F84" w:rsidP="008F0E9E">
      <w:pPr>
        <w:bidi w:val="0"/>
        <w:spacing w:before="120" w:after="120" w:line="240" w:lineRule="auto"/>
        <w:rPr>
          <w:rFonts w:ascii="Times New Roman" w:hAnsi="Times New Roman" w:cs="Times New Roman"/>
        </w:rPr>
      </w:pPr>
    </w:p>
    <w:p w:rsidR="00644E41" w:rsidRPr="007E6400" w:rsidRDefault="006E7C37" w:rsidP="001F3F84">
      <w:pPr>
        <w:bidi w:val="0"/>
        <w:spacing w:before="120" w:after="120" w:line="240" w:lineRule="auto"/>
        <w:rPr>
          <w:rFonts w:ascii="Times New Roman" w:hAnsi="Times New Roman" w:cs="Times New Roman"/>
          <w:sz w:val="24"/>
          <w:szCs w:val="24"/>
        </w:rPr>
      </w:pPr>
      <w:r w:rsidRPr="007E6400">
        <w:rPr>
          <w:rFonts w:ascii="Times New Roman" w:hAnsi="Times New Roman" w:cs="Times New Roman"/>
        </w:rPr>
        <w:t xml:space="preserve">Fig (14): Effect of </w:t>
      </w:r>
      <w:proofErr w:type="gramStart"/>
      <w:r w:rsidRPr="007E6400">
        <w:rPr>
          <w:rFonts w:ascii="Times New Roman" w:hAnsi="Times New Roman" w:cs="Times New Roman"/>
        </w:rPr>
        <w:t>interaction  between</w:t>
      </w:r>
      <w:proofErr w:type="gramEnd"/>
      <w:r w:rsidRPr="007E6400">
        <w:rPr>
          <w:rFonts w:ascii="Times New Roman" w:hAnsi="Times New Roman" w:cs="Times New Roman"/>
          <w:rtl/>
        </w:rPr>
        <w:t xml:space="preserve"> </w:t>
      </w:r>
      <w:r w:rsidRPr="007E6400">
        <w:rPr>
          <w:rFonts w:ascii="Times New Roman" w:hAnsi="Times New Roman" w:cs="Times New Roman"/>
        </w:rPr>
        <w:t xml:space="preserve"> storage period, treat an</w:t>
      </w:r>
      <w:r w:rsidR="001F3F84" w:rsidRPr="007E6400">
        <w:rPr>
          <w:rFonts w:ascii="Times New Roman" w:hAnsi="Times New Roman" w:cs="Times New Roman"/>
        </w:rPr>
        <w:t xml:space="preserve">d package on shoot length (cm </w:t>
      </w:r>
      <w:r w:rsidRPr="007E6400">
        <w:rPr>
          <w:rFonts w:ascii="Times New Roman" w:hAnsi="Times New Roman" w:cs="Times New Roman"/>
        </w:rPr>
        <w:t>)</w:t>
      </w:r>
    </w:p>
    <w:p w:rsidR="00644E41" w:rsidRPr="007E6400" w:rsidRDefault="00644E41" w:rsidP="006C6AB4">
      <w:pPr>
        <w:bidi w:val="0"/>
        <w:spacing w:before="120" w:after="120" w:line="240" w:lineRule="auto"/>
        <w:rPr>
          <w:rFonts w:ascii="Times New Roman" w:hAnsi="Times New Roman" w:cs="Times New Roman"/>
          <w:sz w:val="26"/>
          <w:szCs w:val="26"/>
        </w:rPr>
      </w:pPr>
    </w:p>
    <w:p w:rsidR="001F3F84" w:rsidRPr="007E6400" w:rsidRDefault="001F3F84" w:rsidP="006C6AB4">
      <w:pPr>
        <w:bidi w:val="0"/>
        <w:spacing w:after="0" w:line="216" w:lineRule="auto"/>
        <w:rPr>
          <w:rFonts w:ascii="Times New Roman" w:hAnsi="Times New Roman" w:cs="Times New Roman"/>
          <w:b/>
          <w:bCs/>
          <w:sz w:val="28"/>
          <w:szCs w:val="28"/>
        </w:rPr>
        <w:sectPr w:rsidR="001F3F84" w:rsidRPr="007E6400" w:rsidSect="008F0E9E">
          <w:type w:val="continuous"/>
          <w:pgSz w:w="11907" w:h="16839" w:code="9"/>
          <w:pgMar w:top="1440" w:right="1797" w:bottom="1440" w:left="1797" w:header="737" w:footer="737" w:gutter="0"/>
          <w:cols w:num="2" w:space="709"/>
          <w:bidi/>
          <w:rtlGutter/>
          <w:docGrid w:linePitch="360"/>
        </w:sectPr>
      </w:pPr>
    </w:p>
    <w:p w:rsidR="00E74144" w:rsidRPr="007E6400" w:rsidRDefault="00E74144" w:rsidP="006C6AB4">
      <w:pPr>
        <w:bidi w:val="0"/>
        <w:spacing w:after="0" w:line="216" w:lineRule="auto"/>
        <w:rPr>
          <w:rFonts w:ascii="Times New Roman" w:hAnsi="Times New Roman" w:cs="Times New Roman"/>
          <w:lang w:bidi="ar-EG"/>
        </w:rPr>
      </w:pPr>
      <w:r w:rsidRPr="007E6400">
        <w:rPr>
          <w:rFonts w:ascii="Times New Roman" w:hAnsi="Times New Roman" w:cs="Times New Roman"/>
          <w:b/>
          <w:bCs/>
          <w:sz w:val="28"/>
          <w:szCs w:val="28"/>
        </w:rPr>
        <w:t>Correlation between studied characters:-</w:t>
      </w:r>
    </w:p>
    <w:p w:rsidR="00E74144" w:rsidRPr="007E6400" w:rsidRDefault="00E74144" w:rsidP="00C519F2">
      <w:pPr>
        <w:bidi w:val="0"/>
        <w:spacing w:after="0" w:line="240" w:lineRule="auto"/>
        <w:ind w:firstLine="720"/>
        <w:jc w:val="both"/>
        <w:rPr>
          <w:rFonts w:ascii="Times New Roman" w:hAnsi="Times New Roman" w:cs="Times New Roman"/>
          <w:sz w:val="24"/>
          <w:szCs w:val="24"/>
        </w:rPr>
      </w:pPr>
      <w:r w:rsidRPr="007E6400">
        <w:rPr>
          <w:rFonts w:ascii="Times New Roman" w:hAnsi="Times New Roman" w:cs="Times New Roman"/>
          <w:sz w:val="24"/>
          <w:szCs w:val="24"/>
        </w:rPr>
        <w:t>Results in Table (</w:t>
      </w:r>
      <w:r w:rsidR="00705495" w:rsidRPr="007E6400">
        <w:rPr>
          <w:rFonts w:ascii="Times New Roman" w:hAnsi="Times New Roman" w:cs="Times New Roman"/>
          <w:sz w:val="24"/>
          <w:szCs w:val="24"/>
        </w:rPr>
        <w:t>3</w:t>
      </w:r>
      <w:r w:rsidRPr="007E6400">
        <w:rPr>
          <w:rFonts w:ascii="Times New Roman" w:hAnsi="Times New Roman" w:cs="Times New Roman"/>
          <w:sz w:val="24"/>
          <w:szCs w:val="24"/>
        </w:rPr>
        <w:t>) indicated positive correlation between germination percentage and each of root length, shoot length, seedling dry weight, seedling vigor index</w:t>
      </w:r>
      <w:r w:rsidR="00705495" w:rsidRPr="007E6400">
        <w:rPr>
          <w:rFonts w:ascii="Times New Roman" w:hAnsi="Times New Roman" w:cs="Times New Roman"/>
          <w:sz w:val="24"/>
          <w:szCs w:val="24"/>
        </w:rPr>
        <w:t xml:space="preserve"> and </w:t>
      </w:r>
      <w:r w:rsidRPr="007E6400">
        <w:rPr>
          <w:rFonts w:ascii="Times New Roman" w:hAnsi="Times New Roman" w:cs="Times New Roman"/>
          <w:sz w:val="24"/>
          <w:szCs w:val="24"/>
        </w:rPr>
        <w:t>seed index, In addition, positive correlation between root length and each of shoot length, seedling dry weight, seedling vigor index</w:t>
      </w:r>
      <w:r w:rsidR="00705495" w:rsidRPr="007E6400">
        <w:rPr>
          <w:rFonts w:ascii="Times New Roman" w:hAnsi="Times New Roman" w:cs="Times New Roman"/>
          <w:sz w:val="24"/>
          <w:szCs w:val="24"/>
        </w:rPr>
        <w:t xml:space="preserve"> and </w:t>
      </w:r>
      <w:r w:rsidRPr="007E6400">
        <w:rPr>
          <w:rFonts w:ascii="Times New Roman" w:hAnsi="Times New Roman" w:cs="Times New Roman"/>
          <w:sz w:val="24"/>
          <w:szCs w:val="24"/>
        </w:rPr>
        <w:t>seed index. Furthermore, shoot length showed highly significant and strong positive correlation with both seedling dry weight, seedling vigor index</w:t>
      </w:r>
      <w:r w:rsidR="00705495" w:rsidRPr="007E6400">
        <w:rPr>
          <w:rFonts w:ascii="Times New Roman" w:hAnsi="Times New Roman" w:cs="Times New Roman"/>
          <w:sz w:val="24"/>
          <w:szCs w:val="24"/>
        </w:rPr>
        <w:t xml:space="preserve"> and</w:t>
      </w:r>
      <w:r w:rsidRPr="007E6400">
        <w:rPr>
          <w:rFonts w:ascii="Times New Roman" w:hAnsi="Times New Roman" w:cs="Times New Roman"/>
          <w:sz w:val="24"/>
          <w:szCs w:val="24"/>
        </w:rPr>
        <w:t xml:space="preserve"> seed index</w:t>
      </w:r>
      <w:r w:rsidR="00705495" w:rsidRPr="007E6400">
        <w:rPr>
          <w:rFonts w:ascii="Times New Roman" w:hAnsi="Times New Roman" w:cs="Times New Roman"/>
          <w:sz w:val="24"/>
          <w:szCs w:val="24"/>
        </w:rPr>
        <w:t xml:space="preserve"> </w:t>
      </w:r>
      <w:r w:rsidRPr="007E6400">
        <w:rPr>
          <w:rFonts w:ascii="Times New Roman" w:hAnsi="Times New Roman" w:cs="Times New Roman"/>
          <w:sz w:val="24"/>
          <w:szCs w:val="24"/>
        </w:rPr>
        <w:t xml:space="preserve">Significant positive correlations among seedling dry weight seedling vigor </w:t>
      </w:r>
      <w:proofErr w:type="gramStart"/>
      <w:r w:rsidRPr="007E6400">
        <w:rPr>
          <w:rFonts w:ascii="Times New Roman" w:hAnsi="Times New Roman" w:cs="Times New Roman"/>
          <w:sz w:val="24"/>
          <w:szCs w:val="24"/>
        </w:rPr>
        <w:t>index</w:t>
      </w:r>
      <w:r w:rsidR="00705495" w:rsidRPr="007E6400">
        <w:rPr>
          <w:rFonts w:ascii="Times New Roman" w:hAnsi="Times New Roman" w:cs="Times New Roman"/>
          <w:sz w:val="24"/>
          <w:szCs w:val="24"/>
        </w:rPr>
        <w:t xml:space="preserve">  and</w:t>
      </w:r>
      <w:proofErr w:type="gramEnd"/>
      <w:r w:rsidR="00705495" w:rsidRPr="007E6400">
        <w:rPr>
          <w:rFonts w:ascii="Times New Roman" w:hAnsi="Times New Roman" w:cs="Times New Roman"/>
          <w:sz w:val="24"/>
          <w:szCs w:val="24"/>
        </w:rPr>
        <w:t xml:space="preserve"> </w:t>
      </w:r>
      <w:r w:rsidRPr="007E6400">
        <w:rPr>
          <w:rFonts w:ascii="Times New Roman" w:hAnsi="Times New Roman" w:cs="Times New Roman"/>
          <w:sz w:val="24"/>
          <w:szCs w:val="24"/>
        </w:rPr>
        <w:t>seed index</w:t>
      </w:r>
      <w:r w:rsidR="00705495" w:rsidRPr="007E6400">
        <w:rPr>
          <w:rFonts w:ascii="Times New Roman" w:hAnsi="Times New Roman" w:cs="Times New Roman"/>
          <w:sz w:val="24"/>
          <w:szCs w:val="24"/>
        </w:rPr>
        <w:t>.</w:t>
      </w:r>
      <w:r w:rsidRPr="007E6400">
        <w:rPr>
          <w:rFonts w:ascii="Times New Roman" w:hAnsi="Times New Roman" w:cs="Times New Roman"/>
          <w:sz w:val="24"/>
          <w:szCs w:val="24"/>
        </w:rPr>
        <w:t xml:space="preserve"> Meanwhile. Seedling vigor index showed positive correlation with seed index</w:t>
      </w:r>
      <w:r w:rsidR="00652D6D" w:rsidRPr="007E6400">
        <w:rPr>
          <w:rFonts w:ascii="Times New Roman" w:hAnsi="Times New Roman" w:cs="Times New Roman"/>
          <w:sz w:val="24"/>
          <w:szCs w:val="24"/>
        </w:rPr>
        <w:t>.</w:t>
      </w:r>
      <w:r w:rsidRPr="007E6400">
        <w:rPr>
          <w:rFonts w:ascii="Times New Roman" w:hAnsi="Times New Roman" w:cs="Times New Roman"/>
          <w:sz w:val="24"/>
          <w:szCs w:val="24"/>
        </w:rPr>
        <w:t xml:space="preserve"> On the other hand, negative correlation between germination percentage and E.C., between root length and E.C, between shoot length and E.C</w:t>
      </w:r>
      <w:r w:rsidR="00652D6D" w:rsidRPr="007E6400">
        <w:rPr>
          <w:rFonts w:ascii="Times New Roman" w:hAnsi="Times New Roman" w:cs="Times New Roman"/>
          <w:sz w:val="24"/>
          <w:szCs w:val="24"/>
        </w:rPr>
        <w:t xml:space="preserve">, </w:t>
      </w:r>
      <w:r w:rsidRPr="007E6400">
        <w:rPr>
          <w:rFonts w:ascii="Times New Roman" w:hAnsi="Times New Roman" w:cs="Times New Roman"/>
          <w:sz w:val="24"/>
          <w:szCs w:val="24"/>
        </w:rPr>
        <w:t>between seedling dry weight and E.C, between seedling vigor index and E.C</w:t>
      </w:r>
      <w:r w:rsidR="00652D6D" w:rsidRPr="007E6400">
        <w:rPr>
          <w:rFonts w:ascii="Times New Roman" w:hAnsi="Times New Roman" w:cs="Times New Roman"/>
          <w:sz w:val="24"/>
          <w:szCs w:val="24"/>
        </w:rPr>
        <w:t>.</w:t>
      </w:r>
    </w:p>
    <w:p w:rsidR="00E74144" w:rsidRPr="007E6400" w:rsidRDefault="00E74144" w:rsidP="00E74144">
      <w:pPr>
        <w:bidi w:val="0"/>
        <w:spacing w:after="0"/>
        <w:ind w:firstLine="720"/>
        <w:jc w:val="both"/>
        <w:rPr>
          <w:rFonts w:ascii="Times New Roman" w:hAnsi="Times New Roman" w:cs="Times New Roman"/>
          <w:sz w:val="26"/>
          <w:szCs w:val="26"/>
        </w:rPr>
      </w:pPr>
    </w:p>
    <w:p w:rsidR="00C31E7A" w:rsidRPr="007E6400" w:rsidRDefault="00C31E7A" w:rsidP="00C31E7A">
      <w:pPr>
        <w:pStyle w:val="PlainText"/>
        <w:bidi w:val="0"/>
        <w:jc w:val="center"/>
        <w:rPr>
          <w:rFonts w:ascii="Times New Roman" w:hAnsi="Times New Roman" w:cs="Times New Roman"/>
          <w:sz w:val="22"/>
          <w:szCs w:val="22"/>
        </w:rPr>
      </w:pPr>
    </w:p>
    <w:p w:rsidR="00C31E7A" w:rsidRPr="007E6400" w:rsidRDefault="00C31E7A" w:rsidP="001F3F84">
      <w:pPr>
        <w:pStyle w:val="PlainText"/>
        <w:bidi w:val="0"/>
        <w:jc w:val="center"/>
        <w:rPr>
          <w:rFonts w:ascii="Times New Roman" w:hAnsi="Times New Roman" w:cs="Times New Roman"/>
          <w:sz w:val="22"/>
          <w:szCs w:val="22"/>
        </w:rPr>
      </w:pPr>
      <w:proofErr w:type="gramStart"/>
      <w:r w:rsidRPr="007E6400">
        <w:rPr>
          <w:rFonts w:ascii="Times New Roman" w:hAnsi="Times New Roman" w:cs="Times New Roman"/>
          <w:sz w:val="22"/>
          <w:szCs w:val="22"/>
        </w:rPr>
        <w:t>Table  (</w:t>
      </w:r>
      <w:proofErr w:type="gramEnd"/>
      <w:r w:rsidRPr="007E6400">
        <w:rPr>
          <w:rFonts w:ascii="Times New Roman" w:hAnsi="Times New Roman" w:cs="Times New Roman"/>
          <w:sz w:val="22"/>
          <w:szCs w:val="22"/>
        </w:rPr>
        <w:t xml:space="preserve"> </w:t>
      </w:r>
      <w:r w:rsidR="001F3F84" w:rsidRPr="007E6400">
        <w:rPr>
          <w:rFonts w:ascii="Times New Roman" w:hAnsi="Times New Roman" w:cs="Times New Roman"/>
          <w:sz w:val="22"/>
          <w:szCs w:val="22"/>
        </w:rPr>
        <w:t>3</w:t>
      </w:r>
      <w:r w:rsidRPr="007E6400">
        <w:rPr>
          <w:rFonts w:ascii="Times New Roman" w:hAnsi="Times New Roman" w:cs="Times New Roman"/>
          <w:sz w:val="22"/>
          <w:szCs w:val="22"/>
        </w:rPr>
        <w:t xml:space="preserve"> ) Correlation coefficients be</w:t>
      </w:r>
      <w:r w:rsidR="001F3F84" w:rsidRPr="007E6400">
        <w:rPr>
          <w:rFonts w:ascii="Times New Roman" w:hAnsi="Times New Roman" w:cs="Times New Roman"/>
          <w:sz w:val="22"/>
          <w:szCs w:val="22"/>
        </w:rPr>
        <w:t>tween means of studied trait</w:t>
      </w:r>
      <w:r w:rsidRPr="007E6400">
        <w:rPr>
          <w:rFonts w:ascii="Times New Roman" w:hAnsi="Times New Roman" w:cs="Times New Roman"/>
          <w:sz w:val="22"/>
          <w:szCs w:val="22"/>
        </w:rPr>
        <w:t xml:space="preserve">s </w:t>
      </w:r>
      <w:r w:rsidR="001F3F84" w:rsidRPr="007E6400">
        <w:rPr>
          <w:rFonts w:ascii="Times New Roman" w:hAnsi="Times New Roman" w:cs="Times New Roman"/>
          <w:sz w:val="22"/>
          <w:szCs w:val="22"/>
        </w:rPr>
        <w:t>of</w:t>
      </w:r>
      <w:r w:rsidRPr="007E6400">
        <w:rPr>
          <w:rFonts w:ascii="Times New Roman" w:hAnsi="Times New Roman" w:cs="Times New Roman"/>
          <w:sz w:val="22"/>
          <w:szCs w:val="22"/>
        </w:rPr>
        <w:t xml:space="preserve"> wheat </w:t>
      </w:r>
    </w:p>
    <w:p w:rsidR="00C31E7A" w:rsidRPr="007E6400" w:rsidRDefault="001F3F84" w:rsidP="00C31E7A">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cultivars under storage period</w:t>
      </w:r>
      <w:r w:rsidR="00C31E7A" w:rsidRPr="007E6400">
        <w:rPr>
          <w:rFonts w:ascii="Times New Roman" w:hAnsi="Times New Roman" w:cs="Times New Roman"/>
          <w:sz w:val="22"/>
          <w:szCs w:val="22"/>
        </w:rPr>
        <w:t>, treat and storage package</w:t>
      </w:r>
    </w:p>
    <w:p w:rsidR="00C31E7A" w:rsidRPr="007E6400" w:rsidRDefault="00C31E7A" w:rsidP="00C31E7A">
      <w:pPr>
        <w:pStyle w:val="PlainText"/>
        <w:bidi w:val="0"/>
        <w:rPr>
          <w:rFonts w:ascii="Courier New" w:hAnsi="Courier New" w:cs="Courier New"/>
        </w:rPr>
      </w:pPr>
    </w:p>
    <w:tbl>
      <w:tblPr>
        <w:tblW w:w="7938"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417"/>
        <w:gridCol w:w="1085"/>
        <w:gridCol w:w="1085"/>
        <w:gridCol w:w="1085"/>
        <w:gridCol w:w="1090"/>
        <w:gridCol w:w="1090"/>
        <w:gridCol w:w="1086"/>
      </w:tblGrid>
      <w:tr w:rsidR="00F62A25" w:rsidRPr="007E6400" w:rsidTr="00C31E7A">
        <w:trPr>
          <w:gridAfter w:val="1"/>
          <w:wAfter w:w="1086" w:type="dxa"/>
          <w:jc w:val="center"/>
        </w:trPr>
        <w:tc>
          <w:tcPr>
            <w:tcW w:w="1416" w:type="dxa"/>
            <w:tcBorders>
              <w:top w:val="single" w:sz="4" w:space="0" w:color="auto"/>
              <w:bottom w:val="single" w:sz="4" w:space="0" w:color="auto"/>
            </w:tcBorders>
            <w:vAlign w:val="center"/>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Treatmen</w:t>
            </w:r>
            <w:r w:rsidR="008156CF" w:rsidRPr="007E6400">
              <w:rPr>
                <w:rFonts w:ascii="Times New Roman" w:hAnsi="Times New Roman" w:cs="Times New Roman"/>
                <w:sz w:val="22"/>
                <w:szCs w:val="22"/>
              </w:rPr>
              <w:t>t</w:t>
            </w:r>
          </w:p>
        </w:tc>
        <w:tc>
          <w:tcPr>
            <w:tcW w:w="1086" w:type="dxa"/>
            <w:tcBorders>
              <w:top w:val="single" w:sz="4" w:space="0" w:color="auto"/>
              <w:bottom w:val="single" w:sz="4" w:space="0" w:color="auto"/>
            </w:tcBorders>
            <w:vAlign w:val="center"/>
          </w:tcPr>
          <w:p w:rsidR="00C31E7A" w:rsidRPr="007E6400" w:rsidRDefault="00C31E7A" w:rsidP="00432BBA">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Shoot length</w:t>
            </w:r>
          </w:p>
        </w:tc>
        <w:tc>
          <w:tcPr>
            <w:tcW w:w="1086" w:type="dxa"/>
            <w:tcBorders>
              <w:top w:val="single" w:sz="4" w:space="0" w:color="auto"/>
              <w:bottom w:val="single" w:sz="4" w:space="0" w:color="auto"/>
            </w:tcBorders>
            <w:vAlign w:val="center"/>
          </w:tcPr>
          <w:p w:rsidR="00C31E7A" w:rsidRPr="007E6400" w:rsidRDefault="00C31E7A" w:rsidP="00432BBA">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S.D.W.</w:t>
            </w:r>
          </w:p>
        </w:tc>
        <w:tc>
          <w:tcPr>
            <w:tcW w:w="1086" w:type="dxa"/>
            <w:tcBorders>
              <w:top w:val="single" w:sz="4" w:space="0" w:color="auto"/>
              <w:bottom w:val="single" w:sz="4" w:space="0" w:color="auto"/>
            </w:tcBorders>
            <w:vAlign w:val="center"/>
          </w:tcPr>
          <w:p w:rsidR="00C31E7A" w:rsidRPr="007E6400" w:rsidRDefault="008156CF" w:rsidP="00432BBA">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Seed</w:t>
            </w:r>
            <w:r w:rsidR="00C31E7A" w:rsidRPr="007E6400">
              <w:rPr>
                <w:rFonts w:ascii="Times New Roman" w:hAnsi="Times New Roman" w:cs="Times New Roman"/>
                <w:sz w:val="22"/>
                <w:szCs w:val="22"/>
              </w:rPr>
              <w:t xml:space="preserve"> index</w:t>
            </w:r>
          </w:p>
        </w:tc>
        <w:tc>
          <w:tcPr>
            <w:tcW w:w="1091" w:type="dxa"/>
            <w:tcBorders>
              <w:top w:val="single" w:sz="4" w:space="0" w:color="auto"/>
              <w:bottom w:val="single" w:sz="4" w:space="0" w:color="auto"/>
            </w:tcBorders>
            <w:vAlign w:val="center"/>
          </w:tcPr>
          <w:p w:rsidR="00C31E7A" w:rsidRPr="007E6400" w:rsidRDefault="00C31E7A" w:rsidP="00432BBA">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(S.V.I)</w:t>
            </w:r>
          </w:p>
        </w:tc>
        <w:tc>
          <w:tcPr>
            <w:tcW w:w="1087" w:type="dxa"/>
            <w:tcBorders>
              <w:top w:val="single" w:sz="4" w:space="0" w:color="auto"/>
              <w:bottom w:val="single" w:sz="4" w:space="0" w:color="auto"/>
            </w:tcBorders>
            <w:vAlign w:val="center"/>
          </w:tcPr>
          <w:p w:rsidR="00C31E7A" w:rsidRPr="007E6400" w:rsidRDefault="00C31E7A" w:rsidP="00432BBA">
            <w:pPr>
              <w:pStyle w:val="PlainText"/>
              <w:bidi w:val="0"/>
              <w:jc w:val="center"/>
              <w:rPr>
                <w:rFonts w:ascii="Times New Roman" w:hAnsi="Times New Roman" w:cs="Times New Roman"/>
                <w:sz w:val="22"/>
                <w:szCs w:val="22"/>
              </w:rPr>
            </w:pPr>
            <w:r w:rsidRPr="007E6400">
              <w:rPr>
                <w:rFonts w:ascii="Times New Roman" w:hAnsi="Times New Roman" w:cs="Times New Roman"/>
                <w:sz w:val="22"/>
                <w:szCs w:val="22"/>
              </w:rPr>
              <w:t>E.C</w:t>
            </w:r>
          </w:p>
        </w:tc>
      </w:tr>
      <w:tr w:rsidR="00F62A25" w:rsidRPr="007E6400" w:rsidTr="00C31E7A">
        <w:trPr>
          <w:jc w:val="center"/>
        </w:trPr>
        <w:tc>
          <w:tcPr>
            <w:tcW w:w="1416" w:type="dxa"/>
            <w:tcBorders>
              <w:top w:val="single" w:sz="4" w:space="0" w:color="auto"/>
            </w:tcBorders>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Germination</w:t>
            </w:r>
          </w:p>
        </w:tc>
        <w:tc>
          <w:tcPr>
            <w:tcW w:w="1086" w:type="dxa"/>
            <w:tcBorders>
              <w:top w:val="single" w:sz="4" w:space="0" w:color="auto"/>
            </w:tcBorders>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0.7841</w:t>
            </w:r>
          </w:p>
        </w:tc>
        <w:tc>
          <w:tcPr>
            <w:tcW w:w="1086" w:type="dxa"/>
            <w:tcBorders>
              <w:top w:val="single" w:sz="4" w:space="0" w:color="auto"/>
            </w:tcBorders>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0.6995</w:t>
            </w:r>
          </w:p>
        </w:tc>
        <w:tc>
          <w:tcPr>
            <w:tcW w:w="1086" w:type="dxa"/>
            <w:tcBorders>
              <w:top w:val="single" w:sz="4" w:space="0" w:color="auto"/>
            </w:tcBorders>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0.6621</w:t>
            </w:r>
          </w:p>
        </w:tc>
        <w:tc>
          <w:tcPr>
            <w:tcW w:w="1086" w:type="dxa"/>
            <w:tcBorders>
              <w:top w:val="single" w:sz="4" w:space="0" w:color="auto"/>
            </w:tcBorders>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0.8004</w:t>
            </w:r>
          </w:p>
        </w:tc>
        <w:tc>
          <w:tcPr>
            <w:tcW w:w="1091" w:type="dxa"/>
            <w:tcBorders>
              <w:top w:val="single" w:sz="4" w:space="0" w:color="auto"/>
            </w:tcBorders>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0.7897</w:t>
            </w:r>
          </w:p>
        </w:tc>
        <w:tc>
          <w:tcPr>
            <w:tcW w:w="1087" w:type="dxa"/>
            <w:tcBorders>
              <w:top w:val="single" w:sz="4" w:space="0" w:color="auto"/>
            </w:tcBorders>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-0.8657</w:t>
            </w:r>
          </w:p>
        </w:tc>
      </w:tr>
      <w:tr w:rsidR="00F62A25" w:rsidRPr="007E6400" w:rsidTr="00C31E7A">
        <w:trPr>
          <w:jc w:val="center"/>
        </w:trPr>
        <w:tc>
          <w:tcPr>
            <w:tcW w:w="141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Root length </w:t>
            </w: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1.0</w:t>
            </w: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0.7197</w:t>
            </w: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0.6333</w:t>
            </w: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0.8563</w:t>
            </w:r>
          </w:p>
        </w:tc>
        <w:tc>
          <w:tcPr>
            <w:tcW w:w="1091"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0.7178</w:t>
            </w:r>
          </w:p>
        </w:tc>
        <w:tc>
          <w:tcPr>
            <w:tcW w:w="1087"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-0.8364</w:t>
            </w:r>
          </w:p>
        </w:tc>
      </w:tr>
      <w:tr w:rsidR="00F62A25" w:rsidRPr="007E6400" w:rsidTr="00C31E7A">
        <w:trPr>
          <w:jc w:val="center"/>
        </w:trPr>
        <w:tc>
          <w:tcPr>
            <w:tcW w:w="141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Shoot length </w:t>
            </w: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1.0</w:t>
            </w: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0.8425</w:t>
            </w: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0.5652</w:t>
            </w:r>
          </w:p>
        </w:tc>
        <w:tc>
          <w:tcPr>
            <w:tcW w:w="1091"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0.8661</w:t>
            </w:r>
          </w:p>
        </w:tc>
        <w:tc>
          <w:tcPr>
            <w:tcW w:w="1087"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-0.7421</w:t>
            </w:r>
          </w:p>
        </w:tc>
      </w:tr>
      <w:tr w:rsidR="00F62A25" w:rsidRPr="007E6400" w:rsidTr="00C31E7A">
        <w:trPr>
          <w:jc w:val="center"/>
        </w:trPr>
        <w:tc>
          <w:tcPr>
            <w:tcW w:w="141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 xml:space="preserve">S.D.W. </w:t>
            </w: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1.0</w:t>
            </w: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0.4947</w:t>
            </w:r>
          </w:p>
        </w:tc>
        <w:tc>
          <w:tcPr>
            <w:tcW w:w="1091"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0.9809</w:t>
            </w:r>
          </w:p>
        </w:tc>
        <w:tc>
          <w:tcPr>
            <w:tcW w:w="1087"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-0.7583</w:t>
            </w:r>
          </w:p>
        </w:tc>
      </w:tr>
      <w:tr w:rsidR="00F62A25" w:rsidRPr="007E6400" w:rsidTr="00C31E7A">
        <w:trPr>
          <w:jc w:val="center"/>
        </w:trPr>
        <w:tc>
          <w:tcPr>
            <w:tcW w:w="1416" w:type="dxa"/>
          </w:tcPr>
          <w:p w:rsidR="00C31E7A" w:rsidRPr="007E6400" w:rsidRDefault="00C519F2"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Seed</w:t>
            </w:r>
            <w:r w:rsidR="00C31E7A" w:rsidRPr="007E6400">
              <w:rPr>
                <w:rFonts w:ascii="Times New Roman" w:hAnsi="Times New Roman" w:cs="Times New Roman"/>
                <w:sz w:val="22"/>
                <w:szCs w:val="22"/>
              </w:rPr>
              <w:t xml:space="preserve"> index</w:t>
            </w: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1.0</w:t>
            </w:r>
          </w:p>
        </w:tc>
        <w:tc>
          <w:tcPr>
            <w:tcW w:w="1091"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0.6044</w:t>
            </w:r>
          </w:p>
        </w:tc>
        <w:tc>
          <w:tcPr>
            <w:tcW w:w="1087"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-0.8167</w:t>
            </w:r>
          </w:p>
        </w:tc>
      </w:tr>
      <w:tr w:rsidR="00F62A25" w:rsidRPr="007E6400" w:rsidTr="00C31E7A">
        <w:trPr>
          <w:jc w:val="center"/>
        </w:trPr>
        <w:tc>
          <w:tcPr>
            <w:tcW w:w="141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(S.V.I)</w:t>
            </w: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91"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1.0</w:t>
            </w:r>
          </w:p>
        </w:tc>
        <w:tc>
          <w:tcPr>
            <w:tcW w:w="1087"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-0.8311</w:t>
            </w:r>
          </w:p>
        </w:tc>
      </w:tr>
      <w:tr w:rsidR="00C31E7A" w:rsidRPr="007E6400" w:rsidTr="00C31E7A">
        <w:trPr>
          <w:jc w:val="center"/>
        </w:trPr>
        <w:tc>
          <w:tcPr>
            <w:tcW w:w="1416"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E.C</w:t>
            </w: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86" w:type="dxa"/>
          </w:tcPr>
          <w:p w:rsidR="00C31E7A" w:rsidRPr="007E6400" w:rsidRDefault="00C31E7A" w:rsidP="00432BBA">
            <w:pPr>
              <w:pStyle w:val="PlainText"/>
              <w:bidi w:val="0"/>
              <w:rPr>
                <w:rFonts w:ascii="Times New Roman" w:hAnsi="Times New Roman" w:cs="Times New Roman"/>
                <w:sz w:val="22"/>
                <w:szCs w:val="22"/>
              </w:rPr>
            </w:pPr>
          </w:p>
        </w:tc>
        <w:tc>
          <w:tcPr>
            <w:tcW w:w="1091" w:type="dxa"/>
          </w:tcPr>
          <w:p w:rsidR="00C31E7A" w:rsidRPr="007E6400" w:rsidRDefault="00C31E7A" w:rsidP="00432BBA">
            <w:pPr>
              <w:pStyle w:val="PlainText"/>
              <w:bidi w:val="0"/>
              <w:rPr>
                <w:rFonts w:ascii="Times New Roman" w:hAnsi="Times New Roman" w:cs="Times New Roman"/>
                <w:sz w:val="22"/>
                <w:szCs w:val="22"/>
              </w:rPr>
            </w:pPr>
          </w:p>
        </w:tc>
        <w:tc>
          <w:tcPr>
            <w:tcW w:w="1087" w:type="dxa"/>
          </w:tcPr>
          <w:p w:rsidR="00C31E7A" w:rsidRPr="007E6400" w:rsidRDefault="00C31E7A" w:rsidP="00432BBA">
            <w:pPr>
              <w:pStyle w:val="PlainText"/>
              <w:bidi w:val="0"/>
              <w:rPr>
                <w:rFonts w:ascii="Times New Roman" w:hAnsi="Times New Roman" w:cs="Times New Roman"/>
                <w:sz w:val="22"/>
                <w:szCs w:val="22"/>
              </w:rPr>
            </w:pPr>
            <w:r w:rsidRPr="007E6400">
              <w:rPr>
                <w:rFonts w:ascii="Times New Roman" w:hAnsi="Times New Roman" w:cs="Times New Roman"/>
                <w:sz w:val="22"/>
                <w:szCs w:val="22"/>
              </w:rPr>
              <w:t>1.0</w:t>
            </w:r>
          </w:p>
        </w:tc>
      </w:tr>
    </w:tbl>
    <w:p w:rsidR="00C31E7A" w:rsidRPr="007E6400" w:rsidRDefault="00C31E7A" w:rsidP="00C31E7A">
      <w:pPr>
        <w:pStyle w:val="PlainText"/>
        <w:bidi w:val="0"/>
        <w:rPr>
          <w:rFonts w:ascii="Courier New" w:hAnsi="Courier New" w:cs="Courier New"/>
        </w:rPr>
      </w:pPr>
    </w:p>
    <w:p w:rsidR="00C519F2" w:rsidRPr="007E6400" w:rsidRDefault="00C519F2" w:rsidP="00032231">
      <w:pPr>
        <w:pStyle w:val="Heading4"/>
        <w:bidi w:val="0"/>
        <w:rPr>
          <w:rFonts w:ascii="Times New Roman" w:hAnsi="Times New Roman" w:cs="Times New Roman"/>
          <w:i w:val="0"/>
          <w:iCs w:val="0"/>
          <w:color w:val="auto"/>
          <w:sz w:val="24"/>
          <w:szCs w:val="24"/>
        </w:rPr>
      </w:pPr>
      <w:r w:rsidRPr="007E6400">
        <w:rPr>
          <w:rFonts w:ascii="Times New Roman" w:hAnsi="Times New Roman" w:cs="Times New Roman"/>
          <w:i w:val="0"/>
          <w:iCs w:val="0"/>
          <w:color w:val="auto"/>
          <w:sz w:val="24"/>
          <w:szCs w:val="24"/>
        </w:rPr>
        <w:t>Conclusion</w:t>
      </w:r>
    </w:p>
    <w:p w:rsidR="00D56981" w:rsidRPr="007E6400" w:rsidRDefault="00D56981" w:rsidP="00605F9A">
      <w:pPr>
        <w:bidi w:val="0"/>
        <w:rPr>
          <w:rFonts w:asciiTheme="majorBidi" w:eastAsia="Times New Roman" w:hAnsiTheme="majorBidi" w:cstheme="majorBidi"/>
          <w:spacing w:val="-4"/>
          <w:sz w:val="24"/>
          <w:szCs w:val="24"/>
        </w:rPr>
      </w:pPr>
      <w:r w:rsidRPr="007E6400">
        <w:rPr>
          <w:rFonts w:asciiTheme="majorBidi" w:hAnsiTheme="majorBidi" w:cstheme="majorBidi"/>
          <w:sz w:val="24"/>
          <w:szCs w:val="24"/>
        </w:rPr>
        <w:t>In general,</w:t>
      </w:r>
      <w:r w:rsidR="00A41897" w:rsidRPr="007E6400">
        <w:rPr>
          <w:rFonts w:asciiTheme="majorBidi" w:eastAsia="Times New Roman" w:hAnsiTheme="majorBidi" w:cstheme="majorBidi"/>
          <w:spacing w:val="-4"/>
          <w:sz w:val="24"/>
          <w:szCs w:val="24"/>
        </w:rPr>
        <w:t xml:space="preserve"> l</w:t>
      </w:r>
      <w:r w:rsidRPr="007E6400">
        <w:rPr>
          <w:rFonts w:asciiTheme="majorBidi" w:eastAsia="Times New Roman" w:hAnsiTheme="majorBidi" w:cstheme="majorBidi"/>
          <w:spacing w:val="-4"/>
          <w:sz w:val="24"/>
          <w:szCs w:val="24"/>
        </w:rPr>
        <w:t>oss of seed viabil</w:t>
      </w:r>
      <w:r w:rsidR="00A41897" w:rsidRPr="007E6400">
        <w:rPr>
          <w:rFonts w:asciiTheme="majorBidi" w:eastAsia="Times New Roman" w:hAnsiTheme="majorBidi" w:cstheme="majorBidi"/>
          <w:spacing w:val="-4"/>
          <w:sz w:val="24"/>
          <w:szCs w:val="24"/>
        </w:rPr>
        <w:t>ity is common problem with increasing storage period</w:t>
      </w:r>
      <w:r w:rsidRPr="007E6400">
        <w:rPr>
          <w:rFonts w:asciiTheme="majorBidi" w:eastAsia="Times New Roman" w:hAnsiTheme="majorBidi" w:cstheme="majorBidi"/>
          <w:spacing w:val="-4"/>
          <w:sz w:val="24"/>
          <w:szCs w:val="24"/>
        </w:rPr>
        <w:t>.</w:t>
      </w:r>
      <w:r w:rsidR="00A41897" w:rsidRPr="007E6400">
        <w:rPr>
          <w:rFonts w:asciiTheme="majorBidi" w:eastAsia="Times New Roman" w:hAnsiTheme="majorBidi" w:cstheme="majorBidi"/>
          <w:spacing w:val="-4"/>
          <w:sz w:val="24"/>
          <w:szCs w:val="24"/>
        </w:rPr>
        <w:t xml:space="preserve"> </w:t>
      </w:r>
      <w:proofErr w:type="gramStart"/>
      <w:r w:rsidR="00A41897" w:rsidRPr="007E6400">
        <w:rPr>
          <w:rFonts w:asciiTheme="majorBidi" w:eastAsia="Times New Roman" w:hAnsiTheme="majorBidi" w:cstheme="majorBidi"/>
          <w:spacing w:val="-4"/>
          <w:sz w:val="24"/>
          <w:szCs w:val="24"/>
        </w:rPr>
        <w:t xml:space="preserve">So,  </w:t>
      </w:r>
      <w:r w:rsidR="00605F9A" w:rsidRPr="007E6400">
        <w:rPr>
          <w:rFonts w:asciiTheme="majorBidi" w:eastAsia="Times New Roman" w:hAnsiTheme="majorBidi" w:cstheme="majorBidi"/>
          <w:spacing w:val="-4"/>
          <w:sz w:val="24"/>
          <w:szCs w:val="24"/>
        </w:rPr>
        <w:t>based</w:t>
      </w:r>
      <w:proofErr w:type="gramEnd"/>
      <w:r w:rsidR="00605F9A" w:rsidRPr="007E6400">
        <w:rPr>
          <w:rFonts w:asciiTheme="majorBidi" w:eastAsia="Times New Roman" w:hAnsiTheme="majorBidi" w:cstheme="majorBidi"/>
          <w:spacing w:val="-4"/>
          <w:sz w:val="24"/>
          <w:szCs w:val="24"/>
        </w:rPr>
        <w:t xml:space="preserve"> on the obtained results in this study  </w:t>
      </w:r>
      <w:r w:rsidR="00A41897" w:rsidRPr="007E6400">
        <w:rPr>
          <w:rFonts w:asciiTheme="majorBidi" w:eastAsia="Times New Roman" w:hAnsiTheme="majorBidi" w:cstheme="majorBidi"/>
          <w:spacing w:val="-4"/>
          <w:sz w:val="24"/>
          <w:szCs w:val="24"/>
        </w:rPr>
        <w:t xml:space="preserve">it could be </w:t>
      </w:r>
      <w:r w:rsidR="00605F9A" w:rsidRPr="007E6400">
        <w:rPr>
          <w:rFonts w:asciiTheme="majorBidi" w:eastAsia="Times New Roman" w:hAnsiTheme="majorBidi" w:cstheme="majorBidi"/>
          <w:spacing w:val="-4"/>
          <w:sz w:val="24"/>
          <w:szCs w:val="24"/>
        </w:rPr>
        <w:t>recommended by</w:t>
      </w:r>
      <w:r w:rsidR="00A41897" w:rsidRPr="007E6400">
        <w:rPr>
          <w:rFonts w:asciiTheme="majorBidi" w:eastAsia="Times New Roman" w:hAnsiTheme="majorBidi" w:cstheme="majorBidi"/>
          <w:spacing w:val="-4"/>
          <w:sz w:val="24"/>
          <w:szCs w:val="24"/>
        </w:rPr>
        <w:t xml:space="preserve"> using HDP packages  to reduce damages of storage</w:t>
      </w:r>
      <w:r w:rsidR="00491E43" w:rsidRPr="007E6400">
        <w:rPr>
          <w:rFonts w:asciiTheme="majorBidi" w:eastAsia="Times New Roman" w:hAnsiTheme="majorBidi" w:cstheme="majorBidi"/>
          <w:spacing w:val="-4"/>
          <w:sz w:val="24"/>
          <w:szCs w:val="24"/>
        </w:rPr>
        <w:t xml:space="preserve"> and save </w:t>
      </w:r>
      <w:r w:rsidR="00E9183B" w:rsidRPr="007E6400">
        <w:rPr>
          <w:rFonts w:asciiTheme="majorBidi" w:eastAsia="Times New Roman" w:hAnsiTheme="majorBidi" w:cstheme="majorBidi"/>
          <w:spacing w:val="-4"/>
          <w:sz w:val="24"/>
          <w:szCs w:val="24"/>
        </w:rPr>
        <w:t xml:space="preserve">seed </w:t>
      </w:r>
      <w:r w:rsidR="00491E43" w:rsidRPr="007E6400">
        <w:rPr>
          <w:rFonts w:asciiTheme="majorBidi" w:eastAsia="Times New Roman" w:hAnsiTheme="majorBidi" w:cstheme="majorBidi"/>
          <w:spacing w:val="-4"/>
          <w:sz w:val="24"/>
          <w:szCs w:val="24"/>
        </w:rPr>
        <w:t>viability</w:t>
      </w:r>
      <w:r w:rsidR="00E9183B" w:rsidRPr="007E6400">
        <w:rPr>
          <w:rFonts w:asciiTheme="majorBidi" w:eastAsia="Times New Roman" w:hAnsiTheme="majorBidi" w:cstheme="majorBidi"/>
          <w:spacing w:val="-4"/>
          <w:sz w:val="24"/>
          <w:szCs w:val="24"/>
        </w:rPr>
        <w:t xml:space="preserve"> as possible</w:t>
      </w:r>
      <w:r w:rsidR="00491E43" w:rsidRPr="007E6400">
        <w:rPr>
          <w:rFonts w:asciiTheme="majorBidi" w:eastAsia="Times New Roman" w:hAnsiTheme="majorBidi" w:cstheme="majorBidi"/>
          <w:spacing w:val="-4"/>
          <w:sz w:val="24"/>
          <w:szCs w:val="24"/>
        </w:rPr>
        <w:t>.</w:t>
      </w:r>
    </w:p>
    <w:p w:rsidR="00032231" w:rsidRPr="007E6400" w:rsidRDefault="00032231" w:rsidP="00C519F2">
      <w:pPr>
        <w:pStyle w:val="Heading4"/>
        <w:bidi w:val="0"/>
        <w:rPr>
          <w:rFonts w:asciiTheme="majorBidi" w:hAnsiTheme="majorBidi"/>
          <w:i w:val="0"/>
          <w:iCs w:val="0"/>
          <w:color w:val="auto"/>
          <w:sz w:val="24"/>
          <w:szCs w:val="24"/>
        </w:rPr>
      </w:pPr>
      <w:r w:rsidRPr="007E6400">
        <w:rPr>
          <w:rFonts w:asciiTheme="majorBidi" w:hAnsiTheme="majorBidi"/>
          <w:i w:val="0"/>
          <w:iCs w:val="0"/>
          <w:color w:val="auto"/>
          <w:sz w:val="24"/>
          <w:szCs w:val="24"/>
        </w:rPr>
        <w:lastRenderedPageBreak/>
        <w:t xml:space="preserve">References                                                                         </w:t>
      </w:r>
    </w:p>
    <w:p w:rsidR="00032231" w:rsidRPr="007E6400" w:rsidRDefault="00032231" w:rsidP="001A3039">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Badawi, M. A., Seadh, S. E., Abido, W. A. E and Hasan, R. M. (2017)</w:t>
      </w:r>
      <w:r w:rsidRPr="007E6400">
        <w:rPr>
          <w:rFonts w:asciiTheme="majorBidi" w:hAnsiTheme="majorBidi" w:cstheme="majorBidi"/>
          <w:b/>
          <w:sz w:val="24"/>
          <w:szCs w:val="24"/>
        </w:rPr>
        <w:t xml:space="preserve"> </w:t>
      </w:r>
      <w:r w:rsidRPr="007E6400">
        <w:rPr>
          <w:rFonts w:asciiTheme="majorBidi" w:hAnsiTheme="majorBidi" w:cstheme="majorBidi"/>
          <w:sz w:val="24"/>
          <w:szCs w:val="24"/>
        </w:rPr>
        <w:t xml:space="preserve">Effect of storage treatments on wheat storage. Int. J. Adv. Res. Biol. Sci. </w:t>
      </w:r>
      <w:r w:rsidRPr="007E6400">
        <w:rPr>
          <w:rFonts w:asciiTheme="majorBidi" w:hAnsiTheme="majorBidi" w:cstheme="majorBidi"/>
          <w:b/>
          <w:sz w:val="24"/>
          <w:szCs w:val="24"/>
        </w:rPr>
        <w:t>4</w:t>
      </w:r>
      <w:r w:rsidRPr="007E6400">
        <w:rPr>
          <w:rFonts w:asciiTheme="majorBidi" w:hAnsiTheme="majorBidi" w:cstheme="majorBidi"/>
          <w:sz w:val="24"/>
          <w:szCs w:val="24"/>
        </w:rPr>
        <w:t xml:space="preserve"> (1), 78-91.</w:t>
      </w:r>
    </w:p>
    <w:p w:rsidR="001A3039" w:rsidRPr="007E6400" w:rsidRDefault="00730937" w:rsidP="001A3039">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Bilsborrow, P. E.</w:t>
      </w:r>
      <w:r w:rsidR="001A3039" w:rsidRPr="007E6400">
        <w:rPr>
          <w:rFonts w:asciiTheme="majorBidi" w:hAnsiTheme="majorBidi" w:cstheme="majorBidi"/>
          <w:sz w:val="24"/>
          <w:szCs w:val="24"/>
        </w:rPr>
        <w:t xml:space="preserve"> (2023). "Effect of different storage temperatures and moisture contents on the quality of wheat seeds". Archives of Agronomy and Soil Science, 69(14), 2110-2122</w:t>
      </w:r>
      <w:r w:rsidR="001A3039" w:rsidRPr="007E6400">
        <w:rPr>
          <w:rFonts w:asciiTheme="majorBidi" w:hAnsiTheme="majorBidi" w:cstheme="majorBidi"/>
          <w:sz w:val="24"/>
          <w:szCs w:val="24"/>
          <w:rtl/>
          <w:lang w:bidi="ar-EG"/>
        </w:rPr>
        <w:t>.</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Duncan, D.B. (1955) Multiple range and multiple F.Test. Biometrics II: 1-42.</w:t>
      </w:r>
    </w:p>
    <w:p w:rsidR="001A3039"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El-Sayed, S. A.</w:t>
      </w:r>
      <w:proofErr w:type="gramStart"/>
      <w:r w:rsidRPr="007E6400">
        <w:rPr>
          <w:rFonts w:asciiTheme="majorBidi" w:hAnsiTheme="majorBidi" w:cstheme="majorBidi"/>
          <w:sz w:val="24"/>
          <w:szCs w:val="24"/>
        </w:rPr>
        <w:t>,  Mohamed</w:t>
      </w:r>
      <w:proofErr w:type="gramEnd"/>
      <w:r w:rsidRPr="007E6400">
        <w:rPr>
          <w:rFonts w:asciiTheme="majorBidi" w:hAnsiTheme="majorBidi" w:cstheme="majorBidi"/>
          <w:sz w:val="24"/>
          <w:szCs w:val="24"/>
        </w:rPr>
        <w:t>, A. M. M, Mohamed, E. N. M. and Elsawy, H.I.A (2018) Evaluation of the viability and seed quality response of six wheat cultivars to storage conditions form in different locations. J. Sus. Agric. Sci. 44, No.2 pp.79-92</w:t>
      </w:r>
    </w:p>
    <w:p w:rsidR="00032231" w:rsidRPr="007E6400" w:rsidRDefault="00DF0907" w:rsidP="001A3039">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Gebissa, T.</w:t>
      </w:r>
      <w:r w:rsidR="001A3039" w:rsidRPr="007E6400">
        <w:rPr>
          <w:rFonts w:asciiTheme="majorBidi" w:hAnsiTheme="majorBidi" w:cstheme="majorBidi"/>
          <w:sz w:val="24"/>
          <w:szCs w:val="24"/>
        </w:rPr>
        <w:t xml:space="preserve"> (2023). "Effects of storage bags type and storage duration on seed quality and proximate composition of emmer wheat (Triticum dicoccum L.) in Ethiopia". PLOS ONE, 18(1), e0279624</w:t>
      </w:r>
      <w:r w:rsidR="00032231" w:rsidRPr="007E6400">
        <w:rPr>
          <w:rFonts w:asciiTheme="majorBidi" w:hAnsiTheme="majorBidi" w:cstheme="majorBidi"/>
          <w:sz w:val="24"/>
          <w:szCs w:val="24"/>
        </w:rPr>
        <w:t xml:space="preserve"> </w:t>
      </w:r>
    </w:p>
    <w:p w:rsidR="00032231" w:rsidRPr="007E6400" w:rsidRDefault="00032231" w:rsidP="00245D2F">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Harrington, J. F. (197</w:t>
      </w:r>
      <w:r w:rsidR="00245D2F" w:rsidRPr="007E6400">
        <w:rPr>
          <w:rFonts w:asciiTheme="majorBidi" w:hAnsiTheme="majorBidi" w:cstheme="majorBidi"/>
          <w:sz w:val="24"/>
          <w:szCs w:val="24"/>
        </w:rPr>
        <w:t>3</w:t>
      </w:r>
      <w:r w:rsidRPr="007E6400">
        <w:rPr>
          <w:rFonts w:asciiTheme="majorBidi" w:hAnsiTheme="majorBidi" w:cstheme="majorBidi"/>
          <w:sz w:val="24"/>
          <w:szCs w:val="24"/>
        </w:rPr>
        <w:t>) “Seed storage and longevity” Int. Seed Biology, 3</w:t>
      </w:r>
      <w:r w:rsidRPr="007E6400">
        <w:rPr>
          <w:rFonts w:asciiTheme="majorBidi" w:hAnsiTheme="majorBidi" w:cstheme="majorBidi"/>
          <w:sz w:val="24"/>
          <w:szCs w:val="24"/>
          <w:vertAlign w:val="superscript"/>
        </w:rPr>
        <w:t>rd,</w:t>
      </w:r>
      <w:r w:rsidRPr="007E6400">
        <w:rPr>
          <w:rFonts w:asciiTheme="majorBidi" w:hAnsiTheme="majorBidi" w:cstheme="majorBidi"/>
          <w:sz w:val="24"/>
          <w:szCs w:val="24"/>
        </w:rPr>
        <w:t xml:space="preserve"> ed. New York: Academic, Press T.T. Kozlowski. PP. 145-240.</w:t>
      </w:r>
    </w:p>
    <w:p w:rsidR="0083160E" w:rsidRPr="007E6400" w:rsidRDefault="00DF0907" w:rsidP="0083160E">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Hassan, A. A.</w:t>
      </w:r>
      <w:r w:rsidR="0083160E" w:rsidRPr="007E6400">
        <w:rPr>
          <w:rFonts w:asciiTheme="majorBidi" w:hAnsiTheme="majorBidi" w:cstheme="majorBidi"/>
          <w:sz w:val="24"/>
          <w:szCs w:val="24"/>
        </w:rPr>
        <w:t xml:space="preserve"> (2023). "Evaluation of novel packaging materials for maintaining the quality and viability of wheat seeds during storage". Frontiers in Plant Science, 14, 1265889</w:t>
      </w:r>
      <w:r w:rsidR="0083160E" w:rsidRPr="007E6400">
        <w:rPr>
          <w:rFonts w:asciiTheme="majorBidi" w:hAnsiTheme="majorBidi" w:cstheme="majorBidi"/>
          <w:sz w:val="24"/>
          <w:szCs w:val="24"/>
          <w:rtl/>
          <w:lang w:bidi="ar-EG"/>
        </w:rPr>
        <w:t>.</w:t>
      </w:r>
    </w:p>
    <w:p w:rsidR="0083160E" w:rsidRPr="007E6400" w:rsidRDefault="00130E7E" w:rsidP="0083160E">
      <w:pPr>
        <w:bidi w:val="0"/>
        <w:spacing w:after="6"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Ibrahim, I. S.</w:t>
      </w:r>
      <w:r w:rsidR="0083160E" w:rsidRPr="007E6400">
        <w:rPr>
          <w:rFonts w:asciiTheme="majorBidi" w:hAnsiTheme="majorBidi" w:cstheme="majorBidi"/>
          <w:sz w:val="24"/>
          <w:szCs w:val="24"/>
        </w:rPr>
        <w:t xml:space="preserve"> (2023). "Effect of storage periods, cultivars, environments and package materials on germination, viability and seedling vigor of wheat grains". Journal of Plant Production, 14(10), 1251-1259</w:t>
      </w:r>
      <w:r w:rsidR="0083160E" w:rsidRPr="007E6400">
        <w:rPr>
          <w:rFonts w:asciiTheme="majorBidi" w:hAnsiTheme="majorBidi" w:cstheme="majorBidi"/>
          <w:sz w:val="24"/>
          <w:szCs w:val="24"/>
          <w:rtl/>
          <w:lang w:bidi="ar-EG"/>
        </w:rPr>
        <w:t>.</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 xml:space="preserve">I.S.T.A. (1999). International rules for seed testing association. Seed Sci. and Technology </w:t>
      </w:r>
      <w:r w:rsidRPr="007E6400">
        <w:rPr>
          <w:rFonts w:asciiTheme="majorBidi" w:hAnsiTheme="majorBidi" w:cstheme="majorBidi"/>
          <w:b/>
          <w:sz w:val="24"/>
          <w:szCs w:val="24"/>
        </w:rPr>
        <w:t>27</w:t>
      </w:r>
      <w:r w:rsidRPr="007E6400">
        <w:rPr>
          <w:rFonts w:asciiTheme="majorBidi" w:hAnsiTheme="majorBidi" w:cstheme="majorBidi"/>
          <w:sz w:val="24"/>
          <w:szCs w:val="24"/>
        </w:rPr>
        <w:t>, 155-165.</w:t>
      </w:r>
    </w:p>
    <w:p w:rsidR="0083160E" w:rsidRPr="007E6400" w:rsidRDefault="0028531A" w:rsidP="0083160E">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Jones, P. S.</w:t>
      </w:r>
      <w:r w:rsidR="0083160E" w:rsidRPr="007E6400">
        <w:rPr>
          <w:rFonts w:asciiTheme="majorBidi" w:hAnsiTheme="majorBidi" w:cstheme="majorBidi"/>
          <w:sz w:val="24"/>
          <w:szCs w:val="24"/>
        </w:rPr>
        <w:t xml:space="preserve"> (2023). "Postharvest treatment and storage effects on the viability and germination of wheat seeds". Food Science and Technology, 43, e109522</w:t>
      </w:r>
      <w:r w:rsidR="0083160E" w:rsidRPr="007E6400">
        <w:rPr>
          <w:rFonts w:asciiTheme="majorBidi" w:hAnsiTheme="majorBidi" w:cstheme="majorBidi"/>
          <w:sz w:val="24"/>
          <w:szCs w:val="24"/>
          <w:rtl/>
          <w:lang w:bidi="ar-EG"/>
        </w:rPr>
        <w:t>.</w:t>
      </w:r>
    </w:p>
    <w:p w:rsidR="0083160E" w:rsidRPr="007E6400" w:rsidRDefault="0083160E" w:rsidP="0083160E">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Kamil, F. A. (2025). Effect of Storage Conditions on Wheat Seed Quality and Germination and Microbial Activity. American Journal of Botany and Bioengineering, 2(2), 52–59.</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 xml:space="preserve">Kandil, A. A., Sharief, A. E. and Sheteiwy, M. S. (2013) Effect of seed storage periods, conditions and materials on seed quality of some soybean cultivars. Int. J. Agric. Sci., </w:t>
      </w:r>
      <w:r w:rsidRPr="007E6400">
        <w:rPr>
          <w:rFonts w:asciiTheme="majorBidi" w:hAnsiTheme="majorBidi" w:cstheme="majorBidi"/>
          <w:b/>
          <w:sz w:val="24"/>
          <w:szCs w:val="24"/>
        </w:rPr>
        <w:t xml:space="preserve">5 </w:t>
      </w:r>
      <w:r w:rsidRPr="007E6400">
        <w:rPr>
          <w:rFonts w:asciiTheme="majorBidi" w:hAnsiTheme="majorBidi" w:cstheme="majorBidi"/>
          <w:sz w:val="24"/>
          <w:szCs w:val="24"/>
        </w:rPr>
        <w:t xml:space="preserve">(1), 339-346. </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Kibar, H. (2015)</w:t>
      </w:r>
      <w:r w:rsidRPr="007E6400">
        <w:rPr>
          <w:rFonts w:asciiTheme="majorBidi" w:hAnsiTheme="majorBidi" w:cstheme="majorBidi"/>
          <w:b/>
          <w:sz w:val="24"/>
          <w:szCs w:val="24"/>
        </w:rPr>
        <w:t xml:space="preserve"> </w:t>
      </w:r>
      <w:r w:rsidRPr="007E6400">
        <w:rPr>
          <w:rFonts w:asciiTheme="majorBidi" w:hAnsiTheme="majorBidi" w:cstheme="majorBidi"/>
          <w:sz w:val="24"/>
          <w:szCs w:val="24"/>
        </w:rPr>
        <w:t xml:space="preserve">Determining the functional characteristics of wheat and corn grains depending on storage time and temperature. J. Food Processing and Preservation. </w:t>
      </w:r>
    </w:p>
    <w:p w:rsidR="0083160E" w:rsidRPr="007E6400" w:rsidRDefault="0028531A" w:rsidP="0083160E">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Li, Y.</w:t>
      </w:r>
      <w:r w:rsidR="0083160E" w:rsidRPr="007E6400">
        <w:rPr>
          <w:rFonts w:asciiTheme="majorBidi" w:hAnsiTheme="majorBidi" w:cstheme="majorBidi"/>
          <w:sz w:val="24"/>
          <w:szCs w:val="24"/>
        </w:rPr>
        <w:t xml:space="preserve"> (2023). "Influence of temperature and relative humidity on the storability and germination of different wheat varieties". Industrial Crops and Products, 191, 115934</w:t>
      </w:r>
      <w:r w:rsidR="0083160E" w:rsidRPr="007E6400">
        <w:rPr>
          <w:rFonts w:asciiTheme="majorBidi" w:hAnsiTheme="majorBidi" w:cstheme="majorBidi"/>
          <w:sz w:val="24"/>
          <w:szCs w:val="24"/>
          <w:rtl/>
          <w:lang w:bidi="ar-EG"/>
        </w:rPr>
        <w:t>.</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 xml:space="preserve">Mersal, I. F., El- Emam, A. A. M. and Selim, A. H. (2006) Effect of storage periods, seed moisture content and insecticides treatments on wheat (Triticum aestivum L.)  Seed quality. Ann. of Agric. Sci., Moshtohor, </w:t>
      </w:r>
      <w:r w:rsidRPr="007E6400">
        <w:rPr>
          <w:rFonts w:asciiTheme="majorBidi" w:hAnsiTheme="majorBidi" w:cstheme="majorBidi"/>
          <w:b/>
          <w:sz w:val="24"/>
          <w:szCs w:val="24"/>
        </w:rPr>
        <w:t>44</w:t>
      </w:r>
      <w:r w:rsidRPr="007E6400">
        <w:rPr>
          <w:rFonts w:asciiTheme="majorBidi" w:hAnsiTheme="majorBidi" w:cstheme="majorBidi"/>
          <w:sz w:val="24"/>
          <w:szCs w:val="24"/>
        </w:rPr>
        <w:t xml:space="preserve"> (1), 111-124.</w:t>
      </w:r>
    </w:p>
    <w:p w:rsidR="0083160E" w:rsidRPr="007E6400" w:rsidRDefault="0003382A" w:rsidP="0083160E">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Mosalem, H.</w:t>
      </w:r>
      <w:r w:rsidR="0083160E" w:rsidRPr="007E6400">
        <w:rPr>
          <w:rFonts w:asciiTheme="majorBidi" w:hAnsiTheme="majorBidi" w:cstheme="majorBidi"/>
          <w:sz w:val="24"/>
          <w:szCs w:val="24"/>
        </w:rPr>
        <w:t xml:space="preserve"> (2024). "Effect of some seed treatments during storage on viability of some bread wheat varieties". Egyptian Journal of Agricultural Research, 101, 191-205</w:t>
      </w:r>
      <w:r w:rsidR="0083160E" w:rsidRPr="007E6400">
        <w:rPr>
          <w:rFonts w:asciiTheme="majorBidi" w:hAnsiTheme="majorBidi" w:cstheme="majorBidi"/>
          <w:sz w:val="24"/>
          <w:szCs w:val="24"/>
          <w:rtl/>
          <w:lang w:bidi="ar-EG"/>
        </w:rPr>
        <w:t>.</w:t>
      </w:r>
    </w:p>
    <w:p w:rsidR="00032231" w:rsidRPr="007E6400" w:rsidRDefault="00032231" w:rsidP="00032231">
      <w:pPr>
        <w:bidi w:val="0"/>
        <w:spacing w:after="0" w:line="240" w:lineRule="auto"/>
        <w:ind w:left="567" w:hanging="567"/>
        <w:rPr>
          <w:rFonts w:asciiTheme="majorBidi" w:hAnsiTheme="majorBidi" w:cstheme="majorBidi"/>
          <w:sz w:val="24"/>
          <w:szCs w:val="24"/>
        </w:rPr>
      </w:pPr>
      <w:proofErr w:type="gramStart"/>
      <w:r w:rsidRPr="007E6400">
        <w:rPr>
          <w:rFonts w:asciiTheme="majorBidi" w:hAnsiTheme="majorBidi" w:cstheme="majorBidi"/>
          <w:sz w:val="24"/>
          <w:szCs w:val="24"/>
        </w:rPr>
        <w:lastRenderedPageBreak/>
        <w:t>MSTAT  Version</w:t>
      </w:r>
      <w:proofErr w:type="gramEnd"/>
      <w:r w:rsidRPr="007E6400">
        <w:rPr>
          <w:rFonts w:asciiTheme="majorBidi" w:hAnsiTheme="majorBidi" w:cstheme="majorBidi"/>
          <w:sz w:val="24"/>
          <w:szCs w:val="24"/>
        </w:rPr>
        <w:t xml:space="preserve"> C (1990), Russell. D. Freed, MSTAT Director Crop and Soil Sciences Department. Michigan, Stat University, Version 2.10.</w:t>
      </w:r>
    </w:p>
    <w:p w:rsidR="00032231" w:rsidRPr="007E6400" w:rsidRDefault="00032231" w:rsidP="00032231">
      <w:pPr>
        <w:bidi w:val="0"/>
        <w:spacing w:after="6"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 xml:space="preserve">Nagel, M. and Borner, A. (2010) The longevity of crop seeds stored under ambient conditions. Seed Sci. Res. </w:t>
      </w:r>
      <w:r w:rsidRPr="007E6400">
        <w:rPr>
          <w:rFonts w:asciiTheme="majorBidi" w:hAnsiTheme="majorBidi" w:cstheme="majorBidi"/>
          <w:b/>
          <w:sz w:val="24"/>
          <w:szCs w:val="24"/>
        </w:rPr>
        <w:t>20</w:t>
      </w:r>
      <w:r w:rsidRPr="007E6400">
        <w:rPr>
          <w:rFonts w:asciiTheme="majorBidi" w:hAnsiTheme="majorBidi" w:cstheme="majorBidi"/>
          <w:sz w:val="24"/>
          <w:szCs w:val="24"/>
        </w:rPr>
        <w:t>, 1-12.</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 xml:space="preserve">Naguib, N.A., Mohamed, E. A. I., and El- Aidy, N. A.  (2011). Effect of storage period and packaging material on wheat (Triticum aestivum L.) seed viability and quality. Egypt. J. Agric. Res., </w:t>
      </w:r>
      <w:r w:rsidRPr="007E6400">
        <w:rPr>
          <w:rFonts w:asciiTheme="majorBidi" w:hAnsiTheme="majorBidi" w:cstheme="majorBidi"/>
          <w:b/>
          <w:sz w:val="24"/>
          <w:szCs w:val="24"/>
        </w:rPr>
        <w:t>89</w:t>
      </w:r>
      <w:r w:rsidRPr="007E6400">
        <w:rPr>
          <w:rFonts w:asciiTheme="majorBidi" w:hAnsiTheme="majorBidi" w:cstheme="majorBidi"/>
          <w:sz w:val="24"/>
          <w:szCs w:val="24"/>
        </w:rPr>
        <w:t xml:space="preserve"> (4), 1481-1497.</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 xml:space="preserve">Nasreen, S. (1999). Effects of storage period and temperature on seed viability of wheat. Pakistan. J. Biol. Sci. </w:t>
      </w:r>
      <w:r w:rsidRPr="007E6400">
        <w:rPr>
          <w:rFonts w:asciiTheme="majorBidi" w:hAnsiTheme="majorBidi" w:cstheme="majorBidi"/>
          <w:b/>
          <w:sz w:val="24"/>
          <w:szCs w:val="24"/>
        </w:rPr>
        <w:t>2</w:t>
      </w:r>
      <w:r w:rsidRPr="007E6400">
        <w:rPr>
          <w:rFonts w:asciiTheme="majorBidi" w:hAnsiTheme="majorBidi" w:cstheme="majorBidi"/>
          <w:sz w:val="24"/>
          <w:szCs w:val="24"/>
        </w:rPr>
        <w:t>, 1492-1493.</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Omar, A. M., Sorour, F. A., El- Sayed, S.A. and Shalaby, N. E.  (2012)</w:t>
      </w:r>
      <w:r w:rsidRPr="007E6400">
        <w:rPr>
          <w:rFonts w:asciiTheme="majorBidi" w:hAnsiTheme="majorBidi" w:cstheme="majorBidi"/>
          <w:b/>
          <w:sz w:val="24"/>
          <w:szCs w:val="24"/>
        </w:rPr>
        <w:t xml:space="preserve"> </w:t>
      </w:r>
      <w:r w:rsidRPr="007E6400">
        <w:rPr>
          <w:rFonts w:asciiTheme="majorBidi" w:hAnsiTheme="majorBidi" w:cstheme="majorBidi"/>
          <w:sz w:val="24"/>
          <w:szCs w:val="24"/>
        </w:rPr>
        <w:t xml:space="preserve">Effect of storage periods, cultivars, environments and package materials on germination, viability and seedling vigor of wheat grains. J. plant Production, Mansoura Univ. </w:t>
      </w:r>
      <w:r w:rsidRPr="007E6400">
        <w:rPr>
          <w:rFonts w:asciiTheme="majorBidi" w:hAnsiTheme="majorBidi" w:cstheme="majorBidi"/>
          <w:b/>
          <w:sz w:val="24"/>
          <w:szCs w:val="24"/>
        </w:rPr>
        <w:t>3</w:t>
      </w:r>
      <w:r w:rsidRPr="007E6400">
        <w:rPr>
          <w:rFonts w:asciiTheme="majorBidi" w:hAnsiTheme="majorBidi" w:cstheme="majorBidi"/>
          <w:sz w:val="24"/>
          <w:szCs w:val="24"/>
        </w:rPr>
        <w:t xml:space="preserve"> (6), 1075-1087.</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Roberts, E. H. (1972) Viability of Seeds. Chapman and Hall Co. Ltd., London.</w:t>
      </w:r>
    </w:p>
    <w:p w:rsidR="00032231" w:rsidRPr="007E6400" w:rsidRDefault="00032231" w:rsidP="00032231">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Sendedcor, G.W. and Cochran, W.G.   (1982)</w:t>
      </w:r>
      <w:r w:rsidRPr="007E6400">
        <w:rPr>
          <w:rFonts w:asciiTheme="majorBidi" w:hAnsiTheme="majorBidi" w:cstheme="majorBidi"/>
          <w:b/>
          <w:sz w:val="24"/>
          <w:szCs w:val="24"/>
        </w:rPr>
        <w:t xml:space="preserve"> </w:t>
      </w:r>
      <w:r w:rsidRPr="007E6400">
        <w:rPr>
          <w:rFonts w:asciiTheme="majorBidi" w:hAnsiTheme="majorBidi" w:cstheme="majorBidi"/>
          <w:sz w:val="24"/>
          <w:szCs w:val="24"/>
        </w:rPr>
        <w:t>Statistical Methods Applied to Experiments in Agriculture and Biology. 7th ed. Seventh reprinting. The IOWA State Univ. Press. Ames, IOWA, U.S.A.</w:t>
      </w:r>
    </w:p>
    <w:p w:rsidR="00032231" w:rsidRPr="007E6400" w:rsidRDefault="00032231" w:rsidP="00032231">
      <w:pPr>
        <w:bidi w:val="0"/>
        <w:spacing w:after="6"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 xml:space="preserve">Shahein, A. M. E. A. and Mohamed, A. M. (2016) Storability of some oil seed crops under two types of packages. J. Plant Production, Mansoura Univ. </w:t>
      </w:r>
    </w:p>
    <w:p w:rsidR="00032231" w:rsidRPr="007E6400" w:rsidRDefault="00032231" w:rsidP="00032231">
      <w:pPr>
        <w:bidi w:val="0"/>
        <w:spacing w:after="151" w:line="240" w:lineRule="auto"/>
        <w:ind w:left="283"/>
        <w:rPr>
          <w:rFonts w:asciiTheme="majorBidi" w:hAnsiTheme="majorBidi" w:cstheme="majorBidi"/>
          <w:sz w:val="24"/>
          <w:szCs w:val="24"/>
        </w:rPr>
      </w:pPr>
      <w:r w:rsidRPr="007E6400">
        <w:rPr>
          <w:rFonts w:asciiTheme="majorBidi" w:hAnsiTheme="majorBidi" w:cstheme="majorBidi"/>
          <w:sz w:val="24"/>
          <w:szCs w:val="24"/>
        </w:rPr>
        <w:t xml:space="preserve">7 </w:t>
      </w:r>
      <w:r w:rsidRPr="007E6400">
        <w:rPr>
          <w:rFonts w:asciiTheme="majorBidi" w:hAnsiTheme="majorBidi" w:cstheme="majorBidi"/>
          <w:b/>
          <w:sz w:val="24"/>
          <w:szCs w:val="24"/>
        </w:rPr>
        <w:t>(12)</w:t>
      </w:r>
      <w:r w:rsidRPr="007E6400">
        <w:rPr>
          <w:rFonts w:asciiTheme="majorBidi" w:hAnsiTheme="majorBidi" w:cstheme="majorBidi"/>
          <w:sz w:val="24"/>
          <w:szCs w:val="24"/>
        </w:rPr>
        <w:t>, 1411-1417.</w:t>
      </w:r>
    </w:p>
    <w:p w:rsidR="0083160E" w:rsidRPr="007E6400" w:rsidRDefault="0003382A" w:rsidP="0083160E">
      <w:pPr>
        <w:bidi w:val="0"/>
        <w:spacing w:after="151" w:line="240" w:lineRule="auto"/>
        <w:ind w:left="278" w:hanging="293"/>
        <w:rPr>
          <w:rFonts w:asciiTheme="majorBidi" w:hAnsiTheme="majorBidi" w:cstheme="majorBidi"/>
          <w:sz w:val="24"/>
          <w:szCs w:val="24"/>
          <w:lang w:bidi="ar-EG"/>
        </w:rPr>
      </w:pPr>
      <w:r w:rsidRPr="007E6400">
        <w:rPr>
          <w:rFonts w:asciiTheme="majorBidi" w:hAnsiTheme="majorBidi" w:cstheme="majorBidi"/>
          <w:sz w:val="24"/>
          <w:szCs w:val="24"/>
        </w:rPr>
        <w:t>Smith, J. R.</w:t>
      </w:r>
      <w:r w:rsidR="0083160E" w:rsidRPr="007E6400">
        <w:rPr>
          <w:rFonts w:asciiTheme="majorBidi" w:hAnsiTheme="majorBidi" w:cstheme="majorBidi"/>
          <w:sz w:val="24"/>
          <w:szCs w:val="24"/>
        </w:rPr>
        <w:t xml:space="preserve"> (2023). "Long-term storage effects on seed viability and seedling performance of soft white winter wheat cultivars". Agronomy Journal, 115, 1-12</w:t>
      </w:r>
      <w:r w:rsidR="0083160E" w:rsidRPr="007E6400">
        <w:rPr>
          <w:rFonts w:asciiTheme="majorBidi" w:hAnsiTheme="majorBidi" w:cstheme="majorBidi"/>
          <w:sz w:val="24"/>
          <w:szCs w:val="24"/>
          <w:rtl/>
          <w:lang w:bidi="ar-EG"/>
        </w:rPr>
        <w:t>.</w:t>
      </w:r>
    </w:p>
    <w:p w:rsidR="00E5176F" w:rsidRPr="007E6400" w:rsidRDefault="0083160E" w:rsidP="0083160E">
      <w:pPr>
        <w:bidi w:val="0"/>
        <w:spacing w:after="151" w:line="240" w:lineRule="auto"/>
        <w:ind w:left="278" w:hanging="293"/>
        <w:rPr>
          <w:rFonts w:asciiTheme="majorBidi" w:hAnsiTheme="majorBidi" w:cstheme="majorBidi"/>
          <w:sz w:val="24"/>
          <w:szCs w:val="24"/>
        </w:rPr>
      </w:pPr>
      <w:r w:rsidRPr="007E6400">
        <w:rPr>
          <w:rFonts w:asciiTheme="majorBidi" w:hAnsiTheme="majorBidi" w:cstheme="majorBidi"/>
          <w:sz w:val="24"/>
          <w:szCs w:val="24"/>
        </w:rPr>
        <w:t>Taha, A. M. and El-Sawy, A. A. (2023). "Effect of storage period and packaging material on wheat (Triticum aestivum L.) seed viability and quality". Journal of Agriculture and Environment Sciences, 18(1), 173-186</w:t>
      </w:r>
      <w:r w:rsidRPr="007E6400">
        <w:rPr>
          <w:rFonts w:asciiTheme="majorBidi" w:hAnsiTheme="majorBidi" w:cstheme="majorBidi"/>
          <w:sz w:val="24"/>
          <w:szCs w:val="24"/>
          <w:rtl/>
          <w:lang w:bidi="ar-EG"/>
        </w:rPr>
        <w:t>.</w:t>
      </w:r>
    </w:p>
    <w:p w:rsidR="001F3F84" w:rsidRPr="00F62A25" w:rsidRDefault="001F3F84" w:rsidP="005F0A77">
      <w:pPr>
        <w:ind w:left="360"/>
        <w:rPr>
          <w:rFonts w:ascii="Times New Roman" w:hAnsi="Times New Roman" w:cs="Times New Roman"/>
          <w:sz w:val="24"/>
          <w:szCs w:val="24"/>
          <w:rtl/>
          <w:lang w:bidi="ar-EG"/>
        </w:rPr>
        <w:sectPr w:rsidR="001F3F84" w:rsidRPr="00F62A25" w:rsidSect="001F3F84">
          <w:type w:val="continuous"/>
          <w:pgSz w:w="11907" w:h="16839" w:code="9"/>
          <w:pgMar w:top="1440" w:right="1797" w:bottom="1440" w:left="1797" w:header="737" w:footer="737" w:gutter="0"/>
          <w:cols w:space="709"/>
          <w:bidi/>
          <w:rtlGutter/>
          <w:docGrid w:linePitch="360"/>
        </w:sectPr>
      </w:pPr>
    </w:p>
    <w:p w:rsidR="005702AA" w:rsidRPr="00F62A25" w:rsidRDefault="005702AA" w:rsidP="00307843">
      <w:pPr>
        <w:rPr>
          <w:rFonts w:ascii="Times New Roman" w:hAnsi="Times New Roman" w:cs="Times New Roman"/>
          <w:lang w:bidi="ar-EG"/>
        </w:rPr>
      </w:pPr>
    </w:p>
    <w:sectPr w:rsidR="005702AA" w:rsidRPr="00F62A25" w:rsidSect="008F0E9E">
      <w:type w:val="continuous"/>
      <w:pgSz w:w="11907" w:h="16839" w:code="9"/>
      <w:pgMar w:top="1440" w:right="1797" w:bottom="1440" w:left="1797" w:header="737" w:footer="737" w:gutter="0"/>
      <w:cols w:num="2" w:space="70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965" w:rsidRDefault="00862965">
      <w:pPr>
        <w:spacing w:after="0" w:line="240" w:lineRule="auto"/>
      </w:pPr>
      <w:r>
        <w:separator/>
      </w:r>
    </w:p>
  </w:endnote>
  <w:endnote w:type="continuationSeparator" w:id="0">
    <w:p w:rsidR="00862965" w:rsidRDefault="0086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70" w:rsidRDefault="00055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70" w:rsidRDefault="00055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70" w:rsidRDefault="00055A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50" w:rsidRDefault="00570850">
    <w:pPr>
      <w:spacing w:after="0" w:line="259" w:lineRule="auto"/>
      <w:ind w:left="14"/>
    </w:pPr>
    <w:r>
      <w:rPr>
        <w:sz w:val="18"/>
      </w:rPr>
      <w:t xml:space="preserve">  </w:t>
    </w:r>
    <w:r>
      <w:rPr>
        <w:i/>
        <w:sz w:val="18"/>
      </w:rPr>
      <w:t xml:space="preserve">J. Sus. Agric .Sci. </w:t>
    </w:r>
    <w:r>
      <w:rPr>
        <w:b/>
      </w:rPr>
      <w:t xml:space="preserve">44, </w:t>
    </w:r>
    <w:r>
      <w:t xml:space="preserve">No. 2 (2018)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50" w:rsidRDefault="0057085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965" w:rsidRDefault="00862965">
      <w:pPr>
        <w:spacing w:after="0" w:line="240" w:lineRule="auto"/>
      </w:pPr>
      <w:r>
        <w:separator/>
      </w:r>
    </w:p>
  </w:footnote>
  <w:footnote w:type="continuationSeparator" w:id="0">
    <w:p w:rsidR="00862965" w:rsidRDefault="00862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70" w:rsidRDefault="00055A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88" o:spid="_x0000_s2050" type="#_x0000_t136" style="position:absolute;left:0;text-align:left;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70" w:rsidRDefault="00055A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89" o:spid="_x0000_s2051" type="#_x0000_t136" style="position:absolute;left:0;text-align:left;margin-left:0;margin-top:0;width:493.4pt;height:9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A70" w:rsidRDefault="00055A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87" o:spid="_x0000_s2049" type="#_x0000_t136" style="position:absolute;left:0;text-align:left;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50" w:rsidRDefault="00055A70">
    <w:pPr>
      <w:tabs>
        <w:tab w:val="center" w:pos="4783"/>
      </w:tabs>
      <w:spacing w:after="0" w:line="259" w:lineRule="auto"/>
      <w:ind w:left="-7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91" o:spid="_x0000_s2053" type="#_x0000_t136" style="position:absolute;left:0;text-align:left;margin-left:0;margin-top:0;width:493.4pt;height:9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570850">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049650D2" wp14:editId="15A74CED">
              <wp:simplePos x="0" y="0"/>
              <wp:positionH relativeFrom="page">
                <wp:posOffset>972001</wp:posOffset>
              </wp:positionH>
              <wp:positionV relativeFrom="page">
                <wp:posOffset>868253</wp:posOffset>
              </wp:positionV>
              <wp:extent cx="5508003" cy="3175"/>
              <wp:effectExtent l="0" t="0" r="0" b="0"/>
              <wp:wrapSquare wrapText="bothSides"/>
              <wp:docPr id="76224" name="Group 76224"/>
              <wp:cNvGraphicFramePr/>
              <a:graphic xmlns:a="http://schemas.openxmlformats.org/drawingml/2006/main">
                <a:graphicData uri="http://schemas.microsoft.com/office/word/2010/wordprocessingGroup">
                  <wpg:wgp>
                    <wpg:cNvGrpSpPr/>
                    <wpg:grpSpPr>
                      <a:xfrm>
                        <a:off x="0" y="0"/>
                        <a:ext cx="5508003" cy="3175"/>
                        <a:chOff x="0" y="0"/>
                        <a:chExt cx="5508003" cy="3175"/>
                      </a:xfrm>
                    </wpg:grpSpPr>
                    <wps:wsp>
                      <wps:cNvPr id="76225" name="Shape 76225"/>
                      <wps:cNvSpPr/>
                      <wps:spPr>
                        <a:xfrm>
                          <a:off x="0" y="0"/>
                          <a:ext cx="5508003" cy="0"/>
                        </a:xfrm>
                        <a:custGeom>
                          <a:avLst/>
                          <a:gdLst/>
                          <a:ahLst/>
                          <a:cxnLst/>
                          <a:rect l="0" t="0" r="0" b="0"/>
                          <a:pathLst>
                            <a:path w="5508003">
                              <a:moveTo>
                                <a:pt x="0" y="0"/>
                              </a:moveTo>
                              <a:lnTo>
                                <a:pt x="5508003"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3B26D08" id="Group 76224" o:spid="_x0000_s1026" style="position:absolute;margin-left:76.55pt;margin-top:68.35pt;width:433.7pt;height:.25pt;z-index:251659264;mso-position-horizontal-relative:page;mso-position-vertical-relative:page" coordsize="550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gYYgIAANgFAAAOAAAAZHJzL2Uyb0RvYy54bWykVE1v2zAMvQ/YfxB0X22nSxMYSXpYt1yG&#10;rVi7H6DIkm1AX5CUOPn3o+iPBAnQQ+aDTUvk4+MTxdXzUStyED601qxp8ZBTIgy3VWvqNf37/uPL&#10;kpIQmamYskas6UkE+rz5/GnVuVLMbGNVJTwBEBPKzq1pE6MrsyzwRmgWHqwTBjal9ZpF+PV1VnnW&#10;AbpW2SzPn7LO+sp5y0UIsPrSb9IN4kspePwtZRCRqDUFbhHfHt+79M42K1bWnrmm5QMNdgcLzVoD&#10;SSeoFxYZ2fv2Bkq33NtgZXzgVmdWypYLrAGqKfKrarbe7h3WUpdd7SaZQNorne6G5b8Or5601Zou&#10;nmazr5QYpuGYMDPpl0CiztUleG69e3Ovflio+79U9VF6nb5QDzmiuKdJXHGMhMPifJ4v8/yREg57&#10;j8Vi3mvPGzigmyDefP8oLBtTZonZRKRz0EThrFP4P53eGuYEyh9S9Rc6zUed0AV1wnISAfCcRApl&#10;AL3uUghbc6qTlXwf4lZYlJkdfobYd241WqwZLX40o+mh/z/sfMdiiksMk0m68zmlNW0P4t3ibrw6&#10;I6B23lXm0ms66bEJwLf3ACOl2awGA1ODfVmcMokFNgjhDEaCVCzi3dJthFmhWg2DJk9P6iDEhk+S&#10;vhcbrXhSIvFW5o+Q0N/QgAWCBF/vvilPDgwmQrEsFsViggHXFCNbpaao/DYKc/frTLmG9VgjmyEB&#10;MhuQEqjAYXQNywc2/USCew0zapxLUNkUhLSsiVO8gWmKvC+qTebOVie8oSgIXAaUBscHMhpGXZpP&#10;l//odR7Im38AAAD//wMAUEsDBBQABgAIAAAAIQC0ujDb4QAAAAwBAAAPAAAAZHJzL2Rvd25yZXYu&#10;eG1sTI/BasMwEETvhf6D2EJvjWQbJ8WxHEJoewqFJoWSm2JtbBNrZSzFdv6+8qm97ewOs2/yzWRa&#10;NmDvGksSooUAhlRa3VAl4fv4/vIKzHlFWrWWUMIdHWyKx4dcZdqO9IXDwVcshJDLlITa+y7j3JU1&#10;GuUWtkMKt4vtjfJB9hXXvRpDuGl5LMSSG9VQ+FCrDnc1ltfDzUj4GNW4TaK3YX+97O6nY/r5s49Q&#10;yuenabsG5nHyf2aY8QM6FIHpbG+kHWuDTpMoWMOQLFfAZoeIRQrsPK9WMfAi5/9LFL8AAAD//wMA&#10;UEsBAi0AFAAGAAgAAAAhALaDOJL+AAAA4QEAABMAAAAAAAAAAAAAAAAAAAAAAFtDb250ZW50X1R5&#10;cGVzXS54bWxQSwECLQAUAAYACAAAACEAOP0h/9YAAACUAQAACwAAAAAAAAAAAAAAAAAvAQAAX3Jl&#10;bHMvLnJlbHNQSwECLQAUAAYACAAAACEAW2iIGGICAADYBQAADgAAAAAAAAAAAAAAAAAuAgAAZHJz&#10;L2Uyb0RvYy54bWxQSwECLQAUAAYACAAAACEAtLow2+EAAAAMAQAADwAAAAAAAAAAAAAAAAC8BAAA&#10;ZHJzL2Rvd25yZXYueG1sUEsFBgAAAAAEAAQA8wAAAMoFAAAAAA==&#10;">
              <v:shape id="Shape 76225" o:spid="_x0000_s1027" style="position:absolute;width:55080;height:0;visibility:visible;mso-wrap-style:square;v-text-anchor:top" coordsize="5508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RSywAAAN4AAAAPAAAAZHJzL2Rvd25yZXYueG1sRI/dasJA&#10;FITvC77DcoTe1U1TqzZ1FZEqBRX8KdjcHbKnSdrs2ZDdatqn7xYEL4eZ+YYZT1tTiRM1rrSs4L4X&#10;gSDOrC45V/B2WNyNQDiPrLGyTAp+yMF00rkZY6LtmXd02vtcBAi7BBUU3teJlC4ryKDr2Zo4eB+2&#10;MeiDbHKpGzwHuKlkHEUDabDksFBgTfOCsq/9t1Gw3axXn8fUpeny9/1pu+w/rOqXo1K33Xb2DMJT&#10;66/hS/tVKxgO4vgR/u+EKyAnfwAAAP//AwBQSwECLQAUAAYACAAAACEA2+H2y+4AAACFAQAAEwAA&#10;AAAAAAAAAAAAAAAAAAAAW0NvbnRlbnRfVHlwZXNdLnhtbFBLAQItABQABgAIAAAAIQBa9CxbvwAA&#10;ABUBAAALAAAAAAAAAAAAAAAAAB8BAABfcmVscy8ucmVsc1BLAQItABQABgAIAAAAIQDjL3RSywAA&#10;AN4AAAAPAAAAAAAAAAAAAAAAAAcCAABkcnMvZG93bnJldi54bWxQSwUGAAAAAAMAAwC3AAAA/wIA&#10;AAAA&#10;" path="m,l5508003,e" filled="f" strokecolor="#171616" strokeweight=".25pt">
                <v:stroke miterlimit="1" joinstyle="miter"/>
                <v:path arrowok="t" textboxrect="0,0,5508003,0"/>
              </v:shape>
              <w10:wrap type="square" anchorx="page" anchory="page"/>
            </v:group>
          </w:pict>
        </mc:Fallback>
      </mc:AlternateContent>
    </w:r>
    <w:r w:rsidR="00570850">
      <w:rPr>
        <w:sz w:val="20"/>
      </w:rPr>
      <w:fldChar w:fldCharType="begin"/>
    </w:r>
    <w:r w:rsidR="00570850">
      <w:instrText xml:space="preserve"> PAGE   \* MERGEFORMAT </w:instrText>
    </w:r>
    <w:r w:rsidR="00570850">
      <w:rPr>
        <w:sz w:val="20"/>
      </w:rPr>
      <w:fldChar w:fldCharType="separate"/>
    </w:r>
    <w:r w:rsidR="00570850" w:rsidRPr="00047677">
      <w:rPr>
        <w:noProof/>
        <w:sz w:val="18"/>
      </w:rPr>
      <w:t>80</w:t>
    </w:r>
    <w:r w:rsidR="00570850">
      <w:rPr>
        <w:sz w:val="18"/>
      </w:rPr>
      <w:fldChar w:fldCharType="end"/>
    </w:r>
    <w:r w:rsidR="00570850">
      <w:rPr>
        <w:sz w:val="18"/>
      </w:rPr>
      <w:tab/>
      <w:t xml:space="preserve">SOAD ABDELHADY ELSAYED </w:t>
    </w:r>
    <w:r w:rsidR="00570850">
      <w:rPr>
        <w:i/>
        <w:sz w:val="18"/>
      </w:rPr>
      <w:t>et 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50" w:rsidRDefault="00055A70" w:rsidP="004F61D4">
    <w:pPr>
      <w:tabs>
        <w:tab w:val="center" w:pos="4188"/>
        <w:tab w:val="right" w:pos="8688"/>
      </w:tabs>
      <w:spacing w:after="0" w:line="259" w:lineRule="auto"/>
      <w:rPr>
        <w:rtl/>
        <w:lang w:bidi="ar-EG"/>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92" o:spid="_x0000_s2054" type="#_x0000_t136" style="position:absolute;left:0;text-align:left;margin-left:0;margin-top:0;width:493.4pt;height:92.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r w:rsidR="00570850">
      <w:rPr>
        <w:rFonts w:ascii="Calibri" w:eastAsia="Calibri" w:hAnsi="Calibri" w:cs="Calibri"/>
        <w:color w:val="000000"/>
      </w:rPr>
      <w:tab/>
    </w:r>
    <w:r w:rsidR="00570850">
      <w:rPr>
        <w:sz w:val="24"/>
        <w:vertAlign w:val="subscript"/>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50" w:rsidRDefault="00055A70">
    <w:pPr>
      <w:spacing w:after="160" w:line="259"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90" o:spid="_x0000_s2052" type="#_x0000_t136" style="position:absolute;left:0;text-align:left;margin-left:0;margin-top:0;width:493.4pt;height:9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1581"/>
    <w:multiLevelType w:val="hybridMultilevel"/>
    <w:tmpl w:val="5A969F38"/>
    <w:lvl w:ilvl="0" w:tplc="D1E6E8DC">
      <w:start w:val="1"/>
      <w:numFmt w:val="bullet"/>
      <w:lvlText w:val="-"/>
      <w:lvlJc w:val="left"/>
      <w:pPr>
        <w:ind w:left="134"/>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1" w:tplc="EC58810A">
      <w:start w:val="1"/>
      <w:numFmt w:val="bullet"/>
      <w:lvlText w:val="o"/>
      <w:lvlJc w:val="left"/>
      <w:pPr>
        <w:ind w:left="136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2" w:tplc="FE5A91B2">
      <w:start w:val="1"/>
      <w:numFmt w:val="bullet"/>
      <w:lvlText w:val="▪"/>
      <w:lvlJc w:val="left"/>
      <w:pPr>
        <w:ind w:left="208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3" w:tplc="E33630A6">
      <w:start w:val="1"/>
      <w:numFmt w:val="bullet"/>
      <w:lvlText w:val="•"/>
      <w:lvlJc w:val="left"/>
      <w:pPr>
        <w:ind w:left="280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4" w:tplc="C5FE321C">
      <w:start w:val="1"/>
      <w:numFmt w:val="bullet"/>
      <w:lvlText w:val="o"/>
      <w:lvlJc w:val="left"/>
      <w:pPr>
        <w:ind w:left="352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5" w:tplc="A14C4BAA">
      <w:start w:val="1"/>
      <w:numFmt w:val="bullet"/>
      <w:lvlText w:val="▪"/>
      <w:lvlJc w:val="left"/>
      <w:pPr>
        <w:ind w:left="424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6" w:tplc="1B8E8152">
      <w:start w:val="1"/>
      <w:numFmt w:val="bullet"/>
      <w:lvlText w:val="•"/>
      <w:lvlJc w:val="left"/>
      <w:pPr>
        <w:ind w:left="496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7" w:tplc="AA564BBE">
      <w:start w:val="1"/>
      <w:numFmt w:val="bullet"/>
      <w:lvlText w:val="o"/>
      <w:lvlJc w:val="left"/>
      <w:pPr>
        <w:ind w:left="568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8" w:tplc="3E209E3E">
      <w:start w:val="1"/>
      <w:numFmt w:val="bullet"/>
      <w:lvlText w:val="▪"/>
      <w:lvlJc w:val="left"/>
      <w:pPr>
        <w:ind w:left="640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5A21DB2"/>
    <w:multiLevelType w:val="hybridMultilevel"/>
    <w:tmpl w:val="299E0BB6"/>
    <w:lvl w:ilvl="0" w:tplc="4B44D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A22AE"/>
    <w:multiLevelType w:val="hybridMultilevel"/>
    <w:tmpl w:val="7BEEEA7E"/>
    <w:lvl w:ilvl="0" w:tplc="9C8E883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4C098B"/>
    <w:multiLevelType w:val="hybridMultilevel"/>
    <w:tmpl w:val="991A0110"/>
    <w:lvl w:ilvl="0" w:tplc="985A4D80">
      <w:start w:val="7"/>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87F74BB"/>
    <w:multiLevelType w:val="hybridMultilevel"/>
    <w:tmpl w:val="1F2C46B2"/>
    <w:lvl w:ilvl="0" w:tplc="7E76E8B8">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2AA"/>
    <w:rsid w:val="00001C50"/>
    <w:rsid w:val="00002AEA"/>
    <w:rsid w:val="00011857"/>
    <w:rsid w:val="00030BDB"/>
    <w:rsid w:val="00032231"/>
    <w:rsid w:val="0003382A"/>
    <w:rsid w:val="000355DC"/>
    <w:rsid w:val="00055A70"/>
    <w:rsid w:val="000669D7"/>
    <w:rsid w:val="000733E1"/>
    <w:rsid w:val="00073A8B"/>
    <w:rsid w:val="000843BE"/>
    <w:rsid w:val="0009226C"/>
    <w:rsid w:val="000A1CF5"/>
    <w:rsid w:val="000A718B"/>
    <w:rsid w:val="000C24B8"/>
    <w:rsid w:val="000C3A25"/>
    <w:rsid w:val="000D7BDD"/>
    <w:rsid w:val="000E3DB0"/>
    <w:rsid w:val="000F0080"/>
    <w:rsid w:val="000F161E"/>
    <w:rsid w:val="00102D71"/>
    <w:rsid w:val="00117639"/>
    <w:rsid w:val="00127E1E"/>
    <w:rsid w:val="00130E7E"/>
    <w:rsid w:val="00136404"/>
    <w:rsid w:val="00143407"/>
    <w:rsid w:val="00153FA0"/>
    <w:rsid w:val="00154A2E"/>
    <w:rsid w:val="00165C53"/>
    <w:rsid w:val="00165E4E"/>
    <w:rsid w:val="001664FB"/>
    <w:rsid w:val="00175922"/>
    <w:rsid w:val="0018058F"/>
    <w:rsid w:val="00181ADA"/>
    <w:rsid w:val="00182705"/>
    <w:rsid w:val="001967AB"/>
    <w:rsid w:val="00196BA0"/>
    <w:rsid w:val="001A0318"/>
    <w:rsid w:val="001A3039"/>
    <w:rsid w:val="001B0D94"/>
    <w:rsid w:val="001B0E97"/>
    <w:rsid w:val="001C192A"/>
    <w:rsid w:val="001C4633"/>
    <w:rsid w:val="001E2168"/>
    <w:rsid w:val="001F3F84"/>
    <w:rsid w:val="00216ED3"/>
    <w:rsid w:val="00245D2F"/>
    <w:rsid w:val="0025589F"/>
    <w:rsid w:val="00256CEA"/>
    <w:rsid w:val="0028518D"/>
    <w:rsid w:val="0028531A"/>
    <w:rsid w:val="002B02A7"/>
    <w:rsid w:val="002B1CB1"/>
    <w:rsid w:val="002C1799"/>
    <w:rsid w:val="002C2383"/>
    <w:rsid w:val="002D4404"/>
    <w:rsid w:val="002E177D"/>
    <w:rsid w:val="002F0D92"/>
    <w:rsid w:val="00302B5A"/>
    <w:rsid w:val="00307843"/>
    <w:rsid w:val="00345C93"/>
    <w:rsid w:val="0036618A"/>
    <w:rsid w:val="00374441"/>
    <w:rsid w:val="003750B7"/>
    <w:rsid w:val="00396239"/>
    <w:rsid w:val="003A33EE"/>
    <w:rsid w:val="003A504D"/>
    <w:rsid w:val="003B3B21"/>
    <w:rsid w:val="003D74D7"/>
    <w:rsid w:val="003E4B63"/>
    <w:rsid w:val="003E5D7A"/>
    <w:rsid w:val="003F7F4E"/>
    <w:rsid w:val="004046DB"/>
    <w:rsid w:val="00407EA7"/>
    <w:rsid w:val="004117DF"/>
    <w:rsid w:val="00432BBA"/>
    <w:rsid w:val="00447DFE"/>
    <w:rsid w:val="004564FA"/>
    <w:rsid w:val="00456A44"/>
    <w:rsid w:val="00477CD0"/>
    <w:rsid w:val="004809B9"/>
    <w:rsid w:val="0048489E"/>
    <w:rsid w:val="00486170"/>
    <w:rsid w:val="00491E43"/>
    <w:rsid w:val="004A33A1"/>
    <w:rsid w:val="004C1518"/>
    <w:rsid w:val="004C481B"/>
    <w:rsid w:val="004C6413"/>
    <w:rsid w:val="004C7C2A"/>
    <w:rsid w:val="004D1C7A"/>
    <w:rsid w:val="004E27CD"/>
    <w:rsid w:val="004E75E7"/>
    <w:rsid w:val="004F61D4"/>
    <w:rsid w:val="004F6743"/>
    <w:rsid w:val="005008FB"/>
    <w:rsid w:val="00517E52"/>
    <w:rsid w:val="00557F9C"/>
    <w:rsid w:val="00562BA9"/>
    <w:rsid w:val="005702AA"/>
    <w:rsid w:val="00570850"/>
    <w:rsid w:val="00575925"/>
    <w:rsid w:val="00590407"/>
    <w:rsid w:val="005927BE"/>
    <w:rsid w:val="005C1D0C"/>
    <w:rsid w:val="005D2C01"/>
    <w:rsid w:val="005F0A77"/>
    <w:rsid w:val="005F3559"/>
    <w:rsid w:val="005F5F88"/>
    <w:rsid w:val="00601102"/>
    <w:rsid w:val="00605F9A"/>
    <w:rsid w:val="00606A5A"/>
    <w:rsid w:val="00610442"/>
    <w:rsid w:val="00620833"/>
    <w:rsid w:val="00620DA4"/>
    <w:rsid w:val="00634F1A"/>
    <w:rsid w:val="00643EB9"/>
    <w:rsid w:val="00644E41"/>
    <w:rsid w:val="00652D6D"/>
    <w:rsid w:val="006558F2"/>
    <w:rsid w:val="0068047A"/>
    <w:rsid w:val="00691AF2"/>
    <w:rsid w:val="00692FEA"/>
    <w:rsid w:val="006976C6"/>
    <w:rsid w:val="006B043C"/>
    <w:rsid w:val="006C6AB4"/>
    <w:rsid w:val="006D223F"/>
    <w:rsid w:val="006E7C37"/>
    <w:rsid w:val="00705495"/>
    <w:rsid w:val="007142B5"/>
    <w:rsid w:val="0072705F"/>
    <w:rsid w:val="00730937"/>
    <w:rsid w:val="0073273E"/>
    <w:rsid w:val="007363AC"/>
    <w:rsid w:val="00742B42"/>
    <w:rsid w:val="00745FB2"/>
    <w:rsid w:val="00752B9E"/>
    <w:rsid w:val="0075645F"/>
    <w:rsid w:val="0076710E"/>
    <w:rsid w:val="00770E5A"/>
    <w:rsid w:val="00772C00"/>
    <w:rsid w:val="00793230"/>
    <w:rsid w:val="007A01AC"/>
    <w:rsid w:val="007B1C05"/>
    <w:rsid w:val="007E0500"/>
    <w:rsid w:val="007E6400"/>
    <w:rsid w:val="007F0B2C"/>
    <w:rsid w:val="00813FA7"/>
    <w:rsid w:val="00814A9D"/>
    <w:rsid w:val="008156CF"/>
    <w:rsid w:val="008200A9"/>
    <w:rsid w:val="0083160E"/>
    <w:rsid w:val="00832086"/>
    <w:rsid w:val="008446CE"/>
    <w:rsid w:val="00854466"/>
    <w:rsid w:val="00854E4B"/>
    <w:rsid w:val="0085786F"/>
    <w:rsid w:val="00862965"/>
    <w:rsid w:val="00873F67"/>
    <w:rsid w:val="00875498"/>
    <w:rsid w:val="008831C6"/>
    <w:rsid w:val="008B3422"/>
    <w:rsid w:val="008B4F88"/>
    <w:rsid w:val="008B73FF"/>
    <w:rsid w:val="008B7447"/>
    <w:rsid w:val="008C138B"/>
    <w:rsid w:val="008C5FB6"/>
    <w:rsid w:val="008D502E"/>
    <w:rsid w:val="008E07FB"/>
    <w:rsid w:val="008F0E9E"/>
    <w:rsid w:val="008F5ED5"/>
    <w:rsid w:val="00900047"/>
    <w:rsid w:val="00910D8A"/>
    <w:rsid w:val="00933454"/>
    <w:rsid w:val="00966E4D"/>
    <w:rsid w:val="00993E77"/>
    <w:rsid w:val="009B162E"/>
    <w:rsid w:val="009B42D9"/>
    <w:rsid w:val="009C1E5A"/>
    <w:rsid w:val="009D1804"/>
    <w:rsid w:val="009E14FB"/>
    <w:rsid w:val="009E563A"/>
    <w:rsid w:val="00A07A83"/>
    <w:rsid w:val="00A14344"/>
    <w:rsid w:val="00A3038A"/>
    <w:rsid w:val="00A41897"/>
    <w:rsid w:val="00A505E6"/>
    <w:rsid w:val="00A61768"/>
    <w:rsid w:val="00AC1EFE"/>
    <w:rsid w:val="00AC3AB0"/>
    <w:rsid w:val="00AC4E35"/>
    <w:rsid w:val="00AD34A3"/>
    <w:rsid w:val="00AE2AED"/>
    <w:rsid w:val="00AF3B91"/>
    <w:rsid w:val="00B02286"/>
    <w:rsid w:val="00B05D24"/>
    <w:rsid w:val="00B240A6"/>
    <w:rsid w:val="00B27925"/>
    <w:rsid w:val="00B3364D"/>
    <w:rsid w:val="00B45119"/>
    <w:rsid w:val="00B531A4"/>
    <w:rsid w:val="00B54E5F"/>
    <w:rsid w:val="00B568E7"/>
    <w:rsid w:val="00B7673D"/>
    <w:rsid w:val="00B7739F"/>
    <w:rsid w:val="00B82841"/>
    <w:rsid w:val="00B9228C"/>
    <w:rsid w:val="00B92BEF"/>
    <w:rsid w:val="00BA2544"/>
    <w:rsid w:val="00BB05CD"/>
    <w:rsid w:val="00BB40FC"/>
    <w:rsid w:val="00BB6524"/>
    <w:rsid w:val="00BC05F3"/>
    <w:rsid w:val="00BC1D41"/>
    <w:rsid w:val="00BC2447"/>
    <w:rsid w:val="00BC5A14"/>
    <w:rsid w:val="00BD1830"/>
    <w:rsid w:val="00BD3FC3"/>
    <w:rsid w:val="00C13DC8"/>
    <w:rsid w:val="00C22165"/>
    <w:rsid w:val="00C255CE"/>
    <w:rsid w:val="00C31E7A"/>
    <w:rsid w:val="00C5159E"/>
    <w:rsid w:val="00C519F2"/>
    <w:rsid w:val="00C52F9E"/>
    <w:rsid w:val="00C73BED"/>
    <w:rsid w:val="00C750BD"/>
    <w:rsid w:val="00CB28A9"/>
    <w:rsid w:val="00CB3031"/>
    <w:rsid w:val="00CB31BA"/>
    <w:rsid w:val="00CB6A12"/>
    <w:rsid w:val="00CB7A73"/>
    <w:rsid w:val="00CC09D9"/>
    <w:rsid w:val="00CC47B9"/>
    <w:rsid w:val="00D14B6F"/>
    <w:rsid w:val="00D3359A"/>
    <w:rsid w:val="00D41A6F"/>
    <w:rsid w:val="00D5133C"/>
    <w:rsid w:val="00D56981"/>
    <w:rsid w:val="00D80CFA"/>
    <w:rsid w:val="00D82570"/>
    <w:rsid w:val="00D84290"/>
    <w:rsid w:val="00D92818"/>
    <w:rsid w:val="00DC2230"/>
    <w:rsid w:val="00DC4526"/>
    <w:rsid w:val="00DE56A3"/>
    <w:rsid w:val="00DE7128"/>
    <w:rsid w:val="00DF0907"/>
    <w:rsid w:val="00E01EB3"/>
    <w:rsid w:val="00E20262"/>
    <w:rsid w:val="00E25B44"/>
    <w:rsid w:val="00E34966"/>
    <w:rsid w:val="00E37977"/>
    <w:rsid w:val="00E47575"/>
    <w:rsid w:val="00E5176F"/>
    <w:rsid w:val="00E561C5"/>
    <w:rsid w:val="00E74144"/>
    <w:rsid w:val="00E81E34"/>
    <w:rsid w:val="00E87E87"/>
    <w:rsid w:val="00E9183B"/>
    <w:rsid w:val="00E92CB0"/>
    <w:rsid w:val="00EA446C"/>
    <w:rsid w:val="00EB5FBF"/>
    <w:rsid w:val="00EB6BC7"/>
    <w:rsid w:val="00ED52AA"/>
    <w:rsid w:val="00F01BE6"/>
    <w:rsid w:val="00F07B0F"/>
    <w:rsid w:val="00F15AC7"/>
    <w:rsid w:val="00F31A91"/>
    <w:rsid w:val="00F41854"/>
    <w:rsid w:val="00F54D1D"/>
    <w:rsid w:val="00F62A25"/>
    <w:rsid w:val="00F7327C"/>
    <w:rsid w:val="00FB5A0C"/>
    <w:rsid w:val="00FB5F27"/>
    <w:rsid w:val="00FD1B13"/>
    <w:rsid w:val="00FE481B"/>
    <w:rsid w:val="00FF1ACB"/>
    <w:rsid w:val="00FF4A5A"/>
    <w:rsid w:val="00FF619D"/>
    <w:rsid w:val="00FF7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7195B0"/>
  <w15:docId w15:val="{040836B6-0008-4AB9-A336-D107CE73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next w:val="Normal"/>
    <w:link w:val="Heading2Char"/>
    <w:uiPriority w:val="9"/>
    <w:unhideWhenUsed/>
    <w:qFormat/>
    <w:rsid w:val="00854E4B"/>
    <w:pPr>
      <w:keepNext/>
      <w:keepLines/>
      <w:spacing w:after="0" w:line="259" w:lineRule="auto"/>
      <w:ind w:left="1133"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rsid w:val="00854E4B"/>
    <w:pPr>
      <w:keepNext/>
      <w:keepLines/>
      <w:spacing w:after="0" w:line="265" w:lineRule="auto"/>
      <w:ind w:left="27" w:hanging="10"/>
      <w:outlineLvl w:val="2"/>
    </w:pPr>
    <w:rPr>
      <w:rFonts w:ascii="Times New Roman" w:eastAsia="Times New Roman" w:hAnsi="Times New Roman" w:cs="Times New Roman"/>
      <w:i/>
      <w:color w:val="181717"/>
      <w:sz w:val="20"/>
    </w:rPr>
  </w:style>
  <w:style w:type="paragraph" w:styleId="Heading4">
    <w:name w:val="heading 4"/>
    <w:basedOn w:val="Normal"/>
    <w:next w:val="Normal"/>
    <w:link w:val="Heading4Char"/>
    <w:uiPriority w:val="9"/>
    <w:semiHidden/>
    <w:unhideWhenUsed/>
    <w:qFormat/>
    <w:rsid w:val="00E741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E4B"/>
    <w:rPr>
      <w:rFonts w:ascii="Times New Roman" w:eastAsia="Times New Roman" w:hAnsi="Times New Roman" w:cs="Times New Roman"/>
      <w:i/>
      <w:color w:val="000000"/>
      <w:sz w:val="24"/>
    </w:rPr>
  </w:style>
  <w:style w:type="character" w:customStyle="1" w:styleId="Heading3Char">
    <w:name w:val="Heading 3 Char"/>
    <w:basedOn w:val="DefaultParagraphFont"/>
    <w:link w:val="Heading3"/>
    <w:uiPriority w:val="9"/>
    <w:rsid w:val="00854E4B"/>
    <w:rPr>
      <w:rFonts w:ascii="Times New Roman" w:eastAsia="Times New Roman" w:hAnsi="Times New Roman" w:cs="Times New Roman"/>
      <w:i/>
      <w:color w:val="181717"/>
      <w:sz w:val="20"/>
    </w:rPr>
  </w:style>
  <w:style w:type="character" w:customStyle="1" w:styleId="Heading4Char">
    <w:name w:val="Heading 4 Char"/>
    <w:basedOn w:val="DefaultParagraphFont"/>
    <w:link w:val="Heading4"/>
    <w:uiPriority w:val="9"/>
    <w:semiHidden/>
    <w:rsid w:val="00E7414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570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2AA"/>
    <w:rPr>
      <w:rFonts w:ascii="Tahoma" w:hAnsi="Tahoma" w:cs="Tahoma"/>
      <w:sz w:val="16"/>
      <w:szCs w:val="16"/>
    </w:rPr>
  </w:style>
  <w:style w:type="paragraph" w:styleId="ListParagraph">
    <w:name w:val="List Paragraph"/>
    <w:basedOn w:val="Normal"/>
    <w:uiPriority w:val="34"/>
    <w:qFormat/>
    <w:rsid w:val="00854E4B"/>
    <w:pPr>
      <w:spacing w:after="0" w:line="240" w:lineRule="auto"/>
      <w:ind w:left="720"/>
      <w:contextualSpacing/>
      <w:jc w:val="center"/>
    </w:pPr>
  </w:style>
  <w:style w:type="paragraph" w:styleId="PlainText">
    <w:name w:val="Plain Text"/>
    <w:basedOn w:val="Normal"/>
    <w:link w:val="PlainTextChar"/>
    <w:uiPriority w:val="99"/>
    <w:unhideWhenUsed/>
    <w:rsid w:val="000355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355DC"/>
    <w:rPr>
      <w:rFonts w:ascii="Consolas" w:hAnsi="Consolas"/>
      <w:sz w:val="21"/>
      <w:szCs w:val="21"/>
    </w:rPr>
  </w:style>
  <w:style w:type="table" w:styleId="TableGrid">
    <w:name w:val="Table Grid"/>
    <w:basedOn w:val="TableNormal"/>
    <w:uiPriority w:val="59"/>
    <w:rsid w:val="000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1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4144"/>
  </w:style>
  <w:style w:type="paragraph" w:styleId="Footer">
    <w:name w:val="footer"/>
    <w:basedOn w:val="Normal"/>
    <w:link w:val="FooterChar"/>
    <w:uiPriority w:val="99"/>
    <w:unhideWhenUsed/>
    <w:rsid w:val="00E741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4144"/>
  </w:style>
  <w:style w:type="character" w:customStyle="1" w:styleId="fontstyle01">
    <w:name w:val="fontstyle01"/>
    <w:basedOn w:val="DefaultParagraphFont"/>
    <w:rsid w:val="00BC1D41"/>
    <w:rPr>
      <w:rFonts w:ascii="Calibri" w:hAnsi="Calibri" w:hint="default"/>
      <w:b w:val="0"/>
      <w:bCs w:val="0"/>
      <w:i w:val="0"/>
      <w:iCs w:val="0"/>
      <w:color w:val="000000"/>
      <w:sz w:val="20"/>
      <w:szCs w:val="20"/>
    </w:rPr>
  </w:style>
  <w:style w:type="character" w:styleId="Hyperlink">
    <w:name w:val="Hyperlink"/>
    <w:basedOn w:val="DefaultParagraphFont"/>
    <w:uiPriority w:val="99"/>
    <w:unhideWhenUsed/>
    <w:rsid w:val="003A3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5192">
      <w:bodyDiv w:val="1"/>
      <w:marLeft w:val="0"/>
      <w:marRight w:val="0"/>
      <w:marTop w:val="0"/>
      <w:marBottom w:val="0"/>
      <w:divBdr>
        <w:top w:val="none" w:sz="0" w:space="0" w:color="auto"/>
        <w:left w:val="none" w:sz="0" w:space="0" w:color="auto"/>
        <w:bottom w:val="none" w:sz="0" w:space="0" w:color="auto"/>
        <w:right w:val="none" w:sz="0" w:space="0" w:color="auto"/>
      </w:divBdr>
    </w:div>
    <w:div w:id="240720244">
      <w:bodyDiv w:val="1"/>
      <w:marLeft w:val="0"/>
      <w:marRight w:val="0"/>
      <w:marTop w:val="0"/>
      <w:marBottom w:val="0"/>
      <w:divBdr>
        <w:top w:val="none" w:sz="0" w:space="0" w:color="auto"/>
        <w:left w:val="none" w:sz="0" w:space="0" w:color="auto"/>
        <w:bottom w:val="none" w:sz="0" w:space="0" w:color="auto"/>
        <w:right w:val="none" w:sz="0" w:space="0" w:color="auto"/>
      </w:divBdr>
    </w:div>
    <w:div w:id="290479197">
      <w:bodyDiv w:val="1"/>
      <w:marLeft w:val="0"/>
      <w:marRight w:val="0"/>
      <w:marTop w:val="0"/>
      <w:marBottom w:val="0"/>
      <w:divBdr>
        <w:top w:val="none" w:sz="0" w:space="0" w:color="auto"/>
        <w:left w:val="none" w:sz="0" w:space="0" w:color="auto"/>
        <w:bottom w:val="none" w:sz="0" w:space="0" w:color="auto"/>
        <w:right w:val="none" w:sz="0" w:space="0" w:color="auto"/>
      </w:divBdr>
    </w:div>
    <w:div w:id="294259168">
      <w:bodyDiv w:val="1"/>
      <w:marLeft w:val="0"/>
      <w:marRight w:val="0"/>
      <w:marTop w:val="0"/>
      <w:marBottom w:val="0"/>
      <w:divBdr>
        <w:top w:val="none" w:sz="0" w:space="0" w:color="auto"/>
        <w:left w:val="none" w:sz="0" w:space="0" w:color="auto"/>
        <w:bottom w:val="none" w:sz="0" w:space="0" w:color="auto"/>
        <w:right w:val="none" w:sz="0" w:space="0" w:color="auto"/>
      </w:divBdr>
    </w:div>
    <w:div w:id="417219630">
      <w:bodyDiv w:val="1"/>
      <w:marLeft w:val="0"/>
      <w:marRight w:val="0"/>
      <w:marTop w:val="0"/>
      <w:marBottom w:val="0"/>
      <w:divBdr>
        <w:top w:val="none" w:sz="0" w:space="0" w:color="auto"/>
        <w:left w:val="none" w:sz="0" w:space="0" w:color="auto"/>
        <w:bottom w:val="none" w:sz="0" w:space="0" w:color="auto"/>
        <w:right w:val="none" w:sz="0" w:space="0" w:color="auto"/>
      </w:divBdr>
    </w:div>
    <w:div w:id="445000322">
      <w:bodyDiv w:val="1"/>
      <w:marLeft w:val="0"/>
      <w:marRight w:val="0"/>
      <w:marTop w:val="0"/>
      <w:marBottom w:val="0"/>
      <w:divBdr>
        <w:top w:val="none" w:sz="0" w:space="0" w:color="auto"/>
        <w:left w:val="none" w:sz="0" w:space="0" w:color="auto"/>
        <w:bottom w:val="none" w:sz="0" w:space="0" w:color="auto"/>
        <w:right w:val="none" w:sz="0" w:space="0" w:color="auto"/>
      </w:divBdr>
    </w:div>
    <w:div w:id="482166540">
      <w:bodyDiv w:val="1"/>
      <w:marLeft w:val="0"/>
      <w:marRight w:val="0"/>
      <w:marTop w:val="0"/>
      <w:marBottom w:val="0"/>
      <w:divBdr>
        <w:top w:val="none" w:sz="0" w:space="0" w:color="auto"/>
        <w:left w:val="none" w:sz="0" w:space="0" w:color="auto"/>
        <w:bottom w:val="none" w:sz="0" w:space="0" w:color="auto"/>
        <w:right w:val="none" w:sz="0" w:space="0" w:color="auto"/>
      </w:divBdr>
    </w:div>
    <w:div w:id="482937241">
      <w:bodyDiv w:val="1"/>
      <w:marLeft w:val="0"/>
      <w:marRight w:val="0"/>
      <w:marTop w:val="0"/>
      <w:marBottom w:val="0"/>
      <w:divBdr>
        <w:top w:val="none" w:sz="0" w:space="0" w:color="auto"/>
        <w:left w:val="none" w:sz="0" w:space="0" w:color="auto"/>
        <w:bottom w:val="none" w:sz="0" w:space="0" w:color="auto"/>
        <w:right w:val="none" w:sz="0" w:space="0" w:color="auto"/>
      </w:divBdr>
    </w:div>
    <w:div w:id="634212679">
      <w:bodyDiv w:val="1"/>
      <w:marLeft w:val="0"/>
      <w:marRight w:val="0"/>
      <w:marTop w:val="0"/>
      <w:marBottom w:val="0"/>
      <w:divBdr>
        <w:top w:val="none" w:sz="0" w:space="0" w:color="auto"/>
        <w:left w:val="none" w:sz="0" w:space="0" w:color="auto"/>
        <w:bottom w:val="none" w:sz="0" w:space="0" w:color="auto"/>
        <w:right w:val="none" w:sz="0" w:space="0" w:color="auto"/>
      </w:divBdr>
    </w:div>
    <w:div w:id="720052955">
      <w:bodyDiv w:val="1"/>
      <w:marLeft w:val="0"/>
      <w:marRight w:val="0"/>
      <w:marTop w:val="0"/>
      <w:marBottom w:val="0"/>
      <w:divBdr>
        <w:top w:val="none" w:sz="0" w:space="0" w:color="auto"/>
        <w:left w:val="none" w:sz="0" w:space="0" w:color="auto"/>
        <w:bottom w:val="none" w:sz="0" w:space="0" w:color="auto"/>
        <w:right w:val="none" w:sz="0" w:space="0" w:color="auto"/>
      </w:divBdr>
    </w:div>
    <w:div w:id="1227766578">
      <w:bodyDiv w:val="1"/>
      <w:marLeft w:val="0"/>
      <w:marRight w:val="0"/>
      <w:marTop w:val="0"/>
      <w:marBottom w:val="0"/>
      <w:divBdr>
        <w:top w:val="none" w:sz="0" w:space="0" w:color="auto"/>
        <w:left w:val="none" w:sz="0" w:space="0" w:color="auto"/>
        <w:bottom w:val="none" w:sz="0" w:space="0" w:color="auto"/>
        <w:right w:val="none" w:sz="0" w:space="0" w:color="auto"/>
      </w:divBdr>
    </w:div>
    <w:div w:id="1259560699">
      <w:bodyDiv w:val="1"/>
      <w:marLeft w:val="0"/>
      <w:marRight w:val="0"/>
      <w:marTop w:val="0"/>
      <w:marBottom w:val="0"/>
      <w:divBdr>
        <w:top w:val="none" w:sz="0" w:space="0" w:color="auto"/>
        <w:left w:val="none" w:sz="0" w:space="0" w:color="auto"/>
        <w:bottom w:val="none" w:sz="0" w:space="0" w:color="auto"/>
        <w:right w:val="none" w:sz="0" w:space="0" w:color="auto"/>
      </w:divBdr>
    </w:div>
    <w:div w:id="1603611972">
      <w:bodyDiv w:val="1"/>
      <w:marLeft w:val="0"/>
      <w:marRight w:val="0"/>
      <w:marTop w:val="0"/>
      <w:marBottom w:val="0"/>
      <w:divBdr>
        <w:top w:val="none" w:sz="0" w:space="0" w:color="auto"/>
        <w:left w:val="none" w:sz="0" w:space="0" w:color="auto"/>
        <w:bottom w:val="none" w:sz="0" w:space="0" w:color="auto"/>
        <w:right w:val="none" w:sz="0" w:space="0" w:color="auto"/>
      </w:divBdr>
    </w:div>
    <w:div w:id="1605454401">
      <w:bodyDiv w:val="1"/>
      <w:marLeft w:val="0"/>
      <w:marRight w:val="0"/>
      <w:marTop w:val="0"/>
      <w:marBottom w:val="0"/>
      <w:divBdr>
        <w:top w:val="none" w:sz="0" w:space="0" w:color="auto"/>
        <w:left w:val="none" w:sz="0" w:space="0" w:color="auto"/>
        <w:bottom w:val="none" w:sz="0" w:space="0" w:color="auto"/>
        <w:right w:val="none" w:sz="0" w:space="0" w:color="auto"/>
      </w:divBdr>
    </w:div>
    <w:div w:id="1667787088">
      <w:bodyDiv w:val="1"/>
      <w:marLeft w:val="0"/>
      <w:marRight w:val="0"/>
      <w:marTop w:val="0"/>
      <w:marBottom w:val="0"/>
      <w:divBdr>
        <w:top w:val="none" w:sz="0" w:space="0" w:color="auto"/>
        <w:left w:val="none" w:sz="0" w:space="0" w:color="auto"/>
        <w:bottom w:val="none" w:sz="0" w:space="0" w:color="auto"/>
        <w:right w:val="none" w:sz="0" w:space="0" w:color="auto"/>
      </w:divBdr>
    </w:div>
    <w:div w:id="1888562222">
      <w:bodyDiv w:val="1"/>
      <w:marLeft w:val="0"/>
      <w:marRight w:val="0"/>
      <w:marTop w:val="0"/>
      <w:marBottom w:val="0"/>
      <w:divBdr>
        <w:top w:val="none" w:sz="0" w:space="0" w:color="auto"/>
        <w:left w:val="none" w:sz="0" w:space="0" w:color="auto"/>
        <w:bottom w:val="none" w:sz="0" w:space="0" w:color="auto"/>
        <w:right w:val="none" w:sz="0" w:space="0" w:color="auto"/>
      </w:divBdr>
    </w:div>
    <w:div w:id="1932472171">
      <w:bodyDiv w:val="1"/>
      <w:marLeft w:val="0"/>
      <w:marRight w:val="0"/>
      <w:marTop w:val="0"/>
      <w:marBottom w:val="0"/>
      <w:divBdr>
        <w:top w:val="none" w:sz="0" w:space="0" w:color="auto"/>
        <w:left w:val="none" w:sz="0" w:space="0" w:color="auto"/>
        <w:bottom w:val="none" w:sz="0" w:space="0" w:color="auto"/>
        <w:right w:val="none" w:sz="0" w:space="0" w:color="auto"/>
      </w:divBdr>
    </w:div>
    <w:div w:id="20206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oter" Target="footer5.xml"/><Relationship Id="rId21" Type="http://schemas.openxmlformats.org/officeDocument/2006/relationships/chart" Target="charts/chart6.xml"/><Relationship Id="rId34"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6.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5.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88868759972811"/>
          <c:y val="5.1031837118481013E-2"/>
          <c:w val="0.86137420026288181"/>
          <c:h val="0.77682226282649558"/>
        </c:manualLayout>
      </c:layout>
      <c:bar3DChart>
        <c:barDir val="col"/>
        <c:grouping val="clustered"/>
        <c:varyColors val="0"/>
        <c:ser>
          <c:idx val="0"/>
          <c:order val="0"/>
          <c:tx>
            <c:strRef>
              <c:f>Sheet1!$A$11</c:f>
              <c:strCache>
                <c:ptCount val="1"/>
                <c:pt idx="0">
                  <c:v>Normal</c:v>
                </c:pt>
              </c:strCache>
            </c:strRef>
          </c:tx>
          <c:spPr>
            <a:pattFill prst="ltVert">
              <a:fgClr>
                <a:srgbClr val="002060"/>
              </a:fgClr>
              <a:bgClr>
                <a:sysClr val="window" lastClr="FFFFFF"/>
              </a:bgClr>
            </a:pattFill>
          </c:spPr>
          <c:invertIfNegative val="0"/>
          <c:dLbls>
            <c:dLbl>
              <c:idx val="0"/>
              <c:layout>
                <c:manualLayout>
                  <c:x val="0"/>
                  <c:y val="-1.38888888888888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89-4A24-9305-1D2E9F37E9F8}"/>
                </c:ext>
              </c:extLst>
            </c:dLbl>
            <c:dLbl>
              <c:idx val="1"/>
              <c:layout>
                <c:manualLayout>
                  <c:x val="-2.777777777777777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89-4A24-9305-1D2E9F37E9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Sheet1!$B$10:$C$10</c:f>
              <c:strCache>
                <c:ptCount val="2"/>
                <c:pt idx="0">
                  <c:v>3 months</c:v>
                </c:pt>
                <c:pt idx="1">
                  <c:v>6 months</c:v>
                </c:pt>
              </c:strCache>
            </c:strRef>
          </c:cat>
          <c:val>
            <c:numRef>
              <c:f>Sheet1!$B$11:$C$11</c:f>
              <c:numCache>
                <c:formatCode>General</c:formatCode>
                <c:ptCount val="2"/>
                <c:pt idx="0">
                  <c:v>57.89</c:v>
                </c:pt>
                <c:pt idx="1">
                  <c:v>53.33</c:v>
                </c:pt>
              </c:numCache>
            </c:numRef>
          </c:val>
          <c:extLst>
            <c:ext xmlns:c16="http://schemas.microsoft.com/office/drawing/2014/chart" uri="{C3380CC4-5D6E-409C-BE32-E72D297353CC}">
              <c16:uniqueId val="{00000002-7289-4A24-9305-1D2E9F37E9F8}"/>
            </c:ext>
          </c:extLst>
        </c:ser>
        <c:ser>
          <c:idx val="1"/>
          <c:order val="1"/>
          <c:tx>
            <c:strRef>
              <c:f>Sheet1!$A$12</c:f>
              <c:strCache>
                <c:ptCount val="1"/>
                <c:pt idx="0">
                  <c:v>Drought</c:v>
                </c:pt>
              </c:strCache>
            </c:strRef>
          </c:tx>
          <c:spPr>
            <a:pattFill prst="horzBrick">
              <a:fgClr>
                <a:sysClr val="windowText" lastClr="000000"/>
              </a:fgClr>
              <a:bgClr>
                <a:sysClr val="window" lastClr="FFFFFF"/>
              </a:bgClr>
            </a:pattFill>
          </c:spPr>
          <c:invertIfNegative val="0"/>
          <c:dLbls>
            <c:dLbl>
              <c:idx val="0"/>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89-4A24-9305-1D2E9F37E9F8}"/>
                </c:ext>
              </c:extLst>
            </c:dLbl>
            <c:dLbl>
              <c:idx val="1"/>
              <c:layout>
                <c:manualLayout>
                  <c:x val="-1.0185067526415994E-16"/>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89-4A24-9305-1D2E9F37E9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Sheet1!$B$10:$C$10</c:f>
              <c:strCache>
                <c:ptCount val="2"/>
                <c:pt idx="0">
                  <c:v>3 months</c:v>
                </c:pt>
                <c:pt idx="1">
                  <c:v>6 months</c:v>
                </c:pt>
              </c:strCache>
            </c:strRef>
          </c:cat>
          <c:val>
            <c:numRef>
              <c:f>Sheet1!$B$12:$C$12</c:f>
              <c:numCache>
                <c:formatCode>General</c:formatCode>
                <c:ptCount val="2"/>
                <c:pt idx="0">
                  <c:v>54.33</c:v>
                </c:pt>
                <c:pt idx="1">
                  <c:v>48.94</c:v>
                </c:pt>
              </c:numCache>
            </c:numRef>
          </c:val>
          <c:extLst>
            <c:ext xmlns:c16="http://schemas.microsoft.com/office/drawing/2014/chart" uri="{C3380CC4-5D6E-409C-BE32-E72D297353CC}">
              <c16:uniqueId val="{00000005-7289-4A24-9305-1D2E9F37E9F8}"/>
            </c:ext>
          </c:extLst>
        </c:ser>
        <c:dLbls>
          <c:showLegendKey val="0"/>
          <c:showVal val="1"/>
          <c:showCatName val="0"/>
          <c:showSerName val="0"/>
          <c:showPercent val="0"/>
          <c:showBubbleSize val="0"/>
        </c:dLbls>
        <c:gapWidth val="150"/>
        <c:shape val="cylinder"/>
        <c:axId val="120219136"/>
        <c:axId val="120220672"/>
        <c:axId val="0"/>
      </c:bar3DChart>
      <c:catAx>
        <c:axId val="120219136"/>
        <c:scaling>
          <c:orientation val="minMax"/>
        </c:scaling>
        <c:delete val="0"/>
        <c:axPos val="b"/>
        <c:numFmt formatCode="General" sourceLinked="0"/>
        <c:majorTickMark val="out"/>
        <c:minorTickMark val="none"/>
        <c:tickLblPos val="nextTo"/>
        <c:crossAx val="120220672"/>
        <c:crosses val="autoZero"/>
        <c:auto val="1"/>
        <c:lblAlgn val="ctr"/>
        <c:lblOffset val="100"/>
        <c:noMultiLvlLbl val="0"/>
      </c:catAx>
      <c:valAx>
        <c:axId val="120220672"/>
        <c:scaling>
          <c:orientation val="minMax"/>
        </c:scaling>
        <c:delete val="1"/>
        <c:axPos val="l"/>
        <c:numFmt formatCode="General" sourceLinked="1"/>
        <c:majorTickMark val="out"/>
        <c:minorTickMark val="none"/>
        <c:tickLblPos val="nextTo"/>
        <c:crossAx val="120219136"/>
        <c:crosses val="autoZero"/>
        <c:crossBetween val="between"/>
      </c:valAx>
    </c:plotArea>
    <c:legend>
      <c:legendPos val="t"/>
      <c:layout>
        <c:manualLayout>
          <c:xMode val="edge"/>
          <c:yMode val="edge"/>
          <c:x val="0.43989086672222844"/>
          <c:y val="0"/>
          <c:w val="0.56010908502699619"/>
          <c:h val="0.1424890646533645"/>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552654412144965E-3"/>
          <c:y val="2.8204171846940185E-2"/>
          <c:w val="0.99084492563429571"/>
          <c:h val="0.79996822765575359"/>
        </c:manualLayout>
      </c:layout>
      <c:barChart>
        <c:barDir val="col"/>
        <c:grouping val="clustered"/>
        <c:varyColors val="0"/>
        <c:ser>
          <c:idx val="0"/>
          <c:order val="0"/>
          <c:tx>
            <c:strRef>
              <c:f>Mona!$A$197</c:f>
              <c:strCache>
                <c:ptCount val="1"/>
                <c:pt idx="0">
                  <c:v>Nor</c:v>
                </c:pt>
              </c:strCache>
            </c:strRef>
          </c:tx>
          <c:spPr>
            <a:pattFill prst="dashDnDiag">
              <a:fgClr>
                <a:schemeClr val="tx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Mona!$B$196:$C$196</c:f>
              <c:strCache>
                <c:ptCount val="2"/>
                <c:pt idx="0">
                  <c:v>jute</c:v>
                </c:pt>
                <c:pt idx="1">
                  <c:v>H.D.P</c:v>
                </c:pt>
              </c:strCache>
            </c:strRef>
          </c:cat>
          <c:val>
            <c:numRef>
              <c:f>Mona!$B$197:$C$197</c:f>
              <c:numCache>
                <c:formatCode>General</c:formatCode>
                <c:ptCount val="2"/>
                <c:pt idx="0">
                  <c:v>11.28</c:v>
                </c:pt>
                <c:pt idx="1">
                  <c:v>14.03</c:v>
                </c:pt>
              </c:numCache>
            </c:numRef>
          </c:val>
          <c:extLst>
            <c:ext xmlns:c16="http://schemas.microsoft.com/office/drawing/2014/chart" uri="{C3380CC4-5D6E-409C-BE32-E72D297353CC}">
              <c16:uniqueId val="{00000000-9C20-4A07-A115-3229EEF4AA64}"/>
            </c:ext>
          </c:extLst>
        </c:ser>
        <c:ser>
          <c:idx val="1"/>
          <c:order val="1"/>
          <c:tx>
            <c:strRef>
              <c:f>Mona!$A$198</c:f>
              <c:strCache>
                <c:ptCount val="1"/>
                <c:pt idx="0">
                  <c:v>Dr</c:v>
                </c:pt>
              </c:strCache>
            </c:strRef>
          </c:tx>
          <c:spPr>
            <a:pattFill prst="pct5">
              <a:fgClr>
                <a:schemeClr val="bg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Mona!$B$196:$C$196</c:f>
              <c:strCache>
                <c:ptCount val="2"/>
                <c:pt idx="0">
                  <c:v>jute</c:v>
                </c:pt>
                <c:pt idx="1">
                  <c:v>H.D.P</c:v>
                </c:pt>
              </c:strCache>
            </c:strRef>
          </c:cat>
          <c:val>
            <c:numRef>
              <c:f>Mona!$B$198:$C$198</c:f>
              <c:numCache>
                <c:formatCode>General</c:formatCode>
                <c:ptCount val="2"/>
                <c:pt idx="0">
                  <c:v>10.01</c:v>
                </c:pt>
                <c:pt idx="1">
                  <c:v>11.64</c:v>
                </c:pt>
              </c:numCache>
            </c:numRef>
          </c:val>
          <c:extLst>
            <c:ext xmlns:c16="http://schemas.microsoft.com/office/drawing/2014/chart" uri="{C3380CC4-5D6E-409C-BE32-E72D297353CC}">
              <c16:uniqueId val="{00000001-9C20-4A07-A115-3229EEF4AA64}"/>
            </c:ext>
          </c:extLst>
        </c:ser>
        <c:dLbls>
          <c:showLegendKey val="0"/>
          <c:showVal val="0"/>
          <c:showCatName val="0"/>
          <c:showSerName val="0"/>
          <c:showPercent val="0"/>
          <c:showBubbleSize val="0"/>
        </c:dLbls>
        <c:gapWidth val="232"/>
        <c:overlap val="-25"/>
        <c:axId val="137379840"/>
        <c:axId val="137381376"/>
      </c:barChart>
      <c:catAx>
        <c:axId val="137379840"/>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050">
                <a:latin typeface="Times New Roman" panose="02020603050405020304" pitchFamily="18" charset="0"/>
                <a:cs typeface="Times New Roman" panose="02020603050405020304" pitchFamily="18" charset="0"/>
              </a:defRPr>
            </a:pPr>
            <a:endParaRPr lang="en-US"/>
          </a:p>
        </c:txPr>
        <c:crossAx val="137381376"/>
        <c:crosses val="autoZero"/>
        <c:auto val="1"/>
        <c:lblAlgn val="ctr"/>
        <c:lblOffset val="100"/>
        <c:noMultiLvlLbl val="0"/>
      </c:catAx>
      <c:valAx>
        <c:axId val="137381376"/>
        <c:scaling>
          <c:orientation val="minMax"/>
          <c:max val="16"/>
          <c:min val="5"/>
        </c:scaling>
        <c:delete val="1"/>
        <c:axPos val="l"/>
        <c:numFmt formatCode="General" sourceLinked="1"/>
        <c:majorTickMark val="out"/>
        <c:minorTickMark val="none"/>
        <c:tickLblPos val="nextTo"/>
        <c:crossAx val="137379840"/>
        <c:crosses val="autoZero"/>
        <c:crossBetween val="between"/>
        <c:majorUnit val="1"/>
      </c:valAx>
    </c:plotArea>
    <c:legend>
      <c:legendPos val="t"/>
      <c:legendEntry>
        <c:idx val="0"/>
        <c:txPr>
          <a:bodyPr/>
          <a:lstStyle/>
          <a:p>
            <a:pPr>
              <a:defRPr sz="105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50">
                <a:latin typeface="Times New Roman" panose="02020603050405020304" pitchFamily="18" charset="0"/>
                <a:cs typeface="Times New Roman" panose="02020603050405020304" pitchFamily="18" charset="0"/>
              </a:defRPr>
            </a:pPr>
            <a:endParaRPr lang="en-US"/>
          </a:p>
        </c:txPr>
      </c:legendEntry>
      <c:layout>
        <c:manualLayout>
          <c:xMode val="edge"/>
          <c:yMode val="edge"/>
          <c:x val="0.39324430704874419"/>
          <c:y val="0.54632286016462572"/>
          <c:w val="0.22516333296941349"/>
          <c:h val="0.22051559407610491"/>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2.8252405949256341E-2"/>
          <c:w val="0.99640048118985125"/>
          <c:h val="0.84936523891960314"/>
        </c:manualLayout>
      </c:layout>
      <c:barChart>
        <c:barDir val="col"/>
        <c:grouping val="clustered"/>
        <c:varyColors val="0"/>
        <c:ser>
          <c:idx val="0"/>
          <c:order val="0"/>
          <c:tx>
            <c:strRef>
              <c:f>Mona!$A$120</c:f>
              <c:strCache>
                <c:ptCount val="1"/>
                <c:pt idx="0">
                  <c:v>Nor</c:v>
                </c:pt>
              </c:strCache>
            </c:strRef>
          </c:tx>
          <c:spPr>
            <a:pattFill prst="shingle">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Mona!$B$119:$C$119</c:f>
              <c:strCache>
                <c:ptCount val="2"/>
                <c:pt idx="0">
                  <c:v>jute</c:v>
                </c:pt>
                <c:pt idx="1">
                  <c:v>H.D.P</c:v>
                </c:pt>
              </c:strCache>
            </c:strRef>
          </c:cat>
          <c:val>
            <c:numRef>
              <c:f>Mona!$B$120:$C$120</c:f>
              <c:numCache>
                <c:formatCode>General</c:formatCode>
                <c:ptCount val="2"/>
                <c:pt idx="0">
                  <c:v>54.78</c:v>
                </c:pt>
                <c:pt idx="1">
                  <c:v>56.44</c:v>
                </c:pt>
              </c:numCache>
            </c:numRef>
          </c:val>
          <c:extLst>
            <c:ext xmlns:c16="http://schemas.microsoft.com/office/drawing/2014/chart" uri="{C3380CC4-5D6E-409C-BE32-E72D297353CC}">
              <c16:uniqueId val="{00000000-6F6A-4A58-8D90-833203A02661}"/>
            </c:ext>
          </c:extLst>
        </c:ser>
        <c:ser>
          <c:idx val="1"/>
          <c:order val="1"/>
          <c:tx>
            <c:strRef>
              <c:f>Mona!$A$121</c:f>
              <c:strCache>
                <c:ptCount val="1"/>
                <c:pt idx="0">
                  <c:v>Dr</c:v>
                </c:pt>
              </c:strCache>
            </c:strRef>
          </c:tx>
          <c:spPr>
            <a:pattFill prst="dashVert">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Mona!$B$119:$C$119</c:f>
              <c:strCache>
                <c:ptCount val="2"/>
                <c:pt idx="0">
                  <c:v>jute</c:v>
                </c:pt>
                <c:pt idx="1">
                  <c:v>H.D.P</c:v>
                </c:pt>
              </c:strCache>
            </c:strRef>
          </c:cat>
          <c:val>
            <c:numRef>
              <c:f>Mona!$B$121:$C$121</c:f>
              <c:numCache>
                <c:formatCode>General</c:formatCode>
                <c:ptCount val="2"/>
                <c:pt idx="0">
                  <c:v>50.17</c:v>
                </c:pt>
                <c:pt idx="1">
                  <c:v>53.11</c:v>
                </c:pt>
              </c:numCache>
            </c:numRef>
          </c:val>
          <c:extLst>
            <c:ext xmlns:c16="http://schemas.microsoft.com/office/drawing/2014/chart" uri="{C3380CC4-5D6E-409C-BE32-E72D297353CC}">
              <c16:uniqueId val="{00000001-6F6A-4A58-8D90-833203A02661}"/>
            </c:ext>
          </c:extLst>
        </c:ser>
        <c:dLbls>
          <c:showLegendKey val="0"/>
          <c:showVal val="0"/>
          <c:showCatName val="0"/>
          <c:showSerName val="0"/>
          <c:showPercent val="0"/>
          <c:showBubbleSize val="0"/>
        </c:dLbls>
        <c:gapWidth val="349"/>
        <c:overlap val="-38"/>
        <c:axId val="137289088"/>
        <c:axId val="137421952"/>
      </c:barChart>
      <c:catAx>
        <c:axId val="137289088"/>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100">
                <a:latin typeface="Times New Roman" panose="02020603050405020304" pitchFamily="18" charset="0"/>
                <a:cs typeface="Times New Roman" panose="02020603050405020304" pitchFamily="18" charset="0"/>
              </a:defRPr>
            </a:pPr>
            <a:endParaRPr lang="en-US"/>
          </a:p>
        </c:txPr>
        <c:crossAx val="137421952"/>
        <c:crosses val="autoZero"/>
        <c:auto val="1"/>
        <c:lblAlgn val="ctr"/>
        <c:lblOffset val="100"/>
        <c:noMultiLvlLbl val="0"/>
      </c:catAx>
      <c:valAx>
        <c:axId val="137421952"/>
        <c:scaling>
          <c:orientation val="minMax"/>
          <c:max val="60"/>
          <c:min val="44"/>
        </c:scaling>
        <c:delete val="1"/>
        <c:axPos val="l"/>
        <c:numFmt formatCode="General" sourceLinked="1"/>
        <c:majorTickMark val="out"/>
        <c:minorTickMark val="none"/>
        <c:tickLblPos val="nextTo"/>
        <c:crossAx val="137289088"/>
        <c:crosses val="autoZero"/>
        <c:crossBetween val="between"/>
      </c:valAx>
    </c:plotArea>
    <c:legend>
      <c:legendPos val="t"/>
      <c:legendEntry>
        <c:idx val="0"/>
        <c:txPr>
          <a:bodyPr/>
          <a:lstStyle/>
          <a:p>
            <a:pPr>
              <a:defRPr sz="10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00">
                <a:latin typeface="Times New Roman" panose="02020603050405020304" pitchFamily="18" charset="0"/>
                <a:cs typeface="Times New Roman" panose="02020603050405020304" pitchFamily="18" charset="0"/>
              </a:defRPr>
            </a:pPr>
            <a:endParaRPr lang="en-US"/>
          </a:p>
        </c:txPr>
      </c:legendEntry>
      <c:layout>
        <c:manualLayout>
          <c:xMode val="edge"/>
          <c:yMode val="edge"/>
          <c:x val="0.39152383958163778"/>
          <c:y val="0.53410694707465367"/>
          <c:w val="0.22392942860752033"/>
          <c:h val="0.17224612258267477"/>
        </c:manualLayout>
      </c:layout>
      <c:overlay val="0"/>
      <c:spPr>
        <a:noFill/>
      </c:spPr>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0"/>
          <c:w val="0.99917825896762902"/>
          <c:h val="0.8600042311604682"/>
        </c:manualLayout>
      </c:layout>
      <c:barChart>
        <c:barDir val="col"/>
        <c:grouping val="clustered"/>
        <c:varyColors val="0"/>
        <c:ser>
          <c:idx val="0"/>
          <c:order val="0"/>
          <c:tx>
            <c:strRef>
              <c:f>Mona!$L$153</c:f>
              <c:strCache>
                <c:ptCount val="1"/>
                <c:pt idx="0">
                  <c:v>Nor</c:v>
                </c:pt>
              </c:strCache>
            </c:strRef>
          </c:tx>
          <c:spPr>
            <a:pattFill prst="divot">
              <a:fgClr>
                <a:schemeClr val="tx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Mona!$K$154:$K$156</c:f>
              <c:strCache>
                <c:ptCount val="3"/>
                <c:pt idx="0">
                  <c:v>Sakha 95</c:v>
                </c:pt>
                <c:pt idx="1">
                  <c:v>Giza 171</c:v>
                </c:pt>
                <c:pt idx="2">
                  <c:v>Misr 1</c:v>
                </c:pt>
              </c:strCache>
            </c:strRef>
          </c:cat>
          <c:val>
            <c:numRef>
              <c:f>Mona!$L$154:$L$156</c:f>
              <c:numCache>
                <c:formatCode>General</c:formatCode>
                <c:ptCount val="3"/>
                <c:pt idx="0">
                  <c:v>56.83</c:v>
                </c:pt>
                <c:pt idx="1">
                  <c:v>58.58</c:v>
                </c:pt>
                <c:pt idx="2">
                  <c:v>51.42</c:v>
                </c:pt>
              </c:numCache>
            </c:numRef>
          </c:val>
          <c:extLst>
            <c:ext xmlns:c16="http://schemas.microsoft.com/office/drawing/2014/chart" uri="{C3380CC4-5D6E-409C-BE32-E72D297353CC}">
              <c16:uniqueId val="{00000000-0E09-4595-8030-9B5717EACA35}"/>
            </c:ext>
          </c:extLst>
        </c:ser>
        <c:ser>
          <c:idx val="1"/>
          <c:order val="1"/>
          <c:tx>
            <c:strRef>
              <c:f>Mona!$M$153</c:f>
              <c:strCache>
                <c:ptCount val="1"/>
                <c:pt idx="0">
                  <c:v>Drought</c:v>
                </c:pt>
              </c:strCache>
            </c:strRef>
          </c:tx>
          <c:spPr>
            <a:pattFill prst="ltVert">
              <a:fgClr>
                <a:schemeClr val="tx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Mona!$K$154:$K$156</c:f>
              <c:strCache>
                <c:ptCount val="3"/>
                <c:pt idx="0">
                  <c:v>Sakha 95</c:v>
                </c:pt>
                <c:pt idx="1">
                  <c:v>Giza 171</c:v>
                </c:pt>
                <c:pt idx="2">
                  <c:v>Misr 1</c:v>
                </c:pt>
              </c:strCache>
            </c:strRef>
          </c:cat>
          <c:val>
            <c:numRef>
              <c:f>Mona!$M$154:$M$156</c:f>
              <c:numCache>
                <c:formatCode>General</c:formatCode>
                <c:ptCount val="3"/>
                <c:pt idx="0">
                  <c:v>52.58</c:v>
                </c:pt>
                <c:pt idx="1">
                  <c:v>53.58</c:v>
                </c:pt>
                <c:pt idx="2">
                  <c:v>48.75</c:v>
                </c:pt>
              </c:numCache>
            </c:numRef>
          </c:val>
          <c:extLst>
            <c:ext xmlns:c16="http://schemas.microsoft.com/office/drawing/2014/chart" uri="{C3380CC4-5D6E-409C-BE32-E72D297353CC}">
              <c16:uniqueId val="{00000001-0E09-4595-8030-9B5717EACA35}"/>
            </c:ext>
          </c:extLst>
        </c:ser>
        <c:dLbls>
          <c:showLegendKey val="0"/>
          <c:showVal val="0"/>
          <c:showCatName val="0"/>
          <c:showSerName val="0"/>
          <c:showPercent val="0"/>
          <c:showBubbleSize val="0"/>
        </c:dLbls>
        <c:gapWidth val="150"/>
        <c:overlap val="-30"/>
        <c:axId val="156335104"/>
        <c:axId val="156340992"/>
      </c:barChart>
      <c:catAx>
        <c:axId val="156335104"/>
        <c:scaling>
          <c:orientation val="minMax"/>
        </c:scaling>
        <c:delete val="0"/>
        <c:axPos val="b"/>
        <c:numFmt formatCode="General" sourceLinked="1"/>
        <c:majorTickMark val="cross"/>
        <c:minorTickMark val="cross"/>
        <c:tickLblPos val="nextTo"/>
        <c:spPr>
          <a:ln w="15875">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56340992"/>
        <c:crosses val="autoZero"/>
        <c:auto val="1"/>
        <c:lblAlgn val="ctr"/>
        <c:lblOffset val="100"/>
        <c:noMultiLvlLbl val="0"/>
      </c:catAx>
      <c:valAx>
        <c:axId val="156340992"/>
        <c:scaling>
          <c:orientation val="minMax"/>
          <c:max val="60"/>
          <c:min val="44"/>
        </c:scaling>
        <c:delete val="1"/>
        <c:axPos val="l"/>
        <c:numFmt formatCode="General" sourceLinked="1"/>
        <c:majorTickMark val="out"/>
        <c:minorTickMark val="none"/>
        <c:tickLblPos val="nextTo"/>
        <c:crossAx val="156335104"/>
        <c:crosses val="autoZero"/>
        <c:crossBetween val="between"/>
      </c:valAx>
    </c:plotArea>
    <c:legend>
      <c:legendPos val="t"/>
      <c:legendEntry>
        <c:idx val="0"/>
        <c:txPr>
          <a:bodyPr/>
          <a:lstStyle/>
          <a:p>
            <a:pPr>
              <a:lnSpc>
                <a:spcPct val="90000"/>
              </a:lnSpc>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lnSpc>
                <a:spcPct val="90000"/>
              </a:lnSpc>
              <a:defRPr sz="1000">
                <a:latin typeface="Times New Roman" panose="02020603050405020304" pitchFamily="18" charset="0"/>
                <a:cs typeface="Times New Roman" panose="02020603050405020304" pitchFamily="18" charset="0"/>
              </a:defRPr>
            </a:pPr>
            <a:endParaRPr lang="en-US"/>
          </a:p>
        </c:txPr>
      </c:legendEntry>
      <c:layout>
        <c:manualLayout>
          <c:xMode val="edge"/>
          <c:yMode val="edge"/>
          <c:x val="0.60504904236070389"/>
          <c:y val="7.3723770012358414E-2"/>
          <c:w val="0.37661753629190281"/>
          <c:h val="0.13994949597708556"/>
        </c:manualLayout>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3657631340486009E-2"/>
          <c:y val="0.20093607180221354"/>
          <c:w val="0.90497184304930878"/>
          <c:h val="0.65147415170568779"/>
        </c:manualLayout>
      </c:layout>
      <c:barChart>
        <c:barDir val="col"/>
        <c:grouping val="clustered"/>
        <c:varyColors val="0"/>
        <c:ser>
          <c:idx val="0"/>
          <c:order val="0"/>
          <c:tx>
            <c:strRef>
              <c:f>Sheet1!$A$46</c:f>
              <c:strCache>
                <c:ptCount val="1"/>
                <c:pt idx="0">
                  <c:v>3 months</c:v>
                </c:pt>
              </c:strCache>
            </c:strRef>
          </c:tx>
          <c:spPr>
            <a:pattFill prst="pct5">
              <a:fgClr>
                <a:sysClr val="windowText" lastClr="000000">
                  <a:lumMod val="95000"/>
                  <a:lumOff val="5000"/>
                </a:sysClr>
              </a:fgClr>
              <a:bgClr>
                <a:sysClr val="window" lastClr="FFFFFF"/>
              </a:bgClr>
            </a:pattFill>
            <a:ln>
              <a:solidFill>
                <a:srgbClr val="4F81BD"/>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Sheet1!$B$45:$D$45</c:f>
              <c:strCache>
                <c:ptCount val="3"/>
                <c:pt idx="0">
                  <c:v>SK95</c:v>
                </c:pt>
                <c:pt idx="1">
                  <c:v>Giza171</c:v>
                </c:pt>
                <c:pt idx="2">
                  <c:v>Misr1</c:v>
                </c:pt>
              </c:strCache>
            </c:strRef>
          </c:cat>
          <c:val>
            <c:numRef>
              <c:f>Sheet1!$B$46:$D$46</c:f>
              <c:numCache>
                <c:formatCode>General</c:formatCode>
                <c:ptCount val="3"/>
                <c:pt idx="0">
                  <c:v>57.58</c:v>
                </c:pt>
                <c:pt idx="1">
                  <c:v>58.75</c:v>
                </c:pt>
                <c:pt idx="2">
                  <c:v>52</c:v>
                </c:pt>
              </c:numCache>
            </c:numRef>
          </c:val>
          <c:extLst>
            <c:ext xmlns:c16="http://schemas.microsoft.com/office/drawing/2014/chart" uri="{C3380CC4-5D6E-409C-BE32-E72D297353CC}">
              <c16:uniqueId val="{00000000-E891-44CC-A381-EDF5ECFF19C7}"/>
            </c:ext>
          </c:extLst>
        </c:ser>
        <c:ser>
          <c:idx val="1"/>
          <c:order val="1"/>
          <c:tx>
            <c:strRef>
              <c:f>Sheet1!$A$47</c:f>
              <c:strCache>
                <c:ptCount val="1"/>
                <c:pt idx="0">
                  <c:v>6 months</c:v>
                </c:pt>
              </c:strCache>
            </c:strRef>
          </c:tx>
          <c:spPr>
            <a:solidFill>
              <a:sysClr val="windowText" lastClr="000000">
                <a:lumMod val="95000"/>
                <a:lumOff val="5000"/>
              </a:sysClr>
            </a:solidFill>
          </c:spPr>
          <c:invertIfNegative val="0"/>
          <c:dLbls>
            <c:dLbl>
              <c:idx val="0"/>
              <c:layout>
                <c:manualLayout>
                  <c:x val="2.6270108009445632E-2"/>
                  <c:y val="2.2081400969263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91-44CC-A381-EDF5ECFF19C7}"/>
                </c:ext>
              </c:extLst>
            </c:dLbl>
            <c:dLbl>
              <c:idx val="1"/>
              <c:layout>
                <c:manualLayout>
                  <c:x val="2.6270108009445656E-2"/>
                  <c:y val="3.680233494877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91-44CC-A381-EDF5ECFF19C7}"/>
                </c:ext>
              </c:extLst>
            </c:dLbl>
            <c:dLbl>
              <c:idx val="2"/>
              <c:layout>
                <c:manualLayout>
                  <c:x val="3.1524129611334786E-2"/>
                  <c:y val="2.2081400969263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91-44CC-A381-EDF5ECFF19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Sheet1!$B$45:$D$45</c:f>
              <c:strCache>
                <c:ptCount val="3"/>
                <c:pt idx="0">
                  <c:v>SK95</c:v>
                </c:pt>
                <c:pt idx="1">
                  <c:v>Giza171</c:v>
                </c:pt>
                <c:pt idx="2">
                  <c:v>Misr1</c:v>
                </c:pt>
              </c:strCache>
            </c:strRef>
          </c:cat>
          <c:val>
            <c:numRef>
              <c:f>Sheet1!$B$47:$D$47</c:f>
              <c:numCache>
                <c:formatCode>General</c:formatCode>
                <c:ptCount val="3"/>
                <c:pt idx="0">
                  <c:v>51.83</c:v>
                </c:pt>
                <c:pt idx="1">
                  <c:v>53.42</c:v>
                </c:pt>
                <c:pt idx="2">
                  <c:v>48.17</c:v>
                </c:pt>
              </c:numCache>
            </c:numRef>
          </c:val>
          <c:extLst>
            <c:ext xmlns:c16="http://schemas.microsoft.com/office/drawing/2014/chart" uri="{C3380CC4-5D6E-409C-BE32-E72D297353CC}">
              <c16:uniqueId val="{00000004-E891-44CC-A381-EDF5ECFF19C7}"/>
            </c:ext>
          </c:extLst>
        </c:ser>
        <c:dLbls>
          <c:showLegendKey val="0"/>
          <c:showVal val="1"/>
          <c:showCatName val="0"/>
          <c:showSerName val="0"/>
          <c:showPercent val="0"/>
          <c:showBubbleSize val="0"/>
        </c:dLbls>
        <c:gapWidth val="150"/>
        <c:axId val="156512640"/>
        <c:axId val="156524928"/>
      </c:barChart>
      <c:catAx>
        <c:axId val="156512640"/>
        <c:scaling>
          <c:orientation val="minMax"/>
        </c:scaling>
        <c:delete val="0"/>
        <c:axPos val="b"/>
        <c:numFmt formatCode="General" sourceLinked="0"/>
        <c:majorTickMark val="out"/>
        <c:minorTickMark val="none"/>
        <c:tickLblPos val="nextTo"/>
        <c:crossAx val="156524928"/>
        <c:crosses val="autoZero"/>
        <c:auto val="1"/>
        <c:lblAlgn val="ctr"/>
        <c:lblOffset val="100"/>
        <c:noMultiLvlLbl val="0"/>
      </c:catAx>
      <c:valAx>
        <c:axId val="156524928"/>
        <c:scaling>
          <c:orientation val="minMax"/>
        </c:scaling>
        <c:delete val="1"/>
        <c:axPos val="l"/>
        <c:numFmt formatCode="General" sourceLinked="1"/>
        <c:majorTickMark val="out"/>
        <c:minorTickMark val="none"/>
        <c:tickLblPos val="nextTo"/>
        <c:crossAx val="156512640"/>
        <c:crosses val="autoZero"/>
        <c:crossBetween val="between"/>
      </c:valAx>
    </c:plotArea>
    <c:legend>
      <c:legendPos val="t"/>
      <c:overlay val="0"/>
    </c:legend>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083701228787432E-4"/>
          <c:y val="5.1400554097404488E-2"/>
          <c:w val="0.99921907488836625"/>
          <c:h val="0.67456362168845485"/>
        </c:manualLayout>
      </c:layout>
      <c:barChart>
        <c:barDir val="col"/>
        <c:grouping val="clustered"/>
        <c:varyColors val="0"/>
        <c:ser>
          <c:idx val="0"/>
          <c:order val="0"/>
          <c:tx>
            <c:strRef>
              <c:f>Sheet1!$C$61</c:f>
              <c:strCache>
                <c:ptCount val="1"/>
                <c:pt idx="0">
                  <c:v>Jute</c:v>
                </c:pt>
              </c:strCache>
            </c:strRef>
          </c:tx>
          <c:spPr>
            <a:pattFill prst="ltUpDiag">
              <a:fgClr>
                <a:sysClr val="windowText" lastClr="000000"/>
              </a:fgClr>
              <a:bgClr>
                <a:sysClr val="window" lastClr="FFFFFF"/>
              </a:bgClr>
            </a:pattFill>
          </c:spPr>
          <c:invertIfNegative val="0"/>
          <c:dLbls>
            <c:dLbl>
              <c:idx val="0"/>
              <c:layout>
                <c:manualLayout>
                  <c:x val="-2.5000154035568805E-2"/>
                  <c:y val="2.1879752098388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A3-44B0-9B95-6A4983EF0F31}"/>
                </c:ext>
              </c:extLst>
            </c:dLbl>
            <c:dLbl>
              <c:idx val="1"/>
              <c:layout>
                <c:manualLayout>
                  <c:x val="-1.9444560223988112E-2"/>
                  <c:y val="3.1141129240682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A3-44B0-9B95-6A4983EF0F31}"/>
                </c:ext>
              </c:extLst>
            </c:dLbl>
            <c:dLbl>
              <c:idx val="2"/>
              <c:layout>
                <c:manualLayout>
                  <c:x val="-1.388893419346795E-2"/>
                  <c:y val="2.9173002797851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A3-44B0-9B95-6A4983EF0F31}"/>
                </c:ext>
              </c:extLst>
            </c:dLbl>
            <c:dLbl>
              <c:idx val="3"/>
              <c:layout>
                <c:manualLayout>
                  <c:x val="-2.5000154035568805E-2"/>
                  <c:y val="2.1879752098388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A3-44B0-9B95-6A4983EF0F31}"/>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Sheet1!$A$62:$B$65</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Sheet1!$C$62:$C$65</c:f>
              <c:numCache>
                <c:formatCode>General</c:formatCode>
                <c:ptCount val="4"/>
                <c:pt idx="0">
                  <c:v>57.22</c:v>
                </c:pt>
                <c:pt idx="1">
                  <c:v>52.33</c:v>
                </c:pt>
                <c:pt idx="2">
                  <c:v>53.67</c:v>
                </c:pt>
                <c:pt idx="3">
                  <c:v>46.67</c:v>
                </c:pt>
              </c:numCache>
            </c:numRef>
          </c:val>
          <c:extLst>
            <c:ext xmlns:c16="http://schemas.microsoft.com/office/drawing/2014/chart" uri="{C3380CC4-5D6E-409C-BE32-E72D297353CC}">
              <c16:uniqueId val="{00000004-43A3-44B0-9B95-6A4983EF0F31}"/>
            </c:ext>
          </c:extLst>
        </c:ser>
        <c:ser>
          <c:idx val="1"/>
          <c:order val="1"/>
          <c:tx>
            <c:strRef>
              <c:f>Sheet1!$D$61</c:f>
              <c:strCache>
                <c:ptCount val="1"/>
                <c:pt idx="0">
                  <c:v>HDP</c:v>
                </c:pt>
              </c:strCache>
            </c:strRef>
          </c:tx>
          <c:spPr>
            <a:pattFill prst="lgCheck">
              <a:fgClr>
                <a:sysClr val="windowText" lastClr="000000"/>
              </a:fgClr>
              <a:bgClr>
                <a:sysClr val="window" lastClr="FFFFFF"/>
              </a:bgClr>
            </a:pattFill>
          </c:spPr>
          <c:invertIfNegative val="0"/>
          <c:dLbls>
            <c:dLbl>
              <c:idx val="2"/>
              <c:layout>
                <c:manualLayout>
                  <c:x val="4.6029452325629019E-3"/>
                  <c:y val="-3.93261266062381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A3-44B0-9B95-6A4983EF0F31}"/>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Sheet1!$A$62:$B$65</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Sheet1!$D$62:$D$65</c:f>
              <c:numCache>
                <c:formatCode>General</c:formatCode>
                <c:ptCount val="4"/>
                <c:pt idx="0">
                  <c:v>58.56</c:v>
                </c:pt>
                <c:pt idx="1">
                  <c:v>54.33</c:v>
                </c:pt>
                <c:pt idx="2">
                  <c:v>55</c:v>
                </c:pt>
                <c:pt idx="3">
                  <c:v>51.22</c:v>
                </c:pt>
              </c:numCache>
            </c:numRef>
          </c:val>
          <c:extLst>
            <c:ext xmlns:c16="http://schemas.microsoft.com/office/drawing/2014/chart" uri="{C3380CC4-5D6E-409C-BE32-E72D297353CC}">
              <c16:uniqueId val="{00000006-43A3-44B0-9B95-6A4983EF0F31}"/>
            </c:ext>
          </c:extLst>
        </c:ser>
        <c:dLbls>
          <c:showLegendKey val="0"/>
          <c:showVal val="1"/>
          <c:showCatName val="0"/>
          <c:showSerName val="0"/>
          <c:showPercent val="0"/>
          <c:showBubbleSize val="0"/>
        </c:dLbls>
        <c:gapWidth val="150"/>
        <c:axId val="146864000"/>
        <c:axId val="146865152"/>
      </c:barChart>
      <c:catAx>
        <c:axId val="146864000"/>
        <c:scaling>
          <c:orientation val="minMax"/>
        </c:scaling>
        <c:delete val="0"/>
        <c:axPos val="b"/>
        <c:numFmt formatCode="General" sourceLinked="0"/>
        <c:majorTickMark val="out"/>
        <c:minorTickMark val="none"/>
        <c:tickLblPos val="nextTo"/>
        <c:crossAx val="146865152"/>
        <c:crosses val="autoZero"/>
        <c:auto val="1"/>
        <c:lblAlgn val="ctr"/>
        <c:lblOffset val="100"/>
        <c:noMultiLvlLbl val="0"/>
      </c:catAx>
      <c:valAx>
        <c:axId val="146865152"/>
        <c:scaling>
          <c:orientation val="minMax"/>
        </c:scaling>
        <c:delete val="1"/>
        <c:axPos val="l"/>
        <c:numFmt formatCode="General" sourceLinked="1"/>
        <c:majorTickMark val="out"/>
        <c:minorTickMark val="none"/>
        <c:tickLblPos val="nextTo"/>
        <c:crossAx val="146864000"/>
        <c:crosses val="autoZero"/>
        <c:crossBetween val="between"/>
      </c:valAx>
    </c:plotArea>
    <c:legend>
      <c:legendPos val="t"/>
      <c:layout>
        <c:manualLayout>
          <c:xMode val="edge"/>
          <c:yMode val="edge"/>
          <c:x val="0.34455654609487213"/>
          <c:y val="0"/>
          <c:w val="0.31088690781025574"/>
          <c:h val="0.1246066238795959"/>
        </c:manualLayout>
      </c:layout>
      <c:overlay val="0"/>
    </c:legend>
    <c:plotVisOnly val="1"/>
    <c:dispBlanksAs val="gap"/>
    <c:showDLblsOverMax val="0"/>
  </c:chart>
  <c:spPr>
    <a:ln>
      <a:no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0104350424831584E-2"/>
          <c:y val="5.9932629878755035E-2"/>
          <c:w val="0.92026780785243179"/>
          <c:h val="0.67079298075708449"/>
        </c:manualLayout>
      </c:layout>
      <c:barChart>
        <c:barDir val="col"/>
        <c:grouping val="clustered"/>
        <c:varyColors val="0"/>
        <c:ser>
          <c:idx val="0"/>
          <c:order val="0"/>
          <c:tx>
            <c:strRef>
              <c:f>Sheet1!$C$52</c:f>
              <c:strCache>
                <c:ptCount val="1"/>
                <c:pt idx="0">
                  <c:v>Jute</c:v>
                </c:pt>
              </c:strCache>
            </c:strRef>
          </c:tx>
          <c:spPr>
            <a:pattFill prst="ltUpDiag">
              <a:fgClr>
                <a:sysClr val="windowText" lastClr="000000"/>
              </a:fgClr>
              <a:bgClr>
                <a:sysClr val="window" lastClr="FFFFFF"/>
              </a:bgClr>
            </a:pattFill>
          </c:spPr>
          <c:invertIfNegative val="0"/>
          <c:dLbls>
            <c:dLbl>
              <c:idx val="0"/>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67-4BAF-A296-84811B5292AA}"/>
                </c:ext>
              </c:extLst>
            </c:dLbl>
            <c:dLbl>
              <c:idx val="1"/>
              <c:layout>
                <c:manualLayout>
                  <c:x val="-2.2222222222222223E-2"/>
                  <c:y val="-1.3888888888888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67-4BAF-A296-84811B5292AA}"/>
                </c:ext>
              </c:extLst>
            </c:dLbl>
            <c:dLbl>
              <c:idx val="2"/>
              <c:layout>
                <c:manualLayout>
                  <c:x val="-1.94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67-4BAF-A296-84811B5292AA}"/>
                </c:ext>
              </c:extLst>
            </c:dLbl>
            <c:dLbl>
              <c:idx val="3"/>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67-4BAF-A296-84811B5292AA}"/>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Sheet1!$A$53:$B$56</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Sheet1!$C$53:$C$56</c:f>
              <c:numCache>
                <c:formatCode>General</c:formatCode>
                <c:ptCount val="4"/>
                <c:pt idx="0">
                  <c:v>12.24</c:v>
                </c:pt>
                <c:pt idx="1">
                  <c:v>10.32</c:v>
                </c:pt>
                <c:pt idx="2">
                  <c:v>11.22</c:v>
                </c:pt>
                <c:pt idx="3">
                  <c:v>8.7899999999999991</c:v>
                </c:pt>
              </c:numCache>
            </c:numRef>
          </c:val>
          <c:extLst>
            <c:ext xmlns:c16="http://schemas.microsoft.com/office/drawing/2014/chart" uri="{C3380CC4-5D6E-409C-BE32-E72D297353CC}">
              <c16:uniqueId val="{00000004-ED67-4BAF-A296-84811B5292AA}"/>
            </c:ext>
          </c:extLst>
        </c:ser>
        <c:ser>
          <c:idx val="1"/>
          <c:order val="1"/>
          <c:tx>
            <c:strRef>
              <c:f>Sheet1!$D$52</c:f>
              <c:strCache>
                <c:ptCount val="1"/>
                <c:pt idx="0">
                  <c:v>HDP</c:v>
                </c:pt>
              </c:strCache>
            </c:strRef>
          </c:tx>
          <c:spPr>
            <a:pattFill prst="lgCheck">
              <a:fgClr>
                <a:sysClr val="windowText" lastClr="000000"/>
              </a:fgClr>
              <a:bgClr>
                <a:sysClr val="window" lastClr="FFFFFF"/>
              </a:bgClr>
            </a:pattFill>
          </c:spPr>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Sheet1!$A$53:$B$56</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Sheet1!$D$53:$D$56</c:f>
              <c:numCache>
                <c:formatCode>General</c:formatCode>
                <c:ptCount val="4"/>
                <c:pt idx="0">
                  <c:v>15.33</c:v>
                </c:pt>
                <c:pt idx="1">
                  <c:v>12.72</c:v>
                </c:pt>
                <c:pt idx="2">
                  <c:v>12.61</c:v>
                </c:pt>
                <c:pt idx="3">
                  <c:v>10.67</c:v>
                </c:pt>
              </c:numCache>
            </c:numRef>
          </c:val>
          <c:extLst>
            <c:ext xmlns:c16="http://schemas.microsoft.com/office/drawing/2014/chart" uri="{C3380CC4-5D6E-409C-BE32-E72D297353CC}">
              <c16:uniqueId val="{00000005-ED67-4BAF-A296-84811B5292AA}"/>
            </c:ext>
          </c:extLst>
        </c:ser>
        <c:dLbls>
          <c:showLegendKey val="0"/>
          <c:showVal val="1"/>
          <c:showCatName val="0"/>
          <c:showSerName val="0"/>
          <c:showPercent val="0"/>
          <c:showBubbleSize val="0"/>
        </c:dLbls>
        <c:gapWidth val="150"/>
        <c:axId val="156193152"/>
        <c:axId val="156194688"/>
      </c:barChart>
      <c:catAx>
        <c:axId val="156193152"/>
        <c:scaling>
          <c:orientation val="minMax"/>
        </c:scaling>
        <c:delete val="0"/>
        <c:axPos val="b"/>
        <c:numFmt formatCode="General" sourceLinked="0"/>
        <c:majorTickMark val="out"/>
        <c:minorTickMark val="none"/>
        <c:tickLblPos val="nextTo"/>
        <c:crossAx val="156194688"/>
        <c:crosses val="autoZero"/>
        <c:auto val="1"/>
        <c:lblAlgn val="ctr"/>
        <c:lblOffset val="100"/>
        <c:noMultiLvlLbl val="0"/>
      </c:catAx>
      <c:valAx>
        <c:axId val="156194688"/>
        <c:scaling>
          <c:orientation val="minMax"/>
        </c:scaling>
        <c:delete val="1"/>
        <c:axPos val="l"/>
        <c:numFmt formatCode="General" sourceLinked="1"/>
        <c:majorTickMark val="out"/>
        <c:minorTickMark val="none"/>
        <c:tickLblPos val="nextTo"/>
        <c:crossAx val="156193152"/>
        <c:crosses val="autoZero"/>
        <c:crossBetween val="between"/>
      </c:valAx>
    </c:plotArea>
    <c:legend>
      <c:legendPos val="t"/>
      <c:layout>
        <c:manualLayout>
          <c:xMode val="edge"/>
          <c:yMode val="edge"/>
          <c:x val="0.501093220443114"/>
          <c:y val="0"/>
          <c:w val="0.35595546743937773"/>
          <c:h val="0.1363136568182281"/>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88873388835659"/>
          <c:y val="9.001619630147209E-2"/>
          <c:w val="0.83641162153309045"/>
          <c:h val="0.74622878983559193"/>
        </c:manualLayout>
      </c:layout>
      <c:bar3DChart>
        <c:barDir val="col"/>
        <c:grouping val="clustered"/>
        <c:varyColors val="0"/>
        <c:ser>
          <c:idx val="0"/>
          <c:order val="0"/>
          <c:tx>
            <c:strRef>
              <c:f>Sheet1!$A$4</c:f>
              <c:strCache>
                <c:ptCount val="1"/>
                <c:pt idx="0">
                  <c:v>Normal</c:v>
                </c:pt>
              </c:strCache>
            </c:strRef>
          </c:tx>
          <c:spPr>
            <a:pattFill prst="ltVert">
              <a:fgClr>
                <a:srgbClr val="002060"/>
              </a:fgClr>
              <a:bgClr>
                <a:sysClr val="window" lastClr="FFFFFF"/>
              </a:bgClr>
            </a:pattFill>
          </c:spPr>
          <c:invertIfNegative val="0"/>
          <c:dLbls>
            <c:dLbl>
              <c:idx val="0"/>
              <c:layout>
                <c:manualLayout>
                  <c:x val="-2.7777777777777776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56-4912-8C27-B5A923848DF9}"/>
                </c:ext>
              </c:extLst>
            </c:dLbl>
            <c:dLbl>
              <c:idx val="1"/>
              <c:layout>
                <c:manualLayout>
                  <c:x val="-3.3333333333333333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56-4912-8C27-B5A923848DF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Sheet1!$B$3:$C$3</c:f>
              <c:strCache>
                <c:ptCount val="2"/>
                <c:pt idx="0">
                  <c:v>3 months</c:v>
                </c:pt>
                <c:pt idx="1">
                  <c:v>6 months</c:v>
                </c:pt>
              </c:strCache>
            </c:strRef>
          </c:cat>
          <c:val>
            <c:numRef>
              <c:f>Sheet1!$B$4:$C$4</c:f>
              <c:numCache>
                <c:formatCode>General</c:formatCode>
                <c:ptCount val="2"/>
                <c:pt idx="0">
                  <c:v>12.89</c:v>
                </c:pt>
                <c:pt idx="1">
                  <c:v>19.2</c:v>
                </c:pt>
              </c:numCache>
            </c:numRef>
          </c:val>
          <c:extLst>
            <c:ext xmlns:c16="http://schemas.microsoft.com/office/drawing/2014/chart" uri="{C3380CC4-5D6E-409C-BE32-E72D297353CC}">
              <c16:uniqueId val="{00000002-3356-4912-8C27-B5A923848DF9}"/>
            </c:ext>
          </c:extLst>
        </c:ser>
        <c:ser>
          <c:idx val="1"/>
          <c:order val="1"/>
          <c:tx>
            <c:strRef>
              <c:f>Sheet1!$A$5</c:f>
              <c:strCache>
                <c:ptCount val="1"/>
                <c:pt idx="0">
                  <c:v>Drought</c:v>
                </c:pt>
              </c:strCache>
            </c:strRef>
          </c:tx>
          <c:spPr>
            <a:pattFill prst="horzBrick">
              <a:fgClr>
                <a:sysClr val="windowText" lastClr="000000"/>
              </a:fgClr>
              <a:bgClr>
                <a:sysClr val="window" lastClr="FFFFFF"/>
              </a:bgClr>
            </a:pattFill>
          </c:spPr>
          <c:invertIfNegative val="0"/>
          <c:dLbls>
            <c:dLbl>
              <c:idx val="0"/>
              <c:layout>
                <c:manualLayout>
                  <c:x val="-2.2222222222222223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56-4912-8C27-B5A923848DF9}"/>
                </c:ext>
              </c:extLst>
            </c:dLbl>
            <c:dLbl>
              <c:idx val="1"/>
              <c:layout>
                <c:manualLayout>
                  <c:x val="3.05555555555555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56-4912-8C27-B5A923848DF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Sheet1!$B$3:$C$3</c:f>
              <c:strCache>
                <c:ptCount val="2"/>
                <c:pt idx="0">
                  <c:v>3 months</c:v>
                </c:pt>
                <c:pt idx="1">
                  <c:v>6 months</c:v>
                </c:pt>
              </c:strCache>
            </c:strRef>
          </c:cat>
          <c:val>
            <c:numRef>
              <c:f>Sheet1!$B$5:$C$5</c:f>
              <c:numCache>
                <c:formatCode>General</c:formatCode>
                <c:ptCount val="2"/>
                <c:pt idx="0">
                  <c:v>17.440000000000001</c:v>
                </c:pt>
                <c:pt idx="1">
                  <c:v>26.9</c:v>
                </c:pt>
              </c:numCache>
            </c:numRef>
          </c:val>
          <c:extLst>
            <c:ext xmlns:c16="http://schemas.microsoft.com/office/drawing/2014/chart" uri="{C3380CC4-5D6E-409C-BE32-E72D297353CC}">
              <c16:uniqueId val="{00000005-3356-4912-8C27-B5A923848DF9}"/>
            </c:ext>
          </c:extLst>
        </c:ser>
        <c:dLbls>
          <c:showLegendKey val="0"/>
          <c:showVal val="0"/>
          <c:showCatName val="0"/>
          <c:showSerName val="0"/>
          <c:showPercent val="0"/>
          <c:showBubbleSize val="0"/>
        </c:dLbls>
        <c:gapWidth val="150"/>
        <c:shape val="cylinder"/>
        <c:axId val="121524992"/>
        <c:axId val="121526528"/>
        <c:axId val="0"/>
      </c:bar3DChart>
      <c:catAx>
        <c:axId val="121524992"/>
        <c:scaling>
          <c:orientation val="minMax"/>
        </c:scaling>
        <c:delete val="0"/>
        <c:axPos val="b"/>
        <c:numFmt formatCode="General" sourceLinked="0"/>
        <c:majorTickMark val="out"/>
        <c:minorTickMark val="none"/>
        <c:tickLblPos val="nextTo"/>
        <c:crossAx val="121526528"/>
        <c:crosses val="autoZero"/>
        <c:auto val="1"/>
        <c:lblAlgn val="ctr"/>
        <c:lblOffset val="100"/>
        <c:noMultiLvlLbl val="0"/>
      </c:catAx>
      <c:valAx>
        <c:axId val="121526528"/>
        <c:scaling>
          <c:orientation val="minMax"/>
        </c:scaling>
        <c:delete val="1"/>
        <c:axPos val="l"/>
        <c:numFmt formatCode="General" sourceLinked="1"/>
        <c:majorTickMark val="out"/>
        <c:minorTickMark val="none"/>
        <c:tickLblPos val="nextTo"/>
        <c:crossAx val="121524992"/>
        <c:crosses val="autoZero"/>
        <c:crossBetween val="between"/>
      </c:valAx>
    </c:plotArea>
    <c:legend>
      <c:legendPos val="t"/>
      <c:layout>
        <c:manualLayout>
          <c:xMode val="edge"/>
          <c:yMode val="edge"/>
          <c:x val="0.22972981917891638"/>
          <c:y val="0"/>
          <c:w val="0.49850777512456584"/>
          <c:h val="0.1467524085375001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8.4252545406932083E-2"/>
          <c:y val="8.3021272336209692E-2"/>
          <c:w val="0.85809062359060073"/>
          <c:h val="0.75357581707524435"/>
        </c:manualLayout>
      </c:layout>
      <c:bar3DChart>
        <c:barDir val="col"/>
        <c:grouping val="clustered"/>
        <c:varyColors val="0"/>
        <c:ser>
          <c:idx val="0"/>
          <c:order val="0"/>
          <c:tx>
            <c:strRef>
              <c:f>Sheet1!$A$25</c:f>
              <c:strCache>
                <c:ptCount val="1"/>
                <c:pt idx="0">
                  <c:v>Jute</c:v>
                </c:pt>
              </c:strCache>
            </c:strRef>
          </c:tx>
          <c:spPr>
            <a:pattFill prst="pct5">
              <a:fgClr>
                <a:srgbClr val="002060"/>
              </a:fgClr>
              <a:bgClr>
                <a:sysClr val="window" lastClr="FFFFFF"/>
              </a:bgClr>
            </a:pattFill>
          </c:spPr>
          <c:invertIfNegative val="0"/>
          <c:dLbls>
            <c:dLbl>
              <c:idx val="0"/>
              <c:layout>
                <c:manualLayout>
                  <c:x val="-2.2222222222222272E-2"/>
                  <c:y val="-3.7037037037037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99-480E-AA60-8CAFA805DD9B}"/>
                </c:ext>
              </c:extLst>
            </c:dLbl>
            <c:dLbl>
              <c:idx val="1"/>
              <c:layout>
                <c:manualLayout>
                  <c:x val="-1.6666666666666666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99-480E-AA60-8CAFA805DD9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Sheet1!$B$24:$C$24</c:f>
              <c:strCache>
                <c:ptCount val="2"/>
                <c:pt idx="0">
                  <c:v>3 months</c:v>
                </c:pt>
                <c:pt idx="1">
                  <c:v>6 months</c:v>
                </c:pt>
              </c:strCache>
            </c:strRef>
          </c:cat>
          <c:val>
            <c:numRef>
              <c:f>Sheet1!$B$25:$C$25</c:f>
              <c:numCache>
                <c:formatCode>General</c:formatCode>
                <c:ptCount val="2"/>
                <c:pt idx="0">
                  <c:v>2.0499999999999998</c:v>
                </c:pt>
                <c:pt idx="1">
                  <c:v>1.42</c:v>
                </c:pt>
              </c:numCache>
            </c:numRef>
          </c:val>
          <c:extLst>
            <c:ext xmlns:c16="http://schemas.microsoft.com/office/drawing/2014/chart" uri="{C3380CC4-5D6E-409C-BE32-E72D297353CC}">
              <c16:uniqueId val="{00000002-1D99-480E-AA60-8CAFA805DD9B}"/>
            </c:ext>
          </c:extLst>
        </c:ser>
        <c:ser>
          <c:idx val="1"/>
          <c:order val="1"/>
          <c:tx>
            <c:strRef>
              <c:f>Sheet1!$A$26</c:f>
              <c:strCache>
                <c:ptCount val="1"/>
                <c:pt idx="0">
                  <c:v>HDP</c:v>
                </c:pt>
              </c:strCache>
            </c:strRef>
          </c:tx>
          <c:spPr>
            <a:pattFill prst="ltHorz">
              <a:fgClr>
                <a:sysClr val="windowText" lastClr="000000"/>
              </a:fgClr>
              <a:bgClr>
                <a:sysClr val="window" lastClr="FFFFFF"/>
              </a:bgClr>
            </a:pattFill>
          </c:spPr>
          <c:invertIfNegative val="0"/>
          <c:dLbls>
            <c:dLbl>
              <c:idx val="0"/>
              <c:layout>
                <c:manualLayout>
                  <c:x val="-2.7777777777777779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99-480E-AA60-8CAFA805DD9B}"/>
                </c:ext>
              </c:extLst>
            </c:dLbl>
            <c:dLbl>
              <c:idx val="1"/>
              <c:layout>
                <c:manualLayout>
                  <c:x val="-1.1111111111111112E-2"/>
                  <c:y val="-2.3148148148148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99-480E-AA60-8CAFA805DD9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Sheet1!$B$24:$C$24</c:f>
              <c:strCache>
                <c:ptCount val="2"/>
                <c:pt idx="0">
                  <c:v>3 months</c:v>
                </c:pt>
                <c:pt idx="1">
                  <c:v>6 months</c:v>
                </c:pt>
              </c:strCache>
            </c:strRef>
          </c:cat>
          <c:val>
            <c:numRef>
              <c:f>Sheet1!$B$26:$C$26</c:f>
              <c:numCache>
                <c:formatCode>General</c:formatCode>
                <c:ptCount val="2"/>
                <c:pt idx="0">
                  <c:v>2.31</c:v>
                </c:pt>
                <c:pt idx="1">
                  <c:v>1.82</c:v>
                </c:pt>
              </c:numCache>
            </c:numRef>
          </c:val>
          <c:extLst>
            <c:ext xmlns:c16="http://schemas.microsoft.com/office/drawing/2014/chart" uri="{C3380CC4-5D6E-409C-BE32-E72D297353CC}">
              <c16:uniqueId val="{00000005-1D99-480E-AA60-8CAFA805DD9B}"/>
            </c:ext>
          </c:extLst>
        </c:ser>
        <c:dLbls>
          <c:showLegendKey val="0"/>
          <c:showVal val="1"/>
          <c:showCatName val="0"/>
          <c:showSerName val="0"/>
          <c:showPercent val="0"/>
          <c:showBubbleSize val="0"/>
        </c:dLbls>
        <c:gapWidth val="150"/>
        <c:shape val="cylinder"/>
        <c:axId val="137445376"/>
        <c:axId val="137446912"/>
        <c:axId val="0"/>
      </c:bar3DChart>
      <c:catAx>
        <c:axId val="137445376"/>
        <c:scaling>
          <c:orientation val="minMax"/>
        </c:scaling>
        <c:delete val="0"/>
        <c:axPos val="b"/>
        <c:numFmt formatCode="General" sourceLinked="0"/>
        <c:majorTickMark val="out"/>
        <c:minorTickMark val="none"/>
        <c:tickLblPos val="nextTo"/>
        <c:crossAx val="137446912"/>
        <c:crosses val="autoZero"/>
        <c:auto val="1"/>
        <c:lblAlgn val="ctr"/>
        <c:lblOffset val="100"/>
        <c:noMultiLvlLbl val="0"/>
      </c:catAx>
      <c:valAx>
        <c:axId val="137446912"/>
        <c:scaling>
          <c:orientation val="minMax"/>
        </c:scaling>
        <c:delete val="1"/>
        <c:axPos val="l"/>
        <c:numFmt formatCode="General" sourceLinked="1"/>
        <c:majorTickMark val="out"/>
        <c:minorTickMark val="none"/>
        <c:tickLblPos val="nextTo"/>
        <c:crossAx val="137445376"/>
        <c:crosses val="autoZero"/>
        <c:crossBetween val="between"/>
      </c:valAx>
    </c:plotArea>
    <c:legend>
      <c:legendPos val="t"/>
      <c:layout>
        <c:manualLayout>
          <c:xMode val="edge"/>
          <c:yMode val="edge"/>
          <c:x val="0.53276384986821468"/>
          <c:y val="3.2596364607021311E-2"/>
          <c:w val="0.44953886671214632"/>
          <c:h val="0.16367492571985959"/>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90660416002914"/>
          <c:y val="5.2831607364075696E-2"/>
          <c:w val="0.88809352320063284"/>
          <c:h val="0.77585996966099013"/>
        </c:manualLayout>
      </c:layout>
      <c:bar3DChart>
        <c:barDir val="col"/>
        <c:grouping val="clustered"/>
        <c:varyColors val="0"/>
        <c:ser>
          <c:idx val="0"/>
          <c:order val="0"/>
          <c:tx>
            <c:strRef>
              <c:f>Sheet1!$A$39</c:f>
              <c:strCache>
                <c:ptCount val="1"/>
                <c:pt idx="0">
                  <c:v>Jute</c:v>
                </c:pt>
              </c:strCache>
            </c:strRef>
          </c:tx>
          <c:spPr>
            <a:pattFill prst="pct5">
              <a:fgClr>
                <a:srgbClr val="002060"/>
              </a:fgClr>
              <a:bgClr>
                <a:sysClr val="window" lastClr="FFFFFF"/>
              </a:bgClr>
            </a:pattFill>
          </c:spPr>
          <c:invertIfNegative val="0"/>
          <c:dLbls>
            <c:dLbl>
              <c:idx val="0"/>
              <c:layout>
                <c:manualLayout>
                  <c:x val="-5.8698980678860681E-2"/>
                  <c:y val="-2.15415490277047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9C-46DF-95E2-5575D835C541}"/>
                </c:ext>
              </c:extLst>
            </c:dLbl>
            <c:dLbl>
              <c:idx val="1"/>
              <c:layout>
                <c:manualLayout>
                  <c:x val="-4.8492117109197139E-2"/>
                  <c:y val="-1.6042838292440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9C-46DF-95E2-5575D835C54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Sheet1!$B$38:$C$38</c:f>
              <c:strCache>
                <c:ptCount val="2"/>
                <c:pt idx="0">
                  <c:v>3 months</c:v>
                </c:pt>
                <c:pt idx="1">
                  <c:v>6 months</c:v>
                </c:pt>
              </c:strCache>
            </c:strRef>
          </c:cat>
          <c:val>
            <c:numRef>
              <c:f>Sheet1!$B$39:$C$39</c:f>
              <c:numCache>
                <c:formatCode>General</c:formatCode>
                <c:ptCount val="2"/>
                <c:pt idx="0">
                  <c:v>21.83</c:v>
                </c:pt>
                <c:pt idx="1">
                  <c:v>16.309999999999999</c:v>
                </c:pt>
              </c:numCache>
            </c:numRef>
          </c:val>
          <c:extLst>
            <c:ext xmlns:c16="http://schemas.microsoft.com/office/drawing/2014/chart" uri="{C3380CC4-5D6E-409C-BE32-E72D297353CC}">
              <c16:uniqueId val="{00000002-F99C-46DF-95E2-5575D835C541}"/>
            </c:ext>
          </c:extLst>
        </c:ser>
        <c:ser>
          <c:idx val="1"/>
          <c:order val="1"/>
          <c:tx>
            <c:strRef>
              <c:f>Sheet1!$A$40</c:f>
              <c:strCache>
                <c:ptCount val="1"/>
                <c:pt idx="0">
                  <c:v>HDP</c:v>
                </c:pt>
              </c:strCache>
            </c:strRef>
          </c:tx>
          <c:spPr>
            <a:pattFill prst="pct5">
              <a:fgClr>
                <a:sysClr val="windowText" lastClr="000000"/>
              </a:fgClr>
              <a:bgClr>
                <a:sysClr val="window" lastClr="FFFFFF"/>
              </a:bgClr>
            </a:pattFill>
          </c:spPr>
          <c:invertIfNegative val="0"/>
          <c:dPt>
            <c:idx val="0"/>
            <c:invertIfNegative val="0"/>
            <c:bubble3D val="0"/>
            <c:spPr>
              <a:pattFill prst="ltHorz">
                <a:fgClr>
                  <a:sysClr val="windowText" lastClr="000000"/>
                </a:fgClr>
                <a:bgClr>
                  <a:sysClr val="window" lastClr="FFFFFF"/>
                </a:bgClr>
              </a:pattFill>
            </c:spPr>
            <c:extLst>
              <c:ext xmlns:c16="http://schemas.microsoft.com/office/drawing/2014/chart" uri="{C3380CC4-5D6E-409C-BE32-E72D297353CC}">
                <c16:uniqueId val="{00000004-F99C-46DF-95E2-5575D835C541}"/>
              </c:ext>
            </c:extLst>
          </c:dPt>
          <c:dPt>
            <c:idx val="1"/>
            <c:invertIfNegative val="0"/>
            <c:bubble3D val="0"/>
            <c:spPr>
              <a:pattFill prst="ltHorz">
                <a:fgClr>
                  <a:sysClr val="windowText" lastClr="000000"/>
                </a:fgClr>
                <a:bgClr>
                  <a:sysClr val="window" lastClr="FFFFFF"/>
                </a:bgClr>
              </a:pattFill>
            </c:spPr>
            <c:extLst>
              <c:ext xmlns:c16="http://schemas.microsoft.com/office/drawing/2014/chart" uri="{C3380CC4-5D6E-409C-BE32-E72D297353CC}">
                <c16:uniqueId val="{00000006-F99C-46DF-95E2-5575D835C541}"/>
              </c:ext>
            </c:extLst>
          </c:dPt>
          <c:dLbls>
            <c:dLbl>
              <c:idx val="0"/>
              <c:layout>
                <c:manualLayout>
                  <c:x val="-2.7777777777777779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9C-46DF-95E2-5575D835C541}"/>
                </c:ext>
              </c:extLst>
            </c:dLbl>
            <c:dLbl>
              <c:idx val="1"/>
              <c:layout>
                <c:manualLayout>
                  <c:x val="-1.0185067526415994E-16"/>
                  <c:y val="-2.7777777777777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9C-46DF-95E2-5575D835C54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Sheet1!$B$38:$C$38</c:f>
              <c:strCache>
                <c:ptCount val="2"/>
                <c:pt idx="0">
                  <c:v>3 months</c:v>
                </c:pt>
                <c:pt idx="1">
                  <c:v>6 months</c:v>
                </c:pt>
              </c:strCache>
            </c:strRef>
          </c:cat>
          <c:val>
            <c:numRef>
              <c:f>Sheet1!$B$40:$C$40</c:f>
              <c:numCache>
                <c:formatCode>General</c:formatCode>
                <c:ptCount val="2"/>
                <c:pt idx="0">
                  <c:v>23.89</c:v>
                </c:pt>
                <c:pt idx="1">
                  <c:v>20.190000000000001</c:v>
                </c:pt>
              </c:numCache>
            </c:numRef>
          </c:val>
          <c:extLst>
            <c:ext xmlns:c16="http://schemas.microsoft.com/office/drawing/2014/chart" uri="{C3380CC4-5D6E-409C-BE32-E72D297353CC}">
              <c16:uniqueId val="{00000007-F99C-46DF-95E2-5575D835C541}"/>
            </c:ext>
          </c:extLst>
        </c:ser>
        <c:dLbls>
          <c:showLegendKey val="0"/>
          <c:showVal val="1"/>
          <c:showCatName val="0"/>
          <c:showSerName val="0"/>
          <c:showPercent val="0"/>
          <c:showBubbleSize val="0"/>
        </c:dLbls>
        <c:gapWidth val="150"/>
        <c:shape val="cylinder"/>
        <c:axId val="137535488"/>
        <c:axId val="137537024"/>
        <c:axId val="0"/>
      </c:bar3DChart>
      <c:catAx>
        <c:axId val="137535488"/>
        <c:scaling>
          <c:orientation val="minMax"/>
        </c:scaling>
        <c:delete val="0"/>
        <c:axPos val="b"/>
        <c:numFmt formatCode="General" sourceLinked="0"/>
        <c:majorTickMark val="out"/>
        <c:minorTickMark val="none"/>
        <c:tickLblPos val="nextTo"/>
        <c:crossAx val="137537024"/>
        <c:crosses val="autoZero"/>
        <c:auto val="1"/>
        <c:lblAlgn val="ctr"/>
        <c:lblOffset val="100"/>
        <c:noMultiLvlLbl val="0"/>
      </c:catAx>
      <c:valAx>
        <c:axId val="137537024"/>
        <c:scaling>
          <c:orientation val="minMax"/>
        </c:scaling>
        <c:delete val="1"/>
        <c:axPos val="l"/>
        <c:numFmt formatCode="General" sourceLinked="1"/>
        <c:majorTickMark val="out"/>
        <c:minorTickMark val="none"/>
        <c:tickLblPos val="nextTo"/>
        <c:crossAx val="137535488"/>
        <c:crosses val="autoZero"/>
        <c:crossBetween val="between"/>
      </c:valAx>
    </c:plotArea>
    <c:legend>
      <c:legendPos val="t"/>
      <c:layout>
        <c:manualLayout>
          <c:xMode val="edge"/>
          <c:yMode val="edge"/>
          <c:x val="0.53801871061440498"/>
          <c:y val="0"/>
          <c:w val="0.44417935319297519"/>
          <c:h val="0.2057489396482424"/>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220190667202826"/>
          <c:y val="5.2620235097904006E-2"/>
          <c:w val="0.88779797075128641"/>
          <c:h val="0.78245393460237023"/>
        </c:manualLayout>
      </c:layout>
      <c:bar3DChart>
        <c:barDir val="col"/>
        <c:grouping val="clustered"/>
        <c:varyColors val="0"/>
        <c:ser>
          <c:idx val="0"/>
          <c:order val="0"/>
          <c:tx>
            <c:strRef>
              <c:f>Sheet1!$A$18</c:f>
              <c:strCache>
                <c:ptCount val="1"/>
                <c:pt idx="0">
                  <c:v>Jute</c:v>
                </c:pt>
              </c:strCache>
            </c:strRef>
          </c:tx>
          <c:spPr>
            <a:pattFill prst="pct5">
              <a:fgClr>
                <a:srgbClr val="002060"/>
              </a:fgClr>
              <a:bgClr>
                <a:sysClr val="window" lastClr="FFFFFF"/>
              </a:bgClr>
            </a:pattFill>
          </c:spPr>
          <c:invertIfNegative val="0"/>
          <c:dLbls>
            <c:dLbl>
              <c:idx val="0"/>
              <c:layout>
                <c:manualLayout>
                  <c:x val="-1.111111111111111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0A-43FC-BE49-331D985EE978}"/>
                </c:ext>
              </c:extLst>
            </c:dLbl>
            <c:dLbl>
              <c:idx val="1"/>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0A-43FC-BE49-331D985EE97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Sheet1!$B$17:$C$17</c:f>
              <c:strCache>
                <c:ptCount val="2"/>
                <c:pt idx="0">
                  <c:v>3 months</c:v>
                </c:pt>
                <c:pt idx="1">
                  <c:v>6 months</c:v>
                </c:pt>
              </c:strCache>
            </c:strRef>
          </c:cat>
          <c:val>
            <c:numRef>
              <c:f>Sheet1!$B$18:$C$18</c:f>
              <c:numCache>
                <c:formatCode>General</c:formatCode>
                <c:ptCount val="2"/>
                <c:pt idx="0">
                  <c:v>15.88</c:v>
                </c:pt>
                <c:pt idx="1">
                  <c:v>25.11</c:v>
                </c:pt>
              </c:numCache>
            </c:numRef>
          </c:val>
          <c:extLst>
            <c:ext xmlns:c16="http://schemas.microsoft.com/office/drawing/2014/chart" uri="{C3380CC4-5D6E-409C-BE32-E72D297353CC}">
              <c16:uniqueId val="{00000002-E10A-43FC-BE49-331D985EE978}"/>
            </c:ext>
          </c:extLst>
        </c:ser>
        <c:ser>
          <c:idx val="1"/>
          <c:order val="1"/>
          <c:tx>
            <c:strRef>
              <c:f>Sheet1!$A$19</c:f>
              <c:strCache>
                <c:ptCount val="1"/>
                <c:pt idx="0">
                  <c:v>HDP</c:v>
                </c:pt>
              </c:strCache>
            </c:strRef>
          </c:tx>
          <c:spPr>
            <a:pattFill prst="ltHorz">
              <a:fgClr>
                <a:sysClr val="windowText" lastClr="000000"/>
              </a:fgClr>
              <a:bgClr>
                <a:sysClr val="window" lastClr="FFFFFF"/>
              </a:bgClr>
            </a:pattFill>
          </c:spPr>
          <c:invertIfNegative val="0"/>
          <c:dLbls>
            <c:dLbl>
              <c:idx val="0"/>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0A-43FC-BE49-331D985EE978}"/>
                </c:ext>
              </c:extLst>
            </c:dLbl>
            <c:dLbl>
              <c:idx val="1"/>
              <c:layout>
                <c:manualLayout>
                  <c:x val="5.5555555555554534E-3"/>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0A-43FC-BE49-331D985EE97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Sheet1!$B$17:$C$17</c:f>
              <c:strCache>
                <c:ptCount val="2"/>
                <c:pt idx="0">
                  <c:v>3 months</c:v>
                </c:pt>
                <c:pt idx="1">
                  <c:v>6 months</c:v>
                </c:pt>
              </c:strCache>
            </c:strRef>
          </c:cat>
          <c:val>
            <c:numRef>
              <c:f>Sheet1!$B$19:$C$19</c:f>
              <c:numCache>
                <c:formatCode>General</c:formatCode>
                <c:ptCount val="2"/>
                <c:pt idx="0">
                  <c:v>14.45</c:v>
                </c:pt>
                <c:pt idx="1">
                  <c:v>20.98</c:v>
                </c:pt>
              </c:numCache>
            </c:numRef>
          </c:val>
          <c:extLst>
            <c:ext xmlns:c16="http://schemas.microsoft.com/office/drawing/2014/chart" uri="{C3380CC4-5D6E-409C-BE32-E72D297353CC}">
              <c16:uniqueId val="{00000005-E10A-43FC-BE49-331D985EE978}"/>
            </c:ext>
          </c:extLst>
        </c:ser>
        <c:dLbls>
          <c:showLegendKey val="0"/>
          <c:showVal val="1"/>
          <c:showCatName val="0"/>
          <c:showSerName val="0"/>
          <c:showPercent val="0"/>
          <c:showBubbleSize val="0"/>
        </c:dLbls>
        <c:gapWidth val="150"/>
        <c:shape val="cylinder"/>
        <c:axId val="124374016"/>
        <c:axId val="124375808"/>
        <c:axId val="0"/>
      </c:bar3DChart>
      <c:catAx>
        <c:axId val="124374016"/>
        <c:scaling>
          <c:orientation val="minMax"/>
        </c:scaling>
        <c:delete val="0"/>
        <c:axPos val="b"/>
        <c:numFmt formatCode="General" sourceLinked="0"/>
        <c:majorTickMark val="out"/>
        <c:minorTickMark val="none"/>
        <c:tickLblPos val="nextTo"/>
        <c:crossAx val="124375808"/>
        <c:crosses val="autoZero"/>
        <c:auto val="1"/>
        <c:lblAlgn val="ctr"/>
        <c:lblOffset val="100"/>
        <c:noMultiLvlLbl val="0"/>
      </c:catAx>
      <c:valAx>
        <c:axId val="124375808"/>
        <c:scaling>
          <c:orientation val="minMax"/>
        </c:scaling>
        <c:delete val="1"/>
        <c:axPos val="l"/>
        <c:numFmt formatCode="General" sourceLinked="1"/>
        <c:majorTickMark val="out"/>
        <c:minorTickMark val="none"/>
        <c:tickLblPos val="nextTo"/>
        <c:crossAx val="124374016"/>
        <c:crosses val="autoZero"/>
        <c:crossBetween val="between"/>
      </c:valAx>
    </c:plotArea>
    <c:legend>
      <c:legendPos val="t"/>
      <c:layout>
        <c:manualLayout>
          <c:xMode val="edge"/>
          <c:yMode val="edge"/>
          <c:x val="0.25455279588415669"/>
          <c:y val="0"/>
          <c:w val="0.38335012625791448"/>
          <c:h val="0.14726558365540357"/>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88873388835659"/>
          <c:y val="0.15207424249308127"/>
          <c:w val="0.86184108503024803"/>
          <c:h val="0.68012980594998851"/>
        </c:manualLayout>
      </c:layout>
      <c:bar3DChart>
        <c:barDir val="col"/>
        <c:grouping val="clustered"/>
        <c:varyColors val="0"/>
        <c:ser>
          <c:idx val="0"/>
          <c:order val="0"/>
          <c:tx>
            <c:strRef>
              <c:f>Sheet1!$A$32</c:f>
              <c:strCache>
                <c:ptCount val="1"/>
                <c:pt idx="0">
                  <c:v>Jute</c:v>
                </c:pt>
              </c:strCache>
            </c:strRef>
          </c:tx>
          <c:spPr>
            <a:pattFill prst="pct5">
              <a:fgClr>
                <a:srgbClr val="002060"/>
              </a:fgClr>
              <a:bgClr>
                <a:sysClr val="window" lastClr="FFFFFF"/>
              </a:bgClr>
            </a:pattFill>
          </c:spPr>
          <c:invertIfNegative val="0"/>
          <c:dLbls>
            <c:dLbl>
              <c:idx val="0"/>
              <c:layout>
                <c:manualLayout>
                  <c:x val="-5.5920992753587216E-2"/>
                  <c:y val="-2.9571363384054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77-452D-B494-80CA6C9AB586}"/>
                </c:ext>
              </c:extLst>
            </c:dLbl>
            <c:dLbl>
              <c:idx val="1"/>
              <c:layout>
                <c:manualLayout>
                  <c:x val="-3.9857338833921618E-2"/>
                  <c:y val="-2.3148102421875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77-452D-B494-80CA6C9AB58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Sheet1!$B$31:$C$31</c:f>
              <c:strCache>
                <c:ptCount val="2"/>
                <c:pt idx="0">
                  <c:v>3 months</c:v>
                </c:pt>
                <c:pt idx="1">
                  <c:v>6 months</c:v>
                </c:pt>
              </c:strCache>
            </c:strRef>
          </c:cat>
          <c:val>
            <c:numRef>
              <c:f>Sheet1!$B$32:$C$32</c:f>
              <c:numCache>
                <c:formatCode>General</c:formatCode>
                <c:ptCount val="2"/>
                <c:pt idx="0">
                  <c:v>55.44</c:v>
                </c:pt>
                <c:pt idx="1">
                  <c:v>49.5</c:v>
                </c:pt>
              </c:numCache>
            </c:numRef>
          </c:val>
          <c:extLst>
            <c:ext xmlns:c16="http://schemas.microsoft.com/office/drawing/2014/chart" uri="{C3380CC4-5D6E-409C-BE32-E72D297353CC}">
              <c16:uniqueId val="{00000002-EC77-452D-B494-80CA6C9AB586}"/>
            </c:ext>
          </c:extLst>
        </c:ser>
        <c:ser>
          <c:idx val="1"/>
          <c:order val="1"/>
          <c:tx>
            <c:strRef>
              <c:f>Sheet1!$A$33</c:f>
              <c:strCache>
                <c:ptCount val="1"/>
                <c:pt idx="0">
                  <c:v>HDP</c:v>
                </c:pt>
              </c:strCache>
            </c:strRef>
          </c:tx>
          <c:spPr>
            <a:pattFill prst="ltHorz">
              <a:fgClr>
                <a:sysClr val="windowText" lastClr="000000"/>
              </a:fgClr>
              <a:bgClr>
                <a:sysClr val="window" lastClr="FFFFFF"/>
              </a:bgClr>
            </a:pattFill>
          </c:spPr>
          <c:invertIfNegative val="0"/>
          <c:dPt>
            <c:idx val="0"/>
            <c:invertIfNegative val="0"/>
            <c:bubble3D val="0"/>
            <c:extLst>
              <c:ext xmlns:c16="http://schemas.microsoft.com/office/drawing/2014/chart" uri="{C3380CC4-5D6E-409C-BE32-E72D297353CC}">
                <c16:uniqueId val="{00000003-EC77-452D-B494-80CA6C9AB586}"/>
              </c:ext>
            </c:extLst>
          </c:dPt>
          <c:dPt>
            <c:idx val="1"/>
            <c:invertIfNegative val="0"/>
            <c:bubble3D val="0"/>
            <c:extLst>
              <c:ext xmlns:c16="http://schemas.microsoft.com/office/drawing/2014/chart" uri="{C3380CC4-5D6E-409C-BE32-E72D297353CC}">
                <c16:uniqueId val="{00000004-EC77-452D-B494-80CA6C9AB586}"/>
              </c:ext>
            </c:extLst>
          </c:dPt>
          <c:dLbls>
            <c:dLbl>
              <c:idx val="0"/>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77-452D-B494-80CA6C9AB586}"/>
                </c:ext>
              </c:extLst>
            </c:dLbl>
            <c:dLbl>
              <c:idx val="1"/>
              <c:layout>
                <c:manualLayout>
                  <c:x val="-2.7777777777778798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77-452D-B494-80CA6C9AB58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Sheet1!$B$31:$C$31</c:f>
              <c:strCache>
                <c:ptCount val="2"/>
                <c:pt idx="0">
                  <c:v>3 months</c:v>
                </c:pt>
                <c:pt idx="1">
                  <c:v>6 months</c:v>
                </c:pt>
              </c:strCache>
            </c:strRef>
          </c:cat>
          <c:val>
            <c:numRef>
              <c:f>Sheet1!$B$33:$C$33</c:f>
              <c:numCache>
                <c:formatCode>General</c:formatCode>
                <c:ptCount val="2"/>
                <c:pt idx="0">
                  <c:v>56.78</c:v>
                </c:pt>
                <c:pt idx="1">
                  <c:v>52.78</c:v>
                </c:pt>
              </c:numCache>
            </c:numRef>
          </c:val>
          <c:extLst>
            <c:ext xmlns:c16="http://schemas.microsoft.com/office/drawing/2014/chart" uri="{C3380CC4-5D6E-409C-BE32-E72D297353CC}">
              <c16:uniqueId val="{00000005-EC77-452D-B494-80CA6C9AB586}"/>
            </c:ext>
          </c:extLst>
        </c:ser>
        <c:dLbls>
          <c:showLegendKey val="0"/>
          <c:showVal val="1"/>
          <c:showCatName val="0"/>
          <c:showSerName val="0"/>
          <c:showPercent val="0"/>
          <c:showBubbleSize val="0"/>
        </c:dLbls>
        <c:gapWidth val="150"/>
        <c:shape val="cylinder"/>
        <c:axId val="124446976"/>
        <c:axId val="137596928"/>
        <c:axId val="0"/>
      </c:bar3DChart>
      <c:catAx>
        <c:axId val="124446976"/>
        <c:scaling>
          <c:orientation val="minMax"/>
        </c:scaling>
        <c:delete val="0"/>
        <c:axPos val="b"/>
        <c:numFmt formatCode="General" sourceLinked="0"/>
        <c:majorTickMark val="out"/>
        <c:minorTickMark val="none"/>
        <c:tickLblPos val="nextTo"/>
        <c:crossAx val="137596928"/>
        <c:crosses val="autoZero"/>
        <c:auto val="1"/>
        <c:lblAlgn val="ctr"/>
        <c:lblOffset val="100"/>
        <c:noMultiLvlLbl val="0"/>
      </c:catAx>
      <c:valAx>
        <c:axId val="137596928"/>
        <c:scaling>
          <c:orientation val="minMax"/>
        </c:scaling>
        <c:delete val="1"/>
        <c:axPos val="l"/>
        <c:numFmt formatCode="General" sourceLinked="1"/>
        <c:majorTickMark val="out"/>
        <c:minorTickMark val="none"/>
        <c:tickLblPos val="nextTo"/>
        <c:crossAx val="124446976"/>
        <c:crosses val="autoZero"/>
        <c:crossBetween val="between"/>
      </c:valAx>
    </c:plotArea>
    <c:legend>
      <c:legendPos val="t"/>
      <c:layout>
        <c:manualLayout>
          <c:xMode val="edge"/>
          <c:yMode val="edge"/>
          <c:x val="0.55427017120490274"/>
          <c:y val="0"/>
          <c:w val="0.41790942894163319"/>
          <c:h val="0.26861529338121437"/>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2460545436112334E-2"/>
          <c:y val="8.0258216237086261E-2"/>
          <c:w val="0.98476159230096239"/>
          <c:h val="0.76553392378701546"/>
        </c:manualLayout>
      </c:layout>
      <c:barChart>
        <c:barDir val="col"/>
        <c:grouping val="clustered"/>
        <c:varyColors val="0"/>
        <c:ser>
          <c:idx val="0"/>
          <c:order val="0"/>
          <c:tx>
            <c:strRef>
              <c:f>Mona!$O$51</c:f>
              <c:strCache>
                <c:ptCount val="1"/>
                <c:pt idx="0">
                  <c:v>Nor</c:v>
                </c:pt>
              </c:strCache>
            </c:strRef>
          </c:tx>
          <c:spPr>
            <a:pattFill prst="dashVert">
              <a:fgClr>
                <a:schemeClr val="tx1"/>
              </a:fgClr>
              <a:bgClr>
                <a:schemeClr val="bg1"/>
              </a:bgClr>
            </a:pattFill>
            <a:ln w="15875">
              <a:solidFill>
                <a:schemeClr val="tx1"/>
              </a:solidFill>
            </a:ln>
          </c:spPr>
          <c:invertIfNegative val="0"/>
          <c:dLbls>
            <c:dLbl>
              <c:idx val="1"/>
              <c:layout>
                <c:manualLayout>
                  <c:x val="-3.43488636476329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87-40F0-B716-A2593939D578}"/>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Mona!$P$50:$Q$50</c:f>
              <c:strCache>
                <c:ptCount val="2"/>
                <c:pt idx="0">
                  <c:v>jute</c:v>
                </c:pt>
                <c:pt idx="1">
                  <c:v>H.D.P</c:v>
                </c:pt>
              </c:strCache>
            </c:strRef>
          </c:cat>
          <c:val>
            <c:numRef>
              <c:f>Mona!$P$51:$Q$51</c:f>
              <c:numCache>
                <c:formatCode>General</c:formatCode>
                <c:ptCount val="2"/>
                <c:pt idx="0">
                  <c:v>2.04</c:v>
                </c:pt>
                <c:pt idx="1">
                  <c:v>2.38</c:v>
                </c:pt>
              </c:numCache>
            </c:numRef>
          </c:val>
          <c:extLst>
            <c:ext xmlns:c16="http://schemas.microsoft.com/office/drawing/2014/chart" uri="{C3380CC4-5D6E-409C-BE32-E72D297353CC}">
              <c16:uniqueId val="{00000001-0387-40F0-B716-A2593939D578}"/>
            </c:ext>
          </c:extLst>
        </c:ser>
        <c:ser>
          <c:idx val="1"/>
          <c:order val="1"/>
          <c:tx>
            <c:strRef>
              <c:f>Mona!$O$52</c:f>
              <c:strCache>
                <c:ptCount val="1"/>
                <c:pt idx="0">
                  <c:v>Dr</c:v>
                </c:pt>
              </c:strCache>
            </c:strRef>
          </c:tx>
          <c:spPr>
            <a:pattFill prst="pct5">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Mona!$P$50:$Q$50</c:f>
              <c:strCache>
                <c:ptCount val="2"/>
                <c:pt idx="0">
                  <c:v>jute</c:v>
                </c:pt>
                <c:pt idx="1">
                  <c:v>H.D.P</c:v>
                </c:pt>
              </c:strCache>
            </c:strRef>
          </c:cat>
          <c:val>
            <c:numRef>
              <c:f>Mona!$P$52:$Q$52</c:f>
              <c:numCache>
                <c:formatCode>General</c:formatCode>
                <c:ptCount val="2"/>
                <c:pt idx="0">
                  <c:v>1.42</c:v>
                </c:pt>
                <c:pt idx="1">
                  <c:v>1.76</c:v>
                </c:pt>
              </c:numCache>
            </c:numRef>
          </c:val>
          <c:extLst>
            <c:ext xmlns:c16="http://schemas.microsoft.com/office/drawing/2014/chart" uri="{C3380CC4-5D6E-409C-BE32-E72D297353CC}">
              <c16:uniqueId val="{00000002-0387-40F0-B716-A2593939D578}"/>
            </c:ext>
          </c:extLst>
        </c:ser>
        <c:dLbls>
          <c:showLegendKey val="0"/>
          <c:showVal val="0"/>
          <c:showCatName val="0"/>
          <c:showSerName val="0"/>
          <c:showPercent val="0"/>
          <c:showBubbleSize val="0"/>
        </c:dLbls>
        <c:gapWidth val="178"/>
        <c:overlap val="-35"/>
        <c:axId val="137606272"/>
        <c:axId val="137607808"/>
      </c:barChart>
      <c:catAx>
        <c:axId val="137606272"/>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100">
                <a:latin typeface="Times New Roman" panose="02020603050405020304" pitchFamily="18" charset="0"/>
                <a:cs typeface="Times New Roman" panose="02020603050405020304" pitchFamily="18" charset="0"/>
              </a:defRPr>
            </a:pPr>
            <a:endParaRPr lang="en-US"/>
          </a:p>
        </c:txPr>
        <c:crossAx val="137607808"/>
        <c:crosses val="autoZero"/>
        <c:auto val="1"/>
        <c:lblAlgn val="ctr"/>
        <c:lblOffset val="100"/>
        <c:noMultiLvlLbl val="0"/>
      </c:catAx>
      <c:valAx>
        <c:axId val="137607808"/>
        <c:scaling>
          <c:orientation val="minMax"/>
          <c:max val="2.5"/>
          <c:min val="0"/>
        </c:scaling>
        <c:delete val="1"/>
        <c:axPos val="l"/>
        <c:numFmt formatCode="General" sourceLinked="1"/>
        <c:majorTickMark val="out"/>
        <c:minorTickMark val="none"/>
        <c:tickLblPos val="nextTo"/>
        <c:crossAx val="137606272"/>
        <c:crosses val="autoZero"/>
        <c:crossBetween val="between"/>
        <c:majorUnit val="0.30000000000000004"/>
        <c:minorUnit val="0.1"/>
      </c:valAx>
    </c:plotArea>
    <c:legend>
      <c:legendPos val="t"/>
      <c:layout>
        <c:manualLayout>
          <c:xMode val="edge"/>
          <c:yMode val="edge"/>
          <c:x val="0.39478399963953004"/>
          <c:y val="0.42982456140350878"/>
          <c:w val="0.19326416815923758"/>
          <c:h val="0.36015886172123224"/>
        </c:manualLayout>
      </c:layout>
      <c:overlay val="0"/>
      <c:spPr>
        <a:noFill/>
      </c:spPr>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2244266311022454E-3"/>
          <c:y val="2.4323110926923609E-2"/>
          <c:w val="0.98528937007874018"/>
          <c:h val="0.82937097744256949"/>
        </c:manualLayout>
      </c:layout>
      <c:barChart>
        <c:barDir val="col"/>
        <c:grouping val="clustered"/>
        <c:varyColors val="0"/>
        <c:ser>
          <c:idx val="0"/>
          <c:order val="0"/>
          <c:tx>
            <c:strRef>
              <c:f>Mona!$F$26</c:f>
              <c:strCache>
                <c:ptCount val="1"/>
                <c:pt idx="0">
                  <c:v>Nor</c:v>
                </c:pt>
              </c:strCache>
            </c:strRef>
          </c:tx>
          <c:spPr>
            <a:pattFill prst="dashVert">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Mona!$G$25:$H$25</c:f>
              <c:strCache>
                <c:ptCount val="2"/>
                <c:pt idx="0">
                  <c:v>jute</c:v>
                </c:pt>
                <c:pt idx="1">
                  <c:v>H.D.P</c:v>
                </c:pt>
              </c:strCache>
            </c:strRef>
          </c:cat>
          <c:val>
            <c:numRef>
              <c:f>Mona!$G$26:$H$26</c:f>
              <c:numCache>
                <c:formatCode>General</c:formatCode>
                <c:ptCount val="2"/>
                <c:pt idx="0">
                  <c:v>16.920000000000002</c:v>
                </c:pt>
                <c:pt idx="1">
                  <c:v>15.17</c:v>
                </c:pt>
              </c:numCache>
            </c:numRef>
          </c:val>
          <c:extLst>
            <c:ext xmlns:c16="http://schemas.microsoft.com/office/drawing/2014/chart" uri="{C3380CC4-5D6E-409C-BE32-E72D297353CC}">
              <c16:uniqueId val="{00000000-AAA9-49EB-9037-50233448282D}"/>
            </c:ext>
          </c:extLst>
        </c:ser>
        <c:ser>
          <c:idx val="1"/>
          <c:order val="1"/>
          <c:tx>
            <c:strRef>
              <c:f>Mona!$F$27</c:f>
              <c:strCache>
                <c:ptCount val="1"/>
                <c:pt idx="0">
                  <c:v>Dr</c:v>
                </c:pt>
              </c:strCache>
            </c:strRef>
          </c:tx>
          <c:spPr>
            <a:pattFill prst="pct5">
              <a:fgClr>
                <a:schemeClr val="tx1"/>
              </a:fgClr>
              <a:bgClr>
                <a:schemeClr val="bg1"/>
              </a:bgClr>
            </a:pattFill>
            <a:ln w="15875">
              <a:solidFill>
                <a:schemeClr val="tx1"/>
              </a:solidFill>
            </a:ln>
          </c:spPr>
          <c:invertIfNegative val="0"/>
          <c:dLbls>
            <c:dLbl>
              <c:idx val="0"/>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AAA9-49EB-9037-50233448282D}"/>
                </c:ext>
              </c:extLst>
            </c:dLbl>
            <c:dLbl>
              <c:idx val="1"/>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2-AAA9-49EB-9037-50233448282D}"/>
                </c:ext>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Mona!$G$25:$H$25</c:f>
              <c:strCache>
                <c:ptCount val="2"/>
                <c:pt idx="0">
                  <c:v>jute</c:v>
                </c:pt>
                <c:pt idx="1">
                  <c:v>H.D.P</c:v>
                </c:pt>
              </c:strCache>
            </c:strRef>
          </c:cat>
          <c:val>
            <c:numRef>
              <c:f>Mona!$G$27:$H$27</c:f>
              <c:numCache>
                <c:formatCode>General</c:formatCode>
                <c:ptCount val="2"/>
                <c:pt idx="0">
                  <c:v>24.07</c:v>
                </c:pt>
                <c:pt idx="1">
                  <c:v>20.27</c:v>
                </c:pt>
              </c:numCache>
            </c:numRef>
          </c:val>
          <c:extLst>
            <c:ext xmlns:c16="http://schemas.microsoft.com/office/drawing/2014/chart" uri="{C3380CC4-5D6E-409C-BE32-E72D297353CC}">
              <c16:uniqueId val="{00000003-AAA9-49EB-9037-50233448282D}"/>
            </c:ext>
          </c:extLst>
        </c:ser>
        <c:dLbls>
          <c:showLegendKey val="0"/>
          <c:showVal val="0"/>
          <c:showCatName val="0"/>
          <c:showSerName val="0"/>
          <c:showPercent val="0"/>
          <c:showBubbleSize val="0"/>
        </c:dLbls>
        <c:gapWidth val="150"/>
        <c:overlap val="-30"/>
        <c:axId val="146924288"/>
        <c:axId val="146925824"/>
      </c:barChart>
      <c:catAx>
        <c:axId val="146924288"/>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crossAx val="146925824"/>
        <c:crosses val="autoZero"/>
        <c:auto val="1"/>
        <c:lblAlgn val="ctr"/>
        <c:lblOffset val="100"/>
        <c:noMultiLvlLbl val="0"/>
      </c:catAx>
      <c:valAx>
        <c:axId val="146925824"/>
        <c:scaling>
          <c:orientation val="minMax"/>
        </c:scaling>
        <c:delete val="1"/>
        <c:axPos val="l"/>
        <c:numFmt formatCode="General" sourceLinked="1"/>
        <c:majorTickMark val="out"/>
        <c:minorTickMark val="none"/>
        <c:tickLblPos val="nextTo"/>
        <c:crossAx val="146924288"/>
        <c:crosses val="autoZero"/>
        <c:crossBetween val="between"/>
        <c:majorUnit val="3"/>
      </c:valAx>
    </c:plotArea>
    <c:legend>
      <c:legendPos val="b"/>
      <c:legendEntry>
        <c:idx val="0"/>
        <c:txPr>
          <a:bodyPr/>
          <a:lstStyle/>
          <a:p>
            <a:pPr>
              <a:defRPr sz="900">
                <a:latin typeface="Times New Roman" panose="02020603050405020304" pitchFamily="18" charset="0"/>
                <a:cs typeface="Times New Roman" panose="02020603050405020304" pitchFamily="18" charset="0"/>
              </a:defRPr>
            </a:pPr>
            <a:endParaRPr lang="en-US"/>
          </a:p>
        </c:txPr>
      </c:legendEntry>
      <c:layout>
        <c:manualLayout>
          <c:xMode val="edge"/>
          <c:yMode val="edge"/>
          <c:x val="0.38862417615029826"/>
          <c:y val="0.42013724087447812"/>
          <c:w val="0.18830440697530609"/>
          <c:h val="0.41353666468317118"/>
        </c:manualLayout>
      </c:layout>
      <c:overlay val="0"/>
      <c:spPr>
        <a:noFill/>
      </c:spPr>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0"/>
          <c:w val="0.98605452901106017"/>
          <c:h val="0.85363404115357022"/>
        </c:manualLayout>
      </c:layout>
      <c:barChart>
        <c:barDir val="col"/>
        <c:grouping val="clustered"/>
        <c:varyColors val="0"/>
        <c:ser>
          <c:idx val="0"/>
          <c:order val="0"/>
          <c:tx>
            <c:strRef>
              <c:f>Mona!$S$73</c:f>
              <c:strCache>
                <c:ptCount val="1"/>
                <c:pt idx="0">
                  <c:v>Nor</c:v>
                </c:pt>
              </c:strCache>
            </c:strRef>
          </c:tx>
          <c:spPr>
            <a:pattFill prst="dashVert">
              <a:fgClr>
                <a:schemeClr val="tx1"/>
              </a:fgClr>
              <a:bgClr>
                <a:schemeClr val="bg1"/>
              </a:bgClr>
            </a:pattFill>
            <a:ln w="15875">
              <a:solidFill>
                <a:schemeClr val="tx1"/>
              </a:solidFill>
            </a:ln>
          </c:spPr>
          <c:invertIfNegative val="0"/>
          <c:dLbls>
            <c:spPr>
              <a:noFill/>
              <a:ln>
                <a:noFill/>
              </a:ln>
              <a:effectLst/>
            </c:spPr>
            <c:txPr>
              <a:bodyPr/>
              <a:lstStyle/>
              <a:p>
                <a:pPr algn="justLow">
                  <a:lnSpc>
                    <a:spcPct val="100000"/>
                  </a:lnSpc>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Mona!$T$72:$U$72</c:f>
              <c:strCache>
                <c:ptCount val="2"/>
                <c:pt idx="0">
                  <c:v>jute</c:v>
                </c:pt>
                <c:pt idx="1">
                  <c:v>H.D.P</c:v>
                </c:pt>
              </c:strCache>
            </c:strRef>
          </c:cat>
          <c:val>
            <c:numRef>
              <c:f>Mona!$T$73:$U$73</c:f>
              <c:numCache>
                <c:formatCode>General</c:formatCode>
                <c:ptCount val="2"/>
                <c:pt idx="0">
                  <c:v>21.53</c:v>
                </c:pt>
                <c:pt idx="1">
                  <c:v>24.36</c:v>
                </c:pt>
              </c:numCache>
            </c:numRef>
          </c:val>
          <c:extLst>
            <c:ext xmlns:c16="http://schemas.microsoft.com/office/drawing/2014/chart" uri="{C3380CC4-5D6E-409C-BE32-E72D297353CC}">
              <c16:uniqueId val="{00000000-A399-44B3-9055-3B6D64454301}"/>
            </c:ext>
          </c:extLst>
        </c:ser>
        <c:ser>
          <c:idx val="1"/>
          <c:order val="1"/>
          <c:tx>
            <c:strRef>
              <c:f>Mona!$S$74</c:f>
              <c:strCache>
                <c:ptCount val="1"/>
                <c:pt idx="0">
                  <c:v>Dr</c:v>
                </c:pt>
              </c:strCache>
            </c:strRef>
          </c:tx>
          <c:spPr>
            <a:pattFill prst="pct5">
              <a:fgClr>
                <a:schemeClr val="tx1"/>
              </a:fgClr>
              <a:bgClr>
                <a:schemeClr val="bg1"/>
              </a:bgClr>
            </a:pattFill>
            <a:ln w="15875">
              <a:solidFill>
                <a:schemeClr val="tx1"/>
              </a:solidFill>
            </a:ln>
          </c:spPr>
          <c:invertIfNegative val="0"/>
          <c:dLbls>
            <c:spPr>
              <a:noFill/>
              <a:ln>
                <a:noFill/>
              </a:ln>
              <a:effectLst/>
            </c:spPr>
            <c:txPr>
              <a:bodyPr/>
              <a:lstStyle/>
              <a:p>
                <a:pPr>
                  <a:lnSpc>
                    <a:spcPct val="100000"/>
                  </a:lnSpc>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Mona!$T$72:$U$72</c:f>
              <c:strCache>
                <c:ptCount val="2"/>
                <c:pt idx="0">
                  <c:v>jute</c:v>
                </c:pt>
                <c:pt idx="1">
                  <c:v>H.D.P</c:v>
                </c:pt>
              </c:strCache>
            </c:strRef>
          </c:cat>
          <c:val>
            <c:numRef>
              <c:f>Mona!$T$74:$U$74</c:f>
              <c:numCache>
                <c:formatCode>General</c:formatCode>
                <c:ptCount val="2"/>
                <c:pt idx="0">
                  <c:v>16.600000000000001</c:v>
                </c:pt>
                <c:pt idx="1">
                  <c:v>19.71</c:v>
                </c:pt>
              </c:numCache>
            </c:numRef>
          </c:val>
          <c:extLst>
            <c:ext xmlns:c16="http://schemas.microsoft.com/office/drawing/2014/chart" uri="{C3380CC4-5D6E-409C-BE32-E72D297353CC}">
              <c16:uniqueId val="{00000001-A399-44B3-9055-3B6D64454301}"/>
            </c:ext>
          </c:extLst>
        </c:ser>
        <c:dLbls>
          <c:showLegendKey val="0"/>
          <c:showVal val="0"/>
          <c:showCatName val="0"/>
          <c:showSerName val="0"/>
          <c:showPercent val="0"/>
          <c:showBubbleSize val="0"/>
        </c:dLbls>
        <c:gapWidth val="247"/>
        <c:overlap val="-22"/>
        <c:axId val="137273344"/>
        <c:axId val="137274880"/>
      </c:barChart>
      <c:catAx>
        <c:axId val="137273344"/>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crossAx val="137274880"/>
        <c:crosses val="autoZero"/>
        <c:auto val="1"/>
        <c:lblAlgn val="ctr"/>
        <c:lblOffset val="100"/>
        <c:noMultiLvlLbl val="0"/>
      </c:catAx>
      <c:valAx>
        <c:axId val="137274880"/>
        <c:scaling>
          <c:orientation val="minMax"/>
          <c:max val="30"/>
          <c:min val="0"/>
        </c:scaling>
        <c:delete val="1"/>
        <c:axPos val="l"/>
        <c:numFmt formatCode="General" sourceLinked="1"/>
        <c:majorTickMark val="out"/>
        <c:minorTickMark val="none"/>
        <c:tickLblPos val="nextTo"/>
        <c:crossAx val="137273344"/>
        <c:crosses val="autoZero"/>
        <c:crossBetween val="between"/>
        <c:majorUnit val="3"/>
      </c:valAx>
    </c:plotArea>
    <c:legend>
      <c:legendPos val="t"/>
      <c:legendEntry>
        <c:idx val="0"/>
        <c:txPr>
          <a:bodyPr/>
          <a:lstStyle/>
          <a:p>
            <a:pPr>
              <a:defRPr sz="10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00">
                <a:latin typeface="Times New Roman" panose="02020603050405020304" pitchFamily="18" charset="0"/>
                <a:cs typeface="Times New Roman" panose="02020603050405020304" pitchFamily="18" charset="0"/>
              </a:defRPr>
            </a:pPr>
            <a:endParaRPr lang="en-US"/>
          </a:p>
        </c:txPr>
      </c:legendEntry>
      <c:layout>
        <c:manualLayout>
          <c:xMode val="edge"/>
          <c:yMode val="edge"/>
          <c:x val="0.37821407372616861"/>
          <c:y val="0.55222088835534211"/>
          <c:w val="0.21295607898798058"/>
          <c:h val="0.22333618580828596"/>
        </c:manualLayout>
      </c:layout>
      <c:overlay val="0"/>
      <c:spPr>
        <a:noFill/>
      </c:spPr>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FD58-29A0-4472-BB2A-2493632B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11</Pages>
  <Words>3379</Words>
  <Characters>19263</Characters>
  <Application>Microsoft Office Word</Application>
  <DocSecurity>0</DocSecurity>
  <Lines>160</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dreamssssss</dc:creator>
  <cp:keywords/>
  <dc:description/>
  <cp:lastModifiedBy>SDI 1084</cp:lastModifiedBy>
  <cp:revision>172</cp:revision>
  <cp:lastPrinted>2021-11-17T05:03:00Z</cp:lastPrinted>
  <dcterms:created xsi:type="dcterms:W3CDTF">2021-10-10T21:57:00Z</dcterms:created>
  <dcterms:modified xsi:type="dcterms:W3CDTF">2025-08-13T14:05:00Z</dcterms:modified>
</cp:coreProperties>
</file>