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014930" w14:textId="32FEEB4F" w:rsidR="000E36B3" w:rsidRPr="000E36B3" w:rsidRDefault="000E36B3" w:rsidP="000E36B3">
      <w:pPr>
        <w:rPr>
          <w:rFonts w:ascii="Times New Roman" w:hAnsi="Times New Roman" w:cs="Times New Roman"/>
        </w:rPr>
      </w:pPr>
      <w:bookmarkStart w:id="0" w:name="_Hlk207719431"/>
      <w:bookmarkEnd w:id="0"/>
      <w:r w:rsidRPr="000E36B3">
        <w:rPr>
          <w:rFonts w:ascii="Times New Roman" w:hAnsi="Times New Roman" w:cs="Times New Roman"/>
        </w:rPr>
        <w:t>TAVR vs. SAVR in Low-Risk Aortic Stenosis: A Systematic Review and Meta-Analysis of Safety and Efficacy</w:t>
      </w:r>
    </w:p>
    <w:p w14:paraId="2F618F4E" w14:textId="77777777" w:rsidR="000E36B3" w:rsidRPr="000E36B3" w:rsidRDefault="000E36B3" w:rsidP="000E36B3">
      <w:pPr>
        <w:rPr>
          <w:rFonts w:ascii="Times New Roman" w:hAnsi="Times New Roman" w:cs="Times New Roman"/>
        </w:rPr>
      </w:pPr>
    </w:p>
    <w:p w14:paraId="005FB716" w14:textId="77777777" w:rsidR="000E36B3" w:rsidRDefault="000E36B3">
      <w:pPr>
        <w:rPr>
          <w:rFonts w:ascii="Times New Roman" w:hAnsi="Times New Roman" w:cs="Times New Roman"/>
          <w:b/>
          <w:bCs/>
        </w:rPr>
      </w:pPr>
    </w:p>
    <w:p w14:paraId="32591238" w14:textId="692D28F8" w:rsidR="00D17396" w:rsidRDefault="00394D51">
      <w:pPr>
        <w:rPr>
          <w:rFonts w:ascii="Times New Roman" w:hAnsi="Times New Roman" w:cs="Times New Roman"/>
          <w:b/>
          <w:bCs/>
        </w:rPr>
      </w:pPr>
      <w:r>
        <w:rPr>
          <w:rFonts w:ascii="Times New Roman" w:hAnsi="Times New Roman" w:cs="Times New Roman"/>
          <w:b/>
          <w:bCs/>
        </w:rPr>
        <w:t>Abstract</w:t>
      </w:r>
    </w:p>
    <w:p w14:paraId="1E1CA9FD" w14:textId="77777777" w:rsidR="00D17396" w:rsidRDefault="00394D51">
      <w:pPr>
        <w:spacing w:before="100" w:beforeAutospacing="1" w:after="100" w:afterAutospacing="1" w:line="240" w:lineRule="auto"/>
        <w:rPr>
          <w:rFonts w:ascii="Times New Roman" w:eastAsia="Times New Roman" w:hAnsi="Times New Roman" w:cs="Times New Roman"/>
          <w:color w:val="36363D"/>
          <w:kern w:val="0"/>
          <w:lang w:eastAsia="en-GB"/>
        </w:rPr>
      </w:pPr>
      <w:r>
        <w:rPr>
          <w:rFonts w:ascii="Times New Roman" w:hAnsi="Times New Roman" w:cs="Times New Roman"/>
          <w:color w:val="36363D"/>
          <w:kern w:val="0"/>
          <w:lang w:eastAsia="en-GB"/>
        </w:rPr>
        <w:t xml:space="preserve">Background: </w:t>
      </w:r>
    </w:p>
    <w:p w14:paraId="4CB218DD" w14:textId="77777777" w:rsidR="00D17396" w:rsidRDefault="00394D51">
      <w:pPr>
        <w:spacing w:before="100" w:beforeAutospacing="1" w:after="100" w:afterAutospacing="1" w:line="240" w:lineRule="auto"/>
        <w:rPr>
          <w:rFonts w:ascii="Times New Roman" w:hAnsi="Times New Roman" w:cs="Times New Roman"/>
        </w:rPr>
      </w:pPr>
      <w:r>
        <w:rPr>
          <w:rFonts w:ascii="Times New Roman" w:eastAsia="Times New Roman" w:hAnsi="Times New Roman" w:cs="Times New Roman"/>
          <w:color w:val="36363D"/>
          <w:kern w:val="0"/>
          <w:lang w:eastAsia="en-GB"/>
        </w:rPr>
        <w:t>Transcatheter aortic valve replacement (TAVR) is a transformative intervention for severe aortic stenosis (AS), particularly in high- and intermediate-risk patients. However, its role in low-risk individuals remains under investigation. Our systematic revi</w:t>
      </w:r>
      <w:r>
        <w:rPr>
          <w:rFonts w:ascii="Times New Roman" w:eastAsia="Times New Roman" w:hAnsi="Times New Roman" w:cs="Times New Roman"/>
          <w:color w:val="36363D"/>
          <w:kern w:val="0"/>
          <w:lang w:eastAsia="en-GB"/>
        </w:rPr>
        <w:t>ew and meta-analysis aimed to compare the safety and efficacy of TAVR versus surgical aortic valve replacement (SAVR) in low-risk patients, focusing on mortality and procedural outcomes.</w:t>
      </w:r>
    </w:p>
    <w:p w14:paraId="6770BAD6" w14:textId="77777777" w:rsidR="00D17396" w:rsidRDefault="00394D51">
      <w:pPr>
        <w:spacing w:before="100" w:beforeAutospacing="1" w:after="100" w:afterAutospacing="1" w:line="240" w:lineRule="auto"/>
        <w:rPr>
          <w:rFonts w:ascii="Times New Roman" w:eastAsia="Times New Roman" w:hAnsi="Times New Roman" w:cs="Times New Roman"/>
          <w:color w:val="36363D"/>
          <w:kern w:val="0"/>
          <w:lang w:eastAsia="en-GB"/>
        </w:rPr>
      </w:pPr>
      <w:r>
        <w:rPr>
          <w:rFonts w:ascii="Times New Roman" w:eastAsia="Times New Roman" w:hAnsi="Times New Roman" w:cs="Times New Roman"/>
          <w:color w:val="36363D"/>
          <w:kern w:val="0"/>
          <w:lang w:eastAsia="en-GB"/>
        </w:rPr>
        <w:t xml:space="preserve">Methods: </w:t>
      </w:r>
    </w:p>
    <w:p w14:paraId="6ABC9ACD" w14:textId="77777777" w:rsidR="00D17396" w:rsidRDefault="00394D51">
      <w:pPr>
        <w:spacing w:before="100" w:beforeAutospacing="1" w:after="100" w:afterAutospacing="1" w:line="240" w:lineRule="auto"/>
        <w:rPr>
          <w:rFonts w:ascii="Times New Roman" w:hAnsi="Times New Roman" w:cs="Times New Roman"/>
        </w:rPr>
      </w:pPr>
      <w:r>
        <w:rPr>
          <w:rFonts w:ascii="Times New Roman" w:eastAsia="Times New Roman" w:hAnsi="Times New Roman" w:cs="Times New Roman"/>
          <w:color w:val="36363D"/>
          <w:kern w:val="0"/>
          <w:lang w:eastAsia="en-GB"/>
        </w:rPr>
        <w:t>We included randomized controlled trials (RCTs) comparing T</w:t>
      </w:r>
      <w:r>
        <w:rPr>
          <w:rFonts w:ascii="Times New Roman" w:eastAsia="Times New Roman" w:hAnsi="Times New Roman" w:cs="Times New Roman"/>
          <w:color w:val="36363D"/>
          <w:kern w:val="0"/>
          <w:lang w:eastAsia="en-GB"/>
        </w:rPr>
        <w:t xml:space="preserve">AVR and SAVR in patients with severe AS and a Society of Thoracic Surgeons Predicted Risk of Mortality (STS-PROM) score &lt;4%. A thorough search of PubMed, EMBASE, and the Cochrane Library was conducted through March 20, 2019. The Cochrane Risk of Bias tool </w:t>
      </w:r>
      <w:r>
        <w:rPr>
          <w:rFonts w:ascii="Times New Roman" w:eastAsia="Times New Roman" w:hAnsi="Times New Roman" w:cs="Times New Roman"/>
          <w:color w:val="36363D"/>
          <w:kern w:val="0"/>
          <w:lang w:eastAsia="en-GB"/>
        </w:rPr>
        <w:t>was used to assess methodological quality. Random-effects meta-analysis was performed to estimate pooled risk ratios (RRs) and 95% confidence intervals (CIs) for key outcomes.</w:t>
      </w:r>
    </w:p>
    <w:p w14:paraId="608B9C5D" w14:textId="77777777" w:rsidR="00D17396" w:rsidRDefault="00394D51">
      <w:pPr>
        <w:spacing w:before="100" w:beforeAutospacing="1" w:after="100" w:afterAutospacing="1" w:line="240" w:lineRule="auto"/>
        <w:rPr>
          <w:rFonts w:ascii="Times New Roman" w:eastAsia="Times New Roman" w:hAnsi="Times New Roman" w:cs="Times New Roman"/>
          <w:color w:val="36363D"/>
          <w:kern w:val="0"/>
          <w:lang w:eastAsia="en-GB"/>
        </w:rPr>
      </w:pPr>
      <w:r>
        <w:rPr>
          <w:rFonts w:ascii="Times New Roman" w:eastAsia="Times New Roman" w:hAnsi="Times New Roman" w:cs="Times New Roman"/>
          <w:color w:val="36363D"/>
          <w:kern w:val="0"/>
          <w:lang w:eastAsia="en-GB"/>
        </w:rPr>
        <w:t xml:space="preserve">Results: </w:t>
      </w:r>
    </w:p>
    <w:p w14:paraId="66FA7938" w14:textId="77777777" w:rsidR="00D17396" w:rsidRDefault="00394D51">
      <w:pPr>
        <w:spacing w:before="100" w:beforeAutospacing="1" w:after="100" w:afterAutospacing="1" w:line="240" w:lineRule="auto"/>
        <w:rPr>
          <w:rFonts w:ascii="Times New Roman" w:hAnsi="Times New Roman" w:cs="Times New Roman"/>
        </w:rPr>
      </w:pPr>
      <w:r>
        <w:rPr>
          <w:rFonts w:ascii="Times New Roman" w:eastAsia="Times New Roman" w:hAnsi="Times New Roman" w:cs="Times New Roman"/>
          <w:color w:val="36363D"/>
          <w:kern w:val="0"/>
          <w:lang w:eastAsia="en-GB"/>
        </w:rPr>
        <w:t>Four RCTs involving 2,887 patients (1,497 TAVR; 1,390 SAVR) were inclu</w:t>
      </w:r>
      <w:r>
        <w:rPr>
          <w:rFonts w:ascii="Times New Roman" w:eastAsia="Times New Roman" w:hAnsi="Times New Roman" w:cs="Times New Roman"/>
          <w:color w:val="36363D"/>
          <w:kern w:val="0"/>
          <w:lang w:eastAsia="en-GB"/>
        </w:rPr>
        <w:t>ded. The mean age was 75.4 years, and the average STS-PROM score was 2.3%. At 1-year follow-up, TAVR reduced all-cause mortality (RR: 0.61; 95% CI: 0.39–0.96) and cardiovascular mortality (RR: 0.55; 95% CI: 0.33–0.90). TAVR was also associated with lower r</w:t>
      </w:r>
      <w:r>
        <w:rPr>
          <w:rFonts w:ascii="Times New Roman" w:eastAsia="Times New Roman" w:hAnsi="Times New Roman" w:cs="Times New Roman"/>
          <w:color w:val="36363D"/>
          <w:kern w:val="0"/>
          <w:lang w:eastAsia="en-GB"/>
        </w:rPr>
        <w:t>isks of atrial fibrillation, bleeding, and acute kidney injury but higher rates of pacemaker implantation and paravalvular leak.</w:t>
      </w:r>
    </w:p>
    <w:p w14:paraId="32094697" w14:textId="77777777" w:rsidR="00D17396" w:rsidRDefault="00394D51">
      <w:pPr>
        <w:spacing w:before="100" w:beforeAutospacing="1" w:after="100" w:afterAutospacing="1" w:line="240" w:lineRule="auto"/>
        <w:rPr>
          <w:rFonts w:ascii="Times New Roman" w:eastAsia="Times New Roman" w:hAnsi="Times New Roman" w:cs="Times New Roman"/>
          <w:color w:val="36363D"/>
          <w:kern w:val="0"/>
          <w:lang w:eastAsia="en-GB"/>
        </w:rPr>
      </w:pPr>
      <w:r>
        <w:rPr>
          <w:rFonts w:ascii="Times New Roman" w:eastAsia="Times New Roman" w:hAnsi="Times New Roman" w:cs="Times New Roman"/>
          <w:color w:val="36363D"/>
          <w:kern w:val="0"/>
          <w:lang w:eastAsia="en-GB"/>
        </w:rPr>
        <w:t xml:space="preserve">Discussion: </w:t>
      </w:r>
    </w:p>
    <w:p w14:paraId="28E5E241" w14:textId="77777777" w:rsidR="00D17396" w:rsidRDefault="00394D51">
      <w:pPr>
        <w:spacing w:before="100" w:beforeAutospacing="1" w:after="100" w:afterAutospacing="1" w:line="240" w:lineRule="auto"/>
        <w:rPr>
          <w:rFonts w:ascii="Times New Roman" w:hAnsi="Times New Roman" w:cs="Times New Roman"/>
        </w:rPr>
      </w:pPr>
      <w:r>
        <w:rPr>
          <w:rFonts w:ascii="Times New Roman" w:eastAsia="Times New Roman" w:hAnsi="Times New Roman" w:cs="Times New Roman"/>
          <w:color w:val="36363D"/>
          <w:kern w:val="0"/>
          <w:lang w:eastAsia="en-GB"/>
        </w:rPr>
        <w:t>Limitations include moderate heterogeneity and short-term follow-up. Overall, TAVR demonstrates a survival benefit</w:t>
      </w:r>
      <w:r>
        <w:rPr>
          <w:rFonts w:ascii="Times New Roman" w:eastAsia="Times New Roman" w:hAnsi="Times New Roman" w:cs="Times New Roman"/>
          <w:color w:val="36363D"/>
          <w:kern w:val="0"/>
          <w:lang w:eastAsia="en-GB"/>
        </w:rPr>
        <w:t xml:space="preserve"> and favorable safety profile in low-risk patients, suggesting a paradigm shift in aortic valve therapy.</w:t>
      </w:r>
    </w:p>
    <w:p w14:paraId="16259176" w14:textId="77777777" w:rsidR="00D17396" w:rsidRDefault="00394D51">
      <w:pPr>
        <w:spacing w:before="100" w:beforeAutospacing="1" w:after="100" w:afterAutospacing="1" w:line="240" w:lineRule="auto"/>
        <w:rPr>
          <w:rFonts w:ascii="Times New Roman" w:eastAsia="Times New Roman" w:hAnsi="Times New Roman" w:cs="Times New Roman"/>
          <w:color w:val="36363D"/>
          <w:kern w:val="0"/>
          <w:lang w:eastAsia="en-GB"/>
        </w:rPr>
      </w:pPr>
      <w:r>
        <w:rPr>
          <w:rFonts w:ascii="Times New Roman" w:eastAsia="Times New Roman" w:hAnsi="Times New Roman" w:cs="Times New Roman"/>
          <w:color w:val="36363D"/>
          <w:kern w:val="0"/>
          <w:lang w:eastAsia="en-GB"/>
        </w:rPr>
        <w:t xml:space="preserve">Other: </w:t>
      </w:r>
    </w:p>
    <w:p w14:paraId="3A4A1809" w14:textId="77777777" w:rsidR="00D17396" w:rsidRDefault="00394D51">
      <w:pPr>
        <w:spacing w:before="100" w:beforeAutospacing="1" w:after="100" w:afterAutospacing="1" w:line="240" w:lineRule="auto"/>
        <w:rPr>
          <w:rFonts w:ascii="Times New Roman" w:hAnsi="Times New Roman" w:cs="Times New Roman"/>
        </w:rPr>
      </w:pPr>
      <w:r>
        <w:rPr>
          <w:rFonts w:ascii="Times New Roman" w:eastAsia="Times New Roman" w:hAnsi="Times New Roman" w:cs="Times New Roman"/>
          <w:color w:val="36363D"/>
          <w:kern w:val="0"/>
          <w:lang w:eastAsia="en-GB"/>
        </w:rPr>
        <w:t>Our review received no external funding and was not registered in a systematic review registry.</w:t>
      </w:r>
    </w:p>
    <w:p w14:paraId="4788E5A3" w14:textId="77777777" w:rsidR="00D17396" w:rsidRDefault="00D17396">
      <w:pPr>
        <w:rPr>
          <w:rFonts w:ascii="Times New Roman" w:hAnsi="Times New Roman" w:cs="Times New Roman"/>
          <w:b/>
          <w:bCs/>
        </w:rPr>
      </w:pPr>
    </w:p>
    <w:p w14:paraId="69DE8C48" w14:textId="77777777" w:rsidR="00D17396" w:rsidRDefault="00394D51">
      <w:pPr>
        <w:rPr>
          <w:rFonts w:ascii="Times New Roman" w:hAnsi="Times New Roman" w:cs="Times New Roman"/>
        </w:rPr>
      </w:pPr>
      <w:r>
        <w:rPr>
          <w:rFonts w:ascii="Times New Roman" w:hAnsi="Times New Roman" w:cs="Times New Roman"/>
          <w:b/>
          <w:bCs/>
        </w:rPr>
        <w:lastRenderedPageBreak/>
        <w:t>Keywords:</w:t>
      </w:r>
      <w:r>
        <w:rPr>
          <w:rFonts w:ascii="Times New Roman" w:hAnsi="Times New Roman" w:cs="Times New Roman"/>
        </w:rPr>
        <w:t xml:space="preserve"> Aortic Stenosis; Low-Risk Patients; </w:t>
      </w:r>
      <w:r>
        <w:rPr>
          <w:rFonts w:ascii="Times New Roman" w:hAnsi="Times New Roman" w:cs="Times New Roman"/>
        </w:rPr>
        <w:t>Meta-Analysis; Surgical Aortic Valve Replacement (SAVR); Transcatheter Aortic Valve Replacement (TAVR)</w:t>
      </w:r>
    </w:p>
    <w:p w14:paraId="19B89FD8" w14:textId="77777777" w:rsidR="00D17396" w:rsidRDefault="00D17396">
      <w:pPr>
        <w:rPr>
          <w:rFonts w:ascii="Times New Roman" w:hAnsi="Times New Roman" w:cs="Times New Roman"/>
        </w:rPr>
      </w:pPr>
    </w:p>
    <w:p w14:paraId="5AD8D458" w14:textId="77777777" w:rsidR="00D17396" w:rsidRDefault="00394D51">
      <w:pPr>
        <w:rPr>
          <w:rFonts w:ascii="Times New Roman" w:hAnsi="Times New Roman" w:cs="Times New Roman"/>
          <w:b/>
          <w:bCs/>
        </w:rPr>
      </w:pPr>
      <w:r>
        <w:rPr>
          <w:rFonts w:ascii="Times New Roman" w:hAnsi="Times New Roman" w:cs="Times New Roman"/>
          <w:b/>
          <w:bCs/>
        </w:rPr>
        <w:t>Introduction and Background</w:t>
      </w:r>
    </w:p>
    <w:p w14:paraId="4B571A9F" w14:textId="77777777" w:rsidR="00D17396" w:rsidRDefault="00394D51">
      <w:pPr>
        <w:rPr>
          <w:rFonts w:ascii="Times New Roman" w:hAnsi="Times New Roman" w:cs="Times New Roman"/>
        </w:rPr>
      </w:pPr>
      <w:r>
        <w:rPr>
          <w:rFonts w:ascii="Times New Roman" w:hAnsi="Times New Roman" w:cs="Times New Roman"/>
        </w:rPr>
        <w:t>Aortic stenosis (AS) is a progressive valvular disease with a growing burden, particularly in the aging population. It is estimated that approximately 12% of individuals over 75 are affected by AS, with severe cases present in around 3.4%—a prevalence expe</w:t>
      </w:r>
      <w:r>
        <w:rPr>
          <w:rFonts w:ascii="Times New Roman" w:hAnsi="Times New Roman" w:cs="Times New Roman"/>
        </w:rPr>
        <w:t>cted to rise as life expectancy increases [1]. Traditionally, surgical aortic valve replacement (SAVR) has been the standard treatment for severe symptomatic AS, particularly in patients considered low surgical risk. However, the emergence of transcatheter</w:t>
      </w:r>
      <w:r>
        <w:rPr>
          <w:rFonts w:ascii="Times New Roman" w:hAnsi="Times New Roman" w:cs="Times New Roman"/>
        </w:rPr>
        <w:t xml:space="preserve"> aortic valve replacement (TAVR) has revolutionized the therapeutic landscape, initially offering a viable alternative for patients deemed high or prohibitive surgical risks. Today, TAVR has become a widely adopted procedure, with over 25,000 cases perform</w:t>
      </w:r>
      <w:r>
        <w:rPr>
          <w:rFonts w:ascii="Times New Roman" w:hAnsi="Times New Roman" w:cs="Times New Roman"/>
        </w:rPr>
        <w:t>ed annually across more than 400 centers in the United States [2]. As TAVR technology has advanced and operator experience has grown, interest has shifted toward its use in lower-risk populations. Early evidence from randomized controlled trials (RCTs) has</w:t>
      </w:r>
      <w:r>
        <w:rPr>
          <w:rFonts w:ascii="Times New Roman" w:hAnsi="Times New Roman" w:cs="Times New Roman"/>
        </w:rPr>
        <w:t xml:space="preserve"> indicated promising results. The NOTION (Nordic Aortic Valve Intervention) trial, for example, found no significant differences in major clinical outcomes between TAVR and SAVR over a 5-year follow-up period in patients aged 70 years and older with lower </w:t>
      </w:r>
      <w:r>
        <w:rPr>
          <w:rFonts w:ascii="Times New Roman" w:hAnsi="Times New Roman" w:cs="Times New Roman"/>
        </w:rPr>
        <w:t>surgical risk profiles [3][4][5]. Similarly, the LRT (Low-Risk TAVR) trial, conducted under an FDA Investigational Device Exemption, demonstrated that TAVR was both safe and feasible in low-risk patients at 1 year [6][7]. More recently, two landmark RCTs c</w:t>
      </w:r>
      <w:r>
        <w:rPr>
          <w:rFonts w:ascii="Times New Roman" w:hAnsi="Times New Roman" w:cs="Times New Roman"/>
        </w:rPr>
        <w:t>onfirmed that TAVR, utilizing either balloon-expandable or self-expanding valves, was superior or non-inferior to SAVR in this population [8][9]. Despite these encouraging findings, questions remain regarding the long-term durability of transcatheter valve</w:t>
      </w:r>
      <w:r>
        <w:rPr>
          <w:rFonts w:ascii="Times New Roman" w:hAnsi="Times New Roman" w:cs="Times New Roman"/>
        </w:rPr>
        <w:t xml:space="preserve">s, consistency across device platforms, and comparative outcomes in broader clinical practice. Additionally, the variation in trial designs, including differing primary endpoints and limited power to assess individual clinical outcomes, leaves gaps in our </w:t>
      </w:r>
      <w:r>
        <w:rPr>
          <w:rFonts w:ascii="Times New Roman" w:hAnsi="Times New Roman" w:cs="Times New Roman"/>
        </w:rPr>
        <w:t xml:space="preserve">understanding. Given the growing consideration of TAVR for low-risk patients and its potential to redefine standard care, our study aims to provide a thorough systematic review and meta-analysis of RCTs comparing TAVR and SAVR in this population, focusing </w:t>
      </w:r>
      <w:r>
        <w:rPr>
          <w:rFonts w:ascii="Times New Roman" w:hAnsi="Times New Roman" w:cs="Times New Roman"/>
        </w:rPr>
        <w:t>on safety, efficacy, and future clinical implications.</w:t>
      </w:r>
    </w:p>
    <w:p w14:paraId="67A519C1" w14:textId="77777777" w:rsidR="00D17396" w:rsidRDefault="00D17396">
      <w:pPr>
        <w:rPr>
          <w:rFonts w:hAnsi="Times New Roman" w:cs="Times New Roman"/>
        </w:rPr>
      </w:pPr>
    </w:p>
    <w:p w14:paraId="43D9F2B4" w14:textId="77777777" w:rsidR="00D17396" w:rsidRDefault="00394D51">
      <w:pPr>
        <w:rPr>
          <w:rFonts w:ascii="Times New Roman" w:hAnsi="Times New Roman" w:cs="Times New Roman"/>
          <w:b/>
          <w:bCs/>
        </w:rPr>
      </w:pPr>
      <w:r>
        <w:rPr>
          <w:rFonts w:hAnsi="Times New Roman" w:cs="Times New Roman"/>
          <w:b/>
          <w:bCs/>
        </w:rPr>
        <w:t>Methods</w:t>
      </w:r>
    </w:p>
    <w:p w14:paraId="1B40CB52" w14:textId="77777777" w:rsidR="00D17396" w:rsidRDefault="00394D51">
      <w:pPr>
        <w:rPr>
          <w:rFonts w:hAnsi="Times New Roman" w:cs="Times New Roman"/>
        </w:rPr>
      </w:pPr>
      <w:r>
        <w:rPr>
          <w:rFonts w:hAnsi="Times New Roman" w:cs="Times New Roman"/>
        </w:rPr>
        <w:t>Data Sources:</w:t>
      </w:r>
    </w:p>
    <w:p w14:paraId="1FC4B9CB" w14:textId="77777777" w:rsidR="00D17396" w:rsidRDefault="00394D51">
      <w:pPr>
        <w:rPr>
          <w:rFonts w:hAnsi="Times New Roman" w:cs="Times New Roman"/>
        </w:rPr>
      </w:pPr>
      <w:r>
        <w:rPr>
          <w:rFonts w:hAnsi="Times New Roman" w:cs="Times New Roman"/>
        </w:rPr>
        <w:t>A thorough search was conducted across multiple electronic databases, including PubMed/MEDLINE (Medical Literature Analysis and Retrieval System Online), CINAHL (Cumulative Index</w:t>
      </w:r>
      <w:r>
        <w:rPr>
          <w:rFonts w:hAnsi="Times New Roman" w:cs="Times New Roman"/>
        </w:rPr>
        <w:t xml:space="preserve"> to Nursing and Allied Health Literature), Cochrane CENTRAL (Central Register </w:t>
      </w:r>
      <w:r>
        <w:rPr>
          <w:rFonts w:hAnsi="Times New Roman" w:cs="Times New Roman"/>
        </w:rPr>
        <w:lastRenderedPageBreak/>
        <w:t>of Controlled Trials), EMBASE (Excerpta Medica Database), and Web of Science, from inception through March 20, 2019. The search was limited to peer-reviewed articles published in</w:t>
      </w:r>
      <w:r>
        <w:rPr>
          <w:rFonts w:hAnsi="Times New Roman" w:cs="Times New Roman"/>
        </w:rPr>
        <w:t xml:space="preserve"> English. We used a combination of keywords and Medical Subject Headings (MeSH) terms such as </w:t>
      </w:r>
      <w:r>
        <w:rPr>
          <w:rFonts w:hAnsi="Times New Roman" w:cs="Times New Roman"/>
        </w:rPr>
        <w:t>“</w:t>
      </w:r>
      <w:r>
        <w:rPr>
          <w:rFonts w:hAnsi="Times New Roman" w:cs="Times New Roman"/>
        </w:rPr>
        <w:t>transcatheter aortic valve replacement (MeSH),</w:t>
      </w:r>
      <w:r>
        <w:rPr>
          <w:rFonts w:hAnsi="Times New Roman" w:cs="Times New Roman"/>
        </w:rPr>
        <w:t>”</w:t>
      </w:r>
      <w:r>
        <w:rPr>
          <w:rFonts w:hAnsi="Times New Roman" w:cs="Times New Roman"/>
        </w:rPr>
        <w:t xml:space="preserve"> </w:t>
      </w:r>
      <w:r>
        <w:rPr>
          <w:rFonts w:hAnsi="Times New Roman" w:cs="Times New Roman"/>
        </w:rPr>
        <w:t>“</w:t>
      </w:r>
      <w:r>
        <w:rPr>
          <w:rFonts w:hAnsi="Times New Roman" w:cs="Times New Roman"/>
        </w:rPr>
        <w:t>transcatheter aortic valve implantation,</w:t>
      </w:r>
      <w:r>
        <w:rPr>
          <w:rFonts w:hAnsi="Times New Roman" w:cs="Times New Roman"/>
        </w:rPr>
        <w:t>”</w:t>
      </w:r>
      <w:r>
        <w:rPr>
          <w:rFonts w:hAnsi="Times New Roman" w:cs="Times New Roman"/>
        </w:rPr>
        <w:t xml:space="preserve"> </w:t>
      </w:r>
      <w:r>
        <w:rPr>
          <w:rFonts w:hAnsi="Times New Roman" w:cs="Times New Roman"/>
        </w:rPr>
        <w:t>“</w:t>
      </w:r>
      <w:r>
        <w:rPr>
          <w:rFonts w:hAnsi="Times New Roman" w:cs="Times New Roman"/>
        </w:rPr>
        <w:t>TAVR,</w:t>
      </w:r>
      <w:r>
        <w:rPr>
          <w:rFonts w:hAnsi="Times New Roman" w:cs="Times New Roman"/>
        </w:rPr>
        <w:t>”</w:t>
      </w:r>
      <w:r>
        <w:rPr>
          <w:rFonts w:hAnsi="Times New Roman" w:cs="Times New Roman"/>
        </w:rPr>
        <w:t xml:space="preserve"> </w:t>
      </w:r>
      <w:r>
        <w:rPr>
          <w:rFonts w:hAnsi="Times New Roman" w:cs="Times New Roman"/>
        </w:rPr>
        <w:t>“</w:t>
      </w:r>
      <w:r>
        <w:rPr>
          <w:rFonts w:hAnsi="Times New Roman" w:cs="Times New Roman"/>
        </w:rPr>
        <w:t>TAVI,</w:t>
      </w:r>
      <w:r>
        <w:rPr>
          <w:rFonts w:hAnsi="Times New Roman" w:cs="Times New Roman"/>
        </w:rPr>
        <w:t>”</w:t>
      </w:r>
      <w:r>
        <w:rPr>
          <w:rFonts w:hAnsi="Times New Roman" w:cs="Times New Roman"/>
        </w:rPr>
        <w:t xml:space="preserve"> and </w:t>
      </w:r>
      <w:r>
        <w:rPr>
          <w:rFonts w:hAnsi="Times New Roman" w:cs="Times New Roman"/>
        </w:rPr>
        <w:t>“</w:t>
      </w:r>
      <w:r>
        <w:rPr>
          <w:rFonts w:hAnsi="Times New Roman" w:cs="Times New Roman"/>
        </w:rPr>
        <w:t>low risk</w:t>
      </w:r>
      <w:r>
        <w:rPr>
          <w:rFonts w:hAnsi="Times New Roman" w:cs="Times New Roman"/>
        </w:rPr>
        <w:t>”</w:t>
      </w:r>
      <w:r>
        <w:rPr>
          <w:rFonts w:hAnsi="Times New Roman" w:cs="Times New Roman"/>
        </w:rPr>
        <w:t xml:space="preserve"> (Table 1). In addition to the database </w:t>
      </w:r>
      <w:r>
        <w:rPr>
          <w:rFonts w:hAnsi="Times New Roman" w:cs="Times New Roman"/>
        </w:rPr>
        <w:t>search, we manually screened reference lists of relevant reviews, meta-analyses, and original articles to identify additional eligible studies.</w:t>
      </w:r>
    </w:p>
    <w:p w14:paraId="591872A4" w14:textId="77777777" w:rsidR="00D17396" w:rsidRDefault="00394D51">
      <w:pPr>
        <w:rPr>
          <w:rFonts w:hAnsi="Times New Roman" w:cs="Times New Roman"/>
        </w:rPr>
      </w:pPr>
      <w:r>
        <w:rPr>
          <w:rFonts w:hAnsi="Times New Roman" w:cs="Times New Roman"/>
        </w:rPr>
        <w:t>Study Selection:</w:t>
      </w:r>
    </w:p>
    <w:p w14:paraId="19F2EBE0" w14:textId="77777777" w:rsidR="00D17396" w:rsidRDefault="00394D51">
      <w:pPr>
        <w:rPr>
          <w:rFonts w:hAnsi="Times New Roman" w:cs="Times New Roman"/>
        </w:rPr>
      </w:pPr>
      <w:r>
        <w:rPr>
          <w:rFonts w:hAnsi="Times New Roman" w:cs="Times New Roman"/>
        </w:rPr>
        <w:t>Eligible studies were included based on the following criteria: (1) randomized controlled trial</w:t>
      </w:r>
      <w:r>
        <w:rPr>
          <w:rFonts w:hAnsi="Times New Roman" w:cs="Times New Roman"/>
        </w:rPr>
        <w:t>s (RCTs) or post hoc analyses of RCTs; (2) direct comparisons of TAVR versus SAVR; (3) enrollment of low-risk patients, defined as having a Society of Thoracic Surgeons Predicted Risk of Mortality (STS-PROM) score below 4%; and (4) reporting of 1-year clin</w:t>
      </w:r>
      <w:r>
        <w:rPr>
          <w:rFonts w:hAnsi="Times New Roman" w:cs="Times New Roman"/>
        </w:rPr>
        <w:t>ical outcomes. The study selection process adhered to the Preferred Reporting Items for Systematic Reviews and Meta-Analyses (PRISMA) guidelines [10].</w:t>
      </w:r>
    </w:p>
    <w:p w14:paraId="174FB23D" w14:textId="77777777" w:rsidR="00D17396" w:rsidRDefault="00394D51">
      <w:pPr>
        <w:rPr>
          <w:rFonts w:hAnsi="Times New Roman" w:cs="Times New Roman"/>
        </w:rPr>
      </w:pPr>
      <w:r>
        <w:rPr>
          <w:rFonts w:hAnsi="Times New Roman" w:cs="Times New Roman"/>
        </w:rPr>
        <w:t>Data Extraction and Quality Assessment:</w:t>
      </w:r>
    </w:p>
    <w:p w14:paraId="67759B09" w14:textId="77777777" w:rsidR="00D17396" w:rsidRDefault="00394D51">
      <w:pPr>
        <w:rPr>
          <w:rFonts w:hAnsi="Times New Roman" w:cs="Times New Roman"/>
        </w:rPr>
      </w:pPr>
      <w:r>
        <w:rPr>
          <w:rFonts w:hAnsi="Times New Roman" w:cs="Times New Roman"/>
        </w:rPr>
        <w:t>Two independent reviewers (C.E. and T.C.E.) screened studies, ass</w:t>
      </w:r>
      <w:r>
        <w:rPr>
          <w:rFonts w:hAnsi="Times New Roman" w:cs="Times New Roman"/>
        </w:rPr>
        <w:t>essed eligibility, and extracted data using standardized forms. Any discrepancies were resolved through discussion to achieve consensus. The extracted data included study design, baseline patient demographics, procedural characteristics, and reported outco</w:t>
      </w:r>
      <w:r>
        <w:rPr>
          <w:rFonts w:hAnsi="Times New Roman" w:cs="Times New Roman"/>
        </w:rPr>
        <w:t>mes. The methodological quality of the included trials was evaluated using the Cochrane risk-of-bias tool for randomized trials (RoB 2) [11].</w:t>
      </w:r>
    </w:p>
    <w:p w14:paraId="25C9900C" w14:textId="77777777" w:rsidR="00D17396" w:rsidRDefault="00394D51">
      <w:pPr>
        <w:rPr>
          <w:rFonts w:hAnsi="Times New Roman" w:cs="Times New Roman"/>
        </w:rPr>
      </w:pPr>
      <w:r>
        <w:rPr>
          <w:rFonts w:hAnsi="Times New Roman" w:cs="Times New Roman"/>
        </w:rPr>
        <w:t>Outcomes:</w:t>
      </w:r>
    </w:p>
    <w:p w14:paraId="40A7E5CA" w14:textId="77777777" w:rsidR="00D17396" w:rsidRDefault="00394D51">
      <w:pPr>
        <w:rPr>
          <w:rFonts w:hAnsi="Times New Roman" w:cs="Times New Roman"/>
        </w:rPr>
      </w:pPr>
      <w:r>
        <w:rPr>
          <w:rFonts w:hAnsi="Times New Roman" w:cs="Times New Roman"/>
        </w:rPr>
        <w:t>The primary outcome of interest was all-cause mortality at 1 year. Secondary outcomes included cardiovas</w:t>
      </w:r>
      <w:r>
        <w:rPr>
          <w:rFonts w:hAnsi="Times New Roman" w:cs="Times New Roman"/>
        </w:rPr>
        <w:t xml:space="preserve">cular mortality, stroke, myocardial infarction (MI), rehospitalization due to valve or heart failure, new or worsening atrial fibrillation, permanent pacemaker (PPM) implantation, major vascular complications, life-threatening or disabling bleeding, stage </w:t>
      </w:r>
      <w:r>
        <w:rPr>
          <w:rFonts w:hAnsi="Times New Roman" w:cs="Times New Roman"/>
        </w:rPr>
        <w:t xml:space="preserve">2/3 acute kidney injury (AKI), endocarditis, aortic valve reintervention, moderate or severe paravalvular leak (PVL), and New York Heart Association (NYHA) functional class </w:t>
      </w:r>
      <w:r>
        <w:rPr>
          <w:rFonts w:hAnsi="Times New Roman" w:cs="Times New Roman"/>
        </w:rPr>
        <w:t>≥</w:t>
      </w:r>
      <w:r>
        <w:rPr>
          <w:rFonts w:hAnsi="Times New Roman" w:cs="Times New Roman"/>
        </w:rPr>
        <w:t>II, all evaluated at 1-year follow-up.</w:t>
      </w:r>
    </w:p>
    <w:p w14:paraId="04275087" w14:textId="77777777" w:rsidR="00D17396" w:rsidRDefault="00394D51">
      <w:pPr>
        <w:rPr>
          <w:rFonts w:hAnsi="Times New Roman" w:cs="Times New Roman"/>
        </w:rPr>
      </w:pPr>
      <w:r>
        <w:rPr>
          <w:rFonts w:hAnsi="Times New Roman" w:cs="Times New Roman"/>
        </w:rPr>
        <w:t>Statistical Analysis:</w:t>
      </w:r>
    </w:p>
    <w:p w14:paraId="7348EBDC" w14:textId="77777777" w:rsidR="00D17396" w:rsidRDefault="00394D51">
      <w:pPr>
        <w:rPr>
          <w:rFonts w:hAnsi="Times New Roman" w:cs="Times New Roman"/>
        </w:rPr>
      </w:pPr>
      <w:r>
        <w:rPr>
          <w:rFonts w:hAnsi="Times New Roman" w:cs="Times New Roman"/>
        </w:rPr>
        <w:t>We used DerSimonian a</w:t>
      </w:r>
      <w:r>
        <w:rPr>
          <w:rFonts w:hAnsi="Times New Roman" w:cs="Times New Roman"/>
        </w:rPr>
        <w:t>nd Laird random-effects models to calculate pooled risk ratios (RRs) with corresponding 95% confidence intervals (CIs) for all outcomes of interest. Between-study heterogeneity was quantified using the Higgins I</w:t>
      </w:r>
      <w:r>
        <w:rPr>
          <w:rFonts w:hAnsi="Times New Roman" w:cs="Times New Roman"/>
        </w:rPr>
        <w:t>²</w:t>
      </w:r>
      <w:r>
        <w:rPr>
          <w:rFonts w:hAnsi="Times New Roman" w:cs="Times New Roman"/>
        </w:rPr>
        <w:t xml:space="preserve"> statistic, with values below 25% indicating</w:t>
      </w:r>
      <w:r>
        <w:rPr>
          <w:rFonts w:hAnsi="Times New Roman" w:cs="Times New Roman"/>
        </w:rPr>
        <w:t xml:space="preserve"> low heterogeneity and those above 75% suggesting high heterogeneity. Potential publication bias was evaluated visually via funnel plot asymmetry and formally with Egger's regression test. To </w:t>
      </w:r>
      <w:r>
        <w:rPr>
          <w:rFonts w:hAnsi="Times New Roman" w:cs="Times New Roman"/>
        </w:rPr>
        <w:lastRenderedPageBreak/>
        <w:t>assess the robustness of our findings, sensitivity analyses were</w:t>
      </w:r>
      <w:r>
        <w:rPr>
          <w:rFonts w:hAnsi="Times New Roman" w:cs="Times New Roman"/>
        </w:rPr>
        <w:t xml:space="preserve"> performed using fixed-effect models and excluding the post hoc analysis of the SURTAVI (Surgical Replacement and Transcatheter Aortic Valve Implantation) trial. All statistical tests were two-sided, with a significance threshold of p &lt; 0.05. Data analyses</w:t>
      </w:r>
      <w:r>
        <w:rPr>
          <w:rFonts w:hAnsi="Times New Roman" w:cs="Times New Roman"/>
        </w:rPr>
        <w:t xml:space="preserve"> were conducted using Review Manager version 5.3 (The Nordic Cochrane Center, The Cochrane Collaboration, Copenhagen, Denmark) and Meta-Essentials version 1.4 [12].</w:t>
      </w:r>
    </w:p>
    <w:p w14:paraId="4F8D4631" w14:textId="77777777" w:rsidR="00D17396" w:rsidRDefault="00D17396">
      <w:pPr>
        <w:rPr>
          <w:rFonts w:ascii="Times New Roman" w:hAnsi="Times New Roman" w:cs="Times New Roman"/>
        </w:rPr>
      </w:pPr>
    </w:p>
    <w:p w14:paraId="79CA9599" w14:textId="77777777" w:rsidR="00D17396" w:rsidRDefault="00D17396">
      <w:pPr>
        <w:rPr>
          <w:rFonts w:ascii="Times New Roman" w:hAnsi="Times New Roman" w:cs="Times New Roman"/>
        </w:rPr>
      </w:pPr>
    </w:p>
    <w:p w14:paraId="6BD9F994" w14:textId="77777777" w:rsidR="00D17396" w:rsidRDefault="00394D51">
      <w:pPr>
        <w:rPr>
          <w:rFonts w:ascii="Times New Roman" w:hAnsi="Times New Roman" w:cs="Times New Roman"/>
        </w:rPr>
      </w:pPr>
      <w:r>
        <w:rPr>
          <w:rFonts w:ascii="Times New Roman" w:hAnsi="Times New Roman" w:cs="Times New Roman"/>
          <w:b/>
          <w:bCs/>
        </w:rPr>
        <w:t>Results</w:t>
      </w:r>
    </w:p>
    <w:p w14:paraId="24488B4B" w14:textId="77777777" w:rsidR="00D17396" w:rsidRDefault="00394D51">
      <w:pPr>
        <w:rPr>
          <w:rFonts w:hAnsi="Times New Roman" w:cs="Times New Roman"/>
        </w:rPr>
      </w:pPr>
      <w:r>
        <w:rPr>
          <w:rFonts w:hAnsi="Times New Roman" w:cs="Times New Roman"/>
        </w:rPr>
        <w:t>A total of 578 articles were initially identified through database searches. Afte</w:t>
      </w:r>
      <w:r>
        <w:rPr>
          <w:rFonts w:hAnsi="Times New Roman" w:cs="Times New Roman"/>
        </w:rPr>
        <w:t>r removing duplicates, 488 articles underwent title and abstract screening. Of these, 479 were excluded for review articles, meta-analyses, observational studies, or involving mixed-risk patient populations. Ultimately, nine full-text articles were assesse</w:t>
      </w:r>
      <w:r>
        <w:rPr>
          <w:rFonts w:hAnsi="Times New Roman" w:cs="Times New Roman"/>
        </w:rPr>
        <w:t>d for eligibility (Figure 1), with four studies meeting the inclusion criteria for this meta-analysis [3][8][9][13]. Detailed characteristics of these studies are presented in Table 2. Among the included studies, three were randomized controlled trials (RC</w:t>
      </w:r>
      <w:r>
        <w:rPr>
          <w:rFonts w:hAnsi="Times New Roman" w:cs="Times New Roman"/>
        </w:rPr>
        <w:t>Ts), while one was a post hoc analysis of an RCT. These studies encompassed 2,887 patients</w:t>
      </w:r>
      <w:r>
        <w:rPr>
          <w:rFonts w:hAnsi="Times New Roman" w:cs="Times New Roman"/>
        </w:rPr>
        <w:t>—</w:t>
      </w:r>
      <w:r>
        <w:rPr>
          <w:rFonts w:hAnsi="Times New Roman" w:cs="Times New Roman"/>
        </w:rPr>
        <w:t>1,497 assigned to TAVR and 1,390 to SAVR.</w:t>
      </w:r>
    </w:p>
    <w:p w14:paraId="0E147EB6" w14:textId="77777777" w:rsidR="00D17396" w:rsidRDefault="00394D51">
      <w:pPr>
        <w:rPr>
          <w:rFonts w:hAnsi="Times New Roman" w:cs="Times New Roman"/>
        </w:rPr>
      </w:pPr>
      <w:r>
        <w:rPr>
          <w:rFonts w:hAnsi="Times New Roman" w:cs="Times New Roman"/>
        </w:rPr>
        <w:t>Across the TAVR cohort, self-expanding valves were utilized in 1,001 patients (66.9%), while balloon-expandable valves were</w:t>
      </w:r>
      <w:r>
        <w:rPr>
          <w:rFonts w:hAnsi="Times New Roman" w:cs="Times New Roman"/>
        </w:rPr>
        <w:t xml:space="preserve"> used in 496 patients (33.1%). Risk-of-bias evaluation indicated a "low risk" in three studies, with "some concerns" noted for the post hoc analysis (Table 3). The baseline demographic and procedural characteristics of the included patients are summarized </w:t>
      </w:r>
      <w:r>
        <w:rPr>
          <w:rFonts w:hAnsi="Times New Roman" w:cs="Times New Roman"/>
        </w:rPr>
        <w:t>in Table 4. The average patient age was 75.4 years, with male participants comprising 53.2% and 69.3% of the study population. The mean STS-PROM score across studies was 2.3%.</w:t>
      </w:r>
    </w:p>
    <w:p w14:paraId="434DC404" w14:textId="77777777" w:rsidR="00D17396" w:rsidRDefault="00394D51">
      <w:pPr>
        <w:rPr>
          <w:rFonts w:hAnsi="Times New Roman" w:cs="Times New Roman"/>
        </w:rPr>
      </w:pPr>
      <w:r>
        <w:rPr>
          <w:rFonts w:hAnsi="Times New Roman" w:cs="Times New Roman"/>
        </w:rPr>
        <w:t xml:space="preserve">In patients with severe AS deemed low-risk, TAVR significantly reduced the risk </w:t>
      </w:r>
      <w:r>
        <w:rPr>
          <w:rFonts w:hAnsi="Times New Roman" w:cs="Times New Roman"/>
        </w:rPr>
        <w:t>of all-cause mortality at 1 year compared with SAVR (2.1% vs. 3.5%; RR: 0.61; 95% CI: 0.39</w:t>
      </w:r>
      <w:r>
        <w:rPr>
          <w:rFonts w:hAnsi="Times New Roman" w:cs="Times New Roman"/>
        </w:rPr>
        <w:t>–</w:t>
      </w:r>
      <w:r>
        <w:rPr>
          <w:rFonts w:hAnsi="Times New Roman" w:cs="Times New Roman"/>
        </w:rPr>
        <w:t>0.96; p = 0.03; I</w:t>
      </w:r>
      <w:r>
        <w:rPr>
          <w:rFonts w:hAnsi="Times New Roman" w:cs="Times New Roman"/>
        </w:rPr>
        <w:t>²</w:t>
      </w:r>
      <w:r>
        <w:rPr>
          <w:rFonts w:hAnsi="Times New Roman" w:cs="Times New Roman"/>
        </w:rPr>
        <w:t xml:space="preserve"> = 0%) (Central Illustration [Figure 2]). Furthermore, TAVR was associated with a lower risk of cardiovascular death (1.6% vs. 2.9%; RR: 0.55; 95% </w:t>
      </w:r>
      <w:r>
        <w:rPr>
          <w:rFonts w:hAnsi="Times New Roman" w:cs="Times New Roman"/>
        </w:rPr>
        <w:t>CI: 0.33</w:t>
      </w:r>
      <w:r>
        <w:rPr>
          <w:rFonts w:hAnsi="Times New Roman" w:cs="Times New Roman"/>
        </w:rPr>
        <w:t>–</w:t>
      </w:r>
      <w:r>
        <w:rPr>
          <w:rFonts w:hAnsi="Times New Roman" w:cs="Times New Roman"/>
        </w:rPr>
        <w:t>0.90; p = 0.02; I</w:t>
      </w:r>
      <w:r>
        <w:rPr>
          <w:rFonts w:hAnsi="Times New Roman" w:cs="Times New Roman"/>
        </w:rPr>
        <w:t>²</w:t>
      </w:r>
      <w:r>
        <w:rPr>
          <w:rFonts w:hAnsi="Times New Roman" w:cs="Times New Roman"/>
        </w:rPr>
        <w:t xml:space="preserve"> = 0%). However, no significant differences were observed between TAVR and SAVR for stroke (3.0% vs. 4.2%; RR: 0.68; 95% CI: 0.43</w:t>
      </w:r>
      <w:r>
        <w:rPr>
          <w:rFonts w:hAnsi="Times New Roman" w:cs="Times New Roman"/>
        </w:rPr>
        <w:t>–</w:t>
      </w:r>
      <w:r>
        <w:rPr>
          <w:rFonts w:hAnsi="Times New Roman" w:cs="Times New Roman"/>
        </w:rPr>
        <w:t>1.07; p = 0.10; I</w:t>
      </w:r>
      <w:r>
        <w:rPr>
          <w:rFonts w:hAnsi="Times New Roman" w:cs="Times New Roman"/>
        </w:rPr>
        <w:t>²</w:t>
      </w:r>
      <w:r>
        <w:rPr>
          <w:rFonts w:hAnsi="Times New Roman" w:cs="Times New Roman"/>
        </w:rPr>
        <w:t xml:space="preserve"> = 17%), myocardial infarction (1.7% vs. 2.1%; RR: 0.78; 95% CI: 0.46</w:t>
      </w:r>
      <w:r>
        <w:rPr>
          <w:rFonts w:hAnsi="Times New Roman" w:cs="Times New Roman"/>
        </w:rPr>
        <w:t>–</w:t>
      </w:r>
      <w:r>
        <w:rPr>
          <w:rFonts w:hAnsi="Times New Roman" w:cs="Times New Roman"/>
        </w:rPr>
        <w:t>1.34; p = 0</w:t>
      </w:r>
      <w:r>
        <w:rPr>
          <w:rFonts w:hAnsi="Times New Roman" w:cs="Times New Roman"/>
        </w:rPr>
        <w:t>.37; I</w:t>
      </w:r>
      <w:r>
        <w:rPr>
          <w:rFonts w:hAnsi="Times New Roman" w:cs="Times New Roman"/>
        </w:rPr>
        <w:t>²</w:t>
      </w:r>
      <w:r>
        <w:rPr>
          <w:rFonts w:hAnsi="Times New Roman" w:cs="Times New Roman"/>
        </w:rPr>
        <w:t xml:space="preserve"> = 0%), or valve/heart failure-related rehospitalizations (5.2% vs. 7.9%; RR: 0.72; 95% CI: 0.42</w:t>
      </w:r>
      <w:r>
        <w:rPr>
          <w:rFonts w:hAnsi="Times New Roman" w:cs="Times New Roman"/>
        </w:rPr>
        <w:t>–</w:t>
      </w:r>
      <w:r>
        <w:rPr>
          <w:rFonts w:hAnsi="Times New Roman" w:cs="Times New Roman"/>
        </w:rPr>
        <w:t>1.23; p = 0.23; I</w:t>
      </w:r>
      <w:r>
        <w:rPr>
          <w:rFonts w:hAnsi="Times New Roman" w:cs="Times New Roman"/>
        </w:rPr>
        <w:t>²</w:t>
      </w:r>
      <w:r>
        <w:rPr>
          <w:rFonts w:hAnsi="Times New Roman" w:cs="Times New Roman"/>
        </w:rPr>
        <w:t xml:space="preserve"> = 62%) (Figure 3).</w:t>
      </w:r>
    </w:p>
    <w:p w14:paraId="19659443" w14:textId="77777777" w:rsidR="00D17396" w:rsidRDefault="00394D51">
      <w:pPr>
        <w:rPr>
          <w:rFonts w:hAnsi="Times New Roman" w:cs="Times New Roman"/>
        </w:rPr>
      </w:pPr>
      <w:r>
        <w:rPr>
          <w:rFonts w:hAnsi="Times New Roman" w:cs="Times New Roman"/>
        </w:rPr>
        <w:t xml:space="preserve">TAVR demonstrated notable advantages over SAVR in reducing new or worsening atrial fibrillation (10.0% vs. 39.4%; </w:t>
      </w:r>
      <w:r>
        <w:rPr>
          <w:rFonts w:hAnsi="Times New Roman" w:cs="Times New Roman"/>
        </w:rPr>
        <w:t>RR: 0.27; 95% CI: 0.20</w:t>
      </w:r>
      <w:r>
        <w:rPr>
          <w:rFonts w:hAnsi="Times New Roman" w:cs="Times New Roman"/>
        </w:rPr>
        <w:t>–</w:t>
      </w:r>
      <w:r>
        <w:rPr>
          <w:rFonts w:hAnsi="Times New Roman" w:cs="Times New Roman"/>
        </w:rPr>
        <w:t>0.32; p &lt; 0.001; I</w:t>
      </w:r>
      <w:r>
        <w:rPr>
          <w:rFonts w:hAnsi="Times New Roman" w:cs="Times New Roman"/>
        </w:rPr>
        <w:t>²</w:t>
      </w:r>
      <w:r>
        <w:rPr>
          <w:rFonts w:hAnsi="Times New Roman" w:cs="Times New Roman"/>
        </w:rPr>
        <w:t xml:space="preserve"> = 63%), life-threatening or disabling bleeding (3.9% vs. 11.2%; RR: 0.37; 95% CI: 0.24</w:t>
      </w:r>
      <w:r>
        <w:rPr>
          <w:rFonts w:hAnsi="Times New Roman" w:cs="Times New Roman"/>
        </w:rPr>
        <w:t>–</w:t>
      </w:r>
      <w:r>
        <w:rPr>
          <w:rFonts w:hAnsi="Times New Roman" w:cs="Times New Roman"/>
        </w:rPr>
        <w:t>0.55; p &lt; 0.001; I</w:t>
      </w:r>
      <w:r>
        <w:rPr>
          <w:rFonts w:hAnsi="Times New Roman" w:cs="Times New Roman"/>
        </w:rPr>
        <w:t>²</w:t>
      </w:r>
      <w:r>
        <w:rPr>
          <w:rFonts w:hAnsi="Times New Roman" w:cs="Times New Roman"/>
        </w:rPr>
        <w:t xml:space="preserve"> = 42%), and stage 2/3 acute kidney injury (0.7% vs. 2.9%; RR: 0.26; 95% CI: 0.13</w:t>
      </w:r>
      <w:r>
        <w:rPr>
          <w:rFonts w:hAnsi="Times New Roman" w:cs="Times New Roman"/>
        </w:rPr>
        <w:t>–</w:t>
      </w:r>
      <w:r>
        <w:rPr>
          <w:rFonts w:hAnsi="Times New Roman" w:cs="Times New Roman"/>
        </w:rPr>
        <w:t>0.52; p &lt; 0.001; I</w:t>
      </w:r>
      <w:r>
        <w:rPr>
          <w:rFonts w:hAnsi="Times New Roman" w:cs="Times New Roman"/>
        </w:rPr>
        <w:t>²</w:t>
      </w:r>
      <w:r>
        <w:rPr>
          <w:rFonts w:hAnsi="Times New Roman" w:cs="Times New Roman"/>
        </w:rPr>
        <w:t xml:space="preserve"> = 0%)</w:t>
      </w:r>
      <w:r>
        <w:rPr>
          <w:rFonts w:hAnsi="Times New Roman" w:cs="Times New Roman"/>
        </w:rPr>
        <w:t xml:space="preserve">. </w:t>
      </w:r>
      <w:r>
        <w:rPr>
          <w:rFonts w:hAnsi="Times New Roman" w:cs="Times New Roman"/>
        </w:rPr>
        <w:lastRenderedPageBreak/>
        <w:t>Conversely, higher rates of permanent pacemaker implantation (17.4% vs. 5.5%; RR: 3.85; 95% CI: 1.73</w:t>
      </w:r>
      <w:r>
        <w:rPr>
          <w:rFonts w:hAnsi="Times New Roman" w:cs="Times New Roman"/>
        </w:rPr>
        <w:t>–</w:t>
      </w:r>
      <w:r>
        <w:rPr>
          <w:rFonts w:hAnsi="Times New Roman" w:cs="Times New Roman"/>
        </w:rPr>
        <w:t>8.58; p = 0.001; I</w:t>
      </w:r>
      <w:r>
        <w:rPr>
          <w:rFonts w:hAnsi="Times New Roman" w:cs="Times New Roman"/>
        </w:rPr>
        <w:t>²</w:t>
      </w:r>
      <w:r>
        <w:rPr>
          <w:rFonts w:hAnsi="Times New Roman" w:cs="Times New Roman"/>
        </w:rPr>
        <w:t xml:space="preserve"> = 85%) and moderate-to-severe paravalvular leak (3.6% vs. 1.7%; RR: 2.16; 95% CI: 1.03</w:t>
      </w:r>
      <w:r>
        <w:rPr>
          <w:rFonts w:hAnsi="Times New Roman" w:cs="Times New Roman"/>
        </w:rPr>
        <w:t>–</w:t>
      </w:r>
      <w:r>
        <w:rPr>
          <w:rFonts w:hAnsi="Times New Roman" w:cs="Times New Roman"/>
        </w:rPr>
        <w:t>4.54; p = 0.04; I</w:t>
      </w:r>
      <w:r>
        <w:rPr>
          <w:rFonts w:hAnsi="Times New Roman" w:cs="Times New Roman"/>
        </w:rPr>
        <w:t>²</w:t>
      </w:r>
      <w:r>
        <w:rPr>
          <w:rFonts w:hAnsi="Times New Roman" w:cs="Times New Roman"/>
        </w:rPr>
        <w:t xml:space="preserve"> = 18%) were observed with T</w:t>
      </w:r>
      <w:r>
        <w:rPr>
          <w:rFonts w:hAnsi="Times New Roman" w:cs="Times New Roman"/>
        </w:rPr>
        <w:t>AVR.</w:t>
      </w:r>
    </w:p>
    <w:p w14:paraId="68F59AC4" w14:textId="77777777" w:rsidR="00D17396" w:rsidRDefault="00394D51">
      <w:pPr>
        <w:rPr>
          <w:rFonts w:hAnsi="Times New Roman" w:cs="Times New Roman"/>
        </w:rPr>
      </w:pPr>
      <w:r>
        <w:rPr>
          <w:rFonts w:hAnsi="Times New Roman" w:cs="Times New Roman"/>
        </w:rPr>
        <w:t>No significant differences emerged between TAVR and SAVR in the incidence of major vascular complications (3.6% vs. 2.4%; RR: 1.66; 95% CI: 0.89</w:t>
      </w:r>
      <w:r>
        <w:rPr>
          <w:rFonts w:hAnsi="Times New Roman" w:cs="Times New Roman"/>
        </w:rPr>
        <w:t>–</w:t>
      </w:r>
      <w:r>
        <w:rPr>
          <w:rFonts w:hAnsi="Times New Roman" w:cs="Times New Roman"/>
        </w:rPr>
        <w:t>3.11; p = 0.11; I</w:t>
      </w:r>
      <w:r>
        <w:rPr>
          <w:rFonts w:hAnsi="Times New Roman" w:cs="Times New Roman"/>
        </w:rPr>
        <w:t>²</w:t>
      </w:r>
      <w:r>
        <w:rPr>
          <w:rFonts w:hAnsi="Times New Roman" w:cs="Times New Roman"/>
        </w:rPr>
        <w:t xml:space="preserve"> = 30%), endocarditis (0.4% vs. 0.6%; RR: 0.73; 95% CI: 0.24</w:t>
      </w:r>
      <w:r>
        <w:rPr>
          <w:rFonts w:hAnsi="Times New Roman" w:cs="Times New Roman"/>
        </w:rPr>
        <w:t>–</w:t>
      </w:r>
      <w:r>
        <w:rPr>
          <w:rFonts w:hAnsi="Times New Roman" w:cs="Times New Roman"/>
        </w:rPr>
        <w:t>2.20; p = 0.58; I</w:t>
      </w:r>
      <w:r>
        <w:rPr>
          <w:rFonts w:hAnsi="Times New Roman" w:cs="Times New Roman"/>
        </w:rPr>
        <w:t>²</w:t>
      </w:r>
      <w:r>
        <w:rPr>
          <w:rFonts w:hAnsi="Times New Roman" w:cs="Times New Roman"/>
        </w:rPr>
        <w:t xml:space="preserve"> = 0%), a</w:t>
      </w:r>
      <w:r>
        <w:rPr>
          <w:rFonts w:hAnsi="Times New Roman" w:cs="Times New Roman"/>
        </w:rPr>
        <w:t>ortic valve reintervention (1.1% vs. 0.6%; RR: 0.75; 95% CI: 0.67</w:t>
      </w:r>
      <w:r>
        <w:rPr>
          <w:rFonts w:hAnsi="Times New Roman" w:cs="Times New Roman"/>
        </w:rPr>
        <w:t>–</w:t>
      </w:r>
      <w:r>
        <w:rPr>
          <w:rFonts w:hAnsi="Times New Roman" w:cs="Times New Roman"/>
        </w:rPr>
        <w:t>4.59; p = 0.25; I</w:t>
      </w:r>
      <w:r>
        <w:rPr>
          <w:rFonts w:hAnsi="Times New Roman" w:cs="Times New Roman"/>
        </w:rPr>
        <w:t>²</w:t>
      </w:r>
      <w:r>
        <w:rPr>
          <w:rFonts w:hAnsi="Times New Roman" w:cs="Times New Roman"/>
        </w:rPr>
        <w:t xml:space="preserve"> = 3%), or NYHA functional class </w:t>
      </w:r>
      <w:r>
        <w:rPr>
          <w:rFonts w:hAnsi="Times New Roman" w:cs="Times New Roman"/>
        </w:rPr>
        <w:t>≥</w:t>
      </w:r>
      <w:r>
        <w:rPr>
          <w:rFonts w:hAnsi="Times New Roman" w:cs="Times New Roman"/>
        </w:rPr>
        <w:t>II (21.2% vs. 17.6%; RR: 1.24; 95% CI: 0.96</w:t>
      </w:r>
      <w:r>
        <w:rPr>
          <w:rFonts w:hAnsi="Times New Roman" w:cs="Times New Roman"/>
        </w:rPr>
        <w:t>–</w:t>
      </w:r>
      <w:r>
        <w:rPr>
          <w:rFonts w:hAnsi="Times New Roman" w:cs="Times New Roman"/>
        </w:rPr>
        <w:t>1.61; p = 0.11; I</w:t>
      </w:r>
      <w:r>
        <w:rPr>
          <w:rFonts w:hAnsi="Times New Roman" w:cs="Times New Roman"/>
        </w:rPr>
        <w:t>²</w:t>
      </w:r>
      <w:r>
        <w:rPr>
          <w:rFonts w:hAnsi="Times New Roman" w:cs="Times New Roman"/>
        </w:rPr>
        <w:t xml:space="preserve"> = 45%) (Figure 4).</w:t>
      </w:r>
    </w:p>
    <w:p w14:paraId="313F3589" w14:textId="77777777" w:rsidR="00D17396" w:rsidRDefault="00394D51">
      <w:pPr>
        <w:rPr>
          <w:rFonts w:hAnsi="Times New Roman" w:cs="Times New Roman"/>
        </w:rPr>
      </w:pPr>
      <w:r>
        <w:rPr>
          <w:rFonts w:hAnsi="Times New Roman" w:cs="Times New Roman"/>
        </w:rPr>
        <w:t xml:space="preserve">Visual assessment of funnel plots suggested some </w:t>
      </w:r>
      <w:r>
        <w:rPr>
          <w:rFonts w:hAnsi="Times New Roman" w:cs="Times New Roman"/>
        </w:rPr>
        <w:t>asymmetry, indicating the potential for publication bias. However, Egger</w:t>
      </w:r>
      <w:r>
        <w:rPr>
          <w:rFonts w:hAnsi="Times New Roman" w:cs="Times New Roman"/>
        </w:rPr>
        <w:t>’</w:t>
      </w:r>
      <w:r>
        <w:rPr>
          <w:rFonts w:hAnsi="Times New Roman" w:cs="Times New Roman"/>
        </w:rPr>
        <w:t>s regression test did not find evidence of publication bias across most outcomes, except for major vascular complications (p = 0.025) (Figure 5).</w:t>
      </w:r>
    </w:p>
    <w:p w14:paraId="60F58490" w14:textId="77777777" w:rsidR="00D17396" w:rsidRDefault="00394D51">
      <w:pPr>
        <w:rPr>
          <w:rFonts w:hAnsi="Times New Roman" w:cs="Times New Roman"/>
        </w:rPr>
      </w:pPr>
      <w:r>
        <w:rPr>
          <w:rFonts w:hAnsi="Times New Roman" w:cs="Times New Roman"/>
        </w:rPr>
        <w:t>Sensitivity analyses using fixed-effe</w:t>
      </w:r>
      <w:r>
        <w:rPr>
          <w:rFonts w:hAnsi="Times New Roman" w:cs="Times New Roman"/>
        </w:rPr>
        <w:t>cts models yielded consistent results (Table 5). When excluding the post hoc analysis from the SURTAVI trial, results remained largely similar, though the reduction in all-cause mortality lost statistical significance (RR: 0.66; 95% CI: 0.41</w:t>
      </w:r>
      <w:r>
        <w:rPr>
          <w:rFonts w:hAnsi="Times New Roman" w:cs="Times New Roman"/>
        </w:rPr>
        <w:t>–</w:t>
      </w:r>
      <w:r>
        <w:rPr>
          <w:rFonts w:hAnsi="Times New Roman" w:cs="Times New Roman"/>
        </w:rPr>
        <w:t>1.06; p = 0.09</w:t>
      </w:r>
      <w:r>
        <w:rPr>
          <w:rFonts w:hAnsi="Times New Roman" w:cs="Times New Roman"/>
        </w:rPr>
        <w:t>; I</w:t>
      </w:r>
      <w:r>
        <w:rPr>
          <w:rFonts w:hAnsi="Times New Roman" w:cs="Times New Roman"/>
        </w:rPr>
        <w:t>²</w:t>
      </w:r>
      <w:r>
        <w:rPr>
          <w:rFonts w:hAnsi="Times New Roman" w:cs="Times New Roman"/>
        </w:rPr>
        <w:t xml:space="preserve"> = 0%). Interestingly, valve/heart failure rehospitalization became significantly lower with TAVR compared to SAVR in this subset (RR: 0.59; 95% CI: 0.43</w:t>
      </w:r>
      <w:r>
        <w:rPr>
          <w:rFonts w:hAnsi="Times New Roman" w:cs="Times New Roman"/>
        </w:rPr>
        <w:t>–</w:t>
      </w:r>
      <w:r>
        <w:rPr>
          <w:rFonts w:hAnsi="Times New Roman" w:cs="Times New Roman"/>
        </w:rPr>
        <w:t>0.81; p = 0.001; I</w:t>
      </w:r>
      <w:r>
        <w:rPr>
          <w:rFonts w:hAnsi="Times New Roman" w:cs="Times New Roman"/>
        </w:rPr>
        <w:t>²</w:t>
      </w:r>
      <w:r>
        <w:rPr>
          <w:rFonts w:hAnsi="Times New Roman" w:cs="Times New Roman"/>
        </w:rPr>
        <w:t xml:space="preserve"> = 0%) (Table 6).</w:t>
      </w:r>
    </w:p>
    <w:p w14:paraId="45EB6034" w14:textId="77777777" w:rsidR="00D17396" w:rsidRDefault="00D17396">
      <w:pPr>
        <w:rPr>
          <w:rFonts w:ascii="Times New Roman" w:hAnsi="Times New Roman" w:cs="Times New Roman"/>
        </w:rPr>
      </w:pPr>
    </w:p>
    <w:p w14:paraId="71D68733" w14:textId="77777777" w:rsidR="00D17396" w:rsidRDefault="00D17396">
      <w:pPr>
        <w:rPr>
          <w:rFonts w:hAnsi="Times New Roman" w:cs="Times New Roman"/>
          <w:b/>
          <w:bCs/>
        </w:rPr>
      </w:pPr>
    </w:p>
    <w:p w14:paraId="4E0DA756" w14:textId="77777777" w:rsidR="00D17396" w:rsidRDefault="00394D51">
      <w:pPr>
        <w:rPr>
          <w:rFonts w:ascii="Times New Roman" w:hAnsi="Times New Roman" w:cs="Times New Roman"/>
        </w:rPr>
      </w:pPr>
      <w:r>
        <w:rPr>
          <w:rFonts w:hAnsi="Times New Roman" w:cs="Times New Roman"/>
          <w:b/>
          <w:bCs/>
        </w:rPr>
        <w:t>Discussion</w:t>
      </w:r>
    </w:p>
    <w:p w14:paraId="7CD97929" w14:textId="77777777" w:rsidR="00D17396" w:rsidRDefault="00394D51">
      <w:pPr>
        <w:rPr>
          <w:rFonts w:ascii="Times New Roman" w:hAnsi="Times New Roman" w:cs="Times New Roman"/>
        </w:rPr>
      </w:pPr>
      <w:r>
        <w:rPr>
          <w:rFonts w:ascii="Times New Roman" w:hAnsi="Times New Roman" w:cs="Times New Roman"/>
        </w:rPr>
        <w:t>Our meta-analysis of randomized controlled trial</w:t>
      </w:r>
      <w:r>
        <w:rPr>
          <w:rFonts w:ascii="Times New Roman" w:hAnsi="Times New Roman" w:cs="Times New Roman"/>
        </w:rPr>
        <w:t>s (RCTs) evaluating transcatheter aortic valve replacement (TAVR) versus surgical aortic valve replacement (SAVR) in low-risk patients with severe aortic stenosis (AS) demonstrates a significant reduction in both all-cause and cardiovascular mortality at o</w:t>
      </w:r>
      <w:r>
        <w:rPr>
          <w:rFonts w:ascii="Times New Roman" w:hAnsi="Times New Roman" w:cs="Times New Roman"/>
        </w:rPr>
        <w:t>ne year with TAVR. Additionally, TAVR was associated with decreased incidences of new or worsening atrial fibrillation, life-threatening or disabling bleeding, and stage 2/3 acute kidney injury (AKI) when compared to SAVR. Stroke, myocardial infarction (MI</w:t>
      </w:r>
      <w:r>
        <w:rPr>
          <w:rFonts w:ascii="Times New Roman" w:hAnsi="Times New Roman" w:cs="Times New Roman"/>
        </w:rPr>
        <w:t>), heart failure rehospitalization, major vascular complications, endocarditis, aortic valve reintervention, and New York Heart Association (NYHA) functional class ≥II showed no significant differences between the two interventions. However, higher rates o</w:t>
      </w:r>
      <w:r>
        <w:rPr>
          <w:rFonts w:ascii="Times New Roman" w:hAnsi="Times New Roman" w:cs="Times New Roman"/>
        </w:rPr>
        <w:t>f permanent pacemaker (PPM) implantation and moderate to severe paravalvular leak (PVL) were noted following TAVR. This represents the first comprehensive meta-analysis focused exclusively on RCTs comparing these procedures in a low-risk population.</w:t>
      </w:r>
    </w:p>
    <w:p w14:paraId="3E0A21D1" w14:textId="77777777" w:rsidR="00D17396" w:rsidRDefault="00394D51">
      <w:pPr>
        <w:rPr>
          <w:rFonts w:ascii="Times New Roman" w:hAnsi="Times New Roman" w:cs="Times New Roman"/>
        </w:rPr>
      </w:pPr>
      <w:r>
        <w:rPr>
          <w:rFonts w:ascii="Times New Roman" w:hAnsi="Times New Roman" w:cs="Times New Roman"/>
        </w:rPr>
        <w:t xml:space="preserve">Since </w:t>
      </w:r>
      <w:r>
        <w:rPr>
          <w:rFonts w:ascii="Times New Roman" w:hAnsi="Times New Roman" w:cs="Times New Roman"/>
        </w:rPr>
        <w:t>its initial FDA approval in 2011 for inoperable patients, the application of TAVR has rapidly expanded to include individuals at high and intermediate surgical risk. Yet, among low-risk patients and younger cohorts, SAVR has traditionally remained the stan</w:t>
      </w:r>
      <w:r>
        <w:rPr>
          <w:rFonts w:ascii="Times New Roman" w:hAnsi="Times New Roman" w:cs="Times New Roman"/>
        </w:rPr>
        <w:t xml:space="preserve">dard of care [14]. Prior observational studies exploring TAVR in low-risk populations have yielded inconsistent </w:t>
      </w:r>
      <w:r>
        <w:rPr>
          <w:rFonts w:ascii="Times New Roman" w:hAnsi="Times New Roman" w:cs="Times New Roman"/>
        </w:rPr>
        <w:lastRenderedPageBreak/>
        <w:t>results [15][16][17]. The landmark NOTION trial first indicated that, in patients over 70 years old with predominantly low STS-PROM scores (&lt;4%)</w:t>
      </w:r>
      <w:r>
        <w:rPr>
          <w:rFonts w:ascii="Times New Roman" w:hAnsi="Times New Roman" w:cs="Times New Roman"/>
        </w:rPr>
        <w:t>, TAVR was non-inferior to SAVR for the composite outcome of death, MI, or stroke at one year, with these findings sustained over a five-year follow-up [3][4][5]. More recently, pivotal trials such as PARTNER 3 and Evolut Low Risk established the noninferi</w:t>
      </w:r>
      <w:r>
        <w:rPr>
          <w:rFonts w:ascii="Times New Roman" w:hAnsi="Times New Roman" w:cs="Times New Roman"/>
        </w:rPr>
        <w:t xml:space="preserve">ority—and, in some endpoints, superiority—of TAVR compared to SAVR in low-risk individuals [8][9]. However, it is essential to recognize that these studies utilized varying composite endpoints and were not specifically powered to detect differences in the </w:t>
      </w:r>
      <w:r>
        <w:rPr>
          <w:rFonts w:ascii="Times New Roman" w:hAnsi="Times New Roman" w:cs="Times New Roman"/>
        </w:rPr>
        <w:t>individual components of these outcomes.</w:t>
      </w:r>
    </w:p>
    <w:p w14:paraId="25C0156F" w14:textId="77777777" w:rsidR="00D17396" w:rsidRDefault="00394D51">
      <w:pPr>
        <w:rPr>
          <w:rFonts w:ascii="Times New Roman" w:hAnsi="Times New Roman" w:cs="Times New Roman"/>
        </w:rPr>
      </w:pPr>
      <w:r>
        <w:rPr>
          <w:rFonts w:ascii="Times New Roman" w:hAnsi="Times New Roman" w:cs="Times New Roman"/>
        </w:rPr>
        <w:t>In this meta-analysis concentrating on discrete endpoints, TAVR demonstrated a 39% relative risk reduction for all-cause mortality and a 45% reduction for cardiovascular mortality compared to SAVR in low-risk patien</w:t>
      </w:r>
      <w:r>
        <w:rPr>
          <w:rFonts w:ascii="Times New Roman" w:hAnsi="Times New Roman" w:cs="Times New Roman"/>
        </w:rPr>
        <w:t>ts with severe AS. While sensitivity analysis excluding the post hoc SURTAVI data rendered all-cause mortality statistically nonsignificant (p = 0.09), the relative risk remained favorable toward TAVR (RR: 0.66), suggesting that insufficient power rather t</w:t>
      </w:r>
      <w:r>
        <w:rPr>
          <w:rFonts w:ascii="Times New Roman" w:hAnsi="Times New Roman" w:cs="Times New Roman"/>
        </w:rPr>
        <w:t>han effect size explains the loss of significance. The mortality benefits observed align with the individual results from PARTNER 3 and Evolut Low Risk [8][9], although neither trial was independently powered to assess mortality differences. Multiple facto</w:t>
      </w:r>
      <w:r>
        <w:rPr>
          <w:rFonts w:ascii="Times New Roman" w:hAnsi="Times New Roman" w:cs="Times New Roman"/>
        </w:rPr>
        <w:t>rs likely underpin the survival advantage of TAVR, including its minimally invasive approach, expedited recovery, and the reduction of complications like atrial fibrillation, bleeding, and AKI, all of which are strongly correlated with poorer outcomes [18]</w:t>
      </w:r>
      <w:r>
        <w:rPr>
          <w:rFonts w:ascii="Times New Roman" w:hAnsi="Times New Roman" w:cs="Times New Roman"/>
        </w:rPr>
        <w:t>[19][20][21].</w:t>
      </w:r>
    </w:p>
    <w:p w14:paraId="55031A3D" w14:textId="77777777" w:rsidR="00D17396" w:rsidRDefault="00394D51">
      <w:pPr>
        <w:rPr>
          <w:rFonts w:ascii="Times New Roman" w:hAnsi="Times New Roman" w:cs="Times New Roman"/>
        </w:rPr>
      </w:pPr>
      <w:r>
        <w:rPr>
          <w:rFonts w:ascii="Times New Roman" w:hAnsi="Times New Roman" w:cs="Times New Roman"/>
        </w:rPr>
        <w:t>Regarding stroke risk, this analysis found no significant difference between TAVR and SAVR at one year. However, TAVR was associated with increased rates of PPM implantation and moderate/severe PVL. These adverse outcomes are particularly pro</w:t>
      </w:r>
      <w:r>
        <w:rPr>
          <w:rFonts w:ascii="Times New Roman" w:hAnsi="Times New Roman" w:cs="Times New Roman"/>
        </w:rPr>
        <w:t xml:space="preserve">nounced with self-expanding valves, as seen in three of the four included trials, including the NOTION trial, which employed the first-generation CoreValve (Medtronic, Dublin, Ireland) and reported the highest rates of PPM (38%) and moderate/severe aortic </w:t>
      </w:r>
      <w:r>
        <w:rPr>
          <w:rFonts w:ascii="Times New Roman" w:hAnsi="Times New Roman" w:cs="Times New Roman"/>
        </w:rPr>
        <w:t>regurgitation (15.7%) at one year [3]. Due to the limited number of RCTs and the valve-specific designs of each study (either self-expanding or balloon-expandable), we could not conduct a formal meta-regression to assess whether valve type modifies the ris</w:t>
      </w:r>
      <w:r>
        <w:rPr>
          <w:rFonts w:ascii="Times New Roman" w:hAnsi="Times New Roman" w:cs="Times New Roman"/>
        </w:rPr>
        <w:t>k of PPM implantation or PVL in low-risk cohorts. Interestingly, in the PARTNER 3 trial using a balloon-expandable valve, PPM and PVL rates were comparably low between TAVR and SAVR (7.3% vs. 5.4% and 0.6% vs. 0.5%, respectively) [8].</w:t>
      </w:r>
    </w:p>
    <w:p w14:paraId="73128AF8" w14:textId="77777777" w:rsidR="00D17396" w:rsidRDefault="00394D51">
      <w:pPr>
        <w:rPr>
          <w:rFonts w:ascii="Times New Roman" w:hAnsi="Times New Roman" w:cs="Times New Roman"/>
        </w:rPr>
      </w:pPr>
      <w:r>
        <w:rPr>
          <w:rFonts w:ascii="Times New Roman" w:hAnsi="Times New Roman" w:cs="Times New Roman"/>
        </w:rPr>
        <w:t>The implications of t</w:t>
      </w:r>
      <w:r>
        <w:rPr>
          <w:rFonts w:ascii="Times New Roman" w:hAnsi="Times New Roman" w:cs="Times New Roman"/>
        </w:rPr>
        <w:t>hese findings are considerable. The observed reductions in mortality suggest that TAVR is the preferred strategy over SAVR for select low-risk patients (STS-PROM &lt;4%) with severe AS who are eligible for bioprosthetic valve replacement via transfemoral acce</w:t>
      </w:r>
      <w:r>
        <w:rPr>
          <w:rFonts w:ascii="Times New Roman" w:hAnsi="Times New Roman" w:cs="Times New Roman"/>
        </w:rPr>
        <w:t>ss. However, it is crucial to note that specific anatomical exclusions—such as bicuspid or unicuspid valves, noncalcified aortic valves, previous valve replacements, or significant concomitant valve diseases—were uniformly excluded from key trials like PAR</w:t>
      </w:r>
      <w:r>
        <w:rPr>
          <w:rFonts w:ascii="Times New Roman" w:hAnsi="Times New Roman" w:cs="Times New Roman"/>
        </w:rPr>
        <w:t>TNER 3 and Evolut Low Risk [8][9]. Consequently, our meta-analysis findings are not generalizable to low-risk patients with these features. Moreover, although no strict age limits were applied in trials like SURTAVI, PARTNER 3, and Evolut Low Risk, enrolle</w:t>
      </w:r>
      <w:r>
        <w:rPr>
          <w:rFonts w:ascii="Times New Roman" w:hAnsi="Times New Roman" w:cs="Times New Roman"/>
        </w:rPr>
        <w:t xml:space="preserve">d patients were predominantly older and suitable for </w:t>
      </w:r>
      <w:r>
        <w:rPr>
          <w:rFonts w:ascii="Times New Roman" w:hAnsi="Times New Roman" w:cs="Times New Roman"/>
        </w:rPr>
        <w:lastRenderedPageBreak/>
        <w:t>bioprosthetic valves, reinforcing the caution against extrapolating these results to younger patients who may derive long-term benefits from mechanical valve prostheses.</w:t>
      </w:r>
    </w:p>
    <w:p w14:paraId="296A531E" w14:textId="77777777" w:rsidR="00D17396" w:rsidRDefault="00394D51">
      <w:pPr>
        <w:rPr>
          <w:rFonts w:ascii="Times New Roman" w:hAnsi="Times New Roman" w:cs="Times New Roman"/>
        </w:rPr>
      </w:pPr>
      <w:r>
        <w:rPr>
          <w:rFonts w:ascii="Times New Roman" w:hAnsi="Times New Roman" w:cs="Times New Roman"/>
        </w:rPr>
        <w:t>Another critical consideration is</w:t>
      </w:r>
      <w:r>
        <w:rPr>
          <w:rFonts w:ascii="Times New Roman" w:hAnsi="Times New Roman" w:cs="Times New Roman"/>
        </w:rPr>
        <w:t xml:space="preserve"> the uncertain long-term durability of transcatheter heart valves. Data from long-term registries such as the UK TAVI and FRANCE-2 suggest moderate rates of structural valve deterioration (SVD) between five and ten years post-implantation [</w:t>
      </w:r>
      <w:proofErr w:type="gramStart"/>
      <w:r>
        <w:rPr>
          <w:rFonts w:ascii="Times New Roman" w:hAnsi="Times New Roman" w:cs="Times New Roman"/>
        </w:rPr>
        <w:t>25][</w:t>
      </w:r>
      <w:proofErr w:type="gramEnd"/>
      <w:r>
        <w:rPr>
          <w:rFonts w:ascii="Times New Roman" w:hAnsi="Times New Roman" w:cs="Times New Roman"/>
        </w:rPr>
        <w:t>26]. Convers</w:t>
      </w:r>
      <w:r>
        <w:rPr>
          <w:rFonts w:ascii="Times New Roman" w:hAnsi="Times New Roman" w:cs="Times New Roman"/>
        </w:rPr>
        <w:t xml:space="preserve">ely, NOTION trial findings up to six years reported lower rates of moderate/severe SVD in TAVR compared with SAVR (4.8% vs. 24%, p &lt; 0.001) [27]. Ongoing extended follow-up from PARTNER 3 and Evolut Low Risk aims to clarify valve durability over a decade, </w:t>
      </w:r>
      <w:r>
        <w:rPr>
          <w:rFonts w:ascii="Times New Roman" w:hAnsi="Times New Roman" w:cs="Times New Roman"/>
        </w:rPr>
        <w:t>which will be pivotal for guiding the optimal management of low-risk patients, particularly younger individuals with longer life expectancies.</w:t>
      </w:r>
    </w:p>
    <w:p w14:paraId="6F036583" w14:textId="77777777" w:rsidR="00D17396" w:rsidRDefault="00D17396">
      <w:pPr>
        <w:rPr>
          <w:rFonts w:ascii="Times New Roman" w:hAnsi="Times New Roman" w:cs="Times New Roman"/>
          <w:b/>
          <w:bCs/>
        </w:rPr>
      </w:pPr>
    </w:p>
    <w:p w14:paraId="705A3498" w14:textId="77777777" w:rsidR="00D17396" w:rsidRDefault="00394D51">
      <w:pPr>
        <w:rPr>
          <w:rFonts w:ascii="Times New Roman" w:hAnsi="Times New Roman" w:cs="Times New Roman"/>
          <w:b/>
          <w:bCs/>
        </w:rPr>
      </w:pPr>
      <w:r>
        <w:rPr>
          <w:rFonts w:ascii="Times New Roman" w:hAnsi="Times New Roman" w:cs="Times New Roman"/>
          <w:b/>
          <w:bCs/>
        </w:rPr>
        <w:t>Study Limitations</w:t>
      </w:r>
    </w:p>
    <w:p w14:paraId="4FA09B89" w14:textId="77777777" w:rsidR="00D17396" w:rsidRDefault="00394D51">
      <w:pPr>
        <w:rPr>
          <w:rFonts w:ascii="Times New Roman" w:hAnsi="Times New Roman" w:cs="Times New Roman"/>
        </w:rPr>
      </w:pPr>
      <w:r>
        <w:rPr>
          <w:rFonts w:ascii="Times New Roman" w:hAnsi="Times New Roman" w:cs="Times New Roman"/>
        </w:rPr>
        <w:t>This meta-analysis has several limitations worth noting. First, the analysis was based on aggr</w:t>
      </w:r>
      <w:r>
        <w:rPr>
          <w:rFonts w:ascii="Times New Roman" w:hAnsi="Times New Roman" w:cs="Times New Roman"/>
        </w:rPr>
        <w:t>egated study-level data rather than individual patient-level data, limiting our ability to perform more granular subgroup analyses. Second, although longer-term outcomes at 2 and 5 years have been reported from the NOTION trial, we focused on 1-year outcom</w:t>
      </w:r>
      <w:r>
        <w:rPr>
          <w:rFonts w:ascii="Times New Roman" w:hAnsi="Times New Roman" w:cs="Times New Roman"/>
        </w:rPr>
        <w:t>es to align with the original study protocols and ensure consistency in follow-up periods across all included trials [3][4][5]. Third, event rates for the Evolut Low-Risk trial were estimated using Bayesian analysis (median of the posterior probability dis</w:t>
      </w:r>
      <w:r>
        <w:rPr>
          <w:rFonts w:ascii="Times New Roman" w:hAnsi="Times New Roman" w:cs="Times New Roman"/>
        </w:rPr>
        <w:t>tribution) rather than actual observed incidence data, which may introduce some estimation bias [9]. Fourth, the absence of detailed event timing across the included studies prevented us from conducting time-to-event analyses or applying competing risk mod</w:t>
      </w:r>
      <w:r>
        <w:rPr>
          <w:rFonts w:ascii="Times New Roman" w:hAnsi="Times New Roman" w:cs="Times New Roman"/>
        </w:rPr>
        <w:t>els. Lastly, the relatively small number of available RCTs limited our ability to perform meta-regression to explore the impact of potential effect modifiers, such as patient age, prosthetic valve type, and other clinical variables, on the comparative outc</w:t>
      </w:r>
      <w:r>
        <w:rPr>
          <w:rFonts w:ascii="Times New Roman" w:hAnsi="Times New Roman" w:cs="Times New Roman"/>
        </w:rPr>
        <w:t>omes of TAVR versus SAVR in this low-risk population [28].</w:t>
      </w:r>
    </w:p>
    <w:p w14:paraId="5F7BBB66" w14:textId="77777777" w:rsidR="00D17396" w:rsidRDefault="00D17396">
      <w:pPr>
        <w:rPr>
          <w:rFonts w:ascii="Times New Roman" w:hAnsi="Times New Roman" w:cs="Times New Roman"/>
        </w:rPr>
      </w:pPr>
    </w:p>
    <w:p w14:paraId="28D10FB9" w14:textId="77777777" w:rsidR="00D17396" w:rsidRDefault="00394D51">
      <w:pPr>
        <w:rPr>
          <w:rFonts w:ascii="Times New Roman" w:hAnsi="Times New Roman" w:cs="Times New Roman"/>
          <w:b/>
          <w:bCs/>
        </w:rPr>
      </w:pPr>
      <w:r>
        <w:rPr>
          <w:rFonts w:ascii="Times New Roman" w:hAnsi="Times New Roman" w:cs="Times New Roman"/>
          <w:b/>
          <w:bCs/>
        </w:rPr>
        <w:t>Other information</w:t>
      </w:r>
    </w:p>
    <w:p w14:paraId="7754F39C" w14:textId="77777777" w:rsidR="00D17396" w:rsidRDefault="00394D51">
      <w:pPr>
        <w:rPr>
          <w:rFonts w:ascii="Times New Roman" w:hAnsi="Times New Roman" w:cs="Times New Roman"/>
        </w:rPr>
      </w:pPr>
      <w:r>
        <w:rPr>
          <w:rFonts w:ascii="Times New Roman" w:hAnsi="Times New Roman" w:cs="Times New Roman"/>
        </w:rPr>
        <w:t>Our review was not registered, and a formal protocol was not prepared; therefore, no amendments were made. The authors received no financial or non-financial support, and no fund</w:t>
      </w:r>
      <w:r>
        <w:rPr>
          <w:rFonts w:ascii="Times New Roman" w:hAnsi="Times New Roman" w:cs="Times New Roman"/>
        </w:rPr>
        <w:t>ers or sponsors had any role in the review. The authors declare no competing interests, and all data, materials, and relevant documentation used in this review are included in the published article.</w:t>
      </w:r>
    </w:p>
    <w:p w14:paraId="1112ABD9" w14:textId="77777777" w:rsidR="00D17396" w:rsidRDefault="00D17396">
      <w:pPr>
        <w:rPr>
          <w:rFonts w:ascii="Times New Roman" w:hAnsi="Times New Roman" w:cs="Times New Roman"/>
        </w:rPr>
      </w:pPr>
    </w:p>
    <w:p w14:paraId="14576732" w14:textId="3503D390" w:rsidR="00D17396" w:rsidRDefault="001E1CE9">
      <w:pPr>
        <w:rPr>
          <w:rFonts w:ascii="Times New Roman" w:hAnsi="Times New Roman" w:cs="Times New Roman"/>
          <w:b/>
          <w:bCs/>
        </w:rPr>
      </w:pPr>
      <w:r>
        <w:rPr>
          <w:rFonts w:ascii="Times New Roman" w:hAnsi="Times New Roman" w:cs="Times New Roman"/>
          <w:b/>
          <w:bCs/>
        </w:rPr>
        <w:t xml:space="preserve">Conclusion </w:t>
      </w:r>
    </w:p>
    <w:p w14:paraId="781EA7F3" w14:textId="77777777" w:rsidR="00D17396" w:rsidRDefault="00394D51">
      <w:pPr>
        <w:rPr>
          <w:rFonts w:ascii="Times New Roman" w:hAnsi="Times New Roman" w:cs="Times New Roman"/>
        </w:rPr>
      </w:pPr>
      <w:r>
        <w:rPr>
          <w:rFonts w:ascii="Times New Roman" w:hAnsi="Times New Roman" w:cs="Times New Roman"/>
        </w:rPr>
        <w:lastRenderedPageBreak/>
        <w:t>This meta-analysis of randomized controlled trials evaluating TAVR versus SAVR in low-risk patients with severe aortic stenosis demonstrated that TAVR is associated with a significantly reduced risk of all-cause and cardiovascular mortality at 1 year. Addi</w:t>
      </w:r>
      <w:r>
        <w:rPr>
          <w:rFonts w:ascii="Times New Roman" w:hAnsi="Times New Roman" w:cs="Times New Roman"/>
        </w:rPr>
        <w:t>tionally, TAVR showed lower incidences of new or worsening atrial fibrillation, life-threatening or disabling bleeding, and stage 2/3 acute kidney injury. However, it was linked to higher rates of permanent pacemaker implantation and moderate to severe par</w:t>
      </w:r>
      <w:r>
        <w:rPr>
          <w:rFonts w:ascii="Times New Roman" w:hAnsi="Times New Roman" w:cs="Times New Roman"/>
        </w:rPr>
        <w:t>avalvular leak compared to SAVR. These results align with recent landmark RCTs and strengthen the growing evidence supporting TAVR as a favorable alternative to SAVR in appropriately selected low-risk patients undergoing bioprosthetic aortic valve replacem</w:t>
      </w:r>
      <w:r>
        <w:rPr>
          <w:rFonts w:ascii="Times New Roman" w:hAnsi="Times New Roman" w:cs="Times New Roman"/>
        </w:rPr>
        <w:t>ent. However, ongoing surveillance of long-term clinical outcomes and prosthetic valve durability remains essential to fully establishing the role of TAVR in this population.</w:t>
      </w:r>
    </w:p>
    <w:p w14:paraId="4B1E1DB9" w14:textId="77777777" w:rsidR="00D17396" w:rsidRDefault="00D17396">
      <w:pPr>
        <w:rPr>
          <w:rFonts w:ascii="Times New Roman" w:hAnsi="Times New Roman" w:cs="Times New Roman"/>
        </w:rPr>
      </w:pPr>
    </w:p>
    <w:p w14:paraId="5D671334" w14:textId="77777777" w:rsidR="00D17396" w:rsidRDefault="00394D51">
      <w:pPr>
        <w:rPr>
          <w:rFonts w:ascii="Times New Roman" w:hAnsi="Times New Roman" w:cs="Times New Roman"/>
          <w:b/>
          <w:bCs/>
        </w:rPr>
      </w:pPr>
      <w:r>
        <w:rPr>
          <w:rFonts w:ascii="Times New Roman" w:hAnsi="Times New Roman" w:cs="Times New Roman"/>
          <w:b/>
          <w:bCs/>
        </w:rPr>
        <w:t>Perspectives</w:t>
      </w:r>
    </w:p>
    <w:p w14:paraId="5658994A" w14:textId="77777777" w:rsidR="00D17396" w:rsidRDefault="00394D51">
      <w:pPr>
        <w:pStyle w:val="ListParagraph"/>
        <w:numPr>
          <w:ilvl w:val="0"/>
          <w:numId w:val="1"/>
        </w:numPr>
        <w:rPr>
          <w:rFonts w:ascii="Times New Roman" w:hAnsi="Times New Roman" w:cs="Times New Roman"/>
        </w:rPr>
      </w:pPr>
      <w:r>
        <w:rPr>
          <w:rFonts w:ascii="Times New Roman" w:hAnsi="Times New Roman" w:cs="Times New Roman"/>
        </w:rPr>
        <w:t>COMPETENCY IN PATIENT CARE AND PROCEDURAL SKILLS: This meta-analysi</w:t>
      </w:r>
      <w:r>
        <w:rPr>
          <w:rFonts w:ascii="Times New Roman" w:hAnsi="Times New Roman" w:cs="Times New Roman"/>
        </w:rPr>
        <w:t>s demonstrates that among low-risk patients with severe aortic stenosis (AS), as defined within the randomized controlled trials, transcatheter aortic valve replacement (TAVR) offers a significant reduction in both all-cause mortality and cardiovascular mo</w:t>
      </w:r>
      <w:r>
        <w:rPr>
          <w:rFonts w:ascii="Times New Roman" w:hAnsi="Times New Roman" w:cs="Times New Roman"/>
        </w:rPr>
        <w:t>rtality at 1-year follow-up when compared with surgical aortic valve replacement (SAVR).</w:t>
      </w:r>
    </w:p>
    <w:p w14:paraId="1FFD9F33" w14:textId="77777777" w:rsidR="00D17396" w:rsidRDefault="00394D51">
      <w:pPr>
        <w:pStyle w:val="ListParagraph"/>
        <w:numPr>
          <w:ilvl w:val="0"/>
          <w:numId w:val="1"/>
        </w:numPr>
        <w:rPr>
          <w:rFonts w:ascii="Times New Roman" w:hAnsi="Times New Roman" w:cs="Times New Roman"/>
        </w:rPr>
      </w:pPr>
      <w:r>
        <w:rPr>
          <w:rFonts w:ascii="Times New Roman" w:hAnsi="Times New Roman" w:cs="Times New Roman"/>
        </w:rPr>
        <w:t>TRANSLATIONAL OUTLOOK: Extended follow-up of low-risk patient cohorts from these pivotal trials is essential to better clarify the long-term performance of TAVR relati</w:t>
      </w:r>
      <w:r>
        <w:rPr>
          <w:rFonts w:ascii="Times New Roman" w:hAnsi="Times New Roman" w:cs="Times New Roman"/>
        </w:rPr>
        <w:t>ve to SAVR, particularly regarding overall survival, structural valve durability, and the incidence of late adverse events.</w:t>
      </w:r>
    </w:p>
    <w:p w14:paraId="5FD12FE8" w14:textId="77777777" w:rsidR="00D17396" w:rsidRDefault="00D17396">
      <w:pPr>
        <w:rPr>
          <w:rFonts w:ascii="Times New Roman" w:hAnsi="Times New Roman" w:cs="Times New Roman"/>
        </w:rPr>
      </w:pPr>
    </w:p>
    <w:p w14:paraId="78BC4443" w14:textId="77777777" w:rsidR="001E1CE9" w:rsidRDefault="001E1CE9">
      <w:pPr>
        <w:rPr>
          <w:rFonts w:ascii="Times New Roman" w:hAnsi="Times New Roman" w:cs="Times New Roman"/>
        </w:rPr>
      </w:pPr>
    </w:p>
    <w:p w14:paraId="6263BEDD" w14:textId="77777777" w:rsidR="001E1CE9" w:rsidRDefault="001E1CE9">
      <w:pPr>
        <w:rPr>
          <w:rFonts w:ascii="Times New Roman" w:hAnsi="Times New Roman" w:cs="Times New Roman"/>
        </w:rPr>
      </w:pPr>
    </w:p>
    <w:p w14:paraId="26DC4BE1" w14:textId="4C9DA5EF" w:rsidR="001E1CE9" w:rsidRDefault="001E1CE9" w:rsidP="001E1CE9">
      <w:pPr>
        <w:rPr>
          <w:rFonts w:ascii="Times New Roman" w:hAnsi="Times New Roman" w:cs="Times New Roman"/>
        </w:rPr>
      </w:pPr>
    </w:p>
    <w:p w14:paraId="56F39E0F" w14:textId="77777777" w:rsidR="00442DA7" w:rsidRPr="000E36B3" w:rsidRDefault="00442DA7" w:rsidP="001E1CE9">
      <w:pPr>
        <w:rPr>
          <w:rFonts w:ascii="Times New Roman" w:hAnsi="Times New Roman" w:cs="Times New Roman"/>
        </w:rPr>
      </w:pPr>
      <w:bookmarkStart w:id="1" w:name="_GoBack"/>
      <w:bookmarkEnd w:id="1"/>
    </w:p>
    <w:p w14:paraId="6C57C7E2" w14:textId="77777777" w:rsidR="001E1CE9" w:rsidRPr="000E36B3" w:rsidRDefault="001E1CE9" w:rsidP="001E1CE9">
      <w:pPr>
        <w:rPr>
          <w:rFonts w:ascii="Times New Roman" w:hAnsi="Times New Roman" w:cs="Times New Roman"/>
        </w:rPr>
      </w:pPr>
      <w:r w:rsidRPr="000E36B3">
        <w:rPr>
          <w:rFonts w:ascii="Times New Roman" w:hAnsi="Times New Roman" w:cs="Times New Roman"/>
        </w:rPr>
        <w:t>Declaration/Disclaimer/Disclosure Statement</w:t>
      </w:r>
    </w:p>
    <w:p w14:paraId="7E9C1E70" w14:textId="77777777" w:rsidR="001E1CE9" w:rsidRPr="000E36B3" w:rsidRDefault="001E1CE9" w:rsidP="001E1CE9">
      <w:pPr>
        <w:rPr>
          <w:rFonts w:ascii="Times New Roman" w:hAnsi="Times New Roman" w:cs="Times New Roman"/>
        </w:rPr>
      </w:pPr>
      <w:r w:rsidRPr="000E36B3">
        <w:rPr>
          <w:rFonts w:ascii="Times New Roman" w:hAnsi="Times New Roman" w:cs="Times New Roman"/>
        </w:rPr>
        <w:t>The views and opinions expressed in this paper are solely those of the authors and do not necessarily reflect any institution or organization's official policy or position. The authors declare no conflicts of interest or financial disclosures related to this research.</w:t>
      </w:r>
    </w:p>
    <w:p w14:paraId="464899E9" w14:textId="77777777" w:rsidR="001E1CE9" w:rsidRPr="000E36B3" w:rsidRDefault="001E1CE9" w:rsidP="001E1CE9">
      <w:pPr>
        <w:rPr>
          <w:rFonts w:ascii="Times New Roman" w:hAnsi="Times New Roman" w:cs="Times New Roman"/>
        </w:rPr>
      </w:pPr>
    </w:p>
    <w:p w14:paraId="6A4556C9" w14:textId="77777777" w:rsidR="001E1CE9" w:rsidRPr="000E36B3" w:rsidRDefault="001E1CE9" w:rsidP="001E1CE9">
      <w:pPr>
        <w:rPr>
          <w:rFonts w:ascii="Times New Roman" w:hAnsi="Times New Roman" w:cs="Times New Roman"/>
        </w:rPr>
      </w:pPr>
      <w:r w:rsidRPr="000E36B3">
        <w:rPr>
          <w:rFonts w:ascii="Times New Roman" w:hAnsi="Times New Roman" w:cs="Times New Roman"/>
        </w:rPr>
        <w:t>Ethics Statement</w:t>
      </w:r>
    </w:p>
    <w:p w14:paraId="011F4061" w14:textId="77777777" w:rsidR="001E1CE9" w:rsidRPr="000E36B3" w:rsidRDefault="001E1CE9" w:rsidP="001E1CE9">
      <w:pPr>
        <w:rPr>
          <w:rFonts w:ascii="Times New Roman" w:hAnsi="Times New Roman" w:cs="Times New Roman"/>
        </w:rPr>
      </w:pPr>
      <w:r w:rsidRPr="000E36B3">
        <w:rPr>
          <w:rFonts w:ascii="Times New Roman" w:hAnsi="Times New Roman" w:cs="Times New Roman"/>
        </w:rPr>
        <w:lastRenderedPageBreak/>
        <w:t>This study received approval from the Institutional Review Board. All participants provided informed consent, and confidentiality and ethical guidelines were strictly followed throughout the research.</w:t>
      </w:r>
    </w:p>
    <w:p w14:paraId="26F5772C" w14:textId="77777777" w:rsidR="001E1CE9" w:rsidRPr="000E36B3" w:rsidRDefault="001E1CE9" w:rsidP="001E1CE9">
      <w:pPr>
        <w:rPr>
          <w:rFonts w:ascii="Times New Roman" w:hAnsi="Times New Roman" w:cs="Times New Roman"/>
        </w:rPr>
      </w:pPr>
    </w:p>
    <w:p w14:paraId="31E993BA" w14:textId="77777777" w:rsidR="001E1CE9" w:rsidRPr="000E36B3" w:rsidRDefault="001E1CE9" w:rsidP="001E1CE9">
      <w:pPr>
        <w:rPr>
          <w:rFonts w:ascii="Times New Roman" w:hAnsi="Times New Roman" w:cs="Times New Roman"/>
        </w:rPr>
      </w:pPr>
      <w:r w:rsidRPr="000E36B3">
        <w:rPr>
          <w:rFonts w:ascii="Times New Roman" w:hAnsi="Times New Roman" w:cs="Times New Roman"/>
        </w:rPr>
        <w:t>Data Availability Statement</w:t>
      </w:r>
    </w:p>
    <w:p w14:paraId="68D50326" w14:textId="77777777" w:rsidR="001E1CE9" w:rsidRDefault="001E1CE9" w:rsidP="001E1CE9">
      <w:pPr>
        <w:rPr>
          <w:rFonts w:ascii="Times New Roman" w:hAnsi="Times New Roman" w:cs="Times New Roman"/>
        </w:rPr>
      </w:pPr>
      <w:r w:rsidRPr="000E36B3">
        <w:rPr>
          <w:rFonts w:ascii="Times New Roman" w:hAnsi="Times New Roman" w:cs="Times New Roman"/>
        </w:rPr>
        <w:t>No new data were generated or analyzed in this study. All relevant information is included within the published article.</w:t>
      </w:r>
    </w:p>
    <w:p w14:paraId="35A6A488" w14:textId="77777777" w:rsidR="001E1CE9" w:rsidRDefault="001E1CE9">
      <w:pPr>
        <w:rPr>
          <w:rFonts w:ascii="Times New Roman" w:hAnsi="Times New Roman" w:cs="Times New Roman"/>
        </w:rPr>
      </w:pPr>
    </w:p>
    <w:p w14:paraId="7727C2F3" w14:textId="77777777" w:rsidR="00D17396" w:rsidRDefault="00394D51">
      <w:pPr>
        <w:rPr>
          <w:rFonts w:ascii="Times New Roman" w:hAnsi="Times New Roman" w:cs="Times New Roman"/>
        </w:rPr>
      </w:pPr>
      <w:r>
        <w:rPr>
          <w:rFonts w:ascii="Times New Roman" w:hAnsi="Times New Roman" w:cs="Times New Roman"/>
          <w:b/>
          <w:bCs/>
        </w:rPr>
        <w:t>References</w:t>
      </w:r>
    </w:p>
    <w:p w14:paraId="4B6EE527" w14:textId="77777777" w:rsidR="00D17396" w:rsidRDefault="00394D51">
      <w:pPr>
        <w:pStyle w:val="ListParagraph"/>
        <w:numPr>
          <w:ilvl w:val="0"/>
          <w:numId w:val="3"/>
        </w:numPr>
        <w:spacing w:after="200" w:line="276" w:lineRule="auto"/>
        <w:rPr>
          <w:rFonts w:ascii="Times New Roman" w:hAnsi="Times New Roman" w:cs="Times New Roman"/>
        </w:rPr>
      </w:pPr>
      <w:r>
        <w:rPr>
          <w:rFonts w:ascii="Calibri" w:hAnsi="Calibri" w:cs="Times New Roman"/>
          <w:sz w:val="22"/>
          <w:szCs w:val="22"/>
          <w:lang w:eastAsia="zh-CN"/>
        </w:rPr>
        <w:t>Osnabrugge RL, Mylotte D, Head SJ, Van Mieghem NM, Nkomo VT, LeReun CM, Bogers AJ, Piazza N, Kappetein AP. Aortic stenosis in the elderly: disease prevalence and number of candidates for transcatheter aor</w:t>
      </w:r>
      <w:r>
        <w:rPr>
          <w:rFonts w:ascii="Calibri" w:hAnsi="Calibri" w:cs="Times New Roman"/>
          <w:sz w:val="22"/>
          <w:szCs w:val="22"/>
          <w:lang w:eastAsia="zh-CN"/>
        </w:rPr>
        <w:t xml:space="preserve">tic valve replacement: a meta-analysis and modeling study. J Am Coll Cardiol. 2013 Sep 10;62(11):1002-12. doi: 10.1016/j.jacc.2013.05.015. </w:t>
      </w:r>
    </w:p>
    <w:p w14:paraId="7859F330" w14:textId="77777777" w:rsidR="00D17396" w:rsidRDefault="00394D51">
      <w:pPr>
        <w:pStyle w:val="ListParagraph"/>
        <w:numPr>
          <w:ilvl w:val="0"/>
          <w:numId w:val="3"/>
        </w:numPr>
        <w:spacing w:after="200" w:line="276" w:lineRule="auto"/>
        <w:rPr>
          <w:rFonts w:ascii="Times New Roman" w:hAnsi="Times New Roman" w:cs="Times New Roman"/>
        </w:rPr>
      </w:pPr>
      <w:r>
        <w:rPr>
          <w:rFonts w:ascii="Calibri" w:hAnsi="Calibri" w:cs="Times New Roman"/>
          <w:sz w:val="22"/>
          <w:szCs w:val="22"/>
          <w:lang w:eastAsia="zh-CN"/>
        </w:rPr>
        <w:t xml:space="preserve">Grover FL, Vemulapalli S, Carroll JD, Edwards FH, Mack MJ, Thourani VH, Brindis RG, Shahian DM, Ruiz CE, Jacobs JP, </w:t>
      </w:r>
      <w:r>
        <w:rPr>
          <w:rFonts w:ascii="Calibri" w:hAnsi="Calibri" w:cs="Times New Roman"/>
          <w:sz w:val="22"/>
          <w:szCs w:val="22"/>
          <w:lang w:eastAsia="zh-CN"/>
        </w:rPr>
        <w:t>Hanzel G, Bavaria JE, Tuzcu EM, Peterson ED, Fitzgerald S, Kourtis M, Michaels J, Christensen B, Seward WF, Hewitt K, Holmes DR Jr; STS/ACC TVT Registry. 2016 Annual Report of The Society of Thoracic Surgeons/American College of Cardiology Transcatheter Va</w:t>
      </w:r>
      <w:r>
        <w:rPr>
          <w:rFonts w:ascii="Calibri" w:hAnsi="Calibri" w:cs="Times New Roman"/>
          <w:sz w:val="22"/>
          <w:szCs w:val="22"/>
          <w:lang w:eastAsia="zh-CN"/>
        </w:rPr>
        <w:t xml:space="preserve">lve Therapy Registry. J Am Coll Cardiol. 2017 Mar 14;69(10):1215-1230. doi: 10.1016/j.jacc.2016.11.033. </w:t>
      </w:r>
    </w:p>
    <w:p w14:paraId="2DD37977" w14:textId="77777777" w:rsidR="00D17396" w:rsidRDefault="00394D51">
      <w:pPr>
        <w:pStyle w:val="ListParagraph"/>
        <w:numPr>
          <w:ilvl w:val="0"/>
          <w:numId w:val="3"/>
        </w:numPr>
        <w:spacing w:after="200" w:line="276" w:lineRule="auto"/>
        <w:rPr>
          <w:rFonts w:ascii="Times New Roman" w:hAnsi="Times New Roman" w:cs="Times New Roman"/>
        </w:rPr>
      </w:pPr>
      <w:r>
        <w:rPr>
          <w:rFonts w:ascii="Calibri" w:hAnsi="Calibri" w:cs="Times New Roman"/>
          <w:sz w:val="22"/>
          <w:szCs w:val="22"/>
          <w:lang w:eastAsia="zh-CN"/>
        </w:rPr>
        <w:t>Thyregod HG, Steinbrüchel DA, Ihlemann N, Nissen H, Kjeldsen BJ, Petursson P, Chang Y, Franzen OW, Engstrøm T, Clemmensen P, Hansen PB, Andersen LW, Ol</w:t>
      </w:r>
      <w:r>
        <w:rPr>
          <w:rFonts w:ascii="Calibri" w:hAnsi="Calibri" w:cs="Times New Roman"/>
          <w:sz w:val="22"/>
          <w:szCs w:val="22"/>
          <w:lang w:eastAsia="zh-CN"/>
        </w:rPr>
        <w:t xml:space="preserve">sen PS, Søndergaard L. Transcatheter Versus Surgical Aortic Valve Replacement in Patients </w:t>
      </w:r>
      <w:proofErr w:type="gramStart"/>
      <w:r>
        <w:rPr>
          <w:rFonts w:ascii="Calibri" w:hAnsi="Calibri" w:cs="Times New Roman"/>
          <w:sz w:val="22"/>
          <w:szCs w:val="22"/>
          <w:lang w:eastAsia="zh-CN"/>
        </w:rPr>
        <w:t>With</w:t>
      </w:r>
      <w:proofErr w:type="gramEnd"/>
      <w:r>
        <w:rPr>
          <w:rFonts w:ascii="Calibri" w:hAnsi="Calibri" w:cs="Times New Roman"/>
          <w:sz w:val="22"/>
          <w:szCs w:val="22"/>
          <w:lang w:eastAsia="zh-CN"/>
        </w:rPr>
        <w:t xml:space="preserve"> Severe Aortic Valve Stenosis: 1-Year Results From the All-Comers NOTION Randomized Clinical Trial. J Am Coll Cardiol. 2015 May 26;65(20):2184-94. doi: 10.1016/j.</w:t>
      </w:r>
      <w:r>
        <w:rPr>
          <w:rFonts w:ascii="Calibri" w:hAnsi="Calibri" w:cs="Times New Roman"/>
          <w:sz w:val="22"/>
          <w:szCs w:val="22"/>
          <w:lang w:eastAsia="zh-CN"/>
        </w:rPr>
        <w:t xml:space="preserve">jacc.2015.03.014. </w:t>
      </w:r>
    </w:p>
    <w:p w14:paraId="24E79BD4" w14:textId="77777777" w:rsidR="00D17396" w:rsidRDefault="00394D51">
      <w:pPr>
        <w:pStyle w:val="ListParagraph"/>
        <w:numPr>
          <w:ilvl w:val="0"/>
          <w:numId w:val="3"/>
        </w:numPr>
        <w:spacing w:after="200" w:line="276" w:lineRule="auto"/>
        <w:rPr>
          <w:rFonts w:ascii="Times New Roman" w:hAnsi="Times New Roman" w:cs="Times New Roman"/>
        </w:rPr>
      </w:pPr>
      <w:r>
        <w:rPr>
          <w:rFonts w:ascii="Calibri" w:hAnsi="Calibri" w:cs="Times New Roman"/>
          <w:sz w:val="22"/>
          <w:szCs w:val="22"/>
          <w:lang w:eastAsia="zh-CN"/>
        </w:rPr>
        <w:t xml:space="preserve">Søndergaard L, Steinbrüchel DA, Ihlemann N, Nissen H, Kjeldsen BJ, Petursson P, Ngo AT, Olsen NT, Chang Y, Franzen OW, Engstrøm T, Clemmensen P, Olsen PS, Thyregod HG. Two-Year Outcomes in Patients </w:t>
      </w:r>
      <w:proofErr w:type="gramStart"/>
      <w:r>
        <w:rPr>
          <w:rFonts w:ascii="Calibri" w:hAnsi="Calibri" w:cs="Times New Roman"/>
          <w:sz w:val="22"/>
          <w:szCs w:val="22"/>
          <w:lang w:eastAsia="zh-CN"/>
        </w:rPr>
        <w:t>With</w:t>
      </w:r>
      <w:proofErr w:type="gramEnd"/>
      <w:r>
        <w:rPr>
          <w:rFonts w:ascii="Calibri" w:hAnsi="Calibri" w:cs="Times New Roman"/>
          <w:sz w:val="22"/>
          <w:szCs w:val="22"/>
          <w:lang w:eastAsia="zh-CN"/>
        </w:rPr>
        <w:t xml:space="preserve"> Severe Aortic Valve Stenosis Rando</w:t>
      </w:r>
      <w:r>
        <w:rPr>
          <w:rFonts w:ascii="Calibri" w:hAnsi="Calibri" w:cs="Times New Roman"/>
          <w:sz w:val="22"/>
          <w:szCs w:val="22"/>
          <w:lang w:eastAsia="zh-CN"/>
        </w:rPr>
        <w:t>mized to Transcatheter Versus Surgical Aortic Valve Replacement: The All-Comers Nordic Aortic Valve Intervention Randomized Clinical Trial. Circ Cardiovasc Interv. 2016 Jun;9(6</w:t>
      </w:r>
      <w:proofErr w:type="gramStart"/>
      <w:r>
        <w:rPr>
          <w:rFonts w:ascii="Calibri" w:hAnsi="Calibri" w:cs="Times New Roman"/>
          <w:sz w:val="22"/>
          <w:szCs w:val="22"/>
          <w:lang w:eastAsia="zh-CN"/>
        </w:rPr>
        <w:t>):e</w:t>
      </w:r>
      <w:proofErr w:type="gramEnd"/>
      <w:r>
        <w:rPr>
          <w:rFonts w:ascii="Calibri" w:hAnsi="Calibri" w:cs="Times New Roman"/>
          <w:sz w:val="22"/>
          <w:szCs w:val="22"/>
          <w:lang w:eastAsia="zh-CN"/>
        </w:rPr>
        <w:t xml:space="preserve">003665. doi: 10.1161/CIRCINTERVENTIONS.115.003665. </w:t>
      </w:r>
    </w:p>
    <w:p w14:paraId="6451E66F" w14:textId="77777777" w:rsidR="00D17396" w:rsidRDefault="00394D51">
      <w:pPr>
        <w:pStyle w:val="ListParagraph"/>
        <w:numPr>
          <w:ilvl w:val="0"/>
          <w:numId w:val="3"/>
        </w:numPr>
        <w:spacing w:after="200" w:line="276" w:lineRule="auto"/>
        <w:rPr>
          <w:rFonts w:ascii="Times New Roman" w:hAnsi="Times New Roman" w:cs="Times New Roman"/>
        </w:rPr>
      </w:pPr>
      <w:r>
        <w:rPr>
          <w:rFonts w:ascii="Calibri" w:hAnsi="Calibri" w:cs="Times New Roman"/>
          <w:sz w:val="22"/>
          <w:szCs w:val="22"/>
          <w:lang w:eastAsia="zh-CN"/>
        </w:rPr>
        <w:t>Thyregod HGH, Ihlemann N,</w:t>
      </w:r>
      <w:r>
        <w:rPr>
          <w:rFonts w:ascii="Calibri" w:hAnsi="Calibri" w:cs="Times New Roman"/>
          <w:sz w:val="22"/>
          <w:szCs w:val="22"/>
          <w:lang w:eastAsia="zh-CN"/>
        </w:rPr>
        <w:t xml:space="preserve"> Jørgensen TH, Nissen H, Kjeldsen BJ, Petursson P, Chang Y, Franzen OW, Engstrøm T, Clemmensen P, Hansen PB, Andersen LW, Steinbruüchel DA, Olsen PS, Søndergaard L. Five-Year Clinical and Echocardiographic Outcomes </w:t>
      </w:r>
      <w:proofErr w:type="gramStart"/>
      <w:r>
        <w:rPr>
          <w:rFonts w:ascii="Calibri" w:hAnsi="Calibri" w:cs="Times New Roman"/>
          <w:sz w:val="22"/>
          <w:szCs w:val="22"/>
          <w:lang w:eastAsia="zh-CN"/>
        </w:rPr>
        <w:t>From</w:t>
      </w:r>
      <w:proofErr w:type="gramEnd"/>
      <w:r>
        <w:rPr>
          <w:rFonts w:ascii="Calibri" w:hAnsi="Calibri" w:cs="Times New Roman"/>
          <w:sz w:val="22"/>
          <w:szCs w:val="22"/>
          <w:lang w:eastAsia="zh-CN"/>
        </w:rPr>
        <w:t xml:space="preserve"> the NOTION Randomized Clinical Trial</w:t>
      </w:r>
      <w:r>
        <w:rPr>
          <w:rFonts w:ascii="Calibri" w:hAnsi="Calibri" w:cs="Times New Roman"/>
          <w:sz w:val="22"/>
          <w:szCs w:val="22"/>
          <w:lang w:eastAsia="zh-CN"/>
        </w:rPr>
        <w:t xml:space="preserve"> in Patients at Lower Surgical Risk. Circulation. 2019 Jun 11;139(24):2714-2723. doi: 10.1161/CIRCULATIONAHA.118.036606. </w:t>
      </w:r>
    </w:p>
    <w:p w14:paraId="35022909" w14:textId="77777777" w:rsidR="00D17396" w:rsidRDefault="00394D51">
      <w:pPr>
        <w:pStyle w:val="ListParagraph"/>
        <w:numPr>
          <w:ilvl w:val="0"/>
          <w:numId w:val="3"/>
        </w:numPr>
        <w:spacing w:after="200" w:line="276" w:lineRule="auto"/>
        <w:rPr>
          <w:rFonts w:ascii="Times New Roman" w:hAnsi="Times New Roman" w:cs="Times New Roman"/>
        </w:rPr>
      </w:pPr>
      <w:r>
        <w:rPr>
          <w:rFonts w:ascii="Calibri" w:hAnsi="Calibri" w:cs="Times New Roman"/>
          <w:sz w:val="22"/>
          <w:szCs w:val="22"/>
          <w:lang w:eastAsia="zh-CN"/>
        </w:rPr>
        <w:t>Waksman R, Rogers T, Torguson R, Gordon P, Ehsan A, Wilson SR, Goncalves J, Levitt R, Hahn C, Parikh P, Bilfinger T, Butzel D, Buchana</w:t>
      </w:r>
      <w:r>
        <w:rPr>
          <w:rFonts w:ascii="Calibri" w:hAnsi="Calibri" w:cs="Times New Roman"/>
          <w:sz w:val="22"/>
          <w:szCs w:val="22"/>
          <w:lang w:eastAsia="zh-CN"/>
        </w:rPr>
        <w:t xml:space="preserve">n S, Hanna N, Garrett R, Asch F, Weissman G, Ben-Dor I, Shults C, Bastian R, Craig PE, Garcia-Garcia HM, Kolm P, Zou Q, Satler LF, Corso PJ. Transcatheter </w:t>
      </w:r>
      <w:r>
        <w:rPr>
          <w:rFonts w:ascii="Calibri" w:hAnsi="Calibri" w:cs="Times New Roman"/>
          <w:sz w:val="22"/>
          <w:szCs w:val="22"/>
          <w:lang w:eastAsia="zh-CN"/>
        </w:rPr>
        <w:lastRenderedPageBreak/>
        <w:t xml:space="preserve">Aortic Valve Replacement in Low-Risk Patients </w:t>
      </w:r>
      <w:proofErr w:type="gramStart"/>
      <w:r>
        <w:rPr>
          <w:rFonts w:ascii="Calibri" w:hAnsi="Calibri" w:cs="Times New Roman"/>
          <w:sz w:val="22"/>
          <w:szCs w:val="22"/>
          <w:lang w:eastAsia="zh-CN"/>
        </w:rPr>
        <w:t>With</w:t>
      </w:r>
      <w:proofErr w:type="gramEnd"/>
      <w:r>
        <w:rPr>
          <w:rFonts w:ascii="Calibri" w:hAnsi="Calibri" w:cs="Times New Roman"/>
          <w:sz w:val="22"/>
          <w:szCs w:val="22"/>
          <w:lang w:eastAsia="zh-CN"/>
        </w:rPr>
        <w:t xml:space="preserve"> Symptomatic Severe Aortic Stenosis. J Am Coll Card</w:t>
      </w:r>
      <w:r>
        <w:rPr>
          <w:rFonts w:ascii="Calibri" w:hAnsi="Calibri" w:cs="Times New Roman"/>
          <w:sz w:val="22"/>
          <w:szCs w:val="22"/>
          <w:lang w:eastAsia="zh-CN"/>
        </w:rPr>
        <w:t xml:space="preserve">iol. 2018 Oct 30;72(18):2095-2105. doi: 10.1016/j.jacc.2018.08.1033. </w:t>
      </w:r>
    </w:p>
    <w:p w14:paraId="2EED09A6" w14:textId="77777777" w:rsidR="00D17396" w:rsidRDefault="00394D51">
      <w:pPr>
        <w:pStyle w:val="ListParagraph"/>
        <w:numPr>
          <w:ilvl w:val="0"/>
          <w:numId w:val="3"/>
        </w:numPr>
        <w:spacing w:after="200" w:line="276" w:lineRule="auto"/>
        <w:rPr>
          <w:rFonts w:ascii="Times New Roman" w:hAnsi="Times New Roman" w:cs="Times New Roman"/>
        </w:rPr>
      </w:pPr>
      <w:r>
        <w:rPr>
          <w:rFonts w:ascii="Calibri" w:hAnsi="Calibri" w:cs="Times New Roman"/>
          <w:sz w:val="22"/>
          <w:szCs w:val="22"/>
          <w:lang w:eastAsia="zh-CN"/>
        </w:rPr>
        <w:t>Waksman R, Corso PJ, Torguson R, Gordon P, Ehsan A, Wilson SR, Goncalves J, Levitt R, Hahn C, Parikh P, Bilfinger T, Butzel D, Buchanan S, Hanna N, Garrett R, Buchbinder M, Asch F, Weiss</w:t>
      </w:r>
      <w:r>
        <w:rPr>
          <w:rFonts w:ascii="Calibri" w:hAnsi="Calibri" w:cs="Times New Roman"/>
          <w:sz w:val="22"/>
          <w:szCs w:val="22"/>
          <w:lang w:eastAsia="zh-CN"/>
        </w:rPr>
        <w:t>man G, Ben-Dor I, Shults C, Bastian R, Craig PE, Ali S, Garcia-Garcia HM, Kolm P, Zou Q, Satler LF, Rogers T. TAVR in Low-Risk Patients: 1-Year Results From the LRT Trial. JACC Cardiovasc Interv. 2019 May 27;12(10):901-907. doi: 10.1016/j.jcin.2019.03.002.</w:t>
      </w:r>
    </w:p>
    <w:p w14:paraId="5697F4CD" w14:textId="77777777" w:rsidR="00D17396" w:rsidRDefault="00394D51">
      <w:pPr>
        <w:pStyle w:val="ListParagraph"/>
        <w:numPr>
          <w:ilvl w:val="0"/>
          <w:numId w:val="3"/>
        </w:numPr>
        <w:spacing w:after="200" w:line="276" w:lineRule="auto"/>
        <w:rPr>
          <w:rFonts w:ascii="Times New Roman" w:hAnsi="Times New Roman" w:cs="Times New Roman"/>
        </w:rPr>
      </w:pPr>
      <w:r>
        <w:rPr>
          <w:rFonts w:ascii="Calibri" w:hAnsi="Calibri" w:cs="Times New Roman"/>
          <w:sz w:val="22"/>
          <w:szCs w:val="22"/>
          <w:lang w:eastAsia="zh-CN"/>
        </w:rPr>
        <w:t>Mack MJ, Leon MB, Thourani VH, Makkar R, Kodali SK, Russo M, Kapadia SR, Malaisrie SC, Cohen DJ, Pibarot P, Leipsic J, Hahn RT, Blanke P, Williams MR, McCabe JM, Brown DL, Babaliaros V, Goldman S, Szeto WY, Genereux P, Pershad A, Pocock SJ, Alu MC, Webb J</w:t>
      </w:r>
      <w:r>
        <w:rPr>
          <w:rFonts w:ascii="Calibri" w:hAnsi="Calibri" w:cs="Times New Roman"/>
          <w:sz w:val="22"/>
          <w:szCs w:val="22"/>
          <w:lang w:eastAsia="zh-CN"/>
        </w:rPr>
        <w:t xml:space="preserve">G, Smith CR; PARTNER 3 Investigators. Transcatheter Aortic-Valve Replacement with a Balloon-Expandable Valve in Low-Risk Patients. N Engl J Med. 2019 May 2;380(18):1695-1705. doi: 10.1056/NEJMoa1814052. </w:t>
      </w:r>
    </w:p>
    <w:p w14:paraId="1E9751F6" w14:textId="77777777" w:rsidR="00D17396" w:rsidRDefault="00394D51">
      <w:pPr>
        <w:pStyle w:val="ListParagraph"/>
        <w:numPr>
          <w:ilvl w:val="0"/>
          <w:numId w:val="3"/>
        </w:numPr>
        <w:spacing w:after="200" w:line="276" w:lineRule="auto"/>
        <w:rPr>
          <w:rFonts w:ascii="Times New Roman" w:hAnsi="Times New Roman" w:cs="Times New Roman"/>
        </w:rPr>
      </w:pPr>
      <w:r>
        <w:rPr>
          <w:rFonts w:ascii="Calibri" w:hAnsi="Calibri" w:cs="Times New Roman"/>
          <w:sz w:val="22"/>
          <w:szCs w:val="22"/>
          <w:lang w:eastAsia="zh-CN"/>
        </w:rPr>
        <w:t>Popma JJ, Deeb GM, Yakubov SJ, Mumtaz M, Gada H, O'H</w:t>
      </w:r>
      <w:r>
        <w:rPr>
          <w:rFonts w:ascii="Calibri" w:hAnsi="Calibri" w:cs="Times New Roman"/>
          <w:sz w:val="22"/>
          <w:szCs w:val="22"/>
          <w:lang w:eastAsia="zh-CN"/>
        </w:rPr>
        <w:t>air D, Bajwa T, Heiser JC, Merhi W, Kleiman NS, Askew J, Sorajja P, Rovin J, Chetcuti SJ, Adams DH, Teirstein PS, Zorn GL 3rd, Forrest JK, Tchétché D, Resar J, Walton A, Piazza N, Ramlawi B, Robinson N, Petrossian G, Gleason TG, Oh JK, Boulware MJ, Qiao H,</w:t>
      </w:r>
      <w:r>
        <w:rPr>
          <w:rFonts w:ascii="Calibri" w:hAnsi="Calibri" w:cs="Times New Roman"/>
          <w:sz w:val="22"/>
          <w:szCs w:val="22"/>
          <w:lang w:eastAsia="zh-CN"/>
        </w:rPr>
        <w:t xml:space="preserve"> Mugglin AS, Reardon MJ; Evolut Low Risk Trial Investigators. Transcatheter Aortic-Valve Replacement with a Self-Expanding Valve in Low-Risk Patients. N Engl J Med. 2019 May 2;380(18):1706-1715. doi: 10.1056/NEJMoa1816885. </w:t>
      </w:r>
    </w:p>
    <w:p w14:paraId="2E301D04" w14:textId="77777777" w:rsidR="00D17396" w:rsidRDefault="00394D51">
      <w:pPr>
        <w:pStyle w:val="ListParagraph"/>
        <w:numPr>
          <w:ilvl w:val="0"/>
          <w:numId w:val="3"/>
        </w:numPr>
        <w:spacing w:after="200" w:line="276" w:lineRule="auto"/>
        <w:rPr>
          <w:rFonts w:ascii="Times New Roman" w:hAnsi="Times New Roman" w:cs="Times New Roman"/>
        </w:rPr>
      </w:pPr>
      <w:r>
        <w:rPr>
          <w:rFonts w:ascii="Calibri" w:hAnsi="Calibri" w:cs="Times New Roman"/>
          <w:sz w:val="22"/>
          <w:szCs w:val="22"/>
          <w:lang w:eastAsia="zh-CN"/>
        </w:rPr>
        <w:t>Moher D, Liberati A, Tetzlaff J,</w:t>
      </w:r>
      <w:r>
        <w:rPr>
          <w:rFonts w:ascii="Calibri" w:hAnsi="Calibri" w:cs="Times New Roman"/>
          <w:sz w:val="22"/>
          <w:szCs w:val="22"/>
          <w:lang w:eastAsia="zh-CN"/>
        </w:rPr>
        <w:t xml:space="preserve"> Altman DG; PRISMA Group. Preferred reporting items for systematic reviews and meta-analyses: the PRISMA statement. PLoS Med. 2009 Jul 21;6(7</w:t>
      </w:r>
      <w:proofErr w:type="gramStart"/>
      <w:r>
        <w:rPr>
          <w:rFonts w:ascii="Calibri" w:hAnsi="Calibri" w:cs="Times New Roman"/>
          <w:sz w:val="22"/>
          <w:szCs w:val="22"/>
          <w:lang w:eastAsia="zh-CN"/>
        </w:rPr>
        <w:t>):e</w:t>
      </w:r>
      <w:proofErr w:type="gramEnd"/>
      <w:r>
        <w:rPr>
          <w:rFonts w:ascii="Calibri" w:hAnsi="Calibri" w:cs="Times New Roman"/>
          <w:sz w:val="22"/>
          <w:szCs w:val="22"/>
          <w:lang w:eastAsia="zh-CN"/>
        </w:rPr>
        <w:t xml:space="preserve">1000097. doi: 10.1371/journal.pmed.1000097. </w:t>
      </w:r>
    </w:p>
    <w:p w14:paraId="06D5E358" w14:textId="77777777" w:rsidR="00D17396" w:rsidRDefault="00394D51">
      <w:pPr>
        <w:pStyle w:val="ListParagraph"/>
        <w:numPr>
          <w:ilvl w:val="0"/>
          <w:numId w:val="3"/>
        </w:numPr>
        <w:spacing w:after="200" w:line="276" w:lineRule="auto"/>
        <w:rPr>
          <w:rFonts w:ascii="Times New Roman" w:hAnsi="Times New Roman" w:cs="Times New Roman"/>
        </w:rPr>
      </w:pPr>
      <w:r>
        <w:rPr>
          <w:rFonts w:ascii="Calibri" w:hAnsi="Calibri" w:cs="Times New Roman"/>
          <w:sz w:val="22"/>
          <w:szCs w:val="22"/>
          <w:lang w:eastAsia="zh-CN"/>
        </w:rPr>
        <w:t xml:space="preserve">Sterne JAC, Savović J, Page MJ, Elbers RG, Blencowe NS, Boutron I, </w:t>
      </w:r>
      <w:r>
        <w:rPr>
          <w:rFonts w:ascii="Calibri" w:hAnsi="Calibri" w:cs="Times New Roman"/>
          <w:sz w:val="22"/>
          <w:szCs w:val="22"/>
          <w:lang w:eastAsia="zh-CN"/>
        </w:rPr>
        <w:t>Cates CJ, Cheng HY, Corbett MS, Eldridge SM, Emberson JR, Hernán MA, Hopewell S, Hróbjartsson A, Junqueira DR, Jüni P, Kirkham JJ, Lasserson T, Li T, McAleenan A, Reeves BC, Shepperd S, Shrier I, Stewart LA, Tilling K, White IR, Whiting PF, Higgins JPT. Ro</w:t>
      </w:r>
      <w:r>
        <w:rPr>
          <w:rFonts w:ascii="Calibri" w:hAnsi="Calibri" w:cs="Times New Roman"/>
          <w:sz w:val="22"/>
          <w:szCs w:val="22"/>
          <w:lang w:eastAsia="zh-CN"/>
        </w:rPr>
        <w:t>B 2: a revised tool for assessing risk of bias in randomised trials. BMJ. 2019 Aug 28;</w:t>
      </w:r>
      <w:proofErr w:type="gramStart"/>
      <w:r>
        <w:rPr>
          <w:rFonts w:ascii="Calibri" w:hAnsi="Calibri" w:cs="Times New Roman"/>
          <w:sz w:val="22"/>
          <w:szCs w:val="22"/>
          <w:lang w:eastAsia="zh-CN"/>
        </w:rPr>
        <w:t>366:l</w:t>
      </w:r>
      <w:proofErr w:type="gramEnd"/>
      <w:r>
        <w:rPr>
          <w:rFonts w:ascii="Calibri" w:hAnsi="Calibri" w:cs="Times New Roman"/>
          <w:sz w:val="22"/>
          <w:szCs w:val="22"/>
          <w:lang w:eastAsia="zh-CN"/>
        </w:rPr>
        <w:t>4898. doi: 10.1136/</w:t>
      </w:r>
      <w:proofErr w:type="gramStart"/>
      <w:r>
        <w:rPr>
          <w:rFonts w:ascii="Calibri" w:hAnsi="Calibri" w:cs="Times New Roman"/>
          <w:sz w:val="22"/>
          <w:szCs w:val="22"/>
          <w:lang w:eastAsia="zh-CN"/>
        </w:rPr>
        <w:t>bmj.l</w:t>
      </w:r>
      <w:proofErr w:type="gramEnd"/>
      <w:r>
        <w:rPr>
          <w:rFonts w:ascii="Calibri" w:hAnsi="Calibri" w:cs="Times New Roman"/>
          <w:sz w:val="22"/>
          <w:szCs w:val="22"/>
          <w:lang w:eastAsia="zh-CN"/>
        </w:rPr>
        <w:t xml:space="preserve">4898. </w:t>
      </w:r>
    </w:p>
    <w:p w14:paraId="567F65FB" w14:textId="77777777" w:rsidR="00D17396" w:rsidRDefault="00394D51">
      <w:pPr>
        <w:pStyle w:val="ListParagraph"/>
        <w:numPr>
          <w:ilvl w:val="0"/>
          <w:numId w:val="3"/>
        </w:numPr>
        <w:spacing w:after="200" w:line="276" w:lineRule="auto"/>
        <w:rPr>
          <w:rFonts w:ascii="Times New Roman" w:hAnsi="Times New Roman" w:cs="Times New Roman"/>
        </w:rPr>
      </w:pPr>
      <w:r>
        <w:rPr>
          <w:rFonts w:ascii="Calibri" w:hAnsi="Calibri" w:cs="Times New Roman"/>
          <w:sz w:val="22"/>
          <w:szCs w:val="22"/>
          <w:lang w:eastAsia="zh-CN"/>
        </w:rPr>
        <w:t xml:space="preserve">Suurmond R, van Rhee H, Hak T. Introduction, comparison, and validation of Meta-Essentials: A free and simple tool for meta-analysis. </w:t>
      </w:r>
      <w:r>
        <w:rPr>
          <w:rFonts w:ascii="Calibri" w:hAnsi="Calibri" w:cs="Times New Roman"/>
          <w:sz w:val="22"/>
          <w:szCs w:val="22"/>
          <w:lang w:eastAsia="zh-CN"/>
        </w:rPr>
        <w:t xml:space="preserve">Res Synth Methods. 2017 Dec;8(4):537-553. doi: 10.1002/jrsm.1260.  </w:t>
      </w:r>
    </w:p>
    <w:p w14:paraId="7078452B" w14:textId="77777777" w:rsidR="00D17396" w:rsidRDefault="00394D51">
      <w:pPr>
        <w:pStyle w:val="ListParagraph"/>
        <w:numPr>
          <w:ilvl w:val="0"/>
          <w:numId w:val="3"/>
        </w:numPr>
        <w:spacing w:after="200" w:line="276" w:lineRule="auto"/>
        <w:rPr>
          <w:rFonts w:ascii="Times New Roman" w:hAnsi="Times New Roman" w:cs="Times New Roman"/>
        </w:rPr>
      </w:pPr>
      <w:r>
        <w:rPr>
          <w:rFonts w:ascii="Calibri" w:hAnsi="Calibri" w:cs="Times New Roman"/>
          <w:sz w:val="22"/>
          <w:szCs w:val="22"/>
          <w:lang w:eastAsia="zh-CN"/>
        </w:rPr>
        <w:t>Serruys PW, Modolo R, Reardon M, Miyazaki Y, Windecker S, Popma J, Chang Y, Kleiman NS, Lilly S, Amrane H, Boonstra PW, Kappetein AP, Onuma Y, Søndergaard L, van Mieghem N. One-year outcom</w:t>
      </w:r>
      <w:r>
        <w:rPr>
          <w:rFonts w:ascii="Calibri" w:hAnsi="Calibri" w:cs="Times New Roman"/>
          <w:sz w:val="22"/>
          <w:szCs w:val="22"/>
          <w:lang w:eastAsia="zh-CN"/>
        </w:rPr>
        <w:t xml:space="preserve">es of patients with severe aortic stenosis and an STS PROM of less than three percent in the SURTAVI trial. EuroIntervention. 2018 Oct 20;14(8):877-883. doi: 10.4244/EIJ-D-18-00460. </w:t>
      </w:r>
    </w:p>
    <w:p w14:paraId="51026D8B" w14:textId="77777777" w:rsidR="00D17396" w:rsidRDefault="00394D51">
      <w:pPr>
        <w:pStyle w:val="ListParagraph"/>
        <w:numPr>
          <w:ilvl w:val="0"/>
          <w:numId w:val="3"/>
        </w:numPr>
        <w:spacing w:after="200" w:line="276" w:lineRule="auto"/>
        <w:rPr>
          <w:rFonts w:ascii="Times New Roman" w:hAnsi="Times New Roman" w:cs="Times New Roman"/>
        </w:rPr>
      </w:pPr>
      <w:r>
        <w:rPr>
          <w:rFonts w:ascii="Calibri" w:hAnsi="Calibri" w:cs="Times New Roman"/>
          <w:sz w:val="22"/>
          <w:szCs w:val="22"/>
          <w:lang w:eastAsia="zh-CN"/>
        </w:rPr>
        <w:t>Nishimura RA, Otto CM, Bonow RO, Carabello BA, Erwin JP 3rd, Fleisher LA,</w:t>
      </w:r>
      <w:r>
        <w:rPr>
          <w:rFonts w:ascii="Calibri" w:hAnsi="Calibri" w:cs="Times New Roman"/>
          <w:sz w:val="22"/>
          <w:szCs w:val="22"/>
          <w:lang w:eastAsia="zh-CN"/>
        </w:rPr>
        <w:t xml:space="preserve"> Jneid H, Mack MJ, McLeod CJ, O'Gara PT, Rigolin VH, Sundt TM 3rd, Thompson A. 2017 AHA/ACC Focused Update of the 2014 AHA/ACC Guideline for the Management of Patients </w:t>
      </w:r>
      <w:proofErr w:type="gramStart"/>
      <w:r>
        <w:rPr>
          <w:rFonts w:ascii="Calibri" w:hAnsi="Calibri" w:cs="Times New Roman"/>
          <w:sz w:val="22"/>
          <w:szCs w:val="22"/>
          <w:lang w:eastAsia="zh-CN"/>
        </w:rPr>
        <w:t>With</w:t>
      </w:r>
      <w:proofErr w:type="gramEnd"/>
      <w:r>
        <w:rPr>
          <w:rFonts w:ascii="Calibri" w:hAnsi="Calibri" w:cs="Times New Roman"/>
          <w:sz w:val="22"/>
          <w:szCs w:val="22"/>
          <w:lang w:eastAsia="zh-CN"/>
        </w:rPr>
        <w:t xml:space="preserve"> Valvular Heart Disease: A Report of the American College of Cardiology/American Hea</w:t>
      </w:r>
      <w:r>
        <w:rPr>
          <w:rFonts w:ascii="Calibri" w:hAnsi="Calibri" w:cs="Times New Roman"/>
          <w:sz w:val="22"/>
          <w:szCs w:val="22"/>
          <w:lang w:eastAsia="zh-CN"/>
        </w:rPr>
        <w:t>rt Association Task Force on Clinical Practice Guidelines. Circulation. 2017 Jun 20;135(25</w:t>
      </w:r>
      <w:proofErr w:type="gramStart"/>
      <w:r>
        <w:rPr>
          <w:rFonts w:ascii="Calibri" w:hAnsi="Calibri" w:cs="Times New Roman"/>
          <w:sz w:val="22"/>
          <w:szCs w:val="22"/>
          <w:lang w:eastAsia="zh-CN"/>
        </w:rPr>
        <w:t>):e</w:t>
      </w:r>
      <w:proofErr w:type="gramEnd"/>
      <w:r>
        <w:rPr>
          <w:rFonts w:ascii="Calibri" w:hAnsi="Calibri" w:cs="Times New Roman"/>
          <w:sz w:val="22"/>
          <w:szCs w:val="22"/>
          <w:lang w:eastAsia="zh-CN"/>
        </w:rPr>
        <w:t xml:space="preserve">1159-e1195. doi: 10.1161/CIR.0000000000000503. </w:t>
      </w:r>
    </w:p>
    <w:p w14:paraId="65314F20" w14:textId="77777777" w:rsidR="00D17396" w:rsidRDefault="00394D51">
      <w:pPr>
        <w:pStyle w:val="ListParagraph"/>
        <w:numPr>
          <w:ilvl w:val="0"/>
          <w:numId w:val="3"/>
        </w:numPr>
        <w:spacing w:after="200" w:line="276" w:lineRule="auto"/>
        <w:rPr>
          <w:rFonts w:ascii="Times New Roman" w:hAnsi="Times New Roman" w:cs="Times New Roman"/>
        </w:rPr>
      </w:pPr>
      <w:r>
        <w:rPr>
          <w:rFonts w:ascii="Calibri" w:hAnsi="Calibri" w:cs="Times New Roman"/>
          <w:sz w:val="22"/>
          <w:szCs w:val="22"/>
          <w:lang w:eastAsia="zh-CN"/>
        </w:rPr>
        <w:t xml:space="preserve">Rosato S, Santini F, Barbanti M, Biancari F, D'Errigo P, Onorati F, Tamburino C, Ranucci M, Covello RD, Santoro G, Grossi C, Ventura M, Fusco D, Seccareccia F; OBSERVANT Research Group. </w:t>
      </w:r>
      <w:r>
        <w:rPr>
          <w:rFonts w:ascii="Calibri" w:hAnsi="Calibri" w:cs="Times New Roman"/>
          <w:sz w:val="22"/>
          <w:szCs w:val="22"/>
          <w:lang w:eastAsia="zh-CN"/>
        </w:rPr>
        <w:lastRenderedPageBreak/>
        <w:t xml:space="preserve">Transcatheter Aortic Valve Implantation Compared </w:t>
      </w:r>
      <w:proofErr w:type="gramStart"/>
      <w:r>
        <w:rPr>
          <w:rFonts w:ascii="Calibri" w:hAnsi="Calibri" w:cs="Times New Roman"/>
          <w:sz w:val="22"/>
          <w:szCs w:val="22"/>
          <w:lang w:eastAsia="zh-CN"/>
        </w:rPr>
        <w:t>With</w:t>
      </w:r>
      <w:proofErr w:type="gramEnd"/>
      <w:r>
        <w:rPr>
          <w:rFonts w:ascii="Calibri" w:hAnsi="Calibri" w:cs="Times New Roman"/>
          <w:sz w:val="22"/>
          <w:szCs w:val="22"/>
          <w:lang w:eastAsia="zh-CN"/>
        </w:rPr>
        <w:t xml:space="preserve"> Surgical Aortic </w:t>
      </w:r>
      <w:r>
        <w:rPr>
          <w:rFonts w:ascii="Calibri" w:hAnsi="Calibri" w:cs="Times New Roman"/>
          <w:sz w:val="22"/>
          <w:szCs w:val="22"/>
          <w:lang w:eastAsia="zh-CN"/>
        </w:rPr>
        <w:t>Valve Replacement in Low-Risk Patients. Circ Cardiovasc Interv. 2016 May;9(5</w:t>
      </w:r>
      <w:proofErr w:type="gramStart"/>
      <w:r>
        <w:rPr>
          <w:rFonts w:ascii="Calibri" w:hAnsi="Calibri" w:cs="Times New Roman"/>
          <w:sz w:val="22"/>
          <w:szCs w:val="22"/>
          <w:lang w:eastAsia="zh-CN"/>
        </w:rPr>
        <w:t>):e</w:t>
      </w:r>
      <w:proofErr w:type="gramEnd"/>
      <w:r>
        <w:rPr>
          <w:rFonts w:ascii="Calibri" w:hAnsi="Calibri" w:cs="Times New Roman"/>
          <w:sz w:val="22"/>
          <w:szCs w:val="22"/>
          <w:lang w:eastAsia="zh-CN"/>
        </w:rPr>
        <w:t xml:space="preserve">003326. doi: 10.1161/CIRCINTERVENTIONS.115.003326. </w:t>
      </w:r>
    </w:p>
    <w:p w14:paraId="2FB57277" w14:textId="77777777" w:rsidR="00D17396" w:rsidRDefault="00394D51">
      <w:pPr>
        <w:pStyle w:val="ListParagraph"/>
        <w:numPr>
          <w:ilvl w:val="0"/>
          <w:numId w:val="3"/>
        </w:numPr>
        <w:spacing w:after="200" w:line="276" w:lineRule="auto"/>
        <w:rPr>
          <w:rFonts w:ascii="Times New Roman" w:hAnsi="Times New Roman" w:cs="Times New Roman"/>
        </w:rPr>
      </w:pPr>
      <w:r>
        <w:rPr>
          <w:rFonts w:ascii="Calibri" w:hAnsi="Calibri" w:cs="Times New Roman"/>
          <w:sz w:val="22"/>
          <w:szCs w:val="22"/>
          <w:lang w:eastAsia="zh-CN"/>
        </w:rPr>
        <w:t xml:space="preserve">Bekeredjian R, Szabo G, Balaban Ü, Bleiziffer S, Bauer T, Ensminger S, Frerker C, Herrmann E, Beyersdorf F, Hamm C, Beckmann </w:t>
      </w:r>
      <w:r>
        <w:rPr>
          <w:rFonts w:ascii="Calibri" w:hAnsi="Calibri" w:cs="Times New Roman"/>
          <w:sz w:val="22"/>
          <w:szCs w:val="22"/>
          <w:lang w:eastAsia="zh-CN"/>
        </w:rPr>
        <w:t>A, Möllmann H, Karck M, Katus HA, Walther T. Patients at low surgical risk as defined by the Society of Thoracic Surgeons Score undergoing isolated interventional or surgical aortic valve implantation: in-hospital data and 1-year results from the German Ao</w:t>
      </w:r>
      <w:r>
        <w:rPr>
          <w:rFonts w:ascii="Calibri" w:hAnsi="Calibri" w:cs="Times New Roman"/>
          <w:sz w:val="22"/>
          <w:szCs w:val="22"/>
          <w:lang w:eastAsia="zh-CN"/>
        </w:rPr>
        <w:t xml:space="preserve">rtic Valve Registry (GARY). Eur Heart J. 2019 May 1;40(17):1323-1330. doi: 10.1093/eurheartj/ehy699. </w:t>
      </w:r>
    </w:p>
    <w:p w14:paraId="5EF51206" w14:textId="77777777" w:rsidR="00D17396" w:rsidRDefault="00394D51">
      <w:pPr>
        <w:pStyle w:val="ListParagraph"/>
        <w:numPr>
          <w:ilvl w:val="0"/>
          <w:numId w:val="3"/>
        </w:numPr>
        <w:spacing w:after="200" w:line="276" w:lineRule="auto"/>
        <w:rPr>
          <w:rFonts w:ascii="Times New Roman" w:hAnsi="Times New Roman" w:cs="Times New Roman"/>
        </w:rPr>
      </w:pPr>
      <w:r>
        <w:rPr>
          <w:rFonts w:ascii="Calibri" w:hAnsi="Calibri" w:cs="Times New Roman"/>
          <w:sz w:val="22"/>
          <w:szCs w:val="22"/>
          <w:lang w:eastAsia="zh-CN"/>
        </w:rPr>
        <w:t>Frank D, Abdel-Wahab M, Gilard M, Digne F, Souteyrand G, Caussin C, Collart F, Letocart V, Wöhrle J, Kuhn C, Hovorka T, Baumgartner H. Characteristics and</w:t>
      </w:r>
      <w:r>
        <w:rPr>
          <w:rFonts w:ascii="Calibri" w:hAnsi="Calibri" w:cs="Times New Roman"/>
          <w:sz w:val="22"/>
          <w:szCs w:val="22"/>
          <w:lang w:eastAsia="zh-CN"/>
        </w:rPr>
        <w:t xml:space="preserve"> outcomes of patients ≤ 75 years who underwent transcatheter aortic valve implantation: insights from the SOURCE 3 Registry. Clin Res Cardiol. 2019 Jul;108(7):763-771. doi: 10.1007/s00392-018-1404-2. </w:t>
      </w:r>
    </w:p>
    <w:p w14:paraId="7AC1655D" w14:textId="77777777" w:rsidR="00D17396" w:rsidRDefault="00394D51">
      <w:pPr>
        <w:pStyle w:val="ListParagraph"/>
        <w:numPr>
          <w:ilvl w:val="0"/>
          <w:numId w:val="3"/>
        </w:numPr>
        <w:spacing w:after="200" w:line="276" w:lineRule="auto"/>
        <w:rPr>
          <w:rFonts w:ascii="Times New Roman" w:hAnsi="Times New Roman" w:cs="Times New Roman"/>
        </w:rPr>
      </w:pPr>
      <w:r>
        <w:rPr>
          <w:rFonts w:ascii="Calibri" w:hAnsi="Calibri" w:cs="Times New Roman"/>
          <w:sz w:val="22"/>
          <w:szCs w:val="22"/>
          <w:lang w:eastAsia="zh-CN"/>
        </w:rPr>
        <w:t>Vora AN, Dai D, Matsuoka R, Harrison JK, Hughes GC 4th,</w:t>
      </w:r>
      <w:r>
        <w:rPr>
          <w:rFonts w:ascii="Calibri" w:hAnsi="Calibri" w:cs="Times New Roman"/>
          <w:sz w:val="22"/>
          <w:szCs w:val="22"/>
          <w:lang w:eastAsia="zh-CN"/>
        </w:rPr>
        <w:t xml:space="preserve"> Sherwood MW, Piccini JP, Bhardwaj B, Lopes RD, Cohen D, Holmes DR Jr, Thourani VH, Peterson E, Kirtane A, Kapadia S, Vemulapalli S. Incidence, Management, and Associated Clinical Outcomes of New-Onset Atrial Fibrillation Following Transcatheter Aortic Val</w:t>
      </w:r>
      <w:r>
        <w:rPr>
          <w:rFonts w:ascii="Calibri" w:hAnsi="Calibri" w:cs="Times New Roman"/>
          <w:sz w:val="22"/>
          <w:szCs w:val="22"/>
          <w:lang w:eastAsia="zh-CN"/>
        </w:rPr>
        <w:t xml:space="preserve">ve Replacement: An Analysis From the STS/ACC TVT Registry. JACC Cardiovasc Interv. 2018 Sep 10;11(17):1746-1756. doi: 10.1016/j.jcin.2018.05.042. </w:t>
      </w:r>
    </w:p>
    <w:p w14:paraId="685AA448" w14:textId="77777777" w:rsidR="00D17396" w:rsidRDefault="00394D51">
      <w:pPr>
        <w:pStyle w:val="ListParagraph"/>
        <w:numPr>
          <w:ilvl w:val="0"/>
          <w:numId w:val="3"/>
        </w:numPr>
        <w:spacing w:after="200" w:line="276" w:lineRule="auto"/>
        <w:rPr>
          <w:rFonts w:ascii="Times New Roman" w:hAnsi="Times New Roman" w:cs="Times New Roman"/>
        </w:rPr>
      </w:pPr>
      <w:r>
        <w:rPr>
          <w:rFonts w:ascii="Calibri" w:hAnsi="Calibri" w:cs="Times New Roman"/>
          <w:sz w:val="22"/>
          <w:szCs w:val="22"/>
          <w:lang w:eastAsia="zh-CN"/>
        </w:rPr>
        <w:t>Filardo G, Hamilton C, Hamman B, Hebeler RF Jr, Adams J, Grayburn P. New-onset postoperative atrial fibrillat</w:t>
      </w:r>
      <w:r>
        <w:rPr>
          <w:rFonts w:ascii="Calibri" w:hAnsi="Calibri" w:cs="Times New Roman"/>
          <w:sz w:val="22"/>
          <w:szCs w:val="22"/>
          <w:lang w:eastAsia="zh-CN"/>
        </w:rPr>
        <w:t xml:space="preserve">ion and long-term survival after aortic valve replacement surgery. Ann Thorac Surg. 2010 Aug;90(2):474-9. doi: 10.1016/j.athoracsur.2010.02.081. </w:t>
      </w:r>
    </w:p>
    <w:p w14:paraId="785D55F7" w14:textId="77777777" w:rsidR="00D17396" w:rsidRDefault="00394D51">
      <w:pPr>
        <w:pStyle w:val="ListParagraph"/>
        <w:numPr>
          <w:ilvl w:val="0"/>
          <w:numId w:val="3"/>
        </w:numPr>
        <w:spacing w:after="200" w:line="276" w:lineRule="auto"/>
        <w:rPr>
          <w:rFonts w:ascii="Times New Roman" w:hAnsi="Times New Roman" w:cs="Times New Roman"/>
        </w:rPr>
      </w:pPr>
      <w:r>
        <w:rPr>
          <w:rFonts w:ascii="Calibri" w:hAnsi="Calibri" w:cs="Times New Roman"/>
          <w:sz w:val="22"/>
          <w:szCs w:val="22"/>
          <w:lang w:eastAsia="zh-CN"/>
        </w:rPr>
        <w:t>Généreux P, Cohen DJ, Williams MR, Mack M, Kodali SK, Svensson LG, Kirtane AJ, Xu K, McAndrew TC, Makkar R, Sm</w:t>
      </w:r>
      <w:r>
        <w:rPr>
          <w:rFonts w:ascii="Calibri" w:hAnsi="Calibri" w:cs="Times New Roman"/>
          <w:sz w:val="22"/>
          <w:szCs w:val="22"/>
          <w:lang w:eastAsia="zh-CN"/>
        </w:rPr>
        <w:t>ith CR, Leon MB. Bleeding complications after surgical aortic valve replacement compared with transcatheter aortic valve replacement: insights from the PARTNER I Trial (Placement of Aortic Transcatheter Valve). J Am Coll Cardiol. 2014 Mar 25;63(11):1100-9.</w:t>
      </w:r>
      <w:r>
        <w:rPr>
          <w:rFonts w:ascii="Calibri" w:hAnsi="Calibri" w:cs="Times New Roman"/>
          <w:sz w:val="22"/>
          <w:szCs w:val="22"/>
          <w:lang w:eastAsia="zh-CN"/>
        </w:rPr>
        <w:t xml:space="preserve"> doi: 10.1016/j.jacc.2013.10.058. </w:t>
      </w:r>
    </w:p>
    <w:p w14:paraId="2FB7CF94" w14:textId="77777777" w:rsidR="00D17396" w:rsidRDefault="00394D51">
      <w:pPr>
        <w:pStyle w:val="ListParagraph"/>
        <w:numPr>
          <w:ilvl w:val="0"/>
          <w:numId w:val="3"/>
        </w:numPr>
        <w:spacing w:after="200" w:line="276" w:lineRule="auto"/>
        <w:rPr>
          <w:rFonts w:ascii="Times New Roman" w:hAnsi="Times New Roman" w:cs="Times New Roman"/>
        </w:rPr>
      </w:pPr>
      <w:r>
        <w:rPr>
          <w:rFonts w:ascii="Calibri" w:hAnsi="Calibri" w:cs="Times New Roman"/>
          <w:sz w:val="22"/>
          <w:szCs w:val="22"/>
          <w:lang w:eastAsia="zh-CN"/>
        </w:rPr>
        <w:t xml:space="preserve">Najjar M, Salna M, George I. Acute kidney injury after aortic valve replacement: incidence, risk factors and outcomes. Expert Rev Cardiovasc Ther. 2015 Mar;13(3):301-16. doi: 10.1586/14779072.2015.1002467. </w:t>
      </w:r>
    </w:p>
    <w:p w14:paraId="39A33B5B" w14:textId="77777777" w:rsidR="00D17396" w:rsidRDefault="00394D51">
      <w:pPr>
        <w:pStyle w:val="ListParagraph"/>
        <w:numPr>
          <w:ilvl w:val="0"/>
          <w:numId w:val="3"/>
        </w:numPr>
        <w:spacing w:after="200" w:line="276" w:lineRule="auto"/>
        <w:rPr>
          <w:rFonts w:ascii="Times New Roman" w:hAnsi="Times New Roman" w:cs="Times New Roman"/>
        </w:rPr>
      </w:pPr>
      <w:r>
        <w:rPr>
          <w:rFonts w:ascii="Calibri" w:hAnsi="Calibri" w:cs="Times New Roman"/>
          <w:sz w:val="22"/>
          <w:szCs w:val="22"/>
          <w:lang w:eastAsia="zh-CN"/>
        </w:rPr>
        <w:t>Abdel-Wahab M,</w:t>
      </w:r>
      <w:r>
        <w:rPr>
          <w:rFonts w:ascii="Calibri" w:hAnsi="Calibri" w:cs="Times New Roman"/>
          <w:sz w:val="22"/>
          <w:szCs w:val="22"/>
          <w:lang w:eastAsia="zh-CN"/>
        </w:rPr>
        <w:t xml:space="preserve"> Mehilli J, Frerker C, Neumann FJ, Kurz T, Tölg R, Zachow D, Guerra E, Massberg S, Schäfer U, El-Mawardy M, Richardt G; CHOICE investigators. Comparison of balloon-expandable vs self-expandable valves in patients undergoing transcatheter aortic valve repla</w:t>
      </w:r>
      <w:r>
        <w:rPr>
          <w:rFonts w:ascii="Calibri" w:hAnsi="Calibri" w:cs="Times New Roman"/>
          <w:sz w:val="22"/>
          <w:szCs w:val="22"/>
          <w:lang w:eastAsia="zh-CN"/>
        </w:rPr>
        <w:t xml:space="preserve">cement: the CHOICE randomized clinical trial. JAMA. 2014 Apr 16;311(15):1503-14. doi: 10.1001/jama.2014.3316. </w:t>
      </w:r>
    </w:p>
    <w:p w14:paraId="4628DCB0" w14:textId="77777777" w:rsidR="00D17396" w:rsidRDefault="00394D51">
      <w:pPr>
        <w:pStyle w:val="ListParagraph"/>
        <w:numPr>
          <w:ilvl w:val="0"/>
          <w:numId w:val="3"/>
        </w:numPr>
        <w:spacing w:after="200" w:line="276" w:lineRule="auto"/>
        <w:rPr>
          <w:rFonts w:ascii="Times New Roman" w:hAnsi="Times New Roman" w:cs="Times New Roman"/>
        </w:rPr>
      </w:pPr>
      <w:r>
        <w:rPr>
          <w:rFonts w:ascii="Calibri" w:hAnsi="Calibri" w:cs="Times New Roman"/>
          <w:sz w:val="22"/>
          <w:szCs w:val="22"/>
          <w:lang w:eastAsia="zh-CN"/>
        </w:rPr>
        <w:t>Abdel-Wahab M, Neumann FJ, Mehilli J, Frerker C, Richardt D, Landt M, Jose J, Toelg R, Kuck KH, Massberg S, Robinson DR, El-Mawardy M, Richardt G</w:t>
      </w:r>
      <w:r>
        <w:rPr>
          <w:rFonts w:ascii="Calibri" w:hAnsi="Calibri" w:cs="Times New Roman"/>
          <w:sz w:val="22"/>
          <w:szCs w:val="22"/>
          <w:lang w:eastAsia="zh-CN"/>
        </w:rPr>
        <w:t xml:space="preserve">; CHOICE Investigators. 1-Year Outcomes After Transcatheter Aortic Valve Replacement </w:t>
      </w:r>
      <w:proofErr w:type="gramStart"/>
      <w:r>
        <w:rPr>
          <w:rFonts w:ascii="Calibri" w:hAnsi="Calibri" w:cs="Times New Roman"/>
          <w:sz w:val="22"/>
          <w:szCs w:val="22"/>
          <w:lang w:eastAsia="zh-CN"/>
        </w:rPr>
        <w:t>With</w:t>
      </w:r>
      <w:proofErr w:type="gramEnd"/>
      <w:r>
        <w:rPr>
          <w:rFonts w:ascii="Calibri" w:hAnsi="Calibri" w:cs="Times New Roman"/>
          <w:sz w:val="22"/>
          <w:szCs w:val="22"/>
          <w:lang w:eastAsia="zh-CN"/>
        </w:rPr>
        <w:t xml:space="preserve"> Balloon-Expandable Versus Self-Expandable Valves: Results From the CHOICE Randomized Clinical Trial. J Am Coll Cardiol. 2015 Aug 18;66(7):791-800. doi: 10.1016/j.jacc</w:t>
      </w:r>
      <w:r>
        <w:rPr>
          <w:rFonts w:ascii="Calibri" w:hAnsi="Calibri" w:cs="Times New Roman"/>
          <w:sz w:val="22"/>
          <w:szCs w:val="22"/>
          <w:lang w:eastAsia="zh-CN"/>
        </w:rPr>
        <w:t xml:space="preserve">.2015.06.026. </w:t>
      </w:r>
    </w:p>
    <w:p w14:paraId="28A7227B" w14:textId="77777777" w:rsidR="00D17396" w:rsidRDefault="00394D51">
      <w:pPr>
        <w:pStyle w:val="ListParagraph"/>
        <w:numPr>
          <w:ilvl w:val="0"/>
          <w:numId w:val="3"/>
        </w:numPr>
        <w:spacing w:after="200" w:line="276" w:lineRule="auto"/>
        <w:rPr>
          <w:rFonts w:ascii="Times New Roman" w:hAnsi="Times New Roman" w:cs="Times New Roman"/>
        </w:rPr>
      </w:pPr>
      <w:r>
        <w:rPr>
          <w:rFonts w:ascii="Calibri" w:hAnsi="Calibri" w:cs="Times New Roman"/>
          <w:sz w:val="22"/>
          <w:szCs w:val="22"/>
          <w:lang w:eastAsia="zh-CN"/>
        </w:rPr>
        <w:t xml:space="preserve">Abdelghani M, Mankerious N, Allali A, Landt M, Kaur J, Sulimov DS, Merten C, Sachse S, Mehilli J, Neumann FJ, Frerker C, Kurz T, El-Mawardy M, Richardt G, Abdel-Wahab M. Bioprosthetic Valve </w:t>
      </w:r>
      <w:r>
        <w:rPr>
          <w:rFonts w:ascii="Calibri" w:hAnsi="Calibri" w:cs="Times New Roman"/>
          <w:sz w:val="22"/>
          <w:szCs w:val="22"/>
          <w:lang w:eastAsia="zh-CN"/>
        </w:rPr>
        <w:lastRenderedPageBreak/>
        <w:t>Performance After Transcatheter Aortic Valve Replac</w:t>
      </w:r>
      <w:r>
        <w:rPr>
          <w:rFonts w:ascii="Calibri" w:hAnsi="Calibri" w:cs="Times New Roman"/>
          <w:sz w:val="22"/>
          <w:szCs w:val="22"/>
          <w:lang w:eastAsia="zh-CN"/>
        </w:rPr>
        <w:t xml:space="preserve">ement </w:t>
      </w:r>
      <w:proofErr w:type="gramStart"/>
      <w:r>
        <w:rPr>
          <w:rFonts w:ascii="Calibri" w:hAnsi="Calibri" w:cs="Times New Roman"/>
          <w:sz w:val="22"/>
          <w:szCs w:val="22"/>
          <w:lang w:eastAsia="zh-CN"/>
        </w:rPr>
        <w:t>With</w:t>
      </w:r>
      <w:proofErr w:type="gramEnd"/>
      <w:r>
        <w:rPr>
          <w:rFonts w:ascii="Calibri" w:hAnsi="Calibri" w:cs="Times New Roman"/>
          <w:sz w:val="22"/>
          <w:szCs w:val="22"/>
          <w:lang w:eastAsia="zh-CN"/>
        </w:rPr>
        <w:t xml:space="preserve"> Self-Expanding Versus Balloon-Expandable Valves in Large Versus Small Aortic Valve Annuli: Insights From the CHOICE Trial and the CHOICE-Extend Registry. JACC Cardiovasc Interv. 2018 Dec 24;11(24):2507-2518. doi: 10.1016/j.jcin.2018.07.050. </w:t>
      </w:r>
    </w:p>
    <w:p w14:paraId="2EE29AA8" w14:textId="77777777" w:rsidR="00D17396" w:rsidRDefault="00394D51">
      <w:pPr>
        <w:pStyle w:val="ListParagraph"/>
        <w:numPr>
          <w:ilvl w:val="0"/>
          <w:numId w:val="3"/>
        </w:numPr>
        <w:spacing w:after="200" w:line="276" w:lineRule="auto"/>
        <w:rPr>
          <w:rFonts w:ascii="Times New Roman" w:hAnsi="Times New Roman" w:cs="Times New Roman"/>
        </w:rPr>
      </w:pPr>
      <w:r>
        <w:rPr>
          <w:rFonts w:ascii="Calibri" w:hAnsi="Calibri" w:cs="Times New Roman"/>
          <w:sz w:val="22"/>
          <w:szCs w:val="22"/>
          <w:lang w:eastAsia="zh-CN"/>
        </w:rPr>
        <w:t>Blackman DJ, Saraf S, MacCarthy PA, Myat A, Anderson SG, Malkin CJ, Cunnington MS, Somers K, Brennan P, Manoharan G, Parker J, Aldalati O, Brecker SJ, Dowling C, Hoole SP, Dorman S, Mullen M, Kennon S, Jerrum M, Chandrala P, Roberts DH, Tay J, Doshi SN, Lu</w:t>
      </w:r>
      <w:r>
        <w:rPr>
          <w:rFonts w:ascii="Calibri" w:hAnsi="Calibri" w:cs="Times New Roman"/>
          <w:sz w:val="22"/>
          <w:szCs w:val="22"/>
          <w:lang w:eastAsia="zh-CN"/>
        </w:rPr>
        <w:t xml:space="preserve">dman PF, Fairbairn TA, Crowe J, Levy RD, Banning AP, Ruparelia N, Spence MS, Hildick-Smith D. Long-Term Durability of Transcatheter Aortic Valve Prostheses. J Am Coll Cardiol. 2019 Feb 12;73(5):537-545. doi: 10.1016/j.jacc.2018.10.078. </w:t>
      </w:r>
    </w:p>
    <w:p w14:paraId="4653EDEE" w14:textId="77777777" w:rsidR="00D17396" w:rsidRDefault="00394D51">
      <w:pPr>
        <w:pStyle w:val="ListParagraph"/>
        <w:numPr>
          <w:ilvl w:val="0"/>
          <w:numId w:val="3"/>
        </w:numPr>
        <w:spacing w:after="200" w:line="276" w:lineRule="auto"/>
        <w:rPr>
          <w:rFonts w:ascii="Times New Roman" w:hAnsi="Times New Roman" w:cs="Times New Roman"/>
        </w:rPr>
      </w:pPr>
      <w:r>
        <w:rPr>
          <w:rFonts w:ascii="Calibri" w:hAnsi="Calibri" w:cs="Times New Roman"/>
          <w:sz w:val="22"/>
          <w:szCs w:val="22"/>
          <w:lang w:eastAsia="zh-CN"/>
        </w:rPr>
        <w:t>Didier R, Eltchanin</w:t>
      </w:r>
      <w:r>
        <w:rPr>
          <w:rFonts w:ascii="Calibri" w:hAnsi="Calibri" w:cs="Times New Roman"/>
          <w:sz w:val="22"/>
          <w:szCs w:val="22"/>
          <w:lang w:eastAsia="zh-CN"/>
        </w:rPr>
        <w:t>off H, Donzeau-Gouge P, Chevreul K, Fajadet J, Leprince P, Leguerrier A, Lièvre M, Prat A, Teiger E, Lefevre T, Tchetché D, Carrié D, Himbert D, Albat B, Cribier A, Sudre A, Blanchard D, Rioufol G, Collet F, Houel R, Dos Santos P, Meneveau N, Ghostine S, M</w:t>
      </w:r>
      <w:r>
        <w:rPr>
          <w:rFonts w:ascii="Calibri" w:hAnsi="Calibri" w:cs="Times New Roman"/>
          <w:sz w:val="22"/>
          <w:szCs w:val="22"/>
          <w:lang w:eastAsia="zh-CN"/>
        </w:rPr>
        <w:t>anigold T, Guyon P, Cuisset T, Le Breton H, Delepine S, Favereau X, Souteyrand G, Ohlmann P, Doisy V, Lognoné T, Gommeaux A, Claudel JP, Bourlon F, Bertrand B, Iung B, Gilard M. Five-Year Clinical Outcome and Valve Durability After Transcatheter Aortic Val</w:t>
      </w:r>
      <w:r>
        <w:rPr>
          <w:rFonts w:ascii="Calibri" w:hAnsi="Calibri" w:cs="Times New Roman"/>
          <w:sz w:val="22"/>
          <w:szCs w:val="22"/>
          <w:lang w:eastAsia="zh-CN"/>
        </w:rPr>
        <w:t xml:space="preserve">ve Replacement in High-Risk Patients. Circulation. 2018 Dec 4;138(23):2597-2607. doi: 10.1161/CIRCULATIONAHA.118.036866. </w:t>
      </w:r>
    </w:p>
    <w:p w14:paraId="1CDBA791" w14:textId="77777777" w:rsidR="00D17396" w:rsidRDefault="00394D51">
      <w:pPr>
        <w:pStyle w:val="ListParagraph"/>
        <w:numPr>
          <w:ilvl w:val="0"/>
          <w:numId w:val="3"/>
        </w:numPr>
        <w:spacing w:after="200" w:line="276" w:lineRule="auto"/>
        <w:rPr>
          <w:rFonts w:ascii="Times New Roman" w:hAnsi="Times New Roman" w:cs="Times New Roman"/>
        </w:rPr>
      </w:pPr>
      <w:r>
        <w:rPr>
          <w:rFonts w:ascii="Calibri" w:hAnsi="Calibri" w:cs="Times New Roman"/>
          <w:sz w:val="22"/>
          <w:szCs w:val="22"/>
          <w:lang w:eastAsia="zh-CN"/>
        </w:rPr>
        <w:t>Søndergaard L, Ihlemann N, Capodanno D, Jørgensen TH, Nissen H, Kjeldsen BJ, Chang Y, Steinbrüchel DA, Olsen PS, Petronio AS, Thyregod</w:t>
      </w:r>
      <w:r>
        <w:rPr>
          <w:rFonts w:ascii="Calibri" w:hAnsi="Calibri" w:cs="Times New Roman"/>
          <w:sz w:val="22"/>
          <w:szCs w:val="22"/>
          <w:lang w:eastAsia="zh-CN"/>
        </w:rPr>
        <w:t xml:space="preserve"> HGH. Durability of Transcatheter and Surgical Bioprosthetic Aortic Valves in Patients at Lower Surgical Risk. J Am Coll Cardiol. 2019 Feb 12;73(5):546-553. doi: 10.1016/j.jacc.2018.10.083. </w:t>
      </w:r>
    </w:p>
    <w:p w14:paraId="31B832EE" w14:textId="37899074" w:rsidR="00D17396" w:rsidRPr="00BB4E21" w:rsidRDefault="00394D51">
      <w:pPr>
        <w:pStyle w:val="ListParagraph"/>
        <w:numPr>
          <w:ilvl w:val="0"/>
          <w:numId w:val="3"/>
        </w:numPr>
        <w:spacing w:after="200" w:line="276" w:lineRule="auto"/>
        <w:rPr>
          <w:rFonts w:ascii="Times New Roman" w:hAnsi="Times New Roman" w:cs="Times New Roman"/>
        </w:rPr>
      </w:pPr>
      <w:r>
        <w:rPr>
          <w:rFonts w:ascii="Calibri" w:hAnsi="Calibri" w:cs="Times New Roman"/>
          <w:sz w:val="22"/>
          <w:szCs w:val="22"/>
          <w:lang w:eastAsia="zh-CN"/>
        </w:rPr>
        <w:t>Higgins JPT, Green S, eds. Cochrane Handbook for Systematic Revie</w:t>
      </w:r>
      <w:r>
        <w:rPr>
          <w:rFonts w:ascii="Calibri" w:hAnsi="Calibri" w:cs="Times New Roman"/>
          <w:sz w:val="22"/>
          <w:szCs w:val="22"/>
          <w:lang w:eastAsia="zh-CN"/>
        </w:rPr>
        <w:t xml:space="preserve">ws of Interventions. Version 5.1.0. Updated March 2011. The Cochrane Collaboration. Available at: </w:t>
      </w:r>
      <w:hyperlink r:id="rId7" w:history="1">
        <w:r w:rsidR="00BB4E21" w:rsidRPr="001C16D0">
          <w:rPr>
            <w:rStyle w:val="Hyperlink"/>
            <w:rFonts w:ascii="Calibri" w:hAnsi="Calibri" w:cs="Times New Roman"/>
            <w:sz w:val="22"/>
            <w:szCs w:val="22"/>
            <w:lang w:eastAsia="zh-CN"/>
          </w:rPr>
          <w:t>http://www.handbook.cochrane.org</w:t>
        </w:r>
      </w:hyperlink>
      <w:r>
        <w:rPr>
          <w:rFonts w:ascii="Calibri" w:hAnsi="Calibri" w:cs="Times New Roman"/>
          <w:sz w:val="22"/>
          <w:szCs w:val="22"/>
          <w:lang w:eastAsia="zh-CN"/>
        </w:rPr>
        <w:t>.</w:t>
      </w:r>
    </w:p>
    <w:p w14:paraId="727EF0C0" w14:textId="77777777" w:rsidR="00BB4E21" w:rsidRDefault="00BB4E21" w:rsidP="00BB4E21">
      <w:pPr>
        <w:pStyle w:val="ListParagraph"/>
        <w:spacing w:after="200" w:line="276" w:lineRule="auto"/>
        <w:rPr>
          <w:rFonts w:ascii="Times New Roman" w:hAnsi="Times New Roman" w:cs="Times New Roman"/>
        </w:rPr>
      </w:pPr>
    </w:p>
    <w:p w14:paraId="08CC95B1" w14:textId="77777777" w:rsidR="00BB4E21" w:rsidRDefault="00BB4E21">
      <w:pPr>
        <w:spacing w:after="200" w:line="276" w:lineRule="auto"/>
        <w:rPr>
          <w:rFonts w:ascii="Times New Roman" w:hAnsi="Times New Roman" w:cs="Times New Roman"/>
          <w:b/>
          <w:bCs/>
        </w:rPr>
      </w:pPr>
    </w:p>
    <w:p w14:paraId="68EF910C" w14:textId="77777777" w:rsidR="00BB4E21" w:rsidRDefault="00BB4E21">
      <w:pPr>
        <w:spacing w:after="200" w:line="276" w:lineRule="auto"/>
        <w:rPr>
          <w:rFonts w:ascii="Times New Roman" w:hAnsi="Times New Roman" w:cs="Times New Roman"/>
          <w:b/>
          <w:bCs/>
        </w:rPr>
      </w:pPr>
    </w:p>
    <w:p w14:paraId="12666132" w14:textId="77777777" w:rsidR="00BB4E21" w:rsidRDefault="00BB4E21">
      <w:pPr>
        <w:spacing w:after="200" w:line="276" w:lineRule="auto"/>
        <w:rPr>
          <w:rFonts w:ascii="Times New Roman" w:hAnsi="Times New Roman" w:cs="Times New Roman"/>
          <w:b/>
          <w:bCs/>
        </w:rPr>
      </w:pPr>
    </w:p>
    <w:p w14:paraId="589511AE" w14:textId="77777777" w:rsidR="00BB4E21" w:rsidRDefault="00BB4E21">
      <w:pPr>
        <w:spacing w:after="200" w:line="276" w:lineRule="auto"/>
        <w:rPr>
          <w:rFonts w:ascii="Times New Roman" w:hAnsi="Times New Roman" w:cs="Times New Roman"/>
          <w:b/>
          <w:bCs/>
        </w:rPr>
      </w:pPr>
    </w:p>
    <w:p w14:paraId="0931B3D0" w14:textId="77777777" w:rsidR="00BB4E21" w:rsidRDefault="00BB4E21">
      <w:pPr>
        <w:spacing w:after="200" w:line="276" w:lineRule="auto"/>
        <w:rPr>
          <w:rFonts w:ascii="Times New Roman" w:hAnsi="Times New Roman" w:cs="Times New Roman"/>
          <w:b/>
          <w:bCs/>
        </w:rPr>
      </w:pPr>
    </w:p>
    <w:p w14:paraId="725929E8" w14:textId="77777777" w:rsidR="00BB4E21" w:rsidRDefault="00BB4E21">
      <w:pPr>
        <w:spacing w:after="200" w:line="276" w:lineRule="auto"/>
        <w:rPr>
          <w:rFonts w:ascii="Times New Roman" w:hAnsi="Times New Roman" w:cs="Times New Roman"/>
          <w:b/>
          <w:bCs/>
        </w:rPr>
      </w:pPr>
    </w:p>
    <w:p w14:paraId="59170679" w14:textId="77777777" w:rsidR="00BB4E21" w:rsidRDefault="00BB4E21" w:rsidP="00BB4E21">
      <w:pPr>
        <w:rPr>
          <w:rFonts w:ascii="Times New Roman" w:hAnsi="Times New Roman" w:cs="Times New Roman"/>
        </w:rPr>
      </w:pPr>
      <w:r>
        <w:rPr>
          <w:rFonts w:ascii="Times New Roman" w:hAnsi="Times New Roman" w:cs="Times New Roman"/>
        </w:rPr>
        <w:lastRenderedPageBreak/>
        <w:t>Figure 1</w:t>
      </w:r>
      <w:r>
        <w:rPr>
          <w:rFonts w:ascii="Times New Roman" w:hAnsi="Times New Roman" w:cs="Times New Roman"/>
          <w:noProof/>
        </w:rPr>
        <w:drawing>
          <wp:anchor distT="0" distB="0" distL="0" distR="0" simplePos="0" relativeHeight="251659264" behindDoc="0" locked="0" layoutInCell="1" allowOverlap="1" wp14:anchorId="7E7D62C2" wp14:editId="2B4295E7">
            <wp:simplePos x="0" y="0"/>
            <wp:positionH relativeFrom="column">
              <wp:posOffset>0</wp:posOffset>
            </wp:positionH>
            <wp:positionV relativeFrom="paragraph">
              <wp:posOffset>292100</wp:posOffset>
            </wp:positionV>
            <wp:extent cx="5943600" cy="5455920"/>
            <wp:effectExtent l="0" t="0" r="0" b="0"/>
            <wp:wrapTopAndBottom/>
            <wp:docPr id="10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cstate="print"/>
                    <a:srcRect/>
                    <a:stretch/>
                  </pic:blipFill>
                  <pic:spPr>
                    <a:xfrm>
                      <a:off x="0" y="0"/>
                      <a:ext cx="5943600" cy="5455920"/>
                    </a:xfrm>
                    <a:prstGeom prst="rect">
                      <a:avLst/>
                    </a:prstGeom>
                  </pic:spPr>
                </pic:pic>
              </a:graphicData>
            </a:graphic>
          </wp:anchor>
        </w:drawing>
      </w:r>
      <w:r>
        <w:rPr>
          <w:rFonts w:ascii="Times New Roman" w:hAnsi="Times New Roman" w:cs="Times New Roman"/>
        </w:rPr>
        <w:t xml:space="preserve"> : PRISMA Study Selection Flow Diagram</w:t>
      </w:r>
    </w:p>
    <w:p w14:paraId="63603FD3" w14:textId="77777777" w:rsidR="00BB4E21" w:rsidRDefault="00BB4E21" w:rsidP="00BB4E21">
      <w:pPr>
        <w:rPr>
          <w:rFonts w:hAnsi="Times New Roman" w:cs="Times New Roman"/>
          <w:i/>
          <w:iCs/>
        </w:rPr>
      </w:pPr>
      <w:r>
        <w:rPr>
          <w:rFonts w:hAnsi="Times New Roman" w:cs="Times New Roman"/>
          <w:i/>
          <w:iCs/>
        </w:rPr>
        <w:t xml:space="preserve">Five hundred seventy-eight records were identified, with 488 remaining after duplicate removal. Title and abstract screening excluded 479 studies. Of nine full-text articles reviewed, four met the inclusion criteria for meta-analysis. Abbreviations: NOTION </w:t>
      </w:r>
      <w:r>
        <w:rPr>
          <w:rFonts w:hAnsi="Times New Roman" w:cs="Times New Roman"/>
          <w:i/>
          <w:iCs/>
        </w:rPr>
        <w:t>–</w:t>
      </w:r>
      <w:r>
        <w:rPr>
          <w:rFonts w:hAnsi="Times New Roman" w:cs="Times New Roman"/>
          <w:i/>
          <w:iCs/>
        </w:rPr>
        <w:t xml:space="preserve"> Nordic Aortic Valve Intervention Trial; PRISMA </w:t>
      </w:r>
      <w:r>
        <w:rPr>
          <w:rFonts w:hAnsi="Times New Roman" w:cs="Times New Roman"/>
          <w:i/>
          <w:iCs/>
        </w:rPr>
        <w:t>–</w:t>
      </w:r>
      <w:r>
        <w:rPr>
          <w:rFonts w:hAnsi="Times New Roman" w:cs="Times New Roman"/>
          <w:i/>
          <w:iCs/>
        </w:rPr>
        <w:t xml:space="preserve"> Preferred Reporting Items for Systematic Reviews and Meta-Analyses; RCT </w:t>
      </w:r>
      <w:r>
        <w:rPr>
          <w:rFonts w:hAnsi="Times New Roman" w:cs="Times New Roman"/>
          <w:i/>
          <w:iCs/>
        </w:rPr>
        <w:t>–</w:t>
      </w:r>
      <w:r>
        <w:rPr>
          <w:rFonts w:hAnsi="Times New Roman" w:cs="Times New Roman"/>
          <w:i/>
          <w:iCs/>
        </w:rPr>
        <w:t xml:space="preserve"> randomized controlled trial; SAVR </w:t>
      </w:r>
      <w:r>
        <w:rPr>
          <w:rFonts w:hAnsi="Times New Roman" w:cs="Times New Roman"/>
          <w:i/>
          <w:iCs/>
        </w:rPr>
        <w:t>–</w:t>
      </w:r>
      <w:r>
        <w:rPr>
          <w:rFonts w:hAnsi="Times New Roman" w:cs="Times New Roman"/>
          <w:i/>
          <w:iCs/>
        </w:rPr>
        <w:t xml:space="preserve"> surgical aortic valve replacement; TAVR </w:t>
      </w:r>
      <w:r>
        <w:rPr>
          <w:rFonts w:hAnsi="Times New Roman" w:cs="Times New Roman"/>
          <w:i/>
          <w:iCs/>
        </w:rPr>
        <w:t>–</w:t>
      </w:r>
      <w:r>
        <w:rPr>
          <w:rFonts w:hAnsi="Times New Roman" w:cs="Times New Roman"/>
          <w:i/>
          <w:iCs/>
        </w:rPr>
        <w:t xml:space="preserve"> transcatheter aortic valve replacement.</w:t>
      </w:r>
    </w:p>
    <w:p w14:paraId="10A4C481" w14:textId="77777777" w:rsidR="00BB4E21" w:rsidRDefault="00BB4E21" w:rsidP="00BB4E21">
      <w:pPr>
        <w:rPr>
          <w:rFonts w:hAnsi="Times New Roman" w:cs="Times New Roman"/>
          <w:i/>
          <w:iCs/>
        </w:rPr>
      </w:pPr>
    </w:p>
    <w:p w14:paraId="3C533BEC" w14:textId="77777777" w:rsidR="00BB4E21" w:rsidRDefault="00BB4E21" w:rsidP="00BB4E21">
      <w:pPr>
        <w:rPr>
          <w:rFonts w:ascii="Times New Roman" w:hAnsi="Times New Roman" w:cs="Times New Roman"/>
        </w:rPr>
      </w:pPr>
      <w:r>
        <w:rPr>
          <w:rFonts w:ascii="Times New Roman" w:hAnsi="Times New Roman" w:cs="Times New Roman"/>
        </w:rPr>
        <w:lastRenderedPageBreak/>
        <w:t>Figure 2</w:t>
      </w:r>
      <w:r>
        <w:rPr>
          <w:rFonts w:ascii="Times New Roman" w:hAnsi="Times New Roman" w:cs="Times New Roman"/>
          <w:noProof/>
        </w:rPr>
        <w:drawing>
          <wp:anchor distT="0" distB="0" distL="0" distR="0" simplePos="0" relativeHeight="251661312" behindDoc="0" locked="0" layoutInCell="1" allowOverlap="1" wp14:anchorId="50525AEC" wp14:editId="0276F69D">
            <wp:simplePos x="0" y="0"/>
            <wp:positionH relativeFrom="column">
              <wp:posOffset>0</wp:posOffset>
            </wp:positionH>
            <wp:positionV relativeFrom="paragraph">
              <wp:posOffset>292100</wp:posOffset>
            </wp:positionV>
            <wp:extent cx="5943600" cy="4394200"/>
            <wp:effectExtent l="0" t="0" r="0" b="6350"/>
            <wp:wrapTopAndBottom/>
            <wp:docPr id="109231377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9" cstate="print"/>
                    <a:srcRect/>
                    <a:stretch/>
                  </pic:blipFill>
                  <pic:spPr>
                    <a:xfrm>
                      <a:off x="0" y="0"/>
                      <a:ext cx="5943600" cy="4394200"/>
                    </a:xfrm>
                    <a:prstGeom prst="rect">
                      <a:avLst/>
                    </a:prstGeom>
                  </pic:spPr>
                </pic:pic>
              </a:graphicData>
            </a:graphic>
          </wp:anchor>
        </w:drawing>
      </w:r>
      <w:r>
        <w:rPr>
          <w:rFonts w:ascii="Times New Roman" w:hAnsi="Times New Roman" w:cs="Times New Roman"/>
        </w:rPr>
        <w:t>: Central Illustration</w:t>
      </w:r>
    </w:p>
    <w:p w14:paraId="602EB329" w14:textId="77777777" w:rsidR="00BB4E21" w:rsidRDefault="00BB4E21" w:rsidP="00BB4E21">
      <w:pPr>
        <w:rPr>
          <w:rFonts w:ascii="Times New Roman" w:hAnsi="Times New Roman" w:cs="Times New Roman"/>
          <w:i/>
          <w:iCs/>
        </w:rPr>
      </w:pPr>
      <w:r>
        <w:rPr>
          <w:rFonts w:hAnsi="Times New Roman" w:cs="Times New Roman"/>
          <w:i/>
          <w:iCs/>
        </w:rPr>
        <w:t>One-year outcomes of TAVR vs. SAVR in low-risk patients with severe aortic stenosis are presented for all-cause death (A) and cardiovascular death (B). TAVR showed a significantly lower risk of all-cause mortality (2.1% vs. 3.5%; RR: 0.61; 95% CI: 0.39</w:t>
      </w:r>
      <w:r>
        <w:rPr>
          <w:rFonts w:hAnsi="Times New Roman" w:cs="Times New Roman"/>
          <w:i/>
          <w:iCs/>
        </w:rPr>
        <w:t>–</w:t>
      </w:r>
      <w:r>
        <w:rPr>
          <w:rFonts w:hAnsi="Times New Roman" w:cs="Times New Roman"/>
          <w:i/>
          <w:iCs/>
        </w:rPr>
        <w:t>0.96; p = 0.03; I</w:t>
      </w:r>
      <w:r>
        <w:rPr>
          <w:rFonts w:hAnsi="Times New Roman" w:cs="Times New Roman"/>
          <w:i/>
          <w:iCs/>
        </w:rPr>
        <w:t>²</w:t>
      </w:r>
      <w:r>
        <w:rPr>
          <w:rFonts w:hAnsi="Times New Roman" w:cs="Times New Roman"/>
          <w:i/>
          <w:iCs/>
        </w:rPr>
        <w:t xml:space="preserve"> = 0%) and cardiovascular mortality (1.6% vs. 2.9%; RR: 0.55; 95% CI: 0.33</w:t>
      </w:r>
      <w:r>
        <w:rPr>
          <w:rFonts w:hAnsi="Times New Roman" w:cs="Times New Roman"/>
          <w:i/>
          <w:iCs/>
        </w:rPr>
        <w:t>–</w:t>
      </w:r>
      <w:r>
        <w:rPr>
          <w:rFonts w:hAnsi="Times New Roman" w:cs="Times New Roman"/>
          <w:i/>
          <w:iCs/>
        </w:rPr>
        <w:t>0.90; p = 0.02; I</w:t>
      </w:r>
      <w:r>
        <w:rPr>
          <w:rFonts w:hAnsi="Times New Roman" w:cs="Times New Roman"/>
          <w:i/>
          <w:iCs/>
        </w:rPr>
        <w:t>²</w:t>
      </w:r>
      <w:r>
        <w:rPr>
          <w:rFonts w:hAnsi="Times New Roman" w:cs="Times New Roman"/>
          <w:i/>
          <w:iCs/>
        </w:rPr>
        <w:t xml:space="preserve"> = 0%) compared to SAVR.</w:t>
      </w:r>
    </w:p>
    <w:p w14:paraId="7A9C1158" w14:textId="77777777" w:rsidR="00BB4E21" w:rsidRDefault="00BB4E21" w:rsidP="00BB4E21">
      <w:pPr>
        <w:rPr>
          <w:rFonts w:hAnsi="Times New Roman" w:cs="Times New Roman"/>
          <w:i/>
          <w:iCs/>
        </w:rPr>
      </w:pPr>
      <w:r>
        <w:rPr>
          <w:rFonts w:hAnsi="Times New Roman" w:cs="Times New Roman"/>
          <w:i/>
          <w:iCs/>
        </w:rPr>
        <w:t xml:space="preserve">Abbreviations: CI </w:t>
      </w:r>
      <w:r>
        <w:rPr>
          <w:rFonts w:hAnsi="Times New Roman" w:cs="Times New Roman"/>
          <w:i/>
          <w:iCs/>
        </w:rPr>
        <w:t>–</w:t>
      </w:r>
      <w:r>
        <w:rPr>
          <w:rFonts w:hAnsi="Times New Roman" w:cs="Times New Roman"/>
          <w:i/>
          <w:iCs/>
        </w:rPr>
        <w:t xml:space="preserve"> confidence interval; M-H </w:t>
      </w:r>
      <w:r>
        <w:rPr>
          <w:rFonts w:hAnsi="Times New Roman" w:cs="Times New Roman"/>
          <w:i/>
          <w:iCs/>
        </w:rPr>
        <w:t>–</w:t>
      </w:r>
      <w:r>
        <w:rPr>
          <w:rFonts w:hAnsi="Times New Roman" w:cs="Times New Roman"/>
          <w:i/>
          <w:iCs/>
        </w:rPr>
        <w:t xml:space="preserve"> Mantel-Haenszel; NOTION </w:t>
      </w:r>
      <w:r>
        <w:rPr>
          <w:rFonts w:hAnsi="Times New Roman" w:cs="Times New Roman"/>
          <w:i/>
          <w:iCs/>
        </w:rPr>
        <w:t>–</w:t>
      </w:r>
      <w:r>
        <w:rPr>
          <w:rFonts w:hAnsi="Times New Roman" w:cs="Times New Roman"/>
          <w:i/>
          <w:iCs/>
        </w:rPr>
        <w:t xml:space="preserve"> Nordic Aortic Valve Intervention Trial; PARTNER </w:t>
      </w:r>
      <w:r>
        <w:rPr>
          <w:rFonts w:hAnsi="Times New Roman" w:cs="Times New Roman"/>
          <w:i/>
          <w:iCs/>
        </w:rPr>
        <w:t>–</w:t>
      </w:r>
      <w:r>
        <w:rPr>
          <w:rFonts w:hAnsi="Times New Roman" w:cs="Times New Roman"/>
          <w:i/>
          <w:iCs/>
        </w:rPr>
        <w:t xml:space="preserve"> Placement of Aortic Transcatheter Valves; RR </w:t>
      </w:r>
      <w:r>
        <w:rPr>
          <w:rFonts w:hAnsi="Times New Roman" w:cs="Times New Roman"/>
          <w:i/>
          <w:iCs/>
        </w:rPr>
        <w:t>–</w:t>
      </w:r>
      <w:r>
        <w:rPr>
          <w:rFonts w:hAnsi="Times New Roman" w:cs="Times New Roman"/>
          <w:i/>
          <w:iCs/>
        </w:rPr>
        <w:t xml:space="preserve"> risk ratio; SAVR </w:t>
      </w:r>
      <w:r>
        <w:rPr>
          <w:rFonts w:hAnsi="Times New Roman" w:cs="Times New Roman"/>
          <w:i/>
          <w:iCs/>
        </w:rPr>
        <w:t>–</w:t>
      </w:r>
      <w:r>
        <w:rPr>
          <w:rFonts w:hAnsi="Times New Roman" w:cs="Times New Roman"/>
          <w:i/>
          <w:iCs/>
        </w:rPr>
        <w:t xml:space="preserve"> surgical aortic valve replacement; STS </w:t>
      </w:r>
      <w:r>
        <w:rPr>
          <w:rFonts w:hAnsi="Times New Roman" w:cs="Times New Roman"/>
          <w:i/>
          <w:iCs/>
        </w:rPr>
        <w:t>–</w:t>
      </w:r>
      <w:r>
        <w:rPr>
          <w:rFonts w:hAnsi="Times New Roman" w:cs="Times New Roman"/>
          <w:i/>
          <w:iCs/>
        </w:rPr>
        <w:t xml:space="preserve"> Society of Thoracic Surgeons; SURTAVI </w:t>
      </w:r>
      <w:r>
        <w:rPr>
          <w:rFonts w:hAnsi="Times New Roman" w:cs="Times New Roman"/>
          <w:i/>
          <w:iCs/>
        </w:rPr>
        <w:t>–</w:t>
      </w:r>
      <w:r>
        <w:rPr>
          <w:rFonts w:hAnsi="Times New Roman" w:cs="Times New Roman"/>
          <w:i/>
          <w:iCs/>
        </w:rPr>
        <w:t xml:space="preserve"> Surgical Replacement and Transcatheter Aortic Valve Implantation; TAVR </w:t>
      </w:r>
      <w:r>
        <w:rPr>
          <w:rFonts w:hAnsi="Times New Roman" w:cs="Times New Roman"/>
          <w:i/>
          <w:iCs/>
        </w:rPr>
        <w:t>–</w:t>
      </w:r>
      <w:r>
        <w:rPr>
          <w:rFonts w:hAnsi="Times New Roman" w:cs="Times New Roman"/>
          <w:i/>
          <w:iCs/>
        </w:rPr>
        <w:t xml:space="preserve"> transcatheter aortic valve replacement.</w:t>
      </w:r>
    </w:p>
    <w:p w14:paraId="7143285F" w14:textId="77777777" w:rsidR="00BB4E21" w:rsidRDefault="00BB4E21" w:rsidP="00BB4E21">
      <w:pPr>
        <w:pStyle w:val="ListParagraph"/>
        <w:spacing w:after="200" w:line="276" w:lineRule="auto"/>
        <w:rPr>
          <w:rFonts w:ascii="Times New Roman" w:hAnsi="Times New Roman" w:cs="Times New Roman"/>
        </w:rPr>
      </w:pPr>
      <w:r>
        <w:rPr>
          <w:rFonts w:ascii="Times New Roman" w:hAnsi="Times New Roman" w:cs="Times New Roman"/>
        </w:rPr>
        <w:lastRenderedPageBreak/>
        <w:t>Figure 3</w:t>
      </w:r>
      <w:r>
        <w:rPr>
          <w:rFonts w:ascii="Times New Roman" w:hAnsi="Times New Roman" w:cs="Times New Roman"/>
          <w:noProof/>
        </w:rPr>
        <w:drawing>
          <wp:anchor distT="0" distB="0" distL="0" distR="0" simplePos="0" relativeHeight="251663360" behindDoc="0" locked="0" layoutInCell="1" allowOverlap="1" wp14:anchorId="73FD74CC" wp14:editId="5D76A2E7">
            <wp:simplePos x="0" y="0"/>
            <wp:positionH relativeFrom="column">
              <wp:posOffset>0</wp:posOffset>
            </wp:positionH>
            <wp:positionV relativeFrom="paragraph">
              <wp:posOffset>292100</wp:posOffset>
            </wp:positionV>
            <wp:extent cx="5943600" cy="5387340"/>
            <wp:effectExtent l="0" t="0" r="0" b="3810"/>
            <wp:wrapTopAndBottom/>
            <wp:docPr id="55552675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 cstate="print"/>
                    <a:srcRect/>
                    <a:stretch/>
                  </pic:blipFill>
                  <pic:spPr>
                    <a:xfrm>
                      <a:off x="0" y="0"/>
                      <a:ext cx="5943600" cy="5387340"/>
                    </a:xfrm>
                    <a:prstGeom prst="rect">
                      <a:avLst/>
                    </a:prstGeom>
                  </pic:spPr>
                </pic:pic>
              </a:graphicData>
            </a:graphic>
          </wp:anchor>
        </w:drawing>
      </w:r>
      <w:r>
        <w:rPr>
          <w:rFonts w:ascii="Times New Roman" w:hAnsi="Times New Roman" w:cs="Times New Roman"/>
        </w:rPr>
        <w:t>: Stroke, MI, and Valve/Heart Failure Rehospitalization at 1 Year After TAVR Versus SAVR in Low-Risk Patients</w:t>
      </w:r>
    </w:p>
    <w:p w14:paraId="57C4A2FC" w14:textId="77777777" w:rsidR="00BB4E21" w:rsidRDefault="00BB4E21" w:rsidP="00BB4E21">
      <w:pPr>
        <w:rPr>
          <w:rFonts w:ascii="Times New Roman" w:hAnsi="Times New Roman" w:cs="Times New Roman"/>
          <w:i/>
          <w:iCs/>
        </w:rPr>
      </w:pPr>
      <w:r>
        <w:rPr>
          <w:rFonts w:hAnsi="Times New Roman" w:cs="Times New Roman"/>
          <w:i/>
          <w:iCs/>
        </w:rPr>
        <w:t>One-year rates of stroke (A), myocardial infarction (B), and valve/heart failure rehospitalization (C) in low-risk patients with severe aortic stenosis showed no significant differences between TAVR and SAVR. Stroke occurred in 3.0% vs. 4.2% (RR: 0.68; 95% CI: 0.43</w:t>
      </w:r>
      <w:r>
        <w:rPr>
          <w:rFonts w:hAnsi="Times New Roman" w:cs="Times New Roman"/>
          <w:i/>
          <w:iCs/>
        </w:rPr>
        <w:t>–</w:t>
      </w:r>
      <w:r>
        <w:rPr>
          <w:rFonts w:hAnsi="Times New Roman" w:cs="Times New Roman"/>
          <w:i/>
          <w:iCs/>
        </w:rPr>
        <w:t>1.07; p = 0.10; I</w:t>
      </w:r>
      <w:r>
        <w:rPr>
          <w:rFonts w:hAnsi="Times New Roman" w:cs="Times New Roman"/>
          <w:i/>
          <w:iCs/>
        </w:rPr>
        <w:t>²</w:t>
      </w:r>
      <w:r>
        <w:rPr>
          <w:rFonts w:hAnsi="Times New Roman" w:cs="Times New Roman"/>
          <w:i/>
          <w:iCs/>
        </w:rPr>
        <w:t xml:space="preserve"> = 17%), MI in 1.7% vs. 2.1% (RR: 0.78; 95% CI: 0.46</w:t>
      </w:r>
      <w:r>
        <w:rPr>
          <w:rFonts w:hAnsi="Times New Roman" w:cs="Times New Roman"/>
          <w:i/>
          <w:iCs/>
        </w:rPr>
        <w:t>–</w:t>
      </w:r>
      <w:r>
        <w:rPr>
          <w:rFonts w:hAnsi="Times New Roman" w:cs="Times New Roman"/>
          <w:i/>
          <w:iCs/>
        </w:rPr>
        <w:t>1.34; p = 0.37; I</w:t>
      </w:r>
      <w:r>
        <w:rPr>
          <w:rFonts w:hAnsi="Times New Roman" w:cs="Times New Roman"/>
          <w:i/>
          <w:iCs/>
        </w:rPr>
        <w:t>²</w:t>
      </w:r>
      <w:r>
        <w:rPr>
          <w:rFonts w:hAnsi="Times New Roman" w:cs="Times New Roman"/>
          <w:i/>
          <w:iCs/>
        </w:rPr>
        <w:t xml:space="preserve"> = 0%), and rehospitalization in 5.2% vs. 7.9% (RR: 0.72; 95% CI: 0.42</w:t>
      </w:r>
      <w:r>
        <w:rPr>
          <w:rFonts w:hAnsi="Times New Roman" w:cs="Times New Roman"/>
          <w:i/>
          <w:iCs/>
        </w:rPr>
        <w:t>–</w:t>
      </w:r>
      <w:r>
        <w:rPr>
          <w:rFonts w:hAnsi="Times New Roman" w:cs="Times New Roman"/>
          <w:i/>
          <w:iCs/>
        </w:rPr>
        <w:t>1.23; p = 0.23; I</w:t>
      </w:r>
      <w:r>
        <w:rPr>
          <w:rFonts w:hAnsi="Times New Roman" w:cs="Times New Roman"/>
          <w:i/>
          <w:iCs/>
        </w:rPr>
        <w:t>²</w:t>
      </w:r>
      <w:r>
        <w:rPr>
          <w:rFonts w:hAnsi="Times New Roman" w:cs="Times New Roman"/>
          <w:i/>
          <w:iCs/>
        </w:rPr>
        <w:t xml:space="preserve"> = 62%).</w:t>
      </w:r>
    </w:p>
    <w:p w14:paraId="2DAD7F68" w14:textId="77777777" w:rsidR="00BB4E21" w:rsidRDefault="00BB4E21" w:rsidP="00BB4E21">
      <w:pPr>
        <w:rPr>
          <w:rFonts w:hAnsi="Times New Roman" w:cs="Times New Roman"/>
          <w:i/>
          <w:iCs/>
        </w:rPr>
      </w:pPr>
      <w:r>
        <w:rPr>
          <w:rFonts w:hAnsi="Times New Roman" w:cs="Times New Roman"/>
          <w:i/>
          <w:iCs/>
        </w:rPr>
        <w:t xml:space="preserve">Abbreviations: CI </w:t>
      </w:r>
      <w:r>
        <w:rPr>
          <w:rFonts w:hAnsi="Times New Roman" w:cs="Times New Roman"/>
          <w:i/>
          <w:iCs/>
        </w:rPr>
        <w:t>–</w:t>
      </w:r>
      <w:r>
        <w:rPr>
          <w:rFonts w:hAnsi="Times New Roman" w:cs="Times New Roman"/>
          <w:i/>
          <w:iCs/>
        </w:rPr>
        <w:t xml:space="preserve"> confidence interval; M-H </w:t>
      </w:r>
      <w:r>
        <w:rPr>
          <w:rFonts w:hAnsi="Times New Roman" w:cs="Times New Roman"/>
          <w:i/>
          <w:iCs/>
        </w:rPr>
        <w:t>–</w:t>
      </w:r>
      <w:r>
        <w:rPr>
          <w:rFonts w:hAnsi="Times New Roman" w:cs="Times New Roman"/>
          <w:i/>
          <w:iCs/>
        </w:rPr>
        <w:t xml:space="preserve"> Mantel-Haenszel; MI </w:t>
      </w:r>
      <w:r>
        <w:rPr>
          <w:rFonts w:hAnsi="Times New Roman" w:cs="Times New Roman"/>
          <w:i/>
          <w:iCs/>
        </w:rPr>
        <w:t>–</w:t>
      </w:r>
      <w:r>
        <w:rPr>
          <w:rFonts w:hAnsi="Times New Roman" w:cs="Times New Roman"/>
          <w:i/>
          <w:iCs/>
        </w:rPr>
        <w:t xml:space="preserve"> myocardial infarction; NOTION </w:t>
      </w:r>
      <w:r>
        <w:rPr>
          <w:rFonts w:hAnsi="Times New Roman" w:cs="Times New Roman"/>
          <w:i/>
          <w:iCs/>
        </w:rPr>
        <w:t>–</w:t>
      </w:r>
      <w:r>
        <w:rPr>
          <w:rFonts w:hAnsi="Times New Roman" w:cs="Times New Roman"/>
          <w:i/>
          <w:iCs/>
        </w:rPr>
        <w:t xml:space="preserve"> Nordic Aortic Valve Intervention Trial; PARTNER </w:t>
      </w:r>
      <w:r>
        <w:rPr>
          <w:rFonts w:hAnsi="Times New Roman" w:cs="Times New Roman"/>
          <w:i/>
          <w:iCs/>
        </w:rPr>
        <w:t>–</w:t>
      </w:r>
      <w:r>
        <w:rPr>
          <w:rFonts w:hAnsi="Times New Roman" w:cs="Times New Roman"/>
          <w:i/>
          <w:iCs/>
        </w:rPr>
        <w:t xml:space="preserve"> Placement of Aortic Transcatheter Valves; RR </w:t>
      </w:r>
      <w:r>
        <w:rPr>
          <w:rFonts w:hAnsi="Times New Roman" w:cs="Times New Roman"/>
          <w:i/>
          <w:iCs/>
        </w:rPr>
        <w:t>–</w:t>
      </w:r>
      <w:r>
        <w:rPr>
          <w:rFonts w:hAnsi="Times New Roman" w:cs="Times New Roman"/>
          <w:i/>
          <w:iCs/>
        </w:rPr>
        <w:t xml:space="preserve"> risk ratio; SAVR </w:t>
      </w:r>
      <w:r>
        <w:rPr>
          <w:rFonts w:hAnsi="Times New Roman" w:cs="Times New Roman"/>
          <w:i/>
          <w:iCs/>
        </w:rPr>
        <w:t>–</w:t>
      </w:r>
      <w:r>
        <w:rPr>
          <w:rFonts w:hAnsi="Times New Roman" w:cs="Times New Roman"/>
          <w:i/>
          <w:iCs/>
        </w:rPr>
        <w:t xml:space="preserve"> surgical aortic valve replacement; STS </w:t>
      </w:r>
      <w:r>
        <w:rPr>
          <w:rFonts w:hAnsi="Times New Roman" w:cs="Times New Roman"/>
          <w:i/>
          <w:iCs/>
        </w:rPr>
        <w:t>–</w:t>
      </w:r>
      <w:r>
        <w:rPr>
          <w:rFonts w:hAnsi="Times New Roman" w:cs="Times New Roman"/>
          <w:i/>
          <w:iCs/>
        </w:rPr>
        <w:t xml:space="preserve"> Society of Thoracic </w:t>
      </w:r>
      <w:r>
        <w:rPr>
          <w:rFonts w:hAnsi="Times New Roman" w:cs="Times New Roman"/>
          <w:i/>
          <w:iCs/>
        </w:rPr>
        <w:lastRenderedPageBreak/>
        <w:t xml:space="preserve">Surgeons; SURTAVI </w:t>
      </w:r>
      <w:r>
        <w:rPr>
          <w:rFonts w:hAnsi="Times New Roman" w:cs="Times New Roman"/>
          <w:i/>
          <w:iCs/>
        </w:rPr>
        <w:t>–</w:t>
      </w:r>
      <w:r>
        <w:rPr>
          <w:rFonts w:hAnsi="Times New Roman" w:cs="Times New Roman"/>
          <w:i/>
          <w:iCs/>
        </w:rPr>
        <w:t xml:space="preserve"> Surgical Replacement and Transcatheter Aortic Valve Implantation; other abbreviations as in Figure 1.</w:t>
      </w:r>
    </w:p>
    <w:p w14:paraId="7A33096A" w14:textId="77777777" w:rsidR="00BB4E21" w:rsidRDefault="00BB4E21" w:rsidP="00BB4E21">
      <w:pPr>
        <w:rPr>
          <w:rFonts w:hAnsi="Times New Roman" w:cs="Times New Roman"/>
          <w:i/>
          <w:iCs/>
        </w:rPr>
      </w:pPr>
    </w:p>
    <w:p w14:paraId="46918BF1" w14:textId="77777777" w:rsidR="00BB4E21" w:rsidRDefault="00BB4E21" w:rsidP="00BB4E21">
      <w:pPr>
        <w:rPr>
          <w:rFonts w:ascii="Times New Roman" w:hAnsi="Times New Roman" w:cs="Times New Roman"/>
          <w:i/>
          <w:iCs/>
        </w:rPr>
      </w:pPr>
    </w:p>
    <w:p w14:paraId="2647CD31" w14:textId="77777777" w:rsidR="00BB4E21" w:rsidRDefault="00BB4E21" w:rsidP="00BB4E21">
      <w:pPr>
        <w:rPr>
          <w:rFonts w:ascii="Times New Roman" w:hAnsi="Times New Roman" w:cs="Times New Roman"/>
          <w:i/>
          <w:iCs/>
        </w:rPr>
      </w:pPr>
    </w:p>
    <w:p w14:paraId="63103754" w14:textId="77777777" w:rsidR="00BB4E21" w:rsidRDefault="00BB4E21" w:rsidP="00BB4E21">
      <w:pPr>
        <w:rPr>
          <w:rFonts w:ascii="Times New Roman" w:hAnsi="Times New Roman" w:cs="Times New Roman"/>
          <w:i/>
          <w:iCs/>
        </w:rPr>
      </w:pPr>
    </w:p>
    <w:p w14:paraId="5E9EEF70" w14:textId="77777777" w:rsidR="00BB4E21" w:rsidRDefault="00BB4E21" w:rsidP="00BB4E21">
      <w:pPr>
        <w:rPr>
          <w:rFonts w:ascii="Times New Roman" w:hAnsi="Times New Roman" w:cs="Times New Roman"/>
          <w:i/>
          <w:iCs/>
        </w:rPr>
      </w:pPr>
    </w:p>
    <w:p w14:paraId="4F63D43D" w14:textId="77777777" w:rsidR="00BB4E21" w:rsidRDefault="00BB4E21" w:rsidP="00BB4E21">
      <w:pPr>
        <w:rPr>
          <w:rFonts w:ascii="Times New Roman" w:hAnsi="Times New Roman" w:cs="Times New Roman"/>
          <w:i/>
          <w:iCs/>
        </w:rPr>
      </w:pPr>
    </w:p>
    <w:p w14:paraId="69A3B72E" w14:textId="77777777" w:rsidR="00BB4E21" w:rsidRDefault="00BB4E21" w:rsidP="00BB4E21">
      <w:pPr>
        <w:rPr>
          <w:rFonts w:ascii="Times New Roman" w:hAnsi="Times New Roman" w:cs="Times New Roman"/>
          <w:i/>
          <w:iCs/>
        </w:rPr>
      </w:pPr>
    </w:p>
    <w:p w14:paraId="3B4F638E" w14:textId="77777777" w:rsidR="00BB4E21" w:rsidRDefault="00BB4E21" w:rsidP="00BB4E21">
      <w:pPr>
        <w:rPr>
          <w:rFonts w:ascii="Times New Roman" w:hAnsi="Times New Roman" w:cs="Times New Roman"/>
          <w:i/>
          <w:iCs/>
        </w:rPr>
      </w:pPr>
    </w:p>
    <w:p w14:paraId="10B28C56" w14:textId="77777777" w:rsidR="00BB4E21" w:rsidRDefault="00BB4E21" w:rsidP="00BB4E21">
      <w:pPr>
        <w:rPr>
          <w:rFonts w:ascii="Times New Roman" w:hAnsi="Times New Roman" w:cs="Times New Roman"/>
          <w:i/>
          <w:iCs/>
        </w:rPr>
      </w:pPr>
    </w:p>
    <w:p w14:paraId="2058191F" w14:textId="77777777" w:rsidR="00BB4E21" w:rsidRDefault="00BB4E21" w:rsidP="00BB4E21">
      <w:pPr>
        <w:rPr>
          <w:rFonts w:ascii="Times New Roman" w:hAnsi="Times New Roman" w:cs="Times New Roman"/>
          <w:i/>
          <w:iCs/>
        </w:rPr>
      </w:pPr>
    </w:p>
    <w:p w14:paraId="1EBB8892" w14:textId="77777777" w:rsidR="00BB4E21" w:rsidRDefault="00BB4E21" w:rsidP="00BB4E21">
      <w:pPr>
        <w:rPr>
          <w:rFonts w:ascii="Times New Roman" w:hAnsi="Times New Roman" w:cs="Times New Roman"/>
          <w:i/>
          <w:iCs/>
        </w:rPr>
      </w:pPr>
    </w:p>
    <w:p w14:paraId="263F9AC3" w14:textId="77777777" w:rsidR="00BB4E21" w:rsidRDefault="00BB4E21" w:rsidP="00BB4E21">
      <w:pPr>
        <w:rPr>
          <w:rFonts w:ascii="Times New Roman" w:hAnsi="Times New Roman" w:cs="Times New Roman"/>
          <w:i/>
          <w:iCs/>
        </w:rPr>
      </w:pPr>
    </w:p>
    <w:p w14:paraId="1A899B37" w14:textId="77777777" w:rsidR="00BB4E21" w:rsidRDefault="00BB4E21" w:rsidP="00BB4E21">
      <w:pPr>
        <w:rPr>
          <w:rFonts w:ascii="Times New Roman" w:hAnsi="Times New Roman" w:cs="Times New Roman"/>
          <w:i/>
          <w:iCs/>
        </w:rPr>
      </w:pPr>
    </w:p>
    <w:p w14:paraId="1F869F5A" w14:textId="77777777" w:rsidR="00BB4E21" w:rsidRDefault="00BB4E21" w:rsidP="00BB4E21">
      <w:pPr>
        <w:rPr>
          <w:rFonts w:ascii="Times New Roman" w:hAnsi="Times New Roman" w:cs="Times New Roman"/>
          <w:i/>
          <w:iCs/>
        </w:rPr>
      </w:pPr>
    </w:p>
    <w:p w14:paraId="1D705DC7" w14:textId="77777777" w:rsidR="00BB4E21" w:rsidRDefault="00BB4E21" w:rsidP="00BB4E21">
      <w:pPr>
        <w:rPr>
          <w:rFonts w:ascii="Times New Roman" w:hAnsi="Times New Roman" w:cs="Times New Roman"/>
          <w:i/>
          <w:iCs/>
        </w:rPr>
      </w:pPr>
    </w:p>
    <w:p w14:paraId="3FFD1910" w14:textId="77777777" w:rsidR="00BB4E21" w:rsidRDefault="00BB4E21" w:rsidP="00BB4E21">
      <w:pPr>
        <w:rPr>
          <w:rFonts w:ascii="Times New Roman" w:hAnsi="Times New Roman" w:cs="Times New Roman"/>
          <w:i/>
          <w:iCs/>
        </w:rPr>
      </w:pPr>
    </w:p>
    <w:p w14:paraId="74904CD1" w14:textId="77777777" w:rsidR="00BB4E21" w:rsidRDefault="00BB4E21" w:rsidP="00BB4E21">
      <w:pPr>
        <w:rPr>
          <w:rFonts w:ascii="Times New Roman" w:hAnsi="Times New Roman" w:cs="Times New Roman"/>
          <w:i/>
          <w:iCs/>
        </w:rPr>
      </w:pPr>
    </w:p>
    <w:p w14:paraId="5054B302" w14:textId="77777777" w:rsidR="00BB4E21" w:rsidRDefault="00BB4E21" w:rsidP="00BB4E21">
      <w:pPr>
        <w:rPr>
          <w:rFonts w:ascii="Times New Roman" w:hAnsi="Times New Roman" w:cs="Times New Roman"/>
          <w:i/>
          <w:iCs/>
        </w:rPr>
      </w:pPr>
    </w:p>
    <w:p w14:paraId="0D905EAF" w14:textId="77777777" w:rsidR="00BB4E21" w:rsidRDefault="00BB4E21" w:rsidP="00BB4E21">
      <w:pPr>
        <w:rPr>
          <w:rFonts w:ascii="Times New Roman" w:hAnsi="Times New Roman" w:cs="Times New Roman"/>
          <w:i/>
          <w:iCs/>
        </w:rPr>
      </w:pPr>
    </w:p>
    <w:p w14:paraId="1C601410" w14:textId="77777777" w:rsidR="00BB4E21" w:rsidRDefault="00BB4E21" w:rsidP="00BB4E21">
      <w:pPr>
        <w:rPr>
          <w:rFonts w:ascii="Times New Roman" w:hAnsi="Times New Roman" w:cs="Times New Roman"/>
          <w:i/>
          <w:iCs/>
        </w:rPr>
      </w:pPr>
    </w:p>
    <w:p w14:paraId="5091A524" w14:textId="77777777" w:rsidR="00BB4E21" w:rsidRDefault="00BB4E21" w:rsidP="00BB4E21">
      <w:pPr>
        <w:rPr>
          <w:rFonts w:ascii="Times New Roman" w:hAnsi="Times New Roman" w:cs="Times New Roman"/>
          <w:i/>
          <w:iCs/>
        </w:rPr>
      </w:pPr>
    </w:p>
    <w:p w14:paraId="0852F184" w14:textId="77777777" w:rsidR="00BB4E21" w:rsidRDefault="00BB4E21" w:rsidP="00BB4E21">
      <w:pPr>
        <w:rPr>
          <w:rFonts w:ascii="Times New Roman" w:hAnsi="Times New Roman" w:cs="Times New Roman"/>
          <w:i/>
          <w:iCs/>
        </w:rPr>
      </w:pPr>
    </w:p>
    <w:p w14:paraId="5B2FC188" w14:textId="77777777" w:rsidR="00BB4E21" w:rsidRDefault="00BB4E21" w:rsidP="00BB4E21">
      <w:pPr>
        <w:rPr>
          <w:rFonts w:ascii="Times New Roman" w:hAnsi="Times New Roman" w:cs="Times New Roman"/>
          <w:i/>
          <w:iCs/>
        </w:rPr>
      </w:pPr>
    </w:p>
    <w:p w14:paraId="3D2E42D6" w14:textId="77777777" w:rsidR="00BB4E21" w:rsidRDefault="00BB4E21" w:rsidP="00BB4E21">
      <w:pPr>
        <w:rPr>
          <w:rFonts w:ascii="Times New Roman" w:hAnsi="Times New Roman" w:cs="Times New Roman"/>
          <w:i/>
          <w:iCs/>
        </w:rPr>
      </w:pPr>
    </w:p>
    <w:p w14:paraId="12991FDB" w14:textId="77777777" w:rsidR="00BB4E21" w:rsidRDefault="00BB4E21" w:rsidP="00BB4E21">
      <w:pPr>
        <w:rPr>
          <w:rFonts w:ascii="Times New Roman" w:hAnsi="Times New Roman" w:cs="Times New Roman"/>
          <w:i/>
          <w:iCs/>
        </w:rPr>
      </w:pPr>
    </w:p>
    <w:p w14:paraId="0650B504" w14:textId="77777777" w:rsidR="00BB4E21" w:rsidRDefault="00BB4E21" w:rsidP="00BB4E21">
      <w:pPr>
        <w:rPr>
          <w:rFonts w:ascii="Times New Roman" w:hAnsi="Times New Roman" w:cs="Times New Roman"/>
          <w:i/>
          <w:iCs/>
        </w:rPr>
        <w:sectPr w:rsidR="00BB4E21">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pgNumType w:start="1"/>
          <w:cols w:space="720"/>
          <w:docGrid w:linePitch="360"/>
        </w:sectPr>
      </w:pPr>
    </w:p>
    <w:p w14:paraId="6E83B8A4" w14:textId="77777777" w:rsidR="00BB4E21" w:rsidRDefault="00BB4E21" w:rsidP="00BB4E21">
      <w:pPr>
        <w:rPr>
          <w:rFonts w:ascii="Times New Roman" w:hAnsi="Times New Roman" w:cs="Times New Roman"/>
        </w:rPr>
      </w:pPr>
      <w:bookmarkStart w:id="2" w:name="_Hlk207719412"/>
      <w:r>
        <w:rPr>
          <w:rFonts w:ascii="Times New Roman" w:hAnsi="Times New Roman" w:cs="Times New Roman"/>
        </w:rPr>
        <w:lastRenderedPageBreak/>
        <w:t>Figure 4: TAVR vs SAVR in Low-Risk Patients</w:t>
      </w:r>
    </w:p>
    <w:p w14:paraId="4E4F547A" w14:textId="77777777" w:rsidR="00BB4E21" w:rsidRDefault="00BB4E21" w:rsidP="00BB4E21">
      <w:pPr>
        <w:rPr>
          <w:rFonts w:ascii="Times New Roman" w:hAnsi="Times New Roman" w:cs="Times New Roman"/>
        </w:rPr>
      </w:pPr>
    </w:p>
    <w:p w14:paraId="5468B18C" w14:textId="77777777" w:rsidR="00BB4E21" w:rsidRDefault="00BB4E21" w:rsidP="00BB4E21">
      <w:pPr>
        <w:rPr>
          <w:rFonts w:ascii="Times New Roman" w:hAnsi="Times New Roman" w:cs="Times New Roman"/>
          <w:b/>
        </w:rPr>
      </w:pPr>
      <w:r>
        <w:rPr>
          <w:rFonts w:ascii="Times New Roman" w:hAnsi="Times New Roman" w:cs="Times New Roman"/>
          <w:b/>
        </w:rPr>
        <w:t>A) New/Worsening Atrial Fibrillation</w:t>
      </w:r>
    </w:p>
    <w:p w14:paraId="4F7030E9" w14:textId="77777777" w:rsidR="00BB4E21" w:rsidRDefault="00BB4E21" w:rsidP="00BB4E21">
      <w:pPr>
        <w:rPr>
          <w:rFonts w:ascii="Times New Roman" w:hAnsi="Times New Roman" w:cs="Times New Roman"/>
          <w:b/>
        </w:rPr>
      </w:pPr>
      <w:r>
        <w:rPr>
          <w:rFonts w:ascii="Times New Roman" w:hAnsi="Times New Roman" w:cs="Times New Roman"/>
          <w:b/>
          <w:noProof/>
        </w:rPr>
        <w:drawing>
          <wp:inline distT="0" distB="0" distL="0" distR="0" wp14:anchorId="3B3089D4" wp14:editId="50244F19">
            <wp:extent cx="7610475" cy="1828800"/>
            <wp:effectExtent l="0" t="0" r="9525" b="0"/>
            <wp:docPr id="1568286506"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7" cstate="print"/>
                    <a:srcRect/>
                    <a:stretch/>
                  </pic:blipFill>
                  <pic:spPr>
                    <a:xfrm>
                      <a:off x="0" y="0"/>
                      <a:ext cx="7610475" cy="1828800"/>
                    </a:xfrm>
                    <a:prstGeom prst="rect">
                      <a:avLst/>
                    </a:prstGeom>
                  </pic:spPr>
                </pic:pic>
              </a:graphicData>
            </a:graphic>
          </wp:inline>
        </w:drawing>
      </w:r>
    </w:p>
    <w:p w14:paraId="1E112773" w14:textId="77777777" w:rsidR="00BB4E21" w:rsidRDefault="00BB4E21" w:rsidP="00BB4E21">
      <w:pPr>
        <w:spacing w:after="0" w:line="480" w:lineRule="auto"/>
        <w:ind w:right="-810"/>
        <w:rPr>
          <w:rFonts w:ascii="Times New Roman" w:hAnsi="Times New Roman" w:cs="Times New Roman"/>
          <w:b/>
        </w:rPr>
      </w:pPr>
    </w:p>
    <w:p w14:paraId="13232139" w14:textId="77777777" w:rsidR="00BB4E21" w:rsidRDefault="00BB4E21" w:rsidP="00BB4E21">
      <w:pPr>
        <w:spacing w:after="0" w:line="480" w:lineRule="auto"/>
        <w:ind w:right="-810"/>
        <w:rPr>
          <w:rFonts w:ascii="Times New Roman" w:hAnsi="Times New Roman" w:cs="Times New Roman"/>
          <w:b/>
        </w:rPr>
      </w:pPr>
      <w:r>
        <w:rPr>
          <w:rFonts w:ascii="Times New Roman" w:hAnsi="Times New Roman" w:cs="Times New Roman"/>
          <w:b/>
        </w:rPr>
        <w:t>B) Life-Threatening/Disabling Bleeding</w:t>
      </w:r>
    </w:p>
    <w:p w14:paraId="45BE5542" w14:textId="77777777" w:rsidR="00BB4E21" w:rsidRDefault="00BB4E21" w:rsidP="00BB4E21">
      <w:pPr>
        <w:spacing w:after="0" w:line="480" w:lineRule="auto"/>
        <w:ind w:right="-810"/>
        <w:rPr>
          <w:rFonts w:ascii="Times New Roman" w:hAnsi="Times New Roman" w:cs="Times New Roman"/>
          <w:b/>
        </w:rPr>
      </w:pPr>
      <w:r>
        <w:rPr>
          <w:rFonts w:ascii="Times New Roman" w:hAnsi="Times New Roman" w:cs="Times New Roman"/>
          <w:b/>
          <w:noProof/>
        </w:rPr>
        <w:drawing>
          <wp:inline distT="0" distB="0" distL="0" distR="0" wp14:anchorId="1BFB5E0E" wp14:editId="15540F1D">
            <wp:extent cx="7610475" cy="1828800"/>
            <wp:effectExtent l="0" t="0" r="9525" b="0"/>
            <wp:docPr id="1027"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6"/>
                    <pic:cNvPicPr/>
                  </pic:nvPicPr>
                  <pic:blipFill>
                    <a:blip r:embed="rId18" cstate="print"/>
                    <a:srcRect/>
                    <a:stretch/>
                  </pic:blipFill>
                  <pic:spPr>
                    <a:xfrm>
                      <a:off x="0" y="0"/>
                      <a:ext cx="7610475" cy="1828800"/>
                    </a:xfrm>
                    <a:prstGeom prst="rect">
                      <a:avLst/>
                    </a:prstGeom>
                  </pic:spPr>
                </pic:pic>
              </a:graphicData>
            </a:graphic>
          </wp:inline>
        </w:drawing>
      </w:r>
      <w:r>
        <w:rPr>
          <w:rFonts w:ascii="Times New Roman" w:hAnsi="Times New Roman" w:cs="Times New Roman"/>
          <w:b/>
        </w:rPr>
        <w:t xml:space="preserve"> </w:t>
      </w:r>
    </w:p>
    <w:p w14:paraId="31D99EBE" w14:textId="77777777" w:rsidR="00BB4E21" w:rsidRDefault="00BB4E21" w:rsidP="00BB4E21">
      <w:pPr>
        <w:spacing w:after="0" w:line="480" w:lineRule="auto"/>
        <w:ind w:right="-810"/>
        <w:rPr>
          <w:rFonts w:ascii="Times New Roman" w:hAnsi="Times New Roman" w:cs="Times New Roman"/>
          <w:b/>
        </w:rPr>
      </w:pPr>
      <w:r>
        <w:rPr>
          <w:rFonts w:ascii="Times New Roman" w:hAnsi="Times New Roman" w:cs="Times New Roman"/>
          <w:b/>
        </w:rPr>
        <w:t>C) AKI Stage 2/3</w:t>
      </w:r>
    </w:p>
    <w:p w14:paraId="04ABA9BB" w14:textId="77777777" w:rsidR="00BB4E21" w:rsidRDefault="00BB4E21" w:rsidP="00BB4E21">
      <w:pPr>
        <w:spacing w:after="0" w:line="480" w:lineRule="auto"/>
        <w:ind w:right="-810"/>
        <w:rPr>
          <w:rFonts w:ascii="Times New Roman" w:hAnsi="Times New Roman" w:cs="Times New Roman"/>
          <w:b/>
        </w:rPr>
      </w:pPr>
      <w:r>
        <w:rPr>
          <w:rFonts w:ascii="Times New Roman" w:hAnsi="Times New Roman" w:cs="Times New Roman"/>
          <w:b/>
          <w:noProof/>
        </w:rPr>
        <w:lastRenderedPageBreak/>
        <w:drawing>
          <wp:inline distT="0" distB="0" distL="0" distR="0" wp14:anchorId="54D47EB6" wp14:editId="770DE847">
            <wp:extent cx="7610475" cy="1828800"/>
            <wp:effectExtent l="0" t="0" r="9525" b="0"/>
            <wp:docPr id="1028"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7"/>
                    <pic:cNvPicPr/>
                  </pic:nvPicPr>
                  <pic:blipFill>
                    <a:blip r:embed="rId19" cstate="print"/>
                    <a:srcRect/>
                    <a:stretch/>
                  </pic:blipFill>
                  <pic:spPr>
                    <a:xfrm>
                      <a:off x="0" y="0"/>
                      <a:ext cx="7610475" cy="1828800"/>
                    </a:xfrm>
                    <a:prstGeom prst="rect">
                      <a:avLst/>
                    </a:prstGeom>
                  </pic:spPr>
                </pic:pic>
              </a:graphicData>
            </a:graphic>
          </wp:inline>
        </w:drawing>
      </w:r>
    </w:p>
    <w:p w14:paraId="489B2215" w14:textId="77777777" w:rsidR="00BB4E21" w:rsidRDefault="00BB4E21" w:rsidP="00BB4E21">
      <w:pPr>
        <w:spacing w:after="0" w:line="480" w:lineRule="auto"/>
        <w:ind w:right="-810"/>
        <w:rPr>
          <w:rFonts w:ascii="Times New Roman" w:hAnsi="Times New Roman" w:cs="Times New Roman"/>
          <w:b/>
        </w:rPr>
      </w:pPr>
    </w:p>
    <w:p w14:paraId="02774D7C" w14:textId="77777777" w:rsidR="00BB4E21" w:rsidRDefault="00BB4E21" w:rsidP="00BB4E21">
      <w:pPr>
        <w:spacing w:after="0" w:line="480" w:lineRule="auto"/>
        <w:ind w:right="-810"/>
        <w:rPr>
          <w:rFonts w:ascii="Times New Roman" w:hAnsi="Times New Roman" w:cs="Times New Roman"/>
          <w:b/>
        </w:rPr>
      </w:pPr>
      <w:r>
        <w:rPr>
          <w:rFonts w:ascii="Times New Roman" w:hAnsi="Times New Roman" w:cs="Times New Roman"/>
          <w:b/>
        </w:rPr>
        <w:t>D) Permanent Pacemaker Implantation</w:t>
      </w:r>
    </w:p>
    <w:p w14:paraId="35E436F5" w14:textId="77777777" w:rsidR="00BB4E21" w:rsidRDefault="00BB4E21" w:rsidP="00BB4E21">
      <w:pPr>
        <w:spacing w:after="0" w:line="480" w:lineRule="auto"/>
        <w:ind w:right="-810"/>
        <w:rPr>
          <w:rFonts w:ascii="Times New Roman" w:hAnsi="Times New Roman" w:cs="Times New Roman"/>
          <w:b/>
        </w:rPr>
      </w:pPr>
      <w:r>
        <w:rPr>
          <w:rFonts w:ascii="Times New Roman" w:hAnsi="Times New Roman" w:cs="Times New Roman"/>
          <w:b/>
          <w:noProof/>
        </w:rPr>
        <w:drawing>
          <wp:inline distT="0" distB="0" distL="0" distR="0" wp14:anchorId="6B94D5AA" wp14:editId="47D5CDEC">
            <wp:extent cx="7610475" cy="1828800"/>
            <wp:effectExtent l="0" t="0" r="9525" b="0"/>
            <wp:docPr id="1029"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8"/>
                    <pic:cNvPicPr/>
                  </pic:nvPicPr>
                  <pic:blipFill>
                    <a:blip r:embed="rId20" cstate="print"/>
                    <a:srcRect/>
                    <a:stretch/>
                  </pic:blipFill>
                  <pic:spPr>
                    <a:xfrm>
                      <a:off x="0" y="0"/>
                      <a:ext cx="7610475" cy="1828800"/>
                    </a:xfrm>
                    <a:prstGeom prst="rect">
                      <a:avLst/>
                    </a:prstGeom>
                  </pic:spPr>
                </pic:pic>
              </a:graphicData>
            </a:graphic>
          </wp:inline>
        </w:drawing>
      </w:r>
    </w:p>
    <w:p w14:paraId="0F1D3598" w14:textId="77777777" w:rsidR="00BB4E21" w:rsidRDefault="00BB4E21" w:rsidP="00BB4E21">
      <w:pPr>
        <w:spacing w:after="0" w:line="480" w:lineRule="auto"/>
        <w:ind w:right="-810"/>
        <w:rPr>
          <w:rFonts w:ascii="Times New Roman" w:hAnsi="Times New Roman" w:cs="Times New Roman"/>
          <w:b/>
        </w:rPr>
      </w:pPr>
    </w:p>
    <w:p w14:paraId="6E9DB180" w14:textId="77777777" w:rsidR="00BB4E21" w:rsidRDefault="00BB4E21" w:rsidP="00BB4E21">
      <w:pPr>
        <w:spacing w:after="0" w:line="480" w:lineRule="auto"/>
        <w:ind w:right="-810"/>
        <w:rPr>
          <w:rFonts w:ascii="Times New Roman" w:hAnsi="Times New Roman" w:cs="Times New Roman"/>
          <w:b/>
        </w:rPr>
      </w:pPr>
      <w:r>
        <w:rPr>
          <w:rFonts w:ascii="Times New Roman" w:hAnsi="Times New Roman" w:cs="Times New Roman"/>
          <w:b/>
        </w:rPr>
        <w:t>E) Moderate/Severe PVL</w:t>
      </w:r>
    </w:p>
    <w:p w14:paraId="32AF7EED" w14:textId="77777777" w:rsidR="00BB4E21" w:rsidRDefault="00BB4E21" w:rsidP="00BB4E21">
      <w:pPr>
        <w:spacing w:after="0" w:line="480" w:lineRule="auto"/>
        <w:ind w:right="-810"/>
        <w:rPr>
          <w:rFonts w:ascii="Times New Roman" w:hAnsi="Times New Roman" w:cs="Times New Roman"/>
          <w:b/>
        </w:rPr>
      </w:pPr>
      <w:r>
        <w:rPr>
          <w:rFonts w:ascii="Times New Roman" w:hAnsi="Times New Roman" w:cs="Times New Roman"/>
          <w:b/>
          <w:noProof/>
        </w:rPr>
        <w:lastRenderedPageBreak/>
        <w:drawing>
          <wp:inline distT="0" distB="0" distL="0" distR="0" wp14:anchorId="7049B79D" wp14:editId="5715FCEB">
            <wp:extent cx="7258050" cy="1676400"/>
            <wp:effectExtent l="0" t="0" r="0" b="0"/>
            <wp:docPr id="1030"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9"/>
                    <pic:cNvPicPr/>
                  </pic:nvPicPr>
                  <pic:blipFill>
                    <a:blip r:embed="rId21" cstate="print"/>
                    <a:srcRect/>
                    <a:stretch/>
                  </pic:blipFill>
                  <pic:spPr>
                    <a:xfrm>
                      <a:off x="0" y="0"/>
                      <a:ext cx="7258050" cy="1676400"/>
                    </a:xfrm>
                    <a:prstGeom prst="rect">
                      <a:avLst/>
                    </a:prstGeom>
                  </pic:spPr>
                </pic:pic>
              </a:graphicData>
            </a:graphic>
          </wp:inline>
        </w:drawing>
      </w:r>
    </w:p>
    <w:p w14:paraId="11A514A8" w14:textId="77777777" w:rsidR="00BB4E21" w:rsidRDefault="00BB4E21" w:rsidP="00BB4E21">
      <w:pPr>
        <w:spacing w:after="0" w:line="480" w:lineRule="auto"/>
        <w:ind w:right="-810"/>
        <w:rPr>
          <w:rFonts w:ascii="Times New Roman" w:hAnsi="Times New Roman" w:cs="Times New Roman"/>
          <w:b/>
        </w:rPr>
      </w:pPr>
    </w:p>
    <w:p w14:paraId="05161A3F" w14:textId="77777777" w:rsidR="00BB4E21" w:rsidRDefault="00BB4E21" w:rsidP="00BB4E21">
      <w:pPr>
        <w:spacing w:after="0" w:line="480" w:lineRule="auto"/>
        <w:ind w:right="-810"/>
        <w:rPr>
          <w:rFonts w:ascii="Times New Roman" w:hAnsi="Times New Roman" w:cs="Times New Roman"/>
          <w:b/>
        </w:rPr>
      </w:pPr>
      <w:r>
        <w:rPr>
          <w:rFonts w:ascii="Times New Roman" w:hAnsi="Times New Roman" w:cs="Times New Roman"/>
          <w:b/>
        </w:rPr>
        <w:t>F) Major Vascular Complications</w:t>
      </w:r>
    </w:p>
    <w:p w14:paraId="3BF9929E" w14:textId="77777777" w:rsidR="00BB4E21" w:rsidRDefault="00BB4E21" w:rsidP="00BB4E21">
      <w:pPr>
        <w:spacing w:after="0" w:line="480" w:lineRule="auto"/>
        <w:ind w:right="-810"/>
        <w:rPr>
          <w:rFonts w:ascii="Times New Roman" w:hAnsi="Times New Roman" w:cs="Times New Roman"/>
          <w:b/>
        </w:rPr>
      </w:pPr>
      <w:r>
        <w:rPr>
          <w:rFonts w:ascii="Times New Roman" w:hAnsi="Times New Roman" w:cs="Times New Roman"/>
          <w:b/>
          <w:noProof/>
        </w:rPr>
        <w:drawing>
          <wp:inline distT="0" distB="0" distL="0" distR="0" wp14:anchorId="01949905" wp14:editId="3CBEF988">
            <wp:extent cx="7610475" cy="1828800"/>
            <wp:effectExtent l="0" t="0" r="9525" b="0"/>
            <wp:docPr id="1031"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0"/>
                    <pic:cNvPicPr/>
                  </pic:nvPicPr>
                  <pic:blipFill>
                    <a:blip r:embed="rId22" cstate="print"/>
                    <a:srcRect/>
                    <a:stretch/>
                  </pic:blipFill>
                  <pic:spPr>
                    <a:xfrm>
                      <a:off x="0" y="0"/>
                      <a:ext cx="7610475" cy="1828800"/>
                    </a:xfrm>
                    <a:prstGeom prst="rect">
                      <a:avLst/>
                    </a:prstGeom>
                  </pic:spPr>
                </pic:pic>
              </a:graphicData>
            </a:graphic>
          </wp:inline>
        </w:drawing>
      </w:r>
    </w:p>
    <w:p w14:paraId="707A85EC" w14:textId="77777777" w:rsidR="00BB4E21" w:rsidRDefault="00BB4E21" w:rsidP="00BB4E21">
      <w:pPr>
        <w:spacing w:after="0" w:line="480" w:lineRule="auto"/>
        <w:ind w:right="-810"/>
        <w:rPr>
          <w:rFonts w:ascii="Times New Roman" w:hAnsi="Times New Roman" w:cs="Times New Roman"/>
          <w:b/>
        </w:rPr>
      </w:pPr>
    </w:p>
    <w:p w14:paraId="2770965D" w14:textId="77777777" w:rsidR="00BB4E21" w:rsidRDefault="00BB4E21" w:rsidP="00BB4E21">
      <w:pPr>
        <w:spacing w:after="0" w:line="480" w:lineRule="auto"/>
        <w:ind w:right="-810"/>
        <w:rPr>
          <w:rFonts w:ascii="Times New Roman" w:hAnsi="Times New Roman" w:cs="Times New Roman"/>
          <w:b/>
        </w:rPr>
      </w:pPr>
    </w:p>
    <w:p w14:paraId="2545295B" w14:textId="77777777" w:rsidR="00BB4E21" w:rsidRDefault="00BB4E21" w:rsidP="00BB4E21">
      <w:pPr>
        <w:spacing w:after="0" w:line="480" w:lineRule="auto"/>
        <w:ind w:right="-810"/>
        <w:rPr>
          <w:rFonts w:ascii="Times New Roman" w:hAnsi="Times New Roman" w:cs="Times New Roman"/>
          <w:b/>
        </w:rPr>
      </w:pPr>
    </w:p>
    <w:p w14:paraId="69504B0B" w14:textId="77777777" w:rsidR="00BB4E21" w:rsidRDefault="00BB4E21" w:rsidP="00BB4E21">
      <w:pPr>
        <w:spacing w:after="0" w:line="480" w:lineRule="auto"/>
        <w:ind w:right="-810"/>
        <w:rPr>
          <w:rFonts w:ascii="Times New Roman" w:hAnsi="Times New Roman" w:cs="Times New Roman"/>
          <w:b/>
        </w:rPr>
      </w:pPr>
      <w:r>
        <w:rPr>
          <w:rFonts w:ascii="Times New Roman" w:hAnsi="Times New Roman" w:cs="Times New Roman"/>
          <w:b/>
        </w:rPr>
        <w:t>G) Endocarditis</w:t>
      </w:r>
    </w:p>
    <w:p w14:paraId="485BCDAC" w14:textId="77777777" w:rsidR="00BB4E21" w:rsidRDefault="00BB4E21" w:rsidP="00BB4E21">
      <w:pPr>
        <w:spacing w:after="0" w:line="480" w:lineRule="auto"/>
        <w:ind w:right="-810"/>
        <w:rPr>
          <w:rFonts w:ascii="Times New Roman" w:hAnsi="Times New Roman" w:cs="Times New Roman"/>
          <w:b/>
        </w:rPr>
      </w:pPr>
      <w:r>
        <w:rPr>
          <w:rFonts w:ascii="Times New Roman" w:hAnsi="Times New Roman" w:cs="Times New Roman"/>
          <w:b/>
          <w:noProof/>
        </w:rPr>
        <w:lastRenderedPageBreak/>
        <w:drawing>
          <wp:inline distT="0" distB="0" distL="0" distR="0" wp14:anchorId="0577B066" wp14:editId="5BB6FDC3">
            <wp:extent cx="7610475" cy="1828800"/>
            <wp:effectExtent l="0" t="0" r="9525" b="0"/>
            <wp:docPr id="1032"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11"/>
                    <pic:cNvPicPr/>
                  </pic:nvPicPr>
                  <pic:blipFill>
                    <a:blip r:embed="rId23" cstate="print"/>
                    <a:srcRect/>
                    <a:stretch/>
                  </pic:blipFill>
                  <pic:spPr>
                    <a:xfrm>
                      <a:off x="0" y="0"/>
                      <a:ext cx="7610475" cy="1828800"/>
                    </a:xfrm>
                    <a:prstGeom prst="rect">
                      <a:avLst/>
                    </a:prstGeom>
                  </pic:spPr>
                </pic:pic>
              </a:graphicData>
            </a:graphic>
          </wp:inline>
        </w:drawing>
      </w:r>
    </w:p>
    <w:p w14:paraId="04EE0FD0" w14:textId="77777777" w:rsidR="00BB4E21" w:rsidRDefault="00BB4E21" w:rsidP="00BB4E21">
      <w:pPr>
        <w:spacing w:after="0" w:line="480" w:lineRule="auto"/>
        <w:ind w:right="-810"/>
        <w:rPr>
          <w:rFonts w:ascii="Times New Roman" w:hAnsi="Times New Roman" w:cs="Times New Roman"/>
          <w:b/>
        </w:rPr>
      </w:pPr>
    </w:p>
    <w:p w14:paraId="3BE14740" w14:textId="77777777" w:rsidR="00BB4E21" w:rsidRDefault="00BB4E21" w:rsidP="00BB4E21">
      <w:pPr>
        <w:spacing w:after="0" w:line="480" w:lineRule="auto"/>
        <w:ind w:right="-810"/>
        <w:rPr>
          <w:rFonts w:ascii="Times New Roman" w:hAnsi="Times New Roman" w:cs="Times New Roman"/>
          <w:b/>
        </w:rPr>
      </w:pPr>
      <w:r>
        <w:rPr>
          <w:rFonts w:ascii="Times New Roman" w:hAnsi="Times New Roman" w:cs="Times New Roman"/>
          <w:b/>
        </w:rPr>
        <w:t>H) Aortic Valve Reintervention</w:t>
      </w:r>
    </w:p>
    <w:p w14:paraId="4C772DED" w14:textId="77777777" w:rsidR="00BB4E21" w:rsidRDefault="00BB4E21" w:rsidP="00BB4E21">
      <w:pPr>
        <w:spacing w:after="0" w:line="480" w:lineRule="auto"/>
        <w:ind w:right="-810"/>
        <w:rPr>
          <w:rFonts w:ascii="Times New Roman" w:hAnsi="Times New Roman" w:cs="Times New Roman"/>
          <w:b/>
        </w:rPr>
      </w:pPr>
      <w:r>
        <w:rPr>
          <w:rFonts w:ascii="Times New Roman" w:hAnsi="Times New Roman" w:cs="Times New Roman"/>
          <w:b/>
          <w:noProof/>
        </w:rPr>
        <w:drawing>
          <wp:inline distT="0" distB="0" distL="0" distR="0" wp14:anchorId="16321156" wp14:editId="19CFCE83">
            <wp:extent cx="7610475" cy="1676400"/>
            <wp:effectExtent l="0" t="0" r="9525" b="0"/>
            <wp:docPr id="1033"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12"/>
                    <pic:cNvPicPr/>
                  </pic:nvPicPr>
                  <pic:blipFill>
                    <a:blip r:embed="rId24" cstate="print"/>
                    <a:srcRect/>
                    <a:stretch/>
                  </pic:blipFill>
                  <pic:spPr>
                    <a:xfrm>
                      <a:off x="0" y="0"/>
                      <a:ext cx="7610475" cy="1676400"/>
                    </a:xfrm>
                    <a:prstGeom prst="rect">
                      <a:avLst/>
                    </a:prstGeom>
                  </pic:spPr>
                </pic:pic>
              </a:graphicData>
            </a:graphic>
          </wp:inline>
        </w:drawing>
      </w:r>
    </w:p>
    <w:p w14:paraId="1329C879" w14:textId="77777777" w:rsidR="00BB4E21" w:rsidRDefault="00BB4E21" w:rsidP="00BB4E21">
      <w:pPr>
        <w:spacing w:after="0" w:line="480" w:lineRule="auto"/>
        <w:ind w:right="-810"/>
        <w:rPr>
          <w:rFonts w:ascii="Times New Roman" w:hAnsi="Times New Roman" w:cs="Times New Roman"/>
          <w:b/>
        </w:rPr>
      </w:pPr>
    </w:p>
    <w:p w14:paraId="44FC8899" w14:textId="77777777" w:rsidR="00BB4E21" w:rsidRDefault="00BB4E21" w:rsidP="00BB4E21">
      <w:pPr>
        <w:spacing w:after="0" w:line="480" w:lineRule="auto"/>
        <w:ind w:right="-810"/>
        <w:rPr>
          <w:rFonts w:ascii="Times New Roman" w:hAnsi="Times New Roman" w:cs="Times New Roman"/>
          <w:b/>
        </w:rPr>
      </w:pPr>
    </w:p>
    <w:p w14:paraId="271129BA" w14:textId="77777777" w:rsidR="00BB4E21" w:rsidRDefault="00BB4E21" w:rsidP="00BB4E21">
      <w:pPr>
        <w:spacing w:after="0" w:line="480" w:lineRule="auto"/>
        <w:ind w:right="-810"/>
        <w:rPr>
          <w:rFonts w:ascii="Times New Roman" w:hAnsi="Times New Roman" w:cs="Times New Roman"/>
          <w:b/>
        </w:rPr>
      </w:pPr>
    </w:p>
    <w:p w14:paraId="587A9DBC" w14:textId="77777777" w:rsidR="00BB4E21" w:rsidRDefault="00BB4E21" w:rsidP="00BB4E21">
      <w:pPr>
        <w:spacing w:after="0" w:line="480" w:lineRule="auto"/>
        <w:ind w:right="-810"/>
        <w:rPr>
          <w:rFonts w:ascii="Times New Roman" w:hAnsi="Times New Roman" w:cs="Times New Roman"/>
          <w:b/>
        </w:rPr>
      </w:pPr>
      <w:r>
        <w:rPr>
          <w:rFonts w:ascii="Times New Roman" w:hAnsi="Times New Roman" w:cs="Times New Roman"/>
          <w:b/>
        </w:rPr>
        <w:t>I) NYHA Functional Class &gt;II</w:t>
      </w:r>
    </w:p>
    <w:p w14:paraId="730214FA" w14:textId="77777777" w:rsidR="00BB4E21" w:rsidRDefault="00BB4E21" w:rsidP="00BB4E21">
      <w:pPr>
        <w:spacing w:after="0" w:line="480" w:lineRule="auto"/>
        <w:ind w:right="-810"/>
        <w:rPr>
          <w:rFonts w:ascii="Times New Roman" w:hAnsi="Times New Roman" w:cs="Times New Roman"/>
          <w:b/>
        </w:rPr>
      </w:pPr>
      <w:r>
        <w:rPr>
          <w:rFonts w:ascii="Times New Roman" w:hAnsi="Times New Roman" w:cs="Times New Roman"/>
          <w:b/>
          <w:noProof/>
        </w:rPr>
        <w:lastRenderedPageBreak/>
        <w:drawing>
          <wp:inline distT="0" distB="0" distL="0" distR="0" wp14:anchorId="543228E4" wp14:editId="2357A09A">
            <wp:extent cx="7258050" cy="1676400"/>
            <wp:effectExtent l="0" t="0" r="0" b="0"/>
            <wp:docPr id="1034"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13"/>
                    <pic:cNvPicPr/>
                  </pic:nvPicPr>
                  <pic:blipFill>
                    <a:blip r:embed="rId25" cstate="print"/>
                    <a:srcRect/>
                    <a:stretch/>
                  </pic:blipFill>
                  <pic:spPr>
                    <a:xfrm>
                      <a:off x="0" y="0"/>
                      <a:ext cx="7258050" cy="1676400"/>
                    </a:xfrm>
                    <a:prstGeom prst="rect">
                      <a:avLst/>
                    </a:prstGeom>
                  </pic:spPr>
                </pic:pic>
              </a:graphicData>
            </a:graphic>
          </wp:inline>
        </w:drawing>
      </w:r>
    </w:p>
    <w:bookmarkEnd w:id="2"/>
    <w:p w14:paraId="31EBB94D" w14:textId="77777777" w:rsidR="00BB4E21" w:rsidRDefault="00BB4E21" w:rsidP="00BB4E21">
      <w:pPr>
        <w:spacing w:after="0" w:line="480" w:lineRule="auto"/>
        <w:ind w:right="-810"/>
        <w:rPr>
          <w:rFonts w:ascii="Times New Roman" w:hAnsi="Times New Roman" w:cs="Times New Roman"/>
          <w:b/>
        </w:rPr>
      </w:pPr>
    </w:p>
    <w:p w14:paraId="613D0948" w14:textId="77777777" w:rsidR="00BB4E21" w:rsidRDefault="00BB4E21" w:rsidP="00BB4E21">
      <w:pPr>
        <w:rPr>
          <w:rFonts w:ascii="Times New Roman" w:hAnsi="Times New Roman" w:cs="Times New Roman"/>
          <w:i/>
          <w:iCs/>
        </w:rPr>
        <w:sectPr w:rsidR="00BB4E21" w:rsidSect="00BB4E21">
          <w:pgSz w:w="15840" w:h="12240" w:orient="landscape"/>
          <w:pgMar w:top="1440" w:right="1440" w:bottom="1440" w:left="1440" w:header="720" w:footer="720" w:gutter="0"/>
          <w:pgNumType w:start="1"/>
          <w:cols w:space="720"/>
          <w:docGrid w:linePitch="360"/>
        </w:sectPr>
      </w:pPr>
    </w:p>
    <w:p w14:paraId="3F302915" w14:textId="77777777" w:rsidR="00BB4E21" w:rsidRDefault="00BB4E21" w:rsidP="00BB4E21">
      <w:pPr>
        <w:spacing w:after="0" w:line="480" w:lineRule="auto"/>
        <w:ind w:right="-810"/>
        <w:rPr>
          <w:rFonts w:ascii="Times New Roman" w:hAnsi="Times New Roman" w:cs="Times New Roman"/>
        </w:rPr>
      </w:pPr>
      <w:r>
        <w:rPr>
          <w:rFonts w:ascii="Times New Roman" w:hAnsi="Times New Roman" w:cs="Times New Roman"/>
        </w:rPr>
        <w:lastRenderedPageBreak/>
        <w:t>Figure 5: Publication Bias Assessment</w:t>
      </w:r>
    </w:p>
    <w:p w14:paraId="35A4EFA2" w14:textId="77777777" w:rsidR="00BB4E21" w:rsidRDefault="00BB4E21" w:rsidP="00BB4E21">
      <w:pPr>
        <w:spacing w:after="0" w:line="480" w:lineRule="auto"/>
        <w:ind w:right="-810"/>
        <w:rPr>
          <w:rFonts w:ascii="Times New Roman" w:hAnsi="Times New Roman" w:cs="Times New Roman"/>
        </w:rPr>
      </w:pPr>
    </w:p>
    <w:p w14:paraId="1389EE00" w14:textId="77777777" w:rsidR="00BB4E21" w:rsidRDefault="00BB4E21" w:rsidP="00BB4E21">
      <w:pPr>
        <w:spacing w:after="0" w:line="480" w:lineRule="auto"/>
        <w:ind w:right="-810"/>
        <w:rPr>
          <w:rFonts w:ascii="Times New Roman" w:hAnsi="Times New Roman" w:cs="Times New Roman"/>
          <w:b/>
        </w:rPr>
      </w:pPr>
      <w:r>
        <w:rPr>
          <w:rFonts w:ascii="Times New Roman" w:hAnsi="Times New Roman" w:cs="Times New Roman"/>
          <w:b/>
        </w:rPr>
        <w:t>A) Death</w:t>
      </w:r>
    </w:p>
    <w:p w14:paraId="2D7C28CE" w14:textId="77777777" w:rsidR="00BB4E21" w:rsidRDefault="00BB4E21" w:rsidP="00BB4E21">
      <w:pPr>
        <w:spacing w:after="0" w:line="480" w:lineRule="auto"/>
        <w:ind w:right="-810"/>
        <w:rPr>
          <w:rFonts w:ascii="Times New Roman" w:hAnsi="Times New Roman" w:cs="Times New Roman"/>
          <w:b/>
        </w:rPr>
      </w:pPr>
      <w:r>
        <w:rPr>
          <w:rFonts w:ascii="Times New Roman" w:hAnsi="Times New Roman" w:cs="Times New Roman"/>
          <w:b/>
          <w:noProof/>
        </w:rPr>
        <w:drawing>
          <wp:inline distT="0" distB="0" distL="0" distR="0" wp14:anchorId="11804B74" wp14:editId="01DB6627">
            <wp:extent cx="5029200" cy="3352800"/>
            <wp:effectExtent l="0" t="0" r="0" b="0"/>
            <wp:docPr id="302677016"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6" cstate="print"/>
                    <a:srcRect/>
                    <a:stretch/>
                  </pic:blipFill>
                  <pic:spPr>
                    <a:xfrm>
                      <a:off x="0" y="0"/>
                      <a:ext cx="5029200" cy="3352800"/>
                    </a:xfrm>
                    <a:prstGeom prst="rect">
                      <a:avLst/>
                    </a:prstGeom>
                  </pic:spPr>
                </pic:pic>
              </a:graphicData>
            </a:graphic>
          </wp:inline>
        </w:drawing>
      </w:r>
    </w:p>
    <w:tbl>
      <w:tblPr>
        <w:tblW w:w="5320" w:type="dxa"/>
        <w:tblInd w:w="108" w:type="dxa"/>
        <w:tblLook w:val="04A0" w:firstRow="1" w:lastRow="0" w:firstColumn="1" w:lastColumn="0" w:noHBand="0" w:noVBand="1"/>
      </w:tblPr>
      <w:tblGrid>
        <w:gridCol w:w="1396"/>
        <w:gridCol w:w="1256"/>
        <w:gridCol w:w="684"/>
        <w:gridCol w:w="1076"/>
        <w:gridCol w:w="1076"/>
      </w:tblGrid>
      <w:tr w:rsidR="00BB4E21" w14:paraId="6F4D73C4" w14:textId="77777777" w:rsidTr="00056603">
        <w:trPr>
          <w:trHeight w:val="240"/>
        </w:trPr>
        <w:tc>
          <w:tcPr>
            <w:tcW w:w="1396" w:type="dxa"/>
            <w:tcBorders>
              <w:top w:val="nil"/>
              <w:left w:val="nil"/>
              <w:bottom w:val="nil"/>
              <w:right w:val="nil"/>
            </w:tcBorders>
            <w:shd w:val="clear" w:color="000000" w:fill="BFBFBF"/>
            <w:noWrap/>
            <w:vAlign w:val="bottom"/>
            <w:hideMark/>
          </w:tcPr>
          <w:p w14:paraId="0F362029" w14:textId="77777777" w:rsidR="00BB4E21" w:rsidRDefault="00BB4E21" w:rsidP="00056603">
            <w:pPr>
              <w:spacing w:after="0" w:line="240" w:lineRule="auto"/>
              <w:rPr>
                <w:rFonts w:ascii="Arial" w:eastAsia="Times New Roman" w:hAnsi="Arial" w:cs="Arial"/>
              </w:rPr>
            </w:pPr>
            <w:r>
              <w:rPr>
                <w:rFonts w:ascii="Arial" w:eastAsia="Times New Roman" w:hAnsi="Arial" w:cs="Arial"/>
              </w:rPr>
              <w:t> </w:t>
            </w:r>
          </w:p>
        </w:tc>
        <w:tc>
          <w:tcPr>
            <w:tcW w:w="1256" w:type="dxa"/>
            <w:tcBorders>
              <w:top w:val="nil"/>
              <w:left w:val="nil"/>
              <w:bottom w:val="nil"/>
              <w:right w:val="nil"/>
            </w:tcBorders>
            <w:shd w:val="clear" w:color="000000" w:fill="BFBFBF"/>
            <w:noWrap/>
            <w:vAlign w:val="bottom"/>
            <w:hideMark/>
          </w:tcPr>
          <w:p w14:paraId="2A7C76A6" w14:textId="77777777" w:rsidR="00BB4E21" w:rsidRDefault="00BB4E21" w:rsidP="00056603">
            <w:pPr>
              <w:spacing w:after="0" w:line="240" w:lineRule="auto"/>
              <w:rPr>
                <w:rFonts w:ascii="Arial" w:eastAsia="Times New Roman" w:hAnsi="Arial" w:cs="Arial"/>
              </w:rPr>
            </w:pPr>
            <w:r>
              <w:rPr>
                <w:rFonts w:ascii="Arial" w:eastAsia="Times New Roman" w:hAnsi="Arial" w:cs="Arial"/>
              </w:rPr>
              <w:t>Estimate</w:t>
            </w:r>
          </w:p>
        </w:tc>
        <w:tc>
          <w:tcPr>
            <w:tcW w:w="516" w:type="dxa"/>
            <w:tcBorders>
              <w:top w:val="nil"/>
              <w:left w:val="nil"/>
              <w:bottom w:val="nil"/>
              <w:right w:val="nil"/>
            </w:tcBorders>
            <w:shd w:val="clear" w:color="000000" w:fill="BFBFBF"/>
            <w:noWrap/>
            <w:vAlign w:val="bottom"/>
            <w:hideMark/>
          </w:tcPr>
          <w:p w14:paraId="03E08929" w14:textId="77777777" w:rsidR="00BB4E21" w:rsidRDefault="00BB4E21" w:rsidP="00056603">
            <w:pPr>
              <w:spacing w:after="0" w:line="240" w:lineRule="auto"/>
              <w:rPr>
                <w:rFonts w:ascii="Arial" w:eastAsia="Times New Roman" w:hAnsi="Arial" w:cs="Arial"/>
              </w:rPr>
            </w:pPr>
            <w:r>
              <w:rPr>
                <w:rFonts w:ascii="Arial" w:eastAsia="Times New Roman" w:hAnsi="Arial" w:cs="Arial"/>
              </w:rPr>
              <w:t>SE</w:t>
            </w:r>
          </w:p>
        </w:tc>
        <w:tc>
          <w:tcPr>
            <w:tcW w:w="1076" w:type="dxa"/>
            <w:tcBorders>
              <w:top w:val="nil"/>
              <w:left w:val="nil"/>
              <w:bottom w:val="nil"/>
              <w:right w:val="nil"/>
            </w:tcBorders>
            <w:shd w:val="clear" w:color="000000" w:fill="BFBFBF"/>
            <w:noWrap/>
            <w:vAlign w:val="bottom"/>
            <w:hideMark/>
          </w:tcPr>
          <w:p w14:paraId="57FAAEFA" w14:textId="77777777" w:rsidR="00BB4E21" w:rsidRDefault="00BB4E21" w:rsidP="00056603">
            <w:pPr>
              <w:spacing w:after="0" w:line="240" w:lineRule="auto"/>
              <w:rPr>
                <w:rFonts w:ascii="Arial" w:eastAsia="Times New Roman" w:hAnsi="Arial" w:cs="Arial"/>
              </w:rPr>
            </w:pPr>
            <w:r>
              <w:rPr>
                <w:rFonts w:ascii="Arial" w:eastAsia="Times New Roman" w:hAnsi="Arial" w:cs="Arial"/>
              </w:rPr>
              <w:t>CI LL</w:t>
            </w:r>
          </w:p>
        </w:tc>
        <w:tc>
          <w:tcPr>
            <w:tcW w:w="1076" w:type="dxa"/>
            <w:tcBorders>
              <w:top w:val="nil"/>
              <w:left w:val="nil"/>
              <w:bottom w:val="nil"/>
              <w:right w:val="nil"/>
            </w:tcBorders>
            <w:shd w:val="clear" w:color="000000" w:fill="BFBFBF"/>
            <w:noWrap/>
            <w:vAlign w:val="bottom"/>
            <w:hideMark/>
          </w:tcPr>
          <w:p w14:paraId="471798CB" w14:textId="77777777" w:rsidR="00BB4E21" w:rsidRDefault="00BB4E21" w:rsidP="00056603">
            <w:pPr>
              <w:spacing w:after="0" w:line="240" w:lineRule="auto"/>
              <w:rPr>
                <w:rFonts w:ascii="Arial" w:eastAsia="Times New Roman" w:hAnsi="Arial" w:cs="Arial"/>
              </w:rPr>
            </w:pPr>
            <w:r>
              <w:rPr>
                <w:rFonts w:ascii="Arial" w:eastAsia="Times New Roman" w:hAnsi="Arial" w:cs="Arial"/>
              </w:rPr>
              <w:t>CI UL</w:t>
            </w:r>
          </w:p>
        </w:tc>
      </w:tr>
      <w:tr w:rsidR="00BB4E21" w14:paraId="525EAF07" w14:textId="77777777" w:rsidTr="00056603">
        <w:trPr>
          <w:trHeight w:val="240"/>
        </w:trPr>
        <w:tc>
          <w:tcPr>
            <w:tcW w:w="1396" w:type="dxa"/>
            <w:tcBorders>
              <w:top w:val="nil"/>
              <w:left w:val="nil"/>
              <w:bottom w:val="nil"/>
              <w:right w:val="nil"/>
            </w:tcBorders>
            <w:shd w:val="clear" w:color="000000" w:fill="BFBFBF"/>
            <w:noWrap/>
            <w:vAlign w:val="bottom"/>
            <w:hideMark/>
          </w:tcPr>
          <w:p w14:paraId="095F261C" w14:textId="77777777" w:rsidR="00BB4E21" w:rsidRDefault="00BB4E21" w:rsidP="00056603">
            <w:pPr>
              <w:spacing w:after="0" w:line="240" w:lineRule="auto"/>
              <w:rPr>
                <w:rFonts w:ascii="Arial" w:eastAsia="Times New Roman" w:hAnsi="Arial" w:cs="Arial"/>
              </w:rPr>
            </w:pPr>
            <w:r>
              <w:rPr>
                <w:rFonts w:ascii="Arial" w:eastAsia="Times New Roman" w:hAnsi="Arial" w:cs="Arial"/>
              </w:rPr>
              <w:t>Intercept</w:t>
            </w:r>
          </w:p>
        </w:tc>
        <w:tc>
          <w:tcPr>
            <w:tcW w:w="1256" w:type="dxa"/>
            <w:tcBorders>
              <w:top w:val="nil"/>
              <w:left w:val="nil"/>
              <w:bottom w:val="nil"/>
              <w:right w:val="nil"/>
            </w:tcBorders>
            <w:shd w:val="clear" w:color="000000" w:fill="D9D9D9"/>
            <w:noWrap/>
            <w:vAlign w:val="bottom"/>
            <w:hideMark/>
          </w:tcPr>
          <w:p w14:paraId="2245B60C"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-2.65</w:t>
            </w:r>
          </w:p>
        </w:tc>
        <w:tc>
          <w:tcPr>
            <w:tcW w:w="516" w:type="dxa"/>
            <w:tcBorders>
              <w:top w:val="nil"/>
              <w:left w:val="nil"/>
              <w:bottom w:val="nil"/>
              <w:right w:val="nil"/>
            </w:tcBorders>
            <w:shd w:val="clear" w:color="000000" w:fill="D9D9D9"/>
            <w:noWrap/>
            <w:vAlign w:val="bottom"/>
            <w:hideMark/>
          </w:tcPr>
          <w:p w14:paraId="6765B4D6"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0.62</w:t>
            </w:r>
          </w:p>
        </w:tc>
        <w:tc>
          <w:tcPr>
            <w:tcW w:w="1076" w:type="dxa"/>
            <w:tcBorders>
              <w:top w:val="nil"/>
              <w:left w:val="nil"/>
              <w:bottom w:val="nil"/>
              <w:right w:val="nil"/>
            </w:tcBorders>
            <w:shd w:val="clear" w:color="000000" w:fill="D9D9D9"/>
            <w:noWrap/>
            <w:vAlign w:val="bottom"/>
            <w:hideMark/>
          </w:tcPr>
          <w:p w14:paraId="43D764B6"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-4.63</w:t>
            </w:r>
          </w:p>
        </w:tc>
        <w:tc>
          <w:tcPr>
            <w:tcW w:w="1076" w:type="dxa"/>
            <w:tcBorders>
              <w:top w:val="nil"/>
              <w:left w:val="nil"/>
              <w:bottom w:val="nil"/>
              <w:right w:val="nil"/>
            </w:tcBorders>
            <w:shd w:val="clear" w:color="000000" w:fill="D9D9D9"/>
            <w:noWrap/>
            <w:vAlign w:val="bottom"/>
            <w:hideMark/>
          </w:tcPr>
          <w:p w14:paraId="393F7455"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-0.66</w:t>
            </w:r>
          </w:p>
        </w:tc>
      </w:tr>
      <w:tr w:rsidR="00BB4E21" w14:paraId="4FBE8BFD" w14:textId="77777777" w:rsidTr="00056603">
        <w:trPr>
          <w:trHeight w:val="240"/>
        </w:trPr>
        <w:tc>
          <w:tcPr>
            <w:tcW w:w="1396" w:type="dxa"/>
            <w:tcBorders>
              <w:top w:val="nil"/>
              <w:left w:val="nil"/>
              <w:bottom w:val="nil"/>
              <w:right w:val="nil"/>
            </w:tcBorders>
            <w:shd w:val="clear" w:color="000000" w:fill="BFBFBF"/>
            <w:noWrap/>
            <w:vAlign w:val="bottom"/>
            <w:hideMark/>
          </w:tcPr>
          <w:p w14:paraId="156D8AB1" w14:textId="77777777" w:rsidR="00BB4E21" w:rsidRDefault="00BB4E21" w:rsidP="00056603">
            <w:pPr>
              <w:spacing w:after="0" w:line="240" w:lineRule="auto"/>
              <w:rPr>
                <w:rFonts w:ascii="Arial" w:eastAsia="Times New Roman" w:hAnsi="Arial" w:cs="Arial"/>
              </w:rPr>
            </w:pPr>
            <w:r>
              <w:rPr>
                <w:rFonts w:ascii="Arial" w:eastAsia="Times New Roman" w:hAnsi="Arial" w:cs="Arial"/>
              </w:rPr>
              <w:t>Slope</w:t>
            </w:r>
          </w:p>
        </w:tc>
        <w:tc>
          <w:tcPr>
            <w:tcW w:w="1256" w:type="dxa"/>
            <w:tcBorders>
              <w:top w:val="nil"/>
              <w:left w:val="nil"/>
              <w:bottom w:val="nil"/>
              <w:right w:val="nil"/>
            </w:tcBorders>
            <w:shd w:val="clear" w:color="000000" w:fill="D9D9D9"/>
            <w:noWrap/>
            <w:vAlign w:val="bottom"/>
            <w:hideMark/>
          </w:tcPr>
          <w:p w14:paraId="266E7867"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0.86</w:t>
            </w:r>
          </w:p>
        </w:tc>
        <w:tc>
          <w:tcPr>
            <w:tcW w:w="516" w:type="dxa"/>
            <w:tcBorders>
              <w:top w:val="nil"/>
              <w:left w:val="nil"/>
              <w:bottom w:val="nil"/>
              <w:right w:val="nil"/>
            </w:tcBorders>
            <w:shd w:val="clear" w:color="000000" w:fill="D9D9D9"/>
            <w:noWrap/>
            <w:vAlign w:val="bottom"/>
            <w:hideMark/>
          </w:tcPr>
          <w:p w14:paraId="770DC18F"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0.34</w:t>
            </w:r>
          </w:p>
        </w:tc>
        <w:tc>
          <w:tcPr>
            <w:tcW w:w="1076" w:type="dxa"/>
            <w:tcBorders>
              <w:top w:val="nil"/>
              <w:left w:val="nil"/>
              <w:bottom w:val="nil"/>
              <w:right w:val="nil"/>
            </w:tcBorders>
            <w:shd w:val="clear" w:color="000000" w:fill="D9D9D9"/>
            <w:noWrap/>
            <w:vAlign w:val="bottom"/>
            <w:hideMark/>
          </w:tcPr>
          <w:p w14:paraId="65C7895A"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-0.23</w:t>
            </w:r>
          </w:p>
        </w:tc>
        <w:tc>
          <w:tcPr>
            <w:tcW w:w="1076" w:type="dxa"/>
            <w:tcBorders>
              <w:top w:val="nil"/>
              <w:left w:val="nil"/>
              <w:bottom w:val="nil"/>
              <w:right w:val="nil"/>
            </w:tcBorders>
            <w:shd w:val="clear" w:color="000000" w:fill="D9D9D9"/>
            <w:noWrap/>
            <w:vAlign w:val="bottom"/>
            <w:hideMark/>
          </w:tcPr>
          <w:p w14:paraId="32ED2C05"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1.94</w:t>
            </w:r>
          </w:p>
        </w:tc>
      </w:tr>
      <w:tr w:rsidR="00BB4E21" w14:paraId="69DB51BA" w14:textId="77777777" w:rsidTr="00056603">
        <w:trPr>
          <w:trHeight w:val="240"/>
        </w:trPr>
        <w:tc>
          <w:tcPr>
            <w:tcW w:w="1396" w:type="dxa"/>
            <w:tcBorders>
              <w:top w:val="nil"/>
              <w:left w:val="nil"/>
              <w:bottom w:val="nil"/>
              <w:right w:val="nil"/>
            </w:tcBorders>
            <w:noWrap/>
            <w:vAlign w:val="bottom"/>
            <w:hideMark/>
          </w:tcPr>
          <w:p w14:paraId="5C0D5062" w14:textId="77777777" w:rsidR="00BB4E21" w:rsidRDefault="00BB4E21" w:rsidP="00056603">
            <w:pPr>
              <w:spacing w:after="0" w:line="240" w:lineRule="auto"/>
              <w:rPr>
                <w:rFonts w:ascii="Arial" w:eastAsia="Times New Roman" w:hAnsi="Arial" w:cs="Arial"/>
                <w:color w:val="000000"/>
              </w:rPr>
            </w:pPr>
          </w:p>
        </w:tc>
        <w:tc>
          <w:tcPr>
            <w:tcW w:w="1256" w:type="dxa"/>
            <w:tcBorders>
              <w:top w:val="nil"/>
              <w:left w:val="nil"/>
              <w:bottom w:val="nil"/>
              <w:right w:val="nil"/>
            </w:tcBorders>
            <w:noWrap/>
            <w:vAlign w:val="bottom"/>
            <w:hideMark/>
          </w:tcPr>
          <w:p w14:paraId="05D1B9E3" w14:textId="77777777" w:rsidR="00BB4E21" w:rsidRDefault="00BB4E21" w:rsidP="00056603">
            <w:pPr>
              <w:spacing w:after="0" w:line="240" w:lineRule="auto"/>
              <w:rPr>
                <w:rFonts w:ascii="Arial" w:eastAsia="Times New Roman" w:hAnsi="Arial" w:cs="Arial"/>
                <w:color w:val="000000"/>
              </w:rPr>
            </w:pPr>
          </w:p>
        </w:tc>
        <w:tc>
          <w:tcPr>
            <w:tcW w:w="516" w:type="dxa"/>
            <w:tcBorders>
              <w:top w:val="nil"/>
              <w:left w:val="nil"/>
              <w:bottom w:val="nil"/>
              <w:right w:val="nil"/>
            </w:tcBorders>
            <w:noWrap/>
            <w:vAlign w:val="bottom"/>
            <w:hideMark/>
          </w:tcPr>
          <w:p w14:paraId="59D4FDB9" w14:textId="77777777" w:rsidR="00BB4E21" w:rsidRDefault="00BB4E21" w:rsidP="00056603">
            <w:pPr>
              <w:spacing w:after="0" w:line="240" w:lineRule="auto"/>
              <w:rPr>
                <w:rFonts w:ascii="Arial" w:eastAsia="Times New Roman" w:hAnsi="Arial" w:cs="Arial"/>
                <w:color w:val="000000"/>
              </w:rPr>
            </w:pPr>
          </w:p>
        </w:tc>
        <w:tc>
          <w:tcPr>
            <w:tcW w:w="1076" w:type="dxa"/>
            <w:tcBorders>
              <w:top w:val="nil"/>
              <w:left w:val="nil"/>
              <w:bottom w:val="nil"/>
              <w:right w:val="nil"/>
            </w:tcBorders>
            <w:noWrap/>
            <w:vAlign w:val="bottom"/>
            <w:hideMark/>
          </w:tcPr>
          <w:p w14:paraId="5B168E41" w14:textId="77777777" w:rsidR="00BB4E21" w:rsidRDefault="00BB4E21" w:rsidP="00056603">
            <w:pPr>
              <w:spacing w:after="0" w:line="240" w:lineRule="auto"/>
              <w:rPr>
                <w:rFonts w:ascii="Arial" w:eastAsia="Times New Roman" w:hAnsi="Arial" w:cs="Arial"/>
                <w:color w:val="000000"/>
              </w:rPr>
            </w:pPr>
          </w:p>
        </w:tc>
        <w:tc>
          <w:tcPr>
            <w:tcW w:w="1076" w:type="dxa"/>
            <w:tcBorders>
              <w:top w:val="nil"/>
              <w:left w:val="nil"/>
              <w:bottom w:val="nil"/>
              <w:right w:val="nil"/>
            </w:tcBorders>
            <w:noWrap/>
            <w:vAlign w:val="bottom"/>
            <w:hideMark/>
          </w:tcPr>
          <w:p w14:paraId="0B5C2A9C" w14:textId="77777777" w:rsidR="00BB4E21" w:rsidRDefault="00BB4E21" w:rsidP="00056603">
            <w:pPr>
              <w:spacing w:after="0" w:line="240" w:lineRule="auto"/>
              <w:rPr>
                <w:rFonts w:ascii="Arial" w:eastAsia="Times New Roman" w:hAnsi="Arial" w:cs="Arial"/>
                <w:color w:val="000000"/>
              </w:rPr>
            </w:pPr>
          </w:p>
        </w:tc>
      </w:tr>
      <w:tr w:rsidR="00BB4E21" w14:paraId="527972BC" w14:textId="77777777" w:rsidTr="00056603">
        <w:trPr>
          <w:trHeight w:val="240"/>
        </w:trPr>
        <w:tc>
          <w:tcPr>
            <w:tcW w:w="1396" w:type="dxa"/>
            <w:tcBorders>
              <w:top w:val="nil"/>
              <w:left w:val="nil"/>
              <w:bottom w:val="nil"/>
              <w:right w:val="nil"/>
            </w:tcBorders>
            <w:shd w:val="clear" w:color="000000" w:fill="BFBFBF"/>
            <w:noWrap/>
            <w:vAlign w:val="bottom"/>
            <w:hideMark/>
          </w:tcPr>
          <w:p w14:paraId="1DDB291C" w14:textId="77777777" w:rsidR="00BB4E21" w:rsidRDefault="00BB4E21" w:rsidP="00056603">
            <w:pPr>
              <w:spacing w:after="0" w:line="240" w:lineRule="auto"/>
              <w:rPr>
                <w:rFonts w:ascii="Arial" w:eastAsia="Times New Roman" w:hAnsi="Arial" w:cs="Arial"/>
              </w:rPr>
            </w:pPr>
            <w:r>
              <w:rPr>
                <w:rFonts w:ascii="Arial" w:eastAsia="Times New Roman" w:hAnsi="Arial" w:cs="Arial"/>
              </w:rPr>
              <w:t>t test</w:t>
            </w:r>
          </w:p>
        </w:tc>
        <w:tc>
          <w:tcPr>
            <w:tcW w:w="1256" w:type="dxa"/>
            <w:tcBorders>
              <w:top w:val="nil"/>
              <w:left w:val="nil"/>
              <w:bottom w:val="nil"/>
              <w:right w:val="nil"/>
            </w:tcBorders>
            <w:shd w:val="clear" w:color="000000" w:fill="D9D9D9"/>
            <w:noWrap/>
            <w:vAlign w:val="bottom"/>
            <w:hideMark/>
          </w:tcPr>
          <w:p w14:paraId="7BC4D728"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-4.25</w:t>
            </w:r>
          </w:p>
        </w:tc>
        <w:tc>
          <w:tcPr>
            <w:tcW w:w="516" w:type="dxa"/>
            <w:tcBorders>
              <w:top w:val="nil"/>
              <w:left w:val="nil"/>
              <w:bottom w:val="nil"/>
              <w:right w:val="nil"/>
            </w:tcBorders>
            <w:noWrap/>
            <w:vAlign w:val="bottom"/>
            <w:hideMark/>
          </w:tcPr>
          <w:p w14:paraId="497F1E61" w14:textId="77777777" w:rsidR="00BB4E21" w:rsidRDefault="00BB4E21" w:rsidP="00056603">
            <w:pPr>
              <w:spacing w:after="0" w:line="240" w:lineRule="auto"/>
              <w:rPr>
                <w:rFonts w:ascii="Arial" w:eastAsia="Times New Roman" w:hAnsi="Arial" w:cs="Arial"/>
                <w:color w:val="000000"/>
              </w:rPr>
            </w:pPr>
          </w:p>
        </w:tc>
        <w:tc>
          <w:tcPr>
            <w:tcW w:w="1076" w:type="dxa"/>
            <w:tcBorders>
              <w:top w:val="nil"/>
              <w:left w:val="nil"/>
              <w:bottom w:val="nil"/>
              <w:right w:val="nil"/>
            </w:tcBorders>
            <w:noWrap/>
            <w:vAlign w:val="bottom"/>
            <w:hideMark/>
          </w:tcPr>
          <w:p w14:paraId="2CBD4B07" w14:textId="77777777" w:rsidR="00BB4E21" w:rsidRDefault="00BB4E21" w:rsidP="00056603">
            <w:pPr>
              <w:spacing w:after="0" w:line="240" w:lineRule="auto"/>
              <w:rPr>
                <w:rFonts w:ascii="Arial" w:eastAsia="Times New Roman" w:hAnsi="Arial" w:cs="Arial"/>
                <w:color w:val="000000"/>
              </w:rPr>
            </w:pPr>
          </w:p>
        </w:tc>
        <w:tc>
          <w:tcPr>
            <w:tcW w:w="1076" w:type="dxa"/>
            <w:tcBorders>
              <w:top w:val="nil"/>
              <w:left w:val="nil"/>
              <w:bottom w:val="nil"/>
              <w:right w:val="nil"/>
            </w:tcBorders>
            <w:noWrap/>
            <w:vAlign w:val="bottom"/>
            <w:hideMark/>
          </w:tcPr>
          <w:p w14:paraId="74F41292" w14:textId="77777777" w:rsidR="00BB4E21" w:rsidRDefault="00BB4E21" w:rsidP="00056603">
            <w:pPr>
              <w:spacing w:after="0" w:line="240" w:lineRule="auto"/>
              <w:rPr>
                <w:rFonts w:ascii="Arial" w:eastAsia="Times New Roman" w:hAnsi="Arial" w:cs="Arial"/>
                <w:color w:val="000000"/>
              </w:rPr>
            </w:pPr>
          </w:p>
        </w:tc>
      </w:tr>
      <w:tr w:rsidR="00BB4E21" w14:paraId="5C8833A7" w14:textId="77777777" w:rsidTr="00056603">
        <w:trPr>
          <w:trHeight w:val="240"/>
        </w:trPr>
        <w:tc>
          <w:tcPr>
            <w:tcW w:w="1396" w:type="dxa"/>
            <w:tcBorders>
              <w:top w:val="nil"/>
              <w:left w:val="nil"/>
              <w:bottom w:val="nil"/>
              <w:right w:val="nil"/>
            </w:tcBorders>
            <w:shd w:val="clear" w:color="000000" w:fill="BFBFBF"/>
            <w:noWrap/>
            <w:vAlign w:val="bottom"/>
            <w:hideMark/>
          </w:tcPr>
          <w:p w14:paraId="18336E57" w14:textId="77777777" w:rsidR="00BB4E21" w:rsidRDefault="00BB4E21" w:rsidP="00056603">
            <w:pPr>
              <w:spacing w:after="0" w:line="240" w:lineRule="auto"/>
              <w:rPr>
                <w:rFonts w:ascii="Arial" w:eastAsia="Times New Roman" w:hAnsi="Arial" w:cs="Arial"/>
              </w:rPr>
            </w:pPr>
            <w:r>
              <w:rPr>
                <w:rFonts w:ascii="Arial" w:eastAsia="Times New Roman" w:hAnsi="Arial" w:cs="Arial"/>
              </w:rPr>
              <w:t>p-value</w:t>
            </w:r>
          </w:p>
        </w:tc>
        <w:tc>
          <w:tcPr>
            <w:tcW w:w="1256" w:type="dxa"/>
            <w:tcBorders>
              <w:top w:val="nil"/>
              <w:left w:val="nil"/>
              <w:bottom w:val="nil"/>
              <w:right w:val="nil"/>
            </w:tcBorders>
            <w:shd w:val="clear" w:color="000000" w:fill="D9D9D9"/>
            <w:noWrap/>
            <w:vAlign w:val="bottom"/>
            <w:hideMark/>
          </w:tcPr>
          <w:p w14:paraId="081CC37F"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0.051</w:t>
            </w:r>
          </w:p>
        </w:tc>
        <w:tc>
          <w:tcPr>
            <w:tcW w:w="516" w:type="dxa"/>
            <w:tcBorders>
              <w:top w:val="nil"/>
              <w:left w:val="nil"/>
              <w:bottom w:val="nil"/>
              <w:right w:val="nil"/>
            </w:tcBorders>
            <w:noWrap/>
            <w:vAlign w:val="bottom"/>
            <w:hideMark/>
          </w:tcPr>
          <w:p w14:paraId="528481FA" w14:textId="77777777" w:rsidR="00BB4E21" w:rsidRDefault="00BB4E21" w:rsidP="00056603">
            <w:pPr>
              <w:spacing w:after="0" w:line="240" w:lineRule="auto"/>
              <w:rPr>
                <w:rFonts w:ascii="Arial" w:eastAsia="Times New Roman" w:hAnsi="Arial" w:cs="Arial"/>
                <w:color w:val="000000"/>
              </w:rPr>
            </w:pPr>
          </w:p>
        </w:tc>
        <w:tc>
          <w:tcPr>
            <w:tcW w:w="1076" w:type="dxa"/>
            <w:tcBorders>
              <w:top w:val="nil"/>
              <w:left w:val="nil"/>
              <w:bottom w:val="nil"/>
              <w:right w:val="nil"/>
            </w:tcBorders>
            <w:noWrap/>
            <w:vAlign w:val="bottom"/>
            <w:hideMark/>
          </w:tcPr>
          <w:p w14:paraId="407B3F6B" w14:textId="77777777" w:rsidR="00BB4E21" w:rsidRDefault="00BB4E21" w:rsidP="00056603">
            <w:pPr>
              <w:spacing w:after="0" w:line="240" w:lineRule="auto"/>
              <w:rPr>
                <w:rFonts w:ascii="Arial" w:eastAsia="Times New Roman" w:hAnsi="Arial" w:cs="Arial"/>
                <w:color w:val="000000"/>
              </w:rPr>
            </w:pPr>
          </w:p>
        </w:tc>
        <w:tc>
          <w:tcPr>
            <w:tcW w:w="1076" w:type="dxa"/>
            <w:tcBorders>
              <w:top w:val="nil"/>
              <w:left w:val="nil"/>
              <w:bottom w:val="nil"/>
              <w:right w:val="nil"/>
            </w:tcBorders>
            <w:noWrap/>
            <w:vAlign w:val="bottom"/>
            <w:hideMark/>
          </w:tcPr>
          <w:p w14:paraId="533CBF6A" w14:textId="77777777" w:rsidR="00BB4E21" w:rsidRDefault="00BB4E21" w:rsidP="00056603">
            <w:pPr>
              <w:spacing w:after="0" w:line="240" w:lineRule="auto"/>
              <w:rPr>
                <w:rFonts w:ascii="Arial" w:eastAsia="Times New Roman" w:hAnsi="Arial" w:cs="Arial"/>
                <w:color w:val="000000"/>
              </w:rPr>
            </w:pPr>
          </w:p>
        </w:tc>
      </w:tr>
    </w:tbl>
    <w:p w14:paraId="703267F4" w14:textId="77777777" w:rsidR="00BB4E21" w:rsidRDefault="00BB4E21" w:rsidP="00BB4E21">
      <w:pPr>
        <w:spacing w:after="0" w:line="480" w:lineRule="auto"/>
        <w:ind w:right="-810"/>
        <w:rPr>
          <w:rFonts w:ascii="Times New Roman" w:hAnsi="Times New Roman" w:cs="Times New Roman"/>
          <w:b/>
        </w:rPr>
      </w:pPr>
    </w:p>
    <w:p w14:paraId="58CAF71F" w14:textId="77777777" w:rsidR="00BB4E21" w:rsidRDefault="00BB4E21" w:rsidP="00BB4E21">
      <w:pPr>
        <w:spacing w:after="0" w:line="480" w:lineRule="auto"/>
        <w:ind w:right="-810"/>
        <w:rPr>
          <w:rFonts w:ascii="Times New Roman" w:hAnsi="Times New Roman" w:cs="Times New Roman"/>
          <w:b/>
        </w:rPr>
      </w:pPr>
    </w:p>
    <w:p w14:paraId="7D774749" w14:textId="77777777" w:rsidR="00BB4E21" w:rsidRDefault="00BB4E21" w:rsidP="00BB4E21">
      <w:pPr>
        <w:spacing w:after="0" w:line="480" w:lineRule="auto"/>
        <w:ind w:right="-810"/>
        <w:rPr>
          <w:rFonts w:ascii="Times New Roman" w:hAnsi="Times New Roman" w:cs="Times New Roman"/>
          <w:b/>
        </w:rPr>
      </w:pPr>
    </w:p>
    <w:p w14:paraId="63F6B25B" w14:textId="77777777" w:rsidR="00BB4E21" w:rsidRDefault="00BB4E21" w:rsidP="00BB4E21">
      <w:pPr>
        <w:spacing w:after="0" w:line="480" w:lineRule="auto"/>
        <w:ind w:right="-810"/>
        <w:rPr>
          <w:rFonts w:ascii="Times New Roman" w:hAnsi="Times New Roman" w:cs="Times New Roman"/>
          <w:b/>
        </w:rPr>
      </w:pPr>
    </w:p>
    <w:p w14:paraId="0A252A33" w14:textId="77777777" w:rsidR="00BB4E21" w:rsidRDefault="00BB4E21" w:rsidP="00BB4E21">
      <w:pPr>
        <w:spacing w:after="0" w:line="480" w:lineRule="auto"/>
        <w:ind w:right="-810"/>
        <w:rPr>
          <w:rFonts w:ascii="Times New Roman" w:hAnsi="Times New Roman" w:cs="Times New Roman"/>
          <w:b/>
        </w:rPr>
      </w:pPr>
    </w:p>
    <w:p w14:paraId="4ED09189" w14:textId="77777777" w:rsidR="00BB4E21" w:rsidRDefault="00BB4E21" w:rsidP="00BB4E21">
      <w:pPr>
        <w:spacing w:after="0" w:line="480" w:lineRule="auto"/>
        <w:ind w:right="-810"/>
        <w:rPr>
          <w:rFonts w:ascii="Times New Roman" w:hAnsi="Times New Roman" w:cs="Times New Roman"/>
          <w:b/>
        </w:rPr>
      </w:pPr>
    </w:p>
    <w:p w14:paraId="326C18A6" w14:textId="77777777" w:rsidR="00BB4E21" w:rsidRDefault="00BB4E21" w:rsidP="00BB4E21">
      <w:pPr>
        <w:spacing w:after="0" w:line="480" w:lineRule="auto"/>
        <w:ind w:right="-810"/>
        <w:rPr>
          <w:rFonts w:ascii="Times New Roman" w:hAnsi="Times New Roman" w:cs="Times New Roman"/>
          <w:b/>
        </w:rPr>
      </w:pPr>
    </w:p>
    <w:p w14:paraId="77FA7703" w14:textId="77777777" w:rsidR="00BB4E21" w:rsidRDefault="00BB4E21" w:rsidP="00BB4E21">
      <w:pPr>
        <w:rPr>
          <w:rFonts w:ascii="Times New Roman" w:hAnsi="Times New Roman" w:cs="Times New Roman"/>
          <w:b/>
        </w:rPr>
      </w:pPr>
      <w:r>
        <w:rPr>
          <w:rFonts w:ascii="Times New Roman" w:hAnsi="Times New Roman" w:cs="Times New Roman"/>
          <w:b/>
        </w:rPr>
        <w:lastRenderedPageBreak/>
        <w:br w:type="page"/>
      </w:r>
    </w:p>
    <w:p w14:paraId="5EB49EB5" w14:textId="77777777" w:rsidR="00BB4E21" w:rsidRDefault="00BB4E21" w:rsidP="00BB4E21">
      <w:pPr>
        <w:spacing w:after="0" w:line="480" w:lineRule="auto"/>
        <w:ind w:right="-810"/>
        <w:rPr>
          <w:rFonts w:ascii="Times New Roman" w:hAnsi="Times New Roman" w:cs="Times New Roman"/>
          <w:b/>
        </w:rPr>
      </w:pPr>
      <w:r>
        <w:rPr>
          <w:rFonts w:ascii="Times New Roman" w:hAnsi="Times New Roman" w:cs="Times New Roman"/>
          <w:b/>
        </w:rPr>
        <w:lastRenderedPageBreak/>
        <w:t>B) Cardiovascular Death</w:t>
      </w:r>
    </w:p>
    <w:p w14:paraId="52395FE4" w14:textId="77777777" w:rsidR="00BB4E21" w:rsidRDefault="00BB4E21" w:rsidP="00BB4E21">
      <w:pPr>
        <w:spacing w:after="0" w:line="480" w:lineRule="auto"/>
        <w:ind w:right="-810"/>
        <w:rPr>
          <w:rFonts w:ascii="Times New Roman" w:hAnsi="Times New Roman" w:cs="Times New Roman"/>
          <w:b/>
        </w:rPr>
      </w:pPr>
    </w:p>
    <w:p w14:paraId="7E209B5F" w14:textId="77777777" w:rsidR="00BB4E21" w:rsidRDefault="00BB4E21" w:rsidP="00BB4E21">
      <w:pPr>
        <w:spacing w:after="0" w:line="480" w:lineRule="auto"/>
        <w:ind w:right="-810"/>
        <w:rPr>
          <w:rFonts w:ascii="Times New Roman" w:hAnsi="Times New Roman" w:cs="Times New Roman"/>
          <w:b/>
        </w:rPr>
      </w:pPr>
      <w:r>
        <w:rPr>
          <w:rFonts w:ascii="Times New Roman" w:hAnsi="Times New Roman" w:cs="Times New Roman"/>
          <w:b/>
          <w:noProof/>
        </w:rPr>
        <w:drawing>
          <wp:inline distT="0" distB="0" distL="0" distR="0" wp14:anchorId="58EAA4CF" wp14:editId="3CC16D59">
            <wp:extent cx="5029200" cy="3352800"/>
            <wp:effectExtent l="0" t="0" r="0" b="0"/>
            <wp:docPr id="37458802"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5"/>
                    <pic:cNvPicPr/>
                  </pic:nvPicPr>
                  <pic:blipFill>
                    <a:blip r:embed="rId27" cstate="print"/>
                    <a:srcRect/>
                    <a:stretch/>
                  </pic:blipFill>
                  <pic:spPr>
                    <a:xfrm>
                      <a:off x="0" y="0"/>
                      <a:ext cx="5029200" cy="3352800"/>
                    </a:xfrm>
                    <a:prstGeom prst="rect">
                      <a:avLst/>
                    </a:prstGeom>
                  </pic:spPr>
                </pic:pic>
              </a:graphicData>
            </a:graphic>
          </wp:inline>
        </w:drawing>
      </w:r>
    </w:p>
    <w:p w14:paraId="43F57AC8" w14:textId="77777777" w:rsidR="00BB4E21" w:rsidRDefault="00BB4E21" w:rsidP="00BB4E21">
      <w:pPr>
        <w:spacing w:after="0" w:line="480" w:lineRule="auto"/>
        <w:ind w:right="-810"/>
        <w:rPr>
          <w:rFonts w:ascii="Times New Roman" w:hAnsi="Times New Roman" w:cs="Times New Roman"/>
          <w:b/>
        </w:rPr>
      </w:pPr>
    </w:p>
    <w:tbl>
      <w:tblPr>
        <w:tblW w:w="5320" w:type="dxa"/>
        <w:tblInd w:w="108" w:type="dxa"/>
        <w:tblLook w:val="04A0" w:firstRow="1" w:lastRow="0" w:firstColumn="1" w:lastColumn="0" w:noHBand="0" w:noVBand="1"/>
      </w:tblPr>
      <w:tblGrid>
        <w:gridCol w:w="1396"/>
        <w:gridCol w:w="1256"/>
        <w:gridCol w:w="684"/>
        <w:gridCol w:w="1076"/>
        <w:gridCol w:w="1076"/>
      </w:tblGrid>
      <w:tr w:rsidR="00BB4E21" w14:paraId="48C06702" w14:textId="77777777" w:rsidTr="00056603">
        <w:trPr>
          <w:trHeight w:val="240"/>
        </w:trPr>
        <w:tc>
          <w:tcPr>
            <w:tcW w:w="1396" w:type="dxa"/>
            <w:tcBorders>
              <w:top w:val="nil"/>
              <w:left w:val="nil"/>
              <w:bottom w:val="nil"/>
              <w:right w:val="nil"/>
            </w:tcBorders>
            <w:shd w:val="clear" w:color="000000" w:fill="BFBFBF"/>
            <w:noWrap/>
            <w:vAlign w:val="bottom"/>
            <w:hideMark/>
          </w:tcPr>
          <w:p w14:paraId="3B741A75" w14:textId="77777777" w:rsidR="00BB4E21" w:rsidRDefault="00BB4E21" w:rsidP="00056603">
            <w:pPr>
              <w:spacing w:after="0" w:line="240" w:lineRule="auto"/>
              <w:rPr>
                <w:rFonts w:ascii="Arial" w:eastAsia="Times New Roman" w:hAnsi="Arial" w:cs="Arial"/>
              </w:rPr>
            </w:pPr>
            <w:bookmarkStart w:id="3" w:name="RANGE!O2"/>
            <w:r>
              <w:rPr>
                <w:rFonts w:ascii="Arial" w:eastAsia="Times New Roman" w:hAnsi="Arial" w:cs="Arial"/>
              </w:rPr>
              <w:t> </w:t>
            </w:r>
            <w:bookmarkEnd w:id="3"/>
          </w:p>
        </w:tc>
        <w:tc>
          <w:tcPr>
            <w:tcW w:w="1256" w:type="dxa"/>
            <w:tcBorders>
              <w:top w:val="nil"/>
              <w:left w:val="nil"/>
              <w:bottom w:val="nil"/>
              <w:right w:val="nil"/>
            </w:tcBorders>
            <w:shd w:val="clear" w:color="000000" w:fill="BFBFBF"/>
            <w:noWrap/>
            <w:vAlign w:val="bottom"/>
            <w:hideMark/>
          </w:tcPr>
          <w:p w14:paraId="7027BF23" w14:textId="77777777" w:rsidR="00BB4E21" w:rsidRDefault="00BB4E21" w:rsidP="00056603">
            <w:pPr>
              <w:spacing w:after="0" w:line="240" w:lineRule="auto"/>
              <w:rPr>
                <w:rFonts w:ascii="Arial" w:eastAsia="Times New Roman" w:hAnsi="Arial" w:cs="Arial"/>
              </w:rPr>
            </w:pPr>
            <w:r>
              <w:rPr>
                <w:rFonts w:ascii="Arial" w:eastAsia="Times New Roman" w:hAnsi="Arial" w:cs="Arial"/>
              </w:rPr>
              <w:t>Estimate</w:t>
            </w:r>
          </w:p>
        </w:tc>
        <w:tc>
          <w:tcPr>
            <w:tcW w:w="516" w:type="dxa"/>
            <w:tcBorders>
              <w:top w:val="nil"/>
              <w:left w:val="nil"/>
              <w:bottom w:val="nil"/>
              <w:right w:val="nil"/>
            </w:tcBorders>
            <w:shd w:val="clear" w:color="000000" w:fill="BFBFBF"/>
            <w:noWrap/>
            <w:vAlign w:val="bottom"/>
            <w:hideMark/>
          </w:tcPr>
          <w:p w14:paraId="3FDC8A3D" w14:textId="77777777" w:rsidR="00BB4E21" w:rsidRDefault="00BB4E21" w:rsidP="00056603">
            <w:pPr>
              <w:spacing w:after="0" w:line="240" w:lineRule="auto"/>
              <w:rPr>
                <w:rFonts w:ascii="Arial" w:eastAsia="Times New Roman" w:hAnsi="Arial" w:cs="Arial"/>
              </w:rPr>
            </w:pPr>
            <w:r>
              <w:rPr>
                <w:rFonts w:ascii="Arial" w:eastAsia="Times New Roman" w:hAnsi="Arial" w:cs="Arial"/>
              </w:rPr>
              <w:t>SE</w:t>
            </w:r>
          </w:p>
        </w:tc>
        <w:tc>
          <w:tcPr>
            <w:tcW w:w="1076" w:type="dxa"/>
            <w:tcBorders>
              <w:top w:val="nil"/>
              <w:left w:val="nil"/>
              <w:bottom w:val="nil"/>
              <w:right w:val="nil"/>
            </w:tcBorders>
            <w:shd w:val="clear" w:color="000000" w:fill="BFBFBF"/>
            <w:noWrap/>
            <w:vAlign w:val="bottom"/>
            <w:hideMark/>
          </w:tcPr>
          <w:p w14:paraId="0AB02EFD" w14:textId="77777777" w:rsidR="00BB4E21" w:rsidRDefault="00BB4E21" w:rsidP="00056603">
            <w:pPr>
              <w:spacing w:after="0" w:line="240" w:lineRule="auto"/>
              <w:rPr>
                <w:rFonts w:ascii="Arial" w:eastAsia="Times New Roman" w:hAnsi="Arial" w:cs="Arial"/>
              </w:rPr>
            </w:pPr>
            <w:r>
              <w:rPr>
                <w:rFonts w:ascii="Arial" w:eastAsia="Times New Roman" w:hAnsi="Arial" w:cs="Arial"/>
              </w:rPr>
              <w:t>CI LL</w:t>
            </w:r>
          </w:p>
        </w:tc>
        <w:tc>
          <w:tcPr>
            <w:tcW w:w="1076" w:type="dxa"/>
            <w:tcBorders>
              <w:top w:val="nil"/>
              <w:left w:val="nil"/>
              <w:bottom w:val="nil"/>
              <w:right w:val="nil"/>
            </w:tcBorders>
            <w:shd w:val="clear" w:color="000000" w:fill="BFBFBF"/>
            <w:noWrap/>
            <w:vAlign w:val="bottom"/>
            <w:hideMark/>
          </w:tcPr>
          <w:p w14:paraId="240757CF" w14:textId="77777777" w:rsidR="00BB4E21" w:rsidRDefault="00BB4E21" w:rsidP="00056603">
            <w:pPr>
              <w:spacing w:after="0" w:line="240" w:lineRule="auto"/>
              <w:rPr>
                <w:rFonts w:ascii="Arial" w:eastAsia="Times New Roman" w:hAnsi="Arial" w:cs="Arial"/>
              </w:rPr>
            </w:pPr>
            <w:r>
              <w:rPr>
                <w:rFonts w:ascii="Arial" w:eastAsia="Times New Roman" w:hAnsi="Arial" w:cs="Arial"/>
              </w:rPr>
              <w:t>CI UL</w:t>
            </w:r>
          </w:p>
        </w:tc>
      </w:tr>
      <w:tr w:rsidR="00BB4E21" w14:paraId="6A626BFD" w14:textId="77777777" w:rsidTr="00056603">
        <w:trPr>
          <w:trHeight w:val="240"/>
        </w:trPr>
        <w:tc>
          <w:tcPr>
            <w:tcW w:w="1396" w:type="dxa"/>
            <w:tcBorders>
              <w:top w:val="nil"/>
              <w:left w:val="nil"/>
              <w:bottom w:val="nil"/>
              <w:right w:val="nil"/>
            </w:tcBorders>
            <w:shd w:val="clear" w:color="000000" w:fill="BFBFBF"/>
            <w:noWrap/>
            <w:vAlign w:val="bottom"/>
            <w:hideMark/>
          </w:tcPr>
          <w:p w14:paraId="183C8428" w14:textId="77777777" w:rsidR="00BB4E21" w:rsidRDefault="00BB4E21" w:rsidP="00056603">
            <w:pPr>
              <w:spacing w:after="0" w:line="240" w:lineRule="auto"/>
              <w:rPr>
                <w:rFonts w:ascii="Arial" w:eastAsia="Times New Roman" w:hAnsi="Arial" w:cs="Arial"/>
              </w:rPr>
            </w:pPr>
            <w:r>
              <w:rPr>
                <w:rFonts w:ascii="Arial" w:eastAsia="Times New Roman" w:hAnsi="Arial" w:cs="Arial"/>
              </w:rPr>
              <w:t>Intercept</w:t>
            </w:r>
          </w:p>
        </w:tc>
        <w:tc>
          <w:tcPr>
            <w:tcW w:w="1256" w:type="dxa"/>
            <w:tcBorders>
              <w:top w:val="nil"/>
              <w:left w:val="nil"/>
              <w:bottom w:val="nil"/>
              <w:right w:val="nil"/>
            </w:tcBorders>
            <w:shd w:val="clear" w:color="000000" w:fill="D9D9D9"/>
            <w:noWrap/>
            <w:vAlign w:val="bottom"/>
            <w:hideMark/>
          </w:tcPr>
          <w:p w14:paraId="64A6B07F"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-0.86</w:t>
            </w:r>
          </w:p>
        </w:tc>
        <w:tc>
          <w:tcPr>
            <w:tcW w:w="516" w:type="dxa"/>
            <w:tcBorders>
              <w:top w:val="nil"/>
              <w:left w:val="nil"/>
              <w:bottom w:val="nil"/>
              <w:right w:val="nil"/>
            </w:tcBorders>
            <w:shd w:val="clear" w:color="000000" w:fill="D9D9D9"/>
            <w:noWrap/>
            <w:vAlign w:val="bottom"/>
            <w:hideMark/>
          </w:tcPr>
          <w:p w14:paraId="69CDDA4A"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0.49</w:t>
            </w:r>
          </w:p>
        </w:tc>
        <w:tc>
          <w:tcPr>
            <w:tcW w:w="1076" w:type="dxa"/>
            <w:tcBorders>
              <w:top w:val="nil"/>
              <w:left w:val="nil"/>
              <w:bottom w:val="nil"/>
              <w:right w:val="nil"/>
            </w:tcBorders>
            <w:shd w:val="clear" w:color="000000" w:fill="D9D9D9"/>
            <w:noWrap/>
            <w:vAlign w:val="bottom"/>
            <w:hideMark/>
          </w:tcPr>
          <w:p w14:paraId="193C4724"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-2.43</w:t>
            </w:r>
          </w:p>
        </w:tc>
        <w:tc>
          <w:tcPr>
            <w:tcW w:w="1076" w:type="dxa"/>
            <w:tcBorders>
              <w:top w:val="nil"/>
              <w:left w:val="nil"/>
              <w:bottom w:val="nil"/>
              <w:right w:val="nil"/>
            </w:tcBorders>
            <w:shd w:val="clear" w:color="000000" w:fill="D9D9D9"/>
            <w:noWrap/>
            <w:vAlign w:val="bottom"/>
            <w:hideMark/>
          </w:tcPr>
          <w:p w14:paraId="3881E607"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0.72</w:t>
            </w:r>
          </w:p>
        </w:tc>
      </w:tr>
      <w:tr w:rsidR="00BB4E21" w14:paraId="43D5F484" w14:textId="77777777" w:rsidTr="00056603">
        <w:trPr>
          <w:trHeight w:val="240"/>
        </w:trPr>
        <w:tc>
          <w:tcPr>
            <w:tcW w:w="1396" w:type="dxa"/>
            <w:tcBorders>
              <w:top w:val="nil"/>
              <w:left w:val="nil"/>
              <w:bottom w:val="nil"/>
              <w:right w:val="nil"/>
            </w:tcBorders>
            <w:shd w:val="clear" w:color="000000" w:fill="BFBFBF"/>
            <w:noWrap/>
            <w:vAlign w:val="bottom"/>
            <w:hideMark/>
          </w:tcPr>
          <w:p w14:paraId="5CD5B3C2" w14:textId="77777777" w:rsidR="00BB4E21" w:rsidRDefault="00BB4E21" w:rsidP="00056603">
            <w:pPr>
              <w:spacing w:after="0" w:line="240" w:lineRule="auto"/>
              <w:rPr>
                <w:rFonts w:ascii="Arial" w:eastAsia="Times New Roman" w:hAnsi="Arial" w:cs="Arial"/>
              </w:rPr>
            </w:pPr>
            <w:r>
              <w:rPr>
                <w:rFonts w:ascii="Arial" w:eastAsia="Times New Roman" w:hAnsi="Arial" w:cs="Arial"/>
              </w:rPr>
              <w:t>Slope</w:t>
            </w:r>
          </w:p>
        </w:tc>
        <w:tc>
          <w:tcPr>
            <w:tcW w:w="1256" w:type="dxa"/>
            <w:tcBorders>
              <w:top w:val="nil"/>
              <w:left w:val="nil"/>
              <w:bottom w:val="nil"/>
              <w:right w:val="nil"/>
            </w:tcBorders>
            <w:shd w:val="clear" w:color="000000" w:fill="D9D9D9"/>
            <w:noWrap/>
            <w:vAlign w:val="bottom"/>
            <w:hideMark/>
          </w:tcPr>
          <w:p w14:paraId="0D5DF411"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-0.19</w:t>
            </w:r>
          </w:p>
        </w:tc>
        <w:tc>
          <w:tcPr>
            <w:tcW w:w="516" w:type="dxa"/>
            <w:tcBorders>
              <w:top w:val="nil"/>
              <w:left w:val="nil"/>
              <w:bottom w:val="nil"/>
              <w:right w:val="nil"/>
            </w:tcBorders>
            <w:shd w:val="clear" w:color="000000" w:fill="D9D9D9"/>
            <w:noWrap/>
            <w:vAlign w:val="bottom"/>
            <w:hideMark/>
          </w:tcPr>
          <w:p w14:paraId="6868FACD"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0.26</w:t>
            </w:r>
          </w:p>
        </w:tc>
        <w:tc>
          <w:tcPr>
            <w:tcW w:w="1076" w:type="dxa"/>
            <w:tcBorders>
              <w:top w:val="nil"/>
              <w:left w:val="nil"/>
              <w:bottom w:val="nil"/>
              <w:right w:val="nil"/>
            </w:tcBorders>
            <w:shd w:val="clear" w:color="000000" w:fill="D9D9D9"/>
            <w:noWrap/>
            <w:vAlign w:val="bottom"/>
            <w:hideMark/>
          </w:tcPr>
          <w:p w14:paraId="1E6A8761"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-1.01</w:t>
            </w:r>
          </w:p>
        </w:tc>
        <w:tc>
          <w:tcPr>
            <w:tcW w:w="1076" w:type="dxa"/>
            <w:tcBorders>
              <w:top w:val="nil"/>
              <w:left w:val="nil"/>
              <w:bottom w:val="nil"/>
              <w:right w:val="nil"/>
            </w:tcBorders>
            <w:shd w:val="clear" w:color="000000" w:fill="D9D9D9"/>
            <w:noWrap/>
            <w:vAlign w:val="bottom"/>
            <w:hideMark/>
          </w:tcPr>
          <w:p w14:paraId="77D86635"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0.63</w:t>
            </w:r>
          </w:p>
        </w:tc>
      </w:tr>
      <w:tr w:rsidR="00BB4E21" w14:paraId="74159367" w14:textId="77777777" w:rsidTr="00056603">
        <w:trPr>
          <w:trHeight w:val="240"/>
        </w:trPr>
        <w:tc>
          <w:tcPr>
            <w:tcW w:w="1396" w:type="dxa"/>
            <w:tcBorders>
              <w:top w:val="nil"/>
              <w:left w:val="nil"/>
              <w:bottom w:val="nil"/>
              <w:right w:val="nil"/>
            </w:tcBorders>
            <w:noWrap/>
            <w:vAlign w:val="bottom"/>
            <w:hideMark/>
          </w:tcPr>
          <w:p w14:paraId="02125023" w14:textId="77777777" w:rsidR="00BB4E21" w:rsidRDefault="00BB4E21" w:rsidP="00056603">
            <w:pPr>
              <w:spacing w:after="0" w:line="240" w:lineRule="auto"/>
              <w:rPr>
                <w:rFonts w:ascii="Arial" w:eastAsia="Times New Roman" w:hAnsi="Arial" w:cs="Arial"/>
                <w:color w:val="000000"/>
              </w:rPr>
            </w:pPr>
          </w:p>
        </w:tc>
        <w:tc>
          <w:tcPr>
            <w:tcW w:w="1256" w:type="dxa"/>
            <w:tcBorders>
              <w:top w:val="nil"/>
              <w:left w:val="nil"/>
              <w:bottom w:val="nil"/>
              <w:right w:val="nil"/>
            </w:tcBorders>
            <w:noWrap/>
            <w:vAlign w:val="bottom"/>
            <w:hideMark/>
          </w:tcPr>
          <w:p w14:paraId="1398FC93" w14:textId="77777777" w:rsidR="00BB4E21" w:rsidRDefault="00BB4E21" w:rsidP="00056603">
            <w:pPr>
              <w:spacing w:after="0" w:line="240" w:lineRule="auto"/>
              <w:rPr>
                <w:rFonts w:ascii="Arial" w:eastAsia="Times New Roman" w:hAnsi="Arial" w:cs="Arial"/>
                <w:color w:val="000000"/>
              </w:rPr>
            </w:pPr>
          </w:p>
        </w:tc>
        <w:tc>
          <w:tcPr>
            <w:tcW w:w="516" w:type="dxa"/>
            <w:tcBorders>
              <w:top w:val="nil"/>
              <w:left w:val="nil"/>
              <w:bottom w:val="nil"/>
              <w:right w:val="nil"/>
            </w:tcBorders>
            <w:noWrap/>
            <w:vAlign w:val="bottom"/>
            <w:hideMark/>
          </w:tcPr>
          <w:p w14:paraId="6F1E4D2C" w14:textId="77777777" w:rsidR="00BB4E21" w:rsidRDefault="00BB4E21" w:rsidP="00056603">
            <w:pPr>
              <w:spacing w:after="0" w:line="240" w:lineRule="auto"/>
              <w:rPr>
                <w:rFonts w:ascii="Arial" w:eastAsia="Times New Roman" w:hAnsi="Arial" w:cs="Arial"/>
                <w:color w:val="000000"/>
              </w:rPr>
            </w:pPr>
          </w:p>
        </w:tc>
        <w:tc>
          <w:tcPr>
            <w:tcW w:w="1076" w:type="dxa"/>
            <w:tcBorders>
              <w:top w:val="nil"/>
              <w:left w:val="nil"/>
              <w:bottom w:val="nil"/>
              <w:right w:val="nil"/>
            </w:tcBorders>
            <w:noWrap/>
            <w:vAlign w:val="bottom"/>
            <w:hideMark/>
          </w:tcPr>
          <w:p w14:paraId="7883838C" w14:textId="77777777" w:rsidR="00BB4E21" w:rsidRDefault="00BB4E21" w:rsidP="00056603">
            <w:pPr>
              <w:spacing w:after="0" w:line="240" w:lineRule="auto"/>
              <w:rPr>
                <w:rFonts w:ascii="Arial" w:eastAsia="Times New Roman" w:hAnsi="Arial" w:cs="Arial"/>
                <w:color w:val="000000"/>
              </w:rPr>
            </w:pPr>
          </w:p>
        </w:tc>
        <w:tc>
          <w:tcPr>
            <w:tcW w:w="1076" w:type="dxa"/>
            <w:tcBorders>
              <w:top w:val="nil"/>
              <w:left w:val="nil"/>
              <w:bottom w:val="nil"/>
              <w:right w:val="nil"/>
            </w:tcBorders>
            <w:noWrap/>
            <w:vAlign w:val="bottom"/>
            <w:hideMark/>
          </w:tcPr>
          <w:p w14:paraId="685A87B8" w14:textId="77777777" w:rsidR="00BB4E21" w:rsidRDefault="00BB4E21" w:rsidP="00056603">
            <w:pPr>
              <w:spacing w:after="0" w:line="240" w:lineRule="auto"/>
              <w:rPr>
                <w:rFonts w:ascii="Arial" w:eastAsia="Times New Roman" w:hAnsi="Arial" w:cs="Arial"/>
                <w:color w:val="000000"/>
              </w:rPr>
            </w:pPr>
          </w:p>
        </w:tc>
      </w:tr>
      <w:tr w:rsidR="00BB4E21" w14:paraId="6AA83B72" w14:textId="77777777" w:rsidTr="00056603">
        <w:trPr>
          <w:trHeight w:val="240"/>
        </w:trPr>
        <w:tc>
          <w:tcPr>
            <w:tcW w:w="1396" w:type="dxa"/>
            <w:tcBorders>
              <w:top w:val="nil"/>
              <w:left w:val="nil"/>
              <w:bottom w:val="nil"/>
              <w:right w:val="nil"/>
            </w:tcBorders>
            <w:shd w:val="clear" w:color="000000" w:fill="BFBFBF"/>
            <w:noWrap/>
            <w:vAlign w:val="bottom"/>
            <w:hideMark/>
          </w:tcPr>
          <w:p w14:paraId="7AC4D664" w14:textId="77777777" w:rsidR="00BB4E21" w:rsidRDefault="00BB4E21" w:rsidP="00056603">
            <w:pPr>
              <w:spacing w:after="0" w:line="240" w:lineRule="auto"/>
              <w:rPr>
                <w:rFonts w:ascii="Arial" w:eastAsia="Times New Roman" w:hAnsi="Arial" w:cs="Arial"/>
              </w:rPr>
            </w:pPr>
            <w:r>
              <w:rPr>
                <w:rFonts w:ascii="Arial" w:eastAsia="Times New Roman" w:hAnsi="Arial" w:cs="Arial"/>
              </w:rPr>
              <w:t>t test</w:t>
            </w:r>
          </w:p>
        </w:tc>
        <w:tc>
          <w:tcPr>
            <w:tcW w:w="1256" w:type="dxa"/>
            <w:tcBorders>
              <w:top w:val="nil"/>
              <w:left w:val="nil"/>
              <w:bottom w:val="nil"/>
              <w:right w:val="nil"/>
            </w:tcBorders>
            <w:shd w:val="clear" w:color="000000" w:fill="D9D9D9"/>
            <w:noWrap/>
            <w:vAlign w:val="bottom"/>
            <w:hideMark/>
          </w:tcPr>
          <w:p w14:paraId="6C61C3D2"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-1.73</w:t>
            </w:r>
          </w:p>
        </w:tc>
        <w:tc>
          <w:tcPr>
            <w:tcW w:w="516" w:type="dxa"/>
            <w:tcBorders>
              <w:top w:val="nil"/>
              <w:left w:val="nil"/>
              <w:bottom w:val="nil"/>
              <w:right w:val="nil"/>
            </w:tcBorders>
            <w:noWrap/>
            <w:vAlign w:val="bottom"/>
            <w:hideMark/>
          </w:tcPr>
          <w:p w14:paraId="7DA2351D" w14:textId="77777777" w:rsidR="00BB4E21" w:rsidRDefault="00BB4E21" w:rsidP="00056603">
            <w:pPr>
              <w:spacing w:after="0" w:line="240" w:lineRule="auto"/>
              <w:rPr>
                <w:rFonts w:ascii="Arial" w:eastAsia="Times New Roman" w:hAnsi="Arial" w:cs="Arial"/>
                <w:color w:val="000000"/>
              </w:rPr>
            </w:pPr>
          </w:p>
        </w:tc>
        <w:tc>
          <w:tcPr>
            <w:tcW w:w="1076" w:type="dxa"/>
            <w:tcBorders>
              <w:top w:val="nil"/>
              <w:left w:val="nil"/>
              <w:bottom w:val="nil"/>
              <w:right w:val="nil"/>
            </w:tcBorders>
            <w:noWrap/>
            <w:vAlign w:val="bottom"/>
            <w:hideMark/>
          </w:tcPr>
          <w:p w14:paraId="52DC940B" w14:textId="77777777" w:rsidR="00BB4E21" w:rsidRDefault="00BB4E21" w:rsidP="00056603">
            <w:pPr>
              <w:spacing w:after="0" w:line="240" w:lineRule="auto"/>
              <w:rPr>
                <w:rFonts w:ascii="Arial" w:eastAsia="Times New Roman" w:hAnsi="Arial" w:cs="Arial"/>
                <w:color w:val="000000"/>
              </w:rPr>
            </w:pPr>
          </w:p>
        </w:tc>
        <w:tc>
          <w:tcPr>
            <w:tcW w:w="1076" w:type="dxa"/>
            <w:tcBorders>
              <w:top w:val="nil"/>
              <w:left w:val="nil"/>
              <w:bottom w:val="nil"/>
              <w:right w:val="nil"/>
            </w:tcBorders>
            <w:noWrap/>
            <w:vAlign w:val="bottom"/>
            <w:hideMark/>
          </w:tcPr>
          <w:p w14:paraId="7328433C" w14:textId="77777777" w:rsidR="00BB4E21" w:rsidRDefault="00BB4E21" w:rsidP="00056603">
            <w:pPr>
              <w:spacing w:after="0" w:line="240" w:lineRule="auto"/>
              <w:rPr>
                <w:rFonts w:ascii="Arial" w:eastAsia="Times New Roman" w:hAnsi="Arial" w:cs="Arial"/>
                <w:color w:val="000000"/>
              </w:rPr>
            </w:pPr>
          </w:p>
        </w:tc>
      </w:tr>
      <w:tr w:rsidR="00BB4E21" w14:paraId="227BE664" w14:textId="77777777" w:rsidTr="00056603">
        <w:trPr>
          <w:trHeight w:val="240"/>
        </w:trPr>
        <w:tc>
          <w:tcPr>
            <w:tcW w:w="1396" w:type="dxa"/>
            <w:tcBorders>
              <w:top w:val="nil"/>
              <w:left w:val="nil"/>
              <w:bottom w:val="nil"/>
              <w:right w:val="nil"/>
            </w:tcBorders>
            <w:shd w:val="clear" w:color="000000" w:fill="BFBFBF"/>
            <w:noWrap/>
            <w:vAlign w:val="bottom"/>
            <w:hideMark/>
          </w:tcPr>
          <w:p w14:paraId="52FD7EEC" w14:textId="77777777" w:rsidR="00BB4E21" w:rsidRDefault="00BB4E21" w:rsidP="00056603">
            <w:pPr>
              <w:spacing w:after="0" w:line="240" w:lineRule="auto"/>
              <w:rPr>
                <w:rFonts w:ascii="Arial" w:eastAsia="Times New Roman" w:hAnsi="Arial" w:cs="Arial"/>
              </w:rPr>
            </w:pPr>
            <w:r>
              <w:rPr>
                <w:rFonts w:ascii="Arial" w:eastAsia="Times New Roman" w:hAnsi="Arial" w:cs="Arial"/>
              </w:rPr>
              <w:t>p-value</w:t>
            </w:r>
          </w:p>
        </w:tc>
        <w:tc>
          <w:tcPr>
            <w:tcW w:w="1256" w:type="dxa"/>
            <w:tcBorders>
              <w:top w:val="nil"/>
              <w:left w:val="nil"/>
              <w:bottom w:val="nil"/>
              <w:right w:val="nil"/>
            </w:tcBorders>
            <w:shd w:val="clear" w:color="000000" w:fill="D9D9D9"/>
            <w:noWrap/>
            <w:vAlign w:val="bottom"/>
            <w:hideMark/>
          </w:tcPr>
          <w:p w14:paraId="61FAFCE6"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0.225</w:t>
            </w:r>
          </w:p>
        </w:tc>
        <w:tc>
          <w:tcPr>
            <w:tcW w:w="516" w:type="dxa"/>
            <w:tcBorders>
              <w:top w:val="nil"/>
              <w:left w:val="nil"/>
              <w:bottom w:val="nil"/>
              <w:right w:val="nil"/>
            </w:tcBorders>
            <w:noWrap/>
            <w:vAlign w:val="bottom"/>
            <w:hideMark/>
          </w:tcPr>
          <w:p w14:paraId="74C4E33C" w14:textId="77777777" w:rsidR="00BB4E21" w:rsidRDefault="00BB4E21" w:rsidP="00056603">
            <w:pPr>
              <w:spacing w:after="0" w:line="240" w:lineRule="auto"/>
              <w:rPr>
                <w:rFonts w:ascii="Arial" w:eastAsia="Times New Roman" w:hAnsi="Arial" w:cs="Arial"/>
                <w:color w:val="000000"/>
              </w:rPr>
            </w:pPr>
          </w:p>
        </w:tc>
        <w:tc>
          <w:tcPr>
            <w:tcW w:w="1076" w:type="dxa"/>
            <w:tcBorders>
              <w:top w:val="nil"/>
              <w:left w:val="nil"/>
              <w:bottom w:val="nil"/>
              <w:right w:val="nil"/>
            </w:tcBorders>
            <w:noWrap/>
            <w:vAlign w:val="bottom"/>
            <w:hideMark/>
          </w:tcPr>
          <w:p w14:paraId="404E7347" w14:textId="77777777" w:rsidR="00BB4E21" w:rsidRDefault="00BB4E21" w:rsidP="00056603">
            <w:pPr>
              <w:spacing w:after="0" w:line="240" w:lineRule="auto"/>
              <w:rPr>
                <w:rFonts w:ascii="Arial" w:eastAsia="Times New Roman" w:hAnsi="Arial" w:cs="Arial"/>
                <w:color w:val="000000"/>
              </w:rPr>
            </w:pPr>
          </w:p>
        </w:tc>
        <w:tc>
          <w:tcPr>
            <w:tcW w:w="1076" w:type="dxa"/>
            <w:tcBorders>
              <w:top w:val="nil"/>
              <w:left w:val="nil"/>
              <w:bottom w:val="nil"/>
              <w:right w:val="nil"/>
            </w:tcBorders>
            <w:noWrap/>
            <w:vAlign w:val="bottom"/>
            <w:hideMark/>
          </w:tcPr>
          <w:p w14:paraId="1CA935A6" w14:textId="77777777" w:rsidR="00BB4E21" w:rsidRDefault="00BB4E21" w:rsidP="00056603">
            <w:pPr>
              <w:spacing w:after="0" w:line="240" w:lineRule="auto"/>
              <w:rPr>
                <w:rFonts w:ascii="Arial" w:eastAsia="Times New Roman" w:hAnsi="Arial" w:cs="Arial"/>
                <w:color w:val="000000"/>
              </w:rPr>
            </w:pPr>
          </w:p>
        </w:tc>
      </w:tr>
    </w:tbl>
    <w:p w14:paraId="06424FF1" w14:textId="77777777" w:rsidR="00BB4E21" w:rsidRDefault="00BB4E21" w:rsidP="00BB4E21">
      <w:pPr>
        <w:spacing w:after="0" w:line="480" w:lineRule="auto"/>
        <w:ind w:right="-810"/>
        <w:rPr>
          <w:rFonts w:ascii="Times New Roman" w:hAnsi="Times New Roman" w:cs="Times New Roman"/>
          <w:b/>
        </w:rPr>
      </w:pPr>
    </w:p>
    <w:p w14:paraId="39017A36" w14:textId="77777777" w:rsidR="00BB4E21" w:rsidRDefault="00BB4E21" w:rsidP="00BB4E21">
      <w:pPr>
        <w:spacing w:after="0" w:line="480" w:lineRule="auto"/>
        <w:ind w:right="-810"/>
        <w:rPr>
          <w:rFonts w:ascii="Times New Roman" w:hAnsi="Times New Roman" w:cs="Times New Roman"/>
          <w:b/>
        </w:rPr>
      </w:pPr>
    </w:p>
    <w:p w14:paraId="08BA4329" w14:textId="77777777" w:rsidR="00BB4E21" w:rsidRDefault="00BB4E21" w:rsidP="00BB4E21">
      <w:pPr>
        <w:rPr>
          <w:rFonts w:ascii="Times New Roman" w:hAnsi="Times New Roman" w:cs="Times New Roman"/>
          <w:b/>
        </w:rPr>
      </w:pPr>
      <w:r>
        <w:rPr>
          <w:rFonts w:ascii="Times New Roman" w:hAnsi="Times New Roman" w:cs="Times New Roman"/>
          <w:b/>
        </w:rPr>
        <w:br w:type="page"/>
      </w:r>
    </w:p>
    <w:p w14:paraId="6CAF31B1" w14:textId="77777777" w:rsidR="00BB4E21" w:rsidRDefault="00BB4E21" w:rsidP="00BB4E21">
      <w:pPr>
        <w:spacing w:after="0" w:line="480" w:lineRule="auto"/>
        <w:ind w:right="-810"/>
        <w:rPr>
          <w:rFonts w:ascii="Times New Roman" w:hAnsi="Times New Roman" w:cs="Times New Roman"/>
          <w:b/>
        </w:rPr>
      </w:pPr>
      <w:r>
        <w:rPr>
          <w:rFonts w:ascii="Times New Roman" w:hAnsi="Times New Roman" w:cs="Times New Roman"/>
          <w:b/>
        </w:rPr>
        <w:lastRenderedPageBreak/>
        <w:t>C) Stroke</w:t>
      </w:r>
    </w:p>
    <w:p w14:paraId="18123D2D" w14:textId="77777777" w:rsidR="00BB4E21" w:rsidRDefault="00BB4E21" w:rsidP="00BB4E21">
      <w:pPr>
        <w:spacing w:after="0" w:line="480" w:lineRule="auto"/>
        <w:ind w:right="-810"/>
        <w:rPr>
          <w:rFonts w:ascii="Times New Roman" w:hAnsi="Times New Roman" w:cs="Times New Roman"/>
          <w:b/>
        </w:rPr>
      </w:pPr>
    </w:p>
    <w:p w14:paraId="0EC1B427" w14:textId="77777777" w:rsidR="00BB4E21" w:rsidRDefault="00BB4E21" w:rsidP="00BB4E21">
      <w:pPr>
        <w:spacing w:after="0" w:line="480" w:lineRule="auto"/>
        <w:ind w:right="-810"/>
        <w:rPr>
          <w:rFonts w:ascii="Times New Roman" w:hAnsi="Times New Roman" w:cs="Times New Roman"/>
          <w:b/>
        </w:rPr>
      </w:pPr>
      <w:r>
        <w:rPr>
          <w:rFonts w:ascii="Times New Roman" w:hAnsi="Times New Roman" w:cs="Times New Roman"/>
          <w:b/>
          <w:noProof/>
        </w:rPr>
        <w:drawing>
          <wp:inline distT="0" distB="0" distL="0" distR="0" wp14:anchorId="638CB922" wp14:editId="28A74A55">
            <wp:extent cx="5029200" cy="3352800"/>
            <wp:effectExtent l="0" t="0" r="0" b="0"/>
            <wp:docPr id="200840442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28" cstate="print"/>
                    <a:srcRect/>
                    <a:stretch/>
                  </pic:blipFill>
                  <pic:spPr>
                    <a:xfrm>
                      <a:off x="0" y="0"/>
                      <a:ext cx="5029200" cy="3352800"/>
                    </a:xfrm>
                    <a:prstGeom prst="rect">
                      <a:avLst/>
                    </a:prstGeom>
                  </pic:spPr>
                </pic:pic>
              </a:graphicData>
            </a:graphic>
          </wp:inline>
        </w:drawing>
      </w:r>
    </w:p>
    <w:p w14:paraId="3828F69D" w14:textId="77777777" w:rsidR="00BB4E21" w:rsidRDefault="00BB4E21" w:rsidP="00BB4E21">
      <w:pPr>
        <w:spacing w:after="0" w:line="480" w:lineRule="auto"/>
        <w:ind w:right="-810"/>
        <w:rPr>
          <w:rFonts w:ascii="Times New Roman" w:hAnsi="Times New Roman" w:cs="Times New Roman"/>
          <w:b/>
        </w:rPr>
      </w:pPr>
    </w:p>
    <w:tbl>
      <w:tblPr>
        <w:tblW w:w="5320" w:type="dxa"/>
        <w:tblInd w:w="108" w:type="dxa"/>
        <w:tblLook w:val="04A0" w:firstRow="1" w:lastRow="0" w:firstColumn="1" w:lastColumn="0" w:noHBand="0" w:noVBand="1"/>
      </w:tblPr>
      <w:tblGrid>
        <w:gridCol w:w="1396"/>
        <w:gridCol w:w="1256"/>
        <w:gridCol w:w="684"/>
        <w:gridCol w:w="1076"/>
        <w:gridCol w:w="1076"/>
      </w:tblGrid>
      <w:tr w:rsidR="00BB4E21" w14:paraId="1DCB4DBA" w14:textId="77777777" w:rsidTr="00056603">
        <w:trPr>
          <w:trHeight w:val="240"/>
        </w:trPr>
        <w:tc>
          <w:tcPr>
            <w:tcW w:w="1396" w:type="dxa"/>
            <w:tcBorders>
              <w:top w:val="nil"/>
              <w:left w:val="nil"/>
              <w:bottom w:val="nil"/>
              <w:right w:val="nil"/>
            </w:tcBorders>
            <w:shd w:val="clear" w:color="000000" w:fill="BFBFBF"/>
            <w:noWrap/>
            <w:vAlign w:val="bottom"/>
            <w:hideMark/>
          </w:tcPr>
          <w:p w14:paraId="1689B297" w14:textId="77777777" w:rsidR="00BB4E21" w:rsidRDefault="00BB4E21" w:rsidP="00056603">
            <w:pPr>
              <w:spacing w:after="0" w:line="240" w:lineRule="auto"/>
              <w:rPr>
                <w:rFonts w:ascii="Arial" w:eastAsia="Times New Roman" w:hAnsi="Arial" w:cs="Arial"/>
              </w:rPr>
            </w:pPr>
            <w:r>
              <w:rPr>
                <w:rFonts w:ascii="Arial" w:eastAsia="Times New Roman" w:hAnsi="Arial" w:cs="Arial"/>
              </w:rPr>
              <w:t> </w:t>
            </w:r>
          </w:p>
        </w:tc>
        <w:tc>
          <w:tcPr>
            <w:tcW w:w="1256" w:type="dxa"/>
            <w:tcBorders>
              <w:top w:val="nil"/>
              <w:left w:val="nil"/>
              <w:bottom w:val="nil"/>
              <w:right w:val="nil"/>
            </w:tcBorders>
            <w:shd w:val="clear" w:color="000000" w:fill="BFBFBF"/>
            <w:noWrap/>
            <w:vAlign w:val="bottom"/>
            <w:hideMark/>
          </w:tcPr>
          <w:p w14:paraId="3B94FE42" w14:textId="77777777" w:rsidR="00BB4E21" w:rsidRDefault="00BB4E21" w:rsidP="00056603">
            <w:pPr>
              <w:spacing w:after="0" w:line="240" w:lineRule="auto"/>
              <w:rPr>
                <w:rFonts w:ascii="Arial" w:eastAsia="Times New Roman" w:hAnsi="Arial" w:cs="Arial"/>
              </w:rPr>
            </w:pPr>
            <w:r>
              <w:rPr>
                <w:rFonts w:ascii="Arial" w:eastAsia="Times New Roman" w:hAnsi="Arial" w:cs="Arial"/>
              </w:rPr>
              <w:t>Estimate</w:t>
            </w:r>
          </w:p>
        </w:tc>
        <w:tc>
          <w:tcPr>
            <w:tcW w:w="516" w:type="dxa"/>
            <w:tcBorders>
              <w:top w:val="nil"/>
              <w:left w:val="nil"/>
              <w:bottom w:val="nil"/>
              <w:right w:val="nil"/>
            </w:tcBorders>
            <w:shd w:val="clear" w:color="000000" w:fill="BFBFBF"/>
            <w:noWrap/>
            <w:vAlign w:val="bottom"/>
            <w:hideMark/>
          </w:tcPr>
          <w:p w14:paraId="5DEAF4AE" w14:textId="77777777" w:rsidR="00BB4E21" w:rsidRDefault="00BB4E21" w:rsidP="00056603">
            <w:pPr>
              <w:spacing w:after="0" w:line="240" w:lineRule="auto"/>
              <w:rPr>
                <w:rFonts w:ascii="Arial" w:eastAsia="Times New Roman" w:hAnsi="Arial" w:cs="Arial"/>
              </w:rPr>
            </w:pPr>
            <w:r>
              <w:rPr>
                <w:rFonts w:ascii="Arial" w:eastAsia="Times New Roman" w:hAnsi="Arial" w:cs="Arial"/>
              </w:rPr>
              <w:t>SE</w:t>
            </w:r>
          </w:p>
        </w:tc>
        <w:tc>
          <w:tcPr>
            <w:tcW w:w="1076" w:type="dxa"/>
            <w:tcBorders>
              <w:top w:val="nil"/>
              <w:left w:val="nil"/>
              <w:bottom w:val="nil"/>
              <w:right w:val="nil"/>
            </w:tcBorders>
            <w:shd w:val="clear" w:color="000000" w:fill="BFBFBF"/>
            <w:noWrap/>
            <w:vAlign w:val="bottom"/>
            <w:hideMark/>
          </w:tcPr>
          <w:p w14:paraId="19B994B9" w14:textId="77777777" w:rsidR="00BB4E21" w:rsidRDefault="00BB4E21" w:rsidP="00056603">
            <w:pPr>
              <w:spacing w:after="0" w:line="240" w:lineRule="auto"/>
              <w:rPr>
                <w:rFonts w:ascii="Arial" w:eastAsia="Times New Roman" w:hAnsi="Arial" w:cs="Arial"/>
              </w:rPr>
            </w:pPr>
            <w:r>
              <w:rPr>
                <w:rFonts w:ascii="Arial" w:eastAsia="Times New Roman" w:hAnsi="Arial" w:cs="Arial"/>
              </w:rPr>
              <w:t>CI LL</w:t>
            </w:r>
          </w:p>
        </w:tc>
        <w:tc>
          <w:tcPr>
            <w:tcW w:w="1076" w:type="dxa"/>
            <w:tcBorders>
              <w:top w:val="nil"/>
              <w:left w:val="nil"/>
              <w:bottom w:val="nil"/>
              <w:right w:val="nil"/>
            </w:tcBorders>
            <w:shd w:val="clear" w:color="000000" w:fill="BFBFBF"/>
            <w:noWrap/>
            <w:vAlign w:val="bottom"/>
            <w:hideMark/>
          </w:tcPr>
          <w:p w14:paraId="7F8B4B0E" w14:textId="77777777" w:rsidR="00BB4E21" w:rsidRDefault="00BB4E21" w:rsidP="00056603">
            <w:pPr>
              <w:spacing w:after="0" w:line="240" w:lineRule="auto"/>
              <w:rPr>
                <w:rFonts w:ascii="Arial" w:eastAsia="Times New Roman" w:hAnsi="Arial" w:cs="Arial"/>
              </w:rPr>
            </w:pPr>
            <w:r>
              <w:rPr>
                <w:rFonts w:ascii="Arial" w:eastAsia="Times New Roman" w:hAnsi="Arial" w:cs="Arial"/>
              </w:rPr>
              <w:t>CI UL</w:t>
            </w:r>
          </w:p>
        </w:tc>
      </w:tr>
      <w:tr w:rsidR="00BB4E21" w14:paraId="5781E165" w14:textId="77777777" w:rsidTr="00056603">
        <w:trPr>
          <w:trHeight w:val="240"/>
        </w:trPr>
        <w:tc>
          <w:tcPr>
            <w:tcW w:w="1396" w:type="dxa"/>
            <w:tcBorders>
              <w:top w:val="nil"/>
              <w:left w:val="nil"/>
              <w:bottom w:val="nil"/>
              <w:right w:val="nil"/>
            </w:tcBorders>
            <w:shd w:val="clear" w:color="000000" w:fill="BFBFBF"/>
            <w:noWrap/>
            <w:vAlign w:val="bottom"/>
            <w:hideMark/>
          </w:tcPr>
          <w:p w14:paraId="1B7192F1" w14:textId="77777777" w:rsidR="00BB4E21" w:rsidRDefault="00BB4E21" w:rsidP="00056603">
            <w:pPr>
              <w:spacing w:after="0" w:line="240" w:lineRule="auto"/>
              <w:rPr>
                <w:rFonts w:ascii="Arial" w:eastAsia="Times New Roman" w:hAnsi="Arial" w:cs="Arial"/>
              </w:rPr>
            </w:pPr>
            <w:r>
              <w:rPr>
                <w:rFonts w:ascii="Arial" w:eastAsia="Times New Roman" w:hAnsi="Arial" w:cs="Arial"/>
              </w:rPr>
              <w:t>Intercept</w:t>
            </w:r>
          </w:p>
        </w:tc>
        <w:tc>
          <w:tcPr>
            <w:tcW w:w="1256" w:type="dxa"/>
            <w:tcBorders>
              <w:top w:val="nil"/>
              <w:left w:val="nil"/>
              <w:bottom w:val="nil"/>
              <w:right w:val="nil"/>
            </w:tcBorders>
            <w:shd w:val="clear" w:color="000000" w:fill="D9D9D9"/>
            <w:noWrap/>
            <w:vAlign w:val="bottom"/>
            <w:hideMark/>
          </w:tcPr>
          <w:p w14:paraId="6F1EEE21"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-2.47</w:t>
            </w:r>
          </w:p>
        </w:tc>
        <w:tc>
          <w:tcPr>
            <w:tcW w:w="516" w:type="dxa"/>
            <w:tcBorders>
              <w:top w:val="nil"/>
              <w:left w:val="nil"/>
              <w:bottom w:val="nil"/>
              <w:right w:val="nil"/>
            </w:tcBorders>
            <w:shd w:val="clear" w:color="000000" w:fill="D9D9D9"/>
            <w:noWrap/>
            <w:vAlign w:val="bottom"/>
            <w:hideMark/>
          </w:tcPr>
          <w:p w14:paraId="10A26C3D"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1.49</w:t>
            </w:r>
          </w:p>
        </w:tc>
        <w:tc>
          <w:tcPr>
            <w:tcW w:w="1076" w:type="dxa"/>
            <w:tcBorders>
              <w:top w:val="nil"/>
              <w:left w:val="nil"/>
              <w:bottom w:val="nil"/>
              <w:right w:val="nil"/>
            </w:tcBorders>
            <w:shd w:val="clear" w:color="000000" w:fill="D9D9D9"/>
            <w:noWrap/>
            <w:vAlign w:val="bottom"/>
            <w:hideMark/>
          </w:tcPr>
          <w:p w14:paraId="421F2A90"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-7.21</w:t>
            </w:r>
          </w:p>
        </w:tc>
        <w:tc>
          <w:tcPr>
            <w:tcW w:w="1076" w:type="dxa"/>
            <w:tcBorders>
              <w:top w:val="nil"/>
              <w:left w:val="nil"/>
              <w:bottom w:val="nil"/>
              <w:right w:val="nil"/>
            </w:tcBorders>
            <w:shd w:val="clear" w:color="000000" w:fill="D9D9D9"/>
            <w:noWrap/>
            <w:vAlign w:val="bottom"/>
            <w:hideMark/>
          </w:tcPr>
          <w:p w14:paraId="40B0BE50"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2.27</w:t>
            </w:r>
          </w:p>
        </w:tc>
      </w:tr>
      <w:tr w:rsidR="00BB4E21" w14:paraId="6BDD5412" w14:textId="77777777" w:rsidTr="00056603">
        <w:trPr>
          <w:trHeight w:val="240"/>
        </w:trPr>
        <w:tc>
          <w:tcPr>
            <w:tcW w:w="1396" w:type="dxa"/>
            <w:tcBorders>
              <w:top w:val="nil"/>
              <w:left w:val="nil"/>
              <w:bottom w:val="nil"/>
              <w:right w:val="nil"/>
            </w:tcBorders>
            <w:shd w:val="clear" w:color="000000" w:fill="BFBFBF"/>
            <w:noWrap/>
            <w:vAlign w:val="bottom"/>
            <w:hideMark/>
          </w:tcPr>
          <w:p w14:paraId="2CB0D3D5" w14:textId="77777777" w:rsidR="00BB4E21" w:rsidRDefault="00BB4E21" w:rsidP="00056603">
            <w:pPr>
              <w:spacing w:after="0" w:line="240" w:lineRule="auto"/>
              <w:rPr>
                <w:rFonts w:ascii="Arial" w:eastAsia="Times New Roman" w:hAnsi="Arial" w:cs="Arial"/>
              </w:rPr>
            </w:pPr>
            <w:r>
              <w:rPr>
                <w:rFonts w:ascii="Arial" w:eastAsia="Times New Roman" w:hAnsi="Arial" w:cs="Arial"/>
              </w:rPr>
              <w:t>Slope</w:t>
            </w:r>
          </w:p>
        </w:tc>
        <w:tc>
          <w:tcPr>
            <w:tcW w:w="1256" w:type="dxa"/>
            <w:tcBorders>
              <w:top w:val="nil"/>
              <w:left w:val="nil"/>
              <w:bottom w:val="nil"/>
              <w:right w:val="nil"/>
            </w:tcBorders>
            <w:shd w:val="clear" w:color="000000" w:fill="D9D9D9"/>
            <w:noWrap/>
            <w:vAlign w:val="bottom"/>
            <w:hideMark/>
          </w:tcPr>
          <w:p w14:paraId="16BB5AB0"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0.88</w:t>
            </w:r>
          </w:p>
        </w:tc>
        <w:tc>
          <w:tcPr>
            <w:tcW w:w="516" w:type="dxa"/>
            <w:tcBorders>
              <w:top w:val="nil"/>
              <w:left w:val="nil"/>
              <w:bottom w:val="nil"/>
              <w:right w:val="nil"/>
            </w:tcBorders>
            <w:shd w:val="clear" w:color="000000" w:fill="D9D9D9"/>
            <w:noWrap/>
            <w:vAlign w:val="bottom"/>
            <w:hideMark/>
          </w:tcPr>
          <w:p w14:paraId="2C92D048"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0.82</w:t>
            </w:r>
          </w:p>
        </w:tc>
        <w:tc>
          <w:tcPr>
            <w:tcW w:w="1076" w:type="dxa"/>
            <w:tcBorders>
              <w:top w:val="nil"/>
              <w:left w:val="nil"/>
              <w:bottom w:val="nil"/>
              <w:right w:val="nil"/>
            </w:tcBorders>
            <w:shd w:val="clear" w:color="000000" w:fill="D9D9D9"/>
            <w:noWrap/>
            <w:vAlign w:val="bottom"/>
            <w:hideMark/>
          </w:tcPr>
          <w:p w14:paraId="174D126E"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-1.73</w:t>
            </w:r>
          </w:p>
        </w:tc>
        <w:tc>
          <w:tcPr>
            <w:tcW w:w="1076" w:type="dxa"/>
            <w:tcBorders>
              <w:top w:val="nil"/>
              <w:left w:val="nil"/>
              <w:bottom w:val="nil"/>
              <w:right w:val="nil"/>
            </w:tcBorders>
            <w:shd w:val="clear" w:color="000000" w:fill="D9D9D9"/>
            <w:noWrap/>
            <w:vAlign w:val="bottom"/>
            <w:hideMark/>
          </w:tcPr>
          <w:p w14:paraId="02C8C940"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3.50</w:t>
            </w:r>
          </w:p>
        </w:tc>
      </w:tr>
      <w:tr w:rsidR="00BB4E21" w14:paraId="050F9806" w14:textId="77777777" w:rsidTr="00056603">
        <w:trPr>
          <w:trHeight w:val="240"/>
        </w:trPr>
        <w:tc>
          <w:tcPr>
            <w:tcW w:w="1396" w:type="dxa"/>
            <w:tcBorders>
              <w:top w:val="nil"/>
              <w:left w:val="nil"/>
              <w:bottom w:val="nil"/>
              <w:right w:val="nil"/>
            </w:tcBorders>
            <w:noWrap/>
            <w:vAlign w:val="bottom"/>
            <w:hideMark/>
          </w:tcPr>
          <w:p w14:paraId="24EF1CBF" w14:textId="77777777" w:rsidR="00BB4E21" w:rsidRDefault="00BB4E21" w:rsidP="00056603">
            <w:pPr>
              <w:spacing w:after="0" w:line="240" w:lineRule="auto"/>
              <w:rPr>
                <w:rFonts w:ascii="Arial" w:eastAsia="Times New Roman" w:hAnsi="Arial" w:cs="Arial"/>
                <w:color w:val="000000"/>
              </w:rPr>
            </w:pPr>
          </w:p>
        </w:tc>
        <w:tc>
          <w:tcPr>
            <w:tcW w:w="1256" w:type="dxa"/>
            <w:tcBorders>
              <w:top w:val="nil"/>
              <w:left w:val="nil"/>
              <w:bottom w:val="nil"/>
              <w:right w:val="nil"/>
            </w:tcBorders>
            <w:noWrap/>
            <w:vAlign w:val="bottom"/>
            <w:hideMark/>
          </w:tcPr>
          <w:p w14:paraId="042E8CA7" w14:textId="77777777" w:rsidR="00BB4E21" w:rsidRDefault="00BB4E21" w:rsidP="00056603">
            <w:pPr>
              <w:spacing w:after="0" w:line="240" w:lineRule="auto"/>
              <w:rPr>
                <w:rFonts w:ascii="Arial" w:eastAsia="Times New Roman" w:hAnsi="Arial" w:cs="Arial"/>
                <w:color w:val="000000"/>
              </w:rPr>
            </w:pPr>
          </w:p>
        </w:tc>
        <w:tc>
          <w:tcPr>
            <w:tcW w:w="516" w:type="dxa"/>
            <w:tcBorders>
              <w:top w:val="nil"/>
              <w:left w:val="nil"/>
              <w:bottom w:val="nil"/>
              <w:right w:val="nil"/>
            </w:tcBorders>
            <w:noWrap/>
            <w:vAlign w:val="bottom"/>
            <w:hideMark/>
          </w:tcPr>
          <w:p w14:paraId="08D69E2A" w14:textId="77777777" w:rsidR="00BB4E21" w:rsidRDefault="00BB4E21" w:rsidP="00056603">
            <w:pPr>
              <w:spacing w:after="0" w:line="240" w:lineRule="auto"/>
              <w:rPr>
                <w:rFonts w:ascii="Arial" w:eastAsia="Times New Roman" w:hAnsi="Arial" w:cs="Arial"/>
                <w:color w:val="000000"/>
              </w:rPr>
            </w:pPr>
          </w:p>
        </w:tc>
        <w:tc>
          <w:tcPr>
            <w:tcW w:w="1076" w:type="dxa"/>
            <w:tcBorders>
              <w:top w:val="nil"/>
              <w:left w:val="nil"/>
              <w:bottom w:val="nil"/>
              <w:right w:val="nil"/>
            </w:tcBorders>
            <w:noWrap/>
            <w:vAlign w:val="bottom"/>
            <w:hideMark/>
          </w:tcPr>
          <w:p w14:paraId="2C7E6D47" w14:textId="77777777" w:rsidR="00BB4E21" w:rsidRDefault="00BB4E21" w:rsidP="00056603">
            <w:pPr>
              <w:spacing w:after="0" w:line="240" w:lineRule="auto"/>
              <w:rPr>
                <w:rFonts w:ascii="Arial" w:eastAsia="Times New Roman" w:hAnsi="Arial" w:cs="Arial"/>
                <w:color w:val="000000"/>
              </w:rPr>
            </w:pPr>
          </w:p>
        </w:tc>
        <w:tc>
          <w:tcPr>
            <w:tcW w:w="1076" w:type="dxa"/>
            <w:tcBorders>
              <w:top w:val="nil"/>
              <w:left w:val="nil"/>
              <w:bottom w:val="nil"/>
              <w:right w:val="nil"/>
            </w:tcBorders>
            <w:noWrap/>
            <w:vAlign w:val="bottom"/>
            <w:hideMark/>
          </w:tcPr>
          <w:p w14:paraId="0933033B" w14:textId="77777777" w:rsidR="00BB4E21" w:rsidRDefault="00BB4E21" w:rsidP="00056603">
            <w:pPr>
              <w:spacing w:after="0" w:line="240" w:lineRule="auto"/>
              <w:rPr>
                <w:rFonts w:ascii="Arial" w:eastAsia="Times New Roman" w:hAnsi="Arial" w:cs="Arial"/>
                <w:color w:val="000000"/>
              </w:rPr>
            </w:pPr>
          </w:p>
        </w:tc>
      </w:tr>
      <w:tr w:rsidR="00BB4E21" w14:paraId="3141139D" w14:textId="77777777" w:rsidTr="00056603">
        <w:trPr>
          <w:trHeight w:val="240"/>
        </w:trPr>
        <w:tc>
          <w:tcPr>
            <w:tcW w:w="1396" w:type="dxa"/>
            <w:tcBorders>
              <w:top w:val="nil"/>
              <w:left w:val="nil"/>
              <w:bottom w:val="nil"/>
              <w:right w:val="nil"/>
            </w:tcBorders>
            <w:shd w:val="clear" w:color="000000" w:fill="BFBFBF"/>
            <w:noWrap/>
            <w:vAlign w:val="bottom"/>
            <w:hideMark/>
          </w:tcPr>
          <w:p w14:paraId="4247CA63" w14:textId="77777777" w:rsidR="00BB4E21" w:rsidRDefault="00BB4E21" w:rsidP="00056603">
            <w:pPr>
              <w:spacing w:after="0" w:line="240" w:lineRule="auto"/>
              <w:rPr>
                <w:rFonts w:ascii="Arial" w:eastAsia="Times New Roman" w:hAnsi="Arial" w:cs="Arial"/>
              </w:rPr>
            </w:pPr>
            <w:r>
              <w:rPr>
                <w:rFonts w:ascii="Arial" w:eastAsia="Times New Roman" w:hAnsi="Arial" w:cs="Arial"/>
              </w:rPr>
              <w:t>t test</w:t>
            </w:r>
          </w:p>
        </w:tc>
        <w:tc>
          <w:tcPr>
            <w:tcW w:w="1256" w:type="dxa"/>
            <w:tcBorders>
              <w:top w:val="nil"/>
              <w:left w:val="nil"/>
              <w:bottom w:val="nil"/>
              <w:right w:val="nil"/>
            </w:tcBorders>
            <w:shd w:val="clear" w:color="000000" w:fill="D9D9D9"/>
            <w:noWrap/>
            <w:vAlign w:val="bottom"/>
            <w:hideMark/>
          </w:tcPr>
          <w:p w14:paraId="572C183F"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-1.66</w:t>
            </w:r>
          </w:p>
        </w:tc>
        <w:tc>
          <w:tcPr>
            <w:tcW w:w="516" w:type="dxa"/>
            <w:tcBorders>
              <w:top w:val="nil"/>
              <w:left w:val="nil"/>
              <w:bottom w:val="nil"/>
              <w:right w:val="nil"/>
            </w:tcBorders>
            <w:noWrap/>
            <w:vAlign w:val="bottom"/>
            <w:hideMark/>
          </w:tcPr>
          <w:p w14:paraId="51AB1263" w14:textId="77777777" w:rsidR="00BB4E21" w:rsidRDefault="00BB4E21" w:rsidP="00056603">
            <w:pPr>
              <w:spacing w:after="0" w:line="240" w:lineRule="auto"/>
              <w:rPr>
                <w:rFonts w:ascii="Arial" w:eastAsia="Times New Roman" w:hAnsi="Arial" w:cs="Arial"/>
                <w:color w:val="000000"/>
              </w:rPr>
            </w:pPr>
          </w:p>
        </w:tc>
        <w:tc>
          <w:tcPr>
            <w:tcW w:w="1076" w:type="dxa"/>
            <w:tcBorders>
              <w:top w:val="nil"/>
              <w:left w:val="nil"/>
              <w:bottom w:val="nil"/>
              <w:right w:val="nil"/>
            </w:tcBorders>
            <w:noWrap/>
            <w:vAlign w:val="bottom"/>
            <w:hideMark/>
          </w:tcPr>
          <w:p w14:paraId="2AED3037" w14:textId="77777777" w:rsidR="00BB4E21" w:rsidRDefault="00BB4E21" w:rsidP="00056603">
            <w:pPr>
              <w:spacing w:after="0" w:line="240" w:lineRule="auto"/>
              <w:rPr>
                <w:rFonts w:ascii="Arial" w:eastAsia="Times New Roman" w:hAnsi="Arial" w:cs="Arial"/>
                <w:color w:val="000000"/>
              </w:rPr>
            </w:pPr>
          </w:p>
        </w:tc>
        <w:tc>
          <w:tcPr>
            <w:tcW w:w="1076" w:type="dxa"/>
            <w:tcBorders>
              <w:top w:val="nil"/>
              <w:left w:val="nil"/>
              <w:bottom w:val="nil"/>
              <w:right w:val="nil"/>
            </w:tcBorders>
            <w:noWrap/>
            <w:vAlign w:val="bottom"/>
            <w:hideMark/>
          </w:tcPr>
          <w:p w14:paraId="685F760F" w14:textId="77777777" w:rsidR="00BB4E21" w:rsidRDefault="00BB4E21" w:rsidP="00056603">
            <w:pPr>
              <w:spacing w:after="0" w:line="240" w:lineRule="auto"/>
              <w:rPr>
                <w:rFonts w:ascii="Arial" w:eastAsia="Times New Roman" w:hAnsi="Arial" w:cs="Arial"/>
                <w:color w:val="000000"/>
              </w:rPr>
            </w:pPr>
          </w:p>
        </w:tc>
      </w:tr>
      <w:tr w:rsidR="00BB4E21" w14:paraId="722D08DB" w14:textId="77777777" w:rsidTr="00056603">
        <w:trPr>
          <w:trHeight w:val="240"/>
        </w:trPr>
        <w:tc>
          <w:tcPr>
            <w:tcW w:w="1396" w:type="dxa"/>
            <w:tcBorders>
              <w:top w:val="nil"/>
              <w:left w:val="nil"/>
              <w:bottom w:val="nil"/>
              <w:right w:val="nil"/>
            </w:tcBorders>
            <w:shd w:val="clear" w:color="000000" w:fill="BFBFBF"/>
            <w:noWrap/>
            <w:vAlign w:val="bottom"/>
            <w:hideMark/>
          </w:tcPr>
          <w:p w14:paraId="289A32AC" w14:textId="77777777" w:rsidR="00BB4E21" w:rsidRDefault="00BB4E21" w:rsidP="00056603">
            <w:pPr>
              <w:spacing w:after="0" w:line="240" w:lineRule="auto"/>
              <w:rPr>
                <w:rFonts w:ascii="Arial" w:eastAsia="Times New Roman" w:hAnsi="Arial" w:cs="Arial"/>
              </w:rPr>
            </w:pPr>
            <w:r>
              <w:rPr>
                <w:rFonts w:ascii="Arial" w:eastAsia="Times New Roman" w:hAnsi="Arial" w:cs="Arial"/>
              </w:rPr>
              <w:t>p-value</w:t>
            </w:r>
          </w:p>
        </w:tc>
        <w:tc>
          <w:tcPr>
            <w:tcW w:w="1256" w:type="dxa"/>
            <w:tcBorders>
              <w:top w:val="nil"/>
              <w:left w:val="nil"/>
              <w:bottom w:val="nil"/>
              <w:right w:val="nil"/>
            </w:tcBorders>
            <w:shd w:val="clear" w:color="000000" w:fill="D9D9D9"/>
            <w:noWrap/>
            <w:vAlign w:val="bottom"/>
            <w:hideMark/>
          </w:tcPr>
          <w:p w14:paraId="3E96B2A5"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0.239</w:t>
            </w:r>
          </w:p>
        </w:tc>
        <w:tc>
          <w:tcPr>
            <w:tcW w:w="516" w:type="dxa"/>
            <w:tcBorders>
              <w:top w:val="nil"/>
              <w:left w:val="nil"/>
              <w:bottom w:val="nil"/>
              <w:right w:val="nil"/>
            </w:tcBorders>
            <w:noWrap/>
            <w:vAlign w:val="bottom"/>
            <w:hideMark/>
          </w:tcPr>
          <w:p w14:paraId="36504CB1" w14:textId="77777777" w:rsidR="00BB4E21" w:rsidRDefault="00BB4E21" w:rsidP="00056603">
            <w:pPr>
              <w:spacing w:after="0" w:line="240" w:lineRule="auto"/>
              <w:rPr>
                <w:rFonts w:ascii="Arial" w:eastAsia="Times New Roman" w:hAnsi="Arial" w:cs="Arial"/>
                <w:color w:val="000000"/>
              </w:rPr>
            </w:pPr>
          </w:p>
        </w:tc>
        <w:tc>
          <w:tcPr>
            <w:tcW w:w="1076" w:type="dxa"/>
            <w:tcBorders>
              <w:top w:val="nil"/>
              <w:left w:val="nil"/>
              <w:bottom w:val="nil"/>
              <w:right w:val="nil"/>
            </w:tcBorders>
            <w:noWrap/>
            <w:vAlign w:val="bottom"/>
            <w:hideMark/>
          </w:tcPr>
          <w:p w14:paraId="419AF998" w14:textId="77777777" w:rsidR="00BB4E21" w:rsidRDefault="00BB4E21" w:rsidP="00056603">
            <w:pPr>
              <w:spacing w:after="0" w:line="240" w:lineRule="auto"/>
              <w:rPr>
                <w:rFonts w:ascii="Arial" w:eastAsia="Times New Roman" w:hAnsi="Arial" w:cs="Arial"/>
                <w:color w:val="000000"/>
              </w:rPr>
            </w:pPr>
          </w:p>
        </w:tc>
        <w:tc>
          <w:tcPr>
            <w:tcW w:w="1076" w:type="dxa"/>
            <w:tcBorders>
              <w:top w:val="nil"/>
              <w:left w:val="nil"/>
              <w:bottom w:val="nil"/>
              <w:right w:val="nil"/>
            </w:tcBorders>
            <w:noWrap/>
            <w:vAlign w:val="bottom"/>
            <w:hideMark/>
          </w:tcPr>
          <w:p w14:paraId="71660725" w14:textId="77777777" w:rsidR="00BB4E21" w:rsidRDefault="00BB4E21" w:rsidP="00056603">
            <w:pPr>
              <w:spacing w:after="0" w:line="240" w:lineRule="auto"/>
              <w:rPr>
                <w:rFonts w:ascii="Arial" w:eastAsia="Times New Roman" w:hAnsi="Arial" w:cs="Arial"/>
                <w:color w:val="000000"/>
              </w:rPr>
            </w:pPr>
          </w:p>
        </w:tc>
      </w:tr>
    </w:tbl>
    <w:p w14:paraId="44B9A17C" w14:textId="77777777" w:rsidR="00BB4E21" w:rsidRDefault="00BB4E21" w:rsidP="00BB4E21">
      <w:pPr>
        <w:spacing w:after="0" w:line="480" w:lineRule="auto"/>
        <w:ind w:right="-810"/>
        <w:rPr>
          <w:rFonts w:ascii="Times New Roman" w:hAnsi="Times New Roman" w:cs="Times New Roman"/>
          <w:b/>
        </w:rPr>
      </w:pPr>
    </w:p>
    <w:p w14:paraId="2074E97E" w14:textId="77777777" w:rsidR="00BB4E21" w:rsidRDefault="00BB4E21" w:rsidP="00BB4E21">
      <w:pPr>
        <w:rPr>
          <w:rFonts w:ascii="Times New Roman" w:hAnsi="Times New Roman" w:cs="Times New Roman"/>
          <w:b/>
        </w:rPr>
      </w:pPr>
      <w:r>
        <w:rPr>
          <w:rFonts w:ascii="Times New Roman" w:hAnsi="Times New Roman" w:cs="Times New Roman"/>
          <w:b/>
        </w:rPr>
        <w:br w:type="page"/>
      </w:r>
    </w:p>
    <w:p w14:paraId="402E3947" w14:textId="77777777" w:rsidR="00BB4E21" w:rsidRDefault="00BB4E21" w:rsidP="00BB4E21">
      <w:pPr>
        <w:spacing w:after="0" w:line="480" w:lineRule="auto"/>
        <w:ind w:right="-810"/>
        <w:rPr>
          <w:rFonts w:ascii="Times New Roman" w:hAnsi="Times New Roman" w:cs="Times New Roman"/>
          <w:b/>
        </w:rPr>
      </w:pPr>
      <w:r>
        <w:rPr>
          <w:rFonts w:ascii="Times New Roman" w:hAnsi="Times New Roman" w:cs="Times New Roman"/>
          <w:b/>
        </w:rPr>
        <w:lastRenderedPageBreak/>
        <w:t>D) Myocardial Infarction</w:t>
      </w:r>
    </w:p>
    <w:p w14:paraId="48581C9A" w14:textId="77777777" w:rsidR="00BB4E21" w:rsidRDefault="00BB4E21" w:rsidP="00BB4E21">
      <w:pPr>
        <w:spacing w:after="0" w:line="480" w:lineRule="auto"/>
        <w:ind w:right="-810"/>
        <w:rPr>
          <w:rFonts w:ascii="Times New Roman" w:hAnsi="Times New Roman" w:cs="Times New Roman"/>
          <w:b/>
        </w:rPr>
      </w:pPr>
    </w:p>
    <w:p w14:paraId="774E288B" w14:textId="77777777" w:rsidR="00BB4E21" w:rsidRDefault="00BB4E21" w:rsidP="00BB4E21">
      <w:pPr>
        <w:spacing w:after="0" w:line="480" w:lineRule="auto"/>
        <w:ind w:right="-810"/>
        <w:rPr>
          <w:rFonts w:ascii="Times New Roman" w:hAnsi="Times New Roman" w:cs="Times New Roman"/>
          <w:b/>
        </w:rPr>
      </w:pPr>
      <w:r>
        <w:rPr>
          <w:rFonts w:ascii="Times New Roman" w:hAnsi="Times New Roman" w:cs="Times New Roman"/>
          <w:b/>
          <w:noProof/>
        </w:rPr>
        <w:drawing>
          <wp:inline distT="0" distB="0" distL="0" distR="0" wp14:anchorId="34DB77D2" wp14:editId="62907E11">
            <wp:extent cx="5029200" cy="3352800"/>
            <wp:effectExtent l="0" t="0" r="0" b="0"/>
            <wp:docPr id="1510718287"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6"/>
                    <pic:cNvPicPr/>
                  </pic:nvPicPr>
                  <pic:blipFill>
                    <a:blip r:embed="rId29" cstate="print"/>
                    <a:srcRect/>
                    <a:stretch/>
                  </pic:blipFill>
                  <pic:spPr>
                    <a:xfrm>
                      <a:off x="0" y="0"/>
                      <a:ext cx="5029200" cy="3352800"/>
                    </a:xfrm>
                    <a:prstGeom prst="rect">
                      <a:avLst/>
                    </a:prstGeom>
                  </pic:spPr>
                </pic:pic>
              </a:graphicData>
            </a:graphic>
          </wp:inline>
        </w:drawing>
      </w:r>
    </w:p>
    <w:p w14:paraId="0C764C38" w14:textId="77777777" w:rsidR="00BB4E21" w:rsidRDefault="00BB4E21" w:rsidP="00BB4E21">
      <w:pPr>
        <w:spacing w:after="0" w:line="480" w:lineRule="auto"/>
        <w:ind w:right="-810"/>
        <w:rPr>
          <w:rFonts w:ascii="Times New Roman" w:hAnsi="Times New Roman" w:cs="Times New Roman"/>
          <w:b/>
        </w:rPr>
      </w:pPr>
    </w:p>
    <w:tbl>
      <w:tblPr>
        <w:tblW w:w="5320" w:type="dxa"/>
        <w:tblInd w:w="108" w:type="dxa"/>
        <w:tblLook w:val="04A0" w:firstRow="1" w:lastRow="0" w:firstColumn="1" w:lastColumn="0" w:noHBand="0" w:noVBand="1"/>
      </w:tblPr>
      <w:tblGrid>
        <w:gridCol w:w="1396"/>
        <w:gridCol w:w="1256"/>
        <w:gridCol w:w="684"/>
        <w:gridCol w:w="1076"/>
        <w:gridCol w:w="1076"/>
      </w:tblGrid>
      <w:tr w:rsidR="00BB4E21" w14:paraId="5E43A6BA" w14:textId="77777777" w:rsidTr="00056603">
        <w:trPr>
          <w:trHeight w:val="240"/>
        </w:trPr>
        <w:tc>
          <w:tcPr>
            <w:tcW w:w="1396" w:type="dxa"/>
            <w:tcBorders>
              <w:top w:val="nil"/>
              <w:left w:val="nil"/>
              <w:bottom w:val="nil"/>
              <w:right w:val="nil"/>
            </w:tcBorders>
            <w:shd w:val="clear" w:color="000000" w:fill="BFBFBF"/>
            <w:noWrap/>
            <w:vAlign w:val="bottom"/>
            <w:hideMark/>
          </w:tcPr>
          <w:p w14:paraId="3156AD3A" w14:textId="77777777" w:rsidR="00BB4E21" w:rsidRDefault="00BB4E21" w:rsidP="00056603">
            <w:pPr>
              <w:spacing w:after="0" w:line="240" w:lineRule="auto"/>
              <w:rPr>
                <w:rFonts w:ascii="Arial" w:eastAsia="Times New Roman" w:hAnsi="Arial" w:cs="Arial"/>
              </w:rPr>
            </w:pPr>
            <w:r>
              <w:rPr>
                <w:rFonts w:ascii="Arial" w:eastAsia="Times New Roman" w:hAnsi="Arial" w:cs="Arial"/>
              </w:rPr>
              <w:t> </w:t>
            </w:r>
          </w:p>
        </w:tc>
        <w:tc>
          <w:tcPr>
            <w:tcW w:w="1256" w:type="dxa"/>
            <w:tcBorders>
              <w:top w:val="nil"/>
              <w:left w:val="nil"/>
              <w:bottom w:val="nil"/>
              <w:right w:val="nil"/>
            </w:tcBorders>
            <w:shd w:val="clear" w:color="000000" w:fill="BFBFBF"/>
            <w:noWrap/>
            <w:vAlign w:val="bottom"/>
            <w:hideMark/>
          </w:tcPr>
          <w:p w14:paraId="65405C57" w14:textId="77777777" w:rsidR="00BB4E21" w:rsidRDefault="00BB4E21" w:rsidP="00056603">
            <w:pPr>
              <w:spacing w:after="0" w:line="240" w:lineRule="auto"/>
              <w:rPr>
                <w:rFonts w:ascii="Arial" w:eastAsia="Times New Roman" w:hAnsi="Arial" w:cs="Arial"/>
              </w:rPr>
            </w:pPr>
            <w:r>
              <w:rPr>
                <w:rFonts w:ascii="Arial" w:eastAsia="Times New Roman" w:hAnsi="Arial" w:cs="Arial"/>
              </w:rPr>
              <w:t>Estimate</w:t>
            </w:r>
          </w:p>
        </w:tc>
        <w:tc>
          <w:tcPr>
            <w:tcW w:w="516" w:type="dxa"/>
            <w:tcBorders>
              <w:top w:val="nil"/>
              <w:left w:val="nil"/>
              <w:bottom w:val="nil"/>
              <w:right w:val="nil"/>
            </w:tcBorders>
            <w:shd w:val="clear" w:color="000000" w:fill="BFBFBF"/>
            <w:noWrap/>
            <w:vAlign w:val="bottom"/>
            <w:hideMark/>
          </w:tcPr>
          <w:p w14:paraId="71236060" w14:textId="77777777" w:rsidR="00BB4E21" w:rsidRDefault="00BB4E21" w:rsidP="00056603">
            <w:pPr>
              <w:spacing w:after="0" w:line="240" w:lineRule="auto"/>
              <w:rPr>
                <w:rFonts w:ascii="Arial" w:eastAsia="Times New Roman" w:hAnsi="Arial" w:cs="Arial"/>
              </w:rPr>
            </w:pPr>
            <w:r>
              <w:rPr>
                <w:rFonts w:ascii="Arial" w:eastAsia="Times New Roman" w:hAnsi="Arial" w:cs="Arial"/>
              </w:rPr>
              <w:t>SE</w:t>
            </w:r>
          </w:p>
        </w:tc>
        <w:tc>
          <w:tcPr>
            <w:tcW w:w="1076" w:type="dxa"/>
            <w:tcBorders>
              <w:top w:val="nil"/>
              <w:left w:val="nil"/>
              <w:bottom w:val="nil"/>
              <w:right w:val="nil"/>
            </w:tcBorders>
            <w:shd w:val="clear" w:color="000000" w:fill="BFBFBF"/>
            <w:noWrap/>
            <w:vAlign w:val="bottom"/>
            <w:hideMark/>
          </w:tcPr>
          <w:p w14:paraId="75353CDB" w14:textId="77777777" w:rsidR="00BB4E21" w:rsidRDefault="00BB4E21" w:rsidP="00056603">
            <w:pPr>
              <w:spacing w:after="0" w:line="240" w:lineRule="auto"/>
              <w:rPr>
                <w:rFonts w:ascii="Arial" w:eastAsia="Times New Roman" w:hAnsi="Arial" w:cs="Arial"/>
              </w:rPr>
            </w:pPr>
            <w:r>
              <w:rPr>
                <w:rFonts w:ascii="Arial" w:eastAsia="Times New Roman" w:hAnsi="Arial" w:cs="Arial"/>
              </w:rPr>
              <w:t>CI LL</w:t>
            </w:r>
          </w:p>
        </w:tc>
        <w:tc>
          <w:tcPr>
            <w:tcW w:w="1076" w:type="dxa"/>
            <w:tcBorders>
              <w:top w:val="nil"/>
              <w:left w:val="nil"/>
              <w:bottom w:val="nil"/>
              <w:right w:val="nil"/>
            </w:tcBorders>
            <w:shd w:val="clear" w:color="000000" w:fill="BFBFBF"/>
            <w:noWrap/>
            <w:vAlign w:val="bottom"/>
            <w:hideMark/>
          </w:tcPr>
          <w:p w14:paraId="166C92AD" w14:textId="77777777" w:rsidR="00BB4E21" w:rsidRDefault="00BB4E21" w:rsidP="00056603">
            <w:pPr>
              <w:spacing w:after="0" w:line="240" w:lineRule="auto"/>
              <w:rPr>
                <w:rFonts w:ascii="Arial" w:eastAsia="Times New Roman" w:hAnsi="Arial" w:cs="Arial"/>
              </w:rPr>
            </w:pPr>
            <w:r>
              <w:rPr>
                <w:rFonts w:ascii="Arial" w:eastAsia="Times New Roman" w:hAnsi="Arial" w:cs="Arial"/>
              </w:rPr>
              <w:t>CI UL</w:t>
            </w:r>
          </w:p>
        </w:tc>
      </w:tr>
      <w:tr w:rsidR="00BB4E21" w14:paraId="680D12EF" w14:textId="77777777" w:rsidTr="00056603">
        <w:trPr>
          <w:trHeight w:val="240"/>
        </w:trPr>
        <w:tc>
          <w:tcPr>
            <w:tcW w:w="1396" w:type="dxa"/>
            <w:tcBorders>
              <w:top w:val="nil"/>
              <w:left w:val="nil"/>
              <w:bottom w:val="nil"/>
              <w:right w:val="nil"/>
            </w:tcBorders>
            <w:shd w:val="clear" w:color="000000" w:fill="BFBFBF"/>
            <w:noWrap/>
            <w:vAlign w:val="bottom"/>
            <w:hideMark/>
          </w:tcPr>
          <w:p w14:paraId="64600A08" w14:textId="77777777" w:rsidR="00BB4E21" w:rsidRDefault="00BB4E21" w:rsidP="00056603">
            <w:pPr>
              <w:spacing w:after="0" w:line="240" w:lineRule="auto"/>
              <w:rPr>
                <w:rFonts w:ascii="Arial" w:eastAsia="Times New Roman" w:hAnsi="Arial" w:cs="Arial"/>
              </w:rPr>
            </w:pPr>
            <w:r>
              <w:rPr>
                <w:rFonts w:ascii="Arial" w:eastAsia="Times New Roman" w:hAnsi="Arial" w:cs="Arial"/>
              </w:rPr>
              <w:t>Intercept</w:t>
            </w:r>
          </w:p>
        </w:tc>
        <w:tc>
          <w:tcPr>
            <w:tcW w:w="1256" w:type="dxa"/>
            <w:tcBorders>
              <w:top w:val="nil"/>
              <w:left w:val="nil"/>
              <w:bottom w:val="nil"/>
              <w:right w:val="nil"/>
            </w:tcBorders>
            <w:shd w:val="clear" w:color="000000" w:fill="D9D9D9"/>
            <w:noWrap/>
            <w:vAlign w:val="bottom"/>
            <w:hideMark/>
          </w:tcPr>
          <w:p w14:paraId="536DB44A"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1.11</w:t>
            </w:r>
          </w:p>
        </w:tc>
        <w:tc>
          <w:tcPr>
            <w:tcW w:w="516" w:type="dxa"/>
            <w:tcBorders>
              <w:top w:val="nil"/>
              <w:left w:val="nil"/>
              <w:bottom w:val="nil"/>
              <w:right w:val="nil"/>
            </w:tcBorders>
            <w:shd w:val="clear" w:color="000000" w:fill="D9D9D9"/>
            <w:noWrap/>
            <w:vAlign w:val="bottom"/>
            <w:hideMark/>
          </w:tcPr>
          <w:p w14:paraId="32AA5D7D"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1.37</w:t>
            </w:r>
          </w:p>
        </w:tc>
        <w:tc>
          <w:tcPr>
            <w:tcW w:w="1076" w:type="dxa"/>
            <w:tcBorders>
              <w:top w:val="nil"/>
              <w:left w:val="nil"/>
              <w:bottom w:val="nil"/>
              <w:right w:val="nil"/>
            </w:tcBorders>
            <w:shd w:val="clear" w:color="000000" w:fill="D9D9D9"/>
            <w:noWrap/>
            <w:vAlign w:val="bottom"/>
            <w:hideMark/>
          </w:tcPr>
          <w:p w14:paraId="4CD15FBF"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-3.26</w:t>
            </w:r>
          </w:p>
        </w:tc>
        <w:tc>
          <w:tcPr>
            <w:tcW w:w="1076" w:type="dxa"/>
            <w:tcBorders>
              <w:top w:val="nil"/>
              <w:left w:val="nil"/>
              <w:bottom w:val="nil"/>
              <w:right w:val="nil"/>
            </w:tcBorders>
            <w:shd w:val="clear" w:color="000000" w:fill="D9D9D9"/>
            <w:noWrap/>
            <w:vAlign w:val="bottom"/>
            <w:hideMark/>
          </w:tcPr>
          <w:p w14:paraId="17530C57"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5.47</w:t>
            </w:r>
          </w:p>
        </w:tc>
      </w:tr>
      <w:tr w:rsidR="00BB4E21" w14:paraId="52783ABE" w14:textId="77777777" w:rsidTr="00056603">
        <w:trPr>
          <w:trHeight w:val="240"/>
        </w:trPr>
        <w:tc>
          <w:tcPr>
            <w:tcW w:w="1396" w:type="dxa"/>
            <w:tcBorders>
              <w:top w:val="nil"/>
              <w:left w:val="nil"/>
              <w:bottom w:val="nil"/>
              <w:right w:val="nil"/>
            </w:tcBorders>
            <w:shd w:val="clear" w:color="000000" w:fill="BFBFBF"/>
            <w:noWrap/>
            <w:vAlign w:val="bottom"/>
            <w:hideMark/>
          </w:tcPr>
          <w:p w14:paraId="589C56E7" w14:textId="77777777" w:rsidR="00BB4E21" w:rsidRDefault="00BB4E21" w:rsidP="00056603">
            <w:pPr>
              <w:spacing w:after="0" w:line="240" w:lineRule="auto"/>
              <w:rPr>
                <w:rFonts w:ascii="Arial" w:eastAsia="Times New Roman" w:hAnsi="Arial" w:cs="Arial"/>
              </w:rPr>
            </w:pPr>
            <w:r>
              <w:rPr>
                <w:rFonts w:ascii="Arial" w:eastAsia="Times New Roman" w:hAnsi="Arial" w:cs="Arial"/>
              </w:rPr>
              <w:t>Slope</w:t>
            </w:r>
          </w:p>
        </w:tc>
        <w:tc>
          <w:tcPr>
            <w:tcW w:w="1256" w:type="dxa"/>
            <w:tcBorders>
              <w:top w:val="nil"/>
              <w:left w:val="nil"/>
              <w:bottom w:val="nil"/>
              <w:right w:val="nil"/>
            </w:tcBorders>
            <w:shd w:val="clear" w:color="000000" w:fill="D9D9D9"/>
            <w:noWrap/>
            <w:vAlign w:val="bottom"/>
            <w:hideMark/>
          </w:tcPr>
          <w:p w14:paraId="00BED455"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-0.83</w:t>
            </w:r>
          </w:p>
        </w:tc>
        <w:tc>
          <w:tcPr>
            <w:tcW w:w="516" w:type="dxa"/>
            <w:tcBorders>
              <w:top w:val="nil"/>
              <w:left w:val="nil"/>
              <w:bottom w:val="nil"/>
              <w:right w:val="nil"/>
            </w:tcBorders>
            <w:shd w:val="clear" w:color="000000" w:fill="D9D9D9"/>
            <w:noWrap/>
            <w:vAlign w:val="bottom"/>
            <w:hideMark/>
          </w:tcPr>
          <w:p w14:paraId="33E47062"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0.77</w:t>
            </w:r>
          </w:p>
        </w:tc>
        <w:tc>
          <w:tcPr>
            <w:tcW w:w="1076" w:type="dxa"/>
            <w:tcBorders>
              <w:top w:val="nil"/>
              <w:left w:val="nil"/>
              <w:bottom w:val="nil"/>
              <w:right w:val="nil"/>
            </w:tcBorders>
            <w:shd w:val="clear" w:color="000000" w:fill="D9D9D9"/>
            <w:noWrap/>
            <w:vAlign w:val="bottom"/>
            <w:hideMark/>
          </w:tcPr>
          <w:p w14:paraId="5DB83F96"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-3.28</w:t>
            </w:r>
          </w:p>
        </w:tc>
        <w:tc>
          <w:tcPr>
            <w:tcW w:w="1076" w:type="dxa"/>
            <w:tcBorders>
              <w:top w:val="nil"/>
              <w:left w:val="nil"/>
              <w:bottom w:val="nil"/>
              <w:right w:val="nil"/>
            </w:tcBorders>
            <w:shd w:val="clear" w:color="000000" w:fill="D9D9D9"/>
            <w:noWrap/>
            <w:vAlign w:val="bottom"/>
            <w:hideMark/>
          </w:tcPr>
          <w:p w14:paraId="006C36A0"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1.62</w:t>
            </w:r>
          </w:p>
        </w:tc>
      </w:tr>
      <w:tr w:rsidR="00BB4E21" w14:paraId="3EE55EFD" w14:textId="77777777" w:rsidTr="00056603">
        <w:trPr>
          <w:trHeight w:val="240"/>
        </w:trPr>
        <w:tc>
          <w:tcPr>
            <w:tcW w:w="1396" w:type="dxa"/>
            <w:tcBorders>
              <w:top w:val="nil"/>
              <w:left w:val="nil"/>
              <w:bottom w:val="nil"/>
              <w:right w:val="nil"/>
            </w:tcBorders>
            <w:noWrap/>
            <w:vAlign w:val="bottom"/>
            <w:hideMark/>
          </w:tcPr>
          <w:p w14:paraId="697261B7" w14:textId="77777777" w:rsidR="00BB4E21" w:rsidRDefault="00BB4E21" w:rsidP="00056603">
            <w:pPr>
              <w:spacing w:after="0" w:line="240" w:lineRule="auto"/>
              <w:rPr>
                <w:rFonts w:ascii="Arial" w:eastAsia="Times New Roman" w:hAnsi="Arial" w:cs="Arial"/>
                <w:color w:val="000000"/>
              </w:rPr>
            </w:pPr>
          </w:p>
        </w:tc>
        <w:tc>
          <w:tcPr>
            <w:tcW w:w="1256" w:type="dxa"/>
            <w:tcBorders>
              <w:top w:val="nil"/>
              <w:left w:val="nil"/>
              <w:bottom w:val="nil"/>
              <w:right w:val="nil"/>
            </w:tcBorders>
            <w:noWrap/>
            <w:vAlign w:val="bottom"/>
            <w:hideMark/>
          </w:tcPr>
          <w:p w14:paraId="641B94DA" w14:textId="77777777" w:rsidR="00BB4E21" w:rsidRDefault="00BB4E21" w:rsidP="00056603">
            <w:pPr>
              <w:spacing w:after="0" w:line="240" w:lineRule="auto"/>
              <w:rPr>
                <w:rFonts w:ascii="Arial" w:eastAsia="Times New Roman" w:hAnsi="Arial" w:cs="Arial"/>
                <w:color w:val="000000"/>
              </w:rPr>
            </w:pPr>
          </w:p>
        </w:tc>
        <w:tc>
          <w:tcPr>
            <w:tcW w:w="516" w:type="dxa"/>
            <w:tcBorders>
              <w:top w:val="nil"/>
              <w:left w:val="nil"/>
              <w:bottom w:val="nil"/>
              <w:right w:val="nil"/>
            </w:tcBorders>
            <w:noWrap/>
            <w:vAlign w:val="bottom"/>
            <w:hideMark/>
          </w:tcPr>
          <w:p w14:paraId="112A5434" w14:textId="77777777" w:rsidR="00BB4E21" w:rsidRDefault="00BB4E21" w:rsidP="00056603">
            <w:pPr>
              <w:spacing w:after="0" w:line="240" w:lineRule="auto"/>
              <w:rPr>
                <w:rFonts w:ascii="Arial" w:eastAsia="Times New Roman" w:hAnsi="Arial" w:cs="Arial"/>
                <w:color w:val="000000"/>
              </w:rPr>
            </w:pPr>
          </w:p>
        </w:tc>
        <w:tc>
          <w:tcPr>
            <w:tcW w:w="1076" w:type="dxa"/>
            <w:tcBorders>
              <w:top w:val="nil"/>
              <w:left w:val="nil"/>
              <w:bottom w:val="nil"/>
              <w:right w:val="nil"/>
            </w:tcBorders>
            <w:noWrap/>
            <w:vAlign w:val="bottom"/>
            <w:hideMark/>
          </w:tcPr>
          <w:p w14:paraId="1FECFCAD" w14:textId="77777777" w:rsidR="00BB4E21" w:rsidRDefault="00BB4E21" w:rsidP="00056603">
            <w:pPr>
              <w:spacing w:after="0" w:line="240" w:lineRule="auto"/>
              <w:rPr>
                <w:rFonts w:ascii="Arial" w:eastAsia="Times New Roman" w:hAnsi="Arial" w:cs="Arial"/>
                <w:color w:val="000000"/>
              </w:rPr>
            </w:pPr>
          </w:p>
        </w:tc>
        <w:tc>
          <w:tcPr>
            <w:tcW w:w="1076" w:type="dxa"/>
            <w:tcBorders>
              <w:top w:val="nil"/>
              <w:left w:val="nil"/>
              <w:bottom w:val="nil"/>
              <w:right w:val="nil"/>
            </w:tcBorders>
            <w:noWrap/>
            <w:vAlign w:val="bottom"/>
            <w:hideMark/>
          </w:tcPr>
          <w:p w14:paraId="61A62BA6" w14:textId="77777777" w:rsidR="00BB4E21" w:rsidRDefault="00BB4E21" w:rsidP="00056603">
            <w:pPr>
              <w:spacing w:after="0" w:line="240" w:lineRule="auto"/>
              <w:rPr>
                <w:rFonts w:ascii="Arial" w:eastAsia="Times New Roman" w:hAnsi="Arial" w:cs="Arial"/>
                <w:color w:val="000000"/>
              </w:rPr>
            </w:pPr>
          </w:p>
        </w:tc>
      </w:tr>
      <w:tr w:rsidR="00BB4E21" w14:paraId="5D4D61FE" w14:textId="77777777" w:rsidTr="00056603">
        <w:trPr>
          <w:trHeight w:val="240"/>
        </w:trPr>
        <w:tc>
          <w:tcPr>
            <w:tcW w:w="1396" w:type="dxa"/>
            <w:tcBorders>
              <w:top w:val="nil"/>
              <w:left w:val="nil"/>
              <w:bottom w:val="nil"/>
              <w:right w:val="nil"/>
            </w:tcBorders>
            <w:shd w:val="clear" w:color="000000" w:fill="BFBFBF"/>
            <w:noWrap/>
            <w:vAlign w:val="bottom"/>
            <w:hideMark/>
          </w:tcPr>
          <w:p w14:paraId="0079E808" w14:textId="77777777" w:rsidR="00BB4E21" w:rsidRDefault="00BB4E21" w:rsidP="00056603">
            <w:pPr>
              <w:spacing w:after="0" w:line="240" w:lineRule="auto"/>
              <w:rPr>
                <w:rFonts w:ascii="Arial" w:eastAsia="Times New Roman" w:hAnsi="Arial" w:cs="Arial"/>
              </w:rPr>
            </w:pPr>
            <w:r>
              <w:rPr>
                <w:rFonts w:ascii="Arial" w:eastAsia="Times New Roman" w:hAnsi="Arial" w:cs="Arial"/>
              </w:rPr>
              <w:t>t test</w:t>
            </w:r>
          </w:p>
        </w:tc>
        <w:tc>
          <w:tcPr>
            <w:tcW w:w="1256" w:type="dxa"/>
            <w:tcBorders>
              <w:top w:val="nil"/>
              <w:left w:val="nil"/>
              <w:bottom w:val="nil"/>
              <w:right w:val="nil"/>
            </w:tcBorders>
            <w:shd w:val="clear" w:color="000000" w:fill="D9D9D9"/>
            <w:noWrap/>
            <w:vAlign w:val="bottom"/>
            <w:hideMark/>
          </w:tcPr>
          <w:p w14:paraId="5FC71F65"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0.81</w:t>
            </w:r>
          </w:p>
        </w:tc>
        <w:tc>
          <w:tcPr>
            <w:tcW w:w="516" w:type="dxa"/>
            <w:tcBorders>
              <w:top w:val="nil"/>
              <w:left w:val="nil"/>
              <w:bottom w:val="nil"/>
              <w:right w:val="nil"/>
            </w:tcBorders>
            <w:noWrap/>
            <w:vAlign w:val="bottom"/>
            <w:hideMark/>
          </w:tcPr>
          <w:p w14:paraId="750C5123" w14:textId="77777777" w:rsidR="00BB4E21" w:rsidRDefault="00BB4E21" w:rsidP="00056603">
            <w:pPr>
              <w:spacing w:after="0" w:line="240" w:lineRule="auto"/>
              <w:rPr>
                <w:rFonts w:ascii="Arial" w:eastAsia="Times New Roman" w:hAnsi="Arial" w:cs="Arial"/>
                <w:color w:val="000000"/>
              </w:rPr>
            </w:pPr>
          </w:p>
        </w:tc>
        <w:tc>
          <w:tcPr>
            <w:tcW w:w="1076" w:type="dxa"/>
            <w:tcBorders>
              <w:top w:val="nil"/>
              <w:left w:val="nil"/>
              <w:bottom w:val="nil"/>
              <w:right w:val="nil"/>
            </w:tcBorders>
            <w:noWrap/>
            <w:vAlign w:val="bottom"/>
            <w:hideMark/>
          </w:tcPr>
          <w:p w14:paraId="7491A326" w14:textId="77777777" w:rsidR="00BB4E21" w:rsidRDefault="00BB4E21" w:rsidP="00056603">
            <w:pPr>
              <w:spacing w:after="0" w:line="240" w:lineRule="auto"/>
              <w:rPr>
                <w:rFonts w:ascii="Arial" w:eastAsia="Times New Roman" w:hAnsi="Arial" w:cs="Arial"/>
                <w:color w:val="000000"/>
              </w:rPr>
            </w:pPr>
          </w:p>
        </w:tc>
        <w:tc>
          <w:tcPr>
            <w:tcW w:w="1076" w:type="dxa"/>
            <w:tcBorders>
              <w:top w:val="nil"/>
              <w:left w:val="nil"/>
              <w:bottom w:val="nil"/>
              <w:right w:val="nil"/>
            </w:tcBorders>
            <w:noWrap/>
            <w:vAlign w:val="bottom"/>
            <w:hideMark/>
          </w:tcPr>
          <w:p w14:paraId="122CD754" w14:textId="77777777" w:rsidR="00BB4E21" w:rsidRDefault="00BB4E21" w:rsidP="00056603">
            <w:pPr>
              <w:spacing w:after="0" w:line="240" w:lineRule="auto"/>
              <w:rPr>
                <w:rFonts w:ascii="Arial" w:eastAsia="Times New Roman" w:hAnsi="Arial" w:cs="Arial"/>
                <w:color w:val="000000"/>
              </w:rPr>
            </w:pPr>
          </w:p>
        </w:tc>
      </w:tr>
      <w:tr w:rsidR="00BB4E21" w14:paraId="52748F13" w14:textId="77777777" w:rsidTr="00056603">
        <w:trPr>
          <w:trHeight w:val="240"/>
        </w:trPr>
        <w:tc>
          <w:tcPr>
            <w:tcW w:w="1396" w:type="dxa"/>
            <w:tcBorders>
              <w:top w:val="nil"/>
              <w:left w:val="nil"/>
              <w:bottom w:val="nil"/>
              <w:right w:val="nil"/>
            </w:tcBorders>
            <w:shd w:val="clear" w:color="000000" w:fill="BFBFBF"/>
            <w:noWrap/>
            <w:vAlign w:val="bottom"/>
            <w:hideMark/>
          </w:tcPr>
          <w:p w14:paraId="7CB53B1D" w14:textId="77777777" w:rsidR="00BB4E21" w:rsidRDefault="00BB4E21" w:rsidP="00056603">
            <w:pPr>
              <w:spacing w:after="0" w:line="240" w:lineRule="auto"/>
              <w:rPr>
                <w:rFonts w:ascii="Arial" w:eastAsia="Times New Roman" w:hAnsi="Arial" w:cs="Arial"/>
              </w:rPr>
            </w:pPr>
            <w:r>
              <w:rPr>
                <w:rFonts w:ascii="Arial" w:eastAsia="Times New Roman" w:hAnsi="Arial" w:cs="Arial"/>
              </w:rPr>
              <w:t>p-value</w:t>
            </w:r>
          </w:p>
        </w:tc>
        <w:tc>
          <w:tcPr>
            <w:tcW w:w="1256" w:type="dxa"/>
            <w:tcBorders>
              <w:top w:val="nil"/>
              <w:left w:val="nil"/>
              <w:bottom w:val="nil"/>
              <w:right w:val="nil"/>
            </w:tcBorders>
            <w:shd w:val="clear" w:color="000000" w:fill="D9D9D9"/>
            <w:noWrap/>
            <w:vAlign w:val="bottom"/>
            <w:hideMark/>
          </w:tcPr>
          <w:p w14:paraId="4FA9D2AD"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0.504</w:t>
            </w:r>
          </w:p>
        </w:tc>
        <w:tc>
          <w:tcPr>
            <w:tcW w:w="516" w:type="dxa"/>
            <w:tcBorders>
              <w:top w:val="nil"/>
              <w:left w:val="nil"/>
              <w:bottom w:val="nil"/>
              <w:right w:val="nil"/>
            </w:tcBorders>
            <w:noWrap/>
            <w:vAlign w:val="bottom"/>
            <w:hideMark/>
          </w:tcPr>
          <w:p w14:paraId="41041C87" w14:textId="77777777" w:rsidR="00BB4E21" w:rsidRDefault="00BB4E21" w:rsidP="00056603">
            <w:pPr>
              <w:spacing w:after="0" w:line="240" w:lineRule="auto"/>
              <w:rPr>
                <w:rFonts w:ascii="Arial" w:eastAsia="Times New Roman" w:hAnsi="Arial" w:cs="Arial"/>
                <w:color w:val="000000"/>
              </w:rPr>
            </w:pPr>
          </w:p>
        </w:tc>
        <w:tc>
          <w:tcPr>
            <w:tcW w:w="1076" w:type="dxa"/>
            <w:tcBorders>
              <w:top w:val="nil"/>
              <w:left w:val="nil"/>
              <w:bottom w:val="nil"/>
              <w:right w:val="nil"/>
            </w:tcBorders>
            <w:noWrap/>
            <w:vAlign w:val="bottom"/>
            <w:hideMark/>
          </w:tcPr>
          <w:p w14:paraId="55C72D2D" w14:textId="77777777" w:rsidR="00BB4E21" w:rsidRDefault="00BB4E21" w:rsidP="00056603">
            <w:pPr>
              <w:spacing w:after="0" w:line="240" w:lineRule="auto"/>
              <w:rPr>
                <w:rFonts w:ascii="Arial" w:eastAsia="Times New Roman" w:hAnsi="Arial" w:cs="Arial"/>
                <w:color w:val="000000"/>
              </w:rPr>
            </w:pPr>
          </w:p>
        </w:tc>
        <w:tc>
          <w:tcPr>
            <w:tcW w:w="1076" w:type="dxa"/>
            <w:tcBorders>
              <w:top w:val="nil"/>
              <w:left w:val="nil"/>
              <w:bottom w:val="nil"/>
              <w:right w:val="nil"/>
            </w:tcBorders>
            <w:noWrap/>
            <w:vAlign w:val="bottom"/>
            <w:hideMark/>
          </w:tcPr>
          <w:p w14:paraId="551CF1C9" w14:textId="77777777" w:rsidR="00BB4E21" w:rsidRDefault="00BB4E21" w:rsidP="00056603">
            <w:pPr>
              <w:spacing w:after="0" w:line="240" w:lineRule="auto"/>
              <w:rPr>
                <w:rFonts w:ascii="Arial" w:eastAsia="Times New Roman" w:hAnsi="Arial" w:cs="Arial"/>
                <w:color w:val="000000"/>
              </w:rPr>
            </w:pPr>
          </w:p>
        </w:tc>
      </w:tr>
    </w:tbl>
    <w:p w14:paraId="5CA1AAAF" w14:textId="77777777" w:rsidR="00BB4E21" w:rsidRDefault="00BB4E21" w:rsidP="00BB4E21">
      <w:pPr>
        <w:spacing w:after="0" w:line="480" w:lineRule="auto"/>
        <w:ind w:right="-810"/>
        <w:rPr>
          <w:rFonts w:ascii="Times New Roman" w:hAnsi="Times New Roman" w:cs="Times New Roman"/>
          <w:b/>
        </w:rPr>
      </w:pPr>
    </w:p>
    <w:p w14:paraId="411DF329" w14:textId="77777777" w:rsidR="00BB4E21" w:rsidRDefault="00BB4E21" w:rsidP="00BB4E21">
      <w:pPr>
        <w:rPr>
          <w:rFonts w:ascii="Times New Roman" w:hAnsi="Times New Roman" w:cs="Times New Roman"/>
          <w:b/>
        </w:rPr>
      </w:pPr>
      <w:r>
        <w:rPr>
          <w:rFonts w:ascii="Times New Roman" w:hAnsi="Times New Roman" w:cs="Times New Roman"/>
          <w:b/>
        </w:rPr>
        <w:br w:type="page"/>
      </w:r>
    </w:p>
    <w:p w14:paraId="350641D7" w14:textId="77777777" w:rsidR="00BB4E21" w:rsidRDefault="00BB4E21" w:rsidP="00BB4E21">
      <w:pPr>
        <w:spacing w:after="0" w:line="480" w:lineRule="auto"/>
        <w:ind w:right="-810"/>
        <w:rPr>
          <w:rFonts w:ascii="Times New Roman" w:hAnsi="Times New Roman" w:cs="Times New Roman"/>
          <w:b/>
        </w:rPr>
      </w:pPr>
      <w:r>
        <w:rPr>
          <w:rFonts w:ascii="Times New Roman" w:hAnsi="Times New Roman" w:cs="Times New Roman"/>
          <w:b/>
        </w:rPr>
        <w:lastRenderedPageBreak/>
        <w:t>E) Valve/Heart Failure Rehospitalization</w:t>
      </w:r>
    </w:p>
    <w:p w14:paraId="4C1895B1" w14:textId="77777777" w:rsidR="00BB4E21" w:rsidRDefault="00BB4E21" w:rsidP="00BB4E21">
      <w:pPr>
        <w:spacing w:after="0" w:line="480" w:lineRule="auto"/>
        <w:ind w:right="-810"/>
        <w:rPr>
          <w:rFonts w:ascii="Times New Roman" w:hAnsi="Times New Roman" w:cs="Times New Roman"/>
          <w:b/>
        </w:rPr>
      </w:pPr>
    </w:p>
    <w:p w14:paraId="6633972B" w14:textId="77777777" w:rsidR="00BB4E21" w:rsidRDefault="00BB4E21" w:rsidP="00BB4E21">
      <w:pPr>
        <w:spacing w:after="0" w:line="480" w:lineRule="auto"/>
        <w:ind w:right="-810"/>
        <w:rPr>
          <w:rFonts w:ascii="Times New Roman" w:hAnsi="Times New Roman" w:cs="Times New Roman"/>
          <w:b/>
        </w:rPr>
      </w:pPr>
      <w:r>
        <w:rPr>
          <w:rFonts w:ascii="Times New Roman" w:hAnsi="Times New Roman" w:cs="Times New Roman"/>
          <w:b/>
          <w:noProof/>
        </w:rPr>
        <w:drawing>
          <wp:inline distT="0" distB="0" distL="0" distR="0" wp14:anchorId="5C4136A7" wp14:editId="4CDA94C3">
            <wp:extent cx="5029200" cy="3352800"/>
            <wp:effectExtent l="0" t="0" r="0" b="0"/>
            <wp:docPr id="41702516"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7"/>
                    <pic:cNvPicPr/>
                  </pic:nvPicPr>
                  <pic:blipFill>
                    <a:blip r:embed="rId30" cstate="print"/>
                    <a:srcRect/>
                    <a:stretch/>
                  </pic:blipFill>
                  <pic:spPr>
                    <a:xfrm>
                      <a:off x="0" y="0"/>
                      <a:ext cx="5029200" cy="3352800"/>
                    </a:xfrm>
                    <a:prstGeom prst="rect">
                      <a:avLst/>
                    </a:prstGeom>
                  </pic:spPr>
                </pic:pic>
              </a:graphicData>
            </a:graphic>
          </wp:inline>
        </w:drawing>
      </w:r>
    </w:p>
    <w:p w14:paraId="643B2DBA" w14:textId="77777777" w:rsidR="00BB4E21" w:rsidRDefault="00BB4E21" w:rsidP="00BB4E21">
      <w:pPr>
        <w:spacing w:after="0" w:line="480" w:lineRule="auto"/>
        <w:ind w:right="-810"/>
        <w:rPr>
          <w:rFonts w:ascii="Times New Roman" w:hAnsi="Times New Roman" w:cs="Times New Roman"/>
          <w:b/>
        </w:rPr>
      </w:pPr>
    </w:p>
    <w:tbl>
      <w:tblPr>
        <w:tblW w:w="5320" w:type="dxa"/>
        <w:tblInd w:w="108" w:type="dxa"/>
        <w:tblLook w:val="04A0" w:firstRow="1" w:lastRow="0" w:firstColumn="1" w:lastColumn="0" w:noHBand="0" w:noVBand="1"/>
      </w:tblPr>
      <w:tblGrid>
        <w:gridCol w:w="1396"/>
        <w:gridCol w:w="1256"/>
        <w:gridCol w:w="684"/>
        <w:gridCol w:w="1076"/>
        <w:gridCol w:w="1076"/>
      </w:tblGrid>
      <w:tr w:rsidR="00BB4E21" w14:paraId="194DC284" w14:textId="77777777" w:rsidTr="00056603">
        <w:trPr>
          <w:trHeight w:val="240"/>
        </w:trPr>
        <w:tc>
          <w:tcPr>
            <w:tcW w:w="1396" w:type="dxa"/>
            <w:tcBorders>
              <w:top w:val="nil"/>
              <w:left w:val="nil"/>
              <w:bottom w:val="nil"/>
              <w:right w:val="nil"/>
            </w:tcBorders>
            <w:shd w:val="clear" w:color="000000" w:fill="BFBFBF"/>
            <w:noWrap/>
            <w:vAlign w:val="bottom"/>
            <w:hideMark/>
          </w:tcPr>
          <w:p w14:paraId="4D5621FE" w14:textId="77777777" w:rsidR="00BB4E21" w:rsidRDefault="00BB4E21" w:rsidP="00056603">
            <w:pPr>
              <w:spacing w:after="0" w:line="240" w:lineRule="auto"/>
              <w:rPr>
                <w:rFonts w:ascii="Arial" w:eastAsia="Times New Roman" w:hAnsi="Arial" w:cs="Arial"/>
              </w:rPr>
            </w:pPr>
            <w:r>
              <w:rPr>
                <w:rFonts w:ascii="Arial" w:eastAsia="Times New Roman" w:hAnsi="Arial" w:cs="Arial"/>
              </w:rPr>
              <w:t> </w:t>
            </w:r>
          </w:p>
        </w:tc>
        <w:tc>
          <w:tcPr>
            <w:tcW w:w="1256" w:type="dxa"/>
            <w:tcBorders>
              <w:top w:val="nil"/>
              <w:left w:val="nil"/>
              <w:bottom w:val="nil"/>
              <w:right w:val="nil"/>
            </w:tcBorders>
            <w:shd w:val="clear" w:color="000000" w:fill="BFBFBF"/>
            <w:noWrap/>
            <w:vAlign w:val="bottom"/>
            <w:hideMark/>
          </w:tcPr>
          <w:p w14:paraId="7C62FCEA" w14:textId="77777777" w:rsidR="00BB4E21" w:rsidRDefault="00BB4E21" w:rsidP="00056603">
            <w:pPr>
              <w:spacing w:after="0" w:line="240" w:lineRule="auto"/>
              <w:rPr>
                <w:rFonts w:ascii="Arial" w:eastAsia="Times New Roman" w:hAnsi="Arial" w:cs="Arial"/>
              </w:rPr>
            </w:pPr>
            <w:r>
              <w:rPr>
                <w:rFonts w:ascii="Arial" w:eastAsia="Times New Roman" w:hAnsi="Arial" w:cs="Arial"/>
              </w:rPr>
              <w:t>Estimate</w:t>
            </w:r>
          </w:p>
        </w:tc>
        <w:tc>
          <w:tcPr>
            <w:tcW w:w="516" w:type="dxa"/>
            <w:tcBorders>
              <w:top w:val="nil"/>
              <w:left w:val="nil"/>
              <w:bottom w:val="nil"/>
              <w:right w:val="nil"/>
            </w:tcBorders>
            <w:shd w:val="clear" w:color="000000" w:fill="BFBFBF"/>
            <w:noWrap/>
            <w:vAlign w:val="bottom"/>
            <w:hideMark/>
          </w:tcPr>
          <w:p w14:paraId="7C8D8F92" w14:textId="77777777" w:rsidR="00BB4E21" w:rsidRDefault="00BB4E21" w:rsidP="00056603">
            <w:pPr>
              <w:spacing w:after="0" w:line="240" w:lineRule="auto"/>
              <w:rPr>
                <w:rFonts w:ascii="Arial" w:eastAsia="Times New Roman" w:hAnsi="Arial" w:cs="Arial"/>
              </w:rPr>
            </w:pPr>
            <w:r>
              <w:rPr>
                <w:rFonts w:ascii="Arial" w:eastAsia="Times New Roman" w:hAnsi="Arial" w:cs="Arial"/>
              </w:rPr>
              <w:t>SE</w:t>
            </w:r>
          </w:p>
        </w:tc>
        <w:tc>
          <w:tcPr>
            <w:tcW w:w="1076" w:type="dxa"/>
            <w:tcBorders>
              <w:top w:val="nil"/>
              <w:left w:val="nil"/>
              <w:bottom w:val="nil"/>
              <w:right w:val="nil"/>
            </w:tcBorders>
            <w:shd w:val="clear" w:color="000000" w:fill="BFBFBF"/>
            <w:noWrap/>
            <w:vAlign w:val="bottom"/>
            <w:hideMark/>
          </w:tcPr>
          <w:p w14:paraId="5DC9C9E6" w14:textId="77777777" w:rsidR="00BB4E21" w:rsidRDefault="00BB4E21" w:rsidP="00056603">
            <w:pPr>
              <w:spacing w:after="0" w:line="240" w:lineRule="auto"/>
              <w:rPr>
                <w:rFonts w:ascii="Arial" w:eastAsia="Times New Roman" w:hAnsi="Arial" w:cs="Arial"/>
              </w:rPr>
            </w:pPr>
            <w:r>
              <w:rPr>
                <w:rFonts w:ascii="Arial" w:eastAsia="Times New Roman" w:hAnsi="Arial" w:cs="Arial"/>
              </w:rPr>
              <w:t>CI LL</w:t>
            </w:r>
          </w:p>
        </w:tc>
        <w:tc>
          <w:tcPr>
            <w:tcW w:w="1076" w:type="dxa"/>
            <w:tcBorders>
              <w:top w:val="nil"/>
              <w:left w:val="nil"/>
              <w:bottom w:val="nil"/>
              <w:right w:val="nil"/>
            </w:tcBorders>
            <w:shd w:val="clear" w:color="000000" w:fill="BFBFBF"/>
            <w:noWrap/>
            <w:vAlign w:val="bottom"/>
            <w:hideMark/>
          </w:tcPr>
          <w:p w14:paraId="2153721F" w14:textId="77777777" w:rsidR="00BB4E21" w:rsidRDefault="00BB4E21" w:rsidP="00056603">
            <w:pPr>
              <w:spacing w:after="0" w:line="240" w:lineRule="auto"/>
              <w:rPr>
                <w:rFonts w:ascii="Arial" w:eastAsia="Times New Roman" w:hAnsi="Arial" w:cs="Arial"/>
              </w:rPr>
            </w:pPr>
            <w:r>
              <w:rPr>
                <w:rFonts w:ascii="Arial" w:eastAsia="Times New Roman" w:hAnsi="Arial" w:cs="Arial"/>
              </w:rPr>
              <w:t>CI UL</w:t>
            </w:r>
          </w:p>
        </w:tc>
      </w:tr>
      <w:tr w:rsidR="00BB4E21" w14:paraId="29975C51" w14:textId="77777777" w:rsidTr="00056603">
        <w:trPr>
          <w:trHeight w:val="240"/>
        </w:trPr>
        <w:tc>
          <w:tcPr>
            <w:tcW w:w="1396" w:type="dxa"/>
            <w:tcBorders>
              <w:top w:val="nil"/>
              <w:left w:val="nil"/>
              <w:bottom w:val="nil"/>
              <w:right w:val="nil"/>
            </w:tcBorders>
            <w:shd w:val="clear" w:color="000000" w:fill="BFBFBF"/>
            <w:noWrap/>
            <w:vAlign w:val="bottom"/>
            <w:hideMark/>
          </w:tcPr>
          <w:p w14:paraId="572BFEB8" w14:textId="77777777" w:rsidR="00BB4E21" w:rsidRDefault="00BB4E21" w:rsidP="00056603">
            <w:pPr>
              <w:spacing w:after="0" w:line="240" w:lineRule="auto"/>
              <w:rPr>
                <w:rFonts w:ascii="Arial" w:eastAsia="Times New Roman" w:hAnsi="Arial" w:cs="Arial"/>
              </w:rPr>
            </w:pPr>
            <w:r>
              <w:rPr>
                <w:rFonts w:ascii="Arial" w:eastAsia="Times New Roman" w:hAnsi="Arial" w:cs="Arial"/>
              </w:rPr>
              <w:t>Intercept</w:t>
            </w:r>
          </w:p>
        </w:tc>
        <w:tc>
          <w:tcPr>
            <w:tcW w:w="1256" w:type="dxa"/>
            <w:tcBorders>
              <w:top w:val="nil"/>
              <w:left w:val="nil"/>
              <w:bottom w:val="nil"/>
              <w:right w:val="nil"/>
            </w:tcBorders>
            <w:shd w:val="clear" w:color="000000" w:fill="D9D9D9"/>
            <w:noWrap/>
            <w:vAlign w:val="bottom"/>
            <w:hideMark/>
          </w:tcPr>
          <w:p w14:paraId="4DD7BE99"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5.29</w:t>
            </w:r>
          </w:p>
        </w:tc>
        <w:tc>
          <w:tcPr>
            <w:tcW w:w="516" w:type="dxa"/>
            <w:tcBorders>
              <w:top w:val="nil"/>
              <w:left w:val="nil"/>
              <w:bottom w:val="nil"/>
              <w:right w:val="nil"/>
            </w:tcBorders>
            <w:shd w:val="clear" w:color="000000" w:fill="D9D9D9"/>
            <w:noWrap/>
            <w:vAlign w:val="bottom"/>
            <w:hideMark/>
          </w:tcPr>
          <w:p w14:paraId="68B7C0AE"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2.38</w:t>
            </w:r>
          </w:p>
        </w:tc>
        <w:tc>
          <w:tcPr>
            <w:tcW w:w="1076" w:type="dxa"/>
            <w:tcBorders>
              <w:top w:val="nil"/>
              <w:left w:val="nil"/>
              <w:bottom w:val="nil"/>
              <w:right w:val="nil"/>
            </w:tcBorders>
            <w:shd w:val="clear" w:color="000000" w:fill="D9D9D9"/>
            <w:noWrap/>
            <w:vAlign w:val="bottom"/>
            <w:hideMark/>
          </w:tcPr>
          <w:p w14:paraId="6C67CFE4"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-4.94</w:t>
            </w:r>
          </w:p>
        </w:tc>
        <w:tc>
          <w:tcPr>
            <w:tcW w:w="1076" w:type="dxa"/>
            <w:tcBorders>
              <w:top w:val="nil"/>
              <w:left w:val="nil"/>
              <w:bottom w:val="nil"/>
              <w:right w:val="nil"/>
            </w:tcBorders>
            <w:shd w:val="clear" w:color="000000" w:fill="D9D9D9"/>
            <w:noWrap/>
            <w:vAlign w:val="bottom"/>
            <w:hideMark/>
          </w:tcPr>
          <w:p w14:paraId="659F4142"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15.51</w:t>
            </w:r>
          </w:p>
        </w:tc>
      </w:tr>
      <w:tr w:rsidR="00BB4E21" w14:paraId="0D98B9C0" w14:textId="77777777" w:rsidTr="00056603">
        <w:trPr>
          <w:trHeight w:val="240"/>
        </w:trPr>
        <w:tc>
          <w:tcPr>
            <w:tcW w:w="1396" w:type="dxa"/>
            <w:tcBorders>
              <w:top w:val="nil"/>
              <w:left w:val="nil"/>
              <w:bottom w:val="nil"/>
              <w:right w:val="nil"/>
            </w:tcBorders>
            <w:shd w:val="clear" w:color="000000" w:fill="BFBFBF"/>
            <w:noWrap/>
            <w:vAlign w:val="bottom"/>
            <w:hideMark/>
          </w:tcPr>
          <w:p w14:paraId="2EBD5303" w14:textId="77777777" w:rsidR="00BB4E21" w:rsidRDefault="00BB4E21" w:rsidP="00056603">
            <w:pPr>
              <w:spacing w:after="0" w:line="240" w:lineRule="auto"/>
              <w:rPr>
                <w:rFonts w:ascii="Arial" w:eastAsia="Times New Roman" w:hAnsi="Arial" w:cs="Arial"/>
              </w:rPr>
            </w:pPr>
            <w:r>
              <w:rPr>
                <w:rFonts w:ascii="Arial" w:eastAsia="Times New Roman" w:hAnsi="Arial" w:cs="Arial"/>
              </w:rPr>
              <w:t>Slope</w:t>
            </w:r>
          </w:p>
        </w:tc>
        <w:tc>
          <w:tcPr>
            <w:tcW w:w="1256" w:type="dxa"/>
            <w:tcBorders>
              <w:top w:val="nil"/>
              <w:left w:val="nil"/>
              <w:bottom w:val="nil"/>
              <w:right w:val="nil"/>
            </w:tcBorders>
            <w:shd w:val="clear" w:color="000000" w:fill="D9D9D9"/>
            <w:noWrap/>
            <w:vAlign w:val="bottom"/>
            <w:hideMark/>
          </w:tcPr>
          <w:p w14:paraId="30266DC9"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-2.71</w:t>
            </w:r>
          </w:p>
        </w:tc>
        <w:tc>
          <w:tcPr>
            <w:tcW w:w="516" w:type="dxa"/>
            <w:tcBorders>
              <w:top w:val="nil"/>
              <w:left w:val="nil"/>
              <w:bottom w:val="nil"/>
              <w:right w:val="nil"/>
            </w:tcBorders>
            <w:shd w:val="clear" w:color="000000" w:fill="D9D9D9"/>
            <w:noWrap/>
            <w:vAlign w:val="bottom"/>
            <w:hideMark/>
          </w:tcPr>
          <w:p w14:paraId="4D4E8DBD"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1.07</w:t>
            </w:r>
          </w:p>
        </w:tc>
        <w:tc>
          <w:tcPr>
            <w:tcW w:w="1076" w:type="dxa"/>
            <w:tcBorders>
              <w:top w:val="nil"/>
              <w:left w:val="nil"/>
              <w:bottom w:val="nil"/>
              <w:right w:val="nil"/>
            </w:tcBorders>
            <w:shd w:val="clear" w:color="000000" w:fill="D9D9D9"/>
            <w:noWrap/>
            <w:vAlign w:val="bottom"/>
            <w:hideMark/>
          </w:tcPr>
          <w:p w14:paraId="59A05DB5"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-7.31</w:t>
            </w:r>
          </w:p>
        </w:tc>
        <w:tc>
          <w:tcPr>
            <w:tcW w:w="1076" w:type="dxa"/>
            <w:tcBorders>
              <w:top w:val="nil"/>
              <w:left w:val="nil"/>
              <w:bottom w:val="nil"/>
              <w:right w:val="nil"/>
            </w:tcBorders>
            <w:shd w:val="clear" w:color="000000" w:fill="D9D9D9"/>
            <w:noWrap/>
            <w:vAlign w:val="bottom"/>
            <w:hideMark/>
          </w:tcPr>
          <w:p w14:paraId="7837BE9E"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1.88</w:t>
            </w:r>
          </w:p>
        </w:tc>
      </w:tr>
      <w:tr w:rsidR="00BB4E21" w14:paraId="4DB781EE" w14:textId="77777777" w:rsidTr="00056603">
        <w:trPr>
          <w:trHeight w:val="240"/>
        </w:trPr>
        <w:tc>
          <w:tcPr>
            <w:tcW w:w="1396" w:type="dxa"/>
            <w:tcBorders>
              <w:top w:val="nil"/>
              <w:left w:val="nil"/>
              <w:bottom w:val="nil"/>
              <w:right w:val="nil"/>
            </w:tcBorders>
            <w:noWrap/>
            <w:vAlign w:val="bottom"/>
            <w:hideMark/>
          </w:tcPr>
          <w:p w14:paraId="371AA217" w14:textId="77777777" w:rsidR="00BB4E21" w:rsidRDefault="00BB4E21" w:rsidP="00056603">
            <w:pPr>
              <w:spacing w:after="0" w:line="240" w:lineRule="auto"/>
              <w:rPr>
                <w:rFonts w:ascii="Arial" w:eastAsia="Times New Roman" w:hAnsi="Arial" w:cs="Arial"/>
                <w:color w:val="000000"/>
              </w:rPr>
            </w:pPr>
          </w:p>
        </w:tc>
        <w:tc>
          <w:tcPr>
            <w:tcW w:w="1256" w:type="dxa"/>
            <w:tcBorders>
              <w:top w:val="nil"/>
              <w:left w:val="nil"/>
              <w:bottom w:val="nil"/>
              <w:right w:val="nil"/>
            </w:tcBorders>
            <w:noWrap/>
            <w:vAlign w:val="bottom"/>
            <w:hideMark/>
          </w:tcPr>
          <w:p w14:paraId="13C90DB2" w14:textId="77777777" w:rsidR="00BB4E21" w:rsidRDefault="00BB4E21" w:rsidP="00056603">
            <w:pPr>
              <w:spacing w:after="0" w:line="240" w:lineRule="auto"/>
              <w:rPr>
                <w:rFonts w:ascii="Arial" w:eastAsia="Times New Roman" w:hAnsi="Arial" w:cs="Arial"/>
                <w:color w:val="000000"/>
              </w:rPr>
            </w:pPr>
          </w:p>
        </w:tc>
        <w:tc>
          <w:tcPr>
            <w:tcW w:w="516" w:type="dxa"/>
            <w:tcBorders>
              <w:top w:val="nil"/>
              <w:left w:val="nil"/>
              <w:bottom w:val="nil"/>
              <w:right w:val="nil"/>
            </w:tcBorders>
            <w:noWrap/>
            <w:vAlign w:val="bottom"/>
            <w:hideMark/>
          </w:tcPr>
          <w:p w14:paraId="231F2821" w14:textId="77777777" w:rsidR="00BB4E21" w:rsidRDefault="00BB4E21" w:rsidP="00056603">
            <w:pPr>
              <w:spacing w:after="0" w:line="240" w:lineRule="auto"/>
              <w:rPr>
                <w:rFonts w:ascii="Arial" w:eastAsia="Times New Roman" w:hAnsi="Arial" w:cs="Arial"/>
                <w:color w:val="000000"/>
              </w:rPr>
            </w:pPr>
          </w:p>
        </w:tc>
        <w:tc>
          <w:tcPr>
            <w:tcW w:w="1076" w:type="dxa"/>
            <w:tcBorders>
              <w:top w:val="nil"/>
              <w:left w:val="nil"/>
              <w:bottom w:val="nil"/>
              <w:right w:val="nil"/>
            </w:tcBorders>
            <w:noWrap/>
            <w:vAlign w:val="bottom"/>
            <w:hideMark/>
          </w:tcPr>
          <w:p w14:paraId="7D5331E2" w14:textId="77777777" w:rsidR="00BB4E21" w:rsidRDefault="00BB4E21" w:rsidP="00056603">
            <w:pPr>
              <w:spacing w:after="0" w:line="240" w:lineRule="auto"/>
              <w:rPr>
                <w:rFonts w:ascii="Arial" w:eastAsia="Times New Roman" w:hAnsi="Arial" w:cs="Arial"/>
                <w:color w:val="000000"/>
              </w:rPr>
            </w:pPr>
          </w:p>
        </w:tc>
        <w:tc>
          <w:tcPr>
            <w:tcW w:w="1076" w:type="dxa"/>
            <w:tcBorders>
              <w:top w:val="nil"/>
              <w:left w:val="nil"/>
              <w:bottom w:val="nil"/>
              <w:right w:val="nil"/>
            </w:tcBorders>
            <w:noWrap/>
            <w:vAlign w:val="bottom"/>
            <w:hideMark/>
          </w:tcPr>
          <w:p w14:paraId="7BAD9845" w14:textId="77777777" w:rsidR="00BB4E21" w:rsidRDefault="00BB4E21" w:rsidP="00056603">
            <w:pPr>
              <w:spacing w:after="0" w:line="240" w:lineRule="auto"/>
              <w:rPr>
                <w:rFonts w:ascii="Arial" w:eastAsia="Times New Roman" w:hAnsi="Arial" w:cs="Arial"/>
                <w:color w:val="000000"/>
              </w:rPr>
            </w:pPr>
          </w:p>
        </w:tc>
      </w:tr>
      <w:tr w:rsidR="00BB4E21" w14:paraId="74402749" w14:textId="77777777" w:rsidTr="00056603">
        <w:trPr>
          <w:trHeight w:val="240"/>
        </w:trPr>
        <w:tc>
          <w:tcPr>
            <w:tcW w:w="1396" w:type="dxa"/>
            <w:tcBorders>
              <w:top w:val="nil"/>
              <w:left w:val="nil"/>
              <w:bottom w:val="nil"/>
              <w:right w:val="nil"/>
            </w:tcBorders>
            <w:shd w:val="clear" w:color="000000" w:fill="BFBFBF"/>
            <w:noWrap/>
            <w:vAlign w:val="bottom"/>
            <w:hideMark/>
          </w:tcPr>
          <w:p w14:paraId="140072D6" w14:textId="77777777" w:rsidR="00BB4E21" w:rsidRDefault="00BB4E21" w:rsidP="00056603">
            <w:pPr>
              <w:spacing w:after="0" w:line="240" w:lineRule="auto"/>
              <w:rPr>
                <w:rFonts w:ascii="Arial" w:eastAsia="Times New Roman" w:hAnsi="Arial" w:cs="Arial"/>
              </w:rPr>
            </w:pPr>
            <w:r>
              <w:rPr>
                <w:rFonts w:ascii="Arial" w:eastAsia="Times New Roman" w:hAnsi="Arial" w:cs="Arial"/>
              </w:rPr>
              <w:t>t test</w:t>
            </w:r>
          </w:p>
        </w:tc>
        <w:tc>
          <w:tcPr>
            <w:tcW w:w="1256" w:type="dxa"/>
            <w:tcBorders>
              <w:top w:val="nil"/>
              <w:left w:val="nil"/>
              <w:bottom w:val="nil"/>
              <w:right w:val="nil"/>
            </w:tcBorders>
            <w:shd w:val="clear" w:color="000000" w:fill="D9D9D9"/>
            <w:noWrap/>
            <w:vAlign w:val="bottom"/>
            <w:hideMark/>
          </w:tcPr>
          <w:p w14:paraId="70423A61"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2.22</w:t>
            </w:r>
          </w:p>
        </w:tc>
        <w:tc>
          <w:tcPr>
            <w:tcW w:w="516" w:type="dxa"/>
            <w:tcBorders>
              <w:top w:val="nil"/>
              <w:left w:val="nil"/>
              <w:bottom w:val="nil"/>
              <w:right w:val="nil"/>
            </w:tcBorders>
            <w:noWrap/>
            <w:vAlign w:val="bottom"/>
            <w:hideMark/>
          </w:tcPr>
          <w:p w14:paraId="37C695BF" w14:textId="77777777" w:rsidR="00BB4E21" w:rsidRDefault="00BB4E21" w:rsidP="00056603">
            <w:pPr>
              <w:spacing w:after="0" w:line="240" w:lineRule="auto"/>
              <w:rPr>
                <w:rFonts w:ascii="Arial" w:eastAsia="Times New Roman" w:hAnsi="Arial" w:cs="Arial"/>
                <w:color w:val="000000"/>
              </w:rPr>
            </w:pPr>
          </w:p>
        </w:tc>
        <w:tc>
          <w:tcPr>
            <w:tcW w:w="1076" w:type="dxa"/>
            <w:tcBorders>
              <w:top w:val="nil"/>
              <w:left w:val="nil"/>
              <w:bottom w:val="nil"/>
              <w:right w:val="nil"/>
            </w:tcBorders>
            <w:noWrap/>
            <w:vAlign w:val="bottom"/>
            <w:hideMark/>
          </w:tcPr>
          <w:p w14:paraId="586B99A0" w14:textId="77777777" w:rsidR="00BB4E21" w:rsidRDefault="00BB4E21" w:rsidP="00056603">
            <w:pPr>
              <w:spacing w:after="0" w:line="240" w:lineRule="auto"/>
              <w:rPr>
                <w:rFonts w:ascii="Arial" w:eastAsia="Times New Roman" w:hAnsi="Arial" w:cs="Arial"/>
                <w:color w:val="000000"/>
              </w:rPr>
            </w:pPr>
          </w:p>
        </w:tc>
        <w:tc>
          <w:tcPr>
            <w:tcW w:w="1076" w:type="dxa"/>
            <w:tcBorders>
              <w:top w:val="nil"/>
              <w:left w:val="nil"/>
              <w:bottom w:val="nil"/>
              <w:right w:val="nil"/>
            </w:tcBorders>
            <w:noWrap/>
            <w:vAlign w:val="bottom"/>
            <w:hideMark/>
          </w:tcPr>
          <w:p w14:paraId="32F175C7" w14:textId="77777777" w:rsidR="00BB4E21" w:rsidRDefault="00BB4E21" w:rsidP="00056603">
            <w:pPr>
              <w:spacing w:after="0" w:line="240" w:lineRule="auto"/>
              <w:rPr>
                <w:rFonts w:ascii="Arial" w:eastAsia="Times New Roman" w:hAnsi="Arial" w:cs="Arial"/>
                <w:color w:val="000000"/>
              </w:rPr>
            </w:pPr>
          </w:p>
        </w:tc>
      </w:tr>
      <w:tr w:rsidR="00BB4E21" w14:paraId="351A8485" w14:textId="77777777" w:rsidTr="00056603">
        <w:trPr>
          <w:trHeight w:val="240"/>
        </w:trPr>
        <w:tc>
          <w:tcPr>
            <w:tcW w:w="1396" w:type="dxa"/>
            <w:tcBorders>
              <w:top w:val="nil"/>
              <w:left w:val="nil"/>
              <w:bottom w:val="nil"/>
              <w:right w:val="nil"/>
            </w:tcBorders>
            <w:shd w:val="clear" w:color="000000" w:fill="BFBFBF"/>
            <w:noWrap/>
            <w:vAlign w:val="bottom"/>
            <w:hideMark/>
          </w:tcPr>
          <w:p w14:paraId="5C300D1C" w14:textId="77777777" w:rsidR="00BB4E21" w:rsidRDefault="00BB4E21" w:rsidP="00056603">
            <w:pPr>
              <w:spacing w:after="0" w:line="240" w:lineRule="auto"/>
              <w:rPr>
                <w:rFonts w:ascii="Arial" w:eastAsia="Times New Roman" w:hAnsi="Arial" w:cs="Arial"/>
              </w:rPr>
            </w:pPr>
            <w:r>
              <w:rPr>
                <w:rFonts w:ascii="Arial" w:eastAsia="Times New Roman" w:hAnsi="Arial" w:cs="Arial"/>
              </w:rPr>
              <w:t>p-value</w:t>
            </w:r>
          </w:p>
        </w:tc>
        <w:tc>
          <w:tcPr>
            <w:tcW w:w="1256" w:type="dxa"/>
            <w:tcBorders>
              <w:top w:val="nil"/>
              <w:left w:val="nil"/>
              <w:bottom w:val="nil"/>
              <w:right w:val="nil"/>
            </w:tcBorders>
            <w:shd w:val="clear" w:color="000000" w:fill="D9D9D9"/>
            <w:noWrap/>
            <w:vAlign w:val="bottom"/>
            <w:hideMark/>
          </w:tcPr>
          <w:p w14:paraId="3A73D319"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0.269</w:t>
            </w:r>
          </w:p>
        </w:tc>
        <w:tc>
          <w:tcPr>
            <w:tcW w:w="516" w:type="dxa"/>
            <w:tcBorders>
              <w:top w:val="nil"/>
              <w:left w:val="nil"/>
              <w:bottom w:val="nil"/>
              <w:right w:val="nil"/>
            </w:tcBorders>
            <w:noWrap/>
            <w:vAlign w:val="bottom"/>
            <w:hideMark/>
          </w:tcPr>
          <w:p w14:paraId="08763D74" w14:textId="77777777" w:rsidR="00BB4E21" w:rsidRDefault="00BB4E21" w:rsidP="00056603">
            <w:pPr>
              <w:spacing w:after="0" w:line="240" w:lineRule="auto"/>
              <w:rPr>
                <w:rFonts w:ascii="Arial" w:eastAsia="Times New Roman" w:hAnsi="Arial" w:cs="Arial"/>
                <w:color w:val="000000"/>
              </w:rPr>
            </w:pPr>
          </w:p>
        </w:tc>
        <w:tc>
          <w:tcPr>
            <w:tcW w:w="1076" w:type="dxa"/>
            <w:tcBorders>
              <w:top w:val="nil"/>
              <w:left w:val="nil"/>
              <w:bottom w:val="nil"/>
              <w:right w:val="nil"/>
            </w:tcBorders>
            <w:noWrap/>
            <w:vAlign w:val="bottom"/>
            <w:hideMark/>
          </w:tcPr>
          <w:p w14:paraId="3B2036AD" w14:textId="77777777" w:rsidR="00BB4E21" w:rsidRDefault="00BB4E21" w:rsidP="00056603">
            <w:pPr>
              <w:spacing w:after="0" w:line="240" w:lineRule="auto"/>
              <w:rPr>
                <w:rFonts w:ascii="Arial" w:eastAsia="Times New Roman" w:hAnsi="Arial" w:cs="Arial"/>
                <w:color w:val="000000"/>
              </w:rPr>
            </w:pPr>
          </w:p>
        </w:tc>
        <w:tc>
          <w:tcPr>
            <w:tcW w:w="1076" w:type="dxa"/>
            <w:tcBorders>
              <w:top w:val="nil"/>
              <w:left w:val="nil"/>
              <w:bottom w:val="nil"/>
              <w:right w:val="nil"/>
            </w:tcBorders>
            <w:noWrap/>
            <w:vAlign w:val="bottom"/>
            <w:hideMark/>
          </w:tcPr>
          <w:p w14:paraId="5DDE52C7" w14:textId="77777777" w:rsidR="00BB4E21" w:rsidRDefault="00BB4E21" w:rsidP="00056603">
            <w:pPr>
              <w:spacing w:after="0" w:line="240" w:lineRule="auto"/>
              <w:rPr>
                <w:rFonts w:ascii="Arial" w:eastAsia="Times New Roman" w:hAnsi="Arial" w:cs="Arial"/>
                <w:color w:val="000000"/>
              </w:rPr>
            </w:pPr>
          </w:p>
        </w:tc>
      </w:tr>
    </w:tbl>
    <w:p w14:paraId="555AAF31" w14:textId="77777777" w:rsidR="00BB4E21" w:rsidRDefault="00BB4E21" w:rsidP="00BB4E21">
      <w:pPr>
        <w:spacing w:after="0" w:line="480" w:lineRule="auto"/>
        <w:ind w:right="-810"/>
        <w:rPr>
          <w:rFonts w:ascii="Times New Roman" w:hAnsi="Times New Roman" w:cs="Times New Roman"/>
          <w:b/>
        </w:rPr>
      </w:pPr>
    </w:p>
    <w:p w14:paraId="12FFD294" w14:textId="77777777" w:rsidR="00BB4E21" w:rsidRDefault="00BB4E21" w:rsidP="00BB4E21">
      <w:pPr>
        <w:rPr>
          <w:rFonts w:ascii="Times New Roman" w:hAnsi="Times New Roman" w:cs="Times New Roman"/>
          <w:b/>
        </w:rPr>
      </w:pPr>
      <w:r>
        <w:rPr>
          <w:rFonts w:ascii="Times New Roman" w:hAnsi="Times New Roman" w:cs="Times New Roman"/>
          <w:b/>
        </w:rPr>
        <w:br w:type="page"/>
      </w:r>
    </w:p>
    <w:p w14:paraId="7B3E4131" w14:textId="77777777" w:rsidR="00BB4E21" w:rsidRDefault="00BB4E21" w:rsidP="00BB4E21">
      <w:pPr>
        <w:spacing w:after="0" w:line="480" w:lineRule="auto"/>
        <w:ind w:right="-810"/>
        <w:rPr>
          <w:rFonts w:ascii="Times New Roman" w:hAnsi="Times New Roman" w:cs="Times New Roman"/>
          <w:b/>
        </w:rPr>
      </w:pPr>
      <w:r>
        <w:rPr>
          <w:rFonts w:ascii="Times New Roman" w:hAnsi="Times New Roman" w:cs="Times New Roman"/>
          <w:b/>
        </w:rPr>
        <w:lastRenderedPageBreak/>
        <w:t>F) New/Worsening Atrial Fibrillation</w:t>
      </w:r>
    </w:p>
    <w:p w14:paraId="1E57F54E" w14:textId="77777777" w:rsidR="00BB4E21" w:rsidRDefault="00BB4E21" w:rsidP="00BB4E21">
      <w:pPr>
        <w:spacing w:after="0" w:line="480" w:lineRule="auto"/>
        <w:ind w:right="-810"/>
        <w:rPr>
          <w:rFonts w:ascii="Times New Roman" w:hAnsi="Times New Roman" w:cs="Times New Roman"/>
          <w:b/>
        </w:rPr>
      </w:pPr>
    </w:p>
    <w:p w14:paraId="2F6A7898" w14:textId="77777777" w:rsidR="00BB4E21" w:rsidRDefault="00BB4E21" w:rsidP="00BB4E21">
      <w:pPr>
        <w:spacing w:after="0" w:line="480" w:lineRule="auto"/>
        <w:ind w:right="-810"/>
        <w:rPr>
          <w:rFonts w:ascii="Times New Roman" w:hAnsi="Times New Roman" w:cs="Times New Roman"/>
          <w:b/>
        </w:rPr>
      </w:pPr>
      <w:r>
        <w:rPr>
          <w:rFonts w:ascii="Times New Roman" w:hAnsi="Times New Roman" w:cs="Times New Roman"/>
          <w:b/>
          <w:noProof/>
        </w:rPr>
        <w:drawing>
          <wp:inline distT="0" distB="0" distL="0" distR="0" wp14:anchorId="7889CC7C" wp14:editId="5976B478">
            <wp:extent cx="5029200" cy="3352800"/>
            <wp:effectExtent l="0" t="0" r="0" b="0"/>
            <wp:docPr id="859911912"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8"/>
                    <pic:cNvPicPr/>
                  </pic:nvPicPr>
                  <pic:blipFill>
                    <a:blip r:embed="rId31" cstate="print"/>
                    <a:srcRect/>
                    <a:stretch/>
                  </pic:blipFill>
                  <pic:spPr>
                    <a:xfrm>
                      <a:off x="0" y="0"/>
                      <a:ext cx="5029200" cy="3352800"/>
                    </a:xfrm>
                    <a:prstGeom prst="rect">
                      <a:avLst/>
                    </a:prstGeom>
                  </pic:spPr>
                </pic:pic>
              </a:graphicData>
            </a:graphic>
          </wp:inline>
        </w:drawing>
      </w:r>
    </w:p>
    <w:p w14:paraId="22A12F18" w14:textId="77777777" w:rsidR="00BB4E21" w:rsidRDefault="00BB4E21" w:rsidP="00BB4E21">
      <w:pPr>
        <w:spacing w:after="0" w:line="480" w:lineRule="auto"/>
        <w:ind w:right="-810"/>
        <w:rPr>
          <w:rFonts w:ascii="Times New Roman" w:hAnsi="Times New Roman" w:cs="Times New Roman"/>
          <w:b/>
        </w:rPr>
      </w:pPr>
    </w:p>
    <w:tbl>
      <w:tblPr>
        <w:tblW w:w="5240" w:type="dxa"/>
        <w:tblInd w:w="93" w:type="dxa"/>
        <w:tblLook w:val="04A0" w:firstRow="1" w:lastRow="0" w:firstColumn="1" w:lastColumn="0" w:noHBand="0" w:noVBand="1"/>
      </w:tblPr>
      <w:tblGrid>
        <w:gridCol w:w="1380"/>
        <w:gridCol w:w="1240"/>
        <w:gridCol w:w="684"/>
        <w:gridCol w:w="1060"/>
        <w:gridCol w:w="1060"/>
      </w:tblGrid>
      <w:tr w:rsidR="00BB4E21" w14:paraId="32F6B5E9" w14:textId="77777777" w:rsidTr="00056603">
        <w:trPr>
          <w:trHeight w:val="240"/>
        </w:trPr>
        <w:tc>
          <w:tcPr>
            <w:tcW w:w="1380" w:type="dxa"/>
            <w:tcBorders>
              <w:top w:val="nil"/>
              <w:left w:val="nil"/>
              <w:bottom w:val="nil"/>
              <w:right w:val="nil"/>
            </w:tcBorders>
            <w:shd w:val="clear" w:color="000000" w:fill="BFBFBF"/>
            <w:noWrap/>
            <w:vAlign w:val="bottom"/>
            <w:hideMark/>
          </w:tcPr>
          <w:p w14:paraId="1C987753" w14:textId="77777777" w:rsidR="00BB4E21" w:rsidRDefault="00BB4E21" w:rsidP="00056603">
            <w:pPr>
              <w:spacing w:after="0" w:line="240" w:lineRule="auto"/>
              <w:rPr>
                <w:rFonts w:ascii="Arial" w:eastAsia="Times New Roman" w:hAnsi="Arial" w:cs="Arial"/>
              </w:rPr>
            </w:pPr>
            <w:r>
              <w:rPr>
                <w:rFonts w:ascii="Arial" w:eastAsia="Times New Roman" w:hAnsi="Arial" w:cs="Arial"/>
              </w:rPr>
              <w:t> </w:t>
            </w:r>
          </w:p>
        </w:tc>
        <w:tc>
          <w:tcPr>
            <w:tcW w:w="1240" w:type="dxa"/>
            <w:tcBorders>
              <w:top w:val="nil"/>
              <w:left w:val="nil"/>
              <w:bottom w:val="nil"/>
              <w:right w:val="nil"/>
            </w:tcBorders>
            <w:shd w:val="clear" w:color="000000" w:fill="BFBFBF"/>
            <w:noWrap/>
            <w:vAlign w:val="bottom"/>
            <w:hideMark/>
          </w:tcPr>
          <w:p w14:paraId="20266932" w14:textId="77777777" w:rsidR="00BB4E21" w:rsidRDefault="00BB4E21" w:rsidP="00056603">
            <w:pPr>
              <w:spacing w:after="0" w:line="240" w:lineRule="auto"/>
              <w:rPr>
                <w:rFonts w:ascii="Arial" w:eastAsia="Times New Roman" w:hAnsi="Arial" w:cs="Arial"/>
              </w:rPr>
            </w:pPr>
            <w:r>
              <w:rPr>
                <w:rFonts w:ascii="Arial" w:eastAsia="Times New Roman" w:hAnsi="Arial" w:cs="Arial"/>
              </w:rPr>
              <w:t>Estimate</w:t>
            </w:r>
          </w:p>
        </w:tc>
        <w:tc>
          <w:tcPr>
            <w:tcW w:w="500" w:type="dxa"/>
            <w:tcBorders>
              <w:top w:val="nil"/>
              <w:left w:val="nil"/>
              <w:bottom w:val="nil"/>
              <w:right w:val="nil"/>
            </w:tcBorders>
            <w:shd w:val="clear" w:color="000000" w:fill="BFBFBF"/>
            <w:noWrap/>
            <w:vAlign w:val="bottom"/>
            <w:hideMark/>
          </w:tcPr>
          <w:p w14:paraId="7C9E65EC" w14:textId="77777777" w:rsidR="00BB4E21" w:rsidRDefault="00BB4E21" w:rsidP="00056603">
            <w:pPr>
              <w:spacing w:after="0" w:line="240" w:lineRule="auto"/>
              <w:rPr>
                <w:rFonts w:ascii="Arial" w:eastAsia="Times New Roman" w:hAnsi="Arial" w:cs="Arial"/>
              </w:rPr>
            </w:pPr>
            <w:r>
              <w:rPr>
                <w:rFonts w:ascii="Arial" w:eastAsia="Times New Roman" w:hAnsi="Arial" w:cs="Arial"/>
              </w:rPr>
              <w:t>SE</w:t>
            </w:r>
          </w:p>
        </w:tc>
        <w:tc>
          <w:tcPr>
            <w:tcW w:w="1060" w:type="dxa"/>
            <w:tcBorders>
              <w:top w:val="nil"/>
              <w:left w:val="nil"/>
              <w:bottom w:val="nil"/>
              <w:right w:val="nil"/>
            </w:tcBorders>
            <w:shd w:val="clear" w:color="000000" w:fill="BFBFBF"/>
            <w:noWrap/>
            <w:vAlign w:val="bottom"/>
            <w:hideMark/>
          </w:tcPr>
          <w:p w14:paraId="63B908DE" w14:textId="77777777" w:rsidR="00BB4E21" w:rsidRDefault="00BB4E21" w:rsidP="00056603">
            <w:pPr>
              <w:spacing w:after="0" w:line="240" w:lineRule="auto"/>
              <w:rPr>
                <w:rFonts w:ascii="Arial" w:eastAsia="Times New Roman" w:hAnsi="Arial" w:cs="Arial"/>
              </w:rPr>
            </w:pPr>
            <w:r>
              <w:rPr>
                <w:rFonts w:ascii="Arial" w:eastAsia="Times New Roman" w:hAnsi="Arial" w:cs="Arial"/>
              </w:rPr>
              <w:t>CI LL</w:t>
            </w:r>
          </w:p>
        </w:tc>
        <w:tc>
          <w:tcPr>
            <w:tcW w:w="1060" w:type="dxa"/>
            <w:tcBorders>
              <w:top w:val="nil"/>
              <w:left w:val="nil"/>
              <w:bottom w:val="nil"/>
              <w:right w:val="nil"/>
            </w:tcBorders>
            <w:shd w:val="clear" w:color="000000" w:fill="BFBFBF"/>
            <w:noWrap/>
            <w:vAlign w:val="bottom"/>
            <w:hideMark/>
          </w:tcPr>
          <w:p w14:paraId="4C96097C" w14:textId="77777777" w:rsidR="00BB4E21" w:rsidRDefault="00BB4E21" w:rsidP="00056603">
            <w:pPr>
              <w:spacing w:after="0" w:line="240" w:lineRule="auto"/>
              <w:rPr>
                <w:rFonts w:ascii="Arial" w:eastAsia="Times New Roman" w:hAnsi="Arial" w:cs="Arial"/>
              </w:rPr>
            </w:pPr>
            <w:r>
              <w:rPr>
                <w:rFonts w:ascii="Arial" w:eastAsia="Times New Roman" w:hAnsi="Arial" w:cs="Arial"/>
              </w:rPr>
              <w:t>CI UL</w:t>
            </w:r>
          </w:p>
        </w:tc>
      </w:tr>
      <w:tr w:rsidR="00BB4E21" w14:paraId="6C324D95" w14:textId="77777777" w:rsidTr="00056603">
        <w:trPr>
          <w:trHeight w:val="240"/>
        </w:trPr>
        <w:tc>
          <w:tcPr>
            <w:tcW w:w="1380" w:type="dxa"/>
            <w:tcBorders>
              <w:top w:val="nil"/>
              <w:left w:val="nil"/>
              <w:bottom w:val="nil"/>
              <w:right w:val="nil"/>
            </w:tcBorders>
            <w:shd w:val="clear" w:color="000000" w:fill="BFBFBF"/>
            <w:noWrap/>
            <w:vAlign w:val="bottom"/>
            <w:hideMark/>
          </w:tcPr>
          <w:p w14:paraId="3DAD79A5" w14:textId="77777777" w:rsidR="00BB4E21" w:rsidRDefault="00BB4E21" w:rsidP="00056603">
            <w:pPr>
              <w:spacing w:after="0" w:line="240" w:lineRule="auto"/>
              <w:rPr>
                <w:rFonts w:ascii="Arial" w:eastAsia="Times New Roman" w:hAnsi="Arial" w:cs="Arial"/>
              </w:rPr>
            </w:pPr>
            <w:r>
              <w:rPr>
                <w:rFonts w:ascii="Arial" w:eastAsia="Times New Roman" w:hAnsi="Arial" w:cs="Arial"/>
              </w:rPr>
              <w:t>Intercept</w:t>
            </w:r>
          </w:p>
        </w:tc>
        <w:tc>
          <w:tcPr>
            <w:tcW w:w="1240" w:type="dxa"/>
            <w:tcBorders>
              <w:top w:val="nil"/>
              <w:left w:val="nil"/>
              <w:bottom w:val="nil"/>
              <w:right w:val="nil"/>
            </w:tcBorders>
            <w:shd w:val="clear" w:color="000000" w:fill="D9D9D9"/>
            <w:noWrap/>
            <w:vAlign w:val="bottom"/>
            <w:hideMark/>
          </w:tcPr>
          <w:p w14:paraId="43208C27"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0.97</w:t>
            </w:r>
          </w:p>
        </w:tc>
        <w:tc>
          <w:tcPr>
            <w:tcW w:w="500" w:type="dxa"/>
            <w:tcBorders>
              <w:top w:val="nil"/>
              <w:left w:val="nil"/>
              <w:bottom w:val="nil"/>
              <w:right w:val="nil"/>
            </w:tcBorders>
            <w:shd w:val="clear" w:color="000000" w:fill="D9D9D9"/>
            <w:noWrap/>
            <w:vAlign w:val="bottom"/>
            <w:hideMark/>
          </w:tcPr>
          <w:p w14:paraId="52AD8C82"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2.43</w:t>
            </w:r>
          </w:p>
        </w:tc>
        <w:tc>
          <w:tcPr>
            <w:tcW w:w="1060" w:type="dxa"/>
            <w:tcBorders>
              <w:top w:val="nil"/>
              <w:left w:val="nil"/>
              <w:bottom w:val="nil"/>
              <w:right w:val="nil"/>
            </w:tcBorders>
            <w:shd w:val="clear" w:color="000000" w:fill="D9D9D9"/>
            <w:noWrap/>
            <w:vAlign w:val="bottom"/>
            <w:hideMark/>
          </w:tcPr>
          <w:p w14:paraId="66F436FC"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-6.78</w:t>
            </w:r>
          </w:p>
        </w:tc>
        <w:tc>
          <w:tcPr>
            <w:tcW w:w="1060" w:type="dxa"/>
            <w:tcBorders>
              <w:top w:val="nil"/>
              <w:left w:val="nil"/>
              <w:bottom w:val="nil"/>
              <w:right w:val="nil"/>
            </w:tcBorders>
            <w:shd w:val="clear" w:color="000000" w:fill="D9D9D9"/>
            <w:noWrap/>
            <w:vAlign w:val="bottom"/>
            <w:hideMark/>
          </w:tcPr>
          <w:p w14:paraId="41EE40A2"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8.71</w:t>
            </w:r>
          </w:p>
        </w:tc>
      </w:tr>
      <w:tr w:rsidR="00BB4E21" w14:paraId="6038B983" w14:textId="77777777" w:rsidTr="00056603">
        <w:trPr>
          <w:trHeight w:val="240"/>
        </w:trPr>
        <w:tc>
          <w:tcPr>
            <w:tcW w:w="1380" w:type="dxa"/>
            <w:tcBorders>
              <w:top w:val="nil"/>
              <w:left w:val="nil"/>
              <w:bottom w:val="nil"/>
              <w:right w:val="nil"/>
            </w:tcBorders>
            <w:shd w:val="clear" w:color="000000" w:fill="BFBFBF"/>
            <w:noWrap/>
            <w:vAlign w:val="bottom"/>
            <w:hideMark/>
          </w:tcPr>
          <w:p w14:paraId="60D738F3" w14:textId="77777777" w:rsidR="00BB4E21" w:rsidRDefault="00BB4E21" w:rsidP="00056603">
            <w:pPr>
              <w:spacing w:after="0" w:line="240" w:lineRule="auto"/>
              <w:rPr>
                <w:rFonts w:ascii="Arial" w:eastAsia="Times New Roman" w:hAnsi="Arial" w:cs="Arial"/>
              </w:rPr>
            </w:pPr>
            <w:r>
              <w:rPr>
                <w:rFonts w:ascii="Arial" w:eastAsia="Times New Roman" w:hAnsi="Arial" w:cs="Arial"/>
              </w:rPr>
              <w:t>Slope</w:t>
            </w:r>
          </w:p>
        </w:tc>
        <w:tc>
          <w:tcPr>
            <w:tcW w:w="1240" w:type="dxa"/>
            <w:tcBorders>
              <w:top w:val="nil"/>
              <w:left w:val="nil"/>
              <w:bottom w:val="nil"/>
              <w:right w:val="nil"/>
            </w:tcBorders>
            <w:shd w:val="clear" w:color="000000" w:fill="D9D9D9"/>
            <w:noWrap/>
            <w:vAlign w:val="bottom"/>
            <w:hideMark/>
          </w:tcPr>
          <w:p w14:paraId="3BB0AACE"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-2.06</w:t>
            </w:r>
          </w:p>
        </w:tc>
        <w:tc>
          <w:tcPr>
            <w:tcW w:w="500" w:type="dxa"/>
            <w:tcBorders>
              <w:top w:val="nil"/>
              <w:left w:val="nil"/>
              <w:bottom w:val="nil"/>
              <w:right w:val="nil"/>
            </w:tcBorders>
            <w:shd w:val="clear" w:color="000000" w:fill="D9D9D9"/>
            <w:noWrap/>
            <w:vAlign w:val="bottom"/>
            <w:hideMark/>
          </w:tcPr>
          <w:p w14:paraId="0395633A"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0.66</w:t>
            </w:r>
          </w:p>
        </w:tc>
        <w:tc>
          <w:tcPr>
            <w:tcW w:w="1060" w:type="dxa"/>
            <w:tcBorders>
              <w:top w:val="nil"/>
              <w:left w:val="nil"/>
              <w:bottom w:val="nil"/>
              <w:right w:val="nil"/>
            </w:tcBorders>
            <w:shd w:val="clear" w:color="000000" w:fill="D9D9D9"/>
            <w:noWrap/>
            <w:vAlign w:val="bottom"/>
            <w:hideMark/>
          </w:tcPr>
          <w:p w14:paraId="150C5900"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-4.16</w:t>
            </w:r>
          </w:p>
        </w:tc>
        <w:tc>
          <w:tcPr>
            <w:tcW w:w="1060" w:type="dxa"/>
            <w:tcBorders>
              <w:top w:val="nil"/>
              <w:left w:val="nil"/>
              <w:bottom w:val="nil"/>
              <w:right w:val="nil"/>
            </w:tcBorders>
            <w:shd w:val="clear" w:color="000000" w:fill="D9D9D9"/>
            <w:noWrap/>
            <w:vAlign w:val="bottom"/>
            <w:hideMark/>
          </w:tcPr>
          <w:p w14:paraId="15BF1FEE"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0.05</w:t>
            </w:r>
          </w:p>
        </w:tc>
      </w:tr>
      <w:tr w:rsidR="00BB4E21" w14:paraId="26B0428D" w14:textId="77777777" w:rsidTr="00056603">
        <w:trPr>
          <w:trHeight w:val="240"/>
        </w:trPr>
        <w:tc>
          <w:tcPr>
            <w:tcW w:w="1380" w:type="dxa"/>
            <w:tcBorders>
              <w:top w:val="nil"/>
              <w:left w:val="nil"/>
              <w:bottom w:val="nil"/>
              <w:right w:val="nil"/>
            </w:tcBorders>
            <w:noWrap/>
            <w:vAlign w:val="bottom"/>
            <w:hideMark/>
          </w:tcPr>
          <w:p w14:paraId="7B31BE70" w14:textId="77777777" w:rsidR="00BB4E21" w:rsidRDefault="00BB4E21" w:rsidP="00056603">
            <w:pPr>
              <w:spacing w:after="0" w:line="240" w:lineRule="auto"/>
              <w:rPr>
                <w:rFonts w:ascii="Arial" w:eastAsia="Times New Roman" w:hAnsi="Arial" w:cs="Arial"/>
                <w:color w:val="000000"/>
              </w:rPr>
            </w:pPr>
          </w:p>
        </w:tc>
        <w:tc>
          <w:tcPr>
            <w:tcW w:w="1240" w:type="dxa"/>
            <w:tcBorders>
              <w:top w:val="nil"/>
              <w:left w:val="nil"/>
              <w:bottom w:val="nil"/>
              <w:right w:val="nil"/>
            </w:tcBorders>
            <w:noWrap/>
            <w:vAlign w:val="bottom"/>
            <w:hideMark/>
          </w:tcPr>
          <w:p w14:paraId="3E63C573" w14:textId="77777777" w:rsidR="00BB4E21" w:rsidRDefault="00BB4E21" w:rsidP="00056603">
            <w:pPr>
              <w:spacing w:after="0" w:line="240" w:lineRule="auto"/>
              <w:rPr>
                <w:rFonts w:ascii="Arial" w:eastAsia="Times New Roman" w:hAnsi="Arial" w:cs="Arial"/>
                <w:color w:val="000000"/>
              </w:rPr>
            </w:pPr>
          </w:p>
        </w:tc>
        <w:tc>
          <w:tcPr>
            <w:tcW w:w="500" w:type="dxa"/>
            <w:tcBorders>
              <w:top w:val="nil"/>
              <w:left w:val="nil"/>
              <w:bottom w:val="nil"/>
              <w:right w:val="nil"/>
            </w:tcBorders>
            <w:noWrap/>
            <w:vAlign w:val="bottom"/>
            <w:hideMark/>
          </w:tcPr>
          <w:p w14:paraId="149AA2DF" w14:textId="77777777" w:rsidR="00BB4E21" w:rsidRDefault="00BB4E21" w:rsidP="00056603">
            <w:pPr>
              <w:spacing w:after="0" w:line="240" w:lineRule="auto"/>
              <w:rPr>
                <w:rFonts w:ascii="Arial" w:eastAsia="Times New Roman" w:hAnsi="Arial" w:cs="Arial"/>
                <w:color w:val="000000"/>
              </w:rPr>
            </w:pPr>
          </w:p>
        </w:tc>
        <w:tc>
          <w:tcPr>
            <w:tcW w:w="1060" w:type="dxa"/>
            <w:tcBorders>
              <w:top w:val="nil"/>
              <w:left w:val="nil"/>
              <w:bottom w:val="nil"/>
              <w:right w:val="nil"/>
            </w:tcBorders>
            <w:noWrap/>
            <w:vAlign w:val="bottom"/>
            <w:hideMark/>
          </w:tcPr>
          <w:p w14:paraId="0B67138A" w14:textId="77777777" w:rsidR="00BB4E21" w:rsidRDefault="00BB4E21" w:rsidP="00056603">
            <w:pPr>
              <w:spacing w:after="0" w:line="240" w:lineRule="auto"/>
              <w:rPr>
                <w:rFonts w:ascii="Arial" w:eastAsia="Times New Roman" w:hAnsi="Arial" w:cs="Arial"/>
                <w:color w:val="000000"/>
              </w:rPr>
            </w:pPr>
          </w:p>
        </w:tc>
        <w:tc>
          <w:tcPr>
            <w:tcW w:w="1060" w:type="dxa"/>
            <w:tcBorders>
              <w:top w:val="nil"/>
              <w:left w:val="nil"/>
              <w:bottom w:val="nil"/>
              <w:right w:val="nil"/>
            </w:tcBorders>
            <w:noWrap/>
            <w:vAlign w:val="bottom"/>
            <w:hideMark/>
          </w:tcPr>
          <w:p w14:paraId="0C655666" w14:textId="77777777" w:rsidR="00BB4E21" w:rsidRDefault="00BB4E21" w:rsidP="00056603">
            <w:pPr>
              <w:spacing w:after="0" w:line="240" w:lineRule="auto"/>
              <w:rPr>
                <w:rFonts w:ascii="Arial" w:eastAsia="Times New Roman" w:hAnsi="Arial" w:cs="Arial"/>
                <w:color w:val="000000"/>
              </w:rPr>
            </w:pPr>
          </w:p>
        </w:tc>
      </w:tr>
      <w:tr w:rsidR="00BB4E21" w14:paraId="5CEB900D" w14:textId="77777777" w:rsidTr="00056603">
        <w:trPr>
          <w:trHeight w:val="240"/>
        </w:trPr>
        <w:tc>
          <w:tcPr>
            <w:tcW w:w="1380" w:type="dxa"/>
            <w:tcBorders>
              <w:top w:val="nil"/>
              <w:left w:val="nil"/>
              <w:bottom w:val="nil"/>
              <w:right w:val="nil"/>
            </w:tcBorders>
            <w:shd w:val="clear" w:color="000000" w:fill="BFBFBF"/>
            <w:noWrap/>
            <w:vAlign w:val="bottom"/>
            <w:hideMark/>
          </w:tcPr>
          <w:p w14:paraId="52F5D73D" w14:textId="77777777" w:rsidR="00BB4E21" w:rsidRDefault="00BB4E21" w:rsidP="00056603">
            <w:pPr>
              <w:spacing w:after="0" w:line="240" w:lineRule="auto"/>
              <w:rPr>
                <w:rFonts w:ascii="Arial" w:eastAsia="Times New Roman" w:hAnsi="Arial" w:cs="Arial"/>
              </w:rPr>
            </w:pPr>
            <w:r>
              <w:rPr>
                <w:rFonts w:ascii="Arial" w:eastAsia="Times New Roman" w:hAnsi="Arial" w:cs="Arial"/>
              </w:rPr>
              <w:t>t test</w:t>
            </w:r>
          </w:p>
        </w:tc>
        <w:tc>
          <w:tcPr>
            <w:tcW w:w="1240" w:type="dxa"/>
            <w:tcBorders>
              <w:top w:val="nil"/>
              <w:left w:val="nil"/>
              <w:bottom w:val="nil"/>
              <w:right w:val="nil"/>
            </w:tcBorders>
            <w:shd w:val="clear" w:color="000000" w:fill="D9D9D9"/>
            <w:noWrap/>
            <w:vAlign w:val="bottom"/>
            <w:hideMark/>
          </w:tcPr>
          <w:p w14:paraId="3C4F2BF5"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0.40</w:t>
            </w:r>
          </w:p>
        </w:tc>
        <w:tc>
          <w:tcPr>
            <w:tcW w:w="500" w:type="dxa"/>
            <w:tcBorders>
              <w:top w:val="nil"/>
              <w:left w:val="nil"/>
              <w:bottom w:val="nil"/>
              <w:right w:val="nil"/>
            </w:tcBorders>
            <w:noWrap/>
            <w:vAlign w:val="bottom"/>
            <w:hideMark/>
          </w:tcPr>
          <w:p w14:paraId="445625F4" w14:textId="77777777" w:rsidR="00BB4E21" w:rsidRDefault="00BB4E21" w:rsidP="00056603">
            <w:pPr>
              <w:spacing w:after="0" w:line="240" w:lineRule="auto"/>
              <w:rPr>
                <w:rFonts w:ascii="Arial" w:eastAsia="Times New Roman" w:hAnsi="Arial" w:cs="Arial"/>
                <w:color w:val="000000"/>
              </w:rPr>
            </w:pPr>
          </w:p>
        </w:tc>
        <w:tc>
          <w:tcPr>
            <w:tcW w:w="1060" w:type="dxa"/>
            <w:tcBorders>
              <w:top w:val="nil"/>
              <w:left w:val="nil"/>
              <w:bottom w:val="nil"/>
              <w:right w:val="nil"/>
            </w:tcBorders>
            <w:noWrap/>
            <w:vAlign w:val="bottom"/>
            <w:hideMark/>
          </w:tcPr>
          <w:p w14:paraId="37FAD436" w14:textId="77777777" w:rsidR="00BB4E21" w:rsidRDefault="00BB4E21" w:rsidP="00056603">
            <w:pPr>
              <w:spacing w:after="0" w:line="240" w:lineRule="auto"/>
              <w:rPr>
                <w:rFonts w:ascii="Arial" w:eastAsia="Times New Roman" w:hAnsi="Arial" w:cs="Arial"/>
                <w:color w:val="000000"/>
              </w:rPr>
            </w:pPr>
          </w:p>
        </w:tc>
        <w:tc>
          <w:tcPr>
            <w:tcW w:w="1060" w:type="dxa"/>
            <w:tcBorders>
              <w:top w:val="nil"/>
              <w:left w:val="nil"/>
              <w:bottom w:val="nil"/>
              <w:right w:val="nil"/>
            </w:tcBorders>
            <w:noWrap/>
            <w:vAlign w:val="bottom"/>
            <w:hideMark/>
          </w:tcPr>
          <w:p w14:paraId="2CABFBE7" w14:textId="77777777" w:rsidR="00BB4E21" w:rsidRDefault="00BB4E21" w:rsidP="00056603">
            <w:pPr>
              <w:spacing w:after="0" w:line="240" w:lineRule="auto"/>
              <w:rPr>
                <w:rFonts w:ascii="Arial" w:eastAsia="Times New Roman" w:hAnsi="Arial" w:cs="Arial"/>
                <w:color w:val="000000"/>
              </w:rPr>
            </w:pPr>
          </w:p>
        </w:tc>
      </w:tr>
      <w:tr w:rsidR="00BB4E21" w14:paraId="31D4EC48" w14:textId="77777777" w:rsidTr="00056603">
        <w:trPr>
          <w:trHeight w:val="240"/>
        </w:trPr>
        <w:tc>
          <w:tcPr>
            <w:tcW w:w="1380" w:type="dxa"/>
            <w:tcBorders>
              <w:top w:val="nil"/>
              <w:left w:val="nil"/>
              <w:bottom w:val="nil"/>
              <w:right w:val="nil"/>
            </w:tcBorders>
            <w:shd w:val="clear" w:color="000000" w:fill="BFBFBF"/>
            <w:noWrap/>
            <w:vAlign w:val="bottom"/>
            <w:hideMark/>
          </w:tcPr>
          <w:p w14:paraId="54023955" w14:textId="77777777" w:rsidR="00BB4E21" w:rsidRDefault="00BB4E21" w:rsidP="00056603">
            <w:pPr>
              <w:spacing w:after="0" w:line="240" w:lineRule="auto"/>
              <w:rPr>
                <w:rFonts w:ascii="Arial" w:eastAsia="Times New Roman" w:hAnsi="Arial" w:cs="Arial"/>
              </w:rPr>
            </w:pPr>
            <w:r>
              <w:rPr>
                <w:rFonts w:ascii="Arial" w:eastAsia="Times New Roman" w:hAnsi="Arial" w:cs="Arial"/>
              </w:rPr>
              <w:t>p-value</w:t>
            </w:r>
          </w:p>
        </w:tc>
        <w:tc>
          <w:tcPr>
            <w:tcW w:w="1240" w:type="dxa"/>
            <w:tcBorders>
              <w:top w:val="nil"/>
              <w:left w:val="nil"/>
              <w:bottom w:val="nil"/>
              <w:right w:val="nil"/>
            </w:tcBorders>
            <w:shd w:val="clear" w:color="000000" w:fill="D9D9D9"/>
            <w:noWrap/>
            <w:vAlign w:val="bottom"/>
            <w:hideMark/>
          </w:tcPr>
          <w:p w14:paraId="745E6052"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0.729</w:t>
            </w:r>
          </w:p>
        </w:tc>
        <w:tc>
          <w:tcPr>
            <w:tcW w:w="500" w:type="dxa"/>
            <w:tcBorders>
              <w:top w:val="nil"/>
              <w:left w:val="nil"/>
              <w:bottom w:val="nil"/>
              <w:right w:val="nil"/>
            </w:tcBorders>
            <w:noWrap/>
            <w:vAlign w:val="bottom"/>
            <w:hideMark/>
          </w:tcPr>
          <w:p w14:paraId="63A21FF3" w14:textId="77777777" w:rsidR="00BB4E21" w:rsidRDefault="00BB4E21" w:rsidP="00056603">
            <w:pPr>
              <w:spacing w:after="0" w:line="240" w:lineRule="auto"/>
              <w:rPr>
                <w:rFonts w:ascii="Arial" w:eastAsia="Times New Roman" w:hAnsi="Arial" w:cs="Arial"/>
                <w:color w:val="000000"/>
              </w:rPr>
            </w:pPr>
          </w:p>
        </w:tc>
        <w:tc>
          <w:tcPr>
            <w:tcW w:w="1060" w:type="dxa"/>
            <w:tcBorders>
              <w:top w:val="nil"/>
              <w:left w:val="nil"/>
              <w:bottom w:val="nil"/>
              <w:right w:val="nil"/>
            </w:tcBorders>
            <w:noWrap/>
            <w:vAlign w:val="bottom"/>
            <w:hideMark/>
          </w:tcPr>
          <w:p w14:paraId="5DB09859" w14:textId="77777777" w:rsidR="00BB4E21" w:rsidRDefault="00BB4E21" w:rsidP="00056603">
            <w:pPr>
              <w:spacing w:after="0" w:line="240" w:lineRule="auto"/>
              <w:rPr>
                <w:rFonts w:ascii="Arial" w:eastAsia="Times New Roman" w:hAnsi="Arial" w:cs="Arial"/>
                <w:color w:val="000000"/>
              </w:rPr>
            </w:pPr>
          </w:p>
        </w:tc>
        <w:tc>
          <w:tcPr>
            <w:tcW w:w="1060" w:type="dxa"/>
            <w:tcBorders>
              <w:top w:val="nil"/>
              <w:left w:val="nil"/>
              <w:bottom w:val="nil"/>
              <w:right w:val="nil"/>
            </w:tcBorders>
            <w:noWrap/>
            <w:vAlign w:val="bottom"/>
            <w:hideMark/>
          </w:tcPr>
          <w:p w14:paraId="5AD17DD3" w14:textId="77777777" w:rsidR="00BB4E21" w:rsidRDefault="00BB4E21" w:rsidP="00056603">
            <w:pPr>
              <w:spacing w:after="0" w:line="240" w:lineRule="auto"/>
              <w:rPr>
                <w:rFonts w:ascii="Arial" w:eastAsia="Times New Roman" w:hAnsi="Arial" w:cs="Arial"/>
                <w:color w:val="000000"/>
              </w:rPr>
            </w:pPr>
          </w:p>
        </w:tc>
      </w:tr>
    </w:tbl>
    <w:p w14:paraId="50795DD2" w14:textId="77777777" w:rsidR="00BB4E21" w:rsidRDefault="00BB4E21" w:rsidP="00BB4E21">
      <w:pPr>
        <w:spacing w:after="0" w:line="480" w:lineRule="auto"/>
        <w:ind w:right="-810"/>
        <w:rPr>
          <w:rFonts w:ascii="Times New Roman" w:hAnsi="Times New Roman" w:cs="Times New Roman"/>
          <w:b/>
        </w:rPr>
      </w:pPr>
    </w:p>
    <w:p w14:paraId="5B112F0F" w14:textId="77777777" w:rsidR="00BB4E21" w:rsidRDefault="00BB4E21" w:rsidP="00BB4E21">
      <w:pPr>
        <w:rPr>
          <w:rFonts w:ascii="Times New Roman" w:hAnsi="Times New Roman" w:cs="Times New Roman"/>
          <w:b/>
        </w:rPr>
      </w:pPr>
      <w:r>
        <w:rPr>
          <w:rFonts w:ascii="Times New Roman" w:hAnsi="Times New Roman" w:cs="Times New Roman"/>
          <w:b/>
        </w:rPr>
        <w:br w:type="page"/>
      </w:r>
    </w:p>
    <w:p w14:paraId="3D473043" w14:textId="77777777" w:rsidR="00BB4E21" w:rsidRDefault="00BB4E21" w:rsidP="00BB4E21">
      <w:pPr>
        <w:spacing w:after="0" w:line="480" w:lineRule="auto"/>
        <w:ind w:right="-810"/>
        <w:rPr>
          <w:rFonts w:ascii="Times New Roman" w:hAnsi="Times New Roman" w:cs="Times New Roman"/>
          <w:b/>
        </w:rPr>
      </w:pPr>
      <w:r>
        <w:rPr>
          <w:rFonts w:ascii="Times New Roman" w:hAnsi="Times New Roman" w:cs="Times New Roman"/>
          <w:b/>
        </w:rPr>
        <w:lastRenderedPageBreak/>
        <w:t>G) Life-Threatening/Disabling Bleeding</w:t>
      </w:r>
    </w:p>
    <w:p w14:paraId="6F133DB3" w14:textId="77777777" w:rsidR="00BB4E21" w:rsidRDefault="00BB4E21" w:rsidP="00BB4E21">
      <w:pPr>
        <w:spacing w:after="0" w:line="480" w:lineRule="auto"/>
        <w:ind w:right="-810"/>
        <w:rPr>
          <w:rFonts w:ascii="Times New Roman" w:hAnsi="Times New Roman" w:cs="Times New Roman"/>
          <w:b/>
        </w:rPr>
      </w:pPr>
    </w:p>
    <w:p w14:paraId="5032E12E" w14:textId="77777777" w:rsidR="00BB4E21" w:rsidRDefault="00BB4E21" w:rsidP="00BB4E21">
      <w:pPr>
        <w:spacing w:after="0" w:line="480" w:lineRule="auto"/>
        <w:ind w:right="-810"/>
        <w:rPr>
          <w:rFonts w:ascii="Times New Roman" w:hAnsi="Times New Roman" w:cs="Times New Roman"/>
          <w:b/>
        </w:rPr>
      </w:pPr>
      <w:r>
        <w:rPr>
          <w:rFonts w:ascii="Times New Roman" w:hAnsi="Times New Roman" w:cs="Times New Roman"/>
          <w:b/>
          <w:noProof/>
        </w:rPr>
        <w:drawing>
          <wp:inline distT="0" distB="0" distL="0" distR="0" wp14:anchorId="39F65083" wp14:editId="397B812A">
            <wp:extent cx="5029200" cy="3352800"/>
            <wp:effectExtent l="0" t="0" r="0" b="0"/>
            <wp:docPr id="67696075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19"/>
                    <pic:cNvPicPr/>
                  </pic:nvPicPr>
                  <pic:blipFill>
                    <a:blip r:embed="rId32" cstate="print"/>
                    <a:srcRect/>
                    <a:stretch/>
                  </pic:blipFill>
                  <pic:spPr>
                    <a:xfrm>
                      <a:off x="0" y="0"/>
                      <a:ext cx="5029200" cy="3352800"/>
                    </a:xfrm>
                    <a:prstGeom prst="rect">
                      <a:avLst/>
                    </a:prstGeom>
                  </pic:spPr>
                </pic:pic>
              </a:graphicData>
            </a:graphic>
          </wp:inline>
        </w:drawing>
      </w:r>
    </w:p>
    <w:p w14:paraId="4AF583F1" w14:textId="77777777" w:rsidR="00BB4E21" w:rsidRDefault="00BB4E21" w:rsidP="00BB4E21">
      <w:pPr>
        <w:spacing w:after="0" w:line="480" w:lineRule="auto"/>
        <w:ind w:right="-810"/>
        <w:rPr>
          <w:rFonts w:ascii="Times New Roman" w:hAnsi="Times New Roman" w:cs="Times New Roman"/>
          <w:b/>
        </w:rPr>
      </w:pPr>
    </w:p>
    <w:tbl>
      <w:tblPr>
        <w:tblW w:w="5240" w:type="dxa"/>
        <w:tblInd w:w="93" w:type="dxa"/>
        <w:tblLook w:val="04A0" w:firstRow="1" w:lastRow="0" w:firstColumn="1" w:lastColumn="0" w:noHBand="0" w:noVBand="1"/>
      </w:tblPr>
      <w:tblGrid>
        <w:gridCol w:w="1380"/>
        <w:gridCol w:w="1240"/>
        <w:gridCol w:w="684"/>
        <w:gridCol w:w="1060"/>
        <w:gridCol w:w="1060"/>
      </w:tblGrid>
      <w:tr w:rsidR="00BB4E21" w14:paraId="57869A42" w14:textId="77777777" w:rsidTr="00056603">
        <w:trPr>
          <w:trHeight w:val="240"/>
        </w:trPr>
        <w:tc>
          <w:tcPr>
            <w:tcW w:w="1380" w:type="dxa"/>
            <w:tcBorders>
              <w:top w:val="nil"/>
              <w:left w:val="nil"/>
              <w:bottom w:val="nil"/>
              <w:right w:val="nil"/>
            </w:tcBorders>
            <w:shd w:val="clear" w:color="000000" w:fill="BFBFBF"/>
            <w:noWrap/>
            <w:vAlign w:val="bottom"/>
            <w:hideMark/>
          </w:tcPr>
          <w:p w14:paraId="47D39369" w14:textId="77777777" w:rsidR="00BB4E21" w:rsidRDefault="00BB4E21" w:rsidP="00056603">
            <w:pPr>
              <w:spacing w:after="0" w:line="240" w:lineRule="auto"/>
              <w:rPr>
                <w:rFonts w:ascii="Arial" w:eastAsia="Times New Roman" w:hAnsi="Arial" w:cs="Arial"/>
              </w:rPr>
            </w:pPr>
            <w:r>
              <w:rPr>
                <w:rFonts w:ascii="Arial" w:eastAsia="Times New Roman" w:hAnsi="Arial" w:cs="Arial"/>
              </w:rPr>
              <w:t> </w:t>
            </w:r>
          </w:p>
        </w:tc>
        <w:tc>
          <w:tcPr>
            <w:tcW w:w="1240" w:type="dxa"/>
            <w:tcBorders>
              <w:top w:val="nil"/>
              <w:left w:val="nil"/>
              <w:bottom w:val="nil"/>
              <w:right w:val="nil"/>
            </w:tcBorders>
            <w:shd w:val="clear" w:color="000000" w:fill="BFBFBF"/>
            <w:noWrap/>
            <w:vAlign w:val="bottom"/>
            <w:hideMark/>
          </w:tcPr>
          <w:p w14:paraId="1ACAFB56" w14:textId="77777777" w:rsidR="00BB4E21" w:rsidRDefault="00BB4E21" w:rsidP="00056603">
            <w:pPr>
              <w:spacing w:after="0" w:line="240" w:lineRule="auto"/>
              <w:rPr>
                <w:rFonts w:ascii="Arial" w:eastAsia="Times New Roman" w:hAnsi="Arial" w:cs="Arial"/>
              </w:rPr>
            </w:pPr>
            <w:r>
              <w:rPr>
                <w:rFonts w:ascii="Arial" w:eastAsia="Times New Roman" w:hAnsi="Arial" w:cs="Arial"/>
              </w:rPr>
              <w:t>Estimate</w:t>
            </w:r>
          </w:p>
        </w:tc>
        <w:tc>
          <w:tcPr>
            <w:tcW w:w="500" w:type="dxa"/>
            <w:tcBorders>
              <w:top w:val="nil"/>
              <w:left w:val="nil"/>
              <w:bottom w:val="nil"/>
              <w:right w:val="nil"/>
            </w:tcBorders>
            <w:shd w:val="clear" w:color="000000" w:fill="BFBFBF"/>
            <w:noWrap/>
            <w:vAlign w:val="bottom"/>
            <w:hideMark/>
          </w:tcPr>
          <w:p w14:paraId="7818E410" w14:textId="77777777" w:rsidR="00BB4E21" w:rsidRDefault="00BB4E21" w:rsidP="00056603">
            <w:pPr>
              <w:spacing w:after="0" w:line="240" w:lineRule="auto"/>
              <w:rPr>
                <w:rFonts w:ascii="Arial" w:eastAsia="Times New Roman" w:hAnsi="Arial" w:cs="Arial"/>
              </w:rPr>
            </w:pPr>
            <w:r>
              <w:rPr>
                <w:rFonts w:ascii="Arial" w:eastAsia="Times New Roman" w:hAnsi="Arial" w:cs="Arial"/>
              </w:rPr>
              <w:t>SE</w:t>
            </w:r>
          </w:p>
        </w:tc>
        <w:tc>
          <w:tcPr>
            <w:tcW w:w="1060" w:type="dxa"/>
            <w:tcBorders>
              <w:top w:val="nil"/>
              <w:left w:val="nil"/>
              <w:bottom w:val="nil"/>
              <w:right w:val="nil"/>
            </w:tcBorders>
            <w:shd w:val="clear" w:color="000000" w:fill="BFBFBF"/>
            <w:noWrap/>
            <w:vAlign w:val="bottom"/>
            <w:hideMark/>
          </w:tcPr>
          <w:p w14:paraId="6DF22123" w14:textId="77777777" w:rsidR="00BB4E21" w:rsidRDefault="00BB4E21" w:rsidP="00056603">
            <w:pPr>
              <w:spacing w:after="0" w:line="240" w:lineRule="auto"/>
              <w:rPr>
                <w:rFonts w:ascii="Arial" w:eastAsia="Times New Roman" w:hAnsi="Arial" w:cs="Arial"/>
              </w:rPr>
            </w:pPr>
            <w:r>
              <w:rPr>
                <w:rFonts w:ascii="Arial" w:eastAsia="Times New Roman" w:hAnsi="Arial" w:cs="Arial"/>
              </w:rPr>
              <w:t>CI LL</w:t>
            </w:r>
          </w:p>
        </w:tc>
        <w:tc>
          <w:tcPr>
            <w:tcW w:w="1060" w:type="dxa"/>
            <w:tcBorders>
              <w:top w:val="nil"/>
              <w:left w:val="nil"/>
              <w:bottom w:val="nil"/>
              <w:right w:val="nil"/>
            </w:tcBorders>
            <w:shd w:val="clear" w:color="000000" w:fill="BFBFBF"/>
            <w:noWrap/>
            <w:vAlign w:val="bottom"/>
            <w:hideMark/>
          </w:tcPr>
          <w:p w14:paraId="7CEE2822" w14:textId="77777777" w:rsidR="00BB4E21" w:rsidRDefault="00BB4E21" w:rsidP="00056603">
            <w:pPr>
              <w:spacing w:after="0" w:line="240" w:lineRule="auto"/>
              <w:rPr>
                <w:rFonts w:ascii="Arial" w:eastAsia="Times New Roman" w:hAnsi="Arial" w:cs="Arial"/>
              </w:rPr>
            </w:pPr>
            <w:r>
              <w:rPr>
                <w:rFonts w:ascii="Arial" w:eastAsia="Times New Roman" w:hAnsi="Arial" w:cs="Arial"/>
              </w:rPr>
              <w:t>CI UL</w:t>
            </w:r>
          </w:p>
        </w:tc>
      </w:tr>
      <w:tr w:rsidR="00BB4E21" w14:paraId="11C94C0C" w14:textId="77777777" w:rsidTr="00056603">
        <w:trPr>
          <w:trHeight w:val="240"/>
        </w:trPr>
        <w:tc>
          <w:tcPr>
            <w:tcW w:w="1380" w:type="dxa"/>
            <w:tcBorders>
              <w:top w:val="nil"/>
              <w:left w:val="nil"/>
              <w:bottom w:val="nil"/>
              <w:right w:val="nil"/>
            </w:tcBorders>
            <w:shd w:val="clear" w:color="000000" w:fill="BFBFBF"/>
            <w:noWrap/>
            <w:vAlign w:val="bottom"/>
            <w:hideMark/>
          </w:tcPr>
          <w:p w14:paraId="61D8C432" w14:textId="77777777" w:rsidR="00BB4E21" w:rsidRDefault="00BB4E21" w:rsidP="00056603">
            <w:pPr>
              <w:spacing w:after="0" w:line="240" w:lineRule="auto"/>
              <w:rPr>
                <w:rFonts w:ascii="Arial" w:eastAsia="Times New Roman" w:hAnsi="Arial" w:cs="Arial"/>
              </w:rPr>
            </w:pPr>
            <w:r>
              <w:rPr>
                <w:rFonts w:ascii="Arial" w:eastAsia="Times New Roman" w:hAnsi="Arial" w:cs="Arial"/>
              </w:rPr>
              <w:t>Intercept</w:t>
            </w:r>
          </w:p>
        </w:tc>
        <w:tc>
          <w:tcPr>
            <w:tcW w:w="1240" w:type="dxa"/>
            <w:tcBorders>
              <w:top w:val="nil"/>
              <w:left w:val="nil"/>
              <w:bottom w:val="nil"/>
              <w:right w:val="nil"/>
            </w:tcBorders>
            <w:shd w:val="clear" w:color="000000" w:fill="D9D9D9"/>
            <w:noWrap/>
            <w:vAlign w:val="bottom"/>
            <w:hideMark/>
          </w:tcPr>
          <w:p w14:paraId="53EB936C"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2.32</w:t>
            </w:r>
          </w:p>
        </w:tc>
        <w:tc>
          <w:tcPr>
            <w:tcW w:w="500" w:type="dxa"/>
            <w:tcBorders>
              <w:top w:val="nil"/>
              <w:left w:val="nil"/>
              <w:bottom w:val="nil"/>
              <w:right w:val="nil"/>
            </w:tcBorders>
            <w:shd w:val="clear" w:color="000000" w:fill="D9D9D9"/>
            <w:noWrap/>
            <w:vAlign w:val="bottom"/>
            <w:hideMark/>
          </w:tcPr>
          <w:p w14:paraId="0F83673C"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2.95</w:t>
            </w:r>
          </w:p>
        </w:tc>
        <w:tc>
          <w:tcPr>
            <w:tcW w:w="1060" w:type="dxa"/>
            <w:tcBorders>
              <w:top w:val="nil"/>
              <w:left w:val="nil"/>
              <w:bottom w:val="nil"/>
              <w:right w:val="nil"/>
            </w:tcBorders>
            <w:shd w:val="clear" w:color="000000" w:fill="D9D9D9"/>
            <w:noWrap/>
            <w:vAlign w:val="bottom"/>
            <w:hideMark/>
          </w:tcPr>
          <w:p w14:paraId="3F1C29D6"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-7.05</w:t>
            </w:r>
          </w:p>
        </w:tc>
        <w:tc>
          <w:tcPr>
            <w:tcW w:w="1060" w:type="dxa"/>
            <w:tcBorders>
              <w:top w:val="nil"/>
              <w:left w:val="nil"/>
              <w:bottom w:val="nil"/>
              <w:right w:val="nil"/>
            </w:tcBorders>
            <w:shd w:val="clear" w:color="000000" w:fill="D9D9D9"/>
            <w:noWrap/>
            <w:vAlign w:val="bottom"/>
            <w:hideMark/>
          </w:tcPr>
          <w:p w14:paraId="367DC3B2"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11.70</w:t>
            </w:r>
          </w:p>
        </w:tc>
      </w:tr>
      <w:tr w:rsidR="00BB4E21" w14:paraId="5E9815DA" w14:textId="77777777" w:rsidTr="00056603">
        <w:trPr>
          <w:trHeight w:val="240"/>
        </w:trPr>
        <w:tc>
          <w:tcPr>
            <w:tcW w:w="1380" w:type="dxa"/>
            <w:tcBorders>
              <w:top w:val="nil"/>
              <w:left w:val="nil"/>
              <w:bottom w:val="nil"/>
              <w:right w:val="nil"/>
            </w:tcBorders>
            <w:shd w:val="clear" w:color="000000" w:fill="BFBFBF"/>
            <w:noWrap/>
            <w:vAlign w:val="bottom"/>
            <w:hideMark/>
          </w:tcPr>
          <w:p w14:paraId="72772DAA" w14:textId="77777777" w:rsidR="00BB4E21" w:rsidRDefault="00BB4E21" w:rsidP="00056603">
            <w:pPr>
              <w:spacing w:after="0" w:line="240" w:lineRule="auto"/>
              <w:rPr>
                <w:rFonts w:ascii="Arial" w:eastAsia="Times New Roman" w:hAnsi="Arial" w:cs="Arial"/>
              </w:rPr>
            </w:pPr>
            <w:r>
              <w:rPr>
                <w:rFonts w:ascii="Arial" w:eastAsia="Times New Roman" w:hAnsi="Arial" w:cs="Arial"/>
              </w:rPr>
              <w:t>Slope</w:t>
            </w:r>
          </w:p>
        </w:tc>
        <w:tc>
          <w:tcPr>
            <w:tcW w:w="1240" w:type="dxa"/>
            <w:tcBorders>
              <w:top w:val="nil"/>
              <w:left w:val="nil"/>
              <w:bottom w:val="nil"/>
              <w:right w:val="nil"/>
            </w:tcBorders>
            <w:shd w:val="clear" w:color="000000" w:fill="D9D9D9"/>
            <w:noWrap/>
            <w:vAlign w:val="bottom"/>
            <w:hideMark/>
          </w:tcPr>
          <w:p w14:paraId="611FD3A2"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-2.23</w:t>
            </w:r>
          </w:p>
        </w:tc>
        <w:tc>
          <w:tcPr>
            <w:tcW w:w="500" w:type="dxa"/>
            <w:tcBorders>
              <w:top w:val="nil"/>
              <w:left w:val="nil"/>
              <w:bottom w:val="nil"/>
              <w:right w:val="nil"/>
            </w:tcBorders>
            <w:shd w:val="clear" w:color="000000" w:fill="D9D9D9"/>
            <w:noWrap/>
            <w:vAlign w:val="bottom"/>
            <w:hideMark/>
          </w:tcPr>
          <w:p w14:paraId="1D06D7E1"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1.46</w:t>
            </w:r>
          </w:p>
        </w:tc>
        <w:tc>
          <w:tcPr>
            <w:tcW w:w="1060" w:type="dxa"/>
            <w:tcBorders>
              <w:top w:val="nil"/>
              <w:left w:val="nil"/>
              <w:bottom w:val="nil"/>
              <w:right w:val="nil"/>
            </w:tcBorders>
            <w:shd w:val="clear" w:color="000000" w:fill="D9D9D9"/>
            <w:noWrap/>
            <w:vAlign w:val="bottom"/>
            <w:hideMark/>
          </w:tcPr>
          <w:p w14:paraId="2A94870A"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-6.86</w:t>
            </w:r>
          </w:p>
        </w:tc>
        <w:tc>
          <w:tcPr>
            <w:tcW w:w="1060" w:type="dxa"/>
            <w:tcBorders>
              <w:top w:val="nil"/>
              <w:left w:val="nil"/>
              <w:bottom w:val="nil"/>
              <w:right w:val="nil"/>
            </w:tcBorders>
            <w:shd w:val="clear" w:color="000000" w:fill="D9D9D9"/>
            <w:noWrap/>
            <w:vAlign w:val="bottom"/>
            <w:hideMark/>
          </w:tcPr>
          <w:p w14:paraId="1F0D5C3B"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2.40</w:t>
            </w:r>
          </w:p>
        </w:tc>
      </w:tr>
      <w:tr w:rsidR="00BB4E21" w14:paraId="5314DEAE" w14:textId="77777777" w:rsidTr="00056603">
        <w:trPr>
          <w:trHeight w:val="240"/>
        </w:trPr>
        <w:tc>
          <w:tcPr>
            <w:tcW w:w="1380" w:type="dxa"/>
            <w:tcBorders>
              <w:top w:val="nil"/>
              <w:left w:val="nil"/>
              <w:bottom w:val="nil"/>
              <w:right w:val="nil"/>
            </w:tcBorders>
            <w:noWrap/>
            <w:vAlign w:val="bottom"/>
            <w:hideMark/>
          </w:tcPr>
          <w:p w14:paraId="0B8B44E9" w14:textId="77777777" w:rsidR="00BB4E21" w:rsidRDefault="00BB4E21" w:rsidP="00056603">
            <w:pPr>
              <w:spacing w:after="0" w:line="240" w:lineRule="auto"/>
              <w:rPr>
                <w:rFonts w:ascii="Arial" w:eastAsia="Times New Roman" w:hAnsi="Arial" w:cs="Arial"/>
                <w:color w:val="000000"/>
              </w:rPr>
            </w:pPr>
          </w:p>
        </w:tc>
        <w:tc>
          <w:tcPr>
            <w:tcW w:w="1240" w:type="dxa"/>
            <w:tcBorders>
              <w:top w:val="nil"/>
              <w:left w:val="nil"/>
              <w:bottom w:val="nil"/>
              <w:right w:val="nil"/>
            </w:tcBorders>
            <w:noWrap/>
            <w:vAlign w:val="bottom"/>
            <w:hideMark/>
          </w:tcPr>
          <w:p w14:paraId="78DF43A8" w14:textId="77777777" w:rsidR="00BB4E21" w:rsidRDefault="00BB4E21" w:rsidP="00056603">
            <w:pPr>
              <w:spacing w:after="0" w:line="240" w:lineRule="auto"/>
              <w:rPr>
                <w:rFonts w:ascii="Arial" w:eastAsia="Times New Roman" w:hAnsi="Arial" w:cs="Arial"/>
                <w:color w:val="000000"/>
              </w:rPr>
            </w:pPr>
          </w:p>
        </w:tc>
        <w:tc>
          <w:tcPr>
            <w:tcW w:w="500" w:type="dxa"/>
            <w:tcBorders>
              <w:top w:val="nil"/>
              <w:left w:val="nil"/>
              <w:bottom w:val="nil"/>
              <w:right w:val="nil"/>
            </w:tcBorders>
            <w:noWrap/>
            <w:vAlign w:val="bottom"/>
            <w:hideMark/>
          </w:tcPr>
          <w:p w14:paraId="283379E5" w14:textId="77777777" w:rsidR="00BB4E21" w:rsidRDefault="00BB4E21" w:rsidP="00056603">
            <w:pPr>
              <w:spacing w:after="0" w:line="240" w:lineRule="auto"/>
              <w:rPr>
                <w:rFonts w:ascii="Arial" w:eastAsia="Times New Roman" w:hAnsi="Arial" w:cs="Arial"/>
                <w:color w:val="000000"/>
              </w:rPr>
            </w:pPr>
          </w:p>
        </w:tc>
        <w:tc>
          <w:tcPr>
            <w:tcW w:w="1060" w:type="dxa"/>
            <w:tcBorders>
              <w:top w:val="nil"/>
              <w:left w:val="nil"/>
              <w:bottom w:val="nil"/>
              <w:right w:val="nil"/>
            </w:tcBorders>
            <w:noWrap/>
            <w:vAlign w:val="bottom"/>
            <w:hideMark/>
          </w:tcPr>
          <w:p w14:paraId="59D81564" w14:textId="77777777" w:rsidR="00BB4E21" w:rsidRDefault="00BB4E21" w:rsidP="00056603">
            <w:pPr>
              <w:spacing w:after="0" w:line="240" w:lineRule="auto"/>
              <w:rPr>
                <w:rFonts w:ascii="Arial" w:eastAsia="Times New Roman" w:hAnsi="Arial" w:cs="Arial"/>
                <w:color w:val="000000"/>
              </w:rPr>
            </w:pPr>
          </w:p>
        </w:tc>
        <w:tc>
          <w:tcPr>
            <w:tcW w:w="1060" w:type="dxa"/>
            <w:tcBorders>
              <w:top w:val="nil"/>
              <w:left w:val="nil"/>
              <w:bottom w:val="nil"/>
              <w:right w:val="nil"/>
            </w:tcBorders>
            <w:noWrap/>
            <w:vAlign w:val="bottom"/>
            <w:hideMark/>
          </w:tcPr>
          <w:p w14:paraId="51B976F1" w14:textId="77777777" w:rsidR="00BB4E21" w:rsidRDefault="00BB4E21" w:rsidP="00056603">
            <w:pPr>
              <w:spacing w:after="0" w:line="240" w:lineRule="auto"/>
              <w:rPr>
                <w:rFonts w:ascii="Arial" w:eastAsia="Times New Roman" w:hAnsi="Arial" w:cs="Arial"/>
                <w:color w:val="000000"/>
              </w:rPr>
            </w:pPr>
          </w:p>
        </w:tc>
      </w:tr>
      <w:tr w:rsidR="00BB4E21" w14:paraId="613E322A" w14:textId="77777777" w:rsidTr="00056603">
        <w:trPr>
          <w:trHeight w:val="240"/>
        </w:trPr>
        <w:tc>
          <w:tcPr>
            <w:tcW w:w="1380" w:type="dxa"/>
            <w:tcBorders>
              <w:top w:val="nil"/>
              <w:left w:val="nil"/>
              <w:bottom w:val="nil"/>
              <w:right w:val="nil"/>
            </w:tcBorders>
            <w:shd w:val="clear" w:color="000000" w:fill="BFBFBF"/>
            <w:noWrap/>
            <w:vAlign w:val="bottom"/>
            <w:hideMark/>
          </w:tcPr>
          <w:p w14:paraId="62AF9EF6" w14:textId="77777777" w:rsidR="00BB4E21" w:rsidRDefault="00BB4E21" w:rsidP="00056603">
            <w:pPr>
              <w:spacing w:after="0" w:line="240" w:lineRule="auto"/>
              <w:rPr>
                <w:rFonts w:ascii="Arial" w:eastAsia="Times New Roman" w:hAnsi="Arial" w:cs="Arial"/>
              </w:rPr>
            </w:pPr>
            <w:r>
              <w:rPr>
                <w:rFonts w:ascii="Arial" w:eastAsia="Times New Roman" w:hAnsi="Arial" w:cs="Arial"/>
              </w:rPr>
              <w:t>t test</w:t>
            </w:r>
          </w:p>
        </w:tc>
        <w:tc>
          <w:tcPr>
            <w:tcW w:w="1240" w:type="dxa"/>
            <w:tcBorders>
              <w:top w:val="nil"/>
              <w:left w:val="nil"/>
              <w:bottom w:val="nil"/>
              <w:right w:val="nil"/>
            </w:tcBorders>
            <w:shd w:val="clear" w:color="000000" w:fill="D9D9D9"/>
            <w:noWrap/>
            <w:vAlign w:val="bottom"/>
            <w:hideMark/>
          </w:tcPr>
          <w:p w14:paraId="067236D6"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0.79</w:t>
            </w:r>
          </w:p>
        </w:tc>
        <w:tc>
          <w:tcPr>
            <w:tcW w:w="500" w:type="dxa"/>
            <w:tcBorders>
              <w:top w:val="nil"/>
              <w:left w:val="nil"/>
              <w:bottom w:val="nil"/>
              <w:right w:val="nil"/>
            </w:tcBorders>
            <w:noWrap/>
            <w:vAlign w:val="bottom"/>
            <w:hideMark/>
          </w:tcPr>
          <w:p w14:paraId="66AE5FB2" w14:textId="77777777" w:rsidR="00BB4E21" w:rsidRDefault="00BB4E21" w:rsidP="00056603">
            <w:pPr>
              <w:spacing w:after="0" w:line="240" w:lineRule="auto"/>
              <w:rPr>
                <w:rFonts w:ascii="Arial" w:eastAsia="Times New Roman" w:hAnsi="Arial" w:cs="Arial"/>
                <w:color w:val="000000"/>
              </w:rPr>
            </w:pPr>
          </w:p>
        </w:tc>
        <w:tc>
          <w:tcPr>
            <w:tcW w:w="1060" w:type="dxa"/>
            <w:tcBorders>
              <w:top w:val="nil"/>
              <w:left w:val="nil"/>
              <w:bottom w:val="nil"/>
              <w:right w:val="nil"/>
            </w:tcBorders>
            <w:noWrap/>
            <w:vAlign w:val="bottom"/>
            <w:hideMark/>
          </w:tcPr>
          <w:p w14:paraId="4A9A1318" w14:textId="77777777" w:rsidR="00BB4E21" w:rsidRDefault="00BB4E21" w:rsidP="00056603">
            <w:pPr>
              <w:spacing w:after="0" w:line="240" w:lineRule="auto"/>
              <w:rPr>
                <w:rFonts w:ascii="Arial" w:eastAsia="Times New Roman" w:hAnsi="Arial" w:cs="Arial"/>
                <w:color w:val="000000"/>
              </w:rPr>
            </w:pPr>
          </w:p>
        </w:tc>
        <w:tc>
          <w:tcPr>
            <w:tcW w:w="1060" w:type="dxa"/>
            <w:tcBorders>
              <w:top w:val="nil"/>
              <w:left w:val="nil"/>
              <w:bottom w:val="nil"/>
              <w:right w:val="nil"/>
            </w:tcBorders>
            <w:noWrap/>
            <w:vAlign w:val="bottom"/>
            <w:hideMark/>
          </w:tcPr>
          <w:p w14:paraId="13DB5AFC" w14:textId="77777777" w:rsidR="00BB4E21" w:rsidRDefault="00BB4E21" w:rsidP="00056603">
            <w:pPr>
              <w:spacing w:after="0" w:line="240" w:lineRule="auto"/>
              <w:rPr>
                <w:rFonts w:ascii="Arial" w:eastAsia="Times New Roman" w:hAnsi="Arial" w:cs="Arial"/>
                <w:color w:val="000000"/>
              </w:rPr>
            </w:pPr>
          </w:p>
        </w:tc>
      </w:tr>
      <w:tr w:rsidR="00BB4E21" w14:paraId="6C3E5C8B" w14:textId="77777777" w:rsidTr="00056603">
        <w:trPr>
          <w:trHeight w:val="240"/>
        </w:trPr>
        <w:tc>
          <w:tcPr>
            <w:tcW w:w="1380" w:type="dxa"/>
            <w:tcBorders>
              <w:top w:val="nil"/>
              <w:left w:val="nil"/>
              <w:bottom w:val="nil"/>
              <w:right w:val="nil"/>
            </w:tcBorders>
            <w:shd w:val="clear" w:color="000000" w:fill="BFBFBF"/>
            <w:noWrap/>
            <w:vAlign w:val="bottom"/>
            <w:hideMark/>
          </w:tcPr>
          <w:p w14:paraId="2A174D13" w14:textId="77777777" w:rsidR="00BB4E21" w:rsidRDefault="00BB4E21" w:rsidP="00056603">
            <w:pPr>
              <w:spacing w:after="0" w:line="240" w:lineRule="auto"/>
              <w:rPr>
                <w:rFonts w:ascii="Arial" w:eastAsia="Times New Roman" w:hAnsi="Arial" w:cs="Arial"/>
              </w:rPr>
            </w:pPr>
            <w:r>
              <w:rPr>
                <w:rFonts w:ascii="Arial" w:eastAsia="Times New Roman" w:hAnsi="Arial" w:cs="Arial"/>
              </w:rPr>
              <w:t>p-value</w:t>
            </w:r>
          </w:p>
        </w:tc>
        <w:tc>
          <w:tcPr>
            <w:tcW w:w="1240" w:type="dxa"/>
            <w:tcBorders>
              <w:top w:val="nil"/>
              <w:left w:val="nil"/>
              <w:bottom w:val="nil"/>
              <w:right w:val="nil"/>
            </w:tcBorders>
            <w:shd w:val="clear" w:color="000000" w:fill="D9D9D9"/>
            <w:noWrap/>
            <w:vAlign w:val="bottom"/>
            <w:hideMark/>
          </w:tcPr>
          <w:p w14:paraId="5AF4A73F"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0.513</w:t>
            </w:r>
          </w:p>
        </w:tc>
        <w:tc>
          <w:tcPr>
            <w:tcW w:w="500" w:type="dxa"/>
            <w:tcBorders>
              <w:top w:val="nil"/>
              <w:left w:val="nil"/>
              <w:bottom w:val="nil"/>
              <w:right w:val="nil"/>
            </w:tcBorders>
            <w:noWrap/>
            <w:vAlign w:val="bottom"/>
            <w:hideMark/>
          </w:tcPr>
          <w:p w14:paraId="76C0F174" w14:textId="77777777" w:rsidR="00BB4E21" w:rsidRDefault="00BB4E21" w:rsidP="00056603">
            <w:pPr>
              <w:spacing w:after="0" w:line="240" w:lineRule="auto"/>
              <w:rPr>
                <w:rFonts w:ascii="Arial" w:eastAsia="Times New Roman" w:hAnsi="Arial" w:cs="Arial"/>
                <w:color w:val="000000"/>
              </w:rPr>
            </w:pPr>
          </w:p>
        </w:tc>
        <w:tc>
          <w:tcPr>
            <w:tcW w:w="1060" w:type="dxa"/>
            <w:tcBorders>
              <w:top w:val="nil"/>
              <w:left w:val="nil"/>
              <w:bottom w:val="nil"/>
              <w:right w:val="nil"/>
            </w:tcBorders>
            <w:noWrap/>
            <w:vAlign w:val="bottom"/>
            <w:hideMark/>
          </w:tcPr>
          <w:p w14:paraId="62FBD99D" w14:textId="77777777" w:rsidR="00BB4E21" w:rsidRDefault="00BB4E21" w:rsidP="00056603">
            <w:pPr>
              <w:spacing w:after="0" w:line="240" w:lineRule="auto"/>
              <w:rPr>
                <w:rFonts w:ascii="Arial" w:eastAsia="Times New Roman" w:hAnsi="Arial" w:cs="Arial"/>
                <w:color w:val="000000"/>
              </w:rPr>
            </w:pPr>
          </w:p>
        </w:tc>
        <w:tc>
          <w:tcPr>
            <w:tcW w:w="1060" w:type="dxa"/>
            <w:tcBorders>
              <w:top w:val="nil"/>
              <w:left w:val="nil"/>
              <w:bottom w:val="nil"/>
              <w:right w:val="nil"/>
            </w:tcBorders>
            <w:noWrap/>
            <w:vAlign w:val="bottom"/>
            <w:hideMark/>
          </w:tcPr>
          <w:p w14:paraId="72D83A38" w14:textId="77777777" w:rsidR="00BB4E21" w:rsidRDefault="00BB4E21" w:rsidP="00056603">
            <w:pPr>
              <w:spacing w:after="0" w:line="240" w:lineRule="auto"/>
              <w:rPr>
                <w:rFonts w:ascii="Arial" w:eastAsia="Times New Roman" w:hAnsi="Arial" w:cs="Arial"/>
                <w:color w:val="000000"/>
              </w:rPr>
            </w:pPr>
          </w:p>
        </w:tc>
      </w:tr>
    </w:tbl>
    <w:p w14:paraId="2F713769" w14:textId="77777777" w:rsidR="00BB4E21" w:rsidRDefault="00BB4E21" w:rsidP="00BB4E21">
      <w:pPr>
        <w:spacing w:after="0" w:line="480" w:lineRule="auto"/>
        <w:ind w:right="-810"/>
        <w:rPr>
          <w:rFonts w:ascii="Times New Roman" w:hAnsi="Times New Roman" w:cs="Times New Roman"/>
          <w:b/>
        </w:rPr>
      </w:pPr>
    </w:p>
    <w:p w14:paraId="256774D0" w14:textId="77777777" w:rsidR="00BB4E21" w:rsidRDefault="00BB4E21" w:rsidP="00BB4E21">
      <w:pPr>
        <w:rPr>
          <w:rFonts w:ascii="Times New Roman" w:hAnsi="Times New Roman" w:cs="Times New Roman"/>
          <w:b/>
        </w:rPr>
      </w:pPr>
      <w:r>
        <w:rPr>
          <w:rFonts w:ascii="Times New Roman" w:hAnsi="Times New Roman" w:cs="Times New Roman"/>
          <w:b/>
        </w:rPr>
        <w:br w:type="page"/>
      </w:r>
    </w:p>
    <w:p w14:paraId="0CF915D9" w14:textId="77777777" w:rsidR="00BB4E21" w:rsidRDefault="00BB4E21" w:rsidP="00BB4E21">
      <w:pPr>
        <w:spacing w:after="0" w:line="480" w:lineRule="auto"/>
        <w:ind w:right="-810"/>
        <w:rPr>
          <w:rFonts w:ascii="Times New Roman" w:hAnsi="Times New Roman" w:cs="Times New Roman"/>
          <w:b/>
        </w:rPr>
      </w:pPr>
      <w:r>
        <w:rPr>
          <w:rFonts w:ascii="Times New Roman" w:hAnsi="Times New Roman" w:cs="Times New Roman"/>
          <w:b/>
        </w:rPr>
        <w:lastRenderedPageBreak/>
        <w:t>H) AKI Stage 2/3</w:t>
      </w:r>
    </w:p>
    <w:p w14:paraId="4AC7E7D8" w14:textId="77777777" w:rsidR="00BB4E21" w:rsidRDefault="00BB4E21" w:rsidP="00BB4E21">
      <w:pPr>
        <w:spacing w:after="0" w:line="480" w:lineRule="auto"/>
        <w:ind w:right="-810"/>
        <w:rPr>
          <w:rFonts w:ascii="Times New Roman" w:hAnsi="Times New Roman" w:cs="Times New Roman"/>
          <w:b/>
        </w:rPr>
      </w:pPr>
    </w:p>
    <w:p w14:paraId="72162447" w14:textId="77777777" w:rsidR="00BB4E21" w:rsidRDefault="00BB4E21" w:rsidP="00BB4E21">
      <w:pPr>
        <w:spacing w:after="0" w:line="480" w:lineRule="auto"/>
        <w:ind w:right="-810"/>
        <w:rPr>
          <w:rFonts w:ascii="Times New Roman" w:hAnsi="Times New Roman" w:cs="Times New Roman"/>
          <w:b/>
        </w:rPr>
      </w:pPr>
      <w:r>
        <w:rPr>
          <w:rFonts w:ascii="Times New Roman" w:hAnsi="Times New Roman" w:cs="Times New Roman"/>
          <w:b/>
          <w:noProof/>
        </w:rPr>
        <w:drawing>
          <wp:inline distT="0" distB="0" distL="0" distR="0" wp14:anchorId="5216FE5A" wp14:editId="57289138">
            <wp:extent cx="5029200" cy="3352800"/>
            <wp:effectExtent l="0" t="0" r="0" b="0"/>
            <wp:docPr id="2110807914"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20"/>
                    <pic:cNvPicPr/>
                  </pic:nvPicPr>
                  <pic:blipFill>
                    <a:blip r:embed="rId33" cstate="print"/>
                    <a:srcRect/>
                    <a:stretch/>
                  </pic:blipFill>
                  <pic:spPr>
                    <a:xfrm>
                      <a:off x="0" y="0"/>
                      <a:ext cx="5029200" cy="3352800"/>
                    </a:xfrm>
                    <a:prstGeom prst="rect">
                      <a:avLst/>
                    </a:prstGeom>
                  </pic:spPr>
                </pic:pic>
              </a:graphicData>
            </a:graphic>
          </wp:inline>
        </w:drawing>
      </w:r>
    </w:p>
    <w:p w14:paraId="567ABDB0" w14:textId="77777777" w:rsidR="00BB4E21" w:rsidRDefault="00BB4E21" w:rsidP="00BB4E21">
      <w:pPr>
        <w:spacing w:after="0" w:line="480" w:lineRule="auto"/>
        <w:ind w:right="-810"/>
        <w:rPr>
          <w:rFonts w:ascii="Times New Roman" w:hAnsi="Times New Roman" w:cs="Times New Roman"/>
          <w:b/>
        </w:rPr>
      </w:pPr>
    </w:p>
    <w:tbl>
      <w:tblPr>
        <w:tblW w:w="5240" w:type="dxa"/>
        <w:tblInd w:w="93" w:type="dxa"/>
        <w:tblLook w:val="04A0" w:firstRow="1" w:lastRow="0" w:firstColumn="1" w:lastColumn="0" w:noHBand="0" w:noVBand="1"/>
      </w:tblPr>
      <w:tblGrid>
        <w:gridCol w:w="1380"/>
        <w:gridCol w:w="1240"/>
        <w:gridCol w:w="684"/>
        <w:gridCol w:w="1060"/>
        <w:gridCol w:w="1060"/>
      </w:tblGrid>
      <w:tr w:rsidR="00BB4E21" w14:paraId="71587EDE" w14:textId="77777777" w:rsidTr="00056603">
        <w:trPr>
          <w:trHeight w:val="240"/>
        </w:trPr>
        <w:tc>
          <w:tcPr>
            <w:tcW w:w="1380" w:type="dxa"/>
            <w:tcBorders>
              <w:top w:val="nil"/>
              <w:left w:val="nil"/>
              <w:bottom w:val="nil"/>
              <w:right w:val="nil"/>
            </w:tcBorders>
            <w:shd w:val="clear" w:color="000000" w:fill="BFBFBF"/>
            <w:noWrap/>
            <w:vAlign w:val="bottom"/>
            <w:hideMark/>
          </w:tcPr>
          <w:p w14:paraId="3DCBF98E" w14:textId="77777777" w:rsidR="00BB4E21" w:rsidRDefault="00BB4E21" w:rsidP="00056603">
            <w:pPr>
              <w:spacing w:after="0" w:line="240" w:lineRule="auto"/>
              <w:rPr>
                <w:rFonts w:ascii="Arial" w:eastAsia="Times New Roman" w:hAnsi="Arial" w:cs="Arial"/>
              </w:rPr>
            </w:pPr>
            <w:r>
              <w:rPr>
                <w:rFonts w:ascii="Arial" w:eastAsia="Times New Roman" w:hAnsi="Arial" w:cs="Arial"/>
              </w:rPr>
              <w:t> </w:t>
            </w:r>
          </w:p>
        </w:tc>
        <w:tc>
          <w:tcPr>
            <w:tcW w:w="1240" w:type="dxa"/>
            <w:tcBorders>
              <w:top w:val="nil"/>
              <w:left w:val="nil"/>
              <w:bottom w:val="nil"/>
              <w:right w:val="nil"/>
            </w:tcBorders>
            <w:shd w:val="clear" w:color="000000" w:fill="BFBFBF"/>
            <w:noWrap/>
            <w:vAlign w:val="bottom"/>
            <w:hideMark/>
          </w:tcPr>
          <w:p w14:paraId="553196A6" w14:textId="77777777" w:rsidR="00BB4E21" w:rsidRDefault="00BB4E21" w:rsidP="00056603">
            <w:pPr>
              <w:spacing w:after="0" w:line="240" w:lineRule="auto"/>
              <w:rPr>
                <w:rFonts w:ascii="Arial" w:eastAsia="Times New Roman" w:hAnsi="Arial" w:cs="Arial"/>
              </w:rPr>
            </w:pPr>
            <w:r>
              <w:rPr>
                <w:rFonts w:ascii="Arial" w:eastAsia="Times New Roman" w:hAnsi="Arial" w:cs="Arial"/>
              </w:rPr>
              <w:t>Estimate</w:t>
            </w:r>
          </w:p>
        </w:tc>
        <w:tc>
          <w:tcPr>
            <w:tcW w:w="500" w:type="dxa"/>
            <w:tcBorders>
              <w:top w:val="nil"/>
              <w:left w:val="nil"/>
              <w:bottom w:val="nil"/>
              <w:right w:val="nil"/>
            </w:tcBorders>
            <w:shd w:val="clear" w:color="000000" w:fill="BFBFBF"/>
            <w:noWrap/>
            <w:vAlign w:val="bottom"/>
            <w:hideMark/>
          </w:tcPr>
          <w:p w14:paraId="6A6D44E1" w14:textId="77777777" w:rsidR="00BB4E21" w:rsidRDefault="00BB4E21" w:rsidP="00056603">
            <w:pPr>
              <w:spacing w:after="0" w:line="240" w:lineRule="auto"/>
              <w:rPr>
                <w:rFonts w:ascii="Arial" w:eastAsia="Times New Roman" w:hAnsi="Arial" w:cs="Arial"/>
              </w:rPr>
            </w:pPr>
            <w:r>
              <w:rPr>
                <w:rFonts w:ascii="Arial" w:eastAsia="Times New Roman" w:hAnsi="Arial" w:cs="Arial"/>
              </w:rPr>
              <w:t>SE</w:t>
            </w:r>
          </w:p>
        </w:tc>
        <w:tc>
          <w:tcPr>
            <w:tcW w:w="1060" w:type="dxa"/>
            <w:tcBorders>
              <w:top w:val="nil"/>
              <w:left w:val="nil"/>
              <w:bottom w:val="nil"/>
              <w:right w:val="nil"/>
            </w:tcBorders>
            <w:shd w:val="clear" w:color="000000" w:fill="BFBFBF"/>
            <w:noWrap/>
            <w:vAlign w:val="bottom"/>
            <w:hideMark/>
          </w:tcPr>
          <w:p w14:paraId="7CF85F20" w14:textId="77777777" w:rsidR="00BB4E21" w:rsidRDefault="00BB4E21" w:rsidP="00056603">
            <w:pPr>
              <w:spacing w:after="0" w:line="240" w:lineRule="auto"/>
              <w:rPr>
                <w:rFonts w:ascii="Arial" w:eastAsia="Times New Roman" w:hAnsi="Arial" w:cs="Arial"/>
              </w:rPr>
            </w:pPr>
            <w:r>
              <w:rPr>
                <w:rFonts w:ascii="Arial" w:eastAsia="Times New Roman" w:hAnsi="Arial" w:cs="Arial"/>
              </w:rPr>
              <w:t>CI LL</w:t>
            </w:r>
          </w:p>
        </w:tc>
        <w:tc>
          <w:tcPr>
            <w:tcW w:w="1060" w:type="dxa"/>
            <w:tcBorders>
              <w:top w:val="nil"/>
              <w:left w:val="nil"/>
              <w:bottom w:val="nil"/>
              <w:right w:val="nil"/>
            </w:tcBorders>
            <w:shd w:val="clear" w:color="000000" w:fill="BFBFBF"/>
            <w:noWrap/>
            <w:vAlign w:val="bottom"/>
            <w:hideMark/>
          </w:tcPr>
          <w:p w14:paraId="5F664456" w14:textId="77777777" w:rsidR="00BB4E21" w:rsidRDefault="00BB4E21" w:rsidP="00056603">
            <w:pPr>
              <w:spacing w:after="0" w:line="240" w:lineRule="auto"/>
              <w:rPr>
                <w:rFonts w:ascii="Arial" w:eastAsia="Times New Roman" w:hAnsi="Arial" w:cs="Arial"/>
              </w:rPr>
            </w:pPr>
            <w:r>
              <w:rPr>
                <w:rFonts w:ascii="Arial" w:eastAsia="Times New Roman" w:hAnsi="Arial" w:cs="Arial"/>
              </w:rPr>
              <w:t>CI UL</w:t>
            </w:r>
          </w:p>
        </w:tc>
      </w:tr>
      <w:tr w:rsidR="00BB4E21" w14:paraId="1CB83EA9" w14:textId="77777777" w:rsidTr="00056603">
        <w:trPr>
          <w:trHeight w:val="240"/>
        </w:trPr>
        <w:tc>
          <w:tcPr>
            <w:tcW w:w="1380" w:type="dxa"/>
            <w:tcBorders>
              <w:top w:val="nil"/>
              <w:left w:val="nil"/>
              <w:bottom w:val="nil"/>
              <w:right w:val="nil"/>
            </w:tcBorders>
            <w:shd w:val="clear" w:color="000000" w:fill="BFBFBF"/>
            <w:noWrap/>
            <w:vAlign w:val="bottom"/>
            <w:hideMark/>
          </w:tcPr>
          <w:p w14:paraId="6B07EC81" w14:textId="77777777" w:rsidR="00BB4E21" w:rsidRDefault="00BB4E21" w:rsidP="00056603">
            <w:pPr>
              <w:spacing w:after="0" w:line="240" w:lineRule="auto"/>
              <w:rPr>
                <w:rFonts w:ascii="Arial" w:eastAsia="Times New Roman" w:hAnsi="Arial" w:cs="Arial"/>
              </w:rPr>
            </w:pPr>
            <w:r>
              <w:rPr>
                <w:rFonts w:ascii="Arial" w:eastAsia="Times New Roman" w:hAnsi="Arial" w:cs="Arial"/>
              </w:rPr>
              <w:t>Intercept</w:t>
            </w:r>
          </w:p>
        </w:tc>
        <w:tc>
          <w:tcPr>
            <w:tcW w:w="1240" w:type="dxa"/>
            <w:tcBorders>
              <w:top w:val="nil"/>
              <w:left w:val="nil"/>
              <w:bottom w:val="nil"/>
              <w:right w:val="nil"/>
            </w:tcBorders>
            <w:shd w:val="clear" w:color="000000" w:fill="D9D9D9"/>
            <w:noWrap/>
            <w:vAlign w:val="bottom"/>
            <w:hideMark/>
          </w:tcPr>
          <w:p w14:paraId="2A08F365"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-1.64</w:t>
            </w:r>
          </w:p>
        </w:tc>
        <w:tc>
          <w:tcPr>
            <w:tcW w:w="500" w:type="dxa"/>
            <w:tcBorders>
              <w:top w:val="nil"/>
              <w:left w:val="nil"/>
              <w:bottom w:val="nil"/>
              <w:right w:val="nil"/>
            </w:tcBorders>
            <w:shd w:val="clear" w:color="000000" w:fill="D9D9D9"/>
            <w:noWrap/>
            <w:vAlign w:val="bottom"/>
            <w:hideMark/>
          </w:tcPr>
          <w:p w14:paraId="346E3E23"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0.46</w:t>
            </w:r>
          </w:p>
        </w:tc>
        <w:tc>
          <w:tcPr>
            <w:tcW w:w="1060" w:type="dxa"/>
            <w:tcBorders>
              <w:top w:val="nil"/>
              <w:left w:val="nil"/>
              <w:bottom w:val="nil"/>
              <w:right w:val="nil"/>
            </w:tcBorders>
            <w:shd w:val="clear" w:color="000000" w:fill="D9D9D9"/>
            <w:noWrap/>
            <w:vAlign w:val="bottom"/>
            <w:hideMark/>
          </w:tcPr>
          <w:p w14:paraId="04529365"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-3.09</w:t>
            </w:r>
          </w:p>
        </w:tc>
        <w:tc>
          <w:tcPr>
            <w:tcW w:w="1060" w:type="dxa"/>
            <w:tcBorders>
              <w:top w:val="nil"/>
              <w:left w:val="nil"/>
              <w:bottom w:val="nil"/>
              <w:right w:val="nil"/>
            </w:tcBorders>
            <w:shd w:val="clear" w:color="000000" w:fill="D9D9D9"/>
            <w:noWrap/>
            <w:vAlign w:val="bottom"/>
            <w:hideMark/>
          </w:tcPr>
          <w:p w14:paraId="6EED3286"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-0.18</w:t>
            </w:r>
          </w:p>
        </w:tc>
      </w:tr>
      <w:tr w:rsidR="00BB4E21" w14:paraId="6D5AF5BE" w14:textId="77777777" w:rsidTr="00056603">
        <w:trPr>
          <w:trHeight w:val="240"/>
        </w:trPr>
        <w:tc>
          <w:tcPr>
            <w:tcW w:w="1380" w:type="dxa"/>
            <w:tcBorders>
              <w:top w:val="nil"/>
              <w:left w:val="nil"/>
              <w:bottom w:val="nil"/>
              <w:right w:val="nil"/>
            </w:tcBorders>
            <w:shd w:val="clear" w:color="000000" w:fill="BFBFBF"/>
            <w:noWrap/>
            <w:vAlign w:val="bottom"/>
            <w:hideMark/>
          </w:tcPr>
          <w:p w14:paraId="63489629" w14:textId="77777777" w:rsidR="00BB4E21" w:rsidRDefault="00BB4E21" w:rsidP="00056603">
            <w:pPr>
              <w:spacing w:after="0" w:line="240" w:lineRule="auto"/>
              <w:rPr>
                <w:rFonts w:ascii="Arial" w:eastAsia="Times New Roman" w:hAnsi="Arial" w:cs="Arial"/>
              </w:rPr>
            </w:pPr>
            <w:r>
              <w:rPr>
                <w:rFonts w:ascii="Arial" w:eastAsia="Times New Roman" w:hAnsi="Arial" w:cs="Arial"/>
              </w:rPr>
              <w:t>Slope</w:t>
            </w:r>
          </w:p>
        </w:tc>
        <w:tc>
          <w:tcPr>
            <w:tcW w:w="1240" w:type="dxa"/>
            <w:tcBorders>
              <w:top w:val="nil"/>
              <w:left w:val="nil"/>
              <w:bottom w:val="nil"/>
              <w:right w:val="nil"/>
            </w:tcBorders>
            <w:shd w:val="clear" w:color="000000" w:fill="D9D9D9"/>
            <w:noWrap/>
            <w:vAlign w:val="bottom"/>
            <w:hideMark/>
          </w:tcPr>
          <w:p w14:paraId="72B588A5"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-0.04</w:t>
            </w:r>
          </w:p>
        </w:tc>
        <w:tc>
          <w:tcPr>
            <w:tcW w:w="500" w:type="dxa"/>
            <w:tcBorders>
              <w:top w:val="nil"/>
              <w:left w:val="nil"/>
              <w:bottom w:val="nil"/>
              <w:right w:val="nil"/>
            </w:tcBorders>
            <w:shd w:val="clear" w:color="000000" w:fill="D9D9D9"/>
            <w:noWrap/>
            <w:vAlign w:val="bottom"/>
            <w:hideMark/>
          </w:tcPr>
          <w:p w14:paraId="39481568"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0.42</w:t>
            </w:r>
          </w:p>
        </w:tc>
        <w:tc>
          <w:tcPr>
            <w:tcW w:w="1060" w:type="dxa"/>
            <w:tcBorders>
              <w:top w:val="nil"/>
              <w:left w:val="nil"/>
              <w:bottom w:val="nil"/>
              <w:right w:val="nil"/>
            </w:tcBorders>
            <w:shd w:val="clear" w:color="000000" w:fill="D9D9D9"/>
            <w:noWrap/>
            <w:vAlign w:val="bottom"/>
            <w:hideMark/>
          </w:tcPr>
          <w:p w14:paraId="1D6A0D2D"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-1.39</w:t>
            </w:r>
          </w:p>
        </w:tc>
        <w:tc>
          <w:tcPr>
            <w:tcW w:w="1060" w:type="dxa"/>
            <w:tcBorders>
              <w:top w:val="nil"/>
              <w:left w:val="nil"/>
              <w:bottom w:val="nil"/>
              <w:right w:val="nil"/>
            </w:tcBorders>
            <w:shd w:val="clear" w:color="000000" w:fill="D9D9D9"/>
            <w:noWrap/>
            <w:vAlign w:val="bottom"/>
            <w:hideMark/>
          </w:tcPr>
          <w:p w14:paraId="08883B63"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1.30</w:t>
            </w:r>
          </w:p>
        </w:tc>
      </w:tr>
      <w:tr w:rsidR="00BB4E21" w14:paraId="7D29983C" w14:textId="77777777" w:rsidTr="00056603">
        <w:trPr>
          <w:trHeight w:val="240"/>
        </w:trPr>
        <w:tc>
          <w:tcPr>
            <w:tcW w:w="1380" w:type="dxa"/>
            <w:tcBorders>
              <w:top w:val="nil"/>
              <w:left w:val="nil"/>
              <w:bottom w:val="nil"/>
              <w:right w:val="nil"/>
            </w:tcBorders>
            <w:noWrap/>
            <w:vAlign w:val="bottom"/>
            <w:hideMark/>
          </w:tcPr>
          <w:p w14:paraId="55925D61" w14:textId="77777777" w:rsidR="00BB4E21" w:rsidRDefault="00BB4E21" w:rsidP="00056603">
            <w:pPr>
              <w:spacing w:after="0" w:line="240" w:lineRule="auto"/>
              <w:rPr>
                <w:rFonts w:ascii="Arial" w:eastAsia="Times New Roman" w:hAnsi="Arial" w:cs="Arial"/>
                <w:color w:val="000000"/>
              </w:rPr>
            </w:pPr>
          </w:p>
        </w:tc>
        <w:tc>
          <w:tcPr>
            <w:tcW w:w="1240" w:type="dxa"/>
            <w:tcBorders>
              <w:top w:val="nil"/>
              <w:left w:val="nil"/>
              <w:bottom w:val="nil"/>
              <w:right w:val="nil"/>
            </w:tcBorders>
            <w:noWrap/>
            <w:vAlign w:val="bottom"/>
            <w:hideMark/>
          </w:tcPr>
          <w:p w14:paraId="6B1526AE" w14:textId="77777777" w:rsidR="00BB4E21" w:rsidRDefault="00BB4E21" w:rsidP="00056603">
            <w:pPr>
              <w:spacing w:after="0" w:line="240" w:lineRule="auto"/>
              <w:rPr>
                <w:rFonts w:ascii="Arial" w:eastAsia="Times New Roman" w:hAnsi="Arial" w:cs="Arial"/>
                <w:color w:val="000000"/>
              </w:rPr>
            </w:pPr>
          </w:p>
        </w:tc>
        <w:tc>
          <w:tcPr>
            <w:tcW w:w="500" w:type="dxa"/>
            <w:tcBorders>
              <w:top w:val="nil"/>
              <w:left w:val="nil"/>
              <w:bottom w:val="nil"/>
              <w:right w:val="nil"/>
            </w:tcBorders>
            <w:noWrap/>
            <w:vAlign w:val="bottom"/>
            <w:hideMark/>
          </w:tcPr>
          <w:p w14:paraId="2579D640" w14:textId="77777777" w:rsidR="00BB4E21" w:rsidRDefault="00BB4E21" w:rsidP="00056603">
            <w:pPr>
              <w:spacing w:after="0" w:line="240" w:lineRule="auto"/>
              <w:rPr>
                <w:rFonts w:ascii="Arial" w:eastAsia="Times New Roman" w:hAnsi="Arial" w:cs="Arial"/>
                <w:color w:val="000000"/>
              </w:rPr>
            </w:pPr>
          </w:p>
        </w:tc>
        <w:tc>
          <w:tcPr>
            <w:tcW w:w="1060" w:type="dxa"/>
            <w:tcBorders>
              <w:top w:val="nil"/>
              <w:left w:val="nil"/>
              <w:bottom w:val="nil"/>
              <w:right w:val="nil"/>
            </w:tcBorders>
            <w:noWrap/>
            <w:vAlign w:val="bottom"/>
            <w:hideMark/>
          </w:tcPr>
          <w:p w14:paraId="4E1D2499" w14:textId="77777777" w:rsidR="00BB4E21" w:rsidRDefault="00BB4E21" w:rsidP="00056603">
            <w:pPr>
              <w:spacing w:after="0" w:line="240" w:lineRule="auto"/>
              <w:rPr>
                <w:rFonts w:ascii="Arial" w:eastAsia="Times New Roman" w:hAnsi="Arial" w:cs="Arial"/>
                <w:color w:val="000000"/>
              </w:rPr>
            </w:pPr>
          </w:p>
        </w:tc>
        <w:tc>
          <w:tcPr>
            <w:tcW w:w="1060" w:type="dxa"/>
            <w:tcBorders>
              <w:top w:val="nil"/>
              <w:left w:val="nil"/>
              <w:bottom w:val="nil"/>
              <w:right w:val="nil"/>
            </w:tcBorders>
            <w:noWrap/>
            <w:vAlign w:val="bottom"/>
            <w:hideMark/>
          </w:tcPr>
          <w:p w14:paraId="4F11E922" w14:textId="77777777" w:rsidR="00BB4E21" w:rsidRDefault="00BB4E21" w:rsidP="00056603">
            <w:pPr>
              <w:spacing w:after="0" w:line="240" w:lineRule="auto"/>
              <w:rPr>
                <w:rFonts w:ascii="Arial" w:eastAsia="Times New Roman" w:hAnsi="Arial" w:cs="Arial"/>
                <w:color w:val="000000"/>
              </w:rPr>
            </w:pPr>
          </w:p>
        </w:tc>
      </w:tr>
      <w:tr w:rsidR="00BB4E21" w14:paraId="03521E32" w14:textId="77777777" w:rsidTr="00056603">
        <w:trPr>
          <w:trHeight w:val="240"/>
        </w:trPr>
        <w:tc>
          <w:tcPr>
            <w:tcW w:w="1380" w:type="dxa"/>
            <w:tcBorders>
              <w:top w:val="nil"/>
              <w:left w:val="nil"/>
              <w:bottom w:val="nil"/>
              <w:right w:val="nil"/>
            </w:tcBorders>
            <w:shd w:val="clear" w:color="000000" w:fill="BFBFBF"/>
            <w:noWrap/>
            <w:vAlign w:val="bottom"/>
            <w:hideMark/>
          </w:tcPr>
          <w:p w14:paraId="3FC242AA" w14:textId="77777777" w:rsidR="00BB4E21" w:rsidRDefault="00BB4E21" w:rsidP="00056603">
            <w:pPr>
              <w:spacing w:after="0" w:line="240" w:lineRule="auto"/>
              <w:rPr>
                <w:rFonts w:ascii="Arial" w:eastAsia="Times New Roman" w:hAnsi="Arial" w:cs="Arial"/>
              </w:rPr>
            </w:pPr>
            <w:r>
              <w:rPr>
                <w:rFonts w:ascii="Arial" w:eastAsia="Times New Roman" w:hAnsi="Arial" w:cs="Arial"/>
              </w:rPr>
              <w:t>t test</w:t>
            </w:r>
          </w:p>
        </w:tc>
        <w:tc>
          <w:tcPr>
            <w:tcW w:w="1240" w:type="dxa"/>
            <w:tcBorders>
              <w:top w:val="nil"/>
              <w:left w:val="nil"/>
              <w:bottom w:val="nil"/>
              <w:right w:val="nil"/>
            </w:tcBorders>
            <w:shd w:val="clear" w:color="000000" w:fill="D9D9D9"/>
            <w:noWrap/>
            <w:vAlign w:val="bottom"/>
            <w:hideMark/>
          </w:tcPr>
          <w:p w14:paraId="1A8439D2"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-3.59</w:t>
            </w:r>
          </w:p>
        </w:tc>
        <w:tc>
          <w:tcPr>
            <w:tcW w:w="500" w:type="dxa"/>
            <w:tcBorders>
              <w:top w:val="nil"/>
              <w:left w:val="nil"/>
              <w:bottom w:val="nil"/>
              <w:right w:val="nil"/>
            </w:tcBorders>
            <w:noWrap/>
            <w:vAlign w:val="bottom"/>
            <w:hideMark/>
          </w:tcPr>
          <w:p w14:paraId="5DAADA65" w14:textId="77777777" w:rsidR="00BB4E21" w:rsidRDefault="00BB4E21" w:rsidP="00056603">
            <w:pPr>
              <w:spacing w:after="0" w:line="240" w:lineRule="auto"/>
              <w:rPr>
                <w:rFonts w:ascii="Arial" w:eastAsia="Times New Roman" w:hAnsi="Arial" w:cs="Arial"/>
                <w:color w:val="000000"/>
              </w:rPr>
            </w:pPr>
          </w:p>
        </w:tc>
        <w:tc>
          <w:tcPr>
            <w:tcW w:w="1060" w:type="dxa"/>
            <w:tcBorders>
              <w:top w:val="nil"/>
              <w:left w:val="nil"/>
              <w:bottom w:val="nil"/>
              <w:right w:val="nil"/>
            </w:tcBorders>
            <w:noWrap/>
            <w:vAlign w:val="bottom"/>
            <w:hideMark/>
          </w:tcPr>
          <w:p w14:paraId="7E893BDD" w14:textId="77777777" w:rsidR="00BB4E21" w:rsidRDefault="00BB4E21" w:rsidP="00056603">
            <w:pPr>
              <w:spacing w:after="0" w:line="240" w:lineRule="auto"/>
              <w:rPr>
                <w:rFonts w:ascii="Arial" w:eastAsia="Times New Roman" w:hAnsi="Arial" w:cs="Arial"/>
                <w:color w:val="000000"/>
              </w:rPr>
            </w:pPr>
          </w:p>
        </w:tc>
        <w:tc>
          <w:tcPr>
            <w:tcW w:w="1060" w:type="dxa"/>
            <w:tcBorders>
              <w:top w:val="nil"/>
              <w:left w:val="nil"/>
              <w:bottom w:val="nil"/>
              <w:right w:val="nil"/>
            </w:tcBorders>
            <w:noWrap/>
            <w:vAlign w:val="bottom"/>
            <w:hideMark/>
          </w:tcPr>
          <w:p w14:paraId="71CA920E" w14:textId="77777777" w:rsidR="00BB4E21" w:rsidRDefault="00BB4E21" w:rsidP="00056603">
            <w:pPr>
              <w:spacing w:after="0" w:line="240" w:lineRule="auto"/>
              <w:rPr>
                <w:rFonts w:ascii="Arial" w:eastAsia="Times New Roman" w:hAnsi="Arial" w:cs="Arial"/>
                <w:color w:val="000000"/>
              </w:rPr>
            </w:pPr>
          </w:p>
        </w:tc>
      </w:tr>
      <w:tr w:rsidR="00BB4E21" w14:paraId="0DDA76D6" w14:textId="77777777" w:rsidTr="00056603">
        <w:trPr>
          <w:trHeight w:val="240"/>
        </w:trPr>
        <w:tc>
          <w:tcPr>
            <w:tcW w:w="1380" w:type="dxa"/>
            <w:tcBorders>
              <w:top w:val="nil"/>
              <w:left w:val="nil"/>
              <w:bottom w:val="nil"/>
              <w:right w:val="nil"/>
            </w:tcBorders>
            <w:shd w:val="clear" w:color="000000" w:fill="BFBFBF"/>
            <w:noWrap/>
            <w:vAlign w:val="bottom"/>
            <w:hideMark/>
          </w:tcPr>
          <w:p w14:paraId="005D286E" w14:textId="77777777" w:rsidR="00BB4E21" w:rsidRDefault="00BB4E21" w:rsidP="00056603">
            <w:pPr>
              <w:spacing w:after="0" w:line="240" w:lineRule="auto"/>
              <w:rPr>
                <w:rFonts w:ascii="Arial" w:eastAsia="Times New Roman" w:hAnsi="Arial" w:cs="Arial"/>
              </w:rPr>
            </w:pPr>
            <w:r>
              <w:rPr>
                <w:rFonts w:ascii="Arial" w:eastAsia="Times New Roman" w:hAnsi="Arial" w:cs="Arial"/>
              </w:rPr>
              <w:t>p-value</w:t>
            </w:r>
          </w:p>
        </w:tc>
        <w:tc>
          <w:tcPr>
            <w:tcW w:w="1240" w:type="dxa"/>
            <w:tcBorders>
              <w:top w:val="nil"/>
              <w:left w:val="nil"/>
              <w:bottom w:val="nil"/>
              <w:right w:val="nil"/>
            </w:tcBorders>
            <w:shd w:val="clear" w:color="000000" w:fill="D9D9D9"/>
            <w:noWrap/>
            <w:vAlign w:val="bottom"/>
            <w:hideMark/>
          </w:tcPr>
          <w:p w14:paraId="10E4A349"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0.070</w:t>
            </w:r>
          </w:p>
        </w:tc>
        <w:tc>
          <w:tcPr>
            <w:tcW w:w="500" w:type="dxa"/>
            <w:tcBorders>
              <w:top w:val="nil"/>
              <w:left w:val="nil"/>
              <w:bottom w:val="nil"/>
              <w:right w:val="nil"/>
            </w:tcBorders>
            <w:noWrap/>
            <w:vAlign w:val="bottom"/>
            <w:hideMark/>
          </w:tcPr>
          <w:p w14:paraId="2E58EF26" w14:textId="77777777" w:rsidR="00BB4E21" w:rsidRDefault="00BB4E21" w:rsidP="00056603">
            <w:pPr>
              <w:spacing w:after="0" w:line="240" w:lineRule="auto"/>
              <w:rPr>
                <w:rFonts w:ascii="Arial" w:eastAsia="Times New Roman" w:hAnsi="Arial" w:cs="Arial"/>
                <w:color w:val="000000"/>
              </w:rPr>
            </w:pPr>
          </w:p>
        </w:tc>
        <w:tc>
          <w:tcPr>
            <w:tcW w:w="1060" w:type="dxa"/>
            <w:tcBorders>
              <w:top w:val="nil"/>
              <w:left w:val="nil"/>
              <w:bottom w:val="nil"/>
              <w:right w:val="nil"/>
            </w:tcBorders>
            <w:noWrap/>
            <w:vAlign w:val="bottom"/>
            <w:hideMark/>
          </w:tcPr>
          <w:p w14:paraId="24DB40E6" w14:textId="77777777" w:rsidR="00BB4E21" w:rsidRDefault="00BB4E21" w:rsidP="00056603">
            <w:pPr>
              <w:spacing w:after="0" w:line="240" w:lineRule="auto"/>
              <w:rPr>
                <w:rFonts w:ascii="Arial" w:eastAsia="Times New Roman" w:hAnsi="Arial" w:cs="Arial"/>
                <w:color w:val="000000"/>
              </w:rPr>
            </w:pPr>
          </w:p>
        </w:tc>
        <w:tc>
          <w:tcPr>
            <w:tcW w:w="1060" w:type="dxa"/>
            <w:tcBorders>
              <w:top w:val="nil"/>
              <w:left w:val="nil"/>
              <w:bottom w:val="nil"/>
              <w:right w:val="nil"/>
            </w:tcBorders>
            <w:noWrap/>
            <w:vAlign w:val="bottom"/>
            <w:hideMark/>
          </w:tcPr>
          <w:p w14:paraId="0A5584F6" w14:textId="77777777" w:rsidR="00BB4E21" w:rsidRDefault="00BB4E21" w:rsidP="00056603">
            <w:pPr>
              <w:spacing w:after="0" w:line="240" w:lineRule="auto"/>
              <w:rPr>
                <w:rFonts w:ascii="Arial" w:eastAsia="Times New Roman" w:hAnsi="Arial" w:cs="Arial"/>
                <w:color w:val="000000"/>
              </w:rPr>
            </w:pPr>
          </w:p>
        </w:tc>
      </w:tr>
    </w:tbl>
    <w:p w14:paraId="110D9C54" w14:textId="77777777" w:rsidR="00BB4E21" w:rsidRDefault="00BB4E21" w:rsidP="00BB4E21">
      <w:pPr>
        <w:spacing w:after="0" w:line="480" w:lineRule="auto"/>
        <w:ind w:right="-810"/>
        <w:rPr>
          <w:rFonts w:ascii="Times New Roman" w:hAnsi="Times New Roman" w:cs="Times New Roman"/>
          <w:b/>
        </w:rPr>
      </w:pPr>
    </w:p>
    <w:p w14:paraId="5232F8EA" w14:textId="77777777" w:rsidR="00BB4E21" w:rsidRDefault="00BB4E21" w:rsidP="00BB4E21">
      <w:pPr>
        <w:rPr>
          <w:rFonts w:ascii="Times New Roman" w:hAnsi="Times New Roman" w:cs="Times New Roman"/>
          <w:b/>
        </w:rPr>
      </w:pPr>
      <w:r>
        <w:rPr>
          <w:rFonts w:ascii="Times New Roman" w:hAnsi="Times New Roman" w:cs="Times New Roman"/>
          <w:b/>
        </w:rPr>
        <w:br w:type="page"/>
      </w:r>
    </w:p>
    <w:p w14:paraId="0883FDE8" w14:textId="77777777" w:rsidR="00BB4E21" w:rsidRDefault="00BB4E21" w:rsidP="00BB4E21">
      <w:pPr>
        <w:spacing w:after="0" w:line="480" w:lineRule="auto"/>
        <w:ind w:right="-810"/>
        <w:rPr>
          <w:rFonts w:ascii="Times New Roman" w:hAnsi="Times New Roman" w:cs="Times New Roman"/>
          <w:b/>
        </w:rPr>
      </w:pPr>
      <w:r>
        <w:rPr>
          <w:rFonts w:ascii="Times New Roman" w:hAnsi="Times New Roman" w:cs="Times New Roman"/>
          <w:b/>
        </w:rPr>
        <w:lastRenderedPageBreak/>
        <w:t>I) Permanent Pacemaker Implantation</w:t>
      </w:r>
    </w:p>
    <w:p w14:paraId="4AB0590A" w14:textId="77777777" w:rsidR="00BB4E21" w:rsidRDefault="00BB4E21" w:rsidP="00BB4E21">
      <w:pPr>
        <w:spacing w:after="0" w:line="480" w:lineRule="auto"/>
        <w:ind w:right="-810"/>
        <w:rPr>
          <w:rFonts w:ascii="Times New Roman" w:hAnsi="Times New Roman" w:cs="Times New Roman"/>
          <w:b/>
        </w:rPr>
      </w:pPr>
    </w:p>
    <w:p w14:paraId="6A54B177" w14:textId="77777777" w:rsidR="00BB4E21" w:rsidRDefault="00BB4E21" w:rsidP="00BB4E21">
      <w:pPr>
        <w:spacing w:after="0" w:line="480" w:lineRule="auto"/>
        <w:ind w:right="-810"/>
        <w:rPr>
          <w:rFonts w:ascii="Times New Roman" w:hAnsi="Times New Roman" w:cs="Times New Roman"/>
          <w:b/>
        </w:rPr>
      </w:pPr>
      <w:r>
        <w:rPr>
          <w:rFonts w:ascii="Times New Roman" w:hAnsi="Times New Roman" w:cs="Times New Roman"/>
          <w:b/>
          <w:noProof/>
        </w:rPr>
        <w:drawing>
          <wp:inline distT="0" distB="0" distL="0" distR="0" wp14:anchorId="4A57F8F8" wp14:editId="2BF723F4">
            <wp:extent cx="5029200" cy="3352800"/>
            <wp:effectExtent l="0" t="0" r="0" b="0"/>
            <wp:docPr id="126009457"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21"/>
                    <pic:cNvPicPr/>
                  </pic:nvPicPr>
                  <pic:blipFill>
                    <a:blip r:embed="rId34" cstate="print"/>
                    <a:srcRect/>
                    <a:stretch/>
                  </pic:blipFill>
                  <pic:spPr>
                    <a:xfrm>
                      <a:off x="0" y="0"/>
                      <a:ext cx="5029200" cy="3352800"/>
                    </a:xfrm>
                    <a:prstGeom prst="rect">
                      <a:avLst/>
                    </a:prstGeom>
                  </pic:spPr>
                </pic:pic>
              </a:graphicData>
            </a:graphic>
          </wp:inline>
        </w:drawing>
      </w:r>
    </w:p>
    <w:p w14:paraId="4E292475" w14:textId="77777777" w:rsidR="00BB4E21" w:rsidRDefault="00BB4E21" w:rsidP="00BB4E21">
      <w:pPr>
        <w:spacing w:after="0" w:line="480" w:lineRule="auto"/>
        <w:ind w:right="-810"/>
        <w:rPr>
          <w:rFonts w:ascii="Times New Roman" w:hAnsi="Times New Roman" w:cs="Times New Roman"/>
          <w:b/>
        </w:rPr>
      </w:pPr>
    </w:p>
    <w:tbl>
      <w:tblPr>
        <w:tblW w:w="5240" w:type="dxa"/>
        <w:tblInd w:w="93" w:type="dxa"/>
        <w:tblLook w:val="04A0" w:firstRow="1" w:lastRow="0" w:firstColumn="1" w:lastColumn="0" w:noHBand="0" w:noVBand="1"/>
      </w:tblPr>
      <w:tblGrid>
        <w:gridCol w:w="1380"/>
        <w:gridCol w:w="1240"/>
        <w:gridCol w:w="684"/>
        <w:gridCol w:w="1060"/>
        <w:gridCol w:w="1060"/>
      </w:tblGrid>
      <w:tr w:rsidR="00BB4E21" w14:paraId="0CB29900" w14:textId="77777777" w:rsidTr="00056603">
        <w:trPr>
          <w:trHeight w:val="240"/>
        </w:trPr>
        <w:tc>
          <w:tcPr>
            <w:tcW w:w="1380" w:type="dxa"/>
            <w:tcBorders>
              <w:top w:val="nil"/>
              <w:left w:val="nil"/>
              <w:bottom w:val="nil"/>
              <w:right w:val="nil"/>
            </w:tcBorders>
            <w:shd w:val="clear" w:color="000000" w:fill="BFBFBF"/>
            <w:noWrap/>
            <w:vAlign w:val="bottom"/>
            <w:hideMark/>
          </w:tcPr>
          <w:p w14:paraId="1B686A82" w14:textId="77777777" w:rsidR="00BB4E21" w:rsidRDefault="00BB4E21" w:rsidP="00056603">
            <w:pPr>
              <w:spacing w:after="0" w:line="240" w:lineRule="auto"/>
              <w:rPr>
                <w:rFonts w:ascii="Arial" w:eastAsia="Times New Roman" w:hAnsi="Arial" w:cs="Arial"/>
              </w:rPr>
            </w:pPr>
            <w:r>
              <w:rPr>
                <w:rFonts w:ascii="Arial" w:eastAsia="Times New Roman" w:hAnsi="Arial" w:cs="Arial"/>
              </w:rPr>
              <w:t> </w:t>
            </w:r>
          </w:p>
        </w:tc>
        <w:tc>
          <w:tcPr>
            <w:tcW w:w="1240" w:type="dxa"/>
            <w:tcBorders>
              <w:top w:val="nil"/>
              <w:left w:val="nil"/>
              <w:bottom w:val="nil"/>
              <w:right w:val="nil"/>
            </w:tcBorders>
            <w:shd w:val="clear" w:color="000000" w:fill="BFBFBF"/>
            <w:noWrap/>
            <w:vAlign w:val="bottom"/>
            <w:hideMark/>
          </w:tcPr>
          <w:p w14:paraId="0FCAB414" w14:textId="77777777" w:rsidR="00BB4E21" w:rsidRDefault="00BB4E21" w:rsidP="00056603">
            <w:pPr>
              <w:spacing w:after="0" w:line="240" w:lineRule="auto"/>
              <w:rPr>
                <w:rFonts w:ascii="Arial" w:eastAsia="Times New Roman" w:hAnsi="Arial" w:cs="Arial"/>
              </w:rPr>
            </w:pPr>
            <w:r>
              <w:rPr>
                <w:rFonts w:ascii="Arial" w:eastAsia="Times New Roman" w:hAnsi="Arial" w:cs="Arial"/>
              </w:rPr>
              <w:t>Estimate</w:t>
            </w:r>
          </w:p>
        </w:tc>
        <w:tc>
          <w:tcPr>
            <w:tcW w:w="500" w:type="dxa"/>
            <w:tcBorders>
              <w:top w:val="nil"/>
              <w:left w:val="nil"/>
              <w:bottom w:val="nil"/>
              <w:right w:val="nil"/>
            </w:tcBorders>
            <w:shd w:val="clear" w:color="000000" w:fill="BFBFBF"/>
            <w:noWrap/>
            <w:vAlign w:val="bottom"/>
            <w:hideMark/>
          </w:tcPr>
          <w:p w14:paraId="6E6B153E" w14:textId="77777777" w:rsidR="00BB4E21" w:rsidRDefault="00BB4E21" w:rsidP="00056603">
            <w:pPr>
              <w:spacing w:after="0" w:line="240" w:lineRule="auto"/>
              <w:rPr>
                <w:rFonts w:ascii="Arial" w:eastAsia="Times New Roman" w:hAnsi="Arial" w:cs="Arial"/>
              </w:rPr>
            </w:pPr>
            <w:r>
              <w:rPr>
                <w:rFonts w:ascii="Arial" w:eastAsia="Times New Roman" w:hAnsi="Arial" w:cs="Arial"/>
              </w:rPr>
              <w:t>SE</w:t>
            </w:r>
          </w:p>
        </w:tc>
        <w:tc>
          <w:tcPr>
            <w:tcW w:w="1060" w:type="dxa"/>
            <w:tcBorders>
              <w:top w:val="nil"/>
              <w:left w:val="nil"/>
              <w:bottom w:val="nil"/>
              <w:right w:val="nil"/>
            </w:tcBorders>
            <w:shd w:val="clear" w:color="000000" w:fill="BFBFBF"/>
            <w:noWrap/>
            <w:vAlign w:val="bottom"/>
            <w:hideMark/>
          </w:tcPr>
          <w:p w14:paraId="1D1ACB49" w14:textId="77777777" w:rsidR="00BB4E21" w:rsidRDefault="00BB4E21" w:rsidP="00056603">
            <w:pPr>
              <w:spacing w:after="0" w:line="240" w:lineRule="auto"/>
              <w:rPr>
                <w:rFonts w:ascii="Arial" w:eastAsia="Times New Roman" w:hAnsi="Arial" w:cs="Arial"/>
              </w:rPr>
            </w:pPr>
            <w:r>
              <w:rPr>
                <w:rFonts w:ascii="Arial" w:eastAsia="Times New Roman" w:hAnsi="Arial" w:cs="Arial"/>
              </w:rPr>
              <w:t>CI LL</w:t>
            </w:r>
          </w:p>
        </w:tc>
        <w:tc>
          <w:tcPr>
            <w:tcW w:w="1060" w:type="dxa"/>
            <w:tcBorders>
              <w:top w:val="nil"/>
              <w:left w:val="nil"/>
              <w:bottom w:val="nil"/>
              <w:right w:val="nil"/>
            </w:tcBorders>
            <w:shd w:val="clear" w:color="000000" w:fill="BFBFBF"/>
            <w:noWrap/>
            <w:vAlign w:val="bottom"/>
            <w:hideMark/>
          </w:tcPr>
          <w:p w14:paraId="27F56864" w14:textId="77777777" w:rsidR="00BB4E21" w:rsidRDefault="00BB4E21" w:rsidP="00056603">
            <w:pPr>
              <w:spacing w:after="0" w:line="240" w:lineRule="auto"/>
              <w:rPr>
                <w:rFonts w:ascii="Arial" w:eastAsia="Times New Roman" w:hAnsi="Arial" w:cs="Arial"/>
              </w:rPr>
            </w:pPr>
            <w:r>
              <w:rPr>
                <w:rFonts w:ascii="Arial" w:eastAsia="Times New Roman" w:hAnsi="Arial" w:cs="Arial"/>
              </w:rPr>
              <w:t>CI UL</w:t>
            </w:r>
          </w:p>
        </w:tc>
      </w:tr>
      <w:tr w:rsidR="00BB4E21" w14:paraId="4D869FDD" w14:textId="77777777" w:rsidTr="00056603">
        <w:trPr>
          <w:trHeight w:val="240"/>
        </w:trPr>
        <w:tc>
          <w:tcPr>
            <w:tcW w:w="1380" w:type="dxa"/>
            <w:tcBorders>
              <w:top w:val="nil"/>
              <w:left w:val="nil"/>
              <w:bottom w:val="nil"/>
              <w:right w:val="nil"/>
            </w:tcBorders>
            <w:shd w:val="clear" w:color="000000" w:fill="BFBFBF"/>
            <w:noWrap/>
            <w:vAlign w:val="bottom"/>
            <w:hideMark/>
          </w:tcPr>
          <w:p w14:paraId="3AA45238" w14:textId="77777777" w:rsidR="00BB4E21" w:rsidRDefault="00BB4E21" w:rsidP="00056603">
            <w:pPr>
              <w:spacing w:after="0" w:line="240" w:lineRule="auto"/>
              <w:rPr>
                <w:rFonts w:ascii="Arial" w:eastAsia="Times New Roman" w:hAnsi="Arial" w:cs="Arial"/>
              </w:rPr>
            </w:pPr>
            <w:r>
              <w:rPr>
                <w:rFonts w:ascii="Arial" w:eastAsia="Times New Roman" w:hAnsi="Arial" w:cs="Arial"/>
              </w:rPr>
              <w:t>Intercept</w:t>
            </w:r>
          </w:p>
        </w:tc>
        <w:tc>
          <w:tcPr>
            <w:tcW w:w="1240" w:type="dxa"/>
            <w:tcBorders>
              <w:top w:val="nil"/>
              <w:left w:val="nil"/>
              <w:bottom w:val="nil"/>
              <w:right w:val="nil"/>
            </w:tcBorders>
            <w:shd w:val="clear" w:color="000000" w:fill="D9D9D9"/>
            <w:noWrap/>
            <w:vAlign w:val="bottom"/>
            <w:hideMark/>
          </w:tcPr>
          <w:p w14:paraId="4CF2F12E"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11.33</w:t>
            </w:r>
          </w:p>
        </w:tc>
        <w:tc>
          <w:tcPr>
            <w:tcW w:w="500" w:type="dxa"/>
            <w:tcBorders>
              <w:top w:val="nil"/>
              <w:left w:val="nil"/>
              <w:bottom w:val="nil"/>
              <w:right w:val="nil"/>
            </w:tcBorders>
            <w:shd w:val="clear" w:color="000000" w:fill="D9D9D9"/>
            <w:noWrap/>
            <w:vAlign w:val="bottom"/>
            <w:hideMark/>
          </w:tcPr>
          <w:p w14:paraId="1F1B4C74"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4.31</w:t>
            </w:r>
          </w:p>
        </w:tc>
        <w:tc>
          <w:tcPr>
            <w:tcW w:w="1060" w:type="dxa"/>
            <w:tcBorders>
              <w:top w:val="nil"/>
              <w:left w:val="nil"/>
              <w:bottom w:val="nil"/>
              <w:right w:val="nil"/>
            </w:tcBorders>
            <w:shd w:val="clear" w:color="000000" w:fill="D9D9D9"/>
            <w:noWrap/>
            <w:vAlign w:val="bottom"/>
            <w:hideMark/>
          </w:tcPr>
          <w:p w14:paraId="7550B057"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-2.40</w:t>
            </w:r>
          </w:p>
        </w:tc>
        <w:tc>
          <w:tcPr>
            <w:tcW w:w="1060" w:type="dxa"/>
            <w:tcBorders>
              <w:top w:val="nil"/>
              <w:left w:val="nil"/>
              <w:bottom w:val="nil"/>
              <w:right w:val="nil"/>
            </w:tcBorders>
            <w:shd w:val="clear" w:color="000000" w:fill="D9D9D9"/>
            <w:noWrap/>
            <w:vAlign w:val="bottom"/>
            <w:hideMark/>
          </w:tcPr>
          <w:p w14:paraId="3389EE45"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25.06</w:t>
            </w:r>
          </w:p>
        </w:tc>
      </w:tr>
      <w:tr w:rsidR="00BB4E21" w14:paraId="0A7F4663" w14:textId="77777777" w:rsidTr="00056603">
        <w:trPr>
          <w:trHeight w:val="240"/>
        </w:trPr>
        <w:tc>
          <w:tcPr>
            <w:tcW w:w="1380" w:type="dxa"/>
            <w:tcBorders>
              <w:top w:val="nil"/>
              <w:left w:val="nil"/>
              <w:bottom w:val="nil"/>
              <w:right w:val="nil"/>
            </w:tcBorders>
            <w:shd w:val="clear" w:color="000000" w:fill="BFBFBF"/>
            <w:noWrap/>
            <w:vAlign w:val="bottom"/>
            <w:hideMark/>
          </w:tcPr>
          <w:p w14:paraId="40AFB01C" w14:textId="77777777" w:rsidR="00BB4E21" w:rsidRDefault="00BB4E21" w:rsidP="00056603">
            <w:pPr>
              <w:spacing w:after="0" w:line="240" w:lineRule="auto"/>
              <w:rPr>
                <w:rFonts w:ascii="Arial" w:eastAsia="Times New Roman" w:hAnsi="Arial" w:cs="Arial"/>
              </w:rPr>
            </w:pPr>
            <w:r>
              <w:rPr>
                <w:rFonts w:ascii="Arial" w:eastAsia="Times New Roman" w:hAnsi="Arial" w:cs="Arial"/>
              </w:rPr>
              <w:t>Slope</w:t>
            </w:r>
          </w:p>
        </w:tc>
        <w:tc>
          <w:tcPr>
            <w:tcW w:w="1240" w:type="dxa"/>
            <w:tcBorders>
              <w:top w:val="nil"/>
              <w:left w:val="nil"/>
              <w:bottom w:val="nil"/>
              <w:right w:val="nil"/>
            </w:tcBorders>
            <w:shd w:val="clear" w:color="000000" w:fill="D9D9D9"/>
            <w:noWrap/>
            <w:vAlign w:val="bottom"/>
            <w:hideMark/>
          </w:tcPr>
          <w:p w14:paraId="2F03FF4F"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-7.82</w:t>
            </w:r>
          </w:p>
        </w:tc>
        <w:tc>
          <w:tcPr>
            <w:tcW w:w="500" w:type="dxa"/>
            <w:tcBorders>
              <w:top w:val="nil"/>
              <w:left w:val="nil"/>
              <w:bottom w:val="nil"/>
              <w:right w:val="nil"/>
            </w:tcBorders>
            <w:shd w:val="clear" w:color="000000" w:fill="D9D9D9"/>
            <w:noWrap/>
            <w:vAlign w:val="bottom"/>
            <w:hideMark/>
          </w:tcPr>
          <w:p w14:paraId="47664B12"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3.57</w:t>
            </w:r>
          </w:p>
        </w:tc>
        <w:tc>
          <w:tcPr>
            <w:tcW w:w="1060" w:type="dxa"/>
            <w:tcBorders>
              <w:top w:val="nil"/>
              <w:left w:val="nil"/>
              <w:bottom w:val="nil"/>
              <w:right w:val="nil"/>
            </w:tcBorders>
            <w:shd w:val="clear" w:color="000000" w:fill="D9D9D9"/>
            <w:noWrap/>
            <w:vAlign w:val="bottom"/>
            <w:hideMark/>
          </w:tcPr>
          <w:p w14:paraId="3A5AD56B"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-19.19</w:t>
            </w:r>
          </w:p>
        </w:tc>
        <w:tc>
          <w:tcPr>
            <w:tcW w:w="1060" w:type="dxa"/>
            <w:tcBorders>
              <w:top w:val="nil"/>
              <w:left w:val="nil"/>
              <w:bottom w:val="nil"/>
              <w:right w:val="nil"/>
            </w:tcBorders>
            <w:shd w:val="clear" w:color="000000" w:fill="D9D9D9"/>
            <w:noWrap/>
            <w:vAlign w:val="bottom"/>
            <w:hideMark/>
          </w:tcPr>
          <w:p w14:paraId="49BA4895"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3.55</w:t>
            </w:r>
          </w:p>
        </w:tc>
      </w:tr>
      <w:tr w:rsidR="00BB4E21" w14:paraId="7117CD56" w14:textId="77777777" w:rsidTr="00056603">
        <w:trPr>
          <w:trHeight w:val="240"/>
        </w:trPr>
        <w:tc>
          <w:tcPr>
            <w:tcW w:w="1380" w:type="dxa"/>
            <w:tcBorders>
              <w:top w:val="nil"/>
              <w:left w:val="nil"/>
              <w:bottom w:val="nil"/>
              <w:right w:val="nil"/>
            </w:tcBorders>
            <w:noWrap/>
            <w:vAlign w:val="bottom"/>
            <w:hideMark/>
          </w:tcPr>
          <w:p w14:paraId="4FBBF7AA" w14:textId="77777777" w:rsidR="00BB4E21" w:rsidRDefault="00BB4E21" w:rsidP="00056603">
            <w:pPr>
              <w:spacing w:after="0" w:line="240" w:lineRule="auto"/>
              <w:rPr>
                <w:rFonts w:ascii="Arial" w:eastAsia="Times New Roman" w:hAnsi="Arial" w:cs="Arial"/>
                <w:color w:val="000000"/>
              </w:rPr>
            </w:pPr>
          </w:p>
        </w:tc>
        <w:tc>
          <w:tcPr>
            <w:tcW w:w="1240" w:type="dxa"/>
            <w:tcBorders>
              <w:top w:val="nil"/>
              <w:left w:val="nil"/>
              <w:bottom w:val="nil"/>
              <w:right w:val="nil"/>
            </w:tcBorders>
            <w:noWrap/>
            <w:vAlign w:val="bottom"/>
            <w:hideMark/>
          </w:tcPr>
          <w:p w14:paraId="79191B55" w14:textId="77777777" w:rsidR="00BB4E21" w:rsidRDefault="00BB4E21" w:rsidP="00056603">
            <w:pPr>
              <w:spacing w:after="0" w:line="240" w:lineRule="auto"/>
              <w:rPr>
                <w:rFonts w:ascii="Arial" w:eastAsia="Times New Roman" w:hAnsi="Arial" w:cs="Arial"/>
                <w:color w:val="000000"/>
              </w:rPr>
            </w:pPr>
          </w:p>
        </w:tc>
        <w:tc>
          <w:tcPr>
            <w:tcW w:w="500" w:type="dxa"/>
            <w:tcBorders>
              <w:top w:val="nil"/>
              <w:left w:val="nil"/>
              <w:bottom w:val="nil"/>
              <w:right w:val="nil"/>
            </w:tcBorders>
            <w:noWrap/>
            <w:vAlign w:val="bottom"/>
            <w:hideMark/>
          </w:tcPr>
          <w:p w14:paraId="533A7F45" w14:textId="77777777" w:rsidR="00BB4E21" w:rsidRDefault="00BB4E21" w:rsidP="00056603">
            <w:pPr>
              <w:spacing w:after="0" w:line="240" w:lineRule="auto"/>
              <w:rPr>
                <w:rFonts w:ascii="Arial" w:eastAsia="Times New Roman" w:hAnsi="Arial" w:cs="Arial"/>
                <w:color w:val="000000"/>
              </w:rPr>
            </w:pPr>
          </w:p>
        </w:tc>
        <w:tc>
          <w:tcPr>
            <w:tcW w:w="1060" w:type="dxa"/>
            <w:tcBorders>
              <w:top w:val="nil"/>
              <w:left w:val="nil"/>
              <w:bottom w:val="nil"/>
              <w:right w:val="nil"/>
            </w:tcBorders>
            <w:noWrap/>
            <w:vAlign w:val="bottom"/>
            <w:hideMark/>
          </w:tcPr>
          <w:p w14:paraId="0631496B" w14:textId="77777777" w:rsidR="00BB4E21" w:rsidRDefault="00BB4E21" w:rsidP="00056603">
            <w:pPr>
              <w:spacing w:after="0" w:line="240" w:lineRule="auto"/>
              <w:rPr>
                <w:rFonts w:ascii="Arial" w:eastAsia="Times New Roman" w:hAnsi="Arial" w:cs="Arial"/>
                <w:color w:val="000000"/>
              </w:rPr>
            </w:pPr>
          </w:p>
        </w:tc>
        <w:tc>
          <w:tcPr>
            <w:tcW w:w="1060" w:type="dxa"/>
            <w:tcBorders>
              <w:top w:val="nil"/>
              <w:left w:val="nil"/>
              <w:bottom w:val="nil"/>
              <w:right w:val="nil"/>
            </w:tcBorders>
            <w:noWrap/>
            <w:vAlign w:val="bottom"/>
            <w:hideMark/>
          </w:tcPr>
          <w:p w14:paraId="2BDA4F0F" w14:textId="77777777" w:rsidR="00BB4E21" w:rsidRDefault="00BB4E21" w:rsidP="00056603">
            <w:pPr>
              <w:spacing w:after="0" w:line="240" w:lineRule="auto"/>
              <w:rPr>
                <w:rFonts w:ascii="Arial" w:eastAsia="Times New Roman" w:hAnsi="Arial" w:cs="Arial"/>
                <w:color w:val="000000"/>
              </w:rPr>
            </w:pPr>
          </w:p>
        </w:tc>
      </w:tr>
      <w:tr w:rsidR="00BB4E21" w14:paraId="62B69DA3" w14:textId="77777777" w:rsidTr="00056603">
        <w:trPr>
          <w:trHeight w:val="240"/>
        </w:trPr>
        <w:tc>
          <w:tcPr>
            <w:tcW w:w="1380" w:type="dxa"/>
            <w:tcBorders>
              <w:top w:val="nil"/>
              <w:left w:val="nil"/>
              <w:bottom w:val="nil"/>
              <w:right w:val="nil"/>
            </w:tcBorders>
            <w:shd w:val="clear" w:color="000000" w:fill="BFBFBF"/>
            <w:noWrap/>
            <w:vAlign w:val="bottom"/>
            <w:hideMark/>
          </w:tcPr>
          <w:p w14:paraId="392D42BF" w14:textId="77777777" w:rsidR="00BB4E21" w:rsidRDefault="00BB4E21" w:rsidP="00056603">
            <w:pPr>
              <w:spacing w:after="0" w:line="240" w:lineRule="auto"/>
              <w:rPr>
                <w:rFonts w:ascii="Arial" w:eastAsia="Times New Roman" w:hAnsi="Arial" w:cs="Arial"/>
              </w:rPr>
            </w:pPr>
            <w:r>
              <w:rPr>
                <w:rFonts w:ascii="Arial" w:eastAsia="Times New Roman" w:hAnsi="Arial" w:cs="Arial"/>
              </w:rPr>
              <w:t>t test</w:t>
            </w:r>
          </w:p>
        </w:tc>
        <w:tc>
          <w:tcPr>
            <w:tcW w:w="1240" w:type="dxa"/>
            <w:tcBorders>
              <w:top w:val="nil"/>
              <w:left w:val="nil"/>
              <w:bottom w:val="nil"/>
              <w:right w:val="nil"/>
            </w:tcBorders>
            <w:shd w:val="clear" w:color="000000" w:fill="D9D9D9"/>
            <w:noWrap/>
            <w:vAlign w:val="bottom"/>
            <w:hideMark/>
          </w:tcPr>
          <w:p w14:paraId="18665F73"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2.63</w:t>
            </w:r>
          </w:p>
        </w:tc>
        <w:tc>
          <w:tcPr>
            <w:tcW w:w="500" w:type="dxa"/>
            <w:tcBorders>
              <w:top w:val="nil"/>
              <w:left w:val="nil"/>
              <w:bottom w:val="nil"/>
              <w:right w:val="nil"/>
            </w:tcBorders>
            <w:noWrap/>
            <w:vAlign w:val="bottom"/>
            <w:hideMark/>
          </w:tcPr>
          <w:p w14:paraId="2A686BE3" w14:textId="77777777" w:rsidR="00BB4E21" w:rsidRDefault="00BB4E21" w:rsidP="00056603">
            <w:pPr>
              <w:spacing w:after="0" w:line="240" w:lineRule="auto"/>
              <w:rPr>
                <w:rFonts w:ascii="Arial" w:eastAsia="Times New Roman" w:hAnsi="Arial" w:cs="Arial"/>
                <w:color w:val="000000"/>
              </w:rPr>
            </w:pPr>
          </w:p>
        </w:tc>
        <w:tc>
          <w:tcPr>
            <w:tcW w:w="1060" w:type="dxa"/>
            <w:tcBorders>
              <w:top w:val="nil"/>
              <w:left w:val="nil"/>
              <w:bottom w:val="nil"/>
              <w:right w:val="nil"/>
            </w:tcBorders>
            <w:noWrap/>
            <w:vAlign w:val="bottom"/>
            <w:hideMark/>
          </w:tcPr>
          <w:p w14:paraId="02FFA448" w14:textId="77777777" w:rsidR="00BB4E21" w:rsidRDefault="00BB4E21" w:rsidP="00056603">
            <w:pPr>
              <w:spacing w:after="0" w:line="240" w:lineRule="auto"/>
              <w:rPr>
                <w:rFonts w:ascii="Arial" w:eastAsia="Times New Roman" w:hAnsi="Arial" w:cs="Arial"/>
                <w:color w:val="000000"/>
              </w:rPr>
            </w:pPr>
          </w:p>
        </w:tc>
        <w:tc>
          <w:tcPr>
            <w:tcW w:w="1060" w:type="dxa"/>
            <w:tcBorders>
              <w:top w:val="nil"/>
              <w:left w:val="nil"/>
              <w:bottom w:val="nil"/>
              <w:right w:val="nil"/>
            </w:tcBorders>
            <w:noWrap/>
            <w:vAlign w:val="bottom"/>
            <w:hideMark/>
          </w:tcPr>
          <w:p w14:paraId="244E1634" w14:textId="77777777" w:rsidR="00BB4E21" w:rsidRDefault="00BB4E21" w:rsidP="00056603">
            <w:pPr>
              <w:spacing w:after="0" w:line="240" w:lineRule="auto"/>
              <w:rPr>
                <w:rFonts w:ascii="Arial" w:eastAsia="Times New Roman" w:hAnsi="Arial" w:cs="Arial"/>
                <w:color w:val="000000"/>
              </w:rPr>
            </w:pPr>
          </w:p>
        </w:tc>
      </w:tr>
      <w:tr w:rsidR="00BB4E21" w14:paraId="526D782C" w14:textId="77777777" w:rsidTr="00056603">
        <w:trPr>
          <w:trHeight w:val="240"/>
        </w:trPr>
        <w:tc>
          <w:tcPr>
            <w:tcW w:w="1380" w:type="dxa"/>
            <w:tcBorders>
              <w:top w:val="nil"/>
              <w:left w:val="nil"/>
              <w:bottom w:val="nil"/>
              <w:right w:val="nil"/>
            </w:tcBorders>
            <w:shd w:val="clear" w:color="000000" w:fill="BFBFBF"/>
            <w:noWrap/>
            <w:vAlign w:val="bottom"/>
            <w:hideMark/>
          </w:tcPr>
          <w:p w14:paraId="12CA5168" w14:textId="77777777" w:rsidR="00BB4E21" w:rsidRDefault="00BB4E21" w:rsidP="00056603">
            <w:pPr>
              <w:spacing w:after="0" w:line="240" w:lineRule="auto"/>
              <w:rPr>
                <w:rFonts w:ascii="Arial" w:eastAsia="Times New Roman" w:hAnsi="Arial" w:cs="Arial"/>
              </w:rPr>
            </w:pPr>
            <w:r>
              <w:rPr>
                <w:rFonts w:ascii="Arial" w:eastAsia="Times New Roman" w:hAnsi="Arial" w:cs="Arial"/>
              </w:rPr>
              <w:t>p-value</w:t>
            </w:r>
          </w:p>
        </w:tc>
        <w:tc>
          <w:tcPr>
            <w:tcW w:w="1240" w:type="dxa"/>
            <w:tcBorders>
              <w:top w:val="nil"/>
              <w:left w:val="nil"/>
              <w:bottom w:val="nil"/>
              <w:right w:val="nil"/>
            </w:tcBorders>
            <w:shd w:val="clear" w:color="000000" w:fill="D9D9D9"/>
            <w:noWrap/>
            <w:vAlign w:val="bottom"/>
            <w:hideMark/>
          </w:tcPr>
          <w:p w14:paraId="76A1B86D"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0.120</w:t>
            </w:r>
          </w:p>
        </w:tc>
        <w:tc>
          <w:tcPr>
            <w:tcW w:w="500" w:type="dxa"/>
            <w:tcBorders>
              <w:top w:val="nil"/>
              <w:left w:val="nil"/>
              <w:bottom w:val="nil"/>
              <w:right w:val="nil"/>
            </w:tcBorders>
            <w:noWrap/>
            <w:vAlign w:val="bottom"/>
            <w:hideMark/>
          </w:tcPr>
          <w:p w14:paraId="352D2FE6" w14:textId="77777777" w:rsidR="00BB4E21" w:rsidRDefault="00BB4E21" w:rsidP="00056603">
            <w:pPr>
              <w:spacing w:after="0" w:line="240" w:lineRule="auto"/>
              <w:rPr>
                <w:rFonts w:ascii="Arial" w:eastAsia="Times New Roman" w:hAnsi="Arial" w:cs="Arial"/>
                <w:color w:val="000000"/>
              </w:rPr>
            </w:pPr>
          </w:p>
        </w:tc>
        <w:tc>
          <w:tcPr>
            <w:tcW w:w="1060" w:type="dxa"/>
            <w:tcBorders>
              <w:top w:val="nil"/>
              <w:left w:val="nil"/>
              <w:bottom w:val="nil"/>
              <w:right w:val="nil"/>
            </w:tcBorders>
            <w:noWrap/>
            <w:vAlign w:val="bottom"/>
            <w:hideMark/>
          </w:tcPr>
          <w:p w14:paraId="21935F9A" w14:textId="77777777" w:rsidR="00BB4E21" w:rsidRDefault="00BB4E21" w:rsidP="00056603">
            <w:pPr>
              <w:spacing w:after="0" w:line="240" w:lineRule="auto"/>
              <w:rPr>
                <w:rFonts w:ascii="Arial" w:eastAsia="Times New Roman" w:hAnsi="Arial" w:cs="Arial"/>
                <w:color w:val="000000"/>
              </w:rPr>
            </w:pPr>
          </w:p>
        </w:tc>
        <w:tc>
          <w:tcPr>
            <w:tcW w:w="1060" w:type="dxa"/>
            <w:tcBorders>
              <w:top w:val="nil"/>
              <w:left w:val="nil"/>
              <w:bottom w:val="nil"/>
              <w:right w:val="nil"/>
            </w:tcBorders>
            <w:noWrap/>
            <w:vAlign w:val="bottom"/>
            <w:hideMark/>
          </w:tcPr>
          <w:p w14:paraId="2DC750A4" w14:textId="77777777" w:rsidR="00BB4E21" w:rsidRDefault="00BB4E21" w:rsidP="00056603">
            <w:pPr>
              <w:spacing w:after="0" w:line="240" w:lineRule="auto"/>
              <w:rPr>
                <w:rFonts w:ascii="Arial" w:eastAsia="Times New Roman" w:hAnsi="Arial" w:cs="Arial"/>
                <w:color w:val="000000"/>
              </w:rPr>
            </w:pPr>
          </w:p>
        </w:tc>
      </w:tr>
    </w:tbl>
    <w:p w14:paraId="4CA80C98" w14:textId="77777777" w:rsidR="00BB4E21" w:rsidRDefault="00BB4E21" w:rsidP="00BB4E21">
      <w:pPr>
        <w:spacing w:after="0" w:line="480" w:lineRule="auto"/>
        <w:ind w:right="-810"/>
        <w:rPr>
          <w:rFonts w:ascii="Times New Roman" w:hAnsi="Times New Roman" w:cs="Times New Roman"/>
          <w:b/>
        </w:rPr>
      </w:pPr>
    </w:p>
    <w:p w14:paraId="65F8108A" w14:textId="77777777" w:rsidR="00BB4E21" w:rsidRDefault="00BB4E21" w:rsidP="00BB4E21">
      <w:pPr>
        <w:rPr>
          <w:rFonts w:ascii="Times New Roman" w:hAnsi="Times New Roman" w:cs="Times New Roman"/>
          <w:b/>
        </w:rPr>
      </w:pPr>
      <w:r>
        <w:rPr>
          <w:rFonts w:ascii="Times New Roman" w:hAnsi="Times New Roman" w:cs="Times New Roman"/>
          <w:b/>
        </w:rPr>
        <w:br w:type="page"/>
      </w:r>
    </w:p>
    <w:p w14:paraId="789F587E" w14:textId="77777777" w:rsidR="00BB4E21" w:rsidRDefault="00BB4E21" w:rsidP="00BB4E21">
      <w:pPr>
        <w:spacing w:after="0" w:line="480" w:lineRule="auto"/>
        <w:ind w:right="-810"/>
        <w:rPr>
          <w:rFonts w:ascii="Times New Roman" w:hAnsi="Times New Roman" w:cs="Times New Roman"/>
          <w:b/>
        </w:rPr>
      </w:pPr>
      <w:r>
        <w:rPr>
          <w:rFonts w:ascii="Times New Roman" w:hAnsi="Times New Roman" w:cs="Times New Roman"/>
          <w:b/>
        </w:rPr>
        <w:lastRenderedPageBreak/>
        <w:t>J) Moderate/Severe PVL</w:t>
      </w:r>
    </w:p>
    <w:p w14:paraId="1412DC3A" w14:textId="77777777" w:rsidR="00BB4E21" w:rsidRDefault="00BB4E21" w:rsidP="00BB4E21">
      <w:pPr>
        <w:spacing w:after="0" w:line="480" w:lineRule="auto"/>
        <w:ind w:right="-810"/>
        <w:rPr>
          <w:rFonts w:ascii="Times New Roman" w:hAnsi="Times New Roman" w:cs="Times New Roman"/>
          <w:b/>
        </w:rPr>
      </w:pPr>
    </w:p>
    <w:p w14:paraId="329759B0" w14:textId="77777777" w:rsidR="00BB4E21" w:rsidRDefault="00BB4E21" w:rsidP="00BB4E21">
      <w:pPr>
        <w:spacing w:after="0" w:line="480" w:lineRule="auto"/>
        <w:ind w:right="-810"/>
        <w:rPr>
          <w:rFonts w:ascii="Times New Roman" w:hAnsi="Times New Roman" w:cs="Times New Roman"/>
          <w:b/>
        </w:rPr>
      </w:pPr>
      <w:r>
        <w:rPr>
          <w:rFonts w:ascii="Times New Roman" w:hAnsi="Times New Roman" w:cs="Times New Roman"/>
          <w:b/>
          <w:noProof/>
        </w:rPr>
        <w:drawing>
          <wp:inline distT="0" distB="0" distL="0" distR="0" wp14:anchorId="432B03A9" wp14:editId="643830D3">
            <wp:extent cx="5029200" cy="3352800"/>
            <wp:effectExtent l="0" t="0" r="0" b="0"/>
            <wp:docPr id="1035"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22"/>
                    <pic:cNvPicPr/>
                  </pic:nvPicPr>
                  <pic:blipFill>
                    <a:blip r:embed="rId35" cstate="print"/>
                    <a:srcRect/>
                    <a:stretch/>
                  </pic:blipFill>
                  <pic:spPr>
                    <a:xfrm>
                      <a:off x="0" y="0"/>
                      <a:ext cx="5029200" cy="3352800"/>
                    </a:xfrm>
                    <a:prstGeom prst="rect">
                      <a:avLst/>
                    </a:prstGeom>
                  </pic:spPr>
                </pic:pic>
              </a:graphicData>
            </a:graphic>
          </wp:inline>
        </w:drawing>
      </w:r>
    </w:p>
    <w:p w14:paraId="73588CC0" w14:textId="77777777" w:rsidR="00BB4E21" w:rsidRDefault="00BB4E21" w:rsidP="00BB4E21">
      <w:pPr>
        <w:spacing w:after="0" w:line="480" w:lineRule="auto"/>
        <w:ind w:right="-810"/>
        <w:rPr>
          <w:rFonts w:ascii="Times New Roman" w:hAnsi="Times New Roman" w:cs="Times New Roman"/>
          <w:b/>
        </w:rPr>
      </w:pPr>
    </w:p>
    <w:tbl>
      <w:tblPr>
        <w:tblW w:w="5320" w:type="dxa"/>
        <w:tblInd w:w="108" w:type="dxa"/>
        <w:tblLook w:val="04A0" w:firstRow="1" w:lastRow="0" w:firstColumn="1" w:lastColumn="0" w:noHBand="0" w:noVBand="1"/>
      </w:tblPr>
      <w:tblGrid>
        <w:gridCol w:w="1396"/>
        <w:gridCol w:w="1256"/>
        <w:gridCol w:w="684"/>
        <w:gridCol w:w="1076"/>
        <w:gridCol w:w="1076"/>
      </w:tblGrid>
      <w:tr w:rsidR="00BB4E21" w14:paraId="30511CC0" w14:textId="77777777" w:rsidTr="00056603">
        <w:trPr>
          <w:trHeight w:val="240"/>
        </w:trPr>
        <w:tc>
          <w:tcPr>
            <w:tcW w:w="1396" w:type="dxa"/>
            <w:tcBorders>
              <w:top w:val="nil"/>
              <w:left w:val="nil"/>
              <w:bottom w:val="nil"/>
              <w:right w:val="nil"/>
            </w:tcBorders>
            <w:shd w:val="clear" w:color="000000" w:fill="BFBFBF"/>
            <w:noWrap/>
            <w:vAlign w:val="bottom"/>
            <w:hideMark/>
          </w:tcPr>
          <w:p w14:paraId="271C9D75" w14:textId="77777777" w:rsidR="00BB4E21" w:rsidRDefault="00BB4E21" w:rsidP="00056603">
            <w:pPr>
              <w:spacing w:after="0" w:line="240" w:lineRule="auto"/>
              <w:rPr>
                <w:rFonts w:ascii="Arial" w:eastAsia="Times New Roman" w:hAnsi="Arial" w:cs="Arial"/>
              </w:rPr>
            </w:pPr>
            <w:r>
              <w:rPr>
                <w:rFonts w:ascii="Arial" w:eastAsia="Times New Roman" w:hAnsi="Arial" w:cs="Arial"/>
              </w:rPr>
              <w:t> </w:t>
            </w:r>
          </w:p>
        </w:tc>
        <w:tc>
          <w:tcPr>
            <w:tcW w:w="1256" w:type="dxa"/>
            <w:tcBorders>
              <w:top w:val="nil"/>
              <w:left w:val="nil"/>
              <w:bottom w:val="nil"/>
              <w:right w:val="nil"/>
            </w:tcBorders>
            <w:shd w:val="clear" w:color="000000" w:fill="BFBFBF"/>
            <w:noWrap/>
            <w:vAlign w:val="bottom"/>
            <w:hideMark/>
          </w:tcPr>
          <w:p w14:paraId="0FD16726" w14:textId="77777777" w:rsidR="00BB4E21" w:rsidRDefault="00BB4E21" w:rsidP="00056603">
            <w:pPr>
              <w:spacing w:after="0" w:line="240" w:lineRule="auto"/>
              <w:rPr>
                <w:rFonts w:ascii="Arial" w:eastAsia="Times New Roman" w:hAnsi="Arial" w:cs="Arial"/>
              </w:rPr>
            </w:pPr>
            <w:r>
              <w:rPr>
                <w:rFonts w:ascii="Arial" w:eastAsia="Times New Roman" w:hAnsi="Arial" w:cs="Arial"/>
              </w:rPr>
              <w:t>Estimate</w:t>
            </w:r>
          </w:p>
        </w:tc>
        <w:tc>
          <w:tcPr>
            <w:tcW w:w="516" w:type="dxa"/>
            <w:tcBorders>
              <w:top w:val="nil"/>
              <w:left w:val="nil"/>
              <w:bottom w:val="nil"/>
              <w:right w:val="nil"/>
            </w:tcBorders>
            <w:shd w:val="clear" w:color="000000" w:fill="BFBFBF"/>
            <w:noWrap/>
            <w:vAlign w:val="bottom"/>
            <w:hideMark/>
          </w:tcPr>
          <w:p w14:paraId="6F6EE7E1" w14:textId="77777777" w:rsidR="00BB4E21" w:rsidRDefault="00BB4E21" w:rsidP="00056603">
            <w:pPr>
              <w:spacing w:after="0" w:line="240" w:lineRule="auto"/>
              <w:rPr>
                <w:rFonts w:ascii="Arial" w:eastAsia="Times New Roman" w:hAnsi="Arial" w:cs="Arial"/>
              </w:rPr>
            </w:pPr>
            <w:r>
              <w:rPr>
                <w:rFonts w:ascii="Arial" w:eastAsia="Times New Roman" w:hAnsi="Arial" w:cs="Arial"/>
              </w:rPr>
              <w:t>SE</w:t>
            </w:r>
          </w:p>
        </w:tc>
        <w:tc>
          <w:tcPr>
            <w:tcW w:w="1076" w:type="dxa"/>
            <w:tcBorders>
              <w:top w:val="nil"/>
              <w:left w:val="nil"/>
              <w:bottom w:val="nil"/>
              <w:right w:val="nil"/>
            </w:tcBorders>
            <w:shd w:val="clear" w:color="000000" w:fill="BFBFBF"/>
            <w:noWrap/>
            <w:vAlign w:val="bottom"/>
            <w:hideMark/>
          </w:tcPr>
          <w:p w14:paraId="0CC2A318" w14:textId="77777777" w:rsidR="00BB4E21" w:rsidRDefault="00BB4E21" w:rsidP="00056603">
            <w:pPr>
              <w:spacing w:after="0" w:line="240" w:lineRule="auto"/>
              <w:rPr>
                <w:rFonts w:ascii="Arial" w:eastAsia="Times New Roman" w:hAnsi="Arial" w:cs="Arial"/>
              </w:rPr>
            </w:pPr>
            <w:r>
              <w:rPr>
                <w:rFonts w:ascii="Arial" w:eastAsia="Times New Roman" w:hAnsi="Arial" w:cs="Arial"/>
              </w:rPr>
              <w:t>CI LL</w:t>
            </w:r>
          </w:p>
        </w:tc>
        <w:tc>
          <w:tcPr>
            <w:tcW w:w="1076" w:type="dxa"/>
            <w:tcBorders>
              <w:top w:val="nil"/>
              <w:left w:val="nil"/>
              <w:bottom w:val="nil"/>
              <w:right w:val="nil"/>
            </w:tcBorders>
            <w:shd w:val="clear" w:color="000000" w:fill="BFBFBF"/>
            <w:noWrap/>
            <w:vAlign w:val="bottom"/>
            <w:hideMark/>
          </w:tcPr>
          <w:p w14:paraId="21F7890B" w14:textId="77777777" w:rsidR="00BB4E21" w:rsidRDefault="00BB4E21" w:rsidP="00056603">
            <w:pPr>
              <w:spacing w:after="0" w:line="240" w:lineRule="auto"/>
              <w:rPr>
                <w:rFonts w:ascii="Arial" w:eastAsia="Times New Roman" w:hAnsi="Arial" w:cs="Arial"/>
              </w:rPr>
            </w:pPr>
            <w:r>
              <w:rPr>
                <w:rFonts w:ascii="Arial" w:eastAsia="Times New Roman" w:hAnsi="Arial" w:cs="Arial"/>
              </w:rPr>
              <w:t>CI UL</w:t>
            </w:r>
          </w:p>
        </w:tc>
      </w:tr>
      <w:tr w:rsidR="00BB4E21" w14:paraId="7E810E82" w14:textId="77777777" w:rsidTr="00056603">
        <w:trPr>
          <w:trHeight w:val="240"/>
        </w:trPr>
        <w:tc>
          <w:tcPr>
            <w:tcW w:w="1396" w:type="dxa"/>
            <w:tcBorders>
              <w:top w:val="nil"/>
              <w:left w:val="nil"/>
              <w:bottom w:val="nil"/>
              <w:right w:val="nil"/>
            </w:tcBorders>
            <w:shd w:val="clear" w:color="000000" w:fill="BFBFBF"/>
            <w:noWrap/>
            <w:vAlign w:val="bottom"/>
            <w:hideMark/>
          </w:tcPr>
          <w:p w14:paraId="32C8BC9B" w14:textId="77777777" w:rsidR="00BB4E21" w:rsidRDefault="00BB4E21" w:rsidP="00056603">
            <w:pPr>
              <w:spacing w:after="0" w:line="240" w:lineRule="auto"/>
              <w:rPr>
                <w:rFonts w:ascii="Arial" w:eastAsia="Times New Roman" w:hAnsi="Arial" w:cs="Arial"/>
              </w:rPr>
            </w:pPr>
            <w:r>
              <w:rPr>
                <w:rFonts w:ascii="Arial" w:eastAsia="Times New Roman" w:hAnsi="Arial" w:cs="Arial"/>
              </w:rPr>
              <w:t>Intercept</w:t>
            </w:r>
          </w:p>
        </w:tc>
        <w:tc>
          <w:tcPr>
            <w:tcW w:w="1256" w:type="dxa"/>
            <w:tcBorders>
              <w:top w:val="nil"/>
              <w:left w:val="nil"/>
              <w:bottom w:val="nil"/>
              <w:right w:val="nil"/>
            </w:tcBorders>
            <w:shd w:val="clear" w:color="000000" w:fill="D9D9D9"/>
            <w:noWrap/>
            <w:vAlign w:val="bottom"/>
            <w:hideMark/>
          </w:tcPr>
          <w:p w14:paraId="59F84B64"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0.62</w:t>
            </w:r>
          </w:p>
        </w:tc>
        <w:tc>
          <w:tcPr>
            <w:tcW w:w="516" w:type="dxa"/>
            <w:tcBorders>
              <w:top w:val="nil"/>
              <w:left w:val="nil"/>
              <w:bottom w:val="nil"/>
              <w:right w:val="nil"/>
            </w:tcBorders>
            <w:shd w:val="clear" w:color="000000" w:fill="D9D9D9"/>
            <w:noWrap/>
            <w:vAlign w:val="bottom"/>
            <w:hideMark/>
          </w:tcPr>
          <w:p w14:paraId="2571274D"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2.46</w:t>
            </w:r>
          </w:p>
        </w:tc>
        <w:tc>
          <w:tcPr>
            <w:tcW w:w="1076" w:type="dxa"/>
            <w:tcBorders>
              <w:top w:val="nil"/>
              <w:left w:val="nil"/>
              <w:bottom w:val="nil"/>
              <w:right w:val="nil"/>
            </w:tcBorders>
            <w:shd w:val="clear" w:color="000000" w:fill="D9D9D9"/>
            <w:noWrap/>
            <w:vAlign w:val="bottom"/>
            <w:hideMark/>
          </w:tcPr>
          <w:p w14:paraId="00FD8500"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-9.96</w:t>
            </w:r>
          </w:p>
        </w:tc>
        <w:tc>
          <w:tcPr>
            <w:tcW w:w="1076" w:type="dxa"/>
            <w:tcBorders>
              <w:top w:val="nil"/>
              <w:left w:val="nil"/>
              <w:bottom w:val="nil"/>
              <w:right w:val="nil"/>
            </w:tcBorders>
            <w:shd w:val="clear" w:color="000000" w:fill="D9D9D9"/>
            <w:noWrap/>
            <w:vAlign w:val="bottom"/>
            <w:hideMark/>
          </w:tcPr>
          <w:p w14:paraId="18E4042E"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11.20</w:t>
            </w:r>
          </w:p>
        </w:tc>
      </w:tr>
      <w:tr w:rsidR="00BB4E21" w14:paraId="500CBEC9" w14:textId="77777777" w:rsidTr="00056603">
        <w:trPr>
          <w:trHeight w:val="240"/>
        </w:trPr>
        <w:tc>
          <w:tcPr>
            <w:tcW w:w="1396" w:type="dxa"/>
            <w:tcBorders>
              <w:top w:val="nil"/>
              <w:left w:val="nil"/>
              <w:bottom w:val="nil"/>
              <w:right w:val="nil"/>
            </w:tcBorders>
            <w:shd w:val="clear" w:color="000000" w:fill="BFBFBF"/>
            <w:noWrap/>
            <w:vAlign w:val="bottom"/>
            <w:hideMark/>
          </w:tcPr>
          <w:p w14:paraId="3816869A" w14:textId="77777777" w:rsidR="00BB4E21" w:rsidRDefault="00BB4E21" w:rsidP="00056603">
            <w:pPr>
              <w:spacing w:after="0" w:line="240" w:lineRule="auto"/>
              <w:rPr>
                <w:rFonts w:ascii="Arial" w:eastAsia="Times New Roman" w:hAnsi="Arial" w:cs="Arial"/>
              </w:rPr>
            </w:pPr>
            <w:r>
              <w:rPr>
                <w:rFonts w:ascii="Arial" w:eastAsia="Times New Roman" w:hAnsi="Arial" w:cs="Arial"/>
              </w:rPr>
              <w:t>Slope</w:t>
            </w:r>
          </w:p>
        </w:tc>
        <w:tc>
          <w:tcPr>
            <w:tcW w:w="1256" w:type="dxa"/>
            <w:tcBorders>
              <w:top w:val="nil"/>
              <w:left w:val="nil"/>
              <w:bottom w:val="nil"/>
              <w:right w:val="nil"/>
            </w:tcBorders>
            <w:shd w:val="clear" w:color="000000" w:fill="D9D9D9"/>
            <w:noWrap/>
            <w:vAlign w:val="bottom"/>
            <w:hideMark/>
          </w:tcPr>
          <w:p w14:paraId="53369D6F"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0.47</w:t>
            </w:r>
          </w:p>
        </w:tc>
        <w:tc>
          <w:tcPr>
            <w:tcW w:w="516" w:type="dxa"/>
            <w:tcBorders>
              <w:top w:val="nil"/>
              <w:left w:val="nil"/>
              <w:bottom w:val="nil"/>
              <w:right w:val="nil"/>
            </w:tcBorders>
            <w:shd w:val="clear" w:color="000000" w:fill="D9D9D9"/>
            <w:noWrap/>
            <w:vAlign w:val="bottom"/>
            <w:hideMark/>
          </w:tcPr>
          <w:p w14:paraId="71427CD8"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1.44</w:t>
            </w:r>
          </w:p>
        </w:tc>
        <w:tc>
          <w:tcPr>
            <w:tcW w:w="1076" w:type="dxa"/>
            <w:tcBorders>
              <w:top w:val="nil"/>
              <w:left w:val="nil"/>
              <w:bottom w:val="nil"/>
              <w:right w:val="nil"/>
            </w:tcBorders>
            <w:shd w:val="clear" w:color="000000" w:fill="D9D9D9"/>
            <w:noWrap/>
            <w:vAlign w:val="bottom"/>
            <w:hideMark/>
          </w:tcPr>
          <w:p w14:paraId="1EBC5C4A"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-5.73</w:t>
            </w:r>
          </w:p>
        </w:tc>
        <w:tc>
          <w:tcPr>
            <w:tcW w:w="1076" w:type="dxa"/>
            <w:tcBorders>
              <w:top w:val="nil"/>
              <w:left w:val="nil"/>
              <w:bottom w:val="nil"/>
              <w:right w:val="nil"/>
            </w:tcBorders>
            <w:shd w:val="clear" w:color="000000" w:fill="D9D9D9"/>
            <w:noWrap/>
            <w:vAlign w:val="bottom"/>
            <w:hideMark/>
          </w:tcPr>
          <w:p w14:paraId="3B2D3310"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6.67</w:t>
            </w:r>
          </w:p>
        </w:tc>
      </w:tr>
      <w:tr w:rsidR="00BB4E21" w14:paraId="2BBA4E56" w14:textId="77777777" w:rsidTr="00056603">
        <w:trPr>
          <w:trHeight w:val="240"/>
        </w:trPr>
        <w:tc>
          <w:tcPr>
            <w:tcW w:w="1396" w:type="dxa"/>
            <w:tcBorders>
              <w:top w:val="nil"/>
              <w:left w:val="nil"/>
              <w:bottom w:val="nil"/>
              <w:right w:val="nil"/>
            </w:tcBorders>
            <w:noWrap/>
            <w:vAlign w:val="bottom"/>
            <w:hideMark/>
          </w:tcPr>
          <w:p w14:paraId="13FFF3EC" w14:textId="77777777" w:rsidR="00BB4E21" w:rsidRDefault="00BB4E21" w:rsidP="00056603">
            <w:pPr>
              <w:spacing w:after="0" w:line="240" w:lineRule="auto"/>
              <w:rPr>
                <w:rFonts w:ascii="Arial" w:eastAsia="Times New Roman" w:hAnsi="Arial" w:cs="Arial"/>
                <w:color w:val="000000"/>
              </w:rPr>
            </w:pPr>
          </w:p>
        </w:tc>
        <w:tc>
          <w:tcPr>
            <w:tcW w:w="1256" w:type="dxa"/>
            <w:tcBorders>
              <w:top w:val="nil"/>
              <w:left w:val="nil"/>
              <w:bottom w:val="nil"/>
              <w:right w:val="nil"/>
            </w:tcBorders>
            <w:noWrap/>
            <w:vAlign w:val="bottom"/>
            <w:hideMark/>
          </w:tcPr>
          <w:p w14:paraId="5D3D6279" w14:textId="77777777" w:rsidR="00BB4E21" w:rsidRDefault="00BB4E21" w:rsidP="00056603">
            <w:pPr>
              <w:spacing w:after="0" w:line="240" w:lineRule="auto"/>
              <w:rPr>
                <w:rFonts w:ascii="Arial" w:eastAsia="Times New Roman" w:hAnsi="Arial" w:cs="Arial"/>
                <w:color w:val="000000"/>
              </w:rPr>
            </w:pPr>
          </w:p>
        </w:tc>
        <w:tc>
          <w:tcPr>
            <w:tcW w:w="516" w:type="dxa"/>
            <w:tcBorders>
              <w:top w:val="nil"/>
              <w:left w:val="nil"/>
              <w:bottom w:val="nil"/>
              <w:right w:val="nil"/>
            </w:tcBorders>
            <w:noWrap/>
            <w:vAlign w:val="bottom"/>
            <w:hideMark/>
          </w:tcPr>
          <w:p w14:paraId="16F7AF93" w14:textId="77777777" w:rsidR="00BB4E21" w:rsidRDefault="00BB4E21" w:rsidP="00056603">
            <w:pPr>
              <w:spacing w:after="0" w:line="240" w:lineRule="auto"/>
              <w:rPr>
                <w:rFonts w:ascii="Arial" w:eastAsia="Times New Roman" w:hAnsi="Arial" w:cs="Arial"/>
                <w:color w:val="000000"/>
              </w:rPr>
            </w:pPr>
          </w:p>
        </w:tc>
        <w:tc>
          <w:tcPr>
            <w:tcW w:w="1076" w:type="dxa"/>
            <w:tcBorders>
              <w:top w:val="nil"/>
              <w:left w:val="nil"/>
              <w:bottom w:val="nil"/>
              <w:right w:val="nil"/>
            </w:tcBorders>
            <w:noWrap/>
            <w:vAlign w:val="bottom"/>
            <w:hideMark/>
          </w:tcPr>
          <w:p w14:paraId="3717584B" w14:textId="77777777" w:rsidR="00BB4E21" w:rsidRDefault="00BB4E21" w:rsidP="00056603">
            <w:pPr>
              <w:spacing w:after="0" w:line="240" w:lineRule="auto"/>
              <w:rPr>
                <w:rFonts w:ascii="Arial" w:eastAsia="Times New Roman" w:hAnsi="Arial" w:cs="Arial"/>
                <w:color w:val="000000"/>
              </w:rPr>
            </w:pPr>
          </w:p>
        </w:tc>
        <w:tc>
          <w:tcPr>
            <w:tcW w:w="1076" w:type="dxa"/>
            <w:tcBorders>
              <w:top w:val="nil"/>
              <w:left w:val="nil"/>
              <w:bottom w:val="nil"/>
              <w:right w:val="nil"/>
            </w:tcBorders>
            <w:noWrap/>
            <w:vAlign w:val="bottom"/>
            <w:hideMark/>
          </w:tcPr>
          <w:p w14:paraId="15A31070" w14:textId="77777777" w:rsidR="00BB4E21" w:rsidRDefault="00BB4E21" w:rsidP="00056603">
            <w:pPr>
              <w:spacing w:after="0" w:line="240" w:lineRule="auto"/>
              <w:rPr>
                <w:rFonts w:ascii="Arial" w:eastAsia="Times New Roman" w:hAnsi="Arial" w:cs="Arial"/>
                <w:color w:val="000000"/>
              </w:rPr>
            </w:pPr>
          </w:p>
        </w:tc>
      </w:tr>
      <w:tr w:rsidR="00BB4E21" w14:paraId="4A125CD3" w14:textId="77777777" w:rsidTr="00056603">
        <w:trPr>
          <w:trHeight w:val="240"/>
        </w:trPr>
        <w:tc>
          <w:tcPr>
            <w:tcW w:w="1396" w:type="dxa"/>
            <w:tcBorders>
              <w:top w:val="nil"/>
              <w:left w:val="nil"/>
              <w:bottom w:val="nil"/>
              <w:right w:val="nil"/>
            </w:tcBorders>
            <w:shd w:val="clear" w:color="000000" w:fill="BFBFBF"/>
            <w:noWrap/>
            <w:vAlign w:val="bottom"/>
            <w:hideMark/>
          </w:tcPr>
          <w:p w14:paraId="255C152E" w14:textId="77777777" w:rsidR="00BB4E21" w:rsidRDefault="00BB4E21" w:rsidP="00056603">
            <w:pPr>
              <w:spacing w:after="0" w:line="240" w:lineRule="auto"/>
              <w:rPr>
                <w:rFonts w:ascii="Arial" w:eastAsia="Times New Roman" w:hAnsi="Arial" w:cs="Arial"/>
              </w:rPr>
            </w:pPr>
            <w:r>
              <w:rPr>
                <w:rFonts w:ascii="Arial" w:eastAsia="Times New Roman" w:hAnsi="Arial" w:cs="Arial"/>
              </w:rPr>
              <w:t>t test</w:t>
            </w:r>
          </w:p>
        </w:tc>
        <w:tc>
          <w:tcPr>
            <w:tcW w:w="1256" w:type="dxa"/>
            <w:tcBorders>
              <w:top w:val="nil"/>
              <w:left w:val="nil"/>
              <w:bottom w:val="nil"/>
              <w:right w:val="nil"/>
            </w:tcBorders>
            <w:shd w:val="clear" w:color="000000" w:fill="D9D9D9"/>
            <w:noWrap/>
            <w:vAlign w:val="bottom"/>
            <w:hideMark/>
          </w:tcPr>
          <w:p w14:paraId="58A55AAE"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0.25</w:t>
            </w:r>
          </w:p>
        </w:tc>
        <w:tc>
          <w:tcPr>
            <w:tcW w:w="516" w:type="dxa"/>
            <w:tcBorders>
              <w:top w:val="nil"/>
              <w:left w:val="nil"/>
              <w:bottom w:val="nil"/>
              <w:right w:val="nil"/>
            </w:tcBorders>
            <w:noWrap/>
            <w:vAlign w:val="bottom"/>
            <w:hideMark/>
          </w:tcPr>
          <w:p w14:paraId="5A949E4D" w14:textId="77777777" w:rsidR="00BB4E21" w:rsidRDefault="00BB4E21" w:rsidP="00056603">
            <w:pPr>
              <w:spacing w:after="0" w:line="240" w:lineRule="auto"/>
              <w:rPr>
                <w:rFonts w:ascii="Arial" w:eastAsia="Times New Roman" w:hAnsi="Arial" w:cs="Arial"/>
                <w:color w:val="000000"/>
              </w:rPr>
            </w:pPr>
          </w:p>
        </w:tc>
        <w:tc>
          <w:tcPr>
            <w:tcW w:w="1076" w:type="dxa"/>
            <w:tcBorders>
              <w:top w:val="nil"/>
              <w:left w:val="nil"/>
              <w:bottom w:val="nil"/>
              <w:right w:val="nil"/>
            </w:tcBorders>
            <w:noWrap/>
            <w:vAlign w:val="bottom"/>
            <w:hideMark/>
          </w:tcPr>
          <w:p w14:paraId="1289C8B1" w14:textId="77777777" w:rsidR="00BB4E21" w:rsidRDefault="00BB4E21" w:rsidP="00056603">
            <w:pPr>
              <w:spacing w:after="0" w:line="240" w:lineRule="auto"/>
              <w:rPr>
                <w:rFonts w:ascii="Arial" w:eastAsia="Times New Roman" w:hAnsi="Arial" w:cs="Arial"/>
                <w:color w:val="000000"/>
              </w:rPr>
            </w:pPr>
          </w:p>
        </w:tc>
        <w:tc>
          <w:tcPr>
            <w:tcW w:w="1076" w:type="dxa"/>
            <w:tcBorders>
              <w:top w:val="nil"/>
              <w:left w:val="nil"/>
              <w:bottom w:val="nil"/>
              <w:right w:val="nil"/>
            </w:tcBorders>
            <w:noWrap/>
            <w:vAlign w:val="bottom"/>
            <w:hideMark/>
          </w:tcPr>
          <w:p w14:paraId="4AE4E42D" w14:textId="77777777" w:rsidR="00BB4E21" w:rsidRDefault="00BB4E21" w:rsidP="00056603">
            <w:pPr>
              <w:spacing w:after="0" w:line="240" w:lineRule="auto"/>
              <w:rPr>
                <w:rFonts w:ascii="Arial" w:eastAsia="Times New Roman" w:hAnsi="Arial" w:cs="Arial"/>
                <w:color w:val="000000"/>
              </w:rPr>
            </w:pPr>
          </w:p>
        </w:tc>
      </w:tr>
      <w:tr w:rsidR="00BB4E21" w14:paraId="33220308" w14:textId="77777777" w:rsidTr="00056603">
        <w:trPr>
          <w:trHeight w:val="240"/>
        </w:trPr>
        <w:tc>
          <w:tcPr>
            <w:tcW w:w="1396" w:type="dxa"/>
            <w:tcBorders>
              <w:top w:val="nil"/>
              <w:left w:val="nil"/>
              <w:bottom w:val="nil"/>
              <w:right w:val="nil"/>
            </w:tcBorders>
            <w:shd w:val="clear" w:color="000000" w:fill="BFBFBF"/>
            <w:noWrap/>
            <w:vAlign w:val="bottom"/>
            <w:hideMark/>
          </w:tcPr>
          <w:p w14:paraId="3D7FF99F" w14:textId="77777777" w:rsidR="00BB4E21" w:rsidRDefault="00BB4E21" w:rsidP="00056603">
            <w:pPr>
              <w:spacing w:after="0" w:line="240" w:lineRule="auto"/>
              <w:rPr>
                <w:rFonts w:ascii="Arial" w:eastAsia="Times New Roman" w:hAnsi="Arial" w:cs="Arial"/>
              </w:rPr>
            </w:pPr>
            <w:r>
              <w:rPr>
                <w:rFonts w:ascii="Arial" w:eastAsia="Times New Roman" w:hAnsi="Arial" w:cs="Arial"/>
              </w:rPr>
              <w:t>p-value</w:t>
            </w:r>
          </w:p>
        </w:tc>
        <w:tc>
          <w:tcPr>
            <w:tcW w:w="1256" w:type="dxa"/>
            <w:tcBorders>
              <w:top w:val="nil"/>
              <w:left w:val="nil"/>
              <w:bottom w:val="nil"/>
              <w:right w:val="nil"/>
            </w:tcBorders>
            <w:shd w:val="clear" w:color="000000" w:fill="D9D9D9"/>
            <w:noWrap/>
            <w:vAlign w:val="bottom"/>
            <w:hideMark/>
          </w:tcPr>
          <w:p w14:paraId="719822F9"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0.843</w:t>
            </w:r>
          </w:p>
        </w:tc>
        <w:tc>
          <w:tcPr>
            <w:tcW w:w="516" w:type="dxa"/>
            <w:tcBorders>
              <w:top w:val="nil"/>
              <w:left w:val="nil"/>
              <w:bottom w:val="nil"/>
              <w:right w:val="nil"/>
            </w:tcBorders>
            <w:noWrap/>
            <w:vAlign w:val="bottom"/>
            <w:hideMark/>
          </w:tcPr>
          <w:p w14:paraId="74829EF8" w14:textId="77777777" w:rsidR="00BB4E21" w:rsidRDefault="00BB4E21" w:rsidP="00056603">
            <w:pPr>
              <w:spacing w:after="0" w:line="240" w:lineRule="auto"/>
              <w:rPr>
                <w:rFonts w:ascii="Arial" w:eastAsia="Times New Roman" w:hAnsi="Arial" w:cs="Arial"/>
                <w:color w:val="000000"/>
              </w:rPr>
            </w:pPr>
          </w:p>
        </w:tc>
        <w:tc>
          <w:tcPr>
            <w:tcW w:w="1076" w:type="dxa"/>
            <w:tcBorders>
              <w:top w:val="nil"/>
              <w:left w:val="nil"/>
              <w:bottom w:val="nil"/>
              <w:right w:val="nil"/>
            </w:tcBorders>
            <w:noWrap/>
            <w:vAlign w:val="bottom"/>
            <w:hideMark/>
          </w:tcPr>
          <w:p w14:paraId="52197B51" w14:textId="77777777" w:rsidR="00BB4E21" w:rsidRDefault="00BB4E21" w:rsidP="00056603">
            <w:pPr>
              <w:spacing w:after="0" w:line="240" w:lineRule="auto"/>
              <w:rPr>
                <w:rFonts w:ascii="Arial" w:eastAsia="Times New Roman" w:hAnsi="Arial" w:cs="Arial"/>
                <w:color w:val="000000"/>
              </w:rPr>
            </w:pPr>
          </w:p>
        </w:tc>
        <w:tc>
          <w:tcPr>
            <w:tcW w:w="1076" w:type="dxa"/>
            <w:tcBorders>
              <w:top w:val="nil"/>
              <w:left w:val="nil"/>
              <w:bottom w:val="nil"/>
              <w:right w:val="nil"/>
            </w:tcBorders>
            <w:noWrap/>
            <w:vAlign w:val="bottom"/>
            <w:hideMark/>
          </w:tcPr>
          <w:p w14:paraId="369CA991" w14:textId="77777777" w:rsidR="00BB4E21" w:rsidRDefault="00BB4E21" w:rsidP="00056603">
            <w:pPr>
              <w:spacing w:after="0" w:line="240" w:lineRule="auto"/>
              <w:rPr>
                <w:rFonts w:ascii="Arial" w:eastAsia="Times New Roman" w:hAnsi="Arial" w:cs="Arial"/>
                <w:color w:val="000000"/>
              </w:rPr>
            </w:pPr>
          </w:p>
        </w:tc>
      </w:tr>
    </w:tbl>
    <w:p w14:paraId="3ADB1E34" w14:textId="77777777" w:rsidR="00BB4E21" w:rsidRDefault="00BB4E21" w:rsidP="00BB4E21">
      <w:pPr>
        <w:spacing w:after="0" w:line="480" w:lineRule="auto"/>
        <w:ind w:right="-810"/>
        <w:rPr>
          <w:rFonts w:ascii="Times New Roman" w:hAnsi="Times New Roman" w:cs="Times New Roman"/>
          <w:b/>
        </w:rPr>
      </w:pPr>
    </w:p>
    <w:p w14:paraId="032271A2" w14:textId="77777777" w:rsidR="00BB4E21" w:rsidRDefault="00BB4E21" w:rsidP="00BB4E21">
      <w:pPr>
        <w:rPr>
          <w:rFonts w:ascii="Times New Roman" w:hAnsi="Times New Roman" w:cs="Times New Roman"/>
          <w:b/>
        </w:rPr>
      </w:pPr>
      <w:r>
        <w:rPr>
          <w:rFonts w:ascii="Times New Roman" w:hAnsi="Times New Roman" w:cs="Times New Roman"/>
          <w:b/>
        </w:rPr>
        <w:br w:type="page"/>
      </w:r>
    </w:p>
    <w:p w14:paraId="5B6E04EE" w14:textId="77777777" w:rsidR="00BB4E21" w:rsidRDefault="00BB4E21" w:rsidP="00BB4E21">
      <w:pPr>
        <w:spacing w:after="0" w:line="480" w:lineRule="auto"/>
        <w:ind w:right="-810"/>
        <w:rPr>
          <w:rFonts w:ascii="Times New Roman" w:hAnsi="Times New Roman" w:cs="Times New Roman"/>
          <w:b/>
        </w:rPr>
      </w:pPr>
      <w:r>
        <w:rPr>
          <w:rFonts w:ascii="Times New Roman" w:hAnsi="Times New Roman" w:cs="Times New Roman"/>
          <w:b/>
        </w:rPr>
        <w:lastRenderedPageBreak/>
        <w:t>K) Major Vascular Complications</w:t>
      </w:r>
    </w:p>
    <w:p w14:paraId="26BFF755" w14:textId="77777777" w:rsidR="00BB4E21" w:rsidRDefault="00BB4E21" w:rsidP="00BB4E21">
      <w:pPr>
        <w:spacing w:after="0" w:line="480" w:lineRule="auto"/>
        <w:ind w:right="-810"/>
        <w:rPr>
          <w:rFonts w:ascii="Times New Roman" w:hAnsi="Times New Roman" w:cs="Times New Roman"/>
          <w:b/>
        </w:rPr>
      </w:pPr>
    </w:p>
    <w:p w14:paraId="2D802C55" w14:textId="77777777" w:rsidR="00BB4E21" w:rsidRDefault="00BB4E21" w:rsidP="00BB4E21">
      <w:pPr>
        <w:spacing w:after="0" w:line="480" w:lineRule="auto"/>
        <w:ind w:right="-810"/>
        <w:rPr>
          <w:rFonts w:ascii="Times New Roman" w:hAnsi="Times New Roman" w:cs="Times New Roman"/>
          <w:b/>
        </w:rPr>
      </w:pPr>
      <w:r>
        <w:rPr>
          <w:rFonts w:ascii="Times New Roman" w:hAnsi="Times New Roman" w:cs="Times New Roman"/>
          <w:b/>
          <w:noProof/>
        </w:rPr>
        <w:drawing>
          <wp:inline distT="0" distB="0" distL="0" distR="0" wp14:anchorId="5AB604F6" wp14:editId="13E94A4E">
            <wp:extent cx="5029200" cy="3352800"/>
            <wp:effectExtent l="0" t="0" r="0" b="0"/>
            <wp:docPr id="1036"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23"/>
                    <pic:cNvPicPr/>
                  </pic:nvPicPr>
                  <pic:blipFill>
                    <a:blip r:embed="rId36" cstate="print"/>
                    <a:srcRect/>
                    <a:stretch/>
                  </pic:blipFill>
                  <pic:spPr>
                    <a:xfrm>
                      <a:off x="0" y="0"/>
                      <a:ext cx="5029200" cy="3352800"/>
                    </a:xfrm>
                    <a:prstGeom prst="rect">
                      <a:avLst/>
                    </a:prstGeom>
                  </pic:spPr>
                </pic:pic>
              </a:graphicData>
            </a:graphic>
          </wp:inline>
        </w:drawing>
      </w:r>
    </w:p>
    <w:p w14:paraId="2931720D" w14:textId="77777777" w:rsidR="00BB4E21" w:rsidRDefault="00BB4E21" w:rsidP="00BB4E21">
      <w:pPr>
        <w:spacing w:after="0" w:line="480" w:lineRule="auto"/>
        <w:ind w:right="-810"/>
        <w:rPr>
          <w:rFonts w:ascii="Times New Roman" w:hAnsi="Times New Roman" w:cs="Times New Roman"/>
          <w:b/>
        </w:rPr>
      </w:pPr>
    </w:p>
    <w:tbl>
      <w:tblPr>
        <w:tblW w:w="5240" w:type="dxa"/>
        <w:tblInd w:w="93" w:type="dxa"/>
        <w:tblLook w:val="04A0" w:firstRow="1" w:lastRow="0" w:firstColumn="1" w:lastColumn="0" w:noHBand="0" w:noVBand="1"/>
      </w:tblPr>
      <w:tblGrid>
        <w:gridCol w:w="1380"/>
        <w:gridCol w:w="1240"/>
        <w:gridCol w:w="684"/>
        <w:gridCol w:w="1060"/>
        <w:gridCol w:w="1060"/>
      </w:tblGrid>
      <w:tr w:rsidR="00BB4E21" w14:paraId="332098DF" w14:textId="77777777" w:rsidTr="00056603">
        <w:trPr>
          <w:trHeight w:val="240"/>
        </w:trPr>
        <w:tc>
          <w:tcPr>
            <w:tcW w:w="1380" w:type="dxa"/>
            <w:tcBorders>
              <w:top w:val="nil"/>
              <w:left w:val="nil"/>
              <w:bottom w:val="nil"/>
              <w:right w:val="nil"/>
            </w:tcBorders>
            <w:shd w:val="clear" w:color="000000" w:fill="BFBFBF"/>
            <w:noWrap/>
            <w:vAlign w:val="bottom"/>
            <w:hideMark/>
          </w:tcPr>
          <w:p w14:paraId="68F126E6" w14:textId="77777777" w:rsidR="00BB4E21" w:rsidRDefault="00BB4E21" w:rsidP="00056603">
            <w:pPr>
              <w:spacing w:after="0" w:line="240" w:lineRule="auto"/>
              <w:rPr>
                <w:rFonts w:ascii="Arial" w:eastAsia="Times New Roman" w:hAnsi="Arial" w:cs="Arial"/>
              </w:rPr>
            </w:pPr>
            <w:r>
              <w:rPr>
                <w:rFonts w:ascii="Arial" w:eastAsia="Times New Roman" w:hAnsi="Arial" w:cs="Arial"/>
              </w:rPr>
              <w:t> </w:t>
            </w:r>
          </w:p>
        </w:tc>
        <w:tc>
          <w:tcPr>
            <w:tcW w:w="1240" w:type="dxa"/>
            <w:tcBorders>
              <w:top w:val="nil"/>
              <w:left w:val="nil"/>
              <w:bottom w:val="nil"/>
              <w:right w:val="nil"/>
            </w:tcBorders>
            <w:shd w:val="clear" w:color="000000" w:fill="BFBFBF"/>
            <w:noWrap/>
            <w:vAlign w:val="bottom"/>
            <w:hideMark/>
          </w:tcPr>
          <w:p w14:paraId="066E3F04" w14:textId="77777777" w:rsidR="00BB4E21" w:rsidRDefault="00BB4E21" w:rsidP="00056603">
            <w:pPr>
              <w:spacing w:after="0" w:line="240" w:lineRule="auto"/>
              <w:rPr>
                <w:rFonts w:ascii="Arial" w:eastAsia="Times New Roman" w:hAnsi="Arial" w:cs="Arial"/>
              </w:rPr>
            </w:pPr>
            <w:r>
              <w:rPr>
                <w:rFonts w:ascii="Arial" w:eastAsia="Times New Roman" w:hAnsi="Arial" w:cs="Arial"/>
              </w:rPr>
              <w:t>Estimate</w:t>
            </w:r>
          </w:p>
        </w:tc>
        <w:tc>
          <w:tcPr>
            <w:tcW w:w="500" w:type="dxa"/>
            <w:tcBorders>
              <w:top w:val="nil"/>
              <w:left w:val="nil"/>
              <w:bottom w:val="nil"/>
              <w:right w:val="nil"/>
            </w:tcBorders>
            <w:shd w:val="clear" w:color="000000" w:fill="BFBFBF"/>
            <w:noWrap/>
            <w:vAlign w:val="bottom"/>
            <w:hideMark/>
          </w:tcPr>
          <w:p w14:paraId="4E7440CA" w14:textId="77777777" w:rsidR="00BB4E21" w:rsidRDefault="00BB4E21" w:rsidP="00056603">
            <w:pPr>
              <w:spacing w:after="0" w:line="240" w:lineRule="auto"/>
              <w:rPr>
                <w:rFonts w:ascii="Arial" w:eastAsia="Times New Roman" w:hAnsi="Arial" w:cs="Arial"/>
              </w:rPr>
            </w:pPr>
            <w:r>
              <w:rPr>
                <w:rFonts w:ascii="Arial" w:eastAsia="Times New Roman" w:hAnsi="Arial" w:cs="Arial"/>
              </w:rPr>
              <w:t>SE</w:t>
            </w:r>
          </w:p>
        </w:tc>
        <w:tc>
          <w:tcPr>
            <w:tcW w:w="1060" w:type="dxa"/>
            <w:tcBorders>
              <w:top w:val="nil"/>
              <w:left w:val="nil"/>
              <w:bottom w:val="nil"/>
              <w:right w:val="nil"/>
            </w:tcBorders>
            <w:shd w:val="clear" w:color="000000" w:fill="BFBFBF"/>
            <w:noWrap/>
            <w:vAlign w:val="bottom"/>
            <w:hideMark/>
          </w:tcPr>
          <w:p w14:paraId="5CE65208" w14:textId="77777777" w:rsidR="00BB4E21" w:rsidRDefault="00BB4E21" w:rsidP="00056603">
            <w:pPr>
              <w:spacing w:after="0" w:line="240" w:lineRule="auto"/>
              <w:rPr>
                <w:rFonts w:ascii="Arial" w:eastAsia="Times New Roman" w:hAnsi="Arial" w:cs="Arial"/>
              </w:rPr>
            </w:pPr>
            <w:r>
              <w:rPr>
                <w:rFonts w:ascii="Arial" w:eastAsia="Times New Roman" w:hAnsi="Arial" w:cs="Arial"/>
              </w:rPr>
              <w:t>CI LL</w:t>
            </w:r>
          </w:p>
        </w:tc>
        <w:tc>
          <w:tcPr>
            <w:tcW w:w="1060" w:type="dxa"/>
            <w:tcBorders>
              <w:top w:val="nil"/>
              <w:left w:val="nil"/>
              <w:bottom w:val="nil"/>
              <w:right w:val="nil"/>
            </w:tcBorders>
            <w:shd w:val="clear" w:color="000000" w:fill="BFBFBF"/>
            <w:noWrap/>
            <w:vAlign w:val="bottom"/>
            <w:hideMark/>
          </w:tcPr>
          <w:p w14:paraId="0AE5F625" w14:textId="77777777" w:rsidR="00BB4E21" w:rsidRDefault="00BB4E21" w:rsidP="00056603">
            <w:pPr>
              <w:spacing w:after="0" w:line="240" w:lineRule="auto"/>
              <w:rPr>
                <w:rFonts w:ascii="Arial" w:eastAsia="Times New Roman" w:hAnsi="Arial" w:cs="Arial"/>
              </w:rPr>
            </w:pPr>
            <w:r>
              <w:rPr>
                <w:rFonts w:ascii="Arial" w:eastAsia="Times New Roman" w:hAnsi="Arial" w:cs="Arial"/>
              </w:rPr>
              <w:t>CI UL</w:t>
            </w:r>
          </w:p>
        </w:tc>
      </w:tr>
      <w:tr w:rsidR="00BB4E21" w14:paraId="59C77681" w14:textId="77777777" w:rsidTr="00056603">
        <w:trPr>
          <w:trHeight w:val="240"/>
        </w:trPr>
        <w:tc>
          <w:tcPr>
            <w:tcW w:w="1380" w:type="dxa"/>
            <w:tcBorders>
              <w:top w:val="nil"/>
              <w:left w:val="nil"/>
              <w:bottom w:val="nil"/>
              <w:right w:val="nil"/>
            </w:tcBorders>
            <w:shd w:val="clear" w:color="000000" w:fill="BFBFBF"/>
            <w:noWrap/>
            <w:vAlign w:val="bottom"/>
            <w:hideMark/>
          </w:tcPr>
          <w:p w14:paraId="04957C08" w14:textId="77777777" w:rsidR="00BB4E21" w:rsidRDefault="00BB4E21" w:rsidP="00056603">
            <w:pPr>
              <w:spacing w:after="0" w:line="240" w:lineRule="auto"/>
              <w:rPr>
                <w:rFonts w:ascii="Arial" w:eastAsia="Times New Roman" w:hAnsi="Arial" w:cs="Arial"/>
              </w:rPr>
            </w:pPr>
            <w:r>
              <w:rPr>
                <w:rFonts w:ascii="Arial" w:eastAsia="Times New Roman" w:hAnsi="Arial" w:cs="Arial"/>
              </w:rPr>
              <w:t>Intercept</w:t>
            </w:r>
          </w:p>
        </w:tc>
        <w:tc>
          <w:tcPr>
            <w:tcW w:w="1240" w:type="dxa"/>
            <w:tcBorders>
              <w:top w:val="nil"/>
              <w:left w:val="nil"/>
              <w:bottom w:val="nil"/>
              <w:right w:val="nil"/>
            </w:tcBorders>
            <w:shd w:val="clear" w:color="000000" w:fill="D9D9D9"/>
            <w:noWrap/>
            <w:vAlign w:val="bottom"/>
            <w:hideMark/>
          </w:tcPr>
          <w:p w14:paraId="75C3EA49"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2.03</w:t>
            </w:r>
          </w:p>
        </w:tc>
        <w:tc>
          <w:tcPr>
            <w:tcW w:w="500" w:type="dxa"/>
            <w:tcBorders>
              <w:top w:val="nil"/>
              <w:left w:val="nil"/>
              <w:bottom w:val="nil"/>
              <w:right w:val="nil"/>
            </w:tcBorders>
            <w:shd w:val="clear" w:color="000000" w:fill="D9D9D9"/>
            <w:noWrap/>
            <w:vAlign w:val="bottom"/>
            <w:hideMark/>
          </w:tcPr>
          <w:p w14:paraId="77FFF93D"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0.33</w:t>
            </w:r>
          </w:p>
        </w:tc>
        <w:tc>
          <w:tcPr>
            <w:tcW w:w="1060" w:type="dxa"/>
            <w:tcBorders>
              <w:top w:val="nil"/>
              <w:left w:val="nil"/>
              <w:bottom w:val="nil"/>
              <w:right w:val="nil"/>
            </w:tcBorders>
            <w:shd w:val="clear" w:color="000000" w:fill="D9D9D9"/>
            <w:noWrap/>
            <w:vAlign w:val="bottom"/>
            <w:hideMark/>
          </w:tcPr>
          <w:p w14:paraId="320989C7"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0.98</w:t>
            </w:r>
          </w:p>
        </w:tc>
        <w:tc>
          <w:tcPr>
            <w:tcW w:w="1060" w:type="dxa"/>
            <w:tcBorders>
              <w:top w:val="nil"/>
              <w:left w:val="nil"/>
              <w:bottom w:val="nil"/>
              <w:right w:val="nil"/>
            </w:tcBorders>
            <w:shd w:val="clear" w:color="000000" w:fill="D9D9D9"/>
            <w:noWrap/>
            <w:vAlign w:val="bottom"/>
            <w:hideMark/>
          </w:tcPr>
          <w:p w14:paraId="32F7716F"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3.07</w:t>
            </w:r>
          </w:p>
        </w:tc>
      </w:tr>
      <w:tr w:rsidR="00BB4E21" w14:paraId="1364A6F7" w14:textId="77777777" w:rsidTr="00056603">
        <w:trPr>
          <w:trHeight w:val="240"/>
        </w:trPr>
        <w:tc>
          <w:tcPr>
            <w:tcW w:w="1380" w:type="dxa"/>
            <w:tcBorders>
              <w:top w:val="nil"/>
              <w:left w:val="nil"/>
              <w:bottom w:val="nil"/>
              <w:right w:val="nil"/>
            </w:tcBorders>
            <w:shd w:val="clear" w:color="000000" w:fill="BFBFBF"/>
            <w:noWrap/>
            <w:vAlign w:val="bottom"/>
            <w:hideMark/>
          </w:tcPr>
          <w:p w14:paraId="541A2222" w14:textId="77777777" w:rsidR="00BB4E21" w:rsidRDefault="00BB4E21" w:rsidP="00056603">
            <w:pPr>
              <w:spacing w:after="0" w:line="240" w:lineRule="auto"/>
              <w:rPr>
                <w:rFonts w:ascii="Arial" w:eastAsia="Times New Roman" w:hAnsi="Arial" w:cs="Arial"/>
              </w:rPr>
            </w:pPr>
            <w:r>
              <w:rPr>
                <w:rFonts w:ascii="Arial" w:eastAsia="Times New Roman" w:hAnsi="Arial" w:cs="Arial"/>
              </w:rPr>
              <w:t>Slope</w:t>
            </w:r>
          </w:p>
        </w:tc>
        <w:tc>
          <w:tcPr>
            <w:tcW w:w="1240" w:type="dxa"/>
            <w:tcBorders>
              <w:top w:val="nil"/>
              <w:left w:val="nil"/>
              <w:bottom w:val="nil"/>
              <w:right w:val="nil"/>
            </w:tcBorders>
            <w:shd w:val="clear" w:color="000000" w:fill="D9D9D9"/>
            <w:noWrap/>
            <w:vAlign w:val="bottom"/>
            <w:hideMark/>
          </w:tcPr>
          <w:p w14:paraId="099C4214"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-0.44</w:t>
            </w:r>
          </w:p>
        </w:tc>
        <w:tc>
          <w:tcPr>
            <w:tcW w:w="500" w:type="dxa"/>
            <w:tcBorders>
              <w:top w:val="nil"/>
              <w:left w:val="nil"/>
              <w:bottom w:val="nil"/>
              <w:right w:val="nil"/>
            </w:tcBorders>
            <w:shd w:val="clear" w:color="000000" w:fill="D9D9D9"/>
            <w:noWrap/>
            <w:vAlign w:val="bottom"/>
            <w:hideMark/>
          </w:tcPr>
          <w:p w14:paraId="4A9FB6EE"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0.15</w:t>
            </w:r>
          </w:p>
        </w:tc>
        <w:tc>
          <w:tcPr>
            <w:tcW w:w="1060" w:type="dxa"/>
            <w:tcBorders>
              <w:top w:val="nil"/>
              <w:left w:val="nil"/>
              <w:bottom w:val="nil"/>
              <w:right w:val="nil"/>
            </w:tcBorders>
            <w:shd w:val="clear" w:color="000000" w:fill="D9D9D9"/>
            <w:noWrap/>
            <w:vAlign w:val="bottom"/>
            <w:hideMark/>
          </w:tcPr>
          <w:p w14:paraId="6C39B51B"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-0.91</w:t>
            </w:r>
          </w:p>
        </w:tc>
        <w:tc>
          <w:tcPr>
            <w:tcW w:w="1060" w:type="dxa"/>
            <w:tcBorders>
              <w:top w:val="nil"/>
              <w:left w:val="nil"/>
              <w:bottom w:val="nil"/>
              <w:right w:val="nil"/>
            </w:tcBorders>
            <w:shd w:val="clear" w:color="000000" w:fill="D9D9D9"/>
            <w:noWrap/>
            <w:vAlign w:val="bottom"/>
            <w:hideMark/>
          </w:tcPr>
          <w:p w14:paraId="7CE5B52E"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0.04</w:t>
            </w:r>
          </w:p>
        </w:tc>
      </w:tr>
      <w:tr w:rsidR="00BB4E21" w14:paraId="0590213F" w14:textId="77777777" w:rsidTr="00056603">
        <w:trPr>
          <w:trHeight w:val="240"/>
        </w:trPr>
        <w:tc>
          <w:tcPr>
            <w:tcW w:w="1380" w:type="dxa"/>
            <w:tcBorders>
              <w:top w:val="nil"/>
              <w:left w:val="nil"/>
              <w:bottom w:val="nil"/>
              <w:right w:val="nil"/>
            </w:tcBorders>
            <w:noWrap/>
            <w:vAlign w:val="bottom"/>
            <w:hideMark/>
          </w:tcPr>
          <w:p w14:paraId="176611F2" w14:textId="77777777" w:rsidR="00BB4E21" w:rsidRDefault="00BB4E21" w:rsidP="00056603">
            <w:pPr>
              <w:spacing w:after="0" w:line="240" w:lineRule="auto"/>
              <w:rPr>
                <w:rFonts w:ascii="Arial" w:eastAsia="Times New Roman" w:hAnsi="Arial" w:cs="Arial"/>
                <w:color w:val="000000"/>
              </w:rPr>
            </w:pPr>
          </w:p>
        </w:tc>
        <w:tc>
          <w:tcPr>
            <w:tcW w:w="1240" w:type="dxa"/>
            <w:tcBorders>
              <w:top w:val="nil"/>
              <w:left w:val="nil"/>
              <w:bottom w:val="nil"/>
              <w:right w:val="nil"/>
            </w:tcBorders>
            <w:noWrap/>
            <w:vAlign w:val="bottom"/>
            <w:hideMark/>
          </w:tcPr>
          <w:p w14:paraId="41CB3DF1" w14:textId="77777777" w:rsidR="00BB4E21" w:rsidRDefault="00BB4E21" w:rsidP="00056603">
            <w:pPr>
              <w:spacing w:after="0" w:line="240" w:lineRule="auto"/>
              <w:rPr>
                <w:rFonts w:ascii="Arial" w:eastAsia="Times New Roman" w:hAnsi="Arial" w:cs="Arial"/>
                <w:color w:val="000000"/>
              </w:rPr>
            </w:pPr>
          </w:p>
        </w:tc>
        <w:tc>
          <w:tcPr>
            <w:tcW w:w="500" w:type="dxa"/>
            <w:tcBorders>
              <w:top w:val="nil"/>
              <w:left w:val="nil"/>
              <w:bottom w:val="nil"/>
              <w:right w:val="nil"/>
            </w:tcBorders>
            <w:noWrap/>
            <w:vAlign w:val="bottom"/>
            <w:hideMark/>
          </w:tcPr>
          <w:p w14:paraId="2D1415E7" w14:textId="77777777" w:rsidR="00BB4E21" w:rsidRDefault="00BB4E21" w:rsidP="00056603">
            <w:pPr>
              <w:spacing w:after="0" w:line="240" w:lineRule="auto"/>
              <w:rPr>
                <w:rFonts w:ascii="Arial" w:eastAsia="Times New Roman" w:hAnsi="Arial" w:cs="Arial"/>
                <w:color w:val="000000"/>
              </w:rPr>
            </w:pPr>
          </w:p>
        </w:tc>
        <w:tc>
          <w:tcPr>
            <w:tcW w:w="1060" w:type="dxa"/>
            <w:tcBorders>
              <w:top w:val="nil"/>
              <w:left w:val="nil"/>
              <w:bottom w:val="nil"/>
              <w:right w:val="nil"/>
            </w:tcBorders>
            <w:noWrap/>
            <w:vAlign w:val="bottom"/>
            <w:hideMark/>
          </w:tcPr>
          <w:p w14:paraId="7699001A" w14:textId="77777777" w:rsidR="00BB4E21" w:rsidRDefault="00BB4E21" w:rsidP="00056603">
            <w:pPr>
              <w:spacing w:after="0" w:line="240" w:lineRule="auto"/>
              <w:rPr>
                <w:rFonts w:ascii="Arial" w:eastAsia="Times New Roman" w:hAnsi="Arial" w:cs="Arial"/>
                <w:color w:val="000000"/>
              </w:rPr>
            </w:pPr>
          </w:p>
        </w:tc>
        <w:tc>
          <w:tcPr>
            <w:tcW w:w="1060" w:type="dxa"/>
            <w:tcBorders>
              <w:top w:val="nil"/>
              <w:left w:val="nil"/>
              <w:bottom w:val="nil"/>
              <w:right w:val="nil"/>
            </w:tcBorders>
            <w:noWrap/>
            <w:vAlign w:val="bottom"/>
            <w:hideMark/>
          </w:tcPr>
          <w:p w14:paraId="66A5E6B2" w14:textId="77777777" w:rsidR="00BB4E21" w:rsidRDefault="00BB4E21" w:rsidP="00056603">
            <w:pPr>
              <w:spacing w:after="0" w:line="240" w:lineRule="auto"/>
              <w:rPr>
                <w:rFonts w:ascii="Arial" w:eastAsia="Times New Roman" w:hAnsi="Arial" w:cs="Arial"/>
                <w:color w:val="000000"/>
              </w:rPr>
            </w:pPr>
          </w:p>
        </w:tc>
      </w:tr>
      <w:tr w:rsidR="00BB4E21" w14:paraId="765A7319" w14:textId="77777777" w:rsidTr="00056603">
        <w:trPr>
          <w:trHeight w:val="240"/>
        </w:trPr>
        <w:tc>
          <w:tcPr>
            <w:tcW w:w="1380" w:type="dxa"/>
            <w:tcBorders>
              <w:top w:val="nil"/>
              <w:left w:val="nil"/>
              <w:bottom w:val="nil"/>
              <w:right w:val="nil"/>
            </w:tcBorders>
            <w:shd w:val="clear" w:color="000000" w:fill="BFBFBF"/>
            <w:noWrap/>
            <w:vAlign w:val="bottom"/>
            <w:hideMark/>
          </w:tcPr>
          <w:p w14:paraId="0558148E" w14:textId="77777777" w:rsidR="00BB4E21" w:rsidRDefault="00BB4E21" w:rsidP="00056603">
            <w:pPr>
              <w:spacing w:after="0" w:line="240" w:lineRule="auto"/>
              <w:rPr>
                <w:rFonts w:ascii="Arial" w:eastAsia="Times New Roman" w:hAnsi="Arial" w:cs="Arial"/>
              </w:rPr>
            </w:pPr>
            <w:r>
              <w:rPr>
                <w:rFonts w:ascii="Arial" w:eastAsia="Times New Roman" w:hAnsi="Arial" w:cs="Arial"/>
              </w:rPr>
              <w:t>t test</w:t>
            </w:r>
          </w:p>
        </w:tc>
        <w:tc>
          <w:tcPr>
            <w:tcW w:w="1240" w:type="dxa"/>
            <w:tcBorders>
              <w:top w:val="nil"/>
              <w:left w:val="nil"/>
              <w:bottom w:val="nil"/>
              <w:right w:val="nil"/>
            </w:tcBorders>
            <w:shd w:val="clear" w:color="000000" w:fill="D9D9D9"/>
            <w:noWrap/>
            <w:vAlign w:val="bottom"/>
            <w:hideMark/>
          </w:tcPr>
          <w:p w14:paraId="1F193493"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6.19</w:t>
            </w:r>
          </w:p>
        </w:tc>
        <w:tc>
          <w:tcPr>
            <w:tcW w:w="500" w:type="dxa"/>
            <w:tcBorders>
              <w:top w:val="nil"/>
              <w:left w:val="nil"/>
              <w:bottom w:val="nil"/>
              <w:right w:val="nil"/>
            </w:tcBorders>
            <w:noWrap/>
            <w:vAlign w:val="bottom"/>
            <w:hideMark/>
          </w:tcPr>
          <w:p w14:paraId="2502AC98" w14:textId="77777777" w:rsidR="00BB4E21" w:rsidRDefault="00BB4E21" w:rsidP="00056603">
            <w:pPr>
              <w:spacing w:after="0" w:line="240" w:lineRule="auto"/>
              <w:rPr>
                <w:rFonts w:ascii="Arial" w:eastAsia="Times New Roman" w:hAnsi="Arial" w:cs="Arial"/>
                <w:color w:val="000000"/>
              </w:rPr>
            </w:pPr>
          </w:p>
        </w:tc>
        <w:tc>
          <w:tcPr>
            <w:tcW w:w="1060" w:type="dxa"/>
            <w:tcBorders>
              <w:top w:val="nil"/>
              <w:left w:val="nil"/>
              <w:bottom w:val="nil"/>
              <w:right w:val="nil"/>
            </w:tcBorders>
            <w:noWrap/>
            <w:vAlign w:val="bottom"/>
            <w:hideMark/>
          </w:tcPr>
          <w:p w14:paraId="72A3F7BE" w14:textId="77777777" w:rsidR="00BB4E21" w:rsidRDefault="00BB4E21" w:rsidP="00056603">
            <w:pPr>
              <w:spacing w:after="0" w:line="240" w:lineRule="auto"/>
              <w:rPr>
                <w:rFonts w:ascii="Arial" w:eastAsia="Times New Roman" w:hAnsi="Arial" w:cs="Arial"/>
                <w:color w:val="000000"/>
              </w:rPr>
            </w:pPr>
          </w:p>
        </w:tc>
        <w:tc>
          <w:tcPr>
            <w:tcW w:w="1060" w:type="dxa"/>
            <w:tcBorders>
              <w:top w:val="nil"/>
              <w:left w:val="nil"/>
              <w:bottom w:val="nil"/>
              <w:right w:val="nil"/>
            </w:tcBorders>
            <w:noWrap/>
            <w:vAlign w:val="bottom"/>
            <w:hideMark/>
          </w:tcPr>
          <w:p w14:paraId="17641A87" w14:textId="77777777" w:rsidR="00BB4E21" w:rsidRDefault="00BB4E21" w:rsidP="00056603">
            <w:pPr>
              <w:spacing w:after="0" w:line="240" w:lineRule="auto"/>
              <w:rPr>
                <w:rFonts w:ascii="Arial" w:eastAsia="Times New Roman" w:hAnsi="Arial" w:cs="Arial"/>
                <w:color w:val="000000"/>
              </w:rPr>
            </w:pPr>
          </w:p>
        </w:tc>
      </w:tr>
      <w:tr w:rsidR="00BB4E21" w14:paraId="70142E0E" w14:textId="77777777" w:rsidTr="00056603">
        <w:trPr>
          <w:trHeight w:val="240"/>
        </w:trPr>
        <w:tc>
          <w:tcPr>
            <w:tcW w:w="1380" w:type="dxa"/>
            <w:tcBorders>
              <w:top w:val="nil"/>
              <w:left w:val="nil"/>
              <w:bottom w:val="nil"/>
              <w:right w:val="nil"/>
            </w:tcBorders>
            <w:shd w:val="clear" w:color="000000" w:fill="BFBFBF"/>
            <w:noWrap/>
            <w:vAlign w:val="bottom"/>
            <w:hideMark/>
          </w:tcPr>
          <w:p w14:paraId="06FE7FEB" w14:textId="77777777" w:rsidR="00BB4E21" w:rsidRDefault="00BB4E21" w:rsidP="00056603">
            <w:pPr>
              <w:spacing w:after="0" w:line="240" w:lineRule="auto"/>
              <w:rPr>
                <w:rFonts w:ascii="Arial" w:eastAsia="Times New Roman" w:hAnsi="Arial" w:cs="Arial"/>
              </w:rPr>
            </w:pPr>
            <w:r>
              <w:rPr>
                <w:rFonts w:ascii="Arial" w:eastAsia="Times New Roman" w:hAnsi="Arial" w:cs="Arial"/>
              </w:rPr>
              <w:t>p-value</w:t>
            </w:r>
          </w:p>
        </w:tc>
        <w:tc>
          <w:tcPr>
            <w:tcW w:w="1240" w:type="dxa"/>
            <w:tcBorders>
              <w:top w:val="nil"/>
              <w:left w:val="nil"/>
              <w:bottom w:val="nil"/>
              <w:right w:val="nil"/>
            </w:tcBorders>
            <w:shd w:val="clear" w:color="000000" w:fill="D9D9D9"/>
            <w:noWrap/>
            <w:vAlign w:val="bottom"/>
            <w:hideMark/>
          </w:tcPr>
          <w:p w14:paraId="6C7E1B55"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0.025</w:t>
            </w:r>
          </w:p>
        </w:tc>
        <w:tc>
          <w:tcPr>
            <w:tcW w:w="500" w:type="dxa"/>
            <w:tcBorders>
              <w:top w:val="nil"/>
              <w:left w:val="nil"/>
              <w:bottom w:val="nil"/>
              <w:right w:val="nil"/>
            </w:tcBorders>
            <w:noWrap/>
            <w:vAlign w:val="bottom"/>
            <w:hideMark/>
          </w:tcPr>
          <w:p w14:paraId="3CEB783A" w14:textId="77777777" w:rsidR="00BB4E21" w:rsidRDefault="00BB4E21" w:rsidP="00056603">
            <w:pPr>
              <w:spacing w:after="0" w:line="240" w:lineRule="auto"/>
              <w:rPr>
                <w:rFonts w:ascii="Arial" w:eastAsia="Times New Roman" w:hAnsi="Arial" w:cs="Arial"/>
                <w:color w:val="000000"/>
              </w:rPr>
            </w:pPr>
          </w:p>
        </w:tc>
        <w:tc>
          <w:tcPr>
            <w:tcW w:w="1060" w:type="dxa"/>
            <w:tcBorders>
              <w:top w:val="nil"/>
              <w:left w:val="nil"/>
              <w:bottom w:val="nil"/>
              <w:right w:val="nil"/>
            </w:tcBorders>
            <w:noWrap/>
            <w:vAlign w:val="bottom"/>
            <w:hideMark/>
          </w:tcPr>
          <w:p w14:paraId="307015B9" w14:textId="77777777" w:rsidR="00BB4E21" w:rsidRDefault="00BB4E21" w:rsidP="00056603">
            <w:pPr>
              <w:spacing w:after="0" w:line="240" w:lineRule="auto"/>
              <w:rPr>
                <w:rFonts w:ascii="Arial" w:eastAsia="Times New Roman" w:hAnsi="Arial" w:cs="Arial"/>
                <w:color w:val="000000"/>
              </w:rPr>
            </w:pPr>
          </w:p>
        </w:tc>
        <w:tc>
          <w:tcPr>
            <w:tcW w:w="1060" w:type="dxa"/>
            <w:tcBorders>
              <w:top w:val="nil"/>
              <w:left w:val="nil"/>
              <w:bottom w:val="nil"/>
              <w:right w:val="nil"/>
            </w:tcBorders>
            <w:noWrap/>
            <w:vAlign w:val="bottom"/>
            <w:hideMark/>
          </w:tcPr>
          <w:p w14:paraId="56FE2D14" w14:textId="77777777" w:rsidR="00BB4E21" w:rsidRDefault="00BB4E21" w:rsidP="00056603">
            <w:pPr>
              <w:spacing w:after="0" w:line="240" w:lineRule="auto"/>
              <w:rPr>
                <w:rFonts w:ascii="Arial" w:eastAsia="Times New Roman" w:hAnsi="Arial" w:cs="Arial"/>
                <w:color w:val="000000"/>
              </w:rPr>
            </w:pPr>
          </w:p>
        </w:tc>
      </w:tr>
    </w:tbl>
    <w:p w14:paraId="5137CE77" w14:textId="77777777" w:rsidR="00BB4E21" w:rsidRDefault="00BB4E21" w:rsidP="00BB4E21">
      <w:pPr>
        <w:spacing w:after="0" w:line="480" w:lineRule="auto"/>
        <w:ind w:right="-810"/>
        <w:rPr>
          <w:rFonts w:ascii="Times New Roman" w:hAnsi="Times New Roman" w:cs="Times New Roman"/>
          <w:b/>
        </w:rPr>
      </w:pPr>
    </w:p>
    <w:p w14:paraId="64F87CFA" w14:textId="77777777" w:rsidR="00BB4E21" w:rsidRDefault="00BB4E21" w:rsidP="00BB4E21">
      <w:pPr>
        <w:rPr>
          <w:rFonts w:ascii="Times New Roman" w:hAnsi="Times New Roman" w:cs="Times New Roman"/>
          <w:b/>
        </w:rPr>
      </w:pPr>
      <w:r>
        <w:rPr>
          <w:rFonts w:ascii="Times New Roman" w:hAnsi="Times New Roman" w:cs="Times New Roman"/>
          <w:b/>
        </w:rPr>
        <w:br w:type="page"/>
      </w:r>
    </w:p>
    <w:p w14:paraId="2BDF632E" w14:textId="77777777" w:rsidR="00BB4E21" w:rsidRDefault="00BB4E21" w:rsidP="00BB4E21">
      <w:pPr>
        <w:spacing w:after="0" w:line="480" w:lineRule="auto"/>
        <w:ind w:right="-810"/>
        <w:rPr>
          <w:rFonts w:ascii="Times New Roman" w:hAnsi="Times New Roman" w:cs="Times New Roman"/>
          <w:b/>
        </w:rPr>
      </w:pPr>
      <w:r>
        <w:rPr>
          <w:rFonts w:ascii="Times New Roman" w:hAnsi="Times New Roman" w:cs="Times New Roman"/>
          <w:b/>
        </w:rPr>
        <w:lastRenderedPageBreak/>
        <w:t>L) Endocarditis</w:t>
      </w:r>
    </w:p>
    <w:p w14:paraId="33ECA5D1" w14:textId="77777777" w:rsidR="00BB4E21" w:rsidRDefault="00BB4E21" w:rsidP="00BB4E21">
      <w:pPr>
        <w:spacing w:after="0" w:line="480" w:lineRule="auto"/>
        <w:ind w:right="-810"/>
        <w:rPr>
          <w:rFonts w:ascii="Times New Roman" w:hAnsi="Times New Roman" w:cs="Times New Roman"/>
          <w:b/>
        </w:rPr>
      </w:pPr>
    </w:p>
    <w:p w14:paraId="18A20F0E" w14:textId="77777777" w:rsidR="00BB4E21" w:rsidRDefault="00BB4E21" w:rsidP="00BB4E21">
      <w:pPr>
        <w:spacing w:after="0" w:line="480" w:lineRule="auto"/>
        <w:ind w:right="-810"/>
        <w:rPr>
          <w:rFonts w:ascii="Times New Roman" w:hAnsi="Times New Roman" w:cs="Times New Roman"/>
          <w:b/>
        </w:rPr>
      </w:pPr>
      <w:r>
        <w:rPr>
          <w:rFonts w:ascii="Times New Roman" w:hAnsi="Times New Roman" w:cs="Times New Roman"/>
          <w:b/>
          <w:noProof/>
        </w:rPr>
        <w:drawing>
          <wp:inline distT="0" distB="0" distL="0" distR="0" wp14:anchorId="77D44C41" wp14:editId="267E431D">
            <wp:extent cx="5029200" cy="3352800"/>
            <wp:effectExtent l="0" t="0" r="0" b="0"/>
            <wp:docPr id="1037"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24"/>
                    <pic:cNvPicPr/>
                  </pic:nvPicPr>
                  <pic:blipFill>
                    <a:blip r:embed="rId37" cstate="print"/>
                    <a:srcRect/>
                    <a:stretch/>
                  </pic:blipFill>
                  <pic:spPr>
                    <a:xfrm>
                      <a:off x="0" y="0"/>
                      <a:ext cx="5029200" cy="3352800"/>
                    </a:xfrm>
                    <a:prstGeom prst="rect">
                      <a:avLst/>
                    </a:prstGeom>
                  </pic:spPr>
                </pic:pic>
              </a:graphicData>
            </a:graphic>
          </wp:inline>
        </w:drawing>
      </w:r>
    </w:p>
    <w:p w14:paraId="1C28548B" w14:textId="77777777" w:rsidR="00BB4E21" w:rsidRDefault="00BB4E21" w:rsidP="00BB4E21">
      <w:pPr>
        <w:spacing w:after="0" w:line="480" w:lineRule="auto"/>
        <w:ind w:right="-810"/>
        <w:rPr>
          <w:rFonts w:ascii="Times New Roman" w:hAnsi="Times New Roman" w:cs="Times New Roman"/>
          <w:b/>
        </w:rPr>
      </w:pPr>
    </w:p>
    <w:tbl>
      <w:tblPr>
        <w:tblW w:w="5240" w:type="dxa"/>
        <w:tblInd w:w="93" w:type="dxa"/>
        <w:tblLook w:val="04A0" w:firstRow="1" w:lastRow="0" w:firstColumn="1" w:lastColumn="0" w:noHBand="0" w:noVBand="1"/>
      </w:tblPr>
      <w:tblGrid>
        <w:gridCol w:w="1380"/>
        <w:gridCol w:w="1240"/>
        <w:gridCol w:w="684"/>
        <w:gridCol w:w="1060"/>
        <w:gridCol w:w="1060"/>
      </w:tblGrid>
      <w:tr w:rsidR="00BB4E21" w14:paraId="075AE0DB" w14:textId="77777777" w:rsidTr="00056603">
        <w:trPr>
          <w:trHeight w:val="240"/>
        </w:trPr>
        <w:tc>
          <w:tcPr>
            <w:tcW w:w="1380" w:type="dxa"/>
            <w:tcBorders>
              <w:top w:val="nil"/>
              <w:left w:val="nil"/>
              <w:bottom w:val="nil"/>
              <w:right w:val="nil"/>
            </w:tcBorders>
            <w:shd w:val="clear" w:color="000000" w:fill="BFBFBF"/>
            <w:noWrap/>
            <w:vAlign w:val="bottom"/>
            <w:hideMark/>
          </w:tcPr>
          <w:p w14:paraId="524024C6" w14:textId="77777777" w:rsidR="00BB4E21" w:rsidRDefault="00BB4E21" w:rsidP="00056603">
            <w:pPr>
              <w:spacing w:after="0" w:line="240" w:lineRule="auto"/>
              <w:rPr>
                <w:rFonts w:ascii="Arial" w:eastAsia="Times New Roman" w:hAnsi="Arial" w:cs="Arial"/>
              </w:rPr>
            </w:pPr>
            <w:r>
              <w:rPr>
                <w:rFonts w:ascii="Arial" w:eastAsia="Times New Roman" w:hAnsi="Arial" w:cs="Arial"/>
              </w:rPr>
              <w:t> </w:t>
            </w:r>
          </w:p>
        </w:tc>
        <w:tc>
          <w:tcPr>
            <w:tcW w:w="1240" w:type="dxa"/>
            <w:tcBorders>
              <w:top w:val="nil"/>
              <w:left w:val="nil"/>
              <w:bottom w:val="nil"/>
              <w:right w:val="nil"/>
            </w:tcBorders>
            <w:shd w:val="clear" w:color="000000" w:fill="BFBFBF"/>
            <w:noWrap/>
            <w:vAlign w:val="bottom"/>
            <w:hideMark/>
          </w:tcPr>
          <w:p w14:paraId="01CF9653" w14:textId="77777777" w:rsidR="00BB4E21" w:rsidRDefault="00BB4E21" w:rsidP="00056603">
            <w:pPr>
              <w:spacing w:after="0" w:line="240" w:lineRule="auto"/>
              <w:rPr>
                <w:rFonts w:ascii="Arial" w:eastAsia="Times New Roman" w:hAnsi="Arial" w:cs="Arial"/>
              </w:rPr>
            </w:pPr>
            <w:r>
              <w:rPr>
                <w:rFonts w:ascii="Arial" w:eastAsia="Times New Roman" w:hAnsi="Arial" w:cs="Arial"/>
              </w:rPr>
              <w:t>Estimate</w:t>
            </w:r>
          </w:p>
        </w:tc>
        <w:tc>
          <w:tcPr>
            <w:tcW w:w="500" w:type="dxa"/>
            <w:tcBorders>
              <w:top w:val="nil"/>
              <w:left w:val="nil"/>
              <w:bottom w:val="nil"/>
              <w:right w:val="nil"/>
            </w:tcBorders>
            <w:shd w:val="clear" w:color="000000" w:fill="BFBFBF"/>
            <w:noWrap/>
            <w:vAlign w:val="bottom"/>
            <w:hideMark/>
          </w:tcPr>
          <w:p w14:paraId="13C6B231" w14:textId="77777777" w:rsidR="00BB4E21" w:rsidRDefault="00BB4E21" w:rsidP="00056603">
            <w:pPr>
              <w:spacing w:after="0" w:line="240" w:lineRule="auto"/>
              <w:rPr>
                <w:rFonts w:ascii="Arial" w:eastAsia="Times New Roman" w:hAnsi="Arial" w:cs="Arial"/>
              </w:rPr>
            </w:pPr>
            <w:r>
              <w:rPr>
                <w:rFonts w:ascii="Arial" w:eastAsia="Times New Roman" w:hAnsi="Arial" w:cs="Arial"/>
              </w:rPr>
              <w:t>SE</w:t>
            </w:r>
          </w:p>
        </w:tc>
        <w:tc>
          <w:tcPr>
            <w:tcW w:w="1060" w:type="dxa"/>
            <w:tcBorders>
              <w:top w:val="nil"/>
              <w:left w:val="nil"/>
              <w:bottom w:val="nil"/>
              <w:right w:val="nil"/>
            </w:tcBorders>
            <w:shd w:val="clear" w:color="000000" w:fill="BFBFBF"/>
            <w:noWrap/>
            <w:vAlign w:val="bottom"/>
            <w:hideMark/>
          </w:tcPr>
          <w:p w14:paraId="48AEB295" w14:textId="77777777" w:rsidR="00BB4E21" w:rsidRDefault="00BB4E21" w:rsidP="00056603">
            <w:pPr>
              <w:spacing w:after="0" w:line="240" w:lineRule="auto"/>
              <w:rPr>
                <w:rFonts w:ascii="Arial" w:eastAsia="Times New Roman" w:hAnsi="Arial" w:cs="Arial"/>
              </w:rPr>
            </w:pPr>
            <w:r>
              <w:rPr>
                <w:rFonts w:ascii="Arial" w:eastAsia="Times New Roman" w:hAnsi="Arial" w:cs="Arial"/>
              </w:rPr>
              <w:t>CI LL</w:t>
            </w:r>
          </w:p>
        </w:tc>
        <w:tc>
          <w:tcPr>
            <w:tcW w:w="1060" w:type="dxa"/>
            <w:tcBorders>
              <w:top w:val="nil"/>
              <w:left w:val="nil"/>
              <w:bottom w:val="nil"/>
              <w:right w:val="nil"/>
            </w:tcBorders>
            <w:shd w:val="clear" w:color="000000" w:fill="BFBFBF"/>
            <w:noWrap/>
            <w:vAlign w:val="bottom"/>
            <w:hideMark/>
          </w:tcPr>
          <w:p w14:paraId="7105D21F" w14:textId="77777777" w:rsidR="00BB4E21" w:rsidRDefault="00BB4E21" w:rsidP="00056603">
            <w:pPr>
              <w:spacing w:after="0" w:line="240" w:lineRule="auto"/>
              <w:rPr>
                <w:rFonts w:ascii="Arial" w:eastAsia="Times New Roman" w:hAnsi="Arial" w:cs="Arial"/>
              </w:rPr>
            </w:pPr>
            <w:r>
              <w:rPr>
                <w:rFonts w:ascii="Arial" w:eastAsia="Times New Roman" w:hAnsi="Arial" w:cs="Arial"/>
              </w:rPr>
              <w:t>CI UL</w:t>
            </w:r>
          </w:p>
        </w:tc>
      </w:tr>
      <w:tr w:rsidR="00BB4E21" w14:paraId="4249BCD3" w14:textId="77777777" w:rsidTr="00056603">
        <w:trPr>
          <w:trHeight w:val="240"/>
        </w:trPr>
        <w:tc>
          <w:tcPr>
            <w:tcW w:w="1380" w:type="dxa"/>
            <w:tcBorders>
              <w:top w:val="nil"/>
              <w:left w:val="nil"/>
              <w:bottom w:val="nil"/>
              <w:right w:val="nil"/>
            </w:tcBorders>
            <w:shd w:val="clear" w:color="000000" w:fill="BFBFBF"/>
            <w:noWrap/>
            <w:vAlign w:val="bottom"/>
            <w:hideMark/>
          </w:tcPr>
          <w:p w14:paraId="4470F31F" w14:textId="77777777" w:rsidR="00BB4E21" w:rsidRDefault="00BB4E21" w:rsidP="00056603">
            <w:pPr>
              <w:spacing w:after="0" w:line="240" w:lineRule="auto"/>
              <w:rPr>
                <w:rFonts w:ascii="Arial" w:eastAsia="Times New Roman" w:hAnsi="Arial" w:cs="Arial"/>
              </w:rPr>
            </w:pPr>
            <w:r>
              <w:rPr>
                <w:rFonts w:ascii="Arial" w:eastAsia="Times New Roman" w:hAnsi="Arial" w:cs="Arial"/>
              </w:rPr>
              <w:t>Intercept</w:t>
            </w:r>
          </w:p>
        </w:tc>
        <w:tc>
          <w:tcPr>
            <w:tcW w:w="1240" w:type="dxa"/>
            <w:tcBorders>
              <w:top w:val="nil"/>
              <w:left w:val="nil"/>
              <w:bottom w:val="nil"/>
              <w:right w:val="nil"/>
            </w:tcBorders>
            <w:shd w:val="clear" w:color="000000" w:fill="D9D9D9"/>
            <w:noWrap/>
            <w:vAlign w:val="bottom"/>
            <w:hideMark/>
          </w:tcPr>
          <w:p w14:paraId="3C2BC3A1"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-2.81</w:t>
            </w:r>
          </w:p>
        </w:tc>
        <w:tc>
          <w:tcPr>
            <w:tcW w:w="500" w:type="dxa"/>
            <w:tcBorders>
              <w:top w:val="nil"/>
              <w:left w:val="nil"/>
              <w:bottom w:val="nil"/>
              <w:right w:val="nil"/>
            </w:tcBorders>
            <w:shd w:val="clear" w:color="000000" w:fill="D9D9D9"/>
            <w:noWrap/>
            <w:vAlign w:val="bottom"/>
            <w:hideMark/>
          </w:tcPr>
          <w:p w14:paraId="75FCC962"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1.33</w:t>
            </w:r>
          </w:p>
        </w:tc>
        <w:tc>
          <w:tcPr>
            <w:tcW w:w="1060" w:type="dxa"/>
            <w:tcBorders>
              <w:top w:val="nil"/>
              <w:left w:val="nil"/>
              <w:bottom w:val="nil"/>
              <w:right w:val="nil"/>
            </w:tcBorders>
            <w:shd w:val="clear" w:color="000000" w:fill="D9D9D9"/>
            <w:noWrap/>
            <w:vAlign w:val="bottom"/>
            <w:hideMark/>
          </w:tcPr>
          <w:p w14:paraId="7DC6A2E4"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-7.05</w:t>
            </w:r>
          </w:p>
        </w:tc>
        <w:tc>
          <w:tcPr>
            <w:tcW w:w="1060" w:type="dxa"/>
            <w:tcBorders>
              <w:top w:val="nil"/>
              <w:left w:val="nil"/>
              <w:bottom w:val="nil"/>
              <w:right w:val="nil"/>
            </w:tcBorders>
            <w:shd w:val="clear" w:color="000000" w:fill="D9D9D9"/>
            <w:noWrap/>
            <w:vAlign w:val="bottom"/>
            <w:hideMark/>
          </w:tcPr>
          <w:p w14:paraId="4864136B"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1.42</w:t>
            </w:r>
          </w:p>
        </w:tc>
      </w:tr>
      <w:tr w:rsidR="00BB4E21" w14:paraId="3A888074" w14:textId="77777777" w:rsidTr="00056603">
        <w:trPr>
          <w:trHeight w:val="240"/>
        </w:trPr>
        <w:tc>
          <w:tcPr>
            <w:tcW w:w="1380" w:type="dxa"/>
            <w:tcBorders>
              <w:top w:val="nil"/>
              <w:left w:val="nil"/>
              <w:bottom w:val="nil"/>
              <w:right w:val="nil"/>
            </w:tcBorders>
            <w:shd w:val="clear" w:color="000000" w:fill="BFBFBF"/>
            <w:noWrap/>
            <w:vAlign w:val="bottom"/>
            <w:hideMark/>
          </w:tcPr>
          <w:p w14:paraId="21DDB309" w14:textId="77777777" w:rsidR="00BB4E21" w:rsidRDefault="00BB4E21" w:rsidP="00056603">
            <w:pPr>
              <w:spacing w:after="0" w:line="240" w:lineRule="auto"/>
              <w:rPr>
                <w:rFonts w:ascii="Arial" w:eastAsia="Times New Roman" w:hAnsi="Arial" w:cs="Arial"/>
              </w:rPr>
            </w:pPr>
            <w:r>
              <w:rPr>
                <w:rFonts w:ascii="Arial" w:eastAsia="Times New Roman" w:hAnsi="Arial" w:cs="Arial"/>
              </w:rPr>
              <w:t>Slope</w:t>
            </w:r>
          </w:p>
        </w:tc>
        <w:tc>
          <w:tcPr>
            <w:tcW w:w="1240" w:type="dxa"/>
            <w:tcBorders>
              <w:top w:val="nil"/>
              <w:left w:val="nil"/>
              <w:bottom w:val="nil"/>
              <w:right w:val="nil"/>
            </w:tcBorders>
            <w:shd w:val="clear" w:color="000000" w:fill="D9D9D9"/>
            <w:noWrap/>
            <w:vAlign w:val="bottom"/>
            <w:hideMark/>
          </w:tcPr>
          <w:p w14:paraId="512A2594"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2.80</w:t>
            </w:r>
          </w:p>
        </w:tc>
        <w:tc>
          <w:tcPr>
            <w:tcW w:w="500" w:type="dxa"/>
            <w:tcBorders>
              <w:top w:val="nil"/>
              <w:left w:val="nil"/>
              <w:bottom w:val="nil"/>
              <w:right w:val="nil"/>
            </w:tcBorders>
            <w:shd w:val="clear" w:color="000000" w:fill="D9D9D9"/>
            <w:noWrap/>
            <w:vAlign w:val="bottom"/>
            <w:hideMark/>
          </w:tcPr>
          <w:p w14:paraId="58F07947"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1.51</w:t>
            </w:r>
          </w:p>
        </w:tc>
        <w:tc>
          <w:tcPr>
            <w:tcW w:w="1060" w:type="dxa"/>
            <w:tcBorders>
              <w:top w:val="nil"/>
              <w:left w:val="nil"/>
              <w:bottom w:val="nil"/>
              <w:right w:val="nil"/>
            </w:tcBorders>
            <w:shd w:val="clear" w:color="000000" w:fill="D9D9D9"/>
            <w:noWrap/>
            <w:vAlign w:val="bottom"/>
            <w:hideMark/>
          </w:tcPr>
          <w:p w14:paraId="1C6982D2"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-2.01</w:t>
            </w:r>
          </w:p>
        </w:tc>
        <w:tc>
          <w:tcPr>
            <w:tcW w:w="1060" w:type="dxa"/>
            <w:tcBorders>
              <w:top w:val="nil"/>
              <w:left w:val="nil"/>
              <w:bottom w:val="nil"/>
              <w:right w:val="nil"/>
            </w:tcBorders>
            <w:shd w:val="clear" w:color="000000" w:fill="D9D9D9"/>
            <w:noWrap/>
            <w:vAlign w:val="bottom"/>
            <w:hideMark/>
          </w:tcPr>
          <w:p w14:paraId="16CC6698"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7.61</w:t>
            </w:r>
          </w:p>
        </w:tc>
      </w:tr>
      <w:tr w:rsidR="00BB4E21" w14:paraId="4BC870A3" w14:textId="77777777" w:rsidTr="00056603">
        <w:trPr>
          <w:trHeight w:val="240"/>
        </w:trPr>
        <w:tc>
          <w:tcPr>
            <w:tcW w:w="1380" w:type="dxa"/>
            <w:tcBorders>
              <w:top w:val="nil"/>
              <w:left w:val="nil"/>
              <w:bottom w:val="nil"/>
              <w:right w:val="nil"/>
            </w:tcBorders>
            <w:noWrap/>
            <w:vAlign w:val="bottom"/>
            <w:hideMark/>
          </w:tcPr>
          <w:p w14:paraId="21B4B490" w14:textId="77777777" w:rsidR="00BB4E21" w:rsidRDefault="00BB4E21" w:rsidP="00056603">
            <w:pPr>
              <w:spacing w:after="0" w:line="240" w:lineRule="auto"/>
              <w:rPr>
                <w:rFonts w:ascii="Arial" w:eastAsia="Times New Roman" w:hAnsi="Arial" w:cs="Arial"/>
                <w:color w:val="000000"/>
              </w:rPr>
            </w:pPr>
          </w:p>
        </w:tc>
        <w:tc>
          <w:tcPr>
            <w:tcW w:w="1240" w:type="dxa"/>
            <w:tcBorders>
              <w:top w:val="nil"/>
              <w:left w:val="nil"/>
              <w:bottom w:val="nil"/>
              <w:right w:val="nil"/>
            </w:tcBorders>
            <w:noWrap/>
            <w:vAlign w:val="bottom"/>
            <w:hideMark/>
          </w:tcPr>
          <w:p w14:paraId="2C7FCAA9" w14:textId="77777777" w:rsidR="00BB4E21" w:rsidRDefault="00BB4E21" w:rsidP="00056603">
            <w:pPr>
              <w:spacing w:after="0" w:line="240" w:lineRule="auto"/>
              <w:rPr>
                <w:rFonts w:ascii="Arial" w:eastAsia="Times New Roman" w:hAnsi="Arial" w:cs="Arial"/>
                <w:color w:val="000000"/>
              </w:rPr>
            </w:pPr>
          </w:p>
        </w:tc>
        <w:tc>
          <w:tcPr>
            <w:tcW w:w="500" w:type="dxa"/>
            <w:tcBorders>
              <w:top w:val="nil"/>
              <w:left w:val="nil"/>
              <w:bottom w:val="nil"/>
              <w:right w:val="nil"/>
            </w:tcBorders>
            <w:noWrap/>
            <w:vAlign w:val="bottom"/>
            <w:hideMark/>
          </w:tcPr>
          <w:p w14:paraId="3D8E80C6" w14:textId="77777777" w:rsidR="00BB4E21" w:rsidRDefault="00BB4E21" w:rsidP="00056603">
            <w:pPr>
              <w:spacing w:after="0" w:line="240" w:lineRule="auto"/>
              <w:rPr>
                <w:rFonts w:ascii="Arial" w:eastAsia="Times New Roman" w:hAnsi="Arial" w:cs="Arial"/>
                <w:color w:val="000000"/>
              </w:rPr>
            </w:pPr>
          </w:p>
        </w:tc>
        <w:tc>
          <w:tcPr>
            <w:tcW w:w="1060" w:type="dxa"/>
            <w:tcBorders>
              <w:top w:val="nil"/>
              <w:left w:val="nil"/>
              <w:bottom w:val="nil"/>
              <w:right w:val="nil"/>
            </w:tcBorders>
            <w:noWrap/>
            <w:vAlign w:val="bottom"/>
            <w:hideMark/>
          </w:tcPr>
          <w:p w14:paraId="1EEEFB6E" w14:textId="77777777" w:rsidR="00BB4E21" w:rsidRDefault="00BB4E21" w:rsidP="00056603">
            <w:pPr>
              <w:spacing w:after="0" w:line="240" w:lineRule="auto"/>
              <w:rPr>
                <w:rFonts w:ascii="Arial" w:eastAsia="Times New Roman" w:hAnsi="Arial" w:cs="Arial"/>
                <w:color w:val="000000"/>
              </w:rPr>
            </w:pPr>
          </w:p>
        </w:tc>
        <w:tc>
          <w:tcPr>
            <w:tcW w:w="1060" w:type="dxa"/>
            <w:tcBorders>
              <w:top w:val="nil"/>
              <w:left w:val="nil"/>
              <w:bottom w:val="nil"/>
              <w:right w:val="nil"/>
            </w:tcBorders>
            <w:noWrap/>
            <w:vAlign w:val="bottom"/>
            <w:hideMark/>
          </w:tcPr>
          <w:p w14:paraId="51307A16" w14:textId="77777777" w:rsidR="00BB4E21" w:rsidRDefault="00BB4E21" w:rsidP="00056603">
            <w:pPr>
              <w:spacing w:after="0" w:line="240" w:lineRule="auto"/>
              <w:rPr>
                <w:rFonts w:ascii="Arial" w:eastAsia="Times New Roman" w:hAnsi="Arial" w:cs="Arial"/>
                <w:color w:val="000000"/>
              </w:rPr>
            </w:pPr>
          </w:p>
        </w:tc>
      </w:tr>
      <w:tr w:rsidR="00BB4E21" w14:paraId="49A79D17" w14:textId="77777777" w:rsidTr="00056603">
        <w:trPr>
          <w:trHeight w:val="240"/>
        </w:trPr>
        <w:tc>
          <w:tcPr>
            <w:tcW w:w="1380" w:type="dxa"/>
            <w:tcBorders>
              <w:top w:val="nil"/>
              <w:left w:val="nil"/>
              <w:bottom w:val="nil"/>
              <w:right w:val="nil"/>
            </w:tcBorders>
            <w:shd w:val="clear" w:color="000000" w:fill="BFBFBF"/>
            <w:noWrap/>
            <w:vAlign w:val="bottom"/>
            <w:hideMark/>
          </w:tcPr>
          <w:p w14:paraId="63960477" w14:textId="77777777" w:rsidR="00BB4E21" w:rsidRDefault="00BB4E21" w:rsidP="00056603">
            <w:pPr>
              <w:spacing w:after="0" w:line="240" w:lineRule="auto"/>
              <w:rPr>
                <w:rFonts w:ascii="Arial" w:eastAsia="Times New Roman" w:hAnsi="Arial" w:cs="Arial"/>
              </w:rPr>
            </w:pPr>
            <w:r>
              <w:rPr>
                <w:rFonts w:ascii="Arial" w:eastAsia="Times New Roman" w:hAnsi="Arial" w:cs="Arial"/>
              </w:rPr>
              <w:t>t test</w:t>
            </w:r>
          </w:p>
        </w:tc>
        <w:tc>
          <w:tcPr>
            <w:tcW w:w="1240" w:type="dxa"/>
            <w:tcBorders>
              <w:top w:val="nil"/>
              <w:left w:val="nil"/>
              <w:bottom w:val="nil"/>
              <w:right w:val="nil"/>
            </w:tcBorders>
            <w:shd w:val="clear" w:color="000000" w:fill="D9D9D9"/>
            <w:noWrap/>
            <w:vAlign w:val="bottom"/>
            <w:hideMark/>
          </w:tcPr>
          <w:p w14:paraId="0D362E9D"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-2.12</w:t>
            </w:r>
          </w:p>
        </w:tc>
        <w:tc>
          <w:tcPr>
            <w:tcW w:w="500" w:type="dxa"/>
            <w:tcBorders>
              <w:top w:val="nil"/>
              <w:left w:val="nil"/>
              <w:bottom w:val="nil"/>
              <w:right w:val="nil"/>
            </w:tcBorders>
            <w:noWrap/>
            <w:vAlign w:val="bottom"/>
            <w:hideMark/>
          </w:tcPr>
          <w:p w14:paraId="72A6E74B" w14:textId="77777777" w:rsidR="00BB4E21" w:rsidRDefault="00BB4E21" w:rsidP="00056603">
            <w:pPr>
              <w:spacing w:after="0" w:line="240" w:lineRule="auto"/>
              <w:rPr>
                <w:rFonts w:ascii="Arial" w:eastAsia="Times New Roman" w:hAnsi="Arial" w:cs="Arial"/>
                <w:color w:val="000000"/>
              </w:rPr>
            </w:pPr>
          </w:p>
        </w:tc>
        <w:tc>
          <w:tcPr>
            <w:tcW w:w="1060" w:type="dxa"/>
            <w:tcBorders>
              <w:top w:val="nil"/>
              <w:left w:val="nil"/>
              <w:bottom w:val="nil"/>
              <w:right w:val="nil"/>
            </w:tcBorders>
            <w:noWrap/>
            <w:vAlign w:val="bottom"/>
            <w:hideMark/>
          </w:tcPr>
          <w:p w14:paraId="0804132C" w14:textId="77777777" w:rsidR="00BB4E21" w:rsidRDefault="00BB4E21" w:rsidP="00056603">
            <w:pPr>
              <w:spacing w:after="0" w:line="240" w:lineRule="auto"/>
              <w:rPr>
                <w:rFonts w:ascii="Arial" w:eastAsia="Times New Roman" w:hAnsi="Arial" w:cs="Arial"/>
                <w:color w:val="000000"/>
              </w:rPr>
            </w:pPr>
          </w:p>
        </w:tc>
        <w:tc>
          <w:tcPr>
            <w:tcW w:w="1060" w:type="dxa"/>
            <w:tcBorders>
              <w:top w:val="nil"/>
              <w:left w:val="nil"/>
              <w:bottom w:val="nil"/>
              <w:right w:val="nil"/>
            </w:tcBorders>
            <w:noWrap/>
            <w:vAlign w:val="bottom"/>
            <w:hideMark/>
          </w:tcPr>
          <w:p w14:paraId="1F603A41" w14:textId="77777777" w:rsidR="00BB4E21" w:rsidRDefault="00BB4E21" w:rsidP="00056603">
            <w:pPr>
              <w:spacing w:after="0" w:line="240" w:lineRule="auto"/>
              <w:rPr>
                <w:rFonts w:ascii="Arial" w:eastAsia="Times New Roman" w:hAnsi="Arial" w:cs="Arial"/>
                <w:color w:val="000000"/>
              </w:rPr>
            </w:pPr>
          </w:p>
        </w:tc>
      </w:tr>
      <w:tr w:rsidR="00BB4E21" w14:paraId="3BC4FB17" w14:textId="77777777" w:rsidTr="00056603">
        <w:trPr>
          <w:trHeight w:val="240"/>
        </w:trPr>
        <w:tc>
          <w:tcPr>
            <w:tcW w:w="1380" w:type="dxa"/>
            <w:tcBorders>
              <w:top w:val="nil"/>
              <w:left w:val="nil"/>
              <w:bottom w:val="nil"/>
              <w:right w:val="nil"/>
            </w:tcBorders>
            <w:shd w:val="clear" w:color="000000" w:fill="BFBFBF"/>
            <w:noWrap/>
            <w:vAlign w:val="bottom"/>
            <w:hideMark/>
          </w:tcPr>
          <w:p w14:paraId="3E424E27" w14:textId="77777777" w:rsidR="00BB4E21" w:rsidRDefault="00BB4E21" w:rsidP="00056603">
            <w:pPr>
              <w:spacing w:after="0" w:line="240" w:lineRule="auto"/>
              <w:rPr>
                <w:rFonts w:ascii="Arial" w:eastAsia="Times New Roman" w:hAnsi="Arial" w:cs="Arial"/>
              </w:rPr>
            </w:pPr>
            <w:r>
              <w:rPr>
                <w:rFonts w:ascii="Arial" w:eastAsia="Times New Roman" w:hAnsi="Arial" w:cs="Arial"/>
              </w:rPr>
              <w:t>p-value</w:t>
            </w:r>
          </w:p>
        </w:tc>
        <w:tc>
          <w:tcPr>
            <w:tcW w:w="1240" w:type="dxa"/>
            <w:tcBorders>
              <w:top w:val="nil"/>
              <w:left w:val="nil"/>
              <w:bottom w:val="nil"/>
              <w:right w:val="nil"/>
            </w:tcBorders>
            <w:shd w:val="clear" w:color="000000" w:fill="D9D9D9"/>
            <w:noWrap/>
            <w:vAlign w:val="bottom"/>
            <w:hideMark/>
          </w:tcPr>
          <w:p w14:paraId="10BCFCFF"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0.169</w:t>
            </w:r>
          </w:p>
        </w:tc>
        <w:tc>
          <w:tcPr>
            <w:tcW w:w="500" w:type="dxa"/>
            <w:tcBorders>
              <w:top w:val="nil"/>
              <w:left w:val="nil"/>
              <w:bottom w:val="nil"/>
              <w:right w:val="nil"/>
            </w:tcBorders>
            <w:noWrap/>
            <w:vAlign w:val="bottom"/>
            <w:hideMark/>
          </w:tcPr>
          <w:p w14:paraId="3D427969" w14:textId="77777777" w:rsidR="00BB4E21" w:rsidRDefault="00BB4E21" w:rsidP="00056603">
            <w:pPr>
              <w:spacing w:after="0" w:line="240" w:lineRule="auto"/>
              <w:rPr>
                <w:rFonts w:ascii="Arial" w:eastAsia="Times New Roman" w:hAnsi="Arial" w:cs="Arial"/>
                <w:color w:val="000000"/>
              </w:rPr>
            </w:pPr>
          </w:p>
        </w:tc>
        <w:tc>
          <w:tcPr>
            <w:tcW w:w="1060" w:type="dxa"/>
            <w:tcBorders>
              <w:top w:val="nil"/>
              <w:left w:val="nil"/>
              <w:bottom w:val="nil"/>
              <w:right w:val="nil"/>
            </w:tcBorders>
            <w:noWrap/>
            <w:vAlign w:val="bottom"/>
            <w:hideMark/>
          </w:tcPr>
          <w:p w14:paraId="3A388284" w14:textId="77777777" w:rsidR="00BB4E21" w:rsidRDefault="00BB4E21" w:rsidP="00056603">
            <w:pPr>
              <w:spacing w:after="0" w:line="240" w:lineRule="auto"/>
              <w:rPr>
                <w:rFonts w:ascii="Arial" w:eastAsia="Times New Roman" w:hAnsi="Arial" w:cs="Arial"/>
                <w:color w:val="000000"/>
              </w:rPr>
            </w:pPr>
          </w:p>
        </w:tc>
        <w:tc>
          <w:tcPr>
            <w:tcW w:w="1060" w:type="dxa"/>
            <w:tcBorders>
              <w:top w:val="nil"/>
              <w:left w:val="nil"/>
              <w:bottom w:val="nil"/>
              <w:right w:val="nil"/>
            </w:tcBorders>
            <w:noWrap/>
            <w:vAlign w:val="bottom"/>
            <w:hideMark/>
          </w:tcPr>
          <w:p w14:paraId="24F3E5D6" w14:textId="77777777" w:rsidR="00BB4E21" w:rsidRDefault="00BB4E21" w:rsidP="00056603">
            <w:pPr>
              <w:spacing w:after="0" w:line="240" w:lineRule="auto"/>
              <w:rPr>
                <w:rFonts w:ascii="Arial" w:eastAsia="Times New Roman" w:hAnsi="Arial" w:cs="Arial"/>
                <w:color w:val="000000"/>
              </w:rPr>
            </w:pPr>
          </w:p>
        </w:tc>
      </w:tr>
    </w:tbl>
    <w:p w14:paraId="0EE16B9D" w14:textId="77777777" w:rsidR="00BB4E21" w:rsidRDefault="00BB4E21" w:rsidP="00BB4E21">
      <w:pPr>
        <w:spacing w:after="0" w:line="480" w:lineRule="auto"/>
        <w:ind w:right="-810"/>
        <w:rPr>
          <w:rFonts w:ascii="Times New Roman" w:hAnsi="Times New Roman" w:cs="Times New Roman"/>
          <w:b/>
        </w:rPr>
      </w:pPr>
    </w:p>
    <w:p w14:paraId="78EA19BC" w14:textId="77777777" w:rsidR="00BB4E21" w:rsidRDefault="00BB4E21" w:rsidP="00BB4E21">
      <w:pPr>
        <w:rPr>
          <w:rFonts w:ascii="Times New Roman" w:hAnsi="Times New Roman" w:cs="Times New Roman"/>
          <w:b/>
        </w:rPr>
      </w:pPr>
      <w:r>
        <w:rPr>
          <w:rFonts w:ascii="Times New Roman" w:hAnsi="Times New Roman" w:cs="Times New Roman"/>
          <w:b/>
        </w:rPr>
        <w:br w:type="page"/>
      </w:r>
    </w:p>
    <w:p w14:paraId="47EA27E0" w14:textId="77777777" w:rsidR="00BB4E21" w:rsidRDefault="00BB4E21" w:rsidP="00BB4E21">
      <w:pPr>
        <w:spacing w:after="0" w:line="480" w:lineRule="auto"/>
        <w:ind w:right="-810"/>
        <w:rPr>
          <w:rFonts w:ascii="Times New Roman" w:hAnsi="Times New Roman" w:cs="Times New Roman"/>
          <w:b/>
        </w:rPr>
      </w:pPr>
      <w:r>
        <w:rPr>
          <w:rFonts w:ascii="Times New Roman" w:hAnsi="Times New Roman" w:cs="Times New Roman"/>
          <w:b/>
        </w:rPr>
        <w:lastRenderedPageBreak/>
        <w:t>M) Aortic Valve Reintervention</w:t>
      </w:r>
    </w:p>
    <w:p w14:paraId="7D088979" w14:textId="77777777" w:rsidR="00BB4E21" w:rsidRDefault="00BB4E21" w:rsidP="00BB4E21">
      <w:pPr>
        <w:spacing w:after="0" w:line="480" w:lineRule="auto"/>
        <w:ind w:right="-810"/>
        <w:rPr>
          <w:rFonts w:ascii="Times New Roman" w:hAnsi="Times New Roman" w:cs="Times New Roman"/>
          <w:b/>
        </w:rPr>
      </w:pPr>
    </w:p>
    <w:p w14:paraId="4B8EE3A3" w14:textId="77777777" w:rsidR="00BB4E21" w:rsidRDefault="00BB4E21" w:rsidP="00BB4E21">
      <w:pPr>
        <w:spacing w:after="0" w:line="480" w:lineRule="auto"/>
        <w:ind w:right="-810"/>
        <w:rPr>
          <w:rFonts w:ascii="Times New Roman" w:hAnsi="Times New Roman" w:cs="Times New Roman"/>
          <w:b/>
        </w:rPr>
      </w:pPr>
      <w:r>
        <w:rPr>
          <w:rFonts w:ascii="Times New Roman" w:hAnsi="Times New Roman" w:cs="Times New Roman"/>
          <w:b/>
          <w:noProof/>
        </w:rPr>
        <w:drawing>
          <wp:inline distT="0" distB="0" distL="0" distR="0" wp14:anchorId="54E17FC8" wp14:editId="69F00A19">
            <wp:extent cx="5029200" cy="3352800"/>
            <wp:effectExtent l="0" t="0" r="0" b="0"/>
            <wp:docPr id="1038"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25"/>
                    <pic:cNvPicPr/>
                  </pic:nvPicPr>
                  <pic:blipFill>
                    <a:blip r:embed="rId38" cstate="print"/>
                    <a:srcRect/>
                    <a:stretch/>
                  </pic:blipFill>
                  <pic:spPr>
                    <a:xfrm>
                      <a:off x="0" y="0"/>
                      <a:ext cx="5029200" cy="3352800"/>
                    </a:xfrm>
                    <a:prstGeom prst="rect">
                      <a:avLst/>
                    </a:prstGeom>
                  </pic:spPr>
                </pic:pic>
              </a:graphicData>
            </a:graphic>
          </wp:inline>
        </w:drawing>
      </w:r>
    </w:p>
    <w:p w14:paraId="43BFC7A5" w14:textId="77777777" w:rsidR="00BB4E21" w:rsidRDefault="00BB4E21" w:rsidP="00BB4E21">
      <w:pPr>
        <w:spacing w:after="0" w:line="480" w:lineRule="auto"/>
        <w:ind w:right="-810"/>
        <w:rPr>
          <w:rFonts w:ascii="Times New Roman" w:hAnsi="Times New Roman" w:cs="Times New Roman"/>
          <w:b/>
        </w:rPr>
      </w:pPr>
    </w:p>
    <w:tbl>
      <w:tblPr>
        <w:tblW w:w="5320" w:type="dxa"/>
        <w:tblInd w:w="108" w:type="dxa"/>
        <w:tblLook w:val="04A0" w:firstRow="1" w:lastRow="0" w:firstColumn="1" w:lastColumn="0" w:noHBand="0" w:noVBand="1"/>
      </w:tblPr>
      <w:tblGrid>
        <w:gridCol w:w="1396"/>
        <w:gridCol w:w="1256"/>
        <w:gridCol w:w="684"/>
        <w:gridCol w:w="1076"/>
        <w:gridCol w:w="1076"/>
      </w:tblGrid>
      <w:tr w:rsidR="00BB4E21" w14:paraId="039E0B8A" w14:textId="77777777" w:rsidTr="00056603">
        <w:trPr>
          <w:trHeight w:val="240"/>
        </w:trPr>
        <w:tc>
          <w:tcPr>
            <w:tcW w:w="1396" w:type="dxa"/>
            <w:tcBorders>
              <w:top w:val="nil"/>
              <w:left w:val="nil"/>
              <w:bottom w:val="nil"/>
              <w:right w:val="nil"/>
            </w:tcBorders>
            <w:shd w:val="clear" w:color="000000" w:fill="BFBFBF"/>
            <w:noWrap/>
            <w:vAlign w:val="bottom"/>
            <w:hideMark/>
          </w:tcPr>
          <w:p w14:paraId="2F5AE035" w14:textId="77777777" w:rsidR="00BB4E21" w:rsidRDefault="00BB4E21" w:rsidP="00056603">
            <w:pPr>
              <w:spacing w:after="0" w:line="240" w:lineRule="auto"/>
              <w:rPr>
                <w:rFonts w:ascii="Arial" w:eastAsia="Times New Roman" w:hAnsi="Arial" w:cs="Arial"/>
              </w:rPr>
            </w:pPr>
            <w:r>
              <w:rPr>
                <w:rFonts w:ascii="Arial" w:eastAsia="Times New Roman" w:hAnsi="Arial" w:cs="Arial"/>
              </w:rPr>
              <w:t> </w:t>
            </w:r>
          </w:p>
        </w:tc>
        <w:tc>
          <w:tcPr>
            <w:tcW w:w="1256" w:type="dxa"/>
            <w:tcBorders>
              <w:top w:val="nil"/>
              <w:left w:val="nil"/>
              <w:bottom w:val="nil"/>
              <w:right w:val="nil"/>
            </w:tcBorders>
            <w:shd w:val="clear" w:color="000000" w:fill="BFBFBF"/>
            <w:noWrap/>
            <w:vAlign w:val="bottom"/>
            <w:hideMark/>
          </w:tcPr>
          <w:p w14:paraId="4C580DDF" w14:textId="77777777" w:rsidR="00BB4E21" w:rsidRDefault="00BB4E21" w:rsidP="00056603">
            <w:pPr>
              <w:spacing w:after="0" w:line="240" w:lineRule="auto"/>
              <w:rPr>
                <w:rFonts w:ascii="Arial" w:eastAsia="Times New Roman" w:hAnsi="Arial" w:cs="Arial"/>
              </w:rPr>
            </w:pPr>
            <w:r>
              <w:rPr>
                <w:rFonts w:ascii="Arial" w:eastAsia="Times New Roman" w:hAnsi="Arial" w:cs="Arial"/>
              </w:rPr>
              <w:t>Estimate</w:t>
            </w:r>
          </w:p>
        </w:tc>
        <w:tc>
          <w:tcPr>
            <w:tcW w:w="516" w:type="dxa"/>
            <w:tcBorders>
              <w:top w:val="nil"/>
              <w:left w:val="nil"/>
              <w:bottom w:val="nil"/>
              <w:right w:val="nil"/>
            </w:tcBorders>
            <w:shd w:val="clear" w:color="000000" w:fill="BFBFBF"/>
            <w:noWrap/>
            <w:vAlign w:val="bottom"/>
            <w:hideMark/>
          </w:tcPr>
          <w:p w14:paraId="6918FBD3" w14:textId="77777777" w:rsidR="00BB4E21" w:rsidRDefault="00BB4E21" w:rsidP="00056603">
            <w:pPr>
              <w:spacing w:after="0" w:line="240" w:lineRule="auto"/>
              <w:rPr>
                <w:rFonts w:ascii="Arial" w:eastAsia="Times New Roman" w:hAnsi="Arial" w:cs="Arial"/>
              </w:rPr>
            </w:pPr>
            <w:r>
              <w:rPr>
                <w:rFonts w:ascii="Arial" w:eastAsia="Times New Roman" w:hAnsi="Arial" w:cs="Arial"/>
              </w:rPr>
              <w:t>SE</w:t>
            </w:r>
          </w:p>
        </w:tc>
        <w:tc>
          <w:tcPr>
            <w:tcW w:w="1076" w:type="dxa"/>
            <w:tcBorders>
              <w:top w:val="nil"/>
              <w:left w:val="nil"/>
              <w:bottom w:val="nil"/>
              <w:right w:val="nil"/>
            </w:tcBorders>
            <w:shd w:val="clear" w:color="000000" w:fill="BFBFBF"/>
            <w:noWrap/>
            <w:vAlign w:val="bottom"/>
            <w:hideMark/>
          </w:tcPr>
          <w:p w14:paraId="7E81C95B" w14:textId="77777777" w:rsidR="00BB4E21" w:rsidRDefault="00BB4E21" w:rsidP="00056603">
            <w:pPr>
              <w:spacing w:after="0" w:line="240" w:lineRule="auto"/>
              <w:rPr>
                <w:rFonts w:ascii="Arial" w:eastAsia="Times New Roman" w:hAnsi="Arial" w:cs="Arial"/>
              </w:rPr>
            </w:pPr>
            <w:r>
              <w:rPr>
                <w:rFonts w:ascii="Arial" w:eastAsia="Times New Roman" w:hAnsi="Arial" w:cs="Arial"/>
              </w:rPr>
              <w:t>CI LL</w:t>
            </w:r>
          </w:p>
        </w:tc>
        <w:tc>
          <w:tcPr>
            <w:tcW w:w="1076" w:type="dxa"/>
            <w:tcBorders>
              <w:top w:val="nil"/>
              <w:left w:val="nil"/>
              <w:bottom w:val="nil"/>
              <w:right w:val="nil"/>
            </w:tcBorders>
            <w:shd w:val="clear" w:color="000000" w:fill="BFBFBF"/>
            <w:noWrap/>
            <w:vAlign w:val="bottom"/>
            <w:hideMark/>
          </w:tcPr>
          <w:p w14:paraId="5416A3FD" w14:textId="77777777" w:rsidR="00BB4E21" w:rsidRDefault="00BB4E21" w:rsidP="00056603">
            <w:pPr>
              <w:spacing w:after="0" w:line="240" w:lineRule="auto"/>
              <w:rPr>
                <w:rFonts w:ascii="Arial" w:eastAsia="Times New Roman" w:hAnsi="Arial" w:cs="Arial"/>
              </w:rPr>
            </w:pPr>
            <w:r>
              <w:rPr>
                <w:rFonts w:ascii="Arial" w:eastAsia="Times New Roman" w:hAnsi="Arial" w:cs="Arial"/>
              </w:rPr>
              <w:t>CI UL</w:t>
            </w:r>
          </w:p>
        </w:tc>
      </w:tr>
      <w:tr w:rsidR="00BB4E21" w14:paraId="59E4A798" w14:textId="77777777" w:rsidTr="00056603">
        <w:trPr>
          <w:trHeight w:val="240"/>
        </w:trPr>
        <w:tc>
          <w:tcPr>
            <w:tcW w:w="1396" w:type="dxa"/>
            <w:tcBorders>
              <w:top w:val="nil"/>
              <w:left w:val="nil"/>
              <w:bottom w:val="nil"/>
              <w:right w:val="nil"/>
            </w:tcBorders>
            <w:shd w:val="clear" w:color="000000" w:fill="BFBFBF"/>
            <w:noWrap/>
            <w:vAlign w:val="bottom"/>
            <w:hideMark/>
          </w:tcPr>
          <w:p w14:paraId="612D4C73" w14:textId="77777777" w:rsidR="00BB4E21" w:rsidRDefault="00BB4E21" w:rsidP="00056603">
            <w:pPr>
              <w:spacing w:after="0" w:line="240" w:lineRule="auto"/>
              <w:rPr>
                <w:rFonts w:ascii="Arial" w:eastAsia="Times New Roman" w:hAnsi="Arial" w:cs="Arial"/>
              </w:rPr>
            </w:pPr>
            <w:r>
              <w:rPr>
                <w:rFonts w:ascii="Arial" w:eastAsia="Times New Roman" w:hAnsi="Arial" w:cs="Arial"/>
              </w:rPr>
              <w:t>Intercept</w:t>
            </w:r>
          </w:p>
        </w:tc>
        <w:tc>
          <w:tcPr>
            <w:tcW w:w="1256" w:type="dxa"/>
            <w:tcBorders>
              <w:top w:val="nil"/>
              <w:left w:val="nil"/>
              <w:bottom w:val="nil"/>
              <w:right w:val="nil"/>
            </w:tcBorders>
            <w:shd w:val="clear" w:color="000000" w:fill="D9D9D9"/>
            <w:noWrap/>
            <w:vAlign w:val="bottom"/>
            <w:hideMark/>
          </w:tcPr>
          <w:p w14:paraId="21DAD522"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3.52</w:t>
            </w:r>
          </w:p>
        </w:tc>
        <w:tc>
          <w:tcPr>
            <w:tcW w:w="516" w:type="dxa"/>
            <w:tcBorders>
              <w:top w:val="nil"/>
              <w:left w:val="nil"/>
              <w:bottom w:val="nil"/>
              <w:right w:val="nil"/>
            </w:tcBorders>
            <w:shd w:val="clear" w:color="000000" w:fill="D9D9D9"/>
            <w:noWrap/>
            <w:vAlign w:val="bottom"/>
            <w:hideMark/>
          </w:tcPr>
          <w:p w14:paraId="632F4EC5"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2.31</w:t>
            </w:r>
          </w:p>
        </w:tc>
        <w:tc>
          <w:tcPr>
            <w:tcW w:w="1076" w:type="dxa"/>
            <w:tcBorders>
              <w:top w:val="nil"/>
              <w:left w:val="nil"/>
              <w:bottom w:val="nil"/>
              <w:right w:val="nil"/>
            </w:tcBorders>
            <w:shd w:val="clear" w:color="000000" w:fill="D9D9D9"/>
            <w:noWrap/>
            <w:vAlign w:val="bottom"/>
            <w:hideMark/>
          </w:tcPr>
          <w:p w14:paraId="28EDB81B"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-6.39</w:t>
            </w:r>
          </w:p>
        </w:tc>
        <w:tc>
          <w:tcPr>
            <w:tcW w:w="1076" w:type="dxa"/>
            <w:tcBorders>
              <w:top w:val="nil"/>
              <w:left w:val="nil"/>
              <w:bottom w:val="nil"/>
              <w:right w:val="nil"/>
            </w:tcBorders>
            <w:shd w:val="clear" w:color="000000" w:fill="D9D9D9"/>
            <w:noWrap/>
            <w:vAlign w:val="bottom"/>
            <w:hideMark/>
          </w:tcPr>
          <w:p w14:paraId="42BCA3CC"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13.44</w:t>
            </w:r>
          </w:p>
        </w:tc>
      </w:tr>
      <w:tr w:rsidR="00BB4E21" w14:paraId="52D1EB8D" w14:textId="77777777" w:rsidTr="00056603">
        <w:trPr>
          <w:trHeight w:val="240"/>
        </w:trPr>
        <w:tc>
          <w:tcPr>
            <w:tcW w:w="1396" w:type="dxa"/>
            <w:tcBorders>
              <w:top w:val="nil"/>
              <w:left w:val="nil"/>
              <w:bottom w:val="nil"/>
              <w:right w:val="nil"/>
            </w:tcBorders>
            <w:shd w:val="clear" w:color="000000" w:fill="BFBFBF"/>
            <w:noWrap/>
            <w:vAlign w:val="bottom"/>
            <w:hideMark/>
          </w:tcPr>
          <w:p w14:paraId="33FE4DEF" w14:textId="77777777" w:rsidR="00BB4E21" w:rsidRDefault="00BB4E21" w:rsidP="00056603">
            <w:pPr>
              <w:spacing w:after="0" w:line="240" w:lineRule="auto"/>
              <w:rPr>
                <w:rFonts w:ascii="Arial" w:eastAsia="Times New Roman" w:hAnsi="Arial" w:cs="Arial"/>
              </w:rPr>
            </w:pPr>
            <w:r>
              <w:rPr>
                <w:rFonts w:ascii="Arial" w:eastAsia="Times New Roman" w:hAnsi="Arial" w:cs="Arial"/>
              </w:rPr>
              <w:t>Slope</w:t>
            </w:r>
          </w:p>
        </w:tc>
        <w:tc>
          <w:tcPr>
            <w:tcW w:w="1256" w:type="dxa"/>
            <w:tcBorders>
              <w:top w:val="nil"/>
              <w:left w:val="nil"/>
              <w:bottom w:val="nil"/>
              <w:right w:val="nil"/>
            </w:tcBorders>
            <w:shd w:val="clear" w:color="000000" w:fill="D9D9D9"/>
            <w:noWrap/>
            <w:vAlign w:val="bottom"/>
            <w:hideMark/>
          </w:tcPr>
          <w:p w14:paraId="3E0089E3"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-2.34</w:t>
            </w:r>
          </w:p>
        </w:tc>
        <w:tc>
          <w:tcPr>
            <w:tcW w:w="516" w:type="dxa"/>
            <w:tcBorders>
              <w:top w:val="nil"/>
              <w:left w:val="nil"/>
              <w:bottom w:val="nil"/>
              <w:right w:val="nil"/>
            </w:tcBorders>
            <w:shd w:val="clear" w:color="000000" w:fill="D9D9D9"/>
            <w:noWrap/>
            <w:vAlign w:val="bottom"/>
            <w:hideMark/>
          </w:tcPr>
          <w:p w14:paraId="35B6AEEB"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1.93</w:t>
            </w:r>
          </w:p>
        </w:tc>
        <w:tc>
          <w:tcPr>
            <w:tcW w:w="1076" w:type="dxa"/>
            <w:tcBorders>
              <w:top w:val="nil"/>
              <w:left w:val="nil"/>
              <w:bottom w:val="nil"/>
              <w:right w:val="nil"/>
            </w:tcBorders>
            <w:shd w:val="clear" w:color="000000" w:fill="D9D9D9"/>
            <w:noWrap/>
            <w:vAlign w:val="bottom"/>
            <w:hideMark/>
          </w:tcPr>
          <w:p w14:paraId="3C6144F6"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-10.66</w:t>
            </w:r>
          </w:p>
        </w:tc>
        <w:tc>
          <w:tcPr>
            <w:tcW w:w="1076" w:type="dxa"/>
            <w:tcBorders>
              <w:top w:val="nil"/>
              <w:left w:val="nil"/>
              <w:bottom w:val="nil"/>
              <w:right w:val="nil"/>
            </w:tcBorders>
            <w:shd w:val="clear" w:color="000000" w:fill="D9D9D9"/>
            <w:noWrap/>
            <w:vAlign w:val="bottom"/>
            <w:hideMark/>
          </w:tcPr>
          <w:p w14:paraId="7A9F782A"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5.98</w:t>
            </w:r>
          </w:p>
        </w:tc>
      </w:tr>
      <w:tr w:rsidR="00BB4E21" w14:paraId="3497725C" w14:textId="77777777" w:rsidTr="00056603">
        <w:trPr>
          <w:trHeight w:val="240"/>
        </w:trPr>
        <w:tc>
          <w:tcPr>
            <w:tcW w:w="1396" w:type="dxa"/>
            <w:tcBorders>
              <w:top w:val="nil"/>
              <w:left w:val="nil"/>
              <w:bottom w:val="nil"/>
              <w:right w:val="nil"/>
            </w:tcBorders>
            <w:noWrap/>
            <w:vAlign w:val="bottom"/>
            <w:hideMark/>
          </w:tcPr>
          <w:p w14:paraId="5A4669A5" w14:textId="77777777" w:rsidR="00BB4E21" w:rsidRDefault="00BB4E21" w:rsidP="00056603">
            <w:pPr>
              <w:spacing w:after="0" w:line="240" w:lineRule="auto"/>
              <w:rPr>
                <w:rFonts w:ascii="Arial" w:eastAsia="Times New Roman" w:hAnsi="Arial" w:cs="Arial"/>
                <w:color w:val="000000"/>
              </w:rPr>
            </w:pPr>
          </w:p>
        </w:tc>
        <w:tc>
          <w:tcPr>
            <w:tcW w:w="1256" w:type="dxa"/>
            <w:tcBorders>
              <w:top w:val="nil"/>
              <w:left w:val="nil"/>
              <w:bottom w:val="nil"/>
              <w:right w:val="nil"/>
            </w:tcBorders>
            <w:noWrap/>
            <w:vAlign w:val="bottom"/>
            <w:hideMark/>
          </w:tcPr>
          <w:p w14:paraId="5A4FCE95" w14:textId="77777777" w:rsidR="00BB4E21" w:rsidRDefault="00BB4E21" w:rsidP="00056603">
            <w:pPr>
              <w:spacing w:after="0" w:line="240" w:lineRule="auto"/>
              <w:rPr>
                <w:rFonts w:ascii="Arial" w:eastAsia="Times New Roman" w:hAnsi="Arial" w:cs="Arial"/>
                <w:color w:val="000000"/>
              </w:rPr>
            </w:pPr>
          </w:p>
        </w:tc>
        <w:tc>
          <w:tcPr>
            <w:tcW w:w="516" w:type="dxa"/>
            <w:tcBorders>
              <w:top w:val="nil"/>
              <w:left w:val="nil"/>
              <w:bottom w:val="nil"/>
              <w:right w:val="nil"/>
            </w:tcBorders>
            <w:noWrap/>
            <w:vAlign w:val="bottom"/>
            <w:hideMark/>
          </w:tcPr>
          <w:p w14:paraId="42B51CB2" w14:textId="77777777" w:rsidR="00BB4E21" w:rsidRDefault="00BB4E21" w:rsidP="00056603">
            <w:pPr>
              <w:spacing w:after="0" w:line="240" w:lineRule="auto"/>
              <w:rPr>
                <w:rFonts w:ascii="Arial" w:eastAsia="Times New Roman" w:hAnsi="Arial" w:cs="Arial"/>
                <w:color w:val="000000"/>
              </w:rPr>
            </w:pPr>
          </w:p>
        </w:tc>
        <w:tc>
          <w:tcPr>
            <w:tcW w:w="1076" w:type="dxa"/>
            <w:tcBorders>
              <w:top w:val="nil"/>
              <w:left w:val="nil"/>
              <w:bottom w:val="nil"/>
              <w:right w:val="nil"/>
            </w:tcBorders>
            <w:noWrap/>
            <w:vAlign w:val="bottom"/>
            <w:hideMark/>
          </w:tcPr>
          <w:p w14:paraId="391AA817" w14:textId="77777777" w:rsidR="00BB4E21" w:rsidRDefault="00BB4E21" w:rsidP="00056603">
            <w:pPr>
              <w:spacing w:after="0" w:line="240" w:lineRule="auto"/>
              <w:rPr>
                <w:rFonts w:ascii="Arial" w:eastAsia="Times New Roman" w:hAnsi="Arial" w:cs="Arial"/>
                <w:color w:val="000000"/>
              </w:rPr>
            </w:pPr>
          </w:p>
        </w:tc>
        <w:tc>
          <w:tcPr>
            <w:tcW w:w="1076" w:type="dxa"/>
            <w:tcBorders>
              <w:top w:val="nil"/>
              <w:left w:val="nil"/>
              <w:bottom w:val="nil"/>
              <w:right w:val="nil"/>
            </w:tcBorders>
            <w:noWrap/>
            <w:vAlign w:val="bottom"/>
            <w:hideMark/>
          </w:tcPr>
          <w:p w14:paraId="4EAF4283" w14:textId="77777777" w:rsidR="00BB4E21" w:rsidRDefault="00BB4E21" w:rsidP="00056603">
            <w:pPr>
              <w:spacing w:after="0" w:line="240" w:lineRule="auto"/>
              <w:rPr>
                <w:rFonts w:ascii="Arial" w:eastAsia="Times New Roman" w:hAnsi="Arial" w:cs="Arial"/>
                <w:color w:val="000000"/>
              </w:rPr>
            </w:pPr>
          </w:p>
        </w:tc>
      </w:tr>
      <w:tr w:rsidR="00BB4E21" w14:paraId="51DA19A7" w14:textId="77777777" w:rsidTr="00056603">
        <w:trPr>
          <w:trHeight w:val="240"/>
        </w:trPr>
        <w:tc>
          <w:tcPr>
            <w:tcW w:w="1396" w:type="dxa"/>
            <w:tcBorders>
              <w:top w:val="nil"/>
              <w:left w:val="nil"/>
              <w:bottom w:val="nil"/>
              <w:right w:val="nil"/>
            </w:tcBorders>
            <w:shd w:val="clear" w:color="000000" w:fill="BFBFBF"/>
            <w:noWrap/>
            <w:vAlign w:val="bottom"/>
            <w:hideMark/>
          </w:tcPr>
          <w:p w14:paraId="310AF3F0" w14:textId="77777777" w:rsidR="00BB4E21" w:rsidRDefault="00BB4E21" w:rsidP="00056603">
            <w:pPr>
              <w:spacing w:after="0" w:line="240" w:lineRule="auto"/>
              <w:rPr>
                <w:rFonts w:ascii="Arial" w:eastAsia="Times New Roman" w:hAnsi="Arial" w:cs="Arial"/>
              </w:rPr>
            </w:pPr>
            <w:r>
              <w:rPr>
                <w:rFonts w:ascii="Arial" w:eastAsia="Times New Roman" w:hAnsi="Arial" w:cs="Arial"/>
              </w:rPr>
              <w:t>t test</w:t>
            </w:r>
          </w:p>
        </w:tc>
        <w:tc>
          <w:tcPr>
            <w:tcW w:w="1256" w:type="dxa"/>
            <w:tcBorders>
              <w:top w:val="nil"/>
              <w:left w:val="nil"/>
              <w:bottom w:val="nil"/>
              <w:right w:val="nil"/>
            </w:tcBorders>
            <w:shd w:val="clear" w:color="000000" w:fill="D9D9D9"/>
            <w:noWrap/>
            <w:vAlign w:val="bottom"/>
            <w:hideMark/>
          </w:tcPr>
          <w:p w14:paraId="0C3D00BA"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1.53</w:t>
            </w:r>
          </w:p>
        </w:tc>
        <w:tc>
          <w:tcPr>
            <w:tcW w:w="516" w:type="dxa"/>
            <w:tcBorders>
              <w:top w:val="nil"/>
              <w:left w:val="nil"/>
              <w:bottom w:val="nil"/>
              <w:right w:val="nil"/>
            </w:tcBorders>
            <w:noWrap/>
            <w:vAlign w:val="bottom"/>
            <w:hideMark/>
          </w:tcPr>
          <w:p w14:paraId="1B519E70" w14:textId="77777777" w:rsidR="00BB4E21" w:rsidRDefault="00BB4E21" w:rsidP="00056603">
            <w:pPr>
              <w:spacing w:after="0" w:line="240" w:lineRule="auto"/>
              <w:rPr>
                <w:rFonts w:ascii="Arial" w:eastAsia="Times New Roman" w:hAnsi="Arial" w:cs="Arial"/>
                <w:color w:val="000000"/>
              </w:rPr>
            </w:pPr>
          </w:p>
        </w:tc>
        <w:tc>
          <w:tcPr>
            <w:tcW w:w="1076" w:type="dxa"/>
            <w:tcBorders>
              <w:top w:val="nil"/>
              <w:left w:val="nil"/>
              <w:bottom w:val="nil"/>
              <w:right w:val="nil"/>
            </w:tcBorders>
            <w:noWrap/>
            <w:vAlign w:val="bottom"/>
            <w:hideMark/>
          </w:tcPr>
          <w:p w14:paraId="2537F160" w14:textId="77777777" w:rsidR="00BB4E21" w:rsidRDefault="00BB4E21" w:rsidP="00056603">
            <w:pPr>
              <w:spacing w:after="0" w:line="240" w:lineRule="auto"/>
              <w:rPr>
                <w:rFonts w:ascii="Arial" w:eastAsia="Times New Roman" w:hAnsi="Arial" w:cs="Arial"/>
                <w:color w:val="000000"/>
              </w:rPr>
            </w:pPr>
          </w:p>
        </w:tc>
        <w:tc>
          <w:tcPr>
            <w:tcW w:w="1076" w:type="dxa"/>
            <w:tcBorders>
              <w:top w:val="nil"/>
              <w:left w:val="nil"/>
              <w:bottom w:val="nil"/>
              <w:right w:val="nil"/>
            </w:tcBorders>
            <w:noWrap/>
            <w:vAlign w:val="bottom"/>
            <w:hideMark/>
          </w:tcPr>
          <w:p w14:paraId="6E33BCAD" w14:textId="77777777" w:rsidR="00BB4E21" w:rsidRDefault="00BB4E21" w:rsidP="00056603">
            <w:pPr>
              <w:spacing w:after="0" w:line="240" w:lineRule="auto"/>
              <w:rPr>
                <w:rFonts w:ascii="Arial" w:eastAsia="Times New Roman" w:hAnsi="Arial" w:cs="Arial"/>
                <w:color w:val="000000"/>
              </w:rPr>
            </w:pPr>
          </w:p>
        </w:tc>
      </w:tr>
      <w:tr w:rsidR="00BB4E21" w14:paraId="0547A9CD" w14:textId="77777777" w:rsidTr="00056603">
        <w:trPr>
          <w:trHeight w:val="240"/>
        </w:trPr>
        <w:tc>
          <w:tcPr>
            <w:tcW w:w="1396" w:type="dxa"/>
            <w:tcBorders>
              <w:top w:val="nil"/>
              <w:left w:val="nil"/>
              <w:bottom w:val="nil"/>
              <w:right w:val="nil"/>
            </w:tcBorders>
            <w:shd w:val="clear" w:color="000000" w:fill="BFBFBF"/>
            <w:noWrap/>
            <w:vAlign w:val="bottom"/>
            <w:hideMark/>
          </w:tcPr>
          <w:p w14:paraId="37170F95" w14:textId="77777777" w:rsidR="00BB4E21" w:rsidRDefault="00BB4E21" w:rsidP="00056603">
            <w:pPr>
              <w:spacing w:after="0" w:line="240" w:lineRule="auto"/>
              <w:rPr>
                <w:rFonts w:ascii="Arial" w:eastAsia="Times New Roman" w:hAnsi="Arial" w:cs="Arial"/>
              </w:rPr>
            </w:pPr>
            <w:r>
              <w:rPr>
                <w:rFonts w:ascii="Arial" w:eastAsia="Times New Roman" w:hAnsi="Arial" w:cs="Arial"/>
              </w:rPr>
              <w:t>p-value</w:t>
            </w:r>
          </w:p>
        </w:tc>
        <w:tc>
          <w:tcPr>
            <w:tcW w:w="1256" w:type="dxa"/>
            <w:tcBorders>
              <w:top w:val="nil"/>
              <w:left w:val="nil"/>
              <w:bottom w:val="nil"/>
              <w:right w:val="nil"/>
            </w:tcBorders>
            <w:shd w:val="clear" w:color="000000" w:fill="D9D9D9"/>
            <w:noWrap/>
            <w:vAlign w:val="bottom"/>
            <w:hideMark/>
          </w:tcPr>
          <w:p w14:paraId="0ABDA0E6"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0.369</w:t>
            </w:r>
          </w:p>
        </w:tc>
        <w:tc>
          <w:tcPr>
            <w:tcW w:w="516" w:type="dxa"/>
            <w:tcBorders>
              <w:top w:val="nil"/>
              <w:left w:val="nil"/>
              <w:bottom w:val="nil"/>
              <w:right w:val="nil"/>
            </w:tcBorders>
            <w:noWrap/>
            <w:vAlign w:val="bottom"/>
            <w:hideMark/>
          </w:tcPr>
          <w:p w14:paraId="27D23BE6" w14:textId="77777777" w:rsidR="00BB4E21" w:rsidRDefault="00BB4E21" w:rsidP="00056603">
            <w:pPr>
              <w:spacing w:after="0" w:line="240" w:lineRule="auto"/>
              <w:rPr>
                <w:rFonts w:ascii="Arial" w:eastAsia="Times New Roman" w:hAnsi="Arial" w:cs="Arial"/>
                <w:color w:val="000000"/>
              </w:rPr>
            </w:pPr>
          </w:p>
        </w:tc>
        <w:tc>
          <w:tcPr>
            <w:tcW w:w="1076" w:type="dxa"/>
            <w:tcBorders>
              <w:top w:val="nil"/>
              <w:left w:val="nil"/>
              <w:bottom w:val="nil"/>
              <w:right w:val="nil"/>
            </w:tcBorders>
            <w:noWrap/>
            <w:vAlign w:val="bottom"/>
            <w:hideMark/>
          </w:tcPr>
          <w:p w14:paraId="47509DB4" w14:textId="77777777" w:rsidR="00BB4E21" w:rsidRDefault="00BB4E21" w:rsidP="00056603">
            <w:pPr>
              <w:spacing w:after="0" w:line="240" w:lineRule="auto"/>
              <w:rPr>
                <w:rFonts w:ascii="Arial" w:eastAsia="Times New Roman" w:hAnsi="Arial" w:cs="Arial"/>
                <w:color w:val="000000"/>
              </w:rPr>
            </w:pPr>
          </w:p>
        </w:tc>
        <w:tc>
          <w:tcPr>
            <w:tcW w:w="1076" w:type="dxa"/>
            <w:tcBorders>
              <w:top w:val="nil"/>
              <w:left w:val="nil"/>
              <w:bottom w:val="nil"/>
              <w:right w:val="nil"/>
            </w:tcBorders>
            <w:noWrap/>
            <w:vAlign w:val="bottom"/>
            <w:hideMark/>
          </w:tcPr>
          <w:p w14:paraId="7ABED03D" w14:textId="77777777" w:rsidR="00BB4E21" w:rsidRDefault="00BB4E21" w:rsidP="00056603">
            <w:pPr>
              <w:spacing w:after="0" w:line="240" w:lineRule="auto"/>
              <w:rPr>
                <w:rFonts w:ascii="Arial" w:eastAsia="Times New Roman" w:hAnsi="Arial" w:cs="Arial"/>
                <w:color w:val="000000"/>
              </w:rPr>
            </w:pPr>
          </w:p>
        </w:tc>
      </w:tr>
    </w:tbl>
    <w:p w14:paraId="2949D7D8" w14:textId="77777777" w:rsidR="00BB4E21" w:rsidRDefault="00BB4E21" w:rsidP="00BB4E21">
      <w:pPr>
        <w:spacing w:after="0" w:line="480" w:lineRule="auto"/>
        <w:ind w:right="-810"/>
        <w:rPr>
          <w:rFonts w:ascii="Times New Roman" w:hAnsi="Times New Roman" w:cs="Times New Roman"/>
          <w:b/>
        </w:rPr>
      </w:pPr>
    </w:p>
    <w:p w14:paraId="10EA400E" w14:textId="77777777" w:rsidR="00BB4E21" w:rsidRDefault="00BB4E21" w:rsidP="00BB4E21">
      <w:pPr>
        <w:rPr>
          <w:rFonts w:ascii="Times New Roman" w:hAnsi="Times New Roman" w:cs="Times New Roman"/>
          <w:b/>
        </w:rPr>
      </w:pPr>
      <w:r>
        <w:rPr>
          <w:rFonts w:ascii="Times New Roman" w:hAnsi="Times New Roman" w:cs="Times New Roman"/>
          <w:b/>
        </w:rPr>
        <w:br w:type="page"/>
      </w:r>
    </w:p>
    <w:p w14:paraId="05A8109D" w14:textId="77777777" w:rsidR="00BB4E21" w:rsidRDefault="00BB4E21" w:rsidP="00BB4E21">
      <w:pPr>
        <w:spacing w:after="0" w:line="480" w:lineRule="auto"/>
        <w:ind w:right="-810"/>
        <w:rPr>
          <w:rFonts w:ascii="Times New Roman" w:hAnsi="Times New Roman" w:cs="Times New Roman"/>
          <w:b/>
        </w:rPr>
      </w:pPr>
      <w:r>
        <w:rPr>
          <w:rFonts w:ascii="Times New Roman" w:hAnsi="Times New Roman" w:cs="Times New Roman"/>
          <w:b/>
        </w:rPr>
        <w:lastRenderedPageBreak/>
        <w:t>N) NYHA Functional Class ≥II</w:t>
      </w:r>
    </w:p>
    <w:p w14:paraId="1B91FB01" w14:textId="77777777" w:rsidR="00BB4E21" w:rsidRDefault="00BB4E21" w:rsidP="00BB4E21">
      <w:pPr>
        <w:spacing w:after="0" w:line="480" w:lineRule="auto"/>
        <w:ind w:right="-810"/>
        <w:rPr>
          <w:rFonts w:ascii="Times New Roman" w:hAnsi="Times New Roman" w:cs="Times New Roman"/>
          <w:b/>
        </w:rPr>
      </w:pPr>
    </w:p>
    <w:p w14:paraId="4A571008" w14:textId="77777777" w:rsidR="00BB4E21" w:rsidRDefault="00BB4E21" w:rsidP="00BB4E21">
      <w:pPr>
        <w:spacing w:after="0" w:line="480" w:lineRule="auto"/>
        <w:ind w:right="-810"/>
        <w:rPr>
          <w:rFonts w:ascii="Times New Roman" w:hAnsi="Times New Roman" w:cs="Times New Roman"/>
          <w:b/>
        </w:rPr>
      </w:pPr>
      <w:r>
        <w:rPr>
          <w:rFonts w:ascii="Times New Roman" w:hAnsi="Times New Roman" w:cs="Times New Roman"/>
          <w:b/>
          <w:noProof/>
        </w:rPr>
        <w:drawing>
          <wp:inline distT="0" distB="0" distL="0" distR="0" wp14:anchorId="38C0573F" wp14:editId="45DFD085">
            <wp:extent cx="5029200" cy="3352800"/>
            <wp:effectExtent l="0" t="0" r="0" b="0"/>
            <wp:docPr id="1039"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26"/>
                    <pic:cNvPicPr/>
                  </pic:nvPicPr>
                  <pic:blipFill>
                    <a:blip r:embed="rId39" cstate="print"/>
                    <a:srcRect/>
                    <a:stretch/>
                  </pic:blipFill>
                  <pic:spPr>
                    <a:xfrm>
                      <a:off x="0" y="0"/>
                      <a:ext cx="5029200" cy="3352800"/>
                    </a:xfrm>
                    <a:prstGeom prst="rect">
                      <a:avLst/>
                    </a:prstGeom>
                  </pic:spPr>
                </pic:pic>
              </a:graphicData>
            </a:graphic>
          </wp:inline>
        </w:drawing>
      </w:r>
    </w:p>
    <w:p w14:paraId="090EE55E" w14:textId="77777777" w:rsidR="00BB4E21" w:rsidRDefault="00BB4E21" w:rsidP="00BB4E21">
      <w:pPr>
        <w:spacing w:after="0" w:line="480" w:lineRule="auto"/>
        <w:ind w:right="-810"/>
        <w:rPr>
          <w:rFonts w:ascii="Times New Roman" w:hAnsi="Times New Roman" w:cs="Times New Roman"/>
          <w:b/>
        </w:rPr>
      </w:pPr>
    </w:p>
    <w:tbl>
      <w:tblPr>
        <w:tblW w:w="5320" w:type="dxa"/>
        <w:tblInd w:w="108" w:type="dxa"/>
        <w:tblLook w:val="04A0" w:firstRow="1" w:lastRow="0" w:firstColumn="1" w:lastColumn="0" w:noHBand="0" w:noVBand="1"/>
      </w:tblPr>
      <w:tblGrid>
        <w:gridCol w:w="1396"/>
        <w:gridCol w:w="1256"/>
        <w:gridCol w:w="684"/>
        <w:gridCol w:w="1076"/>
        <w:gridCol w:w="1076"/>
      </w:tblGrid>
      <w:tr w:rsidR="00BB4E21" w14:paraId="4F2F2420" w14:textId="77777777" w:rsidTr="00056603">
        <w:trPr>
          <w:trHeight w:val="240"/>
        </w:trPr>
        <w:tc>
          <w:tcPr>
            <w:tcW w:w="1396" w:type="dxa"/>
            <w:tcBorders>
              <w:top w:val="nil"/>
              <w:left w:val="nil"/>
              <w:bottom w:val="nil"/>
              <w:right w:val="nil"/>
            </w:tcBorders>
            <w:shd w:val="clear" w:color="000000" w:fill="BFBFBF"/>
            <w:noWrap/>
            <w:vAlign w:val="bottom"/>
            <w:hideMark/>
          </w:tcPr>
          <w:p w14:paraId="1B81EE30" w14:textId="77777777" w:rsidR="00BB4E21" w:rsidRDefault="00BB4E21" w:rsidP="00056603">
            <w:pPr>
              <w:spacing w:after="0" w:line="240" w:lineRule="auto"/>
              <w:rPr>
                <w:rFonts w:ascii="Arial" w:eastAsia="Times New Roman" w:hAnsi="Arial" w:cs="Arial"/>
              </w:rPr>
            </w:pPr>
            <w:r>
              <w:rPr>
                <w:rFonts w:ascii="Arial" w:eastAsia="Times New Roman" w:hAnsi="Arial" w:cs="Arial"/>
              </w:rPr>
              <w:t> </w:t>
            </w:r>
          </w:p>
        </w:tc>
        <w:tc>
          <w:tcPr>
            <w:tcW w:w="1256" w:type="dxa"/>
            <w:tcBorders>
              <w:top w:val="nil"/>
              <w:left w:val="nil"/>
              <w:bottom w:val="nil"/>
              <w:right w:val="nil"/>
            </w:tcBorders>
            <w:shd w:val="clear" w:color="000000" w:fill="BFBFBF"/>
            <w:noWrap/>
            <w:vAlign w:val="bottom"/>
            <w:hideMark/>
          </w:tcPr>
          <w:p w14:paraId="629B7343" w14:textId="77777777" w:rsidR="00BB4E21" w:rsidRDefault="00BB4E21" w:rsidP="00056603">
            <w:pPr>
              <w:spacing w:after="0" w:line="240" w:lineRule="auto"/>
              <w:rPr>
                <w:rFonts w:ascii="Arial" w:eastAsia="Times New Roman" w:hAnsi="Arial" w:cs="Arial"/>
              </w:rPr>
            </w:pPr>
            <w:r>
              <w:rPr>
                <w:rFonts w:ascii="Arial" w:eastAsia="Times New Roman" w:hAnsi="Arial" w:cs="Arial"/>
              </w:rPr>
              <w:t>Estimate</w:t>
            </w:r>
          </w:p>
        </w:tc>
        <w:tc>
          <w:tcPr>
            <w:tcW w:w="516" w:type="dxa"/>
            <w:tcBorders>
              <w:top w:val="nil"/>
              <w:left w:val="nil"/>
              <w:bottom w:val="nil"/>
              <w:right w:val="nil"/>
            </w:tcBorders>
            <w:shd w:val="clear" w:color="000000" w:fill="BFBFBF"/>
            <w:noWrap/>
            <w:vAlign w:val="bottom"/>
            <w:hideMark/>
          </w:tcPr>
          <w:p w14:paraId="00A1CAA7" w14:textId="77777777" w:rsidR="00BB4E21" w:rsidRDefault="00BB4E21" w:rsidP="00056603">
            <w:pPr>
              <w:spacing w:after="0" w:line="240" w:lineRule="auto"/>
              <w:rPr>
                <w:rFonts w:ascii="Arial" w:eastAsia="Times New Roman" w:hAnsi="Arial" w:cs="Arial"/>
              </w:rPr>
            </w:pPr>
            <w:r>
              <w:rPr>
                <w:rFonts w:ascii="Arial" w:eastAsia="Times New Roman" w:hAnsi="Arial" w:cs="Arial"/>
              </w:rPr>
              <w:t>SE</w:t>
            </w:r>
          </w:p>
        </w:tc>
        <w:tc>
          <w:tcPr>
            <w:tcW w:w="1076" w:type="dxa"/>
            <w:tcBorders>
              <w:top w:val="nil"/>
              <w:left w:val="nil"/>
              <w:bottom w:val="nil"/>
              <w:right w:val="nil"/>
            </w:tcBorders>
            <w:shd w:val="clear" w:color="000000" w:fill="BFBFBF"/>
            <w:noWrap/>
            <w:vAlign w:val="bottom"/>
            <w:hideMark/>
          </w:tcPr>
          <w:p w14:paraId="59E81F11" w14:textId="77777777" w:rsidR="00BB4E21" w:rsidRDefault="00BB4E21" w:rsidP="00056603">
            <w:pPr>
              <w:spacing w:after="0" w:line="240" w:lineRule="auto"/>
              <w:rPr>
                <w:rFonts w:ascii="Arial" w:eastAsia="Times New Roman" w:hAnsi="Arial" w:cs="Arial"/>
              </w:rPr>
            </w:pPr>
            <w:r>
              <w:rPr>
                <w:rFonts w:ascii="Arial" w:eastAsia="Times New Roman" w:hAnsi="Arial" w:cs="Arial"/>
              </w:rPr>
              <w:t>CI LL</w:t>
            </w:r>
          </w:p>
        </w:tc>
        <w:tc>
          <w:tcPr>
            <w:tcW w:w="1076" w:type="dxa"/>
            <w:tcBorders>
              <w:top w:val="nil"/>
              <w:left w:val="nil"/>
              <w:bottom w:val="nil"/>
              <w:right w:val="nil"/>
            </w:tcBorders>
            <w:shd w:val="clear" w:color="000000" w:fill="BFBFBF"/>
            <w:noWrap/>
            <w:vAlign w:val="bottom"/>
            <w:hideMark/>
          </w:tcPr>
          <w:p w14:paraId="38FCA412" w14:textId="77777777" w:rsidR="00BB4E21" w:rsidRDefault="00BB4E21" w:rsidP="00056603">
            <w:pPr>
              <w:spacing w:after="0" w:line="240" w:lineRule="auto"/>
              <w:rPr>
                <w:rFonts w:ascii="Arial" w:eastAsia="Times New Roman" w:hAnsi="Arial" w:cs="Arial"/>
              </w:rPr>
            </w:pPr>
            <w:r>
              <w:rPr>
                <w:rFonts w:ascii="Arial" w:eastAsia="Times New Roman" w:hAnsi="Arial" w:cs="Arial"/>
              </w:rPr>
              <w:t>CI UL</w:t>
            </w:r>
          </w:p>
        </w:tc>
      </w:tr>
      <w:tr w:rsidR="00BB4E21" w14:paraId="5A2E8971" w14:textId="77777777" w:rsidTr="00056603">
        <w:trPr>
          <w:trHeight w:val="240"/>
        </w:trPr>
        <w:tc>
          <w:tcPr>
            <w:tcW w:w="1396" w:type="dxa"/>
            <w:tcBorders>
              <w:top w:val="nil"/>
              <w:left w:val="nil"/>
              <w:bottom w:val="nil"/>
              <w:right w:val="nil"/>
            </w:tcBorders>
            <w:shd w:val="clear" w:color="000000" w:fill="BFBFBF"/>
            <w:noWrap/>
            <w:vAlign w:val="bottom"/>
            <w:hideMark/>
          </w:tcPr>
          <w:p w14:paraId="5E89B471" w14:textId="77777777" w:rsidR="00BB4E21" w:rsidRDefault="00BB4E21" w:rsidP="00056603">
            <w:pPr>
              <w:spacing w:after="0" w:line="240" w:lineRule="auto"/>
              <w:rPr>
                <w:rFonts w:ascii="Arial" w:eastAsia="Times New Roman" w:hAnsi="Arial" w:cs="Arial"/>
              </w:rPr>
            </w:pPr>
            <w:r>
              <w:rPr>
                <w:rFonts w:ascii="Arial" w:eastAsia="Times New Roman" w:hAnsi="Arial" w:cs="Arial"/>
              </w:rPr>
              <w:t>Intercept</w:t>
            </w:r>
          </w:p>
        </w:tc>
        <w:tc>
          <w:tcPr>
            <w:tcW w:w="1256" w:type="dxa"/>
            <w:tcBorders>
              <w:top w:val="nil"/>
              <w:left w:val="nil"/>
              <w:bottom w:val="nil"/>
              <w:right w:val="nil"/>
            </w:tcBorders>
            <w:shd w:val="clear" w:color="000000" w:fill="D9D9D9"/>
            <w:noWrap/>
            <w:vAlign w:val="bottom"/>
            <w:hideMark/>
          </w:tcPr>
          <w:p w14:paraId="63DC4491"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6.46</w:t>
            </w:r>
          </w:p>
        </w:tc>
        <w:tc>
          <w:tcPr>
            <w:tcW w:w="516" w:type="dxa"/>
            <w:tcBorders>
              <w:top w:val="nil"/>
              <w:left w:val="nil"/>
              <w:bottom w:val="nil"/>
              <w:right w:val="nil"/>
            </w:tcBorders>
            <w:shd w:val="clear" w:color="000000" w:fill="D9D9D9"/>
            <w:noWrap/>
            <w:vAlign w:val="bottom"/>
            <w:hideMark/>
          </w:tcPr>
          <w:p w14:paraId="143F4FA3"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1.18</w:t>
            </w:r>
          </w:p>
        </w:tc>
        <w:tc>
          <w:tcPr>
            <w:tcW w:w="1076" w:type="dxa"/>
            <w:tcBorders>
              <w:top w:val="nil"/>
              <w:left w:val="nil"/>
              <w:bottom w:val="nil"/>
              <w:right w:val="nil"/>
            </w:tcBorders>
            <w:shd w:val="clear" w:color="000000" w:fill="D9D9D9"/>
            <w:noWrap/>
            <w:vAlign w:val="bottom"/>
            <w:hideMark/>
          </w:tcPr>
          <w:p w14:paraId="5BDED556"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1.40</w:t>
            </w:r>
          </w:p>
        </w:tc>
        <w:tc>
          <w:tcPr>
            <w:tcW w:w="1076" w:type="dxa"/>
            <w:tcBorders>
              <w:top w:val="nil"/>
              <w:left w:val="nil"/>
              <w:bottom w:val="nil"/>
              <w:right w:val="nil"/>
            </w:tcBorders>
            <w:shd w:val="clear" w:color="000000" w:fill="D9D9D9"/>
            <w:noWrap/>
            <w:vAlign w:val="bottom"/>
            <w:hideMark/>
          </w:tcPr>
          <w:p w14:paraId="0EAB3C21"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11.53</w:t>
            </w:r>
          </w:p>
        </w:tc>
      </w:tr>
      <w:tr w:rsidR="00BB4E21" w14:paraId="574FFE4B" w14:textId="77777777" w:rsidTr="00056603">
        <w:trPr>
          <w:trHeight w:val="240"/>
        </w:trPr>
        <w:tc>
          <w:tcPr>
            <w:tcW w:w="1396" w:type="dxa"/>
            <w:tcBorders>
              <w:top w:val="nil"/>
              <w:left w:val="nil"/>
              <w:bottom w:val="nil"/>
              <w:right w:val="nil"/>
            </w:tcBorders>
            <w:shd w:val="clear" w:color="000000" w:fill="BFBFBF"/>
            <w:noWrap/>
            <w:vAlign w:val="bottom"/>
            <w:hideMark/>
          </w:tcPr>
          <w:p w14:paraId="465B8A85" w14:textId="77777777" w:rsidR="00BB4E21" w:rsidRDefault="00BB4E21" w:rsidP="00056603">
            <w:pPr>
              <w:spacing w:after="0" w:line="240" w:lineRule="auto"/>
              <w:rPr>
                <w:rFonts w:ascii="Arial" w:eastAsia="Times New Roman" w:hAnsi="Arial" w:cs="Arial"/>
              </w:rPr>
            </w:pPr>
            <w:r>
              <w:rPr>
                <w:rFonts w:ascii="Arial" w:eastAsia="Times New Roman" w:hAnsi="Arial" w:cs="Arial"/>
              </w:rPr>
              <w:t>Slope</w:t>
            </w:r>
          </w:p>
        </w:tc>
        <w:tc>
          <w:tcPr>
            <w:tcW w:w="1256" w:type="dxa"/>
            <w:tcBorders>
              <w:top w:val="nil"/>
              <w:left w:val="nil"/>
              <w:bottom w:val="nil"/>
              <w:right w:val="nil"/>
            </w:tcBorders>
            <w:shd w:val="clear" w:color="000000" w:fill="D9D9D9"/>
            <w:noWrap/>
            <w:vAlign w:val="bottom"/>
            <w:hideMark/>
          </w:tcPr>
          <w:p w14:paraId="40DDDB52"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-1.43</w:t>
            </w:r>
          </w:p>
        </w:tc>
        <w:tc>
          <w:tcPr>
            <w:tcW w:w="516" w:type="dxa"/>
            <w:tcBorders>
              <w:top w:val="nil"/>
              <w:left w:val="nil"/>
              <w:bottom w:val="nil"/>
              <w:right w:val="nil"/>
            </w:tcBorders>
            <w:shd w:val="clear" w:color="000000" w:fill="D9D9D9"/>
            <w:noWrap/>
            <w:vAlign w:val="bottom"/>
            <w:hideMark/>
          </w:tcPr>
          <w:p w14:paraId="1A33ABD0"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0.31</w:t>
            </w:r>
          </w:p>
        </w:tc>
        <w:tc>
          <w:tcPr>
            <w:tcW w:w="1076" w:type="dxa"/>
            <w:tcBorders>
              <w:top w:val="nil"/>
              <w:left w:val="nil"/>
              <w:bottom w:val="nil"/>
              <w:right w:val="nil"/>
            </w:tcBorders>
            <w:shd w:val="clear" w:color="000000" w:fill="D9D9D9"/>
            <w:noWrap/>
            <w:vAlign w:val="bottom"/>
            <w:hideMark/>
          </w:tcPr>
          <w:p w14:paraId="4B5307EE"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-2.77</w:t>
            </w:r>
          </w:p>
        </w:tc>
        <w:tc>
          <w:tcPr>
            <w:tcW w:w="1076" w:type="dxa"/>
            <w:tcBorders>
              <w:top w:val="nil"/>
              <w:left w:val="nil"/>
              <w:bottom w:val="nil"/>
              <w:right w:val="nil"/>
            </w:tcBorders>
            <w:shd w:val="clear" w:color="000000" w:fill="D9D9D9"/>
            <w:noWrap/>
            <w:vAlign w:val="bottom"/>
            <w:hideMark/>
          </w:tcPr>
          <w:p w14:paraId="4B64063C"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-0.09</w:t>
            </w:r>
          </w:p>
        </w:tc>
      </w:tr>
      <w:tr w:rsidR="00BB4E21" w14:paraId="6AF57606" w14:textId="77777777" w:rsidTr="00056603">
        <w:trPr>
          <w:trHeight w:val="240"/>
        </w:trPr>
        <w:tc>
          <w:tcPr>
            <w:tcW w:w="1396" w:type="dxa"/>
            <w:tcBorders>
              <w:top w:val="nil"/>
              <w:left w:val="nil"/>
              <w:bottom w:val="nil"/>
              <w:right w:val="nil"/>
            </w:tcBorders>
            <w:noWrap/>
            <w:vAlign w:val="bottom"/>
            <w:hideMark/>
          </w:tcPr>
          <w:p w14:paraId="32DB5C90" w14:textId="77777777" w:rsidR="00BB4E21" w:rsidRDefault="00BB4E21" w:rsidP="00056603">
            <w:pPr>
              <w:spacing w:after="0" w:line="240" w:lineRule="auto"/>
              <w:rPr>
                <w:rFonts w:ascii="Arial" w:eastAsia="Times New Roman" w:hAnsi="Arial" w:cs="Arial"/>
                <w:color w:val="000000"/>
              </w:rPr>
            </w:pPr>
          </w:p>
        </w:tc>
        <w:tc>
          <w:tcPr>
            <w:tcW w:w="1256" w:type="dxa"/>
            <w:tcBorders>
              <w:top w:val="nil"/>
              <w:left w:val="nil"/>
              <w:bottom w:val="nil"/>
              <w:right w:val="nil"/>
            </w:tcBorders>
            <w:noWrap/>
            <w:vAlign w:val="bottom"/>
            <w:hideMark/>
          </w:tcPr>
          <w:p w14:paraId="247AC792" w14:textId="77777777" w:rsidR="00BB4E21" w:rsidRDefault="00BB4E21" w:rsidP="00056603">
            <w:pPr>
              <w:spacing w:after="0" w:line="240" w:lineRule="auto"/>
              <w:rPr>
                <w:rFonts w:ascii="Arial" w:eastAsia="Times New Roman" w:hAnsi="Arial" w:cs="Arial"/>
                <w:color w:val="000000"/>
              </w:rPr>
            </w:pPr>
          </w:p>
        </w:tc>
        <w:tc>
          <w:tcPr>
            <w:tcW w:w="516" w:type="dxa"/>
            <w:tcBorders>
              <w:top w:val="nil"/>
              <w:left w:val="nil"/>
              <w:bottom w:val="nil"/>
              <w:right w:val="nil"/>
            </w:tcBorders>
            <w:noWrap/>
            <w:vAlign w:val="bottom"/>
            <w:hideMark/>
          </w:tcPr>
          <w:p w14:paraId="1546FBEA" w14:textId="77777777" w:rsidR="00BB4E21" w:rsidRDefault="00BB4E21" w:rsidP="00056603">
            <w:pPr>
              <w:spacing w:after="0" w:line="240" w:lineRule="auto"/>
              <w:rPr>
                <w:rFonts w:ascii="Arial" w:eastAsia="Times New Roman" w:hAnsi="Arial" w:cs="Arial"/>
                <w:color w:val="000000"/>
              </w:rPr>
            </w:pPr>
          </w:p>
        </w:tc>
        <w:tc>
          <w:tcPr>
            <w:tcW w:w="1076" w:type="dxa"/>
            <w:tcBorders>
              <w:top w:val="nil"/>
              <w:left w:val="nil"/>
              <w:bottom w:val="nil"/>
              <w:right w:val="nil"/>
            </w:tcBorders>
            <w:noWrap/>
            <w:vAlign w:val="bottom"/>
            <w:hideMark/>
          </w:tcPr>
          <w:p w14:paraId="5F3B0B9C" w14:textId="77777777" w:rsidR="00BB4E21" w:rsidRDefault="00BB4E21" w:rsidP="00056603">
            <w:pPr>
              <w:spacing w:after="0" w:line="240" w:lineRule="auto"/>
              <w:rPr>
                <w:rFonts w:ascii="Arial" w:eastAsia="Times New Roman" w:hAnsi="Arial" w:cs="Arial"/>
                <w:color w:val="000000"/>
              </w:rPr>
            </w:pPr>
          </w:p>
        </w:tc>
        <w:tc>
          <w:tcPr>
            <w:tcW w:w="1076" w:type="dxa"/>
            <w:tcBorders>
              <w:top w:val="nil"/>
              <w:left w:val="nil"/>
              <w:bottom w:val="nil"/>
              <w:right w:val="nil"/>
            </w:tcBorders>
            <w:noWrap/>
            <w:vAlign w:val="bottom"/>
            <w:hideMark/>
          </w:tcPr>
          <w:p w14:paraId="77394413" w14:textId="77777777" w:rsidR="00BB4E21" w:rsidRDefault="00BB4E21" w:rsidP="00056603">
            <w:pPr>
              <w:spacing w:after="0" w:line="240" w:lineRule="auto"/>
              <w:rPr>
                <w:rFonts w:ascii="Arial" w:eastAsia="Times New Roman" w:hAnsi="Arial" w:cs="Arial"/>
                <w:color w:val="000000"/>
              </w:rPr>
            </w:pPr>
          </w:p>
        </w:tc>
      </w:tr>
      <w:tr w:rsidR="00BB4E21" w14:paraId="2D8AAA96" w14:textId="77777777" w:rsidTr="00056603">
        <w:trPr>
          <w:trHeight w:val="240"/>
        </w:trPr>
        <w:tc>
          <w:tcPr>
            <w:tcW w:w="1396" w:type="dxa"/>
            <w:tcBorders>
              <w:top w:val="nil"/>
              <w:left w:val="nil"/>
              <w:bottom w:val="nil"/>
              <w:right w:val="nil"/>
            </w:tcBorders>
            <w:shd w:val="clear" w:color="000000" w:fill="BFBFBF"/>
            <w:noWrap/>
            <w:vAlign w:val="bottom"/>
            <w:hideMark/>
          </w:tcPr>
          <w:p w14:paraId="65BDBE63" w14:textId="77777777" w:rsidR="00BB4E21" w:rsidRDefault="00BB4E21" w:rsidP="00056603">
            <w:pPr>
              <w:spacing w:after="0" w:line="240" w:lineRule="auto"/>
              <w:rPr>
                <w:rFonts w:ascii="Arial" w:eastAsia="Times New Roman" w:hAnsi="Arial" w:cs="Arial"/>
              </w:rPr>
            </w:pPr>
            <w:r>
              <w:rPr>
                <w:rFonts w:ascii="Arial" w:eastAsia="Times New Roman" w:hAnsi="Arial" w:cs="Arial"/>
              </w:rPr>
              <w:t>t test</w:t>
            </w:r>
          </w:p>
        </w:tc>
        <w:tc>
          <w:tcPr>
            <w:tcW w:w="1256" w:type="dxa"/>
            <w:tcBorders>
              <w:top w:val="nil"/>
              <w:left w:val="nil"/>
              <w:bottom w:val="nil"/>
              <w:right w:val="nil"/>
            </w:tcBorders>
            <w:shd w:val="clear" w:color="000000" w:fill="D9D9D9"/>
            <w:noWrap/>
            <w:vAlign w:val="bottom"/>
            <w:hideMark/>
          </w:tcPr>
          <w:p w14:paraId="3B3DBFB2"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5.49</w:t>
            </w:r>
          </w:p>
        </w:tc>
        <w:tc>
          <w:tcPr>
            <w:tcW w:w="516" w:type="dxa"/>
            <w:tcBorders>
              <w:top w:val="nil"/>
              <w:left w:val="nil"/>
              <w:bottom w:val="nil"/>
              <w:right w:val="nil"/>
            </w:tcBorders>
            <w:noWrap/>
            <w:vAlign w:val="bottom"/>
            <w:hideMark/>
          </w:tcPr>
          <w:p w14:paraId="4AEFE070" w14:textId="77777777" w:rsidR="00BB4E21" w:rsidRDefault="00BB4E21" w:rsidP="00056603">
            <w:pPr>
              <w:spacing w:after="0" w:line="240" w:lineRule="auto"/>
              <w:rPr>
                <w:rFonts w:ascii="Arial" w:eastAsia="Times New Roman" w:hAnsi="Arial" w:cs="Arial"/>
                <w:color w:val="000000"/>
              </w:rPr>
            </w:pPr>
          </w:p>
        </w:tc>
        <w:tc>
          <w:tcPr>
            <w:tcW w:w="1076" w:type="dxa"/>
            <w:tcBorders>
              <w:top w:val="nil"/>
              <w:left w:val="nil"/>
              <w:bottom w:val="nil"/>
              <w:right w:val="nil"/>
            </w:tcBorders>
            <w:noWrap/>
            <w:vAlign w:val="bottom"/>
            <w:hideMark/>
          </w:tcPr>
          <w:p w14:paraId="6F81FB2E" w14:textId="77777777" w:rsidR="00BB4E21" w:rsidRDefault="00BB4E21" w:rsidP="00056603">
            <w:pPr>
              <w:spacing w:after="0" w:line="240" w:lineRule="auto"/>
              <w:rPr>
                <w:rFonts w:ascii="Arial" w:eastAsia="Times New Roman" w:hAnsi="Arial" w:cs="Arial"/>
                <w:color w:val="000000"/>
              </w:rPr>
            </w:pPr>
          </w:p>
        </w:tc>
        <w:tc>
          <w:tcPr>
            <w:tcW w:w="1076" w:type="dxa"/>
            <w:tcBorders>
              <w:top w:val="nil"/>
              <w:left w:val="nil"/>
              <w:bottom w:val="nil"/>
              <w:right w:val="nil"/>
            </w:tcBorders>
            <w:noWrap/>
            <w:vAlign w:val="bottom"/>
            <w:hideMark/>
          </w:tcPr>
          <w:p w14:paraId="688E1363" w14:textId="77777777" w:rsidR="00BB4E21" w:rsidRDefault="00BB4E21" w:rsidP="00056603">
            <w:pPr>
              <w:spacing w:after="0" w:line="240" w:lineRule="auto"/>
              <w:rPr>
                <w:rFonts w:ascii="Arial" w:eastAsia="Times New Roman" w:hAnsi="Arial" w:cs="Arial"/>
                <w:color w:val="000000"/>
              </w:rPr>
            </w:pPr>
          </w:p>
        </w:tc>
      </w:tr>
      <w:tr w:rsidR="00BB4E21" w14:paraId="274F4B4B" w14:textId="77777777" w:rsidTr="00056603">
        <w:trPr>
          <w:trHeight w:val="240"/>
        </w:trPr>
        <w:tc>
          <w:tcPr>
            <w:tcW w:w="1396" w:type="dxa"/>
            <w:tcBorders>
              <w:top w:val="nil"/>
              <w:left w:val="nil"/>
              <w:bottom w:val="nil"/>
              <w:right w:val="nil"/>
            </w:tcBorders>
            <w:shd w:val="clear" w:color="000000" w:fill="BFBFBF"/>
            <w:noWrap/>
            <w:vAlign w:val="bottom"/>
            <w:hideMark/>
          </w:tcPr>
          <w:p w14:paraId="3BBF0C5E" w14:textId="77777777" w:rsidR="00BB4E21" w:rsidRDefault="00BB4E21" w:rsidP="00056603">
            <w:pPr>
              <w:spacing w:after="0" w:line="240" w:lineRule="auto"/>
              <w:rPr>
                <w:rFonts w:ascii="Arial" w:eastAsia="Times New Roman" w:hAnsi="Arial" w:cs="Arial"/>
              </w:rPr>
            </w:pPr>
            <w:r>
              <w:rPr>
                <w:rFonts w:ascii="Arial" w:eastAsia="Times New Roman" w:hAnsi="Arial" w:cs="Arial"/>
              </w:rPr>
              <w:t>p-value</w:t>
            </w:r>
          </w:p>
        </w:tc>
        <w:tc>
          <w:tcPr>
            <w:tcW w:w="1256" w:type="dxa"/>
            <w:tcBorders>
              <w:top w:val="nil"/>
              <w:left w:val="nil"/>
              <w:bottom w:val="nil"/>
              <w:right w:val="nil"/>
            </w:tcBorders>
            <w:shd w:val="clear" w:color="000000" w:fill="D9D9D9"/>
            <w:noWrap/>
            <w:vAlign w:val="bottom"/>
            <w:hideMark/>
          </w:tcPr>
          <w:p w14:paraId="2B4A3DC1" w14:textId="77777777" w:rsidR="00BB4E21" w:rsidRDefault="00BB4E21" w:rsidP="00056603">
            <w:pPr>
              <w:spacing w:after="0" w:line="240" w:lineRule="auto"/>
              <w:jc w:val="right"/>
              <w:rPr>
                <w:rFonts w:ascii="Arial" w:eastAsia="Times New Roman" w:hAnsi="Arial" w:cs="Arial"/>
              </w:rPr>
            </w:pPr>
            <w:r>
              <w:rPr>
                <w:rFonts w:ascii="Arial" w:eastAsia="Times New Roman" w:hAnsi="Arial" w:cs="Arial"/>
              </w:rPr>
              <w:t>0.115</w:t>
            </w:r>
          </w:p>
        </w:tc>
        <w:tc>
          <w:tcPr>
            <w:tcW w:w="516" w:type="dxa"/>
            <w:tcBorders>
              <w:top w:val="nil"/>
              <w:left w:val="nil"/>
              <w:bottom w:val="nil"/>
              <w:right w:val="nil"/>
            </w:tcBorders>
            <w:noWrap/>
            <w:vAlign w:val="bottom"/>
            <w:hideMark/>
          </w:tcPr>
          <w:p w14:paraId="5A2FD327" w14:textId="77777777" w:rsidR="00BB4E21" w:rsidRDefault="00BB4E21" w:rsidP="00056603">
            <w:pPr>
              <w:spacing w:after="0" w:line="240" w:lineRule="auto"/>
              <w:rPr>
                <w:rFonts w:ascii="Arial" w:eastAsia="Times New Roman" w:hAnsi="Arial" w:cs="Arial"/>
                <w:color w:val="000000"/>
              </w:rPr>
            </w:pPr>
          </w:p>
        </w:tc>
        <w:tc>
          <w:tcPr>
            <w:tcW w:w="1076" w:type="dxa"/>
            <w:tcBorders>
              <w:top w:val="nil"/>
              <w:left w:val="nil"/>
              <w:bottom w:val="nil"/>
              <w:right w:val="nil"/>
            </w:tcBorders>
            <w:noWrap/>
            <w:vAlign w:val="bottom"/>
            <w:hideMark/>
          </w:tcPr>
          <w:p w14:paraId="77C4684A" w14:textId="77777777" w:rsidR="00BB4E21" w:rsidRDefault="00BB4E21" w:rsidP="00056603">
            <w:pPr>
              <w:spacing w:after="0" w:line="240" w:lineRule="auto"/>
              <w:rPr>
                <w:rFonts w:ascii="Arial" w:eastAsia="Times New Roman" w:hAnsi="Arial" w:cs="Arial"/>
                <w:color w:val="000000"/>
              </w:rPr>
            </w:pPr>
          </w:p>
        </w:tc>
        <w:tc>
          <w:tcPr>
            <w:tcW w:w="1076" w:type="dxa"/>
            <w:tcBorders>
              <w:top w:val="nil"/>
              <w:left w:val="nil"/>
              <w:bottom w:val="nil"/>
              <w:right w:val="nil"/>
            </w:tcBorders>
            <w:noWrap/>
            <w:vAlign w:val="bottom"/>
            <w:hideMark/>
          </w:tcPr>
          <w:p w14:paraId="44E1D904" w14:textId="77777777" w:rsidR="00BB4E21" w:rsidRDefault="00BB4E21" w:rsidP="00056603">
            <w:pPr>
              <w:spacing w:after="0" w:line="240" w:lineRule="auto"/>
              <w:rPr>
                <w:rFonts w:ascii="Arial" w:eastAsia="Times New Roman" w:hAnsi="Arial" w:cs="Arial"/>
                <w:color w:val="000000"/>
              </w:rPr>
            </w:pPr>
          </w:p>
        </w:tc>
      </w:tr>
    </w:tbl>
    <w:p w14:paraId="280831BF" w14:textId="77777777" w:rsidR="00BB4E21" w:rsidRDefault="00BB4E21" w:rsidP="00BB4E21">
      <w:pPr>
        <w:spacing w:after="0" w:line="480" w:lineRule="auto"/>
        <w:ind w:right="-810"/>
        <w:rPr>
          <w:rFonts w:ascii="Times New Roman" w:hAnsi="Times New Roman" w:cs="Times New Roman"/>
          <w:b/>
        </w:rPr>
      </w:pPr>
    </w:p>
    <w:p w14:paraId="5D693A63" w14:textId="77777777" w:rsidR="00BB4E21" w:rsidRDefault="00BB4E21" w:rsidP="00BB4E21">
      <w:pPr>
        <w:spacing w:after="0" w:line="480" w:lineRule="auto"/>
        <w:ind w:right="-810"/>
        <w:rPr>
          <w:rFonts w:ascii="Times New Roman" w:hAnsi="Times New Roman" w:cs="Times New Roman"/>
          <w:b/>
        </w:rPr>
      </w:pPr>
    </w:p>
    <w:p w14:paraId="28F1C52D" w14:textId="77777777" w:rsidR="00BB4E21" w:rsidRDefault="00BB4E21" w:rsidP="00BB4E21">
      <w:pPr>
        <w:spacing w:after="0" w:line="480" w:lineRule="auto"/>
        <w:ind w:right="-810"/>
        <w:rPr>
          <w:rFonts w:ascii="Times New Roman" w:hAnsi="Times New Roman" w:cs="Times New Roman"/>
          <w:b/>
        </w:rPr>
      </w:pPr>
    </w:p>
    <w:p w14:paraId="5E2627B0" w14:textId="77777777" w:rsidR="00BB4E21" w:rsidRDefault="00BB4E21" w:rsidP="00BB4E21">
      <w:pPr>
        <w:spacing w:after="0" w:line="480" w:lineRule="auto"/>
        <w:ind w:right="-810"/>
        <w:rPr>
          <w:rFonts w:ascii="Times New Roman" w:hAnsi="Times New Roman" w:cs="Times New Roman"/>
          <w:b/>
        </w:rPr>
      </w:pPr>
    </w:p>
    <w:p w14:paraId="78CD6AB1" w14:textId="77777777" w:rsidR="00BB4E21" w:rsidRDefault="00BB4E21" w:rsidP="00BB4E21">
      <w:pPr>
        <w:spacing w:after="0" w:line="480" w:lineRule="auto"/>
        <w:ind w:right="-810"/>
        <w:rPr>
          <w:rFonts w:ascii="Times New Roman" w:hAnsi="Times New Roman" w:cs="Times New Roman"/>
          <w:b/>
        </w:rPr>
      </w:pPr>
    </w:p>
    <w:p w14:paraId="7B830DBF" w14:textId="77777777" w:rsidR="00BB4E21" w:rsidRDefault="00BB4E21" w:rsidP="00BB4E21">
      <w:pPr>
        <w:spacing w:after="0" w:line="480" w:lineRule="auto"/>
        <w:ind w:right="-810"/>
        <w:rPr>
          <w:rFonts w:ascii="Times New Roman" w:hAnsi="Times New Roman" w:cs="Times New Roman"/>
          <w:b/>
        </w:rPr>
      </w:pPr>
    </w:p>
    <w:p w14:paraId="6DB3458E" w14:textId="77777777" w:rsidR="00BB4E21" w:rsidRDefault="00BB4E21" w:rsidP="00BB4E21">
      <w:pPr>
        <w:spacing w:after="0" w:line="480" w:lineRule="auto"/>
        <w:ind w:right="-810"/>
        <w:rPr>
          <w:rFonts w:ascii="Times New Roman" w:hAnsi="Times New Roman" w:cs="Times New Roman"/>
          <w:b/>
        </w:rPr>
      </w:pPr>
    </w:p>
    <w:p w14:paraId="46B2E63F" w14:textId="77777777" w:rsidR="00BB4E21" w:rsidRDefault="00BB4E21" w:rsidP="00BB4E21">
      <w:pPr>
        <w:rPr>
          <w:rFonts w:ascii="Times New Roman" w:hAnsi="Times New Roman" w:cs="Times New Roman"/>
          <w:i/>
          <w:iCs/>
        </w:rPr>
        <w:sectPr w:rsidR="00BB4E21">
          <w:pgSz w:w="12240" w:h="15840"/>
          <w:pgMar w:top="1440" w:right="1440" w:bottom="1440" w:left="1440" w:header="720" w:footer="720" w:gutter="0"/>
          <w:pgNumType w:start="1"/>
          <w:cols w:space="720"/>
          <w:docGrid w:linePitch="360"/>
        </w:sectPr>
      </w:pPr>
    </w:p>
    <w:p w14:paraId="28AB1F1B" w14:textId="77777777" w:rsidR="00BB4E21" w:rsidRDefault="00BB4E21" w:rsidP="00BB4E21">
      <w:pPr>
        <w:rPr>
          <w:rFonts w:ascii="Times New Roman" w:hAnsi="Times New Roman" w:cs="Times New Roman"/>
        </w:rPr>
      </w:pPr>
      <w:r>
        <w:rPr>
          <w:rFonts w:ascii="Times New Roman" w:hAnsi="Times New Roman" w:cs="Times New Roman"/>
          <w:b/>
        </w:rPr>
        <w:lastRenderedPageBreak/>
        <w:t xml:space="preserve">Table 1. </w:t>
      </w:r>
      <w:r>
        <w:rPr>
          <w:rFonts w:ascii="Times New Roman" w:hAnsi="Times New Roman" w:cs="Times New Roman"/>
        </w:rPr>
        <w:t>Electronic Database Search Strategy</w:t>
      </w:r>
    </w:p>
    <w:tbl>
      <w:tblPr>
        <w:tblStyle w:val="PlainTable11"/>
        <w:tblW w:w="14126" w:type="dxa"/>
        <w:tblLook w:val="04A0" w:firstRow="1" w:lastRow="0" w:firstColumn="1" w:lastColumn="0" w:noHBand="0" w:noVBand="1"/>
      </w:tblPr>
      <w:tblGrid>
        <w:gridCol w:w="2668"/>
        <w:gridCol w:w="6750"/>
        <w:gridCol w:w="2040"/>
        <w:gridCol w:w="2668"/>
      </w:tblGrid>
      <w:tr w:rsidR="00BB4E21" w14:paraId="17724A7C" w14:textId="77777777" w:rsidTr="00056603">
        <w:trPr>
          <w:cnfStyle w:val="100000000000" w:firstRow="1" w:lastRow="0" w:firstColumn="0" w:lastColumn="0" w:oddVBand="0" w:evenVBand="0" w:oddHBand="0"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2668" w:type="dxa"/>
          </w:tcPr>
          <w:p w14:paraId="47D5062E" w14:textId="77777777" w:rsidR="00BB4E21" w:rsidRDefault="00BB4E21" w:rsidP="00056603">
            <w:pPr>
              <w:rPr>
                <w:rFonts w:ascii="Times New Roman" w:hAnsi="Times New Roman" w:cs="Times New Roman"/>
                <w:sz w:val="24"/>
              </w:rPr>
            </w:pPr>
            <w:r>
              <w:rPr>
                <w:rFonts w:ascii="Times New Roman" w:hAnsi="Times New Roman" w:cs="Times New Roman"/>
                <w:sz w:val="24"/>
              </w:rPr>
              <w:t>Database</w:t>
            </w:r>
          </w:p>
        </w:tc>
        <w:tc>
          <w:tcPr>
            <w:tcW w:w="6750" w:type="dxa"/>
          </w:tcPr>
          <w:p w14:paraId="525AF577" w14:textId="77777777" w:rsidR="00BB4E21" w:rsidRDefault="00BB4E21" w:rsidP="0005660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Search Strategy</w:t>
            </w:r>
          </w:p>
        </w:tc>
        <w:tc>
          <w:tcPr>
            <w:tcW w:w="2040" w:type="dxa"/>
          </w:tcPr>
          <w:p w14:paraId="0687BF82" w14:textId="77777777" w:rsidR="00BB4E21" w:rsidRDefault="00BB4E21" w:rsidP="0005660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Search Results</w:t>
            </w:r>
          </w:p>
        </w:tc>
        <w:tc>
          <w:tcPr>
            <w:tcW w:w="2668" w:type="dxa"/>
          </w:tcPr>
          <w:p w14:paraId="20CA9992" w14:textId="77777777" w:rsidR="00BB4E21" w:rsidRDefault="00BB4E21" w:rsidP="0005660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Articles After Excluding Duplicates</w:t>
            </w:r>
          </w:p>
        </w:tc>
      </w:tr>
      <w:tr w:rsidR="00BB4E21" w14:paraId="1404530B" w14:textId="77777777" w:rsidTr="00056603">
        <w:trPr>
          <w:cnfStyle w:val="000000100000" w:firstRow="0" w:lastRow="0" w:firstColumn="0" w:lastColumn="0" w:oddVBand="0" w:evenVBand="0" w:oddHBand="1" w:evenHBand="0" w:firstRowFirstColumn="0" w:firstRowLastColumn="0" w:lastRowFirstColumn="0" w:lastRowLastColumn="0"/>
          <w:trHeight w:val="1307"/>
        </w:trPr>
        <w:tc>
          <w:tcPr>
            <w:cnfStyle w:val="001000000000" w:firstRow="0" w:lastRow="0" w:firstColumn="1" w:lastColumn="0" w:oddVBand="0" w:evenVBand="0" w:oddHBand="0" w:evenHBand="0" w:firstRowFirstColumn="0" w:firstRowLastColumn="0" w:lastRowFirstColumn="0" w:lastRowLastColumn="0"/>
            <w:tcW w:w="2668" w:type="dxa"/>
          </w:tcPr>
          <w:p w14:paraId="16A045B9" w14:textId="77777777" w:rsidR="00BB4E21" w:rsidRDefault="00BB4E21" w:rsidP="00056603">
            <w:pPr>
              <w:rPr>
                <w:rFonts w:ascii="Times New Roman" w:hAnsi="Times New Roman" w:cs="Times New Roman"/>
                <w:sz w:val="24"/>
              </w:rPr>
            </w:pPr>
            <w:r>
              <w:rPr>
                <w:rFonts w:ascii="Times New Roman" w:hAnsi="Times New Roman" w:cs="Times New Roman"/>
                <w:sz w:val="24"/>
              </w:rPr>
              <w:t>PubMed/MEDLINE</w:t>
            </w:r>
          </w:p>
        </w:tc>
        <w:tc>
          <w:tcPr>
            <w:tcW w:w="6750" w:type="dxa"/>
          </w:tcPr>
          <w:p w14:paraId="1D9F9969" w14:textId="77777777" w:rsidR="00BB4E21" w:rsidRDefault="00BB4E21" w:rsidP="000566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(((("transcatheter aortic valve replacement"[Title/Abstract]) OR "transcatheter aortic valve implantation"[Title/Abstract]) OR TAVR[Title/Abstract]) OR TAVI[Title/Abstract]) AND "low risk"[Title/Abstract]</w:t>
            </w:r>
          </w:p>
        </w:tc>
        <w:tc>
          <w:tcPr>
            <w:tcW w:w="2040" w:type="dxa"/>
          </w:tcPr>
          <w:p w14:paraId="0ECD0466" w14:textId="77777777" w:rsidR="00BB4E21" w:rsidRDefault="00BB4E21" w:rsidP="000566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167</w:t>
            </w:r>
          </w:p>
        </w:tc>
        <w:tc>
          <w:tcPr>
            <w:tcW w:w="2668" w:type="dxa"/>
          </w:tcPr>
          <w:p w14:paraId="6A2E79D2" w14:textId="77777777" w:rsidR="00BB4E21" w:rsidRDefault="00BB4E21" w:rsidP="000566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138</w:t>
            </w:r>
          </w:p>
        </w:tc>
      </w:tr>
      <w:tr w:rsidR="00BB4E21" w14:paraId="4C112307" w14:textId="77777777" w:rsidTr="00056603">
        <w:trPr>
          <w:trHeight w:val="1161"/>
        </w:trPr>
        <w:tc>
          <w:tcPr>
            <w:cnfStyle w:val="001000000000" w:firstRow="0" w:lastRow="0" w:firstColumn="1" w:lastColumn="0" w:oddVBand="0" w:evenVBand="0" w:oddHBand="0" w:evenHBand="0" w:firstRowFirstColumn="0" w:firstRowLastColumn="0" w:lastRowFirstColumn="0" w:lastRowLastColumn="0"/>
            <w:tcW w:w="2668" w:type="dxa"/>
          </w:tcPr>
          <w:p w14:paraId="04F29A1A" w14:textId="77777777" w:rsidR="00BB4E21" w:rsidRDefault="00BB4E21" w:rsidP="00056603">
            <w:pPr>
              <w:rPr>
                <w:rFonts w:ascii="Times New Roman" w:hAnsi="Times New Roman" w:cs="Times New Roman"/>
                <w:sz w:val="24"/>
              </w:rPr>
            </w:pPr>
            <w:r>
              <w:rPr>
                <w:rFonts w:ascii="Times New Roman" w:hAnsi="Times New Roman" w:cs="Times New Roman"/>
                <w:sz w:val="24"/>
              </w:rPr>
              <w:t>CINAHL</w:t>
            </w:r>
          </w:p>
        </w:tc>
        <w:tc>
          <w:tcPr>
            <w:tcW w:w="6750" w:type="dxa"/>
          </w:tcPr>
          <w:p w14:paraId="6A0E8766" w14:textId="77777777" w:rsidR="00BB4E21" w:rsidRDefault="00BB4E21" w:rsidP="00056603">
            <w:pPr>
              <w:cnfStyle w:val="000000000000" w:firstRow="0" w:lastRow="0" w:firstColumn="0" w:lastColumn="0" w:oddVBand="0" w:evenVBand="0" w:oddHBand="0" w:evenHBand="0" w:firstRowFirstColumn="0" w:firstRowLastColumn="0" w:lastRowFirstColumn="0" w:lastRowLastColumn="0"/>
              <w:rPr>
                <w:rFonts w:ascii="Arial" w:hAnsi="Arial" w:cs="Arial"/>
              </w:rPr>
            </w:pPr>
            <w:proofErr w:type="gramStart"/>
            <w:r>
              <w:rPr>
                <w:rFonts w:ascii="Arial" w:hAnsi="Arial" w:cs="Arial"/>
              </w:rPr>
              <w:t>( AB</w:t>
            </w:r>
            <w:proofErr w:type="gramEnd"/>
            <w:r>
              <w:rPr>
                <w:rFonts w:ascii="Arial" w:hAnsi="Arial" w:cs="Arial"/>
              </w:rPr>
              <w:t xml:space="preserve"> 'transcatheter aortic valve replacement' OR AB 'transcatheter aortic valve implantation' OR AB 'TAVR' OR AB 'TAVI' ) AND </w:t>
            </w:r>
          </w:p>
          <w:p w14:paraId="4A6D377C" w14:textId="77777777" w:rsidR="00BB4E21" w:rsidRDefault="00BB4E21" w:rsidP="00056603">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AB 'low risk'</w:t>
            </w:r>
          </w:p>
        </w:tc>
        <w:tc>
          <w:tcPr>
            <w:tcW w:w="2040" w:type="dxa"/>
          </w:tcPr>
          <w:p w14:paraId="5AF66B4F" w14:textId="77777777" w:rsidR="00BB4E21" w:rsidRDefault="00BB4E21" w:rsidP="000566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33</w:t>
            </w:r>
          </w:p>
        </w:tc>
        <w:tc>
          <w:tcPr>
            <w:tcW w:w="2668" w:type="dxa"/>
          </w:tcPr>
          <w:p w14:paraId="3A7F98AE" w14:textId="77777777" w:rsidR="00BB4E21" w:rsidRDefault="00BB4E21" w:rsidP="000566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31</w:t>
            </w:r>
          </w:p>
        </w:tc>
      </w:tr>
      <w:tr w:rsidR="00BB4E21" w14:paraId="16715C3D" w14:textId="77777777" w:rsidTr="00056603">
        <w:trPr>
          <w:cnfStyle w:val="000000100000" w:firstRow="0" w:lastRow="0" w:firstColumn="0" w:lastColumn="0" w:oddVBand="0" w:evenVBand="0" w:oddHBand="1" w:evenHBand="0" w:firstRowFirstColumn="0" w:firstRowLastColumn="0" w:lastRowFirstColumn="0" w:lastRowLastColumn="0"/>
          <w:trHeight w:val="1161"/>
        </w:trPr>
        <w:tc>
          <w:tcPr>
            <w:cnfStyle w:val="001000000000" w:firstRow="0" w:lastRow="0" w:firstColumn="1" w:lastColumn="0" w:oddVBand="0" w:evenVBand="0" w:oddHBand="0" w:evenHBand="0" w:firstRowFirstColumn="0" w:firstRowLastColumn="0" w:lastRowFirstColumn="0" w:lastRowLastColumn="0"/>
            <w:tcW w:w="2668" w:type="dxa"/>
          </w:tcPr>
          <w:p w14:paraId="487998E3" w14:textId="77777777" w:rsidR="00BB4E21" w:rsidRDefault="00BB4E21" w:rsidP="00056603">
            <w:pPr>
              <w:rPr>
                <w:rFonts w:ascii="Times New Roman" w:hAnsi="Times New Roman" w:cs="Times New Roman"/>
                <w:sz w:val="24"/>
              </w:rPr>
            </w:pPr>
            <w:r>
              <w:rPr>
                <w:rFonts w:ascii="Times New Roman" w:hAnsi="Times New Roman" w:cs="Times New Roman"/>
                <w:sz w:val="24"/>
              </w:rPr>
              <w:t>Cochrane CENTRAL</w:t>
            </w:r>
          </w:p>
        </w:tc>
        <w:tc>
          <w:tcPr>
            <w:tcW w:w="6750" w:type="dxa"/>
          </w:tcPr>
          <w:p w14:paraId="7BEB1208" w14:textId="77777777" w:rsidR="00BB4E21" w:rsidRDefault="00BB4E21" w:rsidP="00056603">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'transcatheter aortic valve replacement' OR 'transcatheter aortic valve implantation' OR 'TAVR' OR 'TAVI' in Title Abstract Keyword AND </w:t>
            </w:r>
          </w:p>
          <w:p w14:paraId="041FA762" w14:textId="77777777" w:rsidR="00BB4E21" w:rsidRDefault="00BB4E21" w:rsidP="00056603">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'low risk' in Title Abstract Keyword</w:t>
            </w:r>
          </w:p>
        </w:tc>
        <w:tc>
          <w:tcPr>
            <w:tcW w:w="2040" w:type="dxa"/>
          </w:tcPr>
          <w:p w14:paraId="4D65126C" w14:textId="77777777" w:rsidR="00BB4E21" w:rsidRDefault="00BB4E21" w:rsidP="000566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82</w:t>
            </w:r>
          </w:p>
        </w:tc>
        <w:tc>
          <w:tcPr>
            <w:tcW w:w="2668" w:type="dxa"/>
          </w:tcPr>
          <w:p w14:paraId="39809F70" w14:textId="77777777" w:rsidR="00BB4E21" w:rsidRDefault="00BB4E21" w:rsidP="000566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79</w:t>
            </w:r>
          </w:p>
        </w:tc>
      </w:tr>
      <w:tr w:rsidR="00BB4E21" w14:paraId="34798F6D" w14:textId="77777777" w:rsidTr="00056603">
        <w:trPr>
          <w:trHeight w:val="1161"/>
        </w:trPr>
        <w:tc>
          <w:tcPr>
            <w:cnfStyle w:val="001000000000" w:firstRow="0" w:lastRow="0" w:firstColumn="1" w:lastColumn="0" w:oddVBand="0" w:evenVBand="0" w:oddHBand="0" w:evenHBand="0" w:firstRowFirstColumn="0" w:firstRowLastColumn="0" w:lastRowFirstColumn="0" w:lastRowLastColumn="0"/>
            <w:tcW w:w="2668" w:type="dxa"/>
          </w:tcPr>
          <w:p w14:paraId="15EC4DC1" w14:textId="77777777" w:rsidR="00BB4E21" w:rsidRDefault="00BB4E21" w:rsidP="00056603">
            <w:pPr>
              <w:rPr>
                <w:rFonts w:ascii="Times New Roman" w:hAnsi="Times New Roman" w:cs="Times New Roman"/>
                <w:sz w:val="24"/>
              </w:rPr>
            </w:pPr>
            <w:r>
              <w:rPr>
                <w:rFonts w:ascii="Times New Roman" w:hAnsi="Times New Roman" w:cs="Times New Roman"/>
                <w:sz w:val="24"/>
              </w:rPr>
              <w:t>EMBASE</w:t>
            </w:r>
          </w:p>
        </w:tc>
        <w:tc>
          <w:tcPr>
            <w:tcW w:w="6750" w:type="dxa"/>
          </w:tcPr>
          <w:p w14:paraId="256FA46E" w14:textId="77777777" w:rsidR="00BB4E21" w:rsidRDefault="00BB4E21" w:rsidP="00056603">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'transcatheter aortic valve replacement</w:t>
            </w:r>
            <w:proofErr w:type="gramStart"/>
            <w:r>
              <w:rPr>
                <w:rFonts w:ascii="Arial" w:hAnsi="Arial" w:cs="Arial"/>
              </w:rPr>
              <w:t>':</w:t>
            </w:r>
            <w:proofErr w:type="spellStart"/>
            <w:r>
              <w:rPr>
                <w:rFonts w:ascii="Arial" w:hAnsi="Arial" w:cs="Arial"/>
              </w:rPr>
              <w:t>ab</w:t>
            </w:r>
            <w:proofErr w:type="gramEnd"/>
            <w:r>
              <w:rPr>
                <w:rFonts w:ascii="Arial" w:hAnsi="Arial" w:cs="Arial"/>
              </w:rPr>
              <w:t>,ti</w:t>
            </w:r>
            <w:proofErr w:type="spellEnd"/>
            <w:r>
              <w:rPr>
                <w:rFonts w:ascii="Arial" w:hAnsi="Arial" w:cs="Arial"/>
              </w:rPr>
              <w:t xml:space="preserve"> OR 'transcatheter aortic valve implantation':</w:t>
            </w:r>
            <w:proofErr w:type="spellStart"/>
            <w:r>
              <w:rPr>
                <w:rFonts w:ascii="Arial" w:hAnsi="Arial" w:cs="Arial"/>
              </w:rPr>
              <w:t>ab,ti</w:t>
            </w:r>
            <w:proofErr w:type="spellEnd"/>
            <w:r>
              <w:rPr>
                <w:rFonts w:ascii="Arial" w:hAnsi="Arial" w:cs="Arial"/>
              </w:rPr>
              <w:t xml:space="preserve"> OR '</w:t>
            </w:r>
            <w:proofErr w:type="spellStart"/>
            <w:r>
              <w:rPr>
                <w:rFonts w:ascii="Arial" w:hAnsi="Arial" w:cs="Arial"/>
              </w:rPr>
              <w:t>tavr</w:t>
            </w:r>
            <w:proofErr w:type="spellEnd"/>
            <w:r>
              <w:rPr>
                <w:rFonts w:ascii="Arial" w:hAnsi="Arial" w:cs="Arial"/>
              </w:rPr>
              <w:t>':</w:t>
            </w:r>
            <w:proofErr w:type="spellStart"/>
            <w:r>
              <w:rPr>
                <w:rFonts w:ascii="Arial" w:hAnsi="Arial" w:cs="Arial"/>
              </w:rPr>
              <w:t>ab,ti</w:t>
            </w:r>
            <w:proofErr w:type="spellEnd"/>
            <w:r>
              <w:rPr>
                <w:rFonts w:ascii="Arial" w:hAnsi="Arial" w:cs="Arial"/>
              </w:rPr>
              <w:t xml:space="preserve"> OR '</w:t>
            </w:r>
            <w:proofErr w:type="spellStart"/>
            <w:r>
              <w:rPr>
                <w:rFonts w:ascii="Arial" w:hAnsi="Arial" w:cs="Arial"/>
              </w:rPr>
              <w:t>tavi</w:t>
            </w:r>
            <w:proofErr w:type="spellEnd"/>
            <w:r>
              <w:rPr>
                <w:rFonts w:ascii="Arial" w:hAnsi="Arial" w:cs="Arial"/>
              </w:rPr>
              <w:t>':</w:t>
            </w:r>
            <w:proofErr w:type="spellStart"/>
            <w:r>
              <w:rPr>
                <w:rFonts w:ascii="Arial" w:hAnsi="Arial" w:cs="Arial"/>
              </w:rPr>
              <w:t>ab,ti</w:t>
            </w:r>
            <w:proofErr w:type="spellEnd"/>
            <w:r>
              <w:rPr>
                <w:rFonts w:ascii="Arial" w:hAnsi="Arial" w:cs="Arial"/>
              </w:rPr>
              <w:t xml:space="preserve"> AND</w:t>
            </w:r>
          </w:p>
          <w:p w14:paraId="4703D618" w14:textId="77777777" w:rsidR="00BB4E21" w:rsidRDefault="00BB4E21" w:rsidP="00056603">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'low risk</w:t>
            </w:r>
            <w:proofErr w:type="gramStart"/>
            <w:r>
              <w:rPr>
                <w:rFonts w:ascii="Arial" w:hAnsi="Arial" w:cs="Arial"/>
              </w:rPr>
              <w:t>':</w:t>
            </w:r>
            <w:proofErr w:type="spellStart"/>
            <w:r>
              <w:rPr>
                <w:rFonts w:ascii="Arial" w:hAnsi="Arial" w:cs="Arial"/>
              </w:rPr>
              <w:t>ab</w:t>
            </w:r>
            <w:proofErr w:type="gramEnd"/>
            <w:r>
              <w:rPr>
                <w:rFonts w:ascii="Arial" w:hAnsi="Arial" w:cs="Arial"/>
              </w:rPr>
              <w:t>,ti</w:t>
            </w:r>
            <w:proofErr w:type="spellEnd"/>
          </w:p>
        </w:tc>
        <w:tc>
          <w:tcPr>
            <w:tcW w:w="2040" w:type="dxa"/>
          </w:tcPr>
          <w:p w14:paraId="79393127" w14:textId="77777777" w:rsidR="00BB4E21" w:rsidRDefault="00BB4E21" w:rsidP="000566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268</w:t>
            </w:r>
          </w:p>
        </w:tc>
        <w:tc>
          <w:tcPr>
            <w:tcW w:w="2668" w:type="dxa"/>
          </w:tcPr>
          <w:p w14:paraId="221FAE97" w14:textId="77777777" w:rsidR="00BB4E21" w:rsidRDefault="00BB4E21" w:rsidP="0005660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239</w:t>
            </w:r>
          </w:p>
        </w:tc>
      </w:tr>
      <w:tr w:rsidR="00BB4E21" w14:paraId="57C2A50C" w14:textId="77777777" w:rsidTr="00056603">
        <w:trPr>
          <w:cnfStyle w:val="000000100000" w:firstRow="0" w:lastRow="0" w:firstColumn="0" w:lastColumn="0" w:oddVBand="0" w:evenVBand="0" w:oddHBand="1" w:evenHBand="0" w:firstRowFirstColumn="0" w:firstRowLastColumn="0" w:lastRowFirstColumn="0" w:lastRowLastColumn="0"/>
          <w:trHeight w:val="1161"/>
        </w:trPr>
        <w:tc>
          <w:tcPr>
            <w:cnfStyle w:val="001000000000" w:firstRow="0" w:lastRow="0" w:firstColumn="1" w:lastColumn="0" w:oddVBand="0" w:evenVBand="0" w:oddHBand="0" w:evenHBand="0" w:firstRowFirstColumn="0" w:firstRowLastColumn="0" w:lastRowFirstColumn="0" w:lastRowLastColumn="0"/>
            <w:tcW w:w="2668" w:type="dxa"/>
          </w:tcPr>
          <w:p w14:paraId="368027C2" w14:textId="77777777" w:rsidR="00BB4E21" w:rsidRDefault="00BB4E21" w:rsidP="00056603">
            <w:pPr>
              <w:rPr>
                <w:rFonts w:ascii="Times New Roman" w:hAnsi="Times New Roman" w:cs="Times New Roman"/>
                <w:sz w:val="24"/>
              </w:rPr>
            </w:pPr>
            <w:r>
              <w:rPr>
                <w:rFonts w:ascii="Times New Roman" w:hAnsi="Times New Roman" w:cs="Times New Roman"/>
                <w:sz w:val="24"/>
              </w:rPr>
              <w:t>Web of Science</w:t>
            </w:r>
          </w:p>
        </w:tc>
        <w:tc>
          <w:tcPr>
            <w:tcW w:w="6750" w:type="dxa"/>
          </w:tcPr>
          <w:p w14:paraId="6D820B2D" w14:textId="77777777" w:rsidR="00BB4E21" w:rsidRDefault="00BB4E21" w:rsidP="00056603">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TI</w:t>
            </w:r>
            <w:proofErr w:type="gramStart"/>
            <w:r>
              <w:rPr>
                <w:rFonts w:ascii="Arial" w:hAnsi="Arial" w:cs="Arial"/>
              </w:rPr>
              <w:t>=(</w:t>
            </w:r>
            <w:proofErr w:type="gramEnd"/>
            <w:r>
              <w:rPr>
                <w:rFonts w:ascii="Arial" w:hAnsi="Arial" w:cs="Arial"/>
              </w:rPr>
              <w:t xml:space="preserve">"transcatheter aortic valve replacement" OR "transcatheter aortic valve implantation" OR TAVR OR TAVI) AND </w:t>
            </w:r>
          </w:p>
          <w:p w14:paraId="30F3A50D" w14:textId="77777777" w:rsidR="00BB4E21" w:rsidRDefault="00BB4E21" w:rsidP="00056603">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TI</w:t>
            </w:r>
            <w:proofErr w:type="gramStart"/>
            <w:r>
              <w:rPr>
                <w:rFonts w:ascii="Arial" w:hAnsi="Arial" w:cs="Arial"/>
              </w:rPr>
              <w:t>=(</w:t>
            </w:r>
            <w:proofErr w:type="gramEnd"/>
            <w:r>
              <w:rPr>
                <w:rFonts w:ascii="Arial" w:hAnsi="Arial" w:cs="Arial"/>
              </w:rPr>
              <w:t>"low risk")</w:t>
            </w:r>
          </w:p>
        </w:tc>
        <w:tc>
          <w:tcPr>
            <w:tcW w:w="2040" w:type="dxa"/>
          </w:tcPr>
          <w:p w14:paraId="0E0FA630" w14:textId="77777777" w:rsidR="00BB4E21" w:rsidRDefault="00BB4E21" w:rsidP="000566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28</w:t>
            </w:r>
          </w:p>
        </w:tc>
        <w:tc>
          <w:tcPr>
            <w:tcW w:w="2668" w:type="dxa"/>
          </w:tcPr>
          <w:p w14:paraId="09673756" w14:textId="77777777" w:rsidR="00BB4E21" w:rsidRDefault="00BB4E21" w:rsidP="0005660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1</w:t>
            </w:r>
          </w:p>
        </w:tc>
      </w:tr>
    </w:tbl>
    <w:p w14:paraId="6142B026" w14:textId="77777777" w:rsidR="00BB4E21" w:rsidRDefault="00BB4E21" w:rsidP="00BB4E21">
      <w:pPr>
        <w:spacing w:after="0" w:line="480" w:lineRule="auto"/>
        <w:jc w:val="both"/>
        <w:rPr>
          <w:rFonts w:ascii="Times New Roman" w:hAnsi="Times New Roman" w:cs="Times New Roman"/>
          <w:b/>
          <w:i/>
          <w:iCs/>
        </w:rPr>
      </w:pPr>
      <w:r>
        <w:rPr>
          <w:rFonts w:ascii="Times New Roman" w:hAnsi="Times New Roman" w:cs="Times New Roman"/>
          <w:i/>
          <w:iCs/>
        </w:rPr>
        <w:t>MEDLINE = Medical Literature Analysis and Retrieval System Online; CINAHL = Cumulative Index to Nursing and Allied Health Literature; CENTRAL = Central Register of Controlled Trials; EMBASE = Excerpta Medica Database.</w:t>
      </w:r>
    </w:p>
    <w:p w14:paraId="5837C77E" w14:textId="77777777" w:rsidR="00BB4E21" w:rsidRDefault="00BB4E21" w:rsidP="00BB4E21">
      <w:pPr>
        <w:rPr>
          <w:rFonts w:ascii="Times New Roman" w:hAnsi="Times New Roman" w:cs="Times New Roman"/>
          <w:i/>
          <w:iCs/>
        </w:rPr>
        <w:sectPr w:rsidR="00BB4E21" w:rsidSect="00BB4E21">
          <w:pgSz w:w="15840" w:h="12240" w:orient="landscape"/>
          <w:pgMar w:top="1440" w:right="1440" w:bottom="1440" w:left="1440" w:header="720" w:footer="720" w:gutter="0"/>
          <w:pgNumType w:start="1"/>
          <w:cols w:space="720"/>
          <w:docGrid w:linePitch="360"/>
        </w:sectPr>
      </w:pPr>
    </w:p>
    <w:p w14:paraId="3DAE9B48" w14:textId="77777777" w:rsidR="00BB4E21" w:rsidRDefault="00BB4E21" w:rsidP="00BB4E21">
      <w:pPr>
        <w:spacing w:line="240" w:lineRule="auto"/>
        <w:rPr>
          <w:rFonts w:ascii="Georgia" w:hAnsi="Georgia" w:cs="Times New Roman"/>
          <w:color w:val="1F1F1F"/>
          <w:kern w:val="0"/>
          <w14:ligatures w14:val="none"/>
        </w:rPr>
      </w:pPr>
      <w:r>
        <w:rPr>
          <w:rFonts w:ascii="Georgia" w:hAnsi="Georgia" w:cs="Times New Roman"/>
          <w:b/>
          <w:bCs/>
          <w:color w:val="1F1F1F"/>
          <w:kern w:val="0"/>
          <w:sz w:val="21"/>
          <w:szCs w:val="21"/>
          <w14:ligatures w14:val="none"/>
        </w:rPr>
        <w:lastRenderedPageBreak/>
        <w:t>Table </w:t>
      </w:r>
      <w:r>
        <w:rPr>
          <w:rFonts w:hAnsi="Georgia" w:cs="Times New Roman"/>
          <w:b/>
          <w:bCs/>
          <w:color w:val="1F1F1F"/>
          <w:kern w:val="0"/>
          <w:sz w:val="21"/>
          <w:szCs w:val="21"/>
          <w14:ligatures w14:val="none"/>
        </w:rPr>
        <w:t>2:</w:t>
      </w:r>
      <w:r>
        <w:rPr>
          <w:rFonts w:ascii="Georgia" w:hAnsi="Georgia" w:cs="Times New Roman"/>
          <w:color w:val="1F1F1F"/>
          <w:kern w:val="0"/>
          <w14:ligatures w14:val="none"/>
        </w:rPr>
        <w:t> Characteristics of the Included Trials</w:t>
      </w:r>
    </w:p>
    <w:tbl>
      <w:tblPr>
        <w:tblStyle w:val="PlainTable11"/>
        <w:tblW w:w="9833" w:type="dxa"/>
        <w:tblLook w:val="04A0" w:firstRow="1" w:lastRow="0" w:firstColumn="1" w:lastColumn="0" w:noHBand="0" w:noVBand="1"/>
      </w:tblPr>
      <w:tblGrid>
        <w:gridCol w:w="1372"/>
        <w:gridCol w:w="1854"/>
        <w:gridCol w:w="2072"/>
        <w:gridCol w:w="2463"/>
        <w:gridCol w:w="2072"/>
      </w:tblGrid>
      <w:tr w:rsidR="00BB4E21" w14:paraId="14563245" w14:textId="77777777" w:rsidTr="000566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E87FC74" w14:textId="77777777" w:rsidR="00BB4E21" w:rsidRDefault="00BB4E21" w:rsidP="00056603">
            <w:pPr>
              <w:rPr>
                <w:rFonts w:ascii="Times New Roman" w:eastAsia="Times New Roman" w:hAnsi="Times New Roman" w:cs="Times New Roman"/>
                <w:sz w:val="21"/>
                <w:szCs w:val="21"/>
              </w:rPr>
            </w:pPr>
            <w:r>
              <w:rPr>
                <w:rFonts w:ascii="Times New Roman" w:eastAsia="Times New Roman" w:hAnsi="Times New Roman" w:cs="Times New Roman"/>
                <w:sz w:val="21"/>
                <w:szCs w:val="21"/>
                <w:bdr w:val="none" w:sz="0" w:space="0" w:color="auto" w:frame="1"/>
              </w:rPr>
              <w:t>Empty Cell</w:t>
            </w:r>
          </w:p>
        </w:tc>
        <w:tc>
          <w:tcPr>
            <w:tcW w:w="0" w:type="auto"/>
            <w:hideMark/>
          </w:tcPr>
          <w:p w14:paraId="71ECD9F6" w14:textId="77777777" w:rsidR="00BB4E21" w:rsidRDefault="00BB4E21" w:rsidP="0005660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t>NOTION </w:t>
            </w:r>
            <w:r>
              <w:rPr>
                <w:rFonts w:eastAsia="Times New Roman" w:hAnsi="Times New Roman" w:cs="Times New Roman"/>
                <w:color w:val="0000FF"/>
                <w:sz w:val="21"/>
                <w:szCs w:val="21"/>
              </w:rPr>
              <w:t>[3]</w:t>
            </w:r>
          </w:p>
        </w:tc>
        <w:tc>
          <w:tcPr>
            <w:tcW w:w="0" w:type="auto"/>
            <w:hideMark/>
          </w:tcPr>
          <w:p w14:paraId="26729AE5" w14:textId="77777777" w:rsidR="00BB4E21" w:rsidRDefault="00BB4E21" w:rsidP="0005660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t>SURTAVI (STS &lt;3%) </w:t>
            </w:r>
            <w:r>
              <w:rPr>
                <w:rFonts w:eastAsia="Times New Roman" w:hAnsi="Times New Roman" w:cs="Times New Roman"/>
                <w:color w:val="0000FF"/>
                <w:sz w:val="21"/>
                <w:szCs w:val="21"/>
              </w:rPr>
              <w:t>[13]</w:t>
            </w:r>
          </w:p>
        </w:tc>
        <w:tc>
          <w:tcPr>
            <w:tcW w:w="0" w:type="auto"/>
            <w:hideMark/>
          </w:tcPr>
          <w:p w14:paraId="15AD05A8" w14:textId="77777777" w:rsidR="00BB4E21" w:rsidRDefault="00BB4E21" w:rsidP="0005660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t>PARTNER 3 </w:t>
            </w:r>
            <w:r>
              <w:rPr>
                <w:rFonts w:eastAsia="Times New Roman" w:hAnsi="Times New Roman" w:cs="Times New Roman"/>
                <w:color w:val="0000FF"/>
                <w:sz w:val="21"/>
                <w:szCs w:val="21"/>
              </w:rPr>
              <w:t>[8]</w:t>
            </w:r>
          </w:p>
        </w:tc>
        <w:tc>
          <w:tcPr>
            <w:tcW w:w="0" w:type="auto"/>
            <w:hideMark/>
          </w:tcPr>
          <w:p w14:paraId="29BEB5EE" w14:textId="77777777" w:rsidR="00BB4E21" w:rsidRDefault="00BB4E21" w:rsidP="0005660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proofErr w:type="spellStart"/>
            <w:r>
              <w:rPr>
                <w:rFonts w:ascii="Times New Roman" w:eastAsia="Times New Roman" w:hAnsi="Times New Roman" w:cs="Times New Roman"/>
                <w:sz w:val="21"/>
                <w:szCs w:val="21"/>
              </w:rPr>
              <w:t>Evolut</w:t>
            </w:r>
            <w:proofErr w:type="spellEnd"/>
            <w:r>
              <w:rPr>
                <w:rFonts w:ascii="Times New Roman" w:eastAsia="Times New Roman" w:hAnsi="Times New Roman" w:cs="Times New Roman"/>
                <w:sz w:val="21"/>
                <w:szCs w:val="21"/>
              </w:rPr>
              <w:t xml:space="preserve"> Low Risk </w:t>
            </w:r>
            <w:r>
              <w:rPr>
                <w:rFonts w:eastAsia="Times New Roman" w:hAnsi="Times New Roman" w:cs="Times New Roman"/>
                <w:color w:val="0000FF"/>
                <w:sz w:val="21"/>
                <w:szCs w:val="21"/>
              </w:rPr>
              <w:t>[9]</w:t>
            </w:r>
          </w:p>
        </w:tc>
      </w:tr>
      <w:tr w:rsidR="00BB4E21" w14:paraId="7EF8B588" w14:textId="77777777" w:rsidTr="000566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9D34D7E" w14:textId="77777777" w:rsidR="00BB4E21" w:rsidRDefault="00BB4E21" w:rsidP="00056603">
            <w:pPr>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Year</w:t>
            </w:r>
          </w:p>
        </w:tc>
        <w:tc>
          <w:tcPr>
            <w:tcW w:w="0" w:type="auto"/>
            <w:hideMark/>
          </w:tcPr>
          <w:p w14:paraId="4A50BF1A"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t>2015</w:t>
            </w:r>
          </w:p>
        </w:tc>
        <w:tc>
          <w:tcPr>
            <w:tcW w:w="0" w:type="auto"/>
            <w:hideMark/>
          </w:tcPr>
          <w:p w14:paraId="16C02A9B"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t>2018</w:t>
            </w:r>
          </w:p>
        </w:tc>
        <w:tc>
          <w:tcPr>
            <w:tcW w:w="0" w:type="auto"/>
            <w:hideMark/>
          </w:tcPr>
          <w:p w14:paraId="652F2DD6"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t>2019</w:t>
            </w:r>
          </w:p>
        </w:tc>
        <w:tc>
          <w:tcPr>
            <w:tcW w:w="0" w:type="auto"/>
            <w:hideMark/>
          </w:tcPr>
          <w:p w14:paraId="5DFE470D"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t>2019</w:t>
            </w:r>
          </w:p>
        </w:tc>
      </w:tr>
      <w:tr w:rsidR="00BB4E21" w14:paraId="68BCC1D4" w14:textId="77777777" w:rsidTr="00056603">
        <w:tc>
          <w:tcPr>
            <w:cnfStyle w:val="001000000000" w:firstRow="0" w:lastRow="0" w:firstColumn="1" w:lastColumn="0" w:oddVBand="0" w:evenVBand="0" w:oddHBand="0" w:evenHBand="0" w:firstRowFirstColumn="0" w:firstRowLastColumn="0" w:lastRowFirstColumn="0" w:lastRowLastColumn="0"/>
            <w:tcW w:w="0" w:type="auto"/>
            <w:hideMark/>
          </w:tcPr>
          <w:p w14:paraId="26590D42" w14:textId="77777777" w:rsidR="00BB4E21" w:rsidRDefault="00BB4E21" w:rsidP="00056603">
            <w:pPr>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Study design</w:t>
            </w:r>
          </w:p>
        </w:tc>
        <w:tc>
          <w:tcPr>
            <w:tcW w:w="0" w:type="auto"/>
            <w:hideMark/>
          </w:tcPr>
          <w:p w14:paraId="415E515A" w14:textId="77777777" w:rsidR="00BB4E21" w:rsidRDefault="00BB4E21" w:rsidP="0005660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t>RCT, superiority</w:t>
            </w:r>
          </w:p>
        </w:tc>
        <w:tc>
          <w:tcPr>
            <w:tcW w:w="0" w:type="auto"/>
            <w:hideMark/>
          </w:tcPr>
          <w:p w14:paraId="5A63C242" w14:textId="77777777" w:rsidR="00BB4E21" w:rsidRDefault="00BB4E21" w:rsidP="0005660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t>Post hoc analysis of RCT</w:t>
            </w:r>
          </w:p>
        </w:tc>
        <w:tc>
          <w:tcPr>
            <w:tcW w:w="0" w:type="auto"/>
            <w:hideMark/>
          </w:tcPr>
          <w:p w14:paraId="402052A4" w14:textId="77777777" w:rsidR="00BB4E21" w:rsidRDefault="00BB4E21" w:rsidP="0005660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t>RCT, noninferiority and superiority</w:t>
            </w:r>
          </w:p>
        </w:tc>
        <w:tc>
          <w:tcPr>
            <w:tcW w:w="0" w:type="auto"/>
            <w:hideMark/>
          </w:tcPr>
          <w:p w14:paraId="330F304D" w14:textId="77777777" w:rsidR="00BB4E21" w:rsidRDefault="00BB4E21" w:rsidP="0005660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t>RCT, noninferiority</w:t>
            </w:r>
          </w:p>
        </w:tc>
      </w:tr>
      <w:tr w:rsidR="00BB4E21" w14:paraId="39F8927D" w14:textId="77777777" w:rsidTr="000566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C64C346" w14:textId="77777777" w:rsidR="00BB4E21" w:rsidRDefault="00BB4E21" w:rsidP="00056603">
            <w:pPr>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N</w:t>
            </w:r>
          </w:p>
        </w:tc>
        <w:tc>
          <w:tcPr>
            <w:tcW w:w="0" w:type="auto"/>
            <w:hideMark/>
          </w:tcPr>
          <w:p w14:paraId="30A4256E"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t>280</w:t>
            </w:r>
          </w:p>
        </w:tc>
        <w:tc>
          <w:tcPr>
            <w:tcW w:w="0" w:type="auto"/>
            <w:hideMark/>
          </w:tcPr>
          <w:p w14:paraId="243CAE00"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t>254</w:t>
            </w:r>
            <w:bookmarkStart w:id="4" w:name="btbl1fnlowast"/>
            <w:r>
              <w:rPr>
                <w:rFonts w:ascii="Times New Roman" w:eastAsia="Times New Roman" w:hAnsi="Times New Roman" w:cs="Times New Roman"/>
                <w:sz w:val="21"/>
                <w:szCs w:val="21"/>
              </w:rPr>
              <w:fldChar w:fldCharType="begin"/>
            </w:r>
            <w:r>
              <w:rPr>
                <w:rFonts w:ascii="Times New Roman" w:eastAsia="Times New Roman" w:hAnsi="Times New Roman" w:cs="Times New Roman"/>
                <w:sz w:val="21"/>
                <w:szCs w:val="21"/>
              </w:rPr>
              <w:instrText>HYPERLINK "https://www.sciencedirect.com/science/article/pii/S0735109719361807?via%3Dihub" \l "tbl1fnlowast"</w:instrText>
            </w:r>
            <w:r>
              <w:rPr>
                <w:rFonts w:ascii="Times New Roman" w:eastAsia="Times New Roman" w:hAnsi="Times New Roman" w:cs="Times New Roman"/>
                <w:sz w:val="21"/>
                <w:szCs w:val="21"/>
              </w:rPr>
              <w:fldChar w:fldCharType="separate"/>
            </w:r>
            <w:r>
              <w:rPr>
                <w:rFonts w:ascii="Cambria Math" w:eastAsia="Times New Roman" w:hAnsi="Cambria Math" w:cs="Cambria Math"/>
                <w:color w:val="0000FF"/>
                <w:sz w:val="16"/>
                <w:szCs w:val="16"/>
                <w:vertAlign w:val="superscript"/>
              </w:rPr>
              <w:t>∗</w:t>
            </w:r>
            <w:r>
              <w:rPr>
                <w:rFonts w:ascii="Times New Roman" w:eastAsia="Times New Roman" w:hAnsi="Times New Roman" w:cs="Times New Roman"/>
                <w:sz w:val="21"/>
                <w:szCs w:val="21"/>
              </w:rPr>
              <w:fldChar w:fldCharType="end"/>
            </w:r>
            <w:bookmarkEnd w:id="4"/>
          </w:p>
        </w:tc>
        <w:tc>
          <w:tcPr>
            <w:tcW w:w="0" w:type="auto"/>
            <w:hideMark/>
          </w:tcPr>
          <w:p w14:paraId="46EC02F4"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t>950</w:t>
            </w:r>
          </w:p>
        </w:tc>
        <w:tc>
          <w:tcPr>
            <w:tcW w:w="0" w:type="auto"/>
            <w:hideMark/>
          </w:tcPr>
          <w:p w14:paraId="673A1305"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t>1,403</w:t>
            </w:r>
          </w:p>
        </w:tc>
      </w:tr>
      <w:tr w:rsidR="00BB4E21" w14:paraId="6232BD69" w14:textId="77777777" w:rsidTr="00056603">
        <w:tc>
          <w:tcPr>
            <w:cnfStyle w:val="001000000000" w:firstRow="0" w:lastRow="0" w:firstColumn="1" w:lastColumn="0" w:oddVBand="0" w:evenVBand="0" w:oddHBand="0" w:evenHBand="0" w:firstRowFirstColumn="0" w:firstRowLastColumn="0" w:lastRowFirstColumn="0" w:lastRowLastColumn="0"/>
            <w:tcW w:w="0" w:type="auto"/>
            <w:hideMark/>
          </w:tcPr>
          <w:p w14:paraId="10189FED" w14:textId="77777777" w:rsidR="00BB4E21" w:rsidRDefault="00BB4E21" w:rsidP="00056603">
            <w:pPr>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Key inclusion criteria</w:t>
            </w:r>
          </w:p>
        </w:tc>
        <w:tc>
          <w:tcPr>
            <w:tcW w:w="0" w:type="auto"/>
            <w:hideMark/>
          </w:tcPr>
          <w:p w14:paraId="1BBC0AC3" w14:textId="77777777" w:rsidR="00BB4E21" w:rsidRDefault="00BB4E21" w:rsidP="0005660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t>≥70 yrs of age; severe AS; heart team evaluation; symptomatic; asymptomatic with LVPWT ≥17 mm, decreasing LVEF, or new onset atrial fibrillation; &gt;1 yr survival.</w:t>
            </w:r>
          </w:p>
        </w:tc>
        <w:tc>
          <w:tcPr>
            <w:tcW w:w="0" w:type="auto"/>
            <w:hideMark/>
          </w:tcPr>
          <w:p w14:paraId="17F58F24" w14:textId="77777777" w:rsidR="00BB4E21" w:rsidRDefault="00BB4E21" w:rsidP="0005660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t>Symptomatic severe AS; STS 3% to 15% and intermediate risk of operative mortality per heart team.</w:t>
            </w:r>
          </w:p>
        </w:tc>
        <w:tc>
          <w:tcPr>
            <w:tcW w:w="0" w:type="auto"/>
            <w:hideMark/>
          </w:tcPr>
          <w:p w14:paraId="428129AD" w14:textId="77777777" w:rsidR="00BB4E21" w:rsidRDefault="00BB4E21" w:rsidP="0005660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t>Severe calcific AS and NYHA functional class ≥2, exercise tolerance test demonstrating a limited exercise capacity, abnormal BP response, or arrhythmia, or asymptomatic with LVEF &lt;50%; STS &lt;4% and low risk of operative mortality per heart team; eligible for transfemoral access.</w:t>
            </w:r>
          </w:p>
        </w:tc>
        <w:tc>
          <w:tcPr>
            <w:tcW w:w="0" w:type="auto"/>
            <w:hideMark/>
          </w:tcPr>
          <w:p w14:paraId="7028A444" w14:textId="77777777" w:rsidR="00BB4E21" w:rsidRDefault="00BB4E21" w:rsidP="0005660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t>Severe AS; symptomatic or asymptomatic with very severe AS, exercise tolerance test demonstrating a limited exercise capacity, abnormal BP response, or arrhythmia, or LVEF &lt;50%; STS &lt;3% and low risk of operative mortality per heart team.</w:t>
            </w:r>
          </w:p>
        </w:tc>
      </w:tr>
      <w:tr w:rsidR="00BB4E21" w14:paraId="6397F670" w14:textId="77777777" w:rsidTr="000566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F9956F6" w14:textId="77777777" w:rsidR="00BB4E21" w:rsidRDefault="00BB4E21" w:rsidP="00056603">
            <w:pPr>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Key exclusion criteria</w:t>
            </w:r>
          </w:p>
        </w:tc>
        <w:tc>
          <w:tcPr>
            <w:tcW w:w="0" w:type="auto"/>
            <w:hideMark/>
          </w:tcPr>
          <w:p w14:paraId="48A9F1D6" w14:textId="77777777" w:rsidR="00BB4E21" w:rsidRDefault="00BB4E21" w:rsidP="0005660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t>Concomitant severe valve disease; CAD requiring intervention; prior cardiac surgery; MI or stroke within 30 days; ESRD on dialysis; pulmonary failure with FEV1 or diffusion capacity &lt;40% of expected.</w:t>
            </w:r>
          </w:p>
        </w:tc>
        <w:tc>
          <w:tcPr>
            <w:tcW w:w="0" w:type="auto"/>
            <w:hideMark/>
          </w:tcPr>
          <w:p w14:paraId="3AAF69BF" w14:textId="77777777" w:rsidR="00BB4E21" w:rsidRDefault="00BB4E21" w:rsidP="0005660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proofErr w:type="spellStart"/>
            <w:r>
              <w:rPr>
                <w:rFonts w:ascii="Times New Roman" w:eastAsia="Times New Roman" w:hAnsi="Times New Roman" w:cs="Times New Roman"/>
                <w:sz w:val="21"/>
                <w:szCs w:val="21"/>
              </w:rPr>
              <w:t>Unicuspid</w:t>
            </w:r>
            <w:proofErr w:type="spellEnd"/>
            <w:r>
              <w:rPr>
                <w:rFonts w:ascii="Times New Roman" w:eastAsia="Times New Roman" w:hAnsi="Times New Roman" w:cs="Times New Roman"/>
                <w:sz w:val="21"/>
                <w:szCs w:val="21"/>
              </w:rPr>
              <w:t xml:space="preserve"> or bicuspid aortic valve; severe AR/MR/TR; severe MS; multivessel CAD with SYNTAX score &gt;22 and/or UPLM; MI ≤30 days before trial procedure; percutaneous coronary/peripheral intervention within 30 days before randomization; recent (&lt;6 months) stroke/TIA; LVEF &lt;20%; ESRD on dialysis or </w:t>
            </w:r>
            <w:proofErr w:type="spellStart"/>
            <w:r>
              <w:rPr>
                <w:rFonts w:ascii="Times New Roman" w:eastAsia="Times New Roman" w:hAnsi="Times New Roman" w:cs="Times New Roman"/>
                <w:sz w:val="21"/>
                <w:szCs w:val="21"/>
              </w:rPr>
              <w:t>CrCl</w:t>
            </w:r>
            <w:proofErr w:type="spellEnd"/>
            <w:r>
              <w:rPr>
                <w:rFonts w:ascii="Times New Roman" w:eastAsia="Times New Roman" w:hAnsi="Times New Roman" w:cs="Times New Roman"/>
                <w:sz w:val="21"/>
                <w:szCs w:val="21"/>
              </w:rPr>
              <w:t> &lt;20 ml/min; liver failure (Child C); severe COPD (FEV1 &lt;750 ml); pulmonary artery systolic pressure &gt;80 mm Hg; severe dementia; clinical frailty; estimated life expectancy &lt;24 months.</w:t>
            </w:r>
          </w:p>
        </w:tc>
        <w:tc>
          <w:tcPr>
            <w:tcW w:w="0" w:type="auto"/>
            <w:hideMark/>
          </w:tcPr>
          <w:p w14:paraId="76789767" w14:textId="77777777" w:rsidR="00BB4E21" w:rsidRDefault="00BB4E21" w:rsidP="0005660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proofErr w:type="spellStart"/>
            <w:r>
              <w:rPr>
                <w:rFonts w:ascii="Times New Roman" w:eastAsia="Times New Roman" w:hAnsi="Times New Roman" w:cs="Times New Roman"/>
                <w:sz w:val="21"/>
                <w:szCs w:val="21"/>
              </w:rPr>
              <w:t>Unicuspid</w:t>
            </w:r>
            <w:proofErr w:type="spellEnd"/>
            <w:r>
              <w:rPr>
                <w:rFonts w:ascii="Times New Roman" w:eastAsia="Times New Roman" w:hAnsi="Times New Roman" w:cs="Times New Roman"/>
                <w:sz w:val="21"/>
                <w:szCs w:val="21"/>
              </w:rPr>
              <w:t>, bicuspid, or non-calcified aortic valve; severe AR/MR (&gt;3+), ≥moderate MS; pre-existing bioprosthetic or mechanical valve in any position; complex CAD; MI within 30 days before randomization; stroke/TIA within 90 days of randomization; active bacterial endocarditis within 180 days of randomization; LVEF &lt;30%; eGFR &lt;30 or dialysis; severe lung disease (FEV1 &lt;50% predicted) or home oxygen; severe pulmonary hypertension; cirrhosis or active liver disease; clinical frailty; estimated life expectancy &lt;24 months.</w:t>
            </w:r>
          </w:p>
        </w:tc>
        <w:tc>
          <w:tcPr>
            <w:tcW w:w="0" w:type="auto"/>
            <w:hideMark/>
          </w:tcPr>
          <w:p w14:paraId="0B555484" w14:textId="77777777" w:rsidR="00BB4E21" w:rsidRDefault="00BB4E21" w:rsidP="0005660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t>Bicuspid aortic valve; severe MR/TR; moderate or severe MS; pre-existing prosthetic heart valve in any position; multivessel CAD with SYNTAX score &gt;22 and/or UPLM; MI ≤30 days before trial procedure; percutaneous coronary/peripheral intervention with BMS within 30 days or DES within 180 days before randomization; recent (&lt;2 months) stroke/TIA; severe dementia; estimated life expectancy &lt;24 months.</w:t>
            </w:r>
          </w:p>
        </w:tc>
      </w:tr>
      <w:tr w:rsidR="00BB4E21" w14:paraId="0FA0479B" w14:textId="77777777" w:rsidTr="00056603">
        <w:tc>
          <w:tcPr>
            <w:cnfStyle w:val="001000000000" w:firstRow="0" w:lastRow="0" w:firstColumn="1" w:lastColumn="0" w:oddVBand="0" w:evenVBand="0" w:oddHBand="0" w:evenHBand="0" w:firstRowFirstColumn="0" w:firstRowLastColumn="0" w:lastRowFirstColumn="0" w:lastRowLastColumn="0"/>
            <w:tcW w:w="0" w:type="auto"/>
            <w:hideMark/>
          </w:tcPr>
          <w:p w14:paraId="57D60027" w14:textId="77777777" w:rsidR="00BB4E21" w:rsidRDefault="00BB4E21" w:rsidP="00056603">
            <w:pPr>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lastRenderedPageBreak/>
              <w:t>TAVR valve type</w:t>
            </w:r>
          </w:p>
        </w:tc>
        <w:tc>
          <w:tcPr>
            <w:tcW w:w="0" w:type="auto"/>
            <w:hideMark/>
          </w:tcPr>
          <w:p w14:paraId="47D0AD5C" w14:textId="77777777" w:rsidR="00BB4E21" w:rsidRDefault="00BB4E21" w:rsidP="0005660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proofErr w:type="spellStart"/>
            <w:r>
              <w:rPr>
                <w:rFonts w:ascii="Times New Roman" w:eastAsia="Times New Roman" w:hAnsi="Times New Roman" w:cs="Times New Roman"/>
                <w:sz w:val="21"/>
                <w:szCs w:val="21"/>
              </w:rPr>
              <w:t>CoreValve</w:t>
            </w:r>
            <w:proofErr w:type="spellEnd"/>
            <w:r>
              <w:rPr>
                <w:rFonts w:ascii="Times New Roman" w:eastAsia="Times New Roman" w:hAnsi="Times New Roman" w:cs="Times New Roman"/>
                <w:sz w:val="21"/>
                <w:szCs w:val="21"/>
              </w:rPr>
              <w:t xml:space="preserve"> (100%) (Medtronic, Dublin, Ireland)</w:t>
            </w:r>
          </w:p>
        </w:tc>
        <w:tc>
          <w:tcPr>
            <w:tcW w:w="0" w:type="auto"/>
            <w:hideMark/>
          </w:tcPr>
          <w:p w14:paraId="2B97906B" w14:textId="77777777" w:rsidR="00BB4E21" w:rsidRDefault="00BB4E21" w:rsidP="0005660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proofErr w:type="spellStart"/>
            <w:r>
              <w:rPr>
                <w:rFonts w:ascii="Times New Roman" w:eastAsia="Times New Roman" w:hAnsi="Times New Roman" w:cs="Times New Roman"/>
                <w:sz w:val="21"/>
                <w:szCs w:val="21"/>
              </w:rPr>
              <w:t>CoreValve</w:t>
            </w:r>
            <w:proofErr w:type="spellEnd"/>
            <w:r>
              <w:rPr>
                <w:rFonts w:ascii="Times New Roman" w:eastAsia="Times New Roman" w:hAnsi="Times New Roman" w:cs="Times New Roman"/>
                <w:sz w:val="21"/>
                <w:szCs w:val="21"/>
              </w:rPr>
              <w:t xml:space="preserve"> (84%) or </w:t>
            </w:r>
            <w:proofErr w:type="spellStart"/>
            <w:r>
              <w:rPr>
                <w:rFonts w:ascii="Times New Roman" w:eastAsia="Times New Roman" w:hAnsi="Times New Roman" w:cs="Times New Roman"/>
                <w:sz w:val="21"/>
                <w:szCs w:val="21"/>
              </w:rPr>
              <w:t>Evolut</w:t>
            </w:r>
            <w:proofErr w:type="spellEnd"/>
            <w:r>
              <w:rPr>
                <w:rFonts w:ascii="Times New Roman" w:eastAsia="Times New Roman" w:hAnsi="Times New Roman" w:cs="Times New Roman"/>
                <w:sz w:val="21"/>
                <w:szCs w:val="21"/>
              </w:rPr>
              <w:t xml:space="preserve"> R (16%) (Medtronic, Dublin, Ireland)</w:t>
            </w:r>
          </w:p>
        </w:tc>
        <w:tc>
          <w:tcPr>
            <w:tcW w:w="0" w:type="auto"/>
            <w:hideMark/>
          </w:tcPr>
          <w:p w14:paraId="708C2538" w14:textId="77777777" w:rsidR="00BB4E21" w:rsidRDefault="00BB4E21" w:rsidP="0005660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proofErr w:type="spellStart"/>
            <w:r>
              <w:rPr>
                <w:rFonts w:ascii="Times New Roman" w:eastAsia="Times New Roman" w:hAnsi="Times New Roman" w:cs="Times New Roman"/>
                <w:sz w:val="21"/>
                <w:szCs w:val="21"/>
              </w:rPr>
              <w:t>Sapien</w:t>
            </w:r>
            <w:proofErr w:type="spellEnd"/>
            <w:r>
              <w:rPr>
                <w:rFonts w:ascii="Times New Roman" w:eastAsia="Times New Roman" w:hAnsi="Times New Roman" w:cs="Times New Roman"/>
                <w:sz w:val="21"/>
                <w:szCs w:val="21"/>
              </w:rPr>
              <w:t xml:space="preserve"> 3 (100%) (Edwards Lifesciences, Irvine, California)</w:t>
            </w:r>
          </w:p>
        </w:tc>
        <w:tc>
          <w:tcPr>
            <w:tcW w:w="0" w:type="auto"/>
            <w:hideMark/>
          </w:tcPr>
          <w:p w14:paraId="4B7CD911" w14:textId="77777777" w:rsidR="00BB4E21" w:rsidRDefault="00BB4E21" w:rsidP="0005660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proofErr w:type="spellStart"/>
            <w:r>
              <w:rPr>
                <w:rFonts w:ascii="Times New Roman" w:eastAsia="Times New Roman" w:hAnsi="Times New Roman" w:cs="Times New Roman"/>
                <w:sz w:val="21"/>
                <w:szCs w:val="21"/>
              </w:rPr>
              <w:t>CoreValve</w:t>
            </w:r>
            <w:proofErr w:type="spellEnd"/>
            <w:r>
              <w:rPr>
                <w:rFonts w:ascii="Times New Roman" w:eastAsia="Times New Roman" w:hAnsi="Times New Roman" w:cs="Times New Roman"/>
                <w:sz w:val="21"/>
                <w:szCs w:val="21"/>
              </w:rPr>
              <w:t xml:space="preserve"> (3.6%), </w:t>
            </w:r>
            <w:proofErr w:type="spellStart"/>
            <w:r>
              <w:rPr>
                <w:rFonts w:ascii="Times New Roman" w:eastAsia="Times New Roman" w:hAnsi="Times New Roman" w:cs="Times New Roman"/>
                <w:sz w:val="21"/>
                <w:szCs w:val="21"/>
              </w:rPr>
              <w:t>Evolut</w:t>
            </w:r>
            <w:proofErr w:type="spellEnd"/>
            <w:r>
              <w:rPr>
                <w:rFonts w:ascii="Times New Roman" w:eastAsia="Times New Roman" w:hAnsi="Times New Roman" w:cs="Times New Roman"/>
                <w:sz w:val="21"/>
                <w:szCs w:val="21"/>
              </w:rPr>
              <w:t xml:space="preserve"> R (74.1%), or </w:t>
            </w:r>
            <w:proofErr w:type="spellStart"/>
            <w:r>
              <w:rPr>
                <w:rFonts w:ascii="Times New Roman" w:eastAsia="Times New Roman" w:hAnsi="Times New Roman" w:cs="Times New Roman"/>
                <w:sz w:val="21"/>
                <w:szCs w:val="21"/>
              </w:rPr>
              <w:t>Evolut</w:t>
            </w:r>
            <w:proofErr w:type="spellEnd"/>
            <w:r>
              <w:rPr>
                <w:rFonts w:ascii="Times New Roman" w:eastAsia="Times New Roman" w:hAnsi="Times New Roman" w:cs="Times New Roman"/>
                <w:sz w:val="21"/>
                <w:szCs w:val="21"/>
              </w:rPr>
              <w:t xml:space="preserve"> PRO (22.3%) (Medtronic, Dublin, Ireland)</w:t>
            </w:r>
          </w:p>
        </w:tc>
      </w:tr>
      <w:tr w:rsidR="00BB4E21" w14:paraId="011E25BD" w14:textId="77777777" w:rsidTr="000566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2E7C467" w14:textId="77777777" w:rsidR="00BB4E21" w:rsidRDefault="00BB4E21" w:rsidP="00056603">
            <w:pPr>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Primary endpoint</w:t>
            </w:r>
          </w:p>
        </w:tc>
        <w:tc>
          <w:tcPr>
            <w:tcW w:w="0" w:type="auto"/>
            <w:hideMark/>
          </w:tcPr>
          <w:p w14:paraId="606654A5" w14:textId="77777777" w:rsidR="00BB4E21" w:rsidRDefault="00BB4E21" w:rsidP="0005660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t>Composite of all-cause death, stroke, or MI at 1 yr.</w:t>
            </w:r>
          </w:p>
        </w:tc>
        <w:tc>
          <w:tcPr>
            <w:tcW w:w="0" w:type="auto"/>
            <w:hideMark/>
          </w:tcPr>
          <w:p w14:paraId="50CA24BE" w14:textId="77777777" w:rsidR="00BB4E21" w:rsidRDefault="00BB4E21" w:rsidP="0005660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t>Composite of all-cause death or disabling stroke at 24 months.</w:t>
            </w:r>
          </w:p>
        </w:tc>
        <w:tc>
          <w:tcPr>
            <w:tcW w:w="0" w:type="auto"/>
            <w:hideMark/>
          </w:tcPr>
          <w:p w14:paraId="75F06EF4" w14:textId="77777777" w:rsidR="00BB4E21" w:rsidRDefault="00BB4E21" w:rsidP="0005660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t>Composite of all-cause death, stroke, or rehospitalization at 1 yr.</w:t>
            </w:r>
          </w:p>
        </w:tc>
        <w:tc>
          <w:tcPr>
            <w:tcW w:w="0" w:type="auto"/>
            <w:hideMark/>
          </w:tcPr>
          <w:p w14:paraId="23DD6FFE" w14:textId="77777777" w:rsidR="00BB4E21" w:rsidRDefault="00BB4E21" w:rsidP="0005660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t>Composite of all-cause death or disabling stroke at 24 months.</w:t>
            </w:r>
          </w:p>
        </w:tc>
      </w:tr>
    </w:tbl>
    <w:p w14:paraId="7C9A7B8E" w14:textId="77777777" w:rsidR="00BB4E21" w:rsidRDefault="00BB4E21" w:rsidP="00BB4E21">
      <w:pPr>
        <w:rPr>
          <w:i/>
          <w:iCs/>
        </w:rPr>
      </w:pPr>
      <w:r>
        <w:rPr>
          <w:i/>
          <w:iCs/>
        </w:rPr>
        <w:t xml:space="preserve">AR = aortic regurgitation; AS = aortic stenosis; BMS = bare-metal stent; BP = blood pressure; CAD = coronary artery disease; COPD = chronic obstructive pulmonary disease; </w:t>
      </w:r>
      <w:proofErr w:type="spellStart"/>
      <w:r>
        <w:rPr>
          <w:i/>
          <w:iCs/>
        </w:rPr>
        <w:t>CrCl</w:t>
      </w:r>
      <w:proofErr w:type="spellEnd"/>
      <w:r>
        <w:rPr>
          <w:i/>
          <w:iCs/>
        </w:rPr>
        <w:t xml:space="preserve"> = creatinine clearance; DES = drug-eluting stents; eGFR = estimated glomerular filtration rate; ESRD = end-stage renal disease; FEV1 = forced expiratory volume in 1 second; LVEF = left ventricular ejection fraction; LVPWT = left ventricular posterior wall thickness; MI = myocardial infarction; MR = mitral regurgitation; MS = mitral stenosis; NOTION = Nordic Aortic Valve Intervention Trial; NYHA = New York Heart Association; PARTNER = Placement of Aortic Transcatheter Valves; RCT = randomized controlled trial; STS = Society of Thoracic Surgeons; SURTAVI = Surgical Replacement and Transcatheter Aortic Valve Implantation; SYNTAX = Synergy Between PCI with Taxus and Cardiac Surgery; TIA = transient ischemic attack; TR = tricuspid regurgitation; UPLM = unprotected left main coronary artery.</w:t>
      </w:r>
    </w:p>
    <w:p w14:paraId="65F3924A" w14:textId="77777777" w:rsidR="00BB4E21" w:rsidRDefault="00BB4E21" w:rsidP="00BB4E21">
      <w:pPr>
        <w:rPr>
          <w:rFonts w:ascii="Times New Roman" w:hAnsi="Times New Roman" w:cs="Times New Roman"/>
          <w:i/>
          <w:iCs/>
        </w:rPr>
      </w:pPr>
    </w:p>
    <w:p w14:paraId="4D939C1A" w14:textId="77777777" w:rsidR="00BB4E21" w:rsidRDefault="00BB4E21" w:rsidP="00BB4E21">
      <w:pPr>
        <w:rPr>
          <w:rFonts w:ascii="Times New Roman" w:hAnsi="Times New Roman" w:cs="Times New Roman"/>
          <w:i/>
          <w:iCs/>
        </w:rPr>
      </w:pPr>
    </w:p>
    <w:p w14:paraId="35928A6E" w14:textId="77777777" w:rsidR="00BB4E21" w:rsidRDefault="00BB4E21" w:rsidP="00BB4E21">
      <w:pPr>
        <w:rPr>
          <w:rFonts w:ascii="Times New Roman" w:hAnsi="Times New Roman" w:cs="Times New Roman"/>
          <w:i/>
          <w:iCs/>
        </w:rPr>
      </w:pPr>
    </w:p>
    <w:p w14:paraId="05DA7FB7" w14:textId="77777777" w:rsidR="00BB4E21" w:rsidRDefault="00BB4E21" w:rsidP="00BB4E21">
      <w:pPr>
        <w:rPr>
          <w:rFonts w:ascii="Times New Roman" w:hAnsi="Times New Roman" w:cs="Times New Roman"/>
          <w:i/>
          <w:iCs/>
        </w:rPr>
      </w:pPr>
    </w:p>
    <w:p w14:paraId="196CE31F" w14:textId="77777777" w:rsidR="00BB4E21" w:rsidRDefault="00BB4E21" w:rsidP="00BB4E21">
      <w:pPr>
        <w:rPr>
          <w:rFonts w:ascii="Times New Roman" w:hAnsi="Times New Roman" w:cs="Times New Roman"/>
          <w:i/>
          <w:iCs/>
        </w:rPr>
      </w:pPr>
    </w:p>
    <w:p w14:paraId="3F1363DC" w14:textId="77777777" w:rsidR="00BB4E21" w:rsidRDefault="00BB4E21" w:rsidP="00BB4E21">
      <w:pPr>
        <w:rPr>
          <w:rFonts w:ascii="Times New Roman" w:hAnsi="Times New Roman" w:cs="Times New Roman"/>
          <w:i/>
          <w:iCs/>
        </w:rPr>
      </w:pPr>
    </w:p>
    <w:p w14:paraId="7C7DAE74" w14:textId="77777777" w:rsidR="00BB4E21" w:rsidRDefault="00BB4E21" w:rsidP="00BB4E21">
      <w:pPr>
        <w:rPr>
          <w:rFonts w:ascii="Times New Roman" w:hAnsi="Times New Roman" w:cs="Times New Roman"/>
          <w:i/>
          <w:iCs/>
        </w:rPr>
      </w:pPr>
    </w:p>
    <w:p w14:paraId="512F6129" w14:textId="77777777" w:rsidR="00BB4E21" w:rsidRDefault="00BB4E21" w:rsidP="00BB4E21">
      <w:pPr>
        <w:rPr>
          <w:rFonts w:ascii="Times New Roman" w:hAnsi="Times New Roman" w:cs="Times New Roman"/>
          <w:i/>
          <w:iCs/>
        </w:rPr>
      </w:pPr>
    </w:p>
    <w:p w14:paraId="5D50CD69" w14:textId="77777777" w:rsidR="00BB4E21" w:rsidRDefault="00BB4E21" w:rsidP="00BB4E21">
      <w:pPr>
        <w:rPr>
          <w:rFonts w:ascii="Times New Roman" w:hAnsi="Times New Roman" w:cs="Times New Roman"/>
          <w:i/>
          <w:iCs/>
        </w:rPr>
      </w:pPr>
    </w:p>
    <w:p w14:paraId="15F4B7C0" w14:textId="77777777" w:rsidR="00BB4E21" w:rsidRDefault="00BB4E21" w:rsidP="00BB4E21">
      <w:pPr>
        <w:rPr>
          <w:rFonts w:ascii="Times New Roman" w:hAnsi="Times New Roman" w:cs="Times New Roman"/>
          <w:i/>
          <w:iCs/>
        </w:rPr>
      </w:pPr>
    </w:p>
    <w:p w14:paraId="13B4173A" w14:textId="77777777" w:rsidR="00BB4E21" w:rsidRDefault="00BB4E21" w:rsidP="00BB4E21">
      <w:pPr>
        <w:rPr>
          <w:rFonts w:ascii="Times New Roman" w:hAnsi="Times New Roman" w:cs="Times New Roman"/>
          <w:i/>
          <w:iCs/>
        </w:rPr>
      </w:pPr>
    </w:p>
    <w:p w14:paraId="35AFE911" w14:textId="77777777" w:rsidR="00BB4E21" w:rsidRDefault="00BB4E21" w:rsidP="00BB4E21">
      <w:pPr>
        <w:rPr>
          <w:rFonts w:ascii="Times New Roman" w:hAnsi="Times New Roman" w:cs="Times New Roman"/>
          <w:i/>
          <w:iCs/>
        </w:rPr>
      </w:pPr>
    </w:p>
    <w:p w14:paraId="13B9037A" w14:textId="77777777" w:rsidR="00BB4E21" w:rsidRDefault="00BB4E21" w:rsidP="00BB4E21">
      <w:pPr>
        <w:rPr>
          <w:rFonts w:ascii="Times New Roman" w:hAnsi="Times New Roman" w:cs="Times New Roman"/>
          <w:i/>
          <w:iCs/>
        </w:rPr>
      </w:pPr>
    </w:p>
    <w:p w14:paraId="5F682AEF" w14:textId="77777777" w:rsidR="00BB4E21" w:rsidRDefault="00BB4E21" w:rsidP="00BB4E21">
      <w:pPr>
        <w:rPr>
          <w:rFonts w:ascii="Times New Roman" w:hAnsi="Times New Roman" w:cs="Times New Roman"/>
          <w:i/>
          <w:iCs/>
        </w:rPr>
      </w:pPr>
    </w:p>
    <w:p w14:paraId="3CC5D51D" w14:textId="77777777" w:rsidR="00BB4E21" w:rsidRDefault="00BB4E21" w:rsidP="00BB4E21">
      <w:pPr>
        <w:rPr>
          <w:rFonts w:ascii="Times New Roman" w:hAnsi="Times New Roman" w:cs="Times New Roman"/>
          <w:i/>
          <w:iCs/>
        </w:rPr>
        <w:sectPr w:rsidR="00BB4E21">
          <w:pgSz w:w="12240" w:h="15840"/>
          <w:pgMar w:top="1440" w:right="1440" w:bottom="1440" w:left="1440" w:header="720" w:footer="720" w:gutter="0"/>
          <w:pgNumType w:start="1"/>
          <w:cols w:space="720"/>
          <w:docGrid w:linePitch="360"/>
        </w:sectPr>
      </w:pPr>
    </w:p>
    <w:p w14:paraId="2B423F3E" w14:textId="77777777" w:rsidR="00BB4E21" w:rsidRDefault="00BB4E21" w:rsidP="00BB4E21">
      <w:pPr>
        <w:spacing w:line="240" w:lineRule="auto"/>
        <w:rPr>
          <w:rFonts w:ascii="Georgia" w:hAnsi="Georgia" w:cs="Times New Roman"/>
          <w:color w:val="1F1F1F"/>
          <w:kern w:val="0"/>
          <w14:ligatures w14:val="none"/>
        </w:rPr>
      </w:pPr>
      <w:r>
        <w:rPr>
          <w:rFonts w:ascii="Georgia" w:hAnsi="Georgia" w:cs="Times New Roman"/>
          <w:b/>
          <w:bCs/>
          <w:color w:val="1F1F1F"/>
          <w:kern w:val="0"/>
          <w:sz w:val="21"/>
          <w:szCs w:val="21"/>
          <w14:ligatures w14:val="none"/>
        </w:rPr>
        <w:lastRenderedPageBreak/>
        <w:t>Table </w:t>
      </w:r>
      <w:r>
        <w:rPr>
          <w:rFonts w:hAnsi="Georgia" w:cs="Times New Roman"/>
          <w:b/>
          <w:bCs/>
          <w:color w:val="1F1F1F"/>
          <w:kern w:val="0"/>
          <w:sz w:val="21"/>
          <w:szCs w:val="21"/>
          <w14:ligatures w14:val="none"/>
        </w:rPr>
        <w:t>2:</w:t>
      </w:r>
      <w:r>
        <w:rPr>
          <w:rFonts w:ascii="Georgia" w:hAnsi="Georgia" w:cs="Times New Roman"/>
          <w:color w:val="1F1F1F"/>
          <w:kern w:val="0"/>
          <w14:ligatures w14:val="none"/>
        </w:rPr>
        <w:t> Characteristics of the Included Trials</w:t>
      </w:r>
    </w:p>
    <w:tbl>
      <w:tblPr>
        <w:tblStyle w:val="PlainTable11"/>
        <w:tblW w:w="9833" w:type="dxa"/>
        <w:tblLook w:val="04A0" w:firstRow="1" w:lastRow="0" w:firstColumn="1" w:lastColumn="0" w:noHBand="0" w:noVBand="1"/>
      </w:tblPr>
      <w:tblGrid>
        <w:gridCol w:w="1372"/>
        <w:gridCol w:w="1854"/>
        <w:gridCol w:w="2072"/>
        <w:gridCol w:w="2463"/>
        <w:gridCol w:w="2072"/>
      </w:tblGrid>
      <w:tr w:rsidR="00BB4E21" w14:paraId="35217595" w14:textId="77777777" w:rsidTr="000566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780F96D" w14:textId="77777777" w:rsidR="00BB4E21" w:rsidRDefault="00BB4E21" w:rsidP="00056603">
            <w:pPr>
              <w:rPr>
                <w:rFonts w:ascii="Times New Roman" w:eastAsia="Times New Roman" w:hAnsi="Times New Roman" w:cs="Times New Roman"/>
                <w:sz w:val="21"/>
                <w:szCs w:val="21"/>
              </w:rPr>
            </w:pPr>
            <w:r>
              <w:rPr>
                <w:rFonts w:ascii="Times New Roman" w:eastAsia="Times New Roman" w:hAnsi="Times New Roman" w:cs="Times New Roman"/>
                <w:sz w:val="21"/>
                <w:szCs w:val="21"/>
                <w:bdr w:val="none" w:sz="0" w:space="0" w:color="auto" w:frame="1"/>
              </w:rPr>
              <w:t>Empty Cell</w:t>
            </w:r>
          </w:p>
        </w:tc>
        <w:tc>
          <w:tcPr>
            <w:tcW w:w="0" w:type="auto"/>
            <w:hideMark/>
          </w:tcPr>
          <w:p w14:paraId="19EDA484" w14:textId="77777777" w:rsidR="00BB4E21" w:rsidRDefault="00BB4E21" w:rsidP="0005660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t>NOTION </w:t>
            </w:r>
            <w:r>
              <w:rPr>
                <w:rFonts w:eastAsia="Times New Roman" w:hAnsi="Times New Roman" w:cs="Times New Roman"/>
                <w:color w:val="0000FF"/>
                <w:sz w:val="21"/>
                <w:szCs w:val="21"/>
              </w:rPr>
              <w:t>[3]</w:t>
            </w:r>
          </w:p>
        </w:tc>
        <w:tc>
          <w:tcPr>
            <w:tcW w:w="0" w:type="auto"/>
            <w:hideMark/>
          </w:tcPr>
          <w:p w14:paraId="4CCD0E3B" w14:textId="77777777" w:rsidR="00BB4E21" w:rsidRDefault="00BB4E21" w:rsidP="0005660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t>SURTAVI (STS &lt;3%) </w:t>
            </w:r>
            <w:r>
              <w:rPr>
                <w:rFonts w:eastAsia="Times New Roman" w:hAnsi="Times New Roman" w:cs="Times New Roman"/>
                <w:color w:val="0000FF"/>
                <w:sz w:val="21"/>
                <w:szCs w:val="21"/>
              </w:rPr>
              <w:t>[13]</w:t>
            </w:r>
          </w:p>
        </w:tc>
        <w:tc>
          <w:tcPr>
            <w:tcW w:w="0" w:type="auto"/>
            <w:hideMark/>
          </w:tcPr>
          <w:p w14:paraId="71A7C2B3" w14:textId="77777777" w:rsidR="00BB4E21" w:rsidRDefault="00BB4E21" w:rsidP="0005660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t>PARTNER 3 </w:t>
            </w:r>
            <w:r>
              <w:rPr>
                <w:rFonts w:eastAsia="Times New Roman" w:hAnsi="Times New Roman" w:cs="Times New Roman"/>
                <w:color w:val="0000FF"/>
                <w:sz w:val="21"/>
                <w:szCs w:val="21"/>
              </w:rPr>
              <w:t>[8]</w:t>
            </w:r>
          </w:p>
        </w:tc>
        <w:tc>
          <w:tcPr>
            <w:tcW w:w="0" w:type="auto"/>
            <w:hideMark/>
          </w:tcPr>
          <w:p w14:paraId="4BE541FD" w14:textId="77777777" w:rsidR="00BB4E21" w:rsidRDefault="00BB4E21" w:rsidP="0005660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proofErr w:type="spellStart"/>
            <w:r>
              <w:rPr>
                <w:rFonts w:ascii="Times New Roman" w:eastAsia="Times New Roman" w:hAnsi="Times New Roman" w:cs="Times New Roman"/>
                <w:sz w:val="21"/>
                <w:szCs w:val="21"/>
              </w:rPr>
              <w:t>Evolut</w:t>
            </w:r>
            <w:proofErr w:type="spellEnd"/>
            <w:r>
              <w:rPr>
                <w:rFonts w:ascii="Times New Roman" w:eastAsia="Times New Roman" w:hAnsi="Times New Roman" w:cs="Times New Roman"/>
                <w:sz w:val="21"/>
                <w:szCs w:val="21"/>
              </w:rPr>
              <w:t xml:space="preserve"> Low Risk </w:t>
            </w:r>
            <w:r>
              <w:rPr>
                <w:rFonts w:eastAsia="Times New Roman" w:hAnsi="Times New Roman" w:cs="Times New Roman"/>
                <w:color w:val="0000FF"/>
                <w:sz w:val="21"/>
                <w:szCs w:val="21"/>
              </w:rPr>
              <w:t>[9]</w:t>
            </w:r>
          </w:p>
        </w:tc>
      </w:tr>
      <w:tr w:rsidR="00BB4E21" w14:paraId="66FA25EF" w14:textId="77777777" w:rsidTr="000566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FA89378" w14:textId="77777777" w:rsidR="00BB4E21" w:rsidRDefault="00BB4E21" w:rsidP="00056603">
            <w:pPr>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Year</w:t>
            </w:r>
          </w:p>
        </w:tc>
        <w:tc>
          <w:tcPr>
            <w:tcW w:w="0" w:type="auto"/>
            <w:hideMark/>
          </w:tcPr>
          <w:p w14:paraId="612E413A"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t>2015</w:t>
            </w:r>
          </w:p>
        </w:tc>
        <w:tc>
          <w:tcPr>
            <w:tcW w:w="0" w:type="auto"/>
            <w:hideMark/>
          </w:tcPr>
          <w:p w14:paraId="468937B8"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t>2018</w:t>
            </w:r>
          </w:p>
        </w:tc>
        <w:tc>
          <w:tcPr>
            <w:tcW w:w="0" w:type="auto"/>
            <w:hideMark/>
          </w:tcPr>
          <w:p w14:paraId="192B6C08"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t>2019</w:t>
            </w:r>
          </w:p>
        </w:tc>
        <w:tc>
          <w:tcPr>
            <w:tcW w:w="0" w:type="auto"/>
            <w:hideMark/>
          </w:tcPr>
          <w:p w14:paraId="31DC2EBF"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t>2019</w:t>
            </w:r>
          </w:p>
        </w:tc>
      </w:tr>
      <w:tr w:rsidR="00BB4E21" w14:paraId="23B5B1C2" w14:textId="77777777" w:rsidTr="00056603">
        <w:tc>
          <w:tcPr>
            <w:cnfStyle w:val="001000000000" w:firstRow="0" w:lastRow="0" w:firstColumn="1" w:lastColumn="0" w:oddVBand="0" w:evenVBand="0" w:oddHBand="0" w:evenHBand="0" w:firstRowFirstColumn="0" w:firstRowLastColumn="0" w:lastRowFirstColumn="0" w:lastRowLastColumn="0"/>
            <w:tcW w:w="0" w:type="auto"/>
            <w:hideMark/>
          </w:tcPr>
          <w:p w14:paraId="258E25C8" w14:textId="77777777" w:rsidR="00BB4E21" w:rsidRDefault="00BB4E21" w:rsidP="00056603">
            <w:pPr>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Study design</w:t>
            </w:r>
          </w:p>
        </w:tc>
        <w:tc>
          <w:tcPr>
            <w:tcW w:w="0" w:type="auto"/>
            <w:hideMark/>
          </w:tcPr>
          <w:p w14:paraId="594C28F8" w14:textId="77777777" w:rsidR="00BB4E21" w:rsidRDefault="00BB4E21" w:rsidP="0005660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t>RCT, superiority</w:t>
            </w:r>
          </w:p>
        </w:tc>
        <w:tc>
          <w:tcPr>
            <w:tcW w:w="0" w:type="auto"/>
            <w:hideMark/>
          </w:tcPr>
          <w:p w14:paraId="59CC9E97" w14:textId="77777777" w:rsidR="00BB4E21" w:rsidRDefault="00BB4E21" w:rsidP="0005660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t>Post hoc analysis of RCT</w:t>
            </w:r>
          </w:p>
        </w:tc>
        <w:tc>
          <w:tcPr>
            <w:tcW w:w="0" w:type="auto"/>
            <w:hideMark/>
          </w:tcPr>
          <w:p w14:paraId="19ECE14C" w14:textId="77777777" w:rsidR="00BB4E21" w:rsidRDefault="00BB4E21" w:rsidP="0005660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t>RCT, noninferiority and superiority</w:t>
            </w:r>
          </w:p>
        </w:tc>
        <w:tc>
          <w:tcPr>
            <w:tcW w:w="0" w:type="auto"/>
            <w:hideMark/>
          </w:tcPr>
          <w:p w14:paraId="2F8BDD4D" w14:textId="77777777" w:rsidR="00BB4E21" w:rsidRDefault="00BB4E21" w:rsidP="0005660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t>RCT, noninferiority</w:t>
            </w:r>
          </w:p>
        </w:tc>
      </w:tr>
      <w:tr w:rsidR="00BB4E21" w14:paraId="64F05208" w14:textId="77777777" w:rsidTr="000566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C7130B4" w14:textId="77777777" w:rsidR="00BB4E21" w:rsidRDefault="00BB4E21" w:rsidP="00056603">
            <w:pPr>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N</w:t>
            </w:r>
          </w:p>
        </w:tc>
        <w:tc>
          <w:tcPr>
            <w:tcW w:w="0" w:type="auto"/>
            <w:hideMark/>
          </w:tcPr>
          <w:p w14:paraId="6D6618F8"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t>280</w:t>
            </w:r>
          </w:p>
        </w:tc>
        <w:tc>
          <w:tcPr>
            <w:tcW w:w="0" w:type="auto"/>
            <w:hideMark/>
          </w:tcPr>
          <w:p w14:paraId="00D8C90D"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t>254</w:t>
            </w:r>
            <w:hyperlink r:id="rId40" w:anchor="tbl1fnlowast" w:history="1">
              <w:r>
                <w:rPr>
                  <w:rFonts w:ascii="Cambria Math" w:eastAsia="Times New Roman" w:hAnsi="Cambria Math" w:cs="Cambria Math"/>
                  <w:color w:val="0000FF"/>
                  <w:sz w:val="16"/>
                  <w:szCs w:val="16"/>
                  <w:vertAlign w:val="superscript"/>
                </w:rPr>
                <w:t>∗</w:t>
              </w:r>
            </w:hyperlink>
          </w:p>
        </w:tc>
        <w:tc>
          <w:tcPr>
            <w:tcW w:w="0" w:type="auto"/>
            <w:hideMark/>
          </w:tcPr>
          <w:p w14:paraId="17A59B04"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t>950</w:t>
            </w:r>
          </w:p>
        </w:tc>
        <w:tc>
          <w:tcPr>
            <w:tcW w:w="0" w:type="auto"/>
            <w:hideMark/>
          </w:tcPr>
          <w:p w14:paraId="4738B122"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t>1,403</w:t>
            </w:r>
          </w:p>
        </w:tc>
      </w:tr>
      <w:tr w:rsidR="00BB4E21" w14:paraId="2D783C89" w14:textId="77777777" w:rsidTr="00056603">
        <w:tc>
          <w:tcPr>
            <w:cnfStyle w:val="001000000000" w:firstRow="0" w:lastRow="0" w:firstColumn="1" w:lastColumn="0" w:oddVBand="0" w:evenVBand="0" w:oddHBand="0" w:evenHBand="0" w:firstRowFirstColumn="0" w:firstRowLastColumn="0" w:lastRowFirstColumn="0" w:lastRowLastColumn="0"/>
            <w:tcW w:w="0" w:type="auto"/>
            <w:hideMark/>
          </w:tcPr>
          <w:p w14:paraId="7287FBFB" w14:textId="77777777" w:rsidR="00BB4E21" w:rsidRDefault="00BB4E21" w:rsidP="00056603">
            <w:pPr>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Key inclusion criteria</w:t>
            </w:r>
          </w:p>
        </w:tc>
        <w:tc>
          <w:tcPr>
            <w:tcW w:w="0" w:type="auto"/>
            <w:hideMark/>
          </w:tcPr>
          <w:p w14:paraId="65DACEC8" w14:textId="77777777" w:rsidR="00BB4E21" w:rsidRDefault="00BB4E21" w:rsidP="0005660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t>≥70 yrs of age; severe AS; heart team evaluation; symptomatic; asymptomatic with LVPWT ≥17 mm, decreasing LVEF, or new onset atrial fibrillation; &gt;1 yr survival.</w:t>
            </w:r>
          </w:p>
        </w:tc>
        <w:tc>
          <w:tcPr>
            <w:tcW w:w="0" w:type="auto"/>
            <w:hideMark/>
          </w:tcPr>
          <w:p w14:paraId="163BBF93" w14:textId="77777777" w:rsidR="00BB4E21" w:rsidRDefault="00BB4E21" w:rsidP="0005660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t>Symptomatic severe AS; STS 3% to 15% and intermediate risk of operative mortality per heart team.</w:t>
            </w:r>
          </w:p>
        </w:tc>
        <w:tc>
          <w:tcPr>
            <w:tcW w:w="0" w:type="auto"/>
            <w:hideMark/>
          </w:tcPr>
          <w:p w14:paraId="0D3139FB" w14:textId="77777777" w:rsidR="00BB4E21" w:rsidRDefault="00BB4E21" w:rsidP="0005660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t>Severe calcific AS and NYHA functional class ≥2, exercise tolerance test demonstrating a limited exercise capacity, abnormal BP response, or arrhythmia, or asymptomatic with LVEF &lt;50%; STS &lt;4% and low risk of operative mortality per heart team; eligible for transfemoral access.</w:t>
            </w:r>
          </w:p>
        </w:tc>
        <w:tc>
          <w:tcPr>
            <w:tcW w:w="0" w:type="auto"/>
            <w:hideMark/>
          </w:tcPr>
          <w:p w14:paraId="348A01EA" w14:textId="77777777" w:rsidR="00BB4E21" w:rsidRDefault="00BB4E21" w:rsidP="0005660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t>Severe AS; symptomatic or asymptomatic with very severe AS, exercise tolerance test demonstrating a limited exercise capacity, abnormal BP response, or arrhythmia, or LVEF &lt;50%; STS &lt;3% and low risk of operative mortality per heart team.</w:t>
            </w:r>
          </w:p>
        </w:tc>
      </w:tr>
      <w:tr w:rsidR="00BB4E21" w14:paraId="040AA599" w14:textId="77777777" w:rsidTr="000566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8B71507" w14:textId="77777777" w:rsidR="00BB4E21" w:rsidRDefault="00BB4E21" w:rsidP="00056603">
            <w:pPr>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Key exclusion criteria</w:t>
            </w:r>
          </w:p>
        </w:tc>
        <w:tc>
          <w:tcPr>
            <w:tcW w:w="0" w:type="auto"/>
            <w:hideMark/>
          </w:tcPr>
          <w:p w14:paraId="22AEB5C4" w14:textId="77777777" w:rsidR="00BB4E21" w:rsidRDefault="00BB4E21" w:rsidP="0005660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t>Concomitant severe valve disease; CAD requiring intervention; prior cardiac surgery; MI or stroke within 30 days; ESRD on dialysis; pulmonary failure with FEV1 or diffusion capacity &lt;40% of expected.</w:t>
            </w:r>
          </w:p>
        </w:tc>
        <w:tc>
          <w:tcPr>
            <w:tcW w:w="0" w:type="auto"/>
            <w:hideMark/>
          </w:tcPr>
          <w:p w14:paraId="237FDC5F" w14:textId="77777777" w:rsidR="00BB4E21" w:rsidRDefault="00BB4E21" w:rsidP="0005660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proofErr w:type="spellStart"/>
            <w:r>
              <w:rPr>
                <w:rFonts w:ascii="Times New Roman" w:eastAsia="Times New Roman" w:hAnsi="Times New Roman" w:cs="Times New Roman"/>
                <w:sz w:val="21"/>
                <w:szCs w:val="21"/>
              </w:rPr>
              <w:t>Unicuspid</w:t>
            </w:r>
            <w:proofErr w:type="spellEnd"/>
            <w:r>
              <w:rPr>
                <w:rFonts w:ascii="Times New Roman" w:eastAsia="Times New Roman" w:hAnsi="Times New Roman" w:cs="Times New Roman"/>
                <w:sz w:val="21"/>
                <w:szCs w:val="21"/>
              </w:rPr>
              <w:t xml:space="preserve"> or bicuspid aortic valve; severe AR/MR/TR; severe MS; multivessel CAD with SYNTAX score &gt;22 and/or UPLM; MI ≤30 days before trial procedure; percutaneous coronary/peripheral intervention within 30 days before randomization; recent (&lt;6 months) </w:t>
            </w:r>
            <w:r>
              <w:rPr>
                <w:rFonts w:ascii="Times New Roman" w:eastAsia="Times New Roman" w:hAnsi="Times New Roman" w:cs="Times New Roman"/>
                <w:sz w:val="21"/>
                <w:szCs w:val="21"/>
              </w:rPr>
              <w:lastRenderedPageBreak/>
              <w:t xml:space="preserve">stroke/TIA; LVEF &lt;20%; ESRD on dialysis or </w:t>
            </w:r>
            <w:proofErr w:type="spellStart"/>
            <w:r>
              <w:rPr>
                <w:rFonts w:ascii="Times New Roman" w:eastAsia="Times New Roman" w:hAnsi="Times New Roman" w:cs="Times New Roman"/>
                <w:sz w:val="21"/>
                <w:szCs w:val="21"/>
              </w:rPr>
              <w:t>CrCl</w:t>
            </w:r>
            <w:proofErr w:type="spellEnd"/>
            <w:r>
              <w:rPr>
                <w:rFonts w:ascii="Times New Roman" w:eastAsia="Times New Roman" w:hAnsi="Times New Roman" w:cs="Times New Roman"/>
                <w:sz w:val="21"/>
                <w:szCs w:val="21"/>
              </w:rPr>
              <w:t> &lt;20 ml/min; liver failure (Child C); severe COPD (FEV1 &lt;750 ml); pulmonary artery systolic pressure &gt;80 mm Hg; severe dementia; clinical frailty; estimated life expectancy &lt;24 months.</w:t>
            </w:r>
          </w:p>
        </w:tc>
        <w:tc>
          <w:tcPr>
            <w:tcW w:w="0" w:type="auto"/>
            <w:hideMark/>
          </w:tcPr>
          <w:p w14:paraId="7B35FCE1" w14:textId="77777777" w:rsidR="00BB4E21" w:rsidRDefault="00BB4E21" w:rsidP="0005660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proofErr w:type="spellStart"/>
            <w:r>
              <w:rPr>
                <w:rFonts w:ascii="Times New Roman" w:eastAsia="Times New Roman" w:hAnsi="Times New Roman" w:cs="Times New Roman"/>
                <w:sz w:val="21"/>
                <w:szCs w:val="21"/>
              </w:rPr>
              <w:lastRenderedPageBreak/>
              <w:t>Unicuspid</w:t>
            </w:r>
            <w:proofErr w:type="spellEnd"/>
            <w:r>
              <w:rPr>
                <w:rFonts w:ascii="Times New Roman" w:eastAsia="Times New Roman" w:hAnsi="Times New Roman" w:cs="Times New Roman"/>
                <w:sz w:val="21"/>
                <w:szCs w:val="21"/>
              </w:rPr>
              <w:t xml:space="preserve">, bicuspid, or non-calcified aortic valve; severe AR/MR (&gt;3+), ≥moderate MS; pre-existing bioprosthetic or mechanical valve in any position; complex CAD; MI within 30 days before randomization; stroke/TIA within 90 days of randomization; active bacterial endocarditis within 180 days of randomization; LVEF &lt;30%; eGFR &lt;30 </w:t>
            </w:r>
            <w:r>
              <w:rPr>
                <w:rFonts w:ascii="Times New Roman" w:eastAsia="Times New Roman" w:hAnsi="Times New Roman" w:cs="Times New Roman"/>
                <w:sz w:val="21"/>
                <w:szCs w:val="21"/>
              </w:rPr>
              <w:lastRenderedPageBreak/>
              <w:t>or dialysis; severe lung disease (FEV1 &lt;50% predicted) or home oxygen; severe pulmonary hypertension; cirrhosis or active liver disease; clinical frailty; estimated life expectancy &lt;24 months.</w:t>
            </w:r>
          </w:p>
        </w:tc>
        <w:tc>
          <w:tcPr>
            <w:tcW w:w="0" w:type="auto"/>
            <w:hideMark/>
          </w:tcPr>
          <w:p w14:paraId="613331CE" w14:textId="77777777" w:rsidR="00BB4E21" w:rsidRDefault="00BB4E21" w:rsidP="0005660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lastRenderedPageBreak/>
              <w:t xml:space="preserve">Bicuspid aortic valve; severe MR/TR; moderate or severe MS; pre-existing prosthetic heart valve in any position; multivessel CAD with SYNTAX score &gt;22 and/or UPLM; MI ≤30 days before trial procedure; percutaneous coronary/peripheral intervention with BMS within 30 days </w:t>
            </w:r>
            <w:r>
              <w:rPr>
                <w:rFonts w:ascii="Times New Roman" w:eastAsia="Times New Roman" w:hAnsi="Times New Roman" w:cs="Times New Roman"/>
                <w:sz w:val="21"/>
                <w:szCs w:val="21"/>
              </w:rPr>
              <w:lastRenderedPageBreak/>
              <w:t>or DES within 180 days before randomization; recent (&lt;2 months) stroke/TIA; severe dementia; estimated life expectancy &lt;24 months.</w:t>
            </w:r>
          </w:p>
        </w:tc>
      </w:tr>
      <w:tr w:rsidR="00BB4E21" w14:paraId="3CDF67F0" w14:textId="77777777" w:rsidTr="00056603">
        <w:tc>
          <w:tcPr>
            <w:cnfStyle w:val="001000000000" w:firstRow="0" w:lastRow="0" w:firstColumn="1" w:lastColumn="0" w:oddVBand="0" w:evenVBand="0" w:oddHBand="0" w:evenHBand="0" w:firstRowFirstColumn="0" w:firstRowLastColumn="0" w:lastRowFirstColumn="0" w:lastRowLastColumn="0"/>
            <w:tcW w:w="0" w:type="auto"/>
            <w:hideMark/>
          </w:tcPr>
          <w:p w14:paraId="277F986E" w14:textId="77777777" w:rsidR="00BB4E21" w:rsidRDefault="00BB4E21" w:rsidP="00056603">
            <w:pPr>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lastRenderedPageBreak/>
              <w:t>TAVR valve type</w:t>
            </w:r>
          </w:p>
        </w:tc>
        <w:tc>
          <w:tcPr>
            <w:tcW w:w="0" w:type="auto"/>
            <w:hideMark/>
          </w:tcPr>
          <w:p w14:paraId="65077020" w14:textId="77777777" w:rsidR="00BB4E21" w:rsidRDefault="00BB4E21" w:rsidP="0005660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proofErr w:type="spellStart"/>
            <w:r>
              <w:rPr>
                <w:rFonts w:ascii="Times New Roman" w:eastAsia="Times New Roman" w:hAnsi="Times New Roman" w:cs="Times New Roman"/>
                <w:sz w:val="21"/>
                <w:szCs w:val="21"/>
              </w:rPr>
              <w:t>CoreValve</w:t>
            </w:r>
            <w:proofErr w:type="spellEnd"/>
            <w:r>
              <w:rPr>
                <w:rFonts w:ascii="Times New Roman" w:eastAsia="Times New Roman" w:hAnsi="Times New Roman" w:cs="Times New Roman"/>
                <w:sz w:val="21"/>
                <w:szCs w:val="21"/>
              </w:rPr>
              <w:t xml:space="preserve"> (100%) (Medtronic, Dublin, Ireland)</w:t>
            </w:r>
          </w:p>
        </w:tc>
        <w:tc>
          <w:tcPr>
            <w:tcW w:w="0" w:type="auto"/>
            <w:hideMark/>
          </w:tcPr>
          <w:p w14:paraId="6965765B" w14:textId="77777777" w:rsidR="00BB4E21" w:rsidRDefault="00BB4E21" w:rsidP="0005660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proofErr w:type="spellStart"/>
            <w:r>
              <w:rPr>
                <w:rFonts w:ascii="Times New Roman" w:eastAsia="Times New Roman" w:hAnsi="Times New Roman" w:cs="Times New Roman"/>
                <w:sz w:val="21"/>
                <w:szCs w:val="21"/>
              </w:rPr>
              <w:t>CoreValve</w:t>
            </w:r>
            <w:proofErr w:type="spellEnd"/>
            <w:r>
              <w:rPr>
                <w:rFonts w:ascii="Times New Roman" w:eastAsia="Times New Roman" w:hAnsi="Times New Roman" w:cs="Times New Roman"/>
                <w:sz w:val="21"/>
                <w:szCs w:val="21"/>
              </w:rPr>
              <w:t xml:space="preserve"> (84%) or </w:t>
            </w:r>
            <w:proofErr w:type="spellStart"/>
            <w:r>
              <w:rPr>
                <w:rFonts w:ascii="Times New Roman" w:eastAsia="Times New Roman" w:hAnsi="Times New Roman" w:cs="Times New Roman"/>
                <w:sz w:val="21"/>
                <w:szCs w:val="21"/>
              </w:rPr>
              <w:t>Evolut</w:t>
            </w:r>
            <w:proofErr w:type="spellEnd"/>
            <w:r>
              <w:rPr>
                <w:rFonts w:ascii="Times New Roman" w:eastAsia="Times New Roman" w:hAnsi="Times New Roman" w:cs="Times New Roman"/>
                <w:sz w:val="21"/>
                <w:szCs w:val="21"/>
              </w:rPr>
              <w:t xml:space="preserve"> R (16%) (Medtronic, Dublin, Ireland)</w:t>
            </w:r>
          </w:p>
        </w:tc>
        <w:tc>
          <w:tcPr>
            <w:tcW w:w="0" w:type="auto"/>
            <w:hideMark/>
          </w:tcPr>
          <w:p w14:paraId="747A6F20" w14:textId="77777777" w:rsidR="00BB4E21" w:rsidRDefault="00BB4E21" w:rsidP="0005660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proofErr w:type="spellStart"/>
            <w:r>
              <w:rPr>
                <w:rFonts w:ascii="Times New Roman" w:eastAsia="Times New Roman" w:hAnsi="Times New Roman" w:cs="Times New Roman"/>
                <w:sz w:val="21"/>
                <w:szCs w:val="21"/>
              </w:rPr>
              <w:t>Sapien</w:t>
            </w:r>
            <w:proofErr w:type="spellEnd"/>
            <w:r>
              <w:rPr>
                <w:rFonts w:ascii="Times New Roman" w:eastAsia="Times New Roman" w:hAnsi="Times New Roman" w:cs="Times New Roman"/>
                <w:sz w:val="21"/>
                <w:szCs w:val="21"/>
              </w:rPr>
              <w:t xml:space="preserve"> 3 (100%) (Edwards Lifesciences, Irvine, California)</w:t>
            </w:r>
          </w:p>
        </w:tc>
        <w:tc>
          <w:tcPr>
            <w:tcW w:w="0" w:type="auto"/>
            <w:hideMark/>
          </w:tcPr>
          <w:p w14:paraId="18061850" w14:textId="77777777" w:rsidR="00BB4E21" w:rsidRDefault="00BB4E21" w:rsidP="0005660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1"/>
                <w:szCs w:val="21"/>
              </w:rPr>
            </w:pPr>
            <w:proofErr w:type="spellStart"/>
            <w:r>
              <w:rPr>
                <w:rFonts w:ascii="Times New Roman" w:eastAsia="Times New Roman" w:hAnsi="Times New Roman" w:cs="Times New Roman"/>
                <w:sz w:val="21"/>
                <w:szCs w:val="21"/>
              </w:rPr>
              <w:t>CoreValve</w:t>
            </w:r>
            <w:proofErr w:type="spellEnd"/>
            <w:r>
              <w:rPr>
                <w:rFonts w:ascii="Times New Roman" w:eastAsia="Times New Roman" w:hAnsi="Times New Roman" w:cs="Times New Roman"/>
                <w:sz w:val="21"/>
                <w:szCs w:val="21"/>
              </w:rPr>
              <w:t xml:space="preserve"> (3.6%), </w:t>
            </w:r>
            <w:proofErr w:type="spellStart"/>
            <w:r>
              <w:rPr>
                <w:rFonts w:ascii="Times New Roman" w:eastAsia="Times New Roman" w:hAnsi="Times New Roman" w:cs="Times New Roman"/>
                <w:sz w:val="21"/>
                <w:szCs w:val="21"/>
              </w:rPr>
              <w:t>Evolut</w:t>
            </w:r>
            <w:proofErr w:type="spellEnd"/>
            <w:r>
              <w:rPr>
                <w:rFonts w:ascii="Times New Roman" w:eastAsia="Times New Roman" w:hAnsi="Times New Roman" w:cs="Times New Roman"/>
                <w:sz w:val="21"/>
                <w:szCs w:val="21"/>
              </w:rPr>
              <w:t xml:space="preserve"> R (74.1%), or </w:t>
            </w:r>
            <w:proofErr w:type="spellStart"/>
            <w:r>
              <w:rPr>
                <w:rFonts w:ascii="Times New Roman" w:eastAsia="Times New Roman" w:hAnsi="Times New Roman" w:cs="Times New Roman"/>
                <w:sz w:val="21"/>
                <w:szCs w:val="21"/>
              </w:rPr>
              <w:t>Evolut</w:t>
            </w:r>
            <w:proofErr w:type="spellEnd"/>
            <w:r>
              <w:rPr>
                <w:rFonts w:ascii="Times New Roman" w:eastAsia="Times New Roman" w:hAnsi="Times New Roman" w:cs="Times New Roman"/>
                <w:sz w:val="21"/>
                <w:szCs w:val="21"/>
              </w:rPr>
              <w:t xml:space="preserve"> PRO (22.3%) (Medtronic, Dublin, Ireland)</w:t>
            </w:r>
          </w:p>
        </w:tc>
      </w:tr>
      <w:tr w:rsidR="00BB4E21" w14:paraId="11A05C7D" w14:textId="77777777" w:rsidTr="000566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1A348D6" w14:textId="77777777" w:rsidR="00BB4E21" w:rsidRDefault="00BB4E21" w:rsidP="00056603">
            <w:pPr>
              <w:jc w:val="center"/>
              <w:rPr>
                <w:rFonts w:ascii="Times New Roman" w:eastAsia="Times New Roman" w:hAnsi="Times New Roman" w:cs="Times New Roman"/>
                <w:sz w:val="21"/>
                <w:szCs w:val="21"/>
              </w:rPr>
            </w:pPr>
            <w:r>
              <w:rPr>
                <w:rFonts w:ascii="Times New Roman" w:eastAsia="Times New Roman" w:hAnsi="Times New Roman" w:cs="Times New Roman"/>
                <w:sz w:val="21"/>
                <w:szCs w:val="21"/>
              </w:rPr>
              <w:t>Primary endpoint</w:t>
            </w:r>
          </w:p>
        </w:tc>
        <w:tc>
          <w:tcPr>
            <w:tcW w:w="0" w:type="auto"/>
            <w:hideMark/>
          </w:tcPr>
          <w:p w14:paraId="502E3419" w14:textId="77777777" w:rsidR="00BB4E21" w:rsidRDefault="00BB4E21" w:rsidP="0005660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t>Composite of all-cause death, stroke, or MI at 1 yr.</w:t>
            </w:r>
          </w:p>
        </w:tc>
        <w:tc>
          <w:tcPr>
            <w:tcW w:w="0" w:type="auto"/>
            <w:hideMark/>
          </w:tcPr>
          <w:p w14:paraId="179194AD" w14:textId="77777777" w:rsidR="00BB4E21" w:rsidRDefault="00BB4E21" w:rsidP="0005660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t>Composite of all-cause death or disabling stroke at 24 months.</w:t>
            </w:r>
          </w:p>
        </w:tc>
        <w:tc>
          <w:tcPr>
            <w:tcW w:w="0" w:type="auto"/>
            <w:hideMark/>
          </w:tcPr>
          <w:p w14:paraId="47017269" w14:textId="77777777" w:rsidR="00BB4E21" w:rsidRDefault="00BB4E21" w:rsidP="0005660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t>Composite of all-cause death, stroke, or rehospitalization at 1 yr.</w:t>
            </w:r>
          </w:p>
        </w:tc>
        <w:tc>
          <w:tcPr>
            <w:tcW w:w="0" w:type="auto"/>
            <w:hideMark/>
          </w:tcPr>
          <w:p w14:paraId="1D8EFD83" w14:textId="77777777" w:rsidR="00BB4E21" w:rsidRDefault="00BB4E21" w:rsidP="0005660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1"/>
                <w:szCs w:val="21"/>
              </w:rPr>
            </w:pPr>
            <w:r>
              <w:rPr>
                <w:rFonts w:ascii="Times New Roman" w:eastAsia="Times New Roman" w:hAnsi="Times New Roman" w:cs="Times New Roman"/>
                <w:sz w:val="21"/>
                <w:szCs w:val="21"/>
              </w:rPr>
              <w:t>Composite of all-cause death or disabling stroke at 24 months.</w:t>
            </w:r>
          </w:p>
        </w:tc>
      </w:tr>
    </w:tbl>
    <w:p w14:paraId="5008EF57" w14:textId="77777777" w:rsidR="00BB4E21" w:rsidRDefault="00BB4E21" w:rsidP="00BB4E21">
      <w:pPr>
        <w:rPr>
          <w:i/>
          <w:iCs/>
        </w:rPr>
      </w:pPr>
      <w:r>
        <w:rPr>
          <w:i/>
          <w:iCs/>
        </w:rPr>
        <w:t xml:space="preserve">AR = aortic regurgitation; AS = aortic stenosis; BMS = bare-metal stent; BP = blood pressure; CAD = coronary artery disease; COPD = chronic obstructive pulmonary disease; </w:t>
      </w:r>
      <w:proofErr w:type="spellStart"/>
      <w:r>
        <w:rPr>
          <w:i/>
          <w:iCs/>
        </w:rPr>
        <w:t>CrCl</w:t>
      </w:r>
      <w:proofErr w:type="spellEnd"/>
      <w:r>
        <w:rPr>
          <w:i/>
          <w:iCs/>
        </w:rPr>
        <w:t xml:space="preserve"> = creatinine clearance; DES = drug-eluting stents; eGFR = estimated glomerular filtration rate; ESRD = end-stage renal disease; FEV1 = forced expiratory volume in 1 second; LVEF = left ventricular ejection fraction; LVPWT = left ventricular posterior wall thickness; MI = myocardial infarction; MR = mitral regurgitation; MS = mitral stenosis; NOTION = Nordic Aortic Valve Intervention Trial; NYHA = New York Heart Association; PARTNER = Placement of Aortic Transcatheter Valves; RCT = randomized controlled trial; STS = Society of Thoracic Surgeons; SURTAVI = Surgical Replacement and Transcatheter Aortic Valve Implantation; SYNTAX = Synergy Between PCI with Taxus and Cardiac Surgery; TIA = transient ischemic attack; TR = tricuspid regurgitation; UPLM = unprotected left main coronary artery.</w:t>
      </w:r>
    </w:p>
    <w:p w14:paraId="0C8D7EB3" w14:textId="77777777" w:rsidR="00BB4E21" w:rsidRDefault="00BB4E21" w:rsidP="00BB4E21">
      <w:pPr>
        <w:rPr>
          <w:rFonts w:ascii="Times New Roman" w:hAnsi="Times New Roman" w:cs="Times New Roman"/>
          <w:i/>
          <w:iCs/>
        </w:rPr>
        <w:sectPr w:rsidR="00BB4E21" w:rsidSect="00BB4E21">
          <w:pgSz w:w="15840" w:h="12240" w:orient="landscape"/>
          <w:pgMar w:top="1440" w:right="1440" w:bottom="1440" w:left="1440" w:header="720" w:footer="720" w:gutter="0"/>
          <w:pgNumType w:start="1"/>
          <w:cols w:space="720"/>
          <w:docGrid w:linePitch="360"/>
        </w:sectPr>
      </w:pPr>
    </w:p>
    <w:p w14:paraId="3F09AA55" w14:textId="77777777" w:rsidR="00BB4E21" w:rsidRDefault="00BB4E21" w:rsidP="00BB4E21">
      <w:pPr>
        <w:spacing w:after="0" w:line="480" w:lineRule="auto"/>
        <w:rPr>
          <w:rFonts w:ascii="Times New Roman" w:hAnsi="Times New Roman" w:cs="Times New Roman"/>
        </w:rPr>
      </w:pPr>
      <w:r>
        <w:rPr>
          <w:rFonts w:ascii="Times New Roman" w:hAnsi="Times New Roman" w:cs="Times New Roman"/>
          <w:b/>
        </w:rPr>
        <w:lastRenderedPageBreak/>
        <w:t>Table 4.</w:t>
      </w:r>
      <w:r>
        <w:rPr>
          <w:rFonts w:ascii="Times New Roman" w:hAnsi="Times New Roman" w:cs="Times New Roman"/>
        </w:rPr>
        <w:t xml:space="preserve"> Baseline Patient and Procedural Characteristics </w:t>
      </w:r>
    </w:p>
    <w:tbl>
      <w:tblPr>
        <w:tblStyle w:val="PlainTable11"/>
        <w:tblW w:w="5000" w:type="pct"/>
        <w:tblLook w:val="04A0" w:firstRow="1" w:lastRow="0" w:firstColumn="1" w:lastColumn="0" w:noHBand="0" w:noVBand="1"/>
      </w:tblPr>
      <w:tblGrid>
        <w:gridCol w:w="2557"/>
        <w:gridCol w:w="1301"/>
        <w:gridCol w:w="1300"/>
        <w:gridCol w:w="1300"/>
        <w:gridCol w:w="1300"/>
        <w:gridCol w:w="1300"/>
        <w:gridCol w:w="1300"/>
        <w:gridCol w:w="1300"/>
        <w:gridCol w:w="1292"/>
      </w:tblGrid>
      <w:tr w:rsidR="00BB4E21" w14:paraId="46EA16D7" w14:textId="77777777" w:rsidTr="00BB4E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pct"/>
          </w:tcPr>
          <w:p w14:paraId="70D843A9" w14:textId="77777777" w:rsidR="00BB4E21" w:rsidRDefault="00BB4E21" w:rsidP="00056603">
            <w:pPr>
              <w:rPr>
                <w:rFonts w:ascii="Times New Roman" w:hAnsi="Times New Roman" w:cs="Times New Roman"/>
              </w:rPr>
            </w:pPr>
          </w:p>
        </w:tc>
        <w:tc>
          <w:tcPr>
            <w:tcW w:w="1003" w:type="pct"/>
            <w:gridSpan w:val="2"/>
          </w:tcPr>
          <w:p w14:paraId="33A8A0DB" w14:textId="77777777" w:rsidR="00BB4E21" w:rsidRDefault="00BB4E21" w:rsidP="0005660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NOTION</w:t>
            </w:r>
          </w:p>
        </w:tc>
        <w:tc>
          <w:tcPr>
            <w:tcW w:w="1003" w:type="pct"/>
            <w:gridSpan w:val="2"/>
          </w:tcPr>
          <w:p w14:paraId="672FD224" w14:textId="77777777" w:rsidR="00BB4E21" w:rsidRDefault="00BB4E21" w:rsidP="0005660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SURTAVI (STS &lt;3%)</w:t>
            </w:r>
          </w:p>
        </w:tc>
        <w:tc>
          <w:tcPr>
            <w:tcW w:w="1003" w:type="pct"/>
            <w:gridSpan w:val="2"/>
          </w:tcPr>
          <w:p w14:paraId="309D8E17" w14:textId="77777777" w:rsidR="00BB4E21" w:rsidRDefault="00BB4E21" w:rsidP="0005660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PARTNER 3</w:t>
            </w:r>
          </w:p>
        </w:tc>
        <w:tc>
          <w:tcPr>
            <w:tcW w:w="1003" w:type="pct"/>
            <w:gridSpan w:val="2"/>
          </w:tcPr>
          <w:p w14:paraId="2760C81F" w14:textId="77777777" w:rsidR="00BB4E21" w:rsidRDefault="00BB4E21" w:rsidP="0005660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Pr>
                <w:rFonts w:ascii="Times New Roman" w:hAnsi="Times New Roman" w:cs="Times New Roman"/>
              </w:rPr>
              <w:t>Evolut</w:t>
            </w:r>
            <w:proofErr w:type="spellEnd"/>
            <w:r>
              <w:rPr>
                <w:rFonts w:ascii="Times New Roman" w:hAnsi="Times New Roman" w:cs="Times New Roman"/>
              </w:rPr>
              <w:t xml:space="preserve"> Low Risk</w:t>
            </w:r>
          </w:p>
        </w:tc>
      </w:tr>
      <w:tr w:rsidR="00BB4E21" w14:paraId="4F556789" w14:textId="77777777" w:rsidTr="00BB4E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pct"/>
          </w:tcPr>
          <w:p w14:paraId="1D7B1E2F" w14:textId="77777777" w:rsidR="00BB4E21" w:rsidRDefault="00BB4E21" w:rsidP="00056603">
            <w:pPr>
              <w:rPr>
                <w:rFonts w:ascii="Times New Roman" w:hAnsi="Times New Roman" w:cs="Times New Roman"/>
              </w:rPr>
            </w:pPr>
          </w:p>
        </w:tc>
        <w:tc>
          <w:tcPr>
            <w:tcW w:w="502" w:type="pct"/>
          </w:tcPr>
          <w:p w14:paraId="1741B004"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TAVR</w:t>
            </w:r>
          </w:p>
        </w:tc>
        <w:tc>
          <w:tcPr>
            <w:tcW w:w="502" w:type="pct"/>
          </w:tcPr>
          <w:p w14:paraId="4E0A531B"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SAVR</w:t>
            </w:r>
          </w:p>
        </w:tc>
        <w:tc>
          <w:tcPr>
            <w:tcW w:w="502" w:type="pct"/>
          </w:tcPr>
          <w:p w14:paraId="7D2321D9"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TAVR</w:t>
            </w:r>
          </w:p>
        </w:tc>
        <w:tc>
          <w:tcPr>
            <w:tcW w:w="502" w:type="pct"/>
          </w:tcPr>
          <w:p w14:paraId="47D68961"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SAVR</w:t>
            </w:r>
          </w:p>
        </w:tc>
        <w:tc>
          <w:tcPr>
            <w:tcW w:w="502" w:type="pct"/>
          </w:tcPr>
          <w:p w14:paraId="0C611859"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TAVR</w:t>
            </w:r>
          </w:p>
        </w:tc>
        <w:tc>
          <w:tcPr>
            <w:tcW w:w="502" w:type="pct"/>
          </w:tcPr>
          <w:p w14:paraId="03EFB41A"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SAVR</w:t>
            </w:r>
          </w:p>
        </w:tc>
        <w:tc>
          <w:tcPr>
            <w:tcW w:w="502" w:type="pct"/>
          </w:tcPr>
          <w:p w14:paraId="1DDCEB8A"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TAVR</w:t>
            </w:r>
          </w:p>
        </w:tc>
        <w:tc>
          <w:tcPr>
            <w:tcW w:w="502" w:type="pct"/>
          </w:tcPr>
          <w:p w14:paraId="3F44D969"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SAVR</w:t>
            </w:r>
          </w:p>
        </w:tc>
      </w:tr>
      <w:tr w:rsidR="00BB4E21" w14:paraId="199F61EB" w14:textId="77777777" w:rsidTr="00BB4E21">
        <w:tc>
          <w:tcPr>
            <w:cnfStyle w:val="001000000000" w:firstRow="0" w:lastRow="0" w:firstColumn="1" w:lastColumn="0" w:oddVBand="0" w:evenVBand="0" w:oddHBand="0" w:evenHBand="0" w:firstRowFirstColumn="0" w:firstRowLastColumn="0" w:lastRowFirstColumn="0" w:lastRowLastColumn="0"/>
            <w:tcW w:w="987" w:type="pct"/>
          </w:tcPr>
          <w:p w14:paraId="1A71DD2C" w14:textId="77777777" w:rsidR="00BB4E21" w:rsidRDefault="00BB4E21" w:rsidP="00056603">
            <w:pPr>
              <w:rPr>
                <w:rFonts w:ascii="Times New Roman" w:hAnsi="Times New Roman" w:cs="Times New Roman"/>
              </w:rPr>
            </w:pPr>
          </w:p>
        </w:tc>
        <w:tc>
          <w:tcPr>
            <w:tcW w:w="502" w:type="pct"/>
          </w:tcPr>
          <w:p w14:paraId="1D3E91C4"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(n=145)</w:t>
            </w:r>
          </w:p>
        </w:tc>
        <w:tc>
          <w:tcPr>
            <w:tcW w:w="502" w:type="pct"/>
          </w:tcPr>
          <w:p w14:paraId="046AC933"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(n=135)</w:t>
            </w:r>
          </w:p>
        </w:tc>
        <w:tc>
          <w:tcPr>
            <w:tcW w:w="502" w:type="pct"/>
          </w:tcPr>
          <w:p w14:paraId="0FB55776"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(n=131)</w:t>
            </w:r>
          </w:p>
        </w:tc>
        <w:tc>
          <w:tcPr>
            <w:tcW w:w="502" w:type="pct"/>
          </w:tcPr>
          <w:p w14:paraId="3AE90A9B"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(n=123)</w:t>
            </w:r>
          </w:p>
        </w:tc>
        <w:tc>
          <w:tcPr>
            <w:tcW w:w="502" w:type="pct"/>
          </w:tcPr>
          <w:p w14:paraId="1948B3C1"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(n=496)</w:t>
            </w:r>
          </w:p>
        </w:tc>
        <w:tc>
          <w:tcPr>
            <w:tcW w:w="502" w:type="pct"/>
          </w:tcPr>
          <w:p w14:paraId="1524A59E"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(n=454)</w:t>
            </w:r>
          </w:p>
        </w:tc>
        <w:tc>
          <w:tcPr>
            <w:tcW w:w="502" w:type="pct"/>
          </w:tcPr>
          <w:p w14:paraId="39F26236"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(n=725)</w:t>
            </w:r>
          </w:p>
        </w:tc>
        <w:tc>
          <w:tcPr>
            <w:tcW w:w="502" w:type="pct"/>
          </w:tcPr>
          <w:p w14:paraId="22AE73DB"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(n=678)</w:t>
            </w:r>
          </w:p>
        </w:tc>
      </w:tr>
      <w:tr w:rsidR="00BB4E21" w14:paraId="5F0F8B52" w14:textId="77777777" w:rsidTr="00BB4E2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87" w:type="pct"/>
          </w:tcPr>
          <w:p w14:paraId="127C212E" w14:textId="77777777" w:rsidR="00BB4E21" w:rsidRDefault="00BB4E21" w:rsidP="00056603">
            <w:pPr>
              <w:rPr>
                <w:rFonts w:ascii="Times New Roman" w:hAnsi="Times New Roman" w:cs="Times New Roman"/>
              </w:rPr>
            </w:pPr>
            <w:r>
              <w:rPr>
                <w:rFonts w:ascii="Times New Roman" w:hAnsi="Times New Roman" w:cs="Times New Roman"/>
              </w:rPr>
              <w:t>Age, years</w:t>
            </w:r>
          </w:p>
        </w:tc>
        <w:tc>
          <w:tcPr>
            <w:tcW w:w="502" w:type="pct"/>
          </w:tcPr>
          <w:p w14:paraId="3F11AD04"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79.2 ± 4.9</w:t>
            </w:r>
          </w:p>
        </w:tc>
        <w:tc>
          <w:tcPr>
            <w:tcW w:w="502" w:type="pct"/>
          </w:tcPr>
          <w:p w14:paraId="24273AFC"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79.0 ± 4.7</w:t>
            </w:r>
          </w:p>
        </w:tc>
        <w:tc>
          <w:tcPr>
            <w:tcW w:w="502" w:type="pct"/>
          </w:tcPr>
          <w:p w14:paraId="100EA8CC"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75.1 ± 6.5</w:t>
            </w:r>
          </w:p>
        </w:tc>
        <w:tc>
          <w:tcPr>
            <w:tcW w:w="502" w:type="pct"/>
          </w:tcPr>
          <w:p w14:paraId="1D6E4605"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75.4 ± 5.5</w:t>
            </w:r>
          </w:p>
        </w:tc>
        <w:tc>
          <w:tcPr>
            <w:tcW w:w="502" w:type="pct"/>
          </w:tcPr>
          <w:p w14:paraId="2A80F23A"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73.3 ± 5.8</w:t>
            </w:r>
          </w:p>
        </w:tc>
        <w:tc>
          <w:tcPr>
            <w:tcW w:w="502" w:type="pct"/>
          </w:tcPr>
          <w:p w14:paraId="2FD96EB1"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73.6 ± 6.1</w:t>
            </w:r>
          </w:p>
        </w:tc>
        <w:tc>
          <w:tcPr>
            <w:tcW w:w="502" w:type="pct"/>
          </w:tcPr>
          <w:p w14:paraId="43784B0D"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74.1 ± 5.8</w:t>
            </w:r>
          </w:p>
        </w:tc>
        <w:tc>
          <w:tcPr>
            <w:tcW w:w="502" w:type="pct"/>
          </w:tcPr>
          <w:p w14:paraId="78E407E3"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73.6 ± 5.9</w:t>
            </w:r>
          </w:p>
        </w:tc>
      </w:tr>
      <w:tr w:rsidR="00BB4E21" w14:paraId="072EAA48" w14:textId="77777777" w:rsidTr="00BB4E21">
        <w:trPr>
          <w:trHeight w:val="288"/>
        </w:trPr>
        <w:tc>
          <w:tcPr>
            <w:cnfStyle w:val="001000000000" w:firstRow="0" w:lastRow="0" w:firstColumn="1" w:lastColumn="0" w:oddVBand="0" w:evenVBand="0" w:oddHBand="0" w:evenHBand="0" w:firstRowFirstColumn="0" w:firstRowLastColumn="0" w:lastRowFirstColumn="0" w:lastRowLastColumn="0"/>
            <w:tcW w:w="987" w:type="pct"/>
          </w:tcPr>
          <w:p w14:paraId="7260AC5E" w14:textId="77777777" w:rsidR="00BB4E21" w:rsidRDefault="00BB4E21" w:rsidP="00056603">
            <w:pPr>
              <w:rPr>
                <w:rFonts w:ascii="Times New Roman" w:hAnsi="Times New Roman" w:cs="Times New Roman"/>
              </w:rPr>
            </w:pPr>
            <w:r>
              <w:rPr>
                <w:rFonts w:ascii="Times New Roman" w:hAnsi="Times New Roman" w:cs="Times New Roman"/>
              </w:rPr>
              <w:t>Male sex</w:t>
            </w:r>
          </w:p>
        </w:tc>
        <w:tc>
          <w:tcPr>
            <w:tcW w:w="502" w:type="pct"/>
          </w:tcPr>
          <w:p w14:paraId="01C17B5A"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78 (53.8)</w:t>
            </w:r>
          </w:p>
        </w:tc>
        <w:tc>
          <w:tcPr>
            <w:tcW w:w="502" w:type="pct"/>
          </w:tcPr>
          <w:p w14:paraId="76A5E011"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71 (52.6)</w:t>
            </w:r>
          </w:p>
        </w:tc>
        <w:tc>
          <w:tcPr>
            <w:tcW w:w="502" w:type="pct"/>
          </w:tcPr>
          <w:p w14:paraId="5491EB1B"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89 (67.9)</w:t>
            </w:r>
          </w:p>
        </w:tc>
        <w:tc>
          <w:tcPr>
            <w:tcW w:w="502" w:type="pct"/>
          </w:tcPr>
          <w:p w14:paraId="7CF5502F"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84 (68.3)</w:t>
            </w:r>
          </w:p>
        </w:tc>
        <w:tc>
          <w:tcPr>
            <w:tcW w:w="502" w:type="pct"/>
          </w:tcPr>
          <w:p w14:paraId="6A12120F"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335 (67.5)</w:t>
            </w:r>
          </w:p>
        </w:tc>
        <w:tc>
          <w:tcPr>
            <w:tcW w:w="502" w:type="pct"/>
          </w:tcPr>
          <w:p w14:paraId="524BB45F"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323 (71.1)</w:t>
            </w:r>
          </w:p>
        </w:tc>
        <w:tc>
          <w:tcPr>
            <w:tcW w:w="502" w:type="pct"/>
          </w:tcPr>
          <w:p w14:paraId="3D538212"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464 (64.0)</w:t>
            </w:r>
          </w:p>
        </w:tc>
        <w:tc>
          <w:tcPr>
            <w:tcW w:w="502" w:type="pct"/>
          </w:tcPr>
          <w:p w14:paraId="47B1B30C"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449 (66.2)</w:t>
            </w:r>
          </w:p>
        </w:tc>
      </w:tr>
      <w:tr w:rsidR="00BB4E21" w14:paraId="763DCEEB" w14:textId="77777777" w:rsidTr="00BB4E2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87" w:type="pct"/>
          </w:tcPr>
          <w:p w14:paraId="2447343F" w14:textId="77777777" w:rsidR="00BB4E21" w:rsidRDefault="00BB4E21" w:rsidP="00056603">
            <w:pPr>
              <w:rPr>
                <w:rFonts w:ascii="Times New Roman" w:hAnsi="Times New Roman" w:cs="Times New Roman"/>
              </w:rPr>
            </w:pPr>
            <w:r>
              <w:rPr>
                <w:rFonts w:ascii="Times New Roman" w:hAnsi="Times New Roman" w:cs="Times New Roman"/>
              </w:rPr>
              <w:t>STS-PROM score, %</w:t>
            </w:r>
          </w:p>
        </w:tc>
        <w:tc>
          <w:tcPr>
            <w:tcW w:w="502" w:type="pct"/>
          </w:tcPr>
          <w:p w14:paraId="5AAC0F2E"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2.9 ± 1.6</w:t>
            </w:r>
          </w:p>
        </w:tc>
        <w:tc>
          <w:tcPr>
            <w:tcW w:w="502" w:type="pct"/>
          </w:tcPr>
          <w:p w14:paraId="15CF3DB1"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3.1 ± 1.7</w:t>
            </w:r>
          </w:p>
        </w:tc>
        <w:tc>
          <w:tcPr>
            <w:tcW w:w="502" w:type="pct"/>
          </w:tcPr>
          <w:p w14:paraId="4A7E6AF2"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2.3 ± 0.5</w:t>
            </w:r>
          </w:p>
        </w:tc>
        <w:tc>
          <w:tcPr>
            <w:tcW w:w="502" w:type="pct"/>
          </w:tcPr>
          <w:p w14:paraId="6ED98FDE"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2.3 ± 0.5</w:t>
            </w:r>
          </w:p>
        </w:tc>
        <w:tc>
          <w:tcPr>
            <w:tcW w:w="502" w:type="pct"/>
          </w:tcPr>
          <w:p w14:paraId="2B711C34"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1.9 ± 0.7</w:t>
            </w:r>
          </w:p>
        </w:tc>
        <w:tc>
          <w:tcPr>
            <w:tcW w:w="502" w:type="pct"/>
          </w:tcPr>
          <w:p w14:paraId="2D53C7BD"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1.9 ± 0.6</w:t>
            </w:r>
          </w:p>
        </w:tc>
        <w:tc>
          <w:tcPr>
            <w:tcW w:w="502" w:type="pct"/>
          </w:tcPr>
          <w:p w14:paraId="02227721"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1.9 ± 0.7</w:t>
            </w:r>
          </w:p>
        </w:tc>
        <w:tc>
          <w:tcPr>
            <w:tcW w:w="502" w:type="pct"/>
          </w:tcPr>
          <w:p w14:paraId="7F40DBD1"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1.9 ± 0.7</w:t>
            </w:r>
          </w:p>
        </w:tc>
      </w:tr>
      <w:tr w:rsidR="00BB4E21" w14:paraId="65ACB061" w14:textId="77777777" w:rsidTr="00BB4E21">
        <w:trPr>
          <w:trHeight w:val="288"/>
        </w:trPr>
        <w:tc>
          <w:tcPr>
            <w:cnfStyle w:val="001000000000" w:firstRow="0" w:lastRow="0" w:firstColumn="1" w:lastColumn="0" w:oddVBand="0" w:evenVBand="0" w:oddHBand="0" w:evenHBand="0" w:firstRowFirstColumn="0" w:firstRowLastColumn="0" w:lastRowFirstColumn="0" w:lastRowLastColumn="0"/>
            <w:tcW w:w="987" w:type="pct"/>
          </w:tcPr>
          <w:p w14:paraId="3C38172A" w14:textId="77777777" w:rsidR="00BB4E21" w:rsidRDefault="00BB4E21" w:rsidP="00056603">
            <w:pPr>
              <w:rPr>
                <w:rFonts w:ascii="Times New Roman" w:hAnsi="Times New Roman" w:cs="Times New Roman"/>
              </w:rPr>
            </w:pPr>
            <w:r>
              <w:rPr>
                <w:rFonts w:ascii="Times New Roman" w:hAnsi="Times New Roman" w:cs="Times New Roman"/>
              </w:rPr>
              <w:t xml:space="preserve">Logistic </w:t>
            </w:r>
            <w:proofErr w:type="spellStart"/>
            <w:r>
              <w:rPr>
                <w:rFonts w:ascii="Times New Roman" w:hAnsi="Times New Roman" w:cs="Times New Roman"/>
              </w:rPr>
              <w:t>EuroSCORE</w:t>
            </w:r>
            <w:proofErr w:type="spellEnd"/>
            <w:r>
              <w:rPr>
                <w:rFonts w:ascii="Times New Roman" w:hAnsi="Times New Roman" w:cs="Times New Roman"/>
              </w:rPr>
              <w:t xml:space="preserve"> II, %</w:t>
            </w:r>
          </w:p>
        </w:tc>
        <w:tc>
          <w:tcPr>
            <w:tcW w:w="502" w:type="pct"/>
          </w:tcPr>
          <w:p w14:paraId="4EDD8198"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1.9 ± 1.2</w:t>
            </w:r>
          </w:p>
        </w:tc>
        <w:tc>
          <w:tcPr>
            <w:tcW w:w="502" w:type="pct"/>
          </w:tcPr>
          <w:p w14:paraId="22C18E2B"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rPr>
              <w:t>2.0 ± 1.3</w:t>
            </w:r>
          </w:p>
        </w:tc>
        <w:tc>
          <w:tcPr>
            <w:tcW w:w="502" w:type="pct"/>
          </w:tcPr>
          <w:p w14:paraId="7677DB50"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tcW w:w="502" w:type="pct"/>
          </w:tcPr>
          <w:p w14:paraId="6F258824"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tcW w:w="502" w:type="pct"/>
          </w:tcPr>
          <w:p w14:paraId="0DE4C57E"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1.5 ± 1.2</w:t>
            </w:r>
          </w:p>
        </w:tc>
        <w:tc>
          <w:tcPr>
            <w:tcW w:w="502" w:type="pct"/>
          </w:tcPr>
          <w:p w14:paraId="1C79225B"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1.5 ± 0.9</w:t>
            </w:r>
          </w:p>
        </w:tc>
        <w:tc>
          <w:tcPr>
            <w:tcW w:w="502" w:type="pct"/>
          </w:tcPr>
          <w:p w14:paraId="6E27BDA5"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502" w:type="pct"/>
          </w:tcPr>
          <w:p w14:paraId="05A352D0"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BB4E21" w14:paraId="7DCD80BD" w14:textId="77777777" w:rsidTr="00BB4E2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87" w:type="pct"/>
          </w:tcPr>
          <w:p w14:paraId="2CF769A2" w14:textId="77777777" w:rsidR="00BB4E21" w:rsidRDefault="00BB4E21" w:rsidP="00056603">
            <w:pPr>
              <w:rPr>
                <w:rFonts w:ascii="Times New Roman" w:hAnsi="Times New Roman" w:cs="Times New Roman"/>
              </w:rPr>
            </w:pPr>
            <w:r>
              <w:rPr>
                <w:rFonts w:ascii="Times New Roman" w:hAnsi="Times New Roman" w:cs="Times New Roman"/>
              </w:rPr>
              <w:t>NYHA class III or IV</w:t>
            </w:r>
          </w:p>
        </w:tc>
        <w:tc>
          <w:tcPr>
            <w:tcW w:w="502" w:type="pct"/>
          </w:tcPr>
          <w:p w14:paraId="2A9C3103"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70 (48.6)</w:t>
            </w:r>
          </w:p>
        </w:tc>
        <w:tc>
          <w:tcPr>
            <w:tcW w:w="502" w:type="pct"/>
          </w:tcPr>
          <w:p w14:paraId="45110CAB"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61 (45.5)</w:t>
            </w:r>
          </w:p>
        </w:tc>
        <w:tc>
          <w:tcPr>
            <w:tcW w:w="502" w:type="pct"/>
          </w:tcPr>
          <w:p w14:paraId="3A1FC806"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53 (40.5)</w:t>
            </w:r>
          </w:p>
        </w:tc>
        <w:tc>
          <w:tcPr>
            <w:tcW w:w="502" w:type="pct"/>
          </w:tcPr>
          <w:p w14:paraId="70496817"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60 (48.8)</w:t>
            </w:r>
          </w:p>
        </w:tc>
        <w:tc>
          <w:tcPr>
            <w:tcW w:w="502" w:type="pct"/>
          </w:tcPr>
          <w:p w14:paraId="4B2B395C"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155 (31.2)</w:t>
            </w:r>
          </w:p>
        </w:tc>
        <w:tc>
          <w:tcPr>
            <w:tcW w:w="502" w:type="pct"/>
          </w:tcPr>
          <w:p w14:paraId="544453C4"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108 (23.8)</w:t>
            </w:r>
          </w:p>
        </w:tc>
        <w:tc>
          <w:tcPr>
            <w:tcW w:w="502" w:type="pct"/>
          </w:tcPr>
          <w:p w14:paraId="5C4E5BC5"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182 (25.1)</w:t>
            </w:r>
          </w:p>
        </w:tc>
        <w:tc>
          <w:tcPr>
            <w:tcW w:w="502" w:type="pct"/>
          </w:tcPr>
          <w:p w14:paraId="45237F0A"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193 (28.4)</w:t>
            </w:r>
          </w:p>
        </w:tc>
      </w:tr>
      <w:tr w:rsidR="00BB4E21" w14:paraId="1942BE66" w14:textId="77777777" w:rsidTr="00BB4E21">
        <w:trPr>
          <w:trHeight w:val="288"/>
        </w:trPr>
        <w:tc>
          <w:tcPr>
            <w:cnfStyle w:val="001000000000" w:firstRow="0" w:lastRow="0" w:firstColumn="1" w:lastColumn="0" w:oddVBand="0" w:evenVBand="0" w:oddHBand="0" w:evenHBand="0" w:firstRowFirstColumn="0" w:firstRowLastColumn="0" w:lastRowFirstColumn="0" w:lastRowLastColumn="0"/>
            <w:tcW w:w="987" w:type="pct"/>
          </w:tcPr>
          <w:p w14:paraId="4FD0D842" w14:textId="77777777" w:rsidR="00BB4E21" w:rsidRDefault="00BB4E21" w:rsidP="00056603">
            <w:pPr>
              <w:rPr>
                <w:rFonts w:ascii="Times New Roman" w:hAnsi="Times New Roman" w:cs="Times New Roman"/>
              </w:rPr>
            </w:pPr>
            <w:r>
              <w:rPr>
                <w:rFonts w:ascii="Times New Roman" w:hAnsi="Times New Roman" w:cs="Times New Roman"/>
              </w:rPr>
              <w:t>Diabetes mellitus</w:t>
            </w:r>
          </w:p>
        </w:tc>
        <w:tc>
          <w:tcPr>
            <w:tcW w:w="502" w:type="pct"/>
          </w:tcPr>
          <w:p w14:paraId="1A0530B9"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26 (17.9)</w:t>
            </w:r>
          </w:p>
        </w:tc>
        <w:tc>
          <w:tcPr>
            <w:tcW w:w="502" w:type="pct"/>
          </w:tcPr>
          <w:p w14:paraId="542AED64"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28 (20.7)</w:t>
            </w:r>
          </w:p>
        </w:tc>
        <w:tc>
          <w:tcPr>
            <w:tcW w:w="502" w:type="pct"/>
          </w:tcPr>
          <w:p w14:paraId="0DE1FA69"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30 (22.9)</w:t>
            </w:r>
          </w:p>
        </w:tc>
        <w:tc>
          <w:tcPr>
            <w:tcW w:w="502" w:type="pct"/>
          </w:tcPr>
          <w:p w14:paraId="315042E5"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21 (17.1)</w:t>
            </w:r>
          </w:p>
        </w:tc>
        <w:tc>
          <w:tcPr>
            <w:tcW w:w="502" w:type="pct"/>
          </w:tcPr>
          <w:p w14:paraId="6F23203C"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155 (31.2)</w:t>
            </w:r>
          </w:p>
        </w:tc>
        <w:tc>
          <w:tcPr>
            <w:tcW w:w="502" w:type="pct"/>
          </w:tcPr>
          <w:p w14:paraId="31987DDB"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137 (30.2)</w:t>
            </w:r>
          </w:p>
        </w:tc>
        <w:tc>
          <w:tcPr>
            <w:tcW w:w="502" w:type="pct"/>
          </w:tcPr>
          <w:p w14:paraId="42210F4D"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228 (31.4)</w:t>
            </w:r>
          </w:p>
        </w:tc>
        <w:tc>
          <w:tcPr>
            <w:tcW w:w="502" w:type="pct"/>
          </w:tcPr>
          <w:p w14:paraId="0954E786"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207 (30.5)</w:t>
            </w:r>
          </w:p>
        </w:tc>
      </w:tr>
      <w:tr w:rsidR="00BB4E21" w14:paraId="6F104557" w14:textId="77777777" w:rsidTr="00BB4E2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87" w:type="pct"/>
          </w:tcPr>
          <w:p w14:paraId="308F03CE" w14:textId="77777777" w:rsidR="00BB4E21" w:rsidRDefault="00BB4E21" w:rsidP="00056603">
            <w:pPr>
              <w:rPr>
                <w:rFonts w:ascii="Times New Roman" w:hAnsi="Times New Roman" w:cs="Times New Roman"/>
              </w:rPr>
            </w:pPr>
            <w:r>
              <w:rPr>
                <w:rFonts w:ascii="Times New Roman" w:hAnsi="Times New Roman" w:cs="Times New Roman"/>
              </w:rPr>
              <w:t>Creatinine &gt;2 mg/dL</w:t>
            </w:r>
          </w:p>
        </w:tc>
        <w:tc>
          <w:tcPr>
            <w:tcW w:w="502" w:type="pct"/>
          </w:tcPr>
          <w:p w14:paraId="7991CAE0"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 (1.4)</w:t>
            </w:r>
          </w:p>
        </w:tc>
        <w:tc>
          <w:tcPr>
            <w:tcW w:w="502" w:type="pct"/>
          </w:tcPr>
          <w:p w14:paraId="6920F9CB"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 (0.7)</w:t>
            </w:r>
          </w:p>
        </w:tc>
        <w:tc>
          <w:tcPr>
            <w:tcW w:w="502" w:type="pct"/>
          </w:tcPr>
          <w:p w14:paraId="311BDBDB"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 (0.0)</w:t>
            </w:r>
          </w:p>
        </w:tc>
        <w:tc>
          <w:tcPr>
            <w:tcW w:w="502" w:type="pct"/>
          </w:tcPr>
          <w:p w14:paraId="14CE24BF"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 (0.8)</w:t>
            </w:r>
          </w:p>
        </w:tc>
        <w:tc>
          <w:tcPr>
            <w:tcW w:w="502" w:type="pct"/>
          </w:tcPr>
          <w:p w14:paraId="4364721A"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 (0.2)</w:t>
            </w:r>
          </w:p>
        </w:tc>
        <w:tc>
          <w:tcPr>
            <w:tcW w:w="502" w:type="pct"/>
          </w:tcPr>
          <w:p w14:paraId="7F7A2A8E"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 (0.2)</w:t>
            </w:r>
          </w:p>
        </w:tc>
        <w:tc>
          <w:tcPr>
            <w:tcW w:w="502" w:type="pct"/>
          </w:tcPr>
          <w:p w14:paraId="0CBF84FF"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3 (0.4)</w:t>
            </w:r>
          </w:p>
        </w:tc>
        <w:tc>
          <w:tcPr>
            <w:tcW w:w="502" w:type="pct"/>
          </w:tcPr>
          <w:p w14:paraId="2A5DE468"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 (0.1)</w:t>
            </w:r>
          </w:p>
        </w:tc>
      </w:tr>
      <w:tr w:rsidR="00BB4E21" w14:paraId="1A831545" w14:textId="77777777" w:rsidTr="00BB4E21">
        <w:trPr>
          <w:trHeight w:val="288"/>
        </w:trPr>
        <w:tc>
          <w:tcPr>
            <w:cnfStyle w:val="001000000000" w:firstRow="0" w:lastRow="0" w:firstColumn="1" w:lastColumn="0" w:oddVBand="0" w:evenVBand="0" w:oddHBand="0" w:evenHBand="0" w:firstRowFirstColumn="0" w:firstRowLastColumn="0" w:lastRowFirstColumn="0" w:lastRowLastColumn="0"/>
            <w:tcW w:w="987" w:type="pct"/>
          </w:tcPr>
          <w:p w14:paraId="5E411975" w14:textId="77777777" w:rsidR="00BB4E21" w:rsidRDefault="00BB4E21" w:rsidP="00056603">
            <w:pPr>
              <w:rPr>
                <w:rFonts w:ascii="Times New Roman" w:hAnsi="Times New Roman" w:cs="Times New Roman"/>
              </w:rPr>
            </w:pPr>
            <w:r>
              <w:rPr>
                <w:rFonts w:ascii="Times New Roman" w:hAnsi="Times New Roman" w:cs="Times New Roman"/>
              </w:rPr>
              <w:t>Hypertension</w:t>
            </w:r>
          </w:p>
        </w:tc>
        <w:tc>
          <w:tcPr>
            <w:tcW w:w="502" w:type="pct"/>
          </w:tcPr>
          <w:p w14:paraId="027A8B47"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103 (71.0)</w:t>
            </w:r>
          </w:p>
        </w:tc>
        <w:tc>
          <w:tcPr>
            <w:tcW w:w="502" w:type="pct"/>
          </w:tcPr>
          <w:p w14:paraId="323DDA3E"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103 (76.3)</w:t>
            </w:r>
          </w:p>
        </w:tc>
        <w:tc>
          <w:tcPr>
            <w:tcW w:w="502" w:type="pct"/>
          </w:tcPr>
          <w:p w14:paraId="09EA3FE4"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rPr>
              <w:t>—</w:t>
            </w:r>
          </w:p>
        </w:tc>
        <w:tc>
          <w:tcPr>
            <w:tcW w:w="502" w:type="pct"/>
          </w:tcPr>
          <w:p w14:paraId="7AA1BD41"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rPr>
              <w:t>—</w:t>
            </w:r>
          </w:p>
        </w:tc>
        <w:tc>
          <w:tcPr>
            <w:tcW w:w="502" w:type="pct"/>
          </w:tcPr>
          <w:p w14:paraId="29E665FE"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rPr>
              <w:t>—</w:t>
            </w:r>
          </w:p>
        </w:tc>
        <w:tc>
          <w:tcPr>
            <w:tcW w:w="502" w:type="pct"/>
          </w:tcPr>
          <w:p w14:paraId="06E39306"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rPr>
              <w:t>—</w:t>
            </w:r>
          </w:p>
        </w:tc>
        <w:tc>
          <w:tcPr>
            <w:tcW w:w="502" w:type="pct"/>
          </w:tcPr>
          <w:p w14:paraId="638C072C"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614 (84.8)</w:t>
            </w:r>
          </w:p>
        </w:tc>
        <w:tc>
          <w:tcPr>
            <w:tcW w:w="502" w:type="pct"/>
          </w:tcPr>
          <w:p w14:paraId="0DFC1375"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559 (82.6)</w:t>
            </w:r>
          </w:p>
        </w:tc>
      </w:tr>
      <w:tr w:rsidR="00BB4E21" w14:paraId="698CE511" w14:textId="77777777" w:rsidTr="00BB4E2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87" w:type="pct"/>
          </w:tcPr>
          <w:p w14:paraId="31D3C086" w14:textId="77777777" w:rsidR="00BB4E21" w:rsidRDefault="00BB4E21" w:rsidP="00056603">
            <w:pPr>
              <w:rPr>
                <w:rFonts w:ascii="Times New Roman" w:hAnsi="Times New Roman" w:cs="Times New Roman"/>
              </w:rPr>
            </w:pPr>
            <w:r>
              <w:rPr>
                <w:rFonts w:ascii="Times New Roman" w:hAnsi="Times New Roman" w:cs="Times New Roman"/>
              </w:rPr>
              <w:t>Peripheral vascular disease</w:t>
            </w:r>
          </w:p>
        </w:tc>
        <w:tc>
          <w:tcPr>
            <w:tcW w:w="502" w:type="pct"/>
          </w:tcPr>
          <w:p w14:paraId="238DA0F5"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6 (4.1)</w:t>
            </w:r>
          </w:p>
        </w:tc>
        <w:tc>
          <w:tcPr>
            <w:tcW w:w="502" w:type="pct"/>
          </w:tcPr>
          <w:p w14:paraId="0B64AD66"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9 (6.7)</w:t>
            </w:r>
          </w:p>
        </w:tc>
        <w:tc>
          <w:tcPr>
            <w:tcW w:w="502" w:type="pct"/>
          </w:tcPr>
          <w:p w14:paraId="305CE617"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25 (19.1)</w:t>
            </w:r>
          </w:p>
        </w:tc>
        <w:tc>
          <w:tcPr>
            <w:tcW w:w="502" w:type="pct"/>
          </w:tcPr>
          <w:p w14:paraId="76F3D77E"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18 (14.6)</w:t>
            </w:r>
          </w:p>
        </w:tc>
        <w:tc>
          <w:tcPr>
            <w:tcW w:w="502" w:type="pct"/>
          </w:tcPr>
          <w:p w14:paraId="039F067F"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34 (6.9)</w:t>
            </w:r>
          </w:p>
        </w:tc>
        <w:tc>
          <w:tcPr>
            <w:tcW w:w="502" w:type="pct"/>
          </w:tcPr>
          <w:p w14:paraId="06C8E439"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33 (7.3)</w:t>
            </w:r>
          </w:p>
        </w:tc>
        <w:tc>
          <w:tcPr>
            <w:tcW w:w="502" w:type="pct"/>
          </w:tcPr>
          <w:p w14:paraId="63E80704"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54 (7.5)</w:t>
            </w:r>
          </w:p>
        </w:tc>
        <w:tc>
          <w:tcPr>
            <w:tcW w:w="502" w:type="pct"/>
          </w:tcPr>
          <w:p w14:paraId="57621A04"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56 (8.3)</w:t>
            </w:r>
          </w:p>
        </w:tc>
      </w:tr>
      <w:tr w:rsidR="00BB4E21" w14:paraId="747C7FA3" w14:textId="77777777" w:rsidTr="00BB4E21">
        <w:trPr>
          <w:trHeight w:val="288"/>
        </w:trPr>
        <w:tc>
          <w:tcPr>
            <w:cnfStyle w:val="001000000000" w:firstRow="0" w:lastRow="0" w:firstColumn="1" w:lastColumn="0" w:oddVBand="0" w:evenVBand="0" w:oddHBand="0" w:evenHBand="0" w:firstRowFirstColumn="0" w:firstRowLastColumn="0" w:lastRowFirstColumn="0" w:lastRowLastColumn="0"/>
            <w:tcW w:w="987" w:type="pct"/>
          </w:tcPr>
          <w:p w14:paraId="5D3CA04E" w14:textId="77777777" w:rsidR="00BB4E21" w:rsidRDefault="00BB4E21" w:rsidP="00056603">
            <w:pPr>
              <w:rPr>
                <w:rFonts w:ascii="Times New Roman" w:hAnsi="Times New Roman" w:cs="Times New Roman"/>
              </w:rPr>
            </w:pPr>
            <w:r>
              <w:rPr>
                <w:rFonts w:ascii="Times New Roman" w:hAnsi="Times New Roman" w:cs="Times New Roman"/>
              </w:rPr>
              <w:t>Prior stroke/TIA</w:t>
            </w:r>
          </w:p>
        </w:tc>
        <w:tc>
          <w:tcPr>
            <w:tcW w:w="502" w:type="pct"/>
          </w:tcPr>
          <w:p w14:paraId="79DEB616"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24 (16.6)</w:t>
            </w:r>
          </w:p>
        </w:tc>
        <w:tc>
          <w:tcPr>
            <w:tcW w:w="502" w:type="pct"/>
          </w:tcPr>
          <w:p w14:paraId="6FFC5D74"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22 (16.3)</w:t>
            </w:r>
          </w:p>
        </w:tc>
        <w:tc>
          <w:tcPr>
            <w:tcW w:w="502" w:type="pct"/>
          </w:tcPr>
          <w:p w14:paraId="3F9A27E6"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21 (16.1)</w:t>
            </w:r>
          </w:p>
        </w:tc>
        <w:tc>
          <w:tcPr>
            <w:tcW w:w="502" w:type="pct"/>
          </w:tcPr>
          <w:p w14:paraId="17F966AB"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14 (11.4)</w:t>
            </w:r>
          </w:p>
        </w:tc>
        <w:tc>
          <w:tcPr>
            <w:tcW w:w="502" w:type="pct"/>
          </w:tcPr>
          <w:p w14:paraId="55E465DE"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17 (</w:t>
            </w:r>
            <w:proofErr w:type="gramStart"/>
            <w:r>
              <w:rPr>
                <w:rFonts w:ascii="Times New Roman" w:hAnsi="Times New Roman" w:cs="Times New Roman"/>
              </w:rPr>
              <w:t>3.4)*</w:t>
            </w:r>
            <w:proofErr w:type="gramEnd"/>
          </w:p>
        </w:tc>
        <w:tc>
          <w:tcPr>
            <w:tcW w:w="502" w:type="pct"/>
          </w:tcPr>
          <w:p w14:paraId="3624D4E2"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23 (</w:t>
            </w:r>
            <w:proofErr w:type="gramStart"/>
            <w:r>
              <w:rPr>
                <w:rFonts w:ascii="Times New Roman" w:hAnsi="Times New Roman" w:cs="Times New Roman"/>
              </w:rPr>
              <w:t>5.1)*</w:t>
            </w:r>
            <w:proofErr w:type="gramEnd"/>
          </w:p>
        </w:tc>
        <w:tc>
          <w:tcPr>
            <w:tcW w:w="502" w:type="pct"/>
          </w:tcPr>
          <w:p w14:paraId="3E07B6C5"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74 (10.2)</w:t>
            </w:r>
          </w:p>
        </w:tc>
        <w:tc>
          <w:tcPr>
            <w:tcW w:w="502" w:type="pct"/>
          </w:tcPr>
          <w:p w14:paraId="48FB8725"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80 (11.8)</w:t>
            </w:r>
          </w:p>
        </w:tc>
      </w:tr>
      <w:tr w:rsidR="00BB4E21" w14:paraId="3E09B05B" w14:textId="77777777" w:rsidTr="00BB4E2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87" w:type="pct"/>
          </w:tcPr>
          <w:p w14:paraId="67399150" w14:textId="77777777" w:rsidR="00BB4E21" w:rsidRDefault="00BB4E21" w:rsidP="00056603">
            <w:pPr>
              <w:rPr>
                <w:rFonts w:ascii="Times New Roman" w:hAnsi="Times New Roman" w:cs="Times New Roman"/>
              </w:rPr>
            </w:pPr>
            <w:r>
              <w:rPr>
                <w:rFonts w:ascii="Times New Roman" w:hAnsi="Times New Roman" w:cs="Times New Roman"/>
              </w:rPr>
              <w:t>Chronic lung disease</w:t>
            </w:r>
          </w:p>
        </w:tc>
        <w:tc>
          <w:tcPr>
            <w:tcW w:w="502" w:type="pct"/>
          </w:tcPr>
          <w:p w14:paraId="2688A911"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17 (11.7)</w:t>
            </w:r>
          </w:p>
        </w:tc>
        <w:tc>
          <w:tcPr>
            <w:tcW w:w="502" w:type="pct"/>
          </w:tcPr>
          <w:p w14:paraId="63CAC671"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16 (11.9)</w:t>
            </w:r>
          </w:p>
        </w:tc>
        <w:tc>
          <w:tcPr>
            <w:tcW w:w="502" w:type="pct"/>
          </w:tcPr>
          <w:p w14:paraId="752BD203"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9 (6.9)</w:t>
            </w:r>
          </w:p>
        </w:tc>
        <w:tc>
          <w:tcPr>
            <w:tcW w:w="502" w:type="pct"/>
          </w:tcPr>
          <w:p w14:paraId="2D24ABAF"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 (3.3)</w:t>
            </w:r>
          </w:p>
        </w:tc>
        <w:tc>
          <w:tcPr>
            <w:tcW w:w="502" w:type="pct"/>
          </w:tcPr>
          <w:p w14:paraId="72DB364F"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25 (5.1)</w:t>
            </w:r>
          </w:p>
        </w:tc>
        <w:tc>
          <w:tcPr>
            <w:tcW w:w="502" w:type="pct"/>
          </w:tcPr>
          <w:p w14:paraId="5EBF5774"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28 (6.2)</w:t>
            </w:r>
          </w:p>
        </w:tc>
        <w:tc>
          <w:tcPr>
            <w:tcW w:w="502" w:type="pct"/>
          </w:tcPr>
          <w:p w14:paraId="6D8AE690"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104 (15.0)</w:t>
            </w:r>
          </w:p>
        </w:tc>
        <w:tc>
          <w:tcPr>
            <w:tcW w:w="502" w:type="pct"/>
          </w:tcPr>
          <w:p w14:paraId="04BC11F6"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117 (18.0)</w:t>
            </w:r>
          </w:p>
        </w:tc>
      </w:tr>
      <w:tr w:rsidR="00BB4E21" w14:paraId="704F05CD" w14:textId="77777777" w:rsidTr="00BB4E21">
        <w:trPr>
          <w:trHeight w:val="288"/>
        </w:trPr>
        <w:tc>
          <w:tcPr>
            <w:cnfStyle w:val="001000000000" w:firstRow="0" w:lastRow="0" w:firstColumn="1" w:lastColumn="0" w:oddVBand="0" w:evenVBand="0" w:oddHBand="0" w:evenHBand="0" w:firstRowFirstColumn="0" w:firstRowLastColumn="0" w:lastRowFirstColumn="0" w:lastRowLastColumn="0"/>
            <w:tcW w:w="987" w:type="pct"/>
          </w:tcPr>
          <w:p w14:paraId="14BF706C" w14:textId="77777777" w:rsidR="00BB4E21" w:rsidRDefault="00BB4E21" w:rsidP="00056603">
            <w:pPr>
              <w:rPr>
                <w:rFonts w:ascii="Times New Roman" w:hAnsi="Times New Roman" w:cs="Times New Roman"/>
              </w:rPr>
            </w:pPr>
            <w:r>
              <w:rPr>
                <w:rFonts w:ascii="Times New Roman" w:hAnsi="Times New Roman" w:cs="Times New Roman"/>
              </w:rPr>
              <w:t>CAD</w:t>
            </w:r>
          </w:p>
        </w:tc>
        <w:tc>
          <w:tcPr>
            <w:tcW w:w="502" w:type="pct"/>
          </w:tcPr>
          <w:p w14:paraId="0F489F27"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rPr>
              <w:t>—</w:t>
            </w:r>
          </w:p>
        </w:tc>
        <w:tc>
          <w:tcPr>
            <w:tcW w:w="502" w:type="pct"/>
          </w:tcPr>
          <w:p w14:paraId="700E4C51"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rPr>
              <w:t>—</w:t>
            </w:r>
          </w:p>
        </w:tc>
        <w:tc>
          <w:tcPr>
            <w:tcW w:w="502" w:type="pct"/>
          </w:tcPr>
          <w:p w14:paraId="6F92C59F"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63 (48.1)</w:t>
            </w:r>
          </w:p>
        </w:tc>
        <w:tc>
          <w:tcPr>
            <w:tcW w:w="502" w:type="pct"/>
          </w:tcPr>
          <w:p w14:paraId="6CB44AE3"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63 (51.2)</w:t>
            </w:r>
          </w:p>
        </w:tc>
        <w:tc>
          <w:tcPr>
            <w:tcW w:w="502" w:type="pct"/>
          </w:tcPr>
          <w:p w14:paraId="5BA9D67B"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137 (27.7)</w:t>
            </w:r>
          </w:p>
        </w:tc>
        <w:tc>
          <w:tcPr>
            <w:tcW w:w="502" w:type="pct"/>
          </w:tcPr>
          <w:p w14:paraId="1D961BCE"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127 (28.0)</w:t>
            </w:r>
          </w:p>
        </w:tc>
        <w:tc>
          <w:tcPr>
            <w:tcW w:w="502" w:type="pct"/>
          </w:tcPr>
          <w:p w14:paraId="22B56FA0"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rPr>
              <w:t>—</w:t>
            </w:r>
          </w:p>
        </w:tc>
        <w:tc>
          <w:tcPr>
            <w:tcW w:w="502" w:type="pct"/>
          </w:tcPr>
          <w:p w14:paraId="25881309"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rPr>
              <w:t>—</w:t>
            </w:r>
          </w:p>
        </w:tc>
      </w:tr>
      <w:tr w:rsidR="00BB4E21" w14:paraId="207F4175" w14:textId="77777777" w:rsidTr="00BB4E2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87" w:type="pct"/>
          </w:tcPr>
          <w:p w14:paraId="229E78E5" w14:textId="77777777" w:rsidR="00BB4E21" w:rsidRDefault="00BB4E21" w:rsidP="00056603">
            <w:pPr>
              <w:rPr>
                <w:rFonts w:ascii="Times New Roman" w:hAnsi="Times New Roman" w:cs="Times New Roman"/>
              </w:rPr>
            </w:pPr>
            <w:r>
              <w:rPr>
                <w:rFonts w:ascii="Times New Roman" w:hAnsi="Times New Roman" w:cs="Times New Roman"/>
              </w:rPr>
              <w:t>Prior PCI</w:t>
            </w:r>
          </w:p>
        </w:tc>
        <w:tc>
          <w:tcPr>
            <w:tcW w:w="502" w:type="pct"/>
          </w:tcPr>
          <w:p w14:paraId="3490A090"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11 (7.6)</w:t>
            </w:r>
          </w:p>
        </w:tc>
        <w:tc>
          <w:tcPr>
            <w:tcW w:w="502" w:type="pct"/>
          </w:tcPr>
          <w:p w14:paraId="2B6C9712"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12 (8.9)</w:t>
            </w:r>
          </w:p>
        </w:tc>
        <w:tc>
          <w:tcPr>
            <w:tcW w:w="502" w:type="pct"/>
          </w:tcPr>
          <w:p w14:paraId="7FEC5072"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28 (21.4)</w:t>
            </w:r>
          </w:p>
        </w:tc>
        <w:tc>
          <w:tcPr>
            <w:tcW w:w="502" w:type="pct"/>
          </w:tcPr>
          <w:p w14:paraId="27D72D7C"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18 (14.6)</w:t>
            </w:r>
          </w:p>
        </w:tc>
        <w:tc>
          <w:tcPr>
            <w:tcW w:w="502" w:type="pct"/>
          </w:tcPr>
          <w:p w14:paraId="04F8C27F"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pPr>
            <w:r>
              <w:rPr>
                <w:rFonts w:ascii="Times New Roman" w:hAnsi="Times New Roman" w:cs="Times New Roman"/>
              </w:rPr>
              <w:t>—</w:t>
            </w:r>
          </w:p>
        </w:tc>
        <w:tc>
          <w:tcPr>
            <w:tcW w:w="502" w:type="pct"/>
          </w:tcPr>
          <w:p w14:paraId="564A2A72"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pPr>
            <w:r>
              <w:rPr>
                <w:rFonts w:ascii="Times New Roman" w:hAnsi="Times New Roman" w:cs="Times New Roman"/>
              </w:rPr>
              <w:t>—</w:t>
            </w:r>
          </w:p>
        </w:tc>
        <w:tc>
          <w:tcPr>
            <w:tcW w:w="502" w:type="pct"/>
          </w:tcPr>
          <w:p w14:paraId="764B4CF9"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103 (14.2)</w:t>
            </w:r>
          </w:p>
        </w:tc>
        <w:tc>
          <w:tcPr>
            <w:tcW w:w="502" w:type="pct"/>
          </w:tcPr>
          <w:p w14:paraId="41D4EC6F"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87 (12.8)</w:t>
            </w:r>
          </w:p>
        </w:tc>
      </w:tr>
      <w:tr w:rsidR="00BB4E21" w14:paraId="4EF32EB2" w14:textId="77777777" w:rsidTr="00BB4E21">
        <w:trPr>
          <w:trHeight w:val="288"/>
        </w:trPr>
        <w:tc>
          <w:tcPr>
            <w:cnfStyle w:val="001000000000" w:firstRow="0" w:lastRow="0" w:firstColumn="1" w:lastColumn="0" w:oddVBand="0" w:evenVBand="0" w:oddHBand="0" w:evenHBand="0" w:firstRowFirstColumn="0" w:firstRowLastColumn="0" w:lastRowFirstColumn="0" w:lastRowLastColumn="0"/>
            <w:tcW w:w="987" w:type="pct"/>
          </w:tcPr>
          <w:p w14:paraId="4CFEE4E5" w14:textId="77777777" w:rsidR="00BB4E21" w:rsidRDefault="00BB4E21" w:rsidP="00056603">
            <w:pPr>
              <w:rPr>
                <w:rFonts w:ascii="Times New Roman" w:hAnsi="Times New Roman" w:cs="Times New Roman"/>
              </w:rPr>
            </w:pPr>
            <w:r>
              <w:rPr>
                <w:rFonts w:ascii="Times New Roman" w:hAnsi="Times New Roman" w:cs="Times New Roman"/>
              </w:rPr>
              <w:t>Prior CABG</w:t>
            </w:r>
          </w:p>
        </w:tc>
        <w:tc>
          <w:tcPr>
            <w:tcW w:w="502" w:type="pct"/>
          </w:tcPr>
          <w:p w14:paraId="699FF24A"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rPr>
              <w:t>—</w:t>
            </w:r>
          </w:p>
        </w:tc>
        <w:tc>
          <w:tcPr>
            <w:tcW w:w="502" w:type="pct"/>
          </w:tcPr>
          <w:p w14:paraId="381EFD90"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rPr>
              <w:t>—</w:t>
            </w:r>
          </w:p>
        </w:tc>
        <w:tc>
          <w:tcPr>
            <w:tcW w:w="502" w:type="pct"/>
          </w:tcPr>
          <w:p w14:paraId="17F260BF"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10 (7.6)</w:t>
            </w:r>
          </w:p>
        </w:tc>
        <w:tc>
          <w:tcPr>
            <w:tcW w:w="502" w:type="pct"/>
          </w:tcPr>
          <w:p w14:paraId="48763449"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9 (7.3)</w:t>
            </w:r>
          </w:p>
        </w:tc>
        <w:tc>
          <w:tcPr>
            <w:tcW w:w="502" w:type="pct"/>
          </w:tcPr>
          <w:p w14:paraId="79C0B77F"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rPr>
              <w:t>—</w:t>
            </w:r>
          </w:p>
        </w:tc>
        <w:tc>
          <w:tcPr>
            <w:tcW w:w="502" w:type="pct"/>
          </w:tcPr>
          <w:p w14:paraId="714C8150"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rPr>
              <w:t>—</w:t>
            </w:r>
          </w:p>
        </w:tc>
        <w:tc>
          <w:tcPr>
            <w:tcW w:w="502" w:type="pct"/>
          </w:tcPr>
          <w:p w14:paraId="1F09D5C5"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18 (2.5)</w:t>
            </w:r>
          </w:p>
        </w:tc>
        <w:tc>
          <w:tcPr>
            <w:tcW w:w="502" w:type="pct"/>
          </w:tcPr>
          <w:p w14:paraId="575ABC35"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14 (2.1)</w:t>
            </w:r>
          </w:p>
        </w:tc>
      </w:tr>
      <w:tr w:rsidR="00BB4E21" w14:paraId="67212AAD" w14:textId="77777777" w:rsidTr="00BB4E2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87" w:type="pct"/>
          </w:tcPr>
          <w:p w14:paraId="62533CA7" w14:textId="77777777" w:rsidR="00BB4E21" w:rsidRDefault="00BB4E21" w:rsidP="00056603">
            <w:pPr>
              <w:rPr>
                <w:rFonts w:ascii="Times New Roman" w:hAnsi="Times New Roman" w:cs="Times New Roman"/>
              </w:rPr>
            </w:pPr>
            <w:r>
              <w:rPr>
                <w:rFonts w:ascii="Times New Roman" w:hAnsi="Times New Roman" w:cs="Times New Roman"/>
              </w:rPr>
              <w:t>Prior MI</w:t>
            </w:r>
          </w:p>
        </w:tc>
        <w:tc>
          <w:tcPr>
            <w:tcW w:w="502" w:type="pct"/>
          </w:tcPr>
          <w:p w14:paraId="2E4AB247"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8 (5.5)</w:t>
            </w:r>
          </w:p>
        </w:tc>
        <w:tc>
          <w:tcPr>
            <w:tcW w:w="502" w:type="pct"/>
          </w:tcPr>
          <w:p w14:paraId="02A61EF2"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6 (4.4)</w:t>
            </w:r>
          </w:p>
        </w:tc>
        <w:tc>
          <w:tcPr>
            <w:tcW w:w="502" w:type="pct"/>
          </w:tcPr>
          <w:p w14:paraId="39FDD287"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14 (10.7)</w:t>
            </w:r>
          </w:p>
        </w:tc>
        <w:tc>
          <w:tcPr>
            <w:tcW w:w="502" w:type="pct"/>
          </w:tcPr>
          <w:p w14:paraId="598249C1"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10 (8.1)</w:t>
            </w:r>
          </w:p>
        </w:tc>
        <w:tc>
          <w:tcPr>
            <w:tcW w:w="502" w:type="pct"/>
          </w:tcPr>
          <w:p w14:paraId="7654513E"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28 (5.7)</w:t>
            </w:r>
          </w:p>
        </w:tc>
        <w:tc>
          <w:tcPr>
            <w:tcW w:w="502" w:type="pct"/>
          </w:tcPr>
          <w:p w14:paraId="1BBDB974"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26 (5.8)</w:t>
            </w:r>
          </w:p>
        </w:tc>
        <w:tc>
          <w:tcPr>
            <w:tcW w:w="502" w:type="pct"/>
          </w:tcPr>
          <w:p w14:paraId="5880496B"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48 (6.6)</w:t>
            </w:r>
          </w:p>
        </w:tc>
        <w:tc>
          <w:tcPr>
            <w:tcW w:w="502" w:type="pct"/>
          </w:tcPr>
          <w:p w14:paraId="4C8D6324"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33 (4.9)</w:t>
            </w:r>
          </w:p>
        </w:tc>
      </w:tr>
      <w:tr w:rsidR="00BB4E21" w14:paraId="02F1FF3B" w14:textId="77777777" w:rsidTr="00BB4E21">
        <w:trPr>
          <w:trHeight w:val="288"/>
        </w:trPr>
        <w:tc>
          <w:tcPr>
            <w:cnfStyle w:val="001000000000" w:firstRow="0" w:lastRow="0" w:firstColumn="1" w:lastColumn="0" w:oddVBand="0" w:evenVBand="0" w:oddHBand="0" w:evenHBand="0" w:firstRowFirstColumn="0" w:firstRowLastColumn="0" w:lastRowFirstColumn="0" w:lastRowLastColumn="0"/>
            <w:tcW w:w="987" w:type="pct"/>
          </w:tcPr>
          <w:p w14:paraId="7E6F1D70" w14:textId="77777777" w:rsidR="00BB4E21" w:rsidRDefault="00BB4E21" w:rsidP="00056603">
            <w:pPr>
              <w:rPr>
                <w:rFonts w:ascii="Times New Roman" w:hAnsi="Times New Roman" w:cs="Times New Roman"/>
              </w:rPr>
            </w:pPr>
            <w:r>
              <w:rPr>
                <w:rFonts w:ascii="Times New Roman" w:hAnsi="Times New Roman" w:cs="Times New Roman"/>
              </w:rPr>
              <w:t>Prior PPM/ICD</w:t>
            </w:r>
          </w:p>
        </w:tc>
        <w:tc>
          <w:tcPr>
            <w:tcW w:w="502" w:type="pct"/>
          </w:tcPr>
          <w:p w14:paraId="07C955CA"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5 (3.4)</w:t>
            </w:r>
          </w:p>
        </w:tc>
        <w:tc>
          <w:tcPr>
            <w:tcW w:w="502" w:type="pct"/>
          </w:tcPr>
          <w:p w14:paraId="51ECE2D9"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6 (4.4)</w:t>
            </w:r>
          </w:p>
        </w:tc>
        <w:tc>
          <w:tcPr>
            <w:tcW w:w="502" w:type="pct"/>
          </w:tcPr>
          <w:p w14:paraId="07C78F14"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9 (6.9)</w:t>
            </w:r>
          </w:p>
        </w:tc>
        <w:tc>
          <w:tcPr>
            <w:tcW w:w="502" w:type="pct"/>
          </w:tcPr>
          <w:p w14:paraId="0DC8A97E"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6 (4.9)</w:t>
            </w:r>
          </w:p>
        </w:tc>
        <w:tc>
          <w:tcPr>
            <w:tcW w:w="502" w:type="pct"/>
          </w:tcPr>
          <w:p w14:paraId="661AF53A"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12 (2.4)</w:t>
            </w:r>
          </w:p>
        </w:tc>
        <w:tc>
          <w:tcPr>
            <w:tcW w:w="502" w:type="pct"/>
          </w:tcPr>
          <w:p w14:paraId="333EA396"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13 (2.9)</w:t>
            </w:r>
          </w:p>
        </w:tc>
        <w:tc>
          <w:tcPr>
            <w:tcW w:w="502" w:type="pct"/>
          </w:tcPr>
          <w:p w14:paraId="05169274"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23 (3.2)</w:t>
            </w:r>
          </w:p>
        </w:tc>
        <w:tc>
          <w:tcPr>
            <w:tcW w:w="502" w:type="pct"/>
          </w:tcPr>
          <w:p w14:paraId="4DFD2144"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26 (3.8)</w:t>
            </w:r>
          </w:p>
        </w:tc>
      </w:tr>
      <w:tr w:rsidR="00BB4E21" w14:paraId="2B221B90" w14:textId="77777777" w:rsidTr="00BB4E2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87" w:type="pct"/>
          </w:tcPr>
          <w:p w14:paraId="18D91F87" w14:textId="77777777" w:rsidR="00BB4E21" w:rsidRDefault="00BB4E21" w:rsidP="00056603">
            <w:pPr>
              <w:rPr>
                <w:rFonts w:ascii="Times New Roman" w:hAnsi="Times New Roman" w:cs="Times New Roman"/>
              </w:rPr>
            </w:pPr>
            <w:r>
              <w:rPr>
                <w:rFonts w:ascii="Times New Roman" w:hAnsi="Times New Roman" w:cs="Times New Roman"/>
              </w:rPr>
              <w:t>Atrial fibrillation/flutter</w:t>
            </w:r>
          </w:p>
        </w:tc>
        <w:tc>
          <w:tcPr>
            <w:tcW w:w="502" w:type="pct"/>
          </w:tcPr>
          <w:p w14:paraId="5C9B2E26"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40 (27.8)</w:t>
            </w:r>
          </w:p>
        </w:tc>
        <w:tc>
          <w:tcPr>
            <w:tcW w:w="502" w:type="pct"/>
          </w:tcPr>
          <w:p w14:paraId="484649D0"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34 (25.6)</w:t>
            </w:r>
          </w:p>
        </w:tc>
        <w:tc>
          <w:tcPr>
            <w:tcW w:w="502" w:type="pct"/>
          </w:tcPr>
          <w:p w14:paraId="4B8A7A84"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33 (25.2)</w:t>
            </w:r>
          </w:p>
        </w:tc>
        <w:tc>
          <w:tcPr>
            <w:tcW w:w="502" w:type="pct"/>
          </w:tcPr>
          <w:p w14:paraId="1A8AFE82"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28 (22.8)</w:t>
            </w:r>
          </w:p>
        </w:tc>
        <w:tc>
          <w:tcPr>
            <w:tcW w:w="502" w:type="pct"/>
          </w:tcPr>
          <w:p w14:paraId="615291EC"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78 (15.7)</w:t>
            </w:r>
          </w:p>
        </w:tc>
        <w:tc>
          <w:tcPr>
            <w:tcW w:w="502" w:type="pct"/>
          </w:tcPr>
          <w:p w14:paraId="37B4FCA0"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85 (18.8)</w:t>
            </w:r>
          </w:p>
        </w:tc>
        <w:tc>
          <w:tcPr>
            <w:tcW w:w="502" w:type="pct"/>
          </w:tcPr>
          <w:p w14:paraId="354C6390"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111 (15.4)</w:t>
            </w:r>
          </w:p>
        </w:tc>
        <w:tc>
          <w:tcPr>
            <w:tcW w:w="502" w:type="pct"/>
          </w:tcPr>
          <w:p w14:paraId="4E945232"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98 (14.5)</w:t>
            </w:r>
          </w:p>
        </w:tc>
      </w:tr>
      <w:tr w:rsidR="00BB4E21" w14:paraId="304249B8" w14:textId="77777777" w:rsidTr="00BB4E21">
        <w:trPr>
          <w:trHeight w:val="288"/>
        </w:trPr>
        <w:tc>
          <w:tcPr>
            <w:cnfStyle w:val="001000000000" w:firstRow="0" w:lastRow="0" w:firstColumn="1" w:lastColumn="0" w:oddVBand="0" w:evenVBand="0" w:oddHBand="0" w:evenHBand="0" w:firstRowFirstColumn="0" w:firstRowLastColumn="0" w:lastRowFirstColumn="0" w:lastRowLastColumn="0"/>
            <w:tcW w:w="987" w:type="pct"/>
          </w:tcPr>
          <w:p w14:paraId="56881D28" w14:textId="77777777" w:rsidR="00BB4E21" w:rsidRDefault="00BB4E21" w:rsidP="00056603">
            <w:pPr>
              <w:rPr>
                <w:rFonts w:ascii="Times New Roman" w:hAnsi="Times New Roman" w:cs="Times New Roman"/>
                <w:vertAlign w:val="superscript"/>
              </w:rPr>
            </w:pPr>
            <w:r>
              <w:rPr>
                <w:rFonts w:ascii="Times New Roman" w:hAnsi="Times New Roman" w:cs="Times New Roman"/>
              </w:rPr>
              <w:t>AVA, cm</w:t>
            </w:r>
            <w:r>
              <w:rPr>
                <w:rFonts w:ascii="Times New Roman" w:hAnsi="Times New Roman" w:cs="Times New Roman"/>
                <w:vertAlign w:val="superscript"/>
              </w:rPr>
              <w:t>2</w:t>
            </w:r>
          </w:p>
        </w:tc>
        <w:tc>
          <w:tcPr>
            <w:tcW w:w="502" w:type="pct"/>
          </w:tcPr>
          <w:p w14:paraId="3ED36A10"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rPr>
              <w:t>—</w:t>
            </w:r>
          </w:p>
        </w:tc>
        <w:tc>
          <w:tcPr>
            <w:tcW w:w="502" w:type="pct"/>
          </w:tcPr>
          <w:p w14:paraId="4F98BC2E"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rPr>
              <w:t>—</w:t>
            </w:r>
          </w:p>
        </w:tc>
        <w:tc>
          <w:tcPr>
            <w:tcW w:w="502" w:type="pct"/>
          </w:tcPr>
          <w:p w14:paraId="31781EC8"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rPr>
              <w:t>—</w:t>
            </w:r>
          </w:p>
        </w:tc>
        <w:tc>
          <w:tcPr>
            <w:tcW w:w="502" w:type="pct"/>
          </w:tcPr>
          <w:p w14:paraId="6841B1F9"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rPr>
              <w:t>—</w:t>
            </w:r>
          </w:p>
        </w:tc>
        <w:tc>
          <w:tcPr>
            <w:tcW w:w="502" w:type="pct"/>
          </w:tcPr>
          <w:p w14:paraId="3B559D0F"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0.8 ± 0.2</w:t>
            </w:r>
          </w:p>
        </w:tc>
        <w:tc>
          <w:tcPr>
            <w:tcW w:w="502" w:type="pct"/>
          </w:tcPr>
          <w:p w14:paraId="5E772F19"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0.8 ± 0.2</w:t>
            </w:r>
          </w:p>
        </w:tc>
        <w:tc>
          <w:tcPr>
            <w:tcW w:w="502" w:type="pct"/>
          </w:tcPr>
          <w:p w14:paraId="1D56CC71"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0.8 ± 0.2</w:t>
            </w:r>
          </w:p>
        </w:tc>
        <w:tc>
          <w:tcPr>
            <w:tcW w:w="502" w:type="pct"/>
          </w:tcPr>
          <w:p w14:paraId="25EDD648"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0.8 ± 0.2</w:t>
            </w:r>
          </w:p>
        </w:tc>
      </w:tr>
      <w:tr w:rsidR="00BB4E21" w14:paraId="5B4AB7EE" w14:textId="77777777" w:rsidTr="00BB4E2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87" w:type="pct"/>
          </w:tcPr>
          <w:p w14:paraId="7A12EF35" w14:textId="77777777" w:rsidR="00BB4E21" w:rsidRDefault="00BB4E21" w:rsidP="00056603">
            <w:pPr>
              <w:rPr>
                <w:rFonts w:ascii="Times New Roman" w:hAnsi="Times New Roman" w:cs="Times New Roman"/>
              </w:rPr>
            </w:pPr>
            <w:r>
              <w:rPr>
                <w:rFonts w:ascii="Times New Roman" w:hAnsi="Times New Roman" w:cs="Times New Roman"/>
              </w:rPr>
              <w:t>AV gradient, mmHg</w:t>
            </w:r>
          </w:p>
        </w:tc>
        <w:tc>
          <w:tcPr>
            <w:tcW w:w="502" w:type="pct"/>
          </w:tcPr>
          <w:p w14:paraId="436FBC84"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pPr>
            <w:r>
              <w:rPr>
                <w:rFonts w:ascii="Times New Roman" w:hAnsi="Times New Roman" w:cs="Times New Roman"/>
              </w:rPr>
              <w:t>—</w:t>
            </w:r>
          </w:p>
        </w:tc>
        <w:tc>
          <w:tcPr>
            <w:tcW w:w="502" w:type="pct"/>
          </w:tcPr>
          <w:p w14:paraId="309FDBF6"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pPr>
            <w:r>
              <w:rPr>
                <w:rFonts w:ascii="Times New Roman" w:hAnsi="Times New Roman" w:cs="Times New Roman"/>
              </w:rPr>
              <w:t>—</w:t>
            </w:r>
          </w:p>
        </w:tc>
        <w:tc>
          <w:tcPr>
            <w:tcW w:w="502" w:type="pct"/>
          </w:tcPr>
          <w:p w14:paraId="7FC63532"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pPr>
            <w:r>
              <w:rPr>
                <w:rFonts w:ascii="Times New Roman" w:hAnsi="Times New Roman" w:cs="Times New Roman"/>
              </w:rPr>
              <w:t>—</w:t>
            </w:r>
          </w:p>
        </w:tc>
        <w:tc>
          <w:tcPr>
            <w:tcW w:w="502" w:type="pct"/>
          </w:tcPr>
          <w:p w14:paraId="71F3AE48"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pPr>
            <w:r>
              <w:rPr>
                <w:rFonts w:ascii="Times New Roman" w:hAnsi="Times New Roman" w:cs="Times New Roman"/>
              </w:rPr>
              <w:t>—</w:t>
            </w:r>
          </w:p>
        </w:tc>
        <w:tc>
          <w:tcPr>
            <w:tcW w:w="502" w:type="pct"/>
          </w:tcPr>
          <w:p w14:paraId="2C71E862"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49.4 ± 12.8</w:t>
            </w:r>
          </w:p>
        </w:tc>
        <w:tc>
          <w:tcPr>
            <w:tcW w:w="502" w:type="pct"/>
          </w:tcPr>
          <w:p w14:paraId="28ECC48E"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48.3 ± 11.8</w:t>
            </w:r>
          </w:p>
        </w:tc>
        <w:tc>
          <w:tcPr>
            <w:tcW w:w="502" w:type="pct"/>
          </w:tcPr>
          <w:p w14:paraId="1E3D43F8"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47.0 ± 12.1</w:t>
            </w:r>
          </w:p>
        </w:tc>
        <w:tc>
          <w:tcPr>
            <w:tcW w:w="502" w:type="pct"/>
          </w:tcPr>
          <w:p w14:paraId="2F654667"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46.6 ± 12.2</w:t>
            </w:r>
          </w:p>
        </w:tc>
      </w:tr>
      <w:tr w:rsidR="00BB4E21" w14:paraId="0680A5DB" w14:textId="77777777" w:rsidTr="00BB4E21">
        <w:trPr>
          <w:trHeight w:val="288"/>
        </w:trPr>
        <w:tc>
          <w:tcPr>
            <w:cnfStyle w:val="001000000000" w:firstRow="0" w:lastRow="0" w:firstColumn="1" w:lastColumn="0" w:oddVBand="0" w:evenVBand="0" w:oddHBand="0" w:evenHBand="0" w:firstRowFirstColumn="0" w:firstRowLastColumn="0" w:lastRowFirstColumn="0" w:lastRowLastColumn="0"/>
            <w:tcW w:w="987" w:type="pct"/>
          </w:tcPr>
          <w:p w14:paraId="5C7F0F7C" w14:textId="77777777" w:rsidR="00BB4E21" w:rsidRDefault="00BB4E21" w:rsidP="00056603">
            <w:pPr>
              <w:rPr>
                <w:rFonts w:ascii="Times New Roman" w:hAnsi="Times New Roman" w:cs="Times New Roman"/>
              </w:rPr>
            </w:pPr>
            <w:r>
              <w:rPr>
                <w:rFonts w:ascii="Times New Roman" w:hAnsi="Times New Roman" w:cs="Times New Roman"/>
              </w:rPr>
              <w:t>LVEF, %</w:t>
            </w:r>
          </w:p>
        </w:tc>
        <w:tc>
          <w:tcPr>
            <w:tcW w:w="502" w:type="pct"/>
          </w:tcPr>
          <w:p w14:paraId="1181E2B7"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rPr>
              <w:t>—</w:t>
            </w:r>
          </w:p>
        </w:tc>
        <w:tc>
          <w:tcPr>
            <w:tcW w:w="502" w:type="pct"/>
          </w:tcPr>
          <w:p w14:paraId="3EE331B7"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rPr>
              <w:t>—</w:t>
            </w:r>
          </w:p>
        </w:tc>
        <w:tc>
          <w:tcPr>
            <w:tcW w:w="502" w:type="pct"/>
          </w:tcPr>
          <w:p w14:paraId="2CF70BE7"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rPr>
              <w:t>—</w:t>
            </w:r>
          </w:p>
        </w:tc>
        <w:tc>
          <w:tcPr>
            <w:tcW w:w="502" w:type="pct"/>
          </w:tcPr>
          <w:p w14:paraId="1C906F44"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rPr>
              <w:t>—</w:t>
            </w:r>
          </w:p>
        </w:tc>
        <w:tc>
          <w:tcPr>
            <w:tcW w:w="502" w:type="pct"/>
          </w:tcPr>
          <w:p w14:paraId="6C094F14"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65.7 ± 9.0</w:t>
            </w:r>
          </w:p>
        </w:tc>
        <w:tc>
          <w:tcPr>
            <w:tcW w:w="502" w:type="pct"/>
          </w:tcPr>
          <w:p w14:paraId="3C2BA821"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66.2 ± 8.6</w:t>
            </w:r>
          </w:p>
        </w:tc>
        <w:tc>
          <w:tcPr>
            <w:tcW w:w="502" w:type="pct"/>
          </w:tcPr>
          <w:p w14:paraId="71DDC92F"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61.7 ± 7.9</w:t>
            </w:r>
          </w:p>
        </w:tc>
        <w:tc>
          <w:tcPr>
            <w:tcW w:w="502" w:type="pct"/>
          </w:tcPr>
          <w:p w14:paraId="647C100D"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61.9 ± 7.7</w:t>
            </w:r>
          </w:p>
        </w:tc>
      </w:tr>
      <w:tr w:rsidR="00BB4E21" w14:paraId="01D1C6F6" w14:textId="77777777" w:rsidTr="00BB4E2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87" w:type="pct"/>
          </w:tcPr>
          <w:p w14:paraId="106781F3" w14:textId="77777777" w:rsidR="00BB4E21" w:rsidRDefault="00BB4E21" w:rsidP="00056603">
            <w:pPr>
              <w:rPr>
                <w:rFonts w:ascii="Times New Roman" w:hAnsi="Times New Roman" w:cs="Times New Roman"/>
              </w:rPr>
            </w:pPr>
            <w:r>
              <w:rPr>
                <w:rFonts w:ascii="Times New Roman" w:hAnsi="Times New Roman" w:cs="Times New Roman"/>
              </w:rPr>
              <w:t>Procedural characteristics</w:t>
            </w:r>
          </w:p>
        </w:tc>
        <w:tc>
          <w:tcPr>
            <w:tcW w:w="502" w:type="pct"/>
          </w:tcPr>
          <w:p w14:paraId="6DF11460"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502" w:type="pct"/>
          </w:tcPr>
          <w:p w14:paraId="54A7A38E"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502" w:type="pct"/>
          </w:tcPr>
          <w:p w14:paraId="3E3A6204"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502" w:type="pct"/>
          </w:tcPr>
          <w:p w14:paraId="60CF0EB7"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502" w:type="pct"/>
          </w:tcPr>
          <w:p w14:paraId="02746577"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502" w:type="pct"/>
          </w:tcPr>
          <w:p w14:paraId="466537AF"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502" w:type="pct"/>
          </w:tcPr>
          <w:p w14:paraId="341609EC"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502" w:type="pct"/>
          </w:tcPr>
          <w:p w14:paraId="4C8768F1"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BB4E21" w14:paraId="172B76C6" w14:textId="77777777" w:rsidTr="00BB4E21">
        <w:trPr>
          <w:trHeight w:val="288"/>
        </w:trPr>
        <w:tc>
          <w:tcPr>
            <w:cnfStyle w:val="001000000000" w:firstRow="0" w:lastRow="0" w:firstColumn="1" w:lastColumn="0" w:oddVBand="0" w:evenVBand="0" w:oddHBand="0" w:evenHBand="0" w:firstRowFirstColumn="0" w:firstRowLastColumn="0" w:lastRowFirstColumn="0" w:lastRowLastColumn="0"/>
            <w:tcW w:w="987" w:type="pct"/>
          </w:tcPr>
          <w:p w14:paraId="67CA83F0" w14:textId="77777777" w:rsidR="00BB4E21" w:rsidRDefault="00BB4E21" w:rsidP="00056603">
            <w:pPr>
              <w:ind w:left="252"/>
              <w:rPr>
                <w:rFonts w:ascii="Times New Roman" w:hAnsi="Times New Roman" w:cs="Times New Roman"/>
              </w:rPr>
            </w:pPr>
            <w:r>
              <w:rPr>
                <w:rFonts w:ascii="Times New Roman" w:hAnsi="Times New Roman" w:cs="Times New Roman"/>
              </w:rPr>
              <w:t>Transfemoral access</w:t>
            </w:r>
          </w:p>
        </w:tc>
        <w:tc>
          <w:tcPr>
            <w:tcW w:w="502" w:type="pct"/>
          </w:tcPr>
          <w:p w14:paraId="5F346D59"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137 (96.5)</w:t>
            </w:r>
          </w:p>
        </w:tc>
        <w:tc>
          <w:tcPr>
            <w:tcW w:w="502" w:type="pct"/>
          </w:tcPr>
          <w:p w14:paraId="7953D408"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N/A</w:t>
            </w:r>
          </w:p>
        </w:tc>
        <w:tc>
          <w:tcPr>
            <w:tcW w:w="502" w:type="pct"/>
          </w:tcPr>
          <w:p w14:paraId="1FFA3BE8"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rPr>
              <w:t>—</w:t>
            </w:r>
          </w:p>
        </w:tc>
        <w:tc>
          <w:tcPr>
            <w:tcW w:w="502" w:type="pct"/>
          </w:tcPr>
          <w:p w14:paraId="5DD8F6A4"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rPr>
              <w:t>N/A</w:t>
            </w:r>
          </w:p>
        </w:tc>
        <w:tc>
          <w:tcPr>
            <w:tcW w:w="502" w:type="pct"/>
          </w:tcPr>
          <w:p w14:paraId="677AD6BB"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496 (100)</w:t>
            </w:r>
          </w:p>
        </w:tc>
        <w:tc>
          <w:tcPr>
            <w:tcW w:w="502" w:type="pct"/>
          </w:tcPr>
          <w:p w14:paraId="6E8CA603"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N/A</w:t>
            </w:r>
          </w:p>
        </w:tc>
        <w:tc>
          <w:tcPr>
            <w:tcW w:w="502" w:type="pct"/>
          </w:tcPr>
          <w:p w14:paraId="24C9B861"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718 (99.0)</w:t>
            </w:r>
          </w:p>
        </w:tc>
        <w:tc>
          <w:tcPr>
            <w:tcW w:w="502" w:type="pct"/>
          </w:tcPr>
          <w:p w14:paraId="69B31B4E"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N/A</w:t>
            </w:r>
          </w:p>
        </w:tc>
      </w:tr>
      <w:tr w:rsidR="00BB4E21" w14:paraId="1D02EAB9" w14:textId="77777777" w:rsidTr="00BB4E2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87" w:type="pct"/>
          </w:tcPr>
          <w:p w14:paraId="797851EF" w14:textId="77777777" w:rsidR="00BB4E21" w:rsidRDefault="00BB4E21" w:rsidP="00056603">
            <w:pPr>
              <w:ind w:left="252"/>
              <w:rPr>
                <w:rFonts w:ascii="Times New Roman" w:hAnsi="Times New Roman" w:cs="Times New Roman"/>
              </w:rPr>
            </w:pPr>
            <w:r>
              <w:rPr>
                <w:rFonts w:ascii="Times New Roman" w:hAnsi="Times New Roman" w:cs="Times New Roman"/>
              </w:rPr>
              <w:t>Conscious sedation</w:t>
            </w:r>
          </w:p>
        </w:tc>
        <w:tc>
          <w:tcPr>
            <w:tcW w:w="502" w:type="pct"/>
          </w:tcPr>
          <w:p w14:paraId="17EC2D05"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26 (18.3)</w:t>
            </w:r>
          </w:p>
        </w:tc>
        <w:tc>
          <w:tcPr>
            <w:tcW w:w="502" w:type="pct"/>
          </w:tcPr>
          <w:p w14:paraId="5A87E192"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N/A</w:t>
            </w:r>
          </w:p>
        </w:tc>
        <w:tc>
          <w:tcPr>
            <w:tcW w:w="502" w:type="pct"/>
          </w:tcPr>
          <w:p w14:paraId="29E58631"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pPr>
            <w:r>
              <w:rPr>
                <w:rFonts w:ascii="Times New Roman" w:hAnsi="Times New Roman" w:cs="Times New Roman"/>
              </w:rPr>
              <w:t>—</w:t>
            </w:r>
          </w:p>
        </w:tc>
        <w:tc>
          <w:tcPr>
            <w:tcW w:w="502" w:type="pct"/>
          </w:tcPr>
          <w:p w14:paraId="6559CBB5"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pPr>
            <w:r>
              <w:rPr>
                <w:rFonts w:ascii="Times New Roman" w:hAnsi="Times New Roman" w:cs="Times New Roman"/>
              </w:rPr>
              <w:t>N/A</w:t>
            </w:r>
          </w:p>
        </w:tc>
        <w:tc>
          <w:tcPr>
            <w:tcW w:w="502" w:type="pct"/>
          </w:tcPr>
          <w:p w14:paraId="40E8CAA7"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323 (65.1)</w:t>
            </w:r>
          </w:p>
        </w:tc>
        <w:tc>
          <w:tcPr>
            <w:tcW w:w="502" w:type="pct"/>
          </w:tcPr>
          <w:p w14:paraId="3DB331B9"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N/A</w:t>
            </w:r>
          </w:p>
        </w:tc>
        <w:tc>
          <w:tcPr>
            <w:tcW w:w="502" w:type="pct"/>
          </w:tcPr>
          <w:p w14:paraId="1E8763DF"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312 (43.1)</w:t>
            </w:r>
          </w:p>
        </w:tc>
        <w:tc>
          <w:tcPr>
            <w:tcW w:w="502" w:type="pct"/>
          </w:tcPr>
          <w:p w14:paraId="4B0F176F"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N/A</w:t>
            </w:r>
          </w:p>
        </w:tc>
      </w:tr>
      <w:tr w:rsidR="00BB4E21" w14:paraId="0AF89B7A" w14:textId="77777777" w:rsidTr="00BB4E21">
        <w:trPr>
          <w:trHeight w:val="288"/>
        </w:trPr>
        <w:tc>
          <w:tcPr>
            <w:cnfStyle w:val="001000000000" w:firstRow="0" w:lastRow="0" w:firstColumn="1" w:lastColumn="0" w:oddVBand="0" w:evenVBand="0" w:oddHBand="0" w:evenHBand="0" w:firstRowFirstColumn="0" w:firstRowLastColumn="0" w:lastRowFirstColumn="0" w:lastRowLastColumn="0"/>
            <w:tcW w:w="987" w:type="pct"/>
          </w:tcPr>
          <w:p w14:paraId="13F3762E" w14:textId="77777777" w:rsidR="00BB4E21" w:rsidRDefault="00BB4E21" w:rsidP="00056603">
            <w:pPr>
              <w:ind w:left="252"/>
              <w:rPr>
                <w:rFonts w:ascii="Times New Roman" w:hAnsi="Times New Roman" w:cs="Times New Roman"/>
              </w:rPr>
            </w:pPr>
            <w:r>
              <w:rPr>
                <w:rFonts w:ascii="Times New Roman" w:hAnsi="Times New Roman" w:cs="Times New Roman"/>
              </w:rPr>
              <w:lastRenderedPageBreak/>
              <w:t>Implantation of &gt;1 valves</w:t>
            </w:r>
          </w:p>
        </w:tc>
        <w:tc>
          <w:tcPr>
            <w:tcW w:w="502" w:type="pct"/>
          </w:tcPr>
          <w:p w14:paraId="7E09744F"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 (2.8)</w:t>
            </w:r>
          </w:p>
        </w:tc>
        <w:tc>
          <w:tcPr>
            <w:tcW w:w="502" w:type="pct"/>
          </w:tcPr>
          <w:p w14:paraId="4BC00458"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N/A</w:t>
            </w:r>
          </w:p>
        </w:tc>
        <w:tc>
          <w:tcPr>
            <w:tcW w:w="502" w:type="pct"/>
          </w:tcPr>
          <w:p w14:paraId="2073715F"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rPr>
              <w:t>—</w:t>
            </w:r>
          </w:p>
        </w:tc>
        <w:tc>
          <w:tcPr>
            <w:tcW w:w="502" w:type="pct"/>
          </w:tcPr>
          <w:p w14:paraId="07D11558"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rPr>
              <w:t>N/A</w:t>
            </w:r>
          </w:p>
        </w:tc>
        <w:tc>
          <w:tcPr>
            <w:tcW w:w="502" w:type="pct"/>
          </w:tcPr>
          <w:p w14:paraId="7B2C7D8C"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 (0.2)</w:t>
            </w:r>
          </w:p>
        </w:tc>
        <w:tc>
          <w:tcPr>
            <w:tcW w:w="502" w:type="pct"/>
          </w:tcPr>
          <w:p w14:paraId="74D966FB"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N/A</w:t>
            </w:r>
          </w:p>
        </w:tc>
        <w:tc>
          <w:tcPr>
            <w:tcW w:w="502" w:type="pct"/>
          </w:tcPr>
          <w:p w14:paraId="5350A697"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9 (1.2)</w:t>
            </w:r>
          </w:p>
        </w:tc>
        <w:tc>
          <w:tcPr>
            <w:tcW w:w="502" w:type="pct"/>
          </w:tcPr>
          <w:p w14:paraId="5813CEFD"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N/A</w:t>
            </w:r>
          </w:p>
        </w:tc>
      </w:tr>
      <w:tr w:rsidR="00BB4E21" w14:paraId="662899CD" w14:textId="77777777" w:rsidTr="00BB4E2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87" w:type="pct"/>
          </w:tcPr>
          <w:p w14:paraId="7E714972" w14:textId="77777777" w:rsidR="00BB4E21" w:rsidRDefault="00BB4E21" w:rsidP="00056603">
            <w:pPr>
              <w:ind w:left="252"/>
              <w:rPr>
                <w:rFonts w:ascii="Times New Roman" w:hAnsi="Times New Roman" w:cs="Times New Roman"/>
              </w:rPr>
            </w:pPr>
            <w:r>
              <w:rPr>
                <w:rFonts w:ascii="Times New Roman" w:hAnsi="Times New Roman" w:cs="Times New Roman"/>
              </w:rPr>
              <w:t>Pre-dilation (BAV)</w:t>
            </w:r>
          </w:p>
        </w:tc>
        <w:tc>
          <w:tcPr>
            <w:tcW w:w="502" w:type="pct"/>
          </w:tcPr>
          <w:p w14:paraId="5B1B881C"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pPr>
            <w:r>
              <w:rPr>
                <w:rFonts w:ascii="Times New Roman" w:hAnsi="Times New Roman" w:cs="Times New Roman"/>
              </w:rPr>
              <w:t>—</w:t>
            </w:r>
          </w:p>
        </w:tc>
        <w:tc>
          <w:tcPr>
            <w:tcW w:w="502" w:type="pct"/>
          </w:tcPr>
          <w:p w14:paraId="4A417103"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N/A</w:t>
            </w:r>
          </w:p>
        </w:tc>
        <w:tc>
          <w:tcPr>
            <w:tcW w:w="502" w:type="pct"/>
          </w:tcPr>
          <w:p w14:paraId="4B996DEF"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pPr>
            <w:r>
              <w:rPr>
                <w:rFonts w:ascii="Times New Roman" w:hAnsi="Times New Roman" w:cs="Times New Roman"/>
              </w:rPr>
              <w:t>—</w:t>
            </w:r>
          </w:p>
        </w:tc>
        <w:tc>
          <w:tcPr>
            <w:tcW w:w="502" w:type="pct"/>
          </w:tcPr>
          <w:p w14:paraId="581B4E9A"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N/A</w:t>
            </w:r>
          </w:p>
        </w:tc>
        <w:tc>
          <w:tcPr>
            <w:tcW w:w="502" w:type="pct"/>
          </w:tcPr>
          <w:p w14:paraId="2AA34F8D"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286 (57.8)</w:t>
            </w:r>
          </w:p>
        </w:tc>
        <w:tc>
          <w:tcPr>
            <w:tcW w:w="502" w:type="pct"/>
          </w:tcPr>
          <w:p w14:paraId="562F9363"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N/A</w:t>
            </w:r>
          </w:p>
        </w:tc>
        <w:tc>
          <w:tcPr>
            <w:tcW w:w="502" w:type="pct"/>
          </w:tcPr>
          <w:p w14:paraId="7A361B85"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253 (34.9)</w:t>
            </w:r>
          </w:p>
        </w:tc>
        <w:tc>
          <w:tcPr>
            <w:tcW w:w="502" w:type="pct"/>
          </w:tcPr>
          <w:p w14:paraId="08CAC65D"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N/A</w:t>
            </w:r>
          </w:p>
        </w:tc>
      </w:tr>
      <w:tr w:rsidR="00BB4E21" w14:paraId="5ECF1B04" w14:textId="77777777" w:rsidTr="00BB4E21">
        <w:trPr>
          <w:trHeight w:val="288"/>
        </w:trPr>
        <w:tc>
          <w:tcPr>
            <w:cnfStyle w:val="001000000000" w:firstRow="0" w:lastRow="0" w:firstColumn="1" w:lastColumn="0" w:oddVBand="0" w:evenVBand="0" w:oddHBand="0" w:evenHBand="0" w:firstRowFirstColumn="0" w:firstRowLastColumn="0" w:lastRowFirstColumn="0" w:lastRowLastColumn="0"/>
            <w:tcW w:w="987" w:type="pct"/>
          </w:tcPr>
          <w:p w14:paraId="3EA13A45" w14:textId="77777777" w:rsidR="00BB4E21" w:rsidRDefault="00BB4E21" w:rsidP="00056603">
            <w:pPr>
              <w:ind w:left="252"/>
              <w:rPr>
                <w:rFonts w:ascii="Times New Roman" w:hAnsi="Times New Roman" w:cs="Times New Roman"/>
              </w:rPr>
            </w:pPr>
            <w:r>
              <w:rPr>
                <w:rFonts w:ascii="Times New Roman" w:hAnsi="Times New Roman" w:cs="Times New Roman"/>
              </w:rPr>
              <w:t>Post-dilation</w:t>
            </w:r>
          </w:p>
        </w:tc>
        <w:tc>
          <w:tcPr>
            <w:tcW w:w="502" w:type="pct"/>
          </w:tcPr>
          <w:p w14:paraId="4A453904"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rPr>
              <w:t>—</w:t>
            </w:r>
          </w:p>
        </w:tc>
        <w:tc>
          <w:tcPr>
            <w:tcW w:w="502" w:type="pct"/>
          </w:tcPr>
          <w:p w14:paraId="5CA92106"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N/A</w:t>
            </w:r>
          </w:p>
        </w:tc>
        <w:tc>
          <w:tcPr>
            <w:tcW w:w="502" w:type="pct"/>
          </w:tcPr>
          <w:p w14:paraId="5F64C376"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rPr>
              <w:t>—</w:t>
            </w:r>
          </w:p>
        </w:tc>
        <w:tc>
          <w:tcPr>
            <w:tcW w:w="502" w:type="pct"/>
          </w:tcPr>
          <w:p w14:paraId="37AB6F5E"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N/A</w:t>
            </w:r>
          </w:p>
        </w:tc>
        <w:tc>
          <w:tcPr>
            <w:tcW w:w="502" w:type="pct"/>
          </w:tcPr>
          <w:p w14:paraId="46DC3966"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103 (20.9)</w:t>
            </w:r>
          </w:p>
        </w:tc>
        <w:tc>
          <w:tcPr>
            <w:tcW w:w="502" w:type="pct"/>
          </w:tcPr>
          <w:p w14:paraId="0992C624"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N/A</w:t>
            </w:r>
          </w:p>
        </w:tc>
        <w:tc>
          <w:tcPr>
            <w:tcW w:w="502" w:type="pct"/>
          </w:tcPr>
          <w:p w14:paraId="5EC7FC83"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227 (31.3)</w:t>
            </w:r>
          </w:p>
        </w:tc>
        <w:tc>
          <w:tcPr>
            <w:tcW w:w="502" w:type="pct"/>
          </w:tcPr>
          <w:p w14:paraId="392F1897"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N/A</w:t>
            </w:r>
          </w:p>
        </w:tc>
      </w:tr>
      <w:tr w:rsidR="00BB4E21" w14:paraId="610C2E0D" w14:textId="77777777" w:rsidTr="00BB4E2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87" w:type="pct"/>
          </w:tcPr>
          <w:p w14:paraId="4A4C5134" w14:textId="77777777" w:rsidR="00BB4E21" w:rsidRDefault="00BB4E21" w:rsidP="00056603">
            <w:pPr>
              <w:ind w:left="252"/>
              <w:rPr>
                <w:rFonts w:ascii="Times New Roman" w:hAnsi="Times New Roman" w:cs="Times New Roman"/>
              </w:rPr>
            </w:pPr>
            <w:r>
              <w:rPr>
                <w:rFonts w:ascii="Times New Roman" w:hAnsi="Times New Roman" w:cs="Times New Roman"/>
              </w:rPr>
              <w:t>Conversion to surgery</w:t>
            </w:r>
          </w:p>
        </w:tc>
        <w:tc>
          <w:tcPr>
            <w:tcW w:w="502" w:type="pct"/>
          </w:tcPr>
          <w:p w14:paraId="6CD40F2E"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3 (2.1)</w:t>
            </w:r>
          </w:p>
        </w:tc>
        <w:tc>
          <w:tcPr>
            <w:tcW w:w="502" w:type="pct"/>
          </w:tcPr>
          <w:p w14:paraId="1E574901"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N/A</w:t>
            </w:r>
          </w:p>
        </w:tc>
        <w:tc>
          <w:tcPr>
            <w:tcW w:w="502" w:type="pct"/>
          </w:tcPr>
          <w:p w14:paraId="1598776B"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pPr>
            <w:r>
              <w:rPr>
                <w:rFonts w:ascii="Times New Roman" w:hAnsi="Times New Roman" w:cs="Times New Roman"/>
              </w:rPr>
              <w:t>—</w:t>
            </w:r>
          </w:p>
        </w:tc>
        <w:tc>
          <w:tcPr>
            <w:tcW w:w="502" w:type="pct"/>
          </w:tcPr>
          <w:p w14:paraId="152A055D"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pPr>
            <w:r>
              <w:rPr>
                <w:rFonts w:ascii="Times New Roman" w:hAnsi="Times New Roman" w:cs="Times New Roman"/>
              </w:rPr>
              <w:t>N/A</w:t>
            </w:r>
          </w:p>
        </w:tc>
        <w:tc>
          <w:tcPr>
            <w:tcW w:w="502" w:type="pct"/>
          </w:tcPr>
          <w:p w14:paraId="081C6AD3"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 (0.2)</w:t>
            </w:r>
          </w:p>
        </w:tc>
        <w:tc>
          <w:tcPr>
            <w:tcW w:w="502" w:type="pct"/>
          </w:tcPr>
          <w:p w14:paraId="453AD04F"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N/A</w:t>
            </w:r>
          </w:p>
        </w:tc>
        <w:tc>
          <w:tcPr>
            <w:tcW w:w="502" w:type="pct"/>
          </w:tcPr>
          <w:p w14:paraId="7C562E41"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 (0.6)</w:t>
            </w:r>
          </w:p>
        </w:tc>
        <w:tc>
          <w:tcPr>
            <w:tcW w:w="502" w:type="pct"/>
          </w:tcPr>
          <w:p w14:paraId="11395F5D"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N/A</w:t>
            </w:r>
          </w:p>
        </w:tc>
      </w:tr>
      <w:tr w:rsidR="00BB4E21" w14:paraId="3C94BDF5" w14:textId="77777777" w:rsidTr="00BB4E21">
        <w:trPr>
          <w:trHeight w:val="288"/>
        </w:trPr>
        <w:tc>
          <w:tcPr>
            <w:cnfStyle w:val="001000000000" w:firstRow="0" w:lastRow="0" w:firstColumn="1" w:lastColumn="0" w:oddVBand="0" w:evenVBand="0" w:oddHBand="0" w:evenHBand="0" w:firstRowFirstColumn="0" w:firstRowLastColumn="0" w:lastRowFirstColumn="0" w:lastRowLastColumn="0"/>
            <w:tcW w:w="987" w:type="pct"/>
          </w:tcPr>
          <w:p w14:paraId="2B4F9C90" w14:textId="77777777" w:rsidR="00BB4E21" w:rsidRDefault="00BB4E21" w:rsidP="00056603">
            <w:pPr>
              <w:ind w:left="252"/>
              <w:rPr>
                <w:rFonts w:ascii="Times New Roman" w:hAnsi="Times New Roman" w:cs="Times New Roman"/>
              </w:rPr>
            </w:pPr>
            <w:r>
              <w:rPr>
                <w:rFonts w:ascii="Times New Roman" w:hAnsi="Times New Roman" w:cs="Times New Roman"/>
              </w:rPr>
              <w:t>Total procedure time, min</w:t>
            </w:r>
          </w:p>
        </w:tc>
        <w:tc>
          <w:tcPr>
            <w:tcW w:w="502" w:type="pct"/>
          </w:tcPr>
          <w:p w14:paraId="2836131C"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90.3 ± 38.6</w:t>
            </w:r>
          </w:p>
        </w:tc>
        <w:tc>
          <w:tcPr>
            <w:tcW w:w="502" w:type="pct"/>
          </w:tcPr>
          <w:p w14:paraId="3D87E7FF"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177.2 ± 39.8</w:t>
            </w:r>
          </w:p>
        </w:tc>
        <w:tc>
          <w:tcPr>
            <w:tcW w:w="502" w:type="pct"/>
          </w:tcPr>
          <w:p w14:paraId="21DBFEC6"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rPr>
              <w:t>—</w:t>
            </w:r>
          </w:p>
        </w:tc>
        <w:tc>
          <w:tcPr>
            <w:tcW w:w="502" w:type="pct"/>
          </w:tcPr>
          <w:p w14:paraId="0FC9C34E"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rPr>
              <w:t>—</w:t>
            </w:r>
          </w:p>
        </w:tc>
        <w:tc>
          <w:tcPr>
            <w:tcW w:w="502" w:type="pct"/>
          </w:tcPr>
          <w:p w14:paraId="4A5644DA"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58.6 ± 36.5</w:t>
            </w:r>
          </w:p>
        </w:tc>
        <w:tc>
          <w:tcPr>
            <w:tcW w:w="502" w:type="pct"/>
          </w:tcPr>
          <w:p w14:paraId="6A9C3DE7"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208.3 ± 62.2</w:t>
            </w:r>
          </w:p>
        </w:tc>
        <w:tc>
          <w:tcPr>
            <w:tcW w:w="502" w:type="pct"/>
          </w:tcPr>
          <w:p w14:paraId="06FFB78A"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148.2 ± 55.1</w:t>
            </w:r>
          </w:p>
        </w:tc>
        <w:tc>
          <w:tcPr>
            <w:tcW w:w="502" w:type="pct"/>
          </w:tcPr>
          <w:p w14:paraId="1B30DCD6"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276.6 ± 79.5</w:t>
            </w:r>
          </w:p>
        </w:tc>
      </w:tr>
      <w:tr w:rsidR="00BB4E21" w14:paraId="23313DDA" w14:textId="77777777" w:rsidTr="00BB4E2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87" w:type="pct"/>
          </w:tcPr>
          <w:p w14:paraId="31482D08" w14:textId="77777777" w:rsidR="00BB4E21" w:rsidRDefault="00BB4E21" w:rsidP="00056603">
            <w:pPr>
              <w:ind w:left="252"/>
              <w:rPr>
                <w:rFonts w:ascii="Times New Roman" w:hAnsi="Times New Roman" w:cs="Times New Roman"/>
              </w:rPr>
            </w:pPr>
            <w:r>
              <w:rPr>
                <w:rFonts w:ascii="Times New Roman" w:hAnsi="Times New Roman" w:cs="Times New Roman"/>
              </w:rPr>
              <w:t>Total CPB time, min</w:t>
            </w:r>
          </w:p>
        </w:tc>
        <w:tc>
          <w:tcPr>
            <w:tcW w:w="502" w:type="pct"/>
          </w:tcPr>
          <w:p w14:paraId="38F45B42"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N/A</w:t>
            </w:r>
          </w:p>
        </w:tc>
        <w:tc>
          <w:tcPr>
            <w:tcW w:w="502" w:type="pct"/>
          </w:tcPr>
          <w:p w14:paraId="115DB42B"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tcW w:w="502" w:type="pct"/>
          </w:tcPr>
          <w:p w14:paraId="52D58A25"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N/A</w:t>
            </w:r>
          </w:p>
        </w:tc>
        <w:tc>
          <w:tcPr>
            <w:tcW w:w="502" w:type="pct"/>
          </w:tcPr>
          <w:p w14:paraId="652193F1"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tcW w:w="502" w:type="pct"/>
          </w:tcPr>
          <w:p w14:paraId="543570F9"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N/A</w:t>
            </w:r>
          </w:p>
        </w:tc>
        <w:tc>
          <w:tcPr>
            <w:tcW w:w="502" w:type="pct"/>
          </w:tcPr>
          <w:p w14:paraId="213BD3EE"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97.7 ± 33.8</w:t>
            </w:r>
          </w:p>
        </w:tc>
        <w:tc>
          <w:tcPr>
            <w:tcW w:w="502" w:type="pct"/>
          </w:tcPr>
          <w:p w14:paraId="0F3E1247"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N/A</w:t>
            </w:r>
          </w:p>
        </w:tc>
        <w:tc>
          <w:tcPr>
            <w:tcW w:w="502" w:type="pct"/>
          </w:tcPr>
          <w:p w14:paraId="5B4FE5D7" w14:textId="77777777" w:rsidR="00BB4E21" w:rsidRDefault="00BB4E21" w:rsidP="000566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93.4 ± 40.2</w:t>
            </w:r>
          </w:p>
        </w:tc>
      </w:tr>
      <w:tr w:rsidR="00BB4E21" w14:paraId="6FB1806A" w14:textId="77777777" w:rsidTr="00BB4E21">
        <w:trPr>
          <w:trHeight w:val="288"/>
        </w:trPr>
        <w:tc>
          <w:tcPr>
            <w:cnfStyle w:val="001000000000" w:firstRow="0" w:lastRow="0" w:firstColumn="1" w:lastColumn="0" w:oddVBand="0" w:evenVBand="0" w:oddHBand="0" w:evenHBand="0" w:firstRowFirstColumn="0" w:firstRowLastColumn="0" w:lastRowFirstColumn="0" w:lastRowLastColumn="0"/>
            <w:tcW w:w="987" w:type="pct"/>
          </w:tcPr>
          <w:p w14:paraId="331E9862" w14:textId="77777777" w:rsidR="00BB4E21" w:rsidRDefault="00BB4E21" w:rsidP="00056603">
            <w:pPr>
              <w:ind w:left="252"/>
              <w:rPr>
                <w:rFonts w:ascii="Times New Roman" w:hAnsi="Times New Roman" w:cs="Times New Roman"/>
              </w:rPr>
            </w:pPr>
            <w:r>
              <w:rPr>
                <w:rFonts w:ascii="Times New Roman" w:hAnsi="Times New Roman" w:cs="Times New Roman"/>
              </w:rPr>
              <w:t>Total aortic cross clamp time, min</w:t>
            </w:r>
          </w:p>
        </w:tc>
        <w:tc>
          <w:tcPr>
            <w:tcW w:w="502" w:type="pct"/>
          </w:tcPr>
          <w:p w14:paraId="37C8A651"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N/A</w:t>
            </w:r>
          </w:p>
        </w:tc>
        <w:tc>
          <w:tcPr>
            <w:tcW w:w="502" w:type="pct"/>
          </w:tcPr>
          <w:p w14:paraId="27A14C8A"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tcW w:w="502" w:type="pct"/>
          </w:tcPr>
          <w:p w14:paraId="72021F2C"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N/A</w:t>
            </w:r>
          </w:p>
        </w:tc>
        <w:tc>
          <w:tcPr>
            <w:tcW w:w="502" w:type="pct"/>
          </w:tcPr>
          <w:p w14:paraId="5672E168"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tcW w:w="502" w:type="pct"/>
          </w:tcPr>
          <w:p w14:paraId="103E2787"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N/A</w:t>
            </w:r>
          </w:p>
        </w:tc>
        <w:tc>
          <w:tcPr>
            <w:tcW w:w="502" w:type="pct"/>
          </w:tcPr>
          <w:p w14:paraId="3B7F2A3A"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74.3 ± 27.8</w:t>
            </w:r>
          </w:p>
        </w:tc>
        <w:tc>
          <w:tcPr>
            <w:tcW w:w="502" w:type="pct"/>
          </w:tcPr>
          <w:p w14:paraId="1883D827"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N/A</w:t>
            </w:r>
          </w:p>
        </w:tc>
        <w:tc>
          <w:tcPr>
            <w:tcW w:w="502" w:type="pct"/>
          </w:tcPr>
          <w:p w14:paraId="150804EC" w14:textId="77777777" w:rsidR="00BB4E21" w:rsidRDefault="00BB4E21" w:rsidP="000566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68.7 ± 29.0</w:t>
            </w:r>
          </w:p>
        </w:tc>
      </w:tr>
    </w:tbl>
    <w:p w14:paraId="07984292" w14:textId="77777777" w:rsidR="00BB4E21" w:rsidRDefault="00BB4E21" w:rsidP="00BB4E21">
      <w:pPr>
        <w:spacing w:after="0" w:line="480" w:lineRule="auto"/>
        <w:rPr>
          <w:rFonts w:ascii="Times New Roman" w:hAnsi="Times New Roman" w:cs="Times New Roman"/>
        </w:rPr>
      </w:pPr>
    </w:p>
    <w:p w14:paraId="773E896B" w14:textId="77777777" w:rsidR="00BB4E21" w:rsidRDefault="00BB4E21" w:rsidP="00BB4E21">
      <w:pPr>
        <w:spacing w:after="0" w:line="480" w:lineRule="auto"/>
        <w:ind w:left="-810" w:right="-810"/>
        <w:jc w:val="both"/>
        <w:rPr>
          <w:rFonts w:ascii="Times New Roman" w:hAnsi="Times New Roman" w:cs="Times New Roman"/>
          <w:i/>
          <w:iCs/>
        </w:rPr>
      </w:pPr>
      <w:r>
        <w:rPr>
          <w:rFonts w:ascii="Times New Roman" w:hAnsi="Times New Roman" w:cs="Times New Roman"/>
          <w:i/>
          <w:iCs/>
        </w:rPr>
        <w:t>*prior stroke</w:t>
      </w:r>
    </w:p>
    <w:p w14:paraId="352AB86C" w14:textId="77777777" w:rsidR="00BB4E21" w:rsidRDefault="00BB4E21" w:rsidP="00BB4E21">
      <w:pPr>
        <w:spacing w:after="0" w:line="480" w:lineRule="auto"/>
        <w:ind w:left="-810" w:right="-810"/>
        <w:jc w:val="both"/>
        <w:rPr>
          <w:rFonts w:ascii="Times New Roman" w:hAnsi="Times New Roman" w:cs="Times New Roman"/>
          <w:i/>
          <w:iCs/>
        </w:rPr>
      </w:pPr>
      <w:r>
        <w:rPr>
          <w:rFonts w:ascii="Times New Roman" w:hAnsi="Times New Roman" w:cs="Times New Roman"/>
          <w:i/>
          <w:iCs/>
        </w:rPr>
        <w:t>— indicates data not available</w:t>
      </w:r>
    </w:p>
    <w:p w14:paraId="42F1C619" w14:textId="77777777" w:rsidR="00BB4E21" w:rsidRDefault="00BB4E21" w:rsidP="00BB4E21">
      <w:pPr>
        <w:spacing w:after="0" w:line="480" w:lineRule="auto"/>
        <w:ind w:left="-810" w:right="-810"/>
        <w:jc w:val="both"/>
        <w:rPr>
          <w:rFonts w:ascii="Times New Roman" w:hAnsi="Times New Roman" w:cs="Times New Roman"/>
          <w:i/>
          <w:iCs/>
        </w:rPr>
      </w:pPr>
      <w:r>
        <w:rPr>
          <w:rFonts w:ascii="Times New Roman" w:hAnsi="Times New Roman" w:cs="Times New Roman"/>
          <w:i/>
          <w:iCs/>
        </w:rPr>
        <w:t xml:space="preserve">Baseline characteristics were well-balanced in all studies, except a higher percentage of patients with prior TIA in TAVR vs. SAVR in SURTAVI (STS &lt;3%) (p=0.029), and a higher percentage of patients with NYHA class III or IV in TAVR vs. SAVR in PARTNER 3. </w:t>
      </w:r>
    </w:p>
    <w:p w14:paraId="50499621" w14:textId="77777777" w:rsidR="00BB4E21" w:rsidRDefault="00BB4E21" w:rsidP="00BB4E21">
      <w:pPr>
        <w:spacing w:after="0" w:line="480" w:lineRule="auto"/>
        <w:ind w:left="-810" w:right="-810"/>
        <w:jc w:val="both"/>
        <w:rPr>
          <w:rFonts w:ascii="Times New Roman" w:hAnsi="Times New Roman" w:cs="Times New Roman"/>
          <w:b/>
        </w:rPr>
      </w:pPr>
      <w:r>
        <w:rPr>
          <w:rFonts w:ascii="Times New Roman" w:hAnsi="Times New Roman" w:cs="Times New Roman"/>
          <w:i/>
          <w:iCs/>
        </w:rPr>
        <w:t>STS PROM = Society of Thoracic Surgeons Predicted Risk of Mortality; NYHA = New York Heart Association; TIA = transient ischemic attack; CAD = coronary artery disease; PCI = percutaneous coronary intervention; CABG = coronary artery bypass grafting; MI = myocardial infarction; PPM/ICD = permanent pacemaker/implantable cardioverter-defibrillator; AVA = aortic valve area; LVEF = left ventricular ejection fraction; BAV = balloon aortic valvuloplasty; N/A = not applicable.</w:t>
      </w:r>
    </w:p>
    <w:p w14:paraId="6990E10A" w14:textId="77777777" w:rsidR="00BB4E21" w:rsidRDefault="00BB4E21" w:rsidP="00BB4E21">
      <w:pPr>
        <w:rPr>
          <w:rFonts w:ascii="Times New Roman" w:hAnsi="Times New Roman" w:cs="Times New Roman"/>
          <w:i/>
          <w:iCs/>
        </w:rPr>
        <w:sectPr w:rsidR="00BB4E21" w:rsidSect="00BB4E21">
          <w:pgSz w:w="15840" w:h="12240" w:orient="landscape"/>
          <w:pgMar w:top="1440" w:right="1440" w:bottom="1440" w:left="1440" w:header="720" w:footer="720" w:gutter="0"/>
          <w:pgNumType w:start="1"/>
          <w:cols w:space="720"/>
          <w:docGrid w:linePitch="360"/>
        </w:sectPr>
      </w:pPr>
    </w:p>
    <w:p w14:paraId="1C36F062" w14:textId="77777777" w:rsidR="00BB4E21" w:rsidRDefault="00BB4E21" w:rsidP="00BB4E21">
      <w:pPr>
        <w:spacing w:line="480" w:lineRule="auto"/>
        <w:rPr>
          <w:rFonts w:ascii="Times New Roman" w:hAnsi="Times New Roman" w:cs="Times New Roman"/>
          <w:b/>
        </w:rPr>
      </w:pPr>
      <w:r>
        <w:rPr>
          <w:rFonts w:ascii="Times New Roman" w:eastAsia="Calibri" w:hAnsi="Times New Roman" w:cs="Times New Roman"/>
          <w:b/>
          <w:bCs/>
        </w:rPr>
        <w:lastRenderedPageBreak/>
        <w:t xml:space="preserve">Table 5: </w:t>
      </w:r>
      <w:r>
        <w:rPr>
          <w:rFonts w:ascii="Times New Roman" w:eastAsia="Calibri" w:hAnsi="Times New Roman" w:cs="Times New Roman"/>
        </w:rPr>
        <w:t>Sensitivity Analysis Using Fixed-Effect Models</w:t>
      </w:r>
    </w:p>
    <w:tbl>
      <w:tblPr>
        <w:tblW w:w="9450" w:type="dxa"/>
        <w:tblLook w:val="04A0" w:firstRow="1" w:lastRow="0" w:firstColumn="1" w:lastColumn="0" w:noHBand="0" w:noVBand="1"/>
      </w:tblPr>
      <w:tblGrid>
        <w:gridCol w:w="3978"/>
        <w:gridCol w:w="2592"/>
        <w:gridCol w:w="1440"/>
        <w:gridCol w:w="1440"/>
      </w:tblGrid>
      <w:tr w:rsidR="00BB4E21" w14:paraId="7BF79190" w14:textId="77777777" w:rsidTr="00056603">
        <w:trPr>
          <w:trHeight w:val="360"/>
        </w:trPr>
        <w:tc>
          <w:tcPr>
            <w:tcW w:w="3978"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2B09E19" w14:textId="77777777" w:rsidR="00BB4E21" w:rsidRDefault="00BB4E21" w:rsidP="00056603">
            <w:pPr>
              <w:ind w:right="-108"/>
              <w:rPr>
                <w:rFonts w:ascii="Times New Roman" w:hAnsi="Times New Roman" w:cs="Times New Roman"/>
                <w:b/>
              </w:rPr>
            </w:pPr>
            <w:r>
              <w:rPr>
                <w:rFonts w:ascii="Times New Roman" w:eastAsia="Calibri" w:hAnsi="Times New Roman" w:cs="Times New Roman"/>
              </w:rPr>
              <w:t>Outcome</w:t>
            </w:r>
          </w:p>
        </w:tc>
        <w:tc>
          <w:tcPr>
            <w:tcW w:w="259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4CADC4ED" w14:textId="77777777" w:rsidR="00BB4E21" w:rsidRDefault="00BB4E21" w:rsidP="00056603">
            <w:pPr>
              <w:ind w:right="-144"/>
              <w:jc w:val="center"/>
              <w:rPr>
                <w:rFonts w:ascii="Times New Roman" w:hAnsi="Times New Roman" w:cs="Times New Roman"/>
                <w:b/>
              </w:rPr>
            </w:pPr>
            <w:r>
              <w:rPr>
                <w:rFonts w:ascii="Times New Roman" w:eastAsia="Calibri" w:hAnsi="Times New Roman" w:cs="Times New Roman"/>
              </w:rPr>
              <w:t>RR (95% CI)</w:t>
            </w:r>
          </w:p>
        </w:tc>
        <w:tc>
          <w:tcPr>
            <w:tcW w:w="144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41689982" w14:textId="77777777" w:rsidR="00BB4E21" w:rsidRDefault="00BB4E21" w:rsidP="00056603">
            <w:pPr>
              <w:ind w:right="-90"/>
              <w:jc w:val="center"/>
              <w:rPr>
                <w:rFonts w:ascii="Times New Roman" w:hAnsi="Times New Roman" w:cs="Times New Roman"/>
                <w:b/>
              </w:rPr>
            </w:pPr>
            <w:r>
              <w:rPr>
                <w:rFonts w:ascii="Times New Roman" w:eastAsia="Calibri" w:hAnsi="Times New Roman" w:cs="Times New Roman"/>
              </w:rPr>
              <w:t>P Value</w:t>
            </w:r>
          </w:p>
        </w:tc>
        <w:tc>
          <w:tcPr>
            <w:tcW w:w="144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4D5DFCC" w14:textId="77777777" w:rsidR="00BB4E21" w:rsidRDefault="00BB4E21" w:rsidP="00056603">
            <w:pPr>
              <w:ind w:right="-126"/>
              <w:jc w:val="center"/>
              <w:rPr>
                <w:rFonts w:ascii="Times New Roman" w:hAnsi="Times New Roman" w:cs="Times New Roman"/>
                <w:b/>
              </w:rPr>
            </w:pPr>
            <w:r>
              <w:rPr>
                <w:rFonts w:ascii="Times New Roman" w:eastAsia="Calibri" w:hAnsi="Times New Roman" w:cs="Times New Roman"/>
              </w:rPr>
              <w:t>I</w:t>
            </w:r>
            <w:r>
              <w:rPr>
                <w:rFonts w:ascii="Times New Roman" w:eastAsia="Calibri" w:hAnsi="Times New Roman" w:cs="Times New Roman"/>
                <w:vertAlign w:val="superscript"/>
              </w:rPr>
              <w:t>2</w:t>
            </w:r>
          </w:p>
        </w:tc>
      </w:tr>
      <w:tr w:rsidR="00BB4E21" w14:paraId="1B9EDEBF" w14:textId="77777777" w:rsidTr="00056603">
        <w:trPr>
          <w:trHeight w:val="360"/>
        </w:trPr>
        <w:tc>
          <w:tcPr>
            <w:tcW w:w="3978"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63983633" w14:textId="77777777" w:rsidR="00BB4E21" w:rsidRDefault="00BB4E21" w:rsidP="00056603">
            <w:pPr>
              <w:ind w:right="-108"/>
              <w:rPr>
                <w:rFonts w:ascii="Times New Roman" w:hAnsi="Times New Roman" w:cs="Times New Roman"/>
                <w:b/>
              </w:rPr>
            </w:pPr>
            <w:r>
              <w:rPr>
                <w:rFonts w:ascii="Times New Roman" w:eastAsia="Calibri" w:hAnsi="Times New Roman" w:cs="Times New Roman"/>
              </w:rPr>
              <w:t>All-Cause Death</w:t>
            </w:r>
          </w:p>
        </w:tc>
        <w:tc>
          <w:tcPr>
            <w:tcW w:w="2592"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61642A27" w14:textId="77777777" w:rsidR="00BB4E21" w:rsidRDefault="00BB4E21" w:rsidP="00056603">
            <w:pPr>
              <w:ind w:right="-144"/>
              <w:jc w:val="center"/>
              <w:rPr>
                <w:rFonts w:ascii="Times New Roman" w:hAnsi="Times New Roman" w:cs="Times New Roman"/>
                <w:b/>
              </w:rPr>
            </w:pPr>
            <w:r>
              <w:rPr>
                <w:rFonts w:ascii="Times New Roman" w:eastAsia="Calibri" w:hAnsi="Times New Roman" w:cs="Times New Roman"/>
              </w:rPr>
              <w:t>0.60 (0.39-0.94)</w:t>
            </w:r>
          </w:p>
        </w:tc>
        <w:tc>
          <w:tcPr>
            <w:tcW w:w="1440"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5AB1FC06" w14:textId="77777777" w:rsidR="00BB4E21" w:rsidRDefault="00BB4E21" w:rsidP="00056603">
            <w:pPr>
              <w:ind w:right="-90"/>
              <w:jc w:val="center"/>
              <w:rPr>
                <w:rFonts w:ascii="Times New Roman" w:hAnsi="Times New Roman" w:cs="Times New Roman"/>
                <w:b/>
              </w:rPr>
            </w:pPr>
            <w:r>
              <w:rPr>
                <w:rFonts w:ascii="Times New Roman" w:eastAsia="Calibri" w:hAnsi="Times New Roman" w:cs="Times New Roman"/>
              </w:rPr>
              <w:t>0.02</w:t>
            </w:r>
          </w:p>
        </w:tc>
        <w:tc>
          <w:tcPr>
            <w:tcW w:w="1440"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791E548F" w14:textId="77777777" w:rsidR="00BB4E21" w:rsidRDefault="00BB4E21" w:rsidP="00056603">
            <w:pPr>
              <w:ind w:right="-126"/>
              <w:jc w:val="center"/>
              <w:rPr>
                <w:rFonts w:ascii="Times New Roman" w:hAnsi="Times New Roman" w:cs="Times New Roman"/>
                <w:b/>
              </w:rPr>
            </w:pPr>
            <w:r>
              <w:rPr>
                <w:rFonts w:ascii="Times New Roman" w:eastAsia="Calibri" w:hAnsi="Times New Roman" w:cs="Times New Roman"/>
              </w:rPr>
              <w:t>0%</w:t>
            </w:r>
          </w:p>
        </w:tc>
      </w:tr>
      <w:tr w:rsidR="00BB4E21" w14:paraId="67631657" w14:textId="77777777" w:rsidTr="00056603">
        <w:trPr>
          <w:trHeight w:val="360"/>
        </w:trPr>
        <w:tc>
          <w:tcPr>
            <w:tcW w:w="3978"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8D41556" w14:textId="77777777" w:rsidR="00BB4E21" w:rsidRDefault="00BB4E21" w:rsidP="00056603">
            <w:pPr>
              <w:ind w:right="-108"/>
              <w:rPr>
                <w:rFonts w:ascii="Times New Roman" w:hAnsi="Times New Roman" w:cs="Times New Roman"/>
                <w:b/>
              </w:rPr>
            </w:pPr>
            <w:r>
              <w:rPr>
                <w:rFonts w:ascii="Times New Roman" w:eastAsia="Calibri" w:hAnsi="Times New Roman" w:cs="Times New Roman"/>
              </w:rPr>
              <w:t>Cardiovascular Death</w:t>
            </w:r>
          </w:p>
        </w:tc>
        <w:tc>
          <w:tcPr>
            <w:tcW w:w="259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B4356D0" w14:textId="77777777" w:rsidR="00BB4E21" w:rsidRDefault="00BB4E21" w:rsidP="00056603">
            <w:pPr>
              <w:ind w:right="-144"/>
              <w:jc w:val="center"/>
              <w:rPr>
                <w:rFonts w:ascii="Times New Roman" w:hAnsi="Times New Roman" w:cs="Times New Roman"/>
                <w:b/>
              </w:rPr>
            </w:pPr>
            <w:r>
              <w:rPr>
                <w:rFonts w:ascii="Times New Roman" w:eastAsia="Calibri" w:hAnsi="Times New Roman" w:cs="Times New Roman"/>
              </w:rPr>
              <w:t>0.54 (0.33-0.90)</w:t>
            </w:r>
          </w:p>
        </w:tc>
        <w:tc>
          <w:tcPr>
            <w:tcW w:w="144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216649D9" w14:textId="77777777" w:rsidR="00BB4E21" w:rsidRDefault="00BB4E21" w:rsidP="00056603">
            <w:pPr>
              <w:ind w:right="-90"/>
              <w:jc w:val="center"/>
              <w:rPr>
                <w:rFonts w:ascii="Times New Roman" w:hAnsi="Times New Roman" w:cs="Times New Roman"/>
                <w:b/>
              </w:rPr>
            </w:pPr>
            <w:r>
              <w:rPr>
                <w:rFonts w:ascii="Times New Roman" w:eastAsia="Calibri" w:hAnsi="Times New Roman" w:cs="Times New Roman"/>
              </w:rPr>
              <w:t>0.02</w:t>
            </w:r>
          </w:p>
        </w:tc>
        <w:tc>
          <w:tcPr>
            <w:tcW w:w="144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C2BCCF7" w14:textId="77777777" w:rsidR="00BB4E21" w:rsidRDefault="00BB4E21" w:rsidP="00056603">
            <w:pPr>
              <w:ind w:right="-126"/>
              <w:jc w:val="center"/>
              <w:rPr>
                <w:rFonts w:ascii="Times New Roman" w:hAnsi="Times New Roman" w:cs="Times New Roman"/>
                <w:b/>
              </w:rPr>
            </w:pPr>
            <w:r>
              <w:rPr>
                <w:rFonts w:ascii="Times New Roman" w:eastAsia="Calibri" w:hAnsi="Times New Roman" w:cs="Times New Roman"/>
              </w:rPr>
              <w:t>0%</w:t>
            </w:r>
          </w:p>
        </w:tc>
      </w:tr>
      <w:tr w:rsidR="00BB4E21" w14:paraId="16856C9D" w14:textId="77777777" w:rsidTr="00056603">
        <w:trPr>
          <w:trHeight w:val="360"/>
        </w:trPr>
        <w:tc>
          <w:tcPr>
            <w:tcW w:w="3978"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5F5CF620" w14:textId="77777777" w:rsidR="00BB4E21" w:rsidRDefault="00BB4E21" w:rsidP="00056603">
            <w:pPr>
              <w:ind w:right="-108"/>
              <w:rPr>
                <w:rFonts w:ascii="Times New Roman" w:hAnsi="Times New Roman" w:cs="Times New Roman"/>
                <w:b/>
              </w:rPr>
            </w:pPr>
            <w:r>
              <w:rPr>
                <w:rFonts w:ascii="Times New Roman" w:eastAsia="Calibri" w:hAnsi="Times New Roman" w:cs="Times New Roman"/>
              </w:rPr>
              <w:t>Stroke</w:t>
            </w:r>
          </w:p>
        </w:tc>
        <w:tc>
          <w:tcPr>
            <w:tcW w:w="2592"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0C5B0065" w14:textId="77777777" w:rsidR="00BB4E21" w:rsidRDefault="00BB4E21" w:rsidP="00056603">
            <w:pPr>
              <w:ind w:right="-144"/>
              <w:jc w:val="center"/>
              <w:rPr>
                <w:rFonts w:ascii="Times New Roman" w:hAnsi="Times New Roman" w:cs="Times New Roman"/>
                <w:b/>
              </w:rPr>
            </w:pPr>
            <w:r>
              <w:rPr>
                <w:rFonts w:ascii="Times New Roman" w:eastAsia="Calibri" w:hAnsi="Times New Roman" w:cs="Times New Roman"/>
              </w:rPr>
              <w:t>0.71 (0.49-1.04)</w:t>
            </w:r>
          </w:p>
        </w:tc>
        <w:tc>
          <w:tcPr>
            <w:tcW w:w="1440"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1A2AE335" w14:textId="77777777" w:rsidR="00BB4E21" w:rsidRDefault="00BB4E21" w:rsidP="00056603">
            <w:pPr>
              <w:ind w:right="-90"/>
              <w:jc w:val="center"/>
              <w:rPr>
                <w:rFonts w:ascii="Times New Roman" w:hAnsi="Times New Roman" w:cs="Times New Roman"/>
                <w:b/>
              </w:rPr>
            </w:pPr>
            <w:r>
              <w:rPr>
                <w:rFonts w:ascii="Times New Roman" w:eastAsia="Calibri" w:hAnsi="Times New Roman" w:cs="Times New Roman"/>
              </w:rPr>
              <w:t>0.08</w:t>
            </w:r>
          </w:p>
        </w:tc>
        <w:tc>
          <w:tcPr>
            <w:tcW w:w="1440"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7A5B2AC9" w14:textId="77777777" w:rsidR="00BB4E21" w:rsidRDefault="00BB4E21" w:rsidP="00056603">
            <w:pPr>
              <w:ind w:right="-126"/>
              <w:jc w:val="center"/>
              <w:rPr>
                <w:rFonts w:ascii="Times New Roman" w:hAnsi="Times New Roman" w:cs="Times New Roman"/>
                <w:b/>
              </w:rPr>
            </w:pPr>
            <w:r>
              <w:rPr>
                <w:rFonts w:ascii="Times New Roman" w:eastAsia="Calibri" w:hAnsi="Times New Roman" w:cs="Times New Roman"/>
              </w:rPr>
              <w:t>17%</w:t>
            </w:r>
          </w:p>
        </w:tc>
      </w:tr>
      <w:tr w:rsidR="00BB4E21" w14:paraId="3B5363EC" w14:textId="77777777" w:rsidTr="00056603">
        <w:trPr>
          <w:trHeight w:val="360"/>
        </w:trPr>
        <w:tc>
          <w:tcPr>
            <w:tcW w:w="3978"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7A485CD" w14:textId="77777777" w:rsidR="00BB4E21" w:rsidRDefault="00BB4E21" w:rsidP="00056603">
            <w:pPr>
              <w:ind w:right="-108"/>
              <w:rPr>
                <w:rFonts w:ascii="Times New Roman" w:hAnsi="Times New Roman" w:cs="Times New Roman"/>
                <w:b/>
              </w:rPr>
            </w:pPr>
            <w:r>
              <w:rPr>
                <w:rFonts w:ascii="Times New Roman" w:eastAsia="Calibri" w:hAnsi="Times New Roman" w:cs="Times New Roman"/>
              </w:rPr>
              <w:t>Myocardial Infarction</w:t>
            </w:r>
          </w:p>
        </w:tc>
        <w:tc>
          <w:tcPr>
            <w:tcW w:w="259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DADB6E2" w14:textId="77777777" w:rsidR="00BB4E21" w:rsidRDefault="00BB4E21" w:rsidP="00056603">
            <w:pPr>
              <w:ind w:right="-144"/>
              <w:jc w:val="center"/>
              <w:rPr>
                <w:rFonts w:ascii="Times New Roman" w:hAnsi="Times New Roman" w:cs="Times New Roman"/>
                <w:b/>
              </w:rPr>
            </w:pPr>
            <w:r>
              <w:rPr>
                <w:rFonts w:ascii="Times New Roman" w:eastAsia="Calibri" w:hAnsi="Times New Roman" w:cs="Times New Roman"/>
              </w:rPr>
              <w:t>0.78 (0.46-1.34)</w:t>
            </w:r>
          </w:p>
        </w:tc>
        <w:tc>
          <w:tcPr>
            <w:tcW w:w="144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2C4DB26D" w14:textId="77777777" w:rsidR="00BB4E21" w:rsidRDefault="00BB4E21" w:rsidP="00056603">
            <w:pPr>
              <w:ind w:right="-90"/>
              <w:jc w:val="center"/>
              <w:rPr>
                <w:rFonts w:ascii="Times New Roman" w:hAnsi="Times New Roman" w:cs="Times New Roman"/>
                <w:b/>
              </w:rPr>
            </w:pPr>
            <w:r>
              <w:rPr>
                <w:rFonts w:ascii="Times New Roman" w:eastAsia="Calibri" w:hAnsi="Times New Roman" w:cs="Times New Roman"/>
              </w:rPr>
              <w:t>0.37</w:t>
            </w:r>
          </w:p>
        </w:tc>
        <w:tc>
          <w:tcPr>
            <w:tcW w:w="144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BC2CD86" w14:textId="77777777" w:rsidR="00BB4E21" w:rsidRDefault="00BB4E21" w:rsidP="00056603">
            <w:pPr>
              <w:ind w:right="-126"/>
              <w:jc w:val="center"/>
              <w:rPr>
                <w:rFonts w:ascii="Times New Roman" w:hAnsi="Times New Roman" w:cs="Times New Roman"/>
                <w:b/>
              </w:rPr>
            </w:pPr>
            <w:r>
              <w:rPr>
                <w:rFonts w:ascii="Times New Roman" w:eastAsia="Calibri" w:hAnsi="Times New Roman" w:cs="Times New Roman"/>
              </w:rPr>
              <w:t>0%</w:t>
            </w:r>
          </w:p>
        </w:tc>
      </w:tr>
      <w:tr w:rsidR="00BB4E21" w14:paraId="17D1EBA1" w14:textId="77777777" w:rsidTr="00056603">
        <w:trPr>
          <w:trHeight w:val="360"/>
        </w:trPr>
        <w:tc>
          <w:tcPr>
            <w:tcW w:w="3978"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092D3133" w14:textId="77777777" w:rsidR="00BB4E21" w:rsidRDefault="00BB4E21" w:rsidP="00056603">
            <w:pPr>
              <w:ind w:right="-108"/>
              <w:rPr>
                <w:rFonts w:ascii="Times New Roman" w:hAnsi="Times New Roman" w:cs="Times New Roman"/>
                <w:b/>
              </w:rPr>
            </w:pPr>
            <w:r>
              <w:rPr>
                <w:rFonts w:ascii="Times New Roman" w:eastAsia="Calibri" w:hAnsi="Times New Roman" w:cs="Times New Roman"/>
              </w:rPr>
              <w:t>Rehospitalization</w:t>
            </w:r>
          </w:p>
        </w:tc>
        <w:tc>
          <w:tcPr>
            <w:tcW w:w="2592"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25C52A8D" w14:textId="77777777" w:rsidR="00BB4E21" w:rsidRDefault="00BB4E21" w:rsidP="00056603">
            <w:pPr>
              <w:ind w:right="-144"/>
              <w:jc w:val="center"/>
              <w:rPr>
                <w:rFonts w:ascii="Times New Roman" w:hAnsi="Times New Roman" w:cs="Times New Roman"/>
                <w:b/>
              </w:rPr>
            </w:pPr>
            <w:r>
              <w:rPr>
                <w:rFonts w:ascii="Times New Roman" w:eastAsia="Calibri" w:hAnsi="Times New Roman" w:cs="Times New Roman"/>
              </w:rPr>
              <w:t>0.72 (0.42-1.23)</w:t>
            </w:r>
          </w:p>
        </w:tc>
        <w:tc>
          <w:tcPr>
            <w:tcW w:w="1440"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17FE1F78" w14:textId="77777777" w:rsidR="00BB4E21" w:rsidRDefault="00BB4E21" w:rsidP="00056603">
            <w:pPr>
              <w:ind w:right="-90"/>
              <w:jc w:val="center"/>
              <w:rPr>
                <w:rFonts w:ascii="Times New Roman" w:hAnsi="Times New Roman" w:cs="Times New Roman"/>
                <w:b/>
              </w:rPr>
            </w:pPr>
            <w:r>
              <w:rPr>
                <w:rFonts w:ascii="Times New Roman" w:eastAsia="Calibri" w:hAnsi="Times New Roman" w:cs="Times New Roman"/>
              </w:rPr>
              <w:t>0.23</w:t>
            </w:r>
          </w:p>
        </w:tc>
        <w:tc>
          <w:tcPr>
            <w:tcW w:w="1440"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0B09F392" w14:textId="77777777" w:rsidR="00BB4E21" w:rsidRDefault="00BB4E21" w:rsidP="00056603">
            <w:pPr>
              <w:ind w:right="-126"/>
              <w:jc w:val="center"/>
              <w:rPr>
                <w:rFonts w:ascii="Times New Roman" w:hAnsi="Times New Roman" w:cs="Times New Roman"/>
                <w:b/>
              </w:rPr>
            </w:pPr>
            <w:r>
              <w:rPr>
                <w:rFonts w:ascii="Times New Roman" w:eastAsia="Calibri" w:hAnsi="Times New Roman" w:cs="Times New Roman"/>
              </w:rPr>
              <w:t>62%</w:t>
            </w:r>
          </w:p>
        </w:tc>
      </w:tr>
      <w:tr w:rsidR="00BB4E21" w14:paraId="0D762EF7" w14:textId="77777777" w:rsidTr="00056603">
        <w:trPr>
          <w:trHeight w:val="360"/>
        </w:trPr>
        <w:tc>
          <w:tcPr>
            <w:tcW w:w="3978"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B492CD1" w14:textId="77777777" w:rsidR="00BB4E21" w:rsidRDefault="00BB4E21" w:rsidP="00056603">
            <w:pPr>
              <w:ind w:right="-108"/>
              <w:rPr>
                <w:rFonts w:ascii="Times New Roman" w:hAnsi="Times New Roman" w:cs="Times New Roman"/>
                <w:b/>
              </w:rPr>
            </w:pPr>
            <w:r>
              <w:rPr>
                <w:rFonts w:ascii="Times New Roman" w:eastAsia="Calibri" w:hAnsi="Times New Roman" w:cs="Times New Roman"/>
              </w:rPr>
              <w:t>New/Worsening Atrial Fibrillation</w:t>
            </w:r>
          </w:p>
        </w:tc>
        <w:tc>
          <w:tcPr>
            <w:tcW w:w="259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71494A01" w14:textId="77777777" w:rsidR="00BB4E21" w:rsidRDefault="00BB4E21" w:rsidP="00056603">
            <w:pPr>
              <w:ind w:right="-144"/>
              <w:jc w:val="center"/>
              <w:rPr>
                <w:rFonts w:ascii="Times New Roman" w:hAnsi="Times New Roman" w:cs="Times New Roman"/>
                <w:b/>
              </w:rPr>
            </w:pPr>
            <w:r>
              <w:rPr>
                <w:rFonts w:ascii="Times New Roman" w:eastAsia="Calibri" w:hAnsi="Times New Roman" w:cs="Times New Roman"/>
              </w:rPr>
              <w:t>0.26 (0.22-0.30)</w:t>
            </w:r>
          </w:p>
        </w:tc>
        <w:tc>
          <w:tcPr>
            <w:tcW w:w="144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23A900C6" w14:textId="77777777" w:rsidR="00BB4E21" w:rsidRDefault="00BB4E21" w:rsidP="00056603">
            <w:pPr>
              <w:ind w:right="-90"/>
              <w:jc w:val="center"/>
              <w:rPr>
                <w:rFonts w:ascii="Times New Roman" w:hAnsi="Times New Roman" w:cs="Times New Roman"/>
                <w:b/>
              </w:rPr>
            </w:pPr>
            <w:r>
              <w:rPr>
                <w:rFonts w:ascii="Times New Roman" w:eastAsia="Calibri" w:hAnsi="Times New Roman" w:cs="Times New Roman"/>
              </w:rPr>
              <w:t>&lt;0.001</w:t>
            </w:r>
          </w:p>
        </w:tc>
        <w:tc>
          <w:tcPr>
            <w:tcW w:w="144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258F81E0" w14:textId="77777777" w:rsidR="00BB4E21" w:rsidRDefault="00BB4E21" w:rsidP="00056603">
            <w:pPr>
              <w:ind w:right="-126"/>
              <w:jc w:val="center"/>
              <w:rPr>
                <w:rFonts w:ascii="Times New Roman" w:hAnsi="Times New Roman" w:cs="Times New Roman"/>
                <w:b/>
              </w:rPr>
            </w:pPr>
            <w:r>
              <w:rPr>
                <w:rFonts w:ascii="Times New Roman" w:eastAsia="Calibri" w:hAnsi="Times New Roman" w:cs="Times New Roman"/>
              </w:rPr>
              <w:t>63%</w:t>
            </w:r>
          </w:p>
        </w:tc>
      </w:tr>
      <w:tr w:rsidR="00BB4E21" w14:paraId="6EA92073" w14:textId="77777777" w:rsidTr="00056603">
        <w:trPr>
          <w:trHeight w:val="360"/>
        </w:trPr>
        <w:tc>
          <w:tcPr>
            <w:tcW w:w="3978"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09F4833D" w14:textId="77777777" w:rsidR="00BB4E21" w:rsidRDefault="00BB4E21" w:rsidP="00056603">
            <w:pPr>
              <w:ind w:right="-108"/>
              <w:rPr>
                <w:rFonts w:ascii="Times New Roman" w:hAnsi="Times New Roman" w:cs="Times New Roman"/>
                <w:b/>
              </w:rPr>
            </w:pPr>
            <w:r>
              <w:rPr>
                <w:rFonts w:ascii="Times New Roman" w:eastAsia="Calibri" w:hAnsi="Times New Roman" w:cs="Times New Roman"/>
              </w:rPr>
              <w:t>Life-Threatening/Disabling Bleeding</w:t>
            </w:r>
          </w:p>
        </w:tc>
        <w:tc>
          <w:tcPr>
            <w:tcW w:w="2592"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045B75E8" w14:textId="77777777" w:rsidR="00BB4E21" w:rsidRDefault="00BB4E21" w:rsidP="00056603">
            <w:pPr>
              <w:ind w:right="-144"/>
              <w:jc w:val="center"/>
              <w:rPr>
                <w:rFonts w:ascii="Times New Roman" w:hAnsi="Times New Roman" w:cs="Times New Roman"/>
                <w:b/>
              </w:rPr>
            </w:pPr>
            <w:r>
              <w:rPr>
                <w:rFonts w:ascii="Times New Roman" w:eastAsia="Calibri" w:hAnsi="Times New Roman" w:cs="Times New Roman"/>
              </w:rPr>
              <w:t>0.35 (0.26-0.46)</w:t>
            </w:r>
          </w:p>
        </w:tc>
        <w:tc>
          <w:tcPr>
            <w:tcW w:w="1440"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43C70858" w14:textId="77777777" w:rsidR="00BB4E21" w:rsidRDefault="00BB4E21" w:rsidP="00056603">
            <w:pPr>
              <w:ind w:right="-90"/>
              <w:jc w:val="center"/>
              <w:rPr>
                <w:rFonts w:ascii="Times New Roman" w:hAnsi="Times New Roman" w:cs="Times New Roman"/>
                <w:b/>
              </w:rPr>
            </w:pPr>
            <w:r>
              <w:rPr>
                <w:rFonts w:ascii="Times New Roman" w:eastAsia="Calibri" w:hAnsi="Times New Roman" w:cs="Times New Roman"/>
              </w:rPr>
              <w:t>&lt;0.001</w:t>
            </w:r>
          </w:p>
        </w:tc>
        <w:tc>
          <w:tcPr>
            <w:tcW w:w="1440"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4597E140" w14:textId="77777777" w:rsidR="00BB4E21" w:rsidRDefault="00BB4E21" w:rsidP="00056603">
            <w:pPr>
              <w:ind w:right="-126"/>
              <w:jc w:val="center"/>
              <w:rPr>
                <w:rFonts w:ascii="Times New Roman" w:hAnsi="Times New Roman" w:cs="Times New Roman"/>
                <w:b/>
              </w:rPr>
            </w:pPr>
            <w:r>
              <w:rPr>
                <w:rFonts w:ascii="Times New Roman" w:eastAsia="Calibri" w:hAnsi="Times New Roman" w:cs="Times New Roman"/>
              </w:rPr>
              <w:t>42%</w:t>
            </w:r>
          </w:p>
        </w:tc>
      </w:tr>
      <w:tr w:rsidR="00BB4E21" w14:paraId="3FC2F353" w14:textId="77777777" w:rsidTr="00056603">
        <w:trPr>
          <w:trHeight w:val="360"/>
        </w:trPr>
        <w:tc>
          <w:tcPr>
            <w:tcW w:w="3978"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94ED190" w14:textId="77777777" w:rsidR="00BB4E21" w:rsidRDefault="00BB4E21" w:rsidP="00056603">
            <w:pPr>
              <w:ind w:right="-108"/>
              <w:rPr>
                <w:rFonts w:ascii="Times New Roman" w:hAnsi="Times New Roman" w:cs="Times New Roman"/>
                <w:b/>
              </w:rPr>
            </w:pPr>
            <w:r>
              <w:rPr>
                <w:rFonts w:ascii="Times New Roman" w:eastAsia="Calibri" w:hAnsi="Times New Roman" w:cs="Times New Roman"/>
              </w:rPr>
              <w:t>AKI Stage 2/3</w:t>
            </w:r>
          </w:p>
        </w:tc>
        <w:tc>
          <w:tcPr>
            <w:tcW w:w="259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FCA6FD6" w14:textId="77777777" w:rsidR="00BB4E21" w:rsidRDefault="00BB4E21" w:rsidP="00056603">
            <w:pPr>
              <w:ind w:right="-144"/>
              <w:jc w:val="center"/>
              <w:rPr>
                <w:rFonts w:ascii="Times New Roman" w:hAnsi="Times New Roman" w:cs="Times New Roman"/>
                <w:b/>
              </w:rPr>
            </w:pPr>
            <w:r>
              <w:rPr>
                <w:rFonts w:ascii="Times New Roman" w:eastAsia="Calibri" w:hAnsi="Times New Roman" w:cs="Times New Roman"/>
              </w:rPr>
              <w:t>0.24 (0.12-0.47)</w:t>
            </w:r>
          </w:p>
        </w:tc>
        <w:tc>
          <w:tcPr>
            <w:tcW w:w="144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4311525" w14:textId="77777777" w:rsidR="00BB4E21" w:rsidRDefault="00BB4E21" w:rsidP="00056603">
            <w:pPr>
              <w:ind w:right="-90"/>
              <w:jc w:val="center"/>
              <w:rPr>
                <w:rFonts w:ascii="Times New Roman" w:hAnsi="Times New Roman" w:cs="Times New Roman"/>
                <w:b/>
              </w:rPr>
            </w:pPr>
            <w:r>
              <w:rPr>
                <w:rFonts w:ascii="Times New Roman" w:eastAsia="Calibri" w:hAnsi="Times New Roman" w:cs="Times New Roman"/>
              </w:rPr>
              <w:t>&lt;0.001</w:t>
            </w:r>
          </w:p>
        </w:tc>
        <w:tc>
          <w:tcPr>
            <w:tcW w:w="144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4A051351" w14:textId="77777777" w:rsidR="00BB4E21" w:rsidRDefault="00BB4E21" w:rsidP="00056603">
            <w:pPr>
              <w:ind w:right="-126"/>
              <w:jc w:val="center"/>
              <w:rPr>
                <w:rFonts w:ascii="Times New Roman" w:hAnsi="Times New Roman" w:cs="Times New Roman"/>
                <w:b/>
              </w:rPr>
            </w:pPr>
            <w:r>
              <w:rPr>
                <w:rFonts w:ascii="Times New Roman" w:eastAsia="Calibri" w:hAnsi="Times New Roman" w:cs="Times New Roman"/>
              </w:rPr>
              <w:t>0%</w:t>
            </w:r>
          </w:p>
        </w:tc>
      </w:tr>
      <w:tr w:rsidR="00BB4E21" w14:paraId="46EDCE8A" w14:textId="77777777" w:rsidTr="00056603">
        <w:trPr>
          <w:trHeight w:val="360"/>
        </w:trPr>
        <w:tc>
          <w:tcPr>
            <w:tcW w:w="3978"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34FD9C62" w14:textId="77777777" w:rsidR="00BB4E21" w:rsidRDefault="00BB4E21" w:rsidP="00056603">
            <w:pPr>
              <w:ind w:right="-108"/>
              <w:rPr>
                <w:rFonts w:ascii="Times New Roman" w:hAnsi="Times New Roman" w:cs="Times New Roman"/>
                <w:b/>
              </w:rPr>
            </w:pPr>
            <w:r>
              <w:rPr>
                <w:rFonts w:ascii="Times New Roman" w:eastAsia="Calibri" w:hAnsi="Times New Roman" w:cs="Times New Roman"/>
              </w:rPr>
              <w:t>PPM Implantation</w:t>
            </w:r>
          </w:p>
        </w:tc>
        <w:tc>
          <w:tcPr>
            <w:tcW w:w="2592"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00651E4B" w14:textId="77777777" w:rsidR="00BB4E21" w:rsidRDefault="00BB4E21" w:rsidP="00056603">
            <w:pPr>
              <w:ind w:right="-144"/>
              <w:jc w:val="center"/>
              <w:rPr>
                <w:rFonts w:ascii="Times New Roman" w:hAnsi="Times New Roman" w:cs="Times New Roman"/>
                <w:b/>
              </w:rPr>
            </w:pPr>
            <w:r>
              <w:rPr>
                <w:rFonts w:ascii="Times New Roman" w:eastAsia="Calibri" w:hAnsi="Times New Roman" w:cs="Times New Roman"/>
              </w:rPr>
              <w:t>3.14 (2.46-4.01)</w:t>
            </w:r>
          </w:p>
        </w:tc>
        <w:tc>
          <w:tcPr>
            <w:tcW w:w="1440"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4247C9AF" w14:textId="77777777" w:rsidR="00BB4E21" w:rsidRDefault="00BB4E21" w:rsidP="00056603">
            <w:pPr>
              <w:ind w:right="-90"/>
              <w:jc w:val="center"/>
              <w:rPr>
                <w:rFonts w:ascii="Times New Roman" w:hAnsi="Times New Roman" w:cs="Times New Roman"/>
                <w:b/>
              </w:rPr>
            </w:pPr>
            <w:r>
              <w:rPr>
                <w:rFonts w:ascii="Times New Roman" w:eastAsia="Calibri" w:hAnsi="Times New Roman" w:cs="Times New Roman"/>
              </w:rPr>
              <w:t>&lt;0.001</w:t>
            </w:r>
          </w:p>
        </w:tc>
        <w:tc>
          <w:tcPr>
            <w:tcW w:w="1440"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57111F62" w14:textId="77777777" w:rsidR="00BB4E21" w:rsidRDefault="00BB4E21" w:rsidP="00056603">
            <w:pPr>
              <w:ind w:right="-126"/>
              <w:jc w:val="center"/>
              <w:rPr>
                <w:rFonts w:ascii="Times New Roman" w:hAnsi="Times New Roman" w:cs="Times New Roman"/>
                <w:b/>
              </w:rPr>
            </w:pPr>
            <w:r>
              <w:rPr>
                <w:rFonts w:ascii="Times New Roman" w:eastAsia="Calibri" w:hAnsi="Times New Roman" w:cs="Times New Roman"/>
              </w:rPr>
              <w:t>85%</w:t>
            </w:r>
          </w:p>
        </w:tc>
      </w:tr>
      <w:tr w:rsidR="00BB4E21" w14:paraId="3AA28700" w14:textId="77777777" w:rsidTr="00056603">
        <w:trPr>
          <w:trHeight w:val="360"/>
        </w:trPr>
        <w:tc>
          <w:tcPr>
            <w:tcW w:w="3978"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2C19591A" w14:textId="77777777" w:rsidR="00BB4E21" w:rsidRDefault="00BB4E21" w:rsidP="00056603">
            <w:pPr>
              <w:ind w:right="-108"/>
              <w:rPr>
                <w:rFonts w:ascii="Times New Roman" w:hAnsi="Times New Roman" w:cs="Times New Roman"/>
                <w:b/>
              </w:rPr>
            </w:pPr>
            <w:r>
              <w:rPr>
                <w:rFonts w:ascii="Times New Roman" w:eastAsia="Calibri" w:hAnsi="Times New Roman" w:cs="Times New Roman"/>
              </w:rPr>
              <w:t>Moderate/Severe PVL</w:t>
            </w:r>
          </w:p>
        </w:tc>
        <w:tc>
          <w:tcPr>
            <w:tcW w:w="259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37C1389" w14:textId="77777777" w:rsidR="00BB4E21" w:rsidRDefault="00BB4E21" w:rsidP="00056603">
            <w:pPr>
              <w:ind w:right="-144"/>
              <w:jc w:val="center"/>
              <w:rPr>
                <w:rFonts w:ascii="Times New Roman" w:hAnsi="Times New Roman" w:cs="Times New Roman"/>
                <w:b/>
              </w:rPr>
            </w:pPr>
            <w:r>
              <w:rPr>
                <w:rFonts w:ascii="Times New Roman" w:eastAsia="Calibri" w:hAnsi="Times New Roman" w:cs="Times New Roman"/>
              </w:rPr>
              <w:t>2.28 (1.25-4.16)</w:t>
            </w:r>
          </w:p>
        </w:tc>
        <w:tc>
          <w:tcPr>
            <w:tcW w:w="144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2A06477C" w14:textId="77777777" w:rsidR="00BB4E21" w:rsidRDefault="00BB4E21" w:rsidP="00056603">
            <w:pPr>
              <w:ind w:right="-90"/>
              <w:jc w:val="center"/>
              <w:rPr>
                <w:rFonts w:ascii="Times New Roman" w:hAnsi="Times New Roman" w:cs="Times New Roman"/>
                <w:b/>
              </w:rPr>
            </w:pPr>
            <w:r>
              <w:rPr>
                <w:rFonts w:ascii="Times New Roman" w:eastAsia="Calibri" w:hAnsi="Times New Roman" w:cs="Times New Roman"/>
              </w:rPr>
              <w:t>0.007</w:t>
            </w:r>
          </w:p>
        </w:tc>
        <w:tc>
          <w:tcPr>
            <w:tcW w:w="144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4DF13C48" w14:textId="77777777" w:rsidR="00BB4E21" w:rsidRDefault="00BB4E21" w:rsidP="00056603">
            <w:pPr>
              <w:ind w:right="-126"/>
              <w:jc w:val="center"/>
              <w:rPr>
                <w:rFonts w:ascii="Times New Roman" w:hAnsi="Times New Roman" w:cs="Times New Roman"/>
                <w:b/>
              </w:rPr>
            </w:pPr>
            <w:r>
              <w:rPr>
                <w:rFonts w:ascii="Times New Roman" w:eastAsia="Calibri" w:hAnsi="Times New Roman" w:cs="Times New Roman"/>
              </w:rPr>
              <w:t>18%</w:t>
            </w:r>
          </w:p>
        </w:tc>
      </w:tr>
      <w:tr w:rsidR="00BB4E21" w14:paraId="20F1245C" w14:textId="77777777" w:rsidTr="00056603">
        <w:trPr>
          <w:trHeight w:val="360"/>
        </w:trPr>
        <w:tc>
          <w:tcPr>
            <w:tcW w:w="3978"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0821D39C" w14:textId="77777777" w:rsidR="00BB4E21" w:rsidRDefault="00BB4E21" w:rsidP="00056603">
            <w:pPr>
              <w:ind w:right="-108"/>
              <w:rPr>
                <w:rFonts w:ascii="Times New Roman" w:hAnsi="Times New Roman" w:cs="Times New Roman"/>
                <w:b/>
              </w:rPr>
            </w:pPr>
            <w:r>
              <w:rPr>
                <w:rFonts w:ascii="Times New Roman" w:eastAsia="Calibri" w:hAnsi="Times New Roman" w:cs="Times New Roman"/>
              </w:rPr>
              <w:t>Major Vascular Complications</w:t>
            </w:r>
          </w:p>
        </w:tc>
        <w:tc>
          <w:tcPr>
            <w:tcW w:w="2592"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14BFBB86" w14:textId="77777777" w:rsidR="00BB4E21" w:rsidRDefault="00BB4E21" w:rsidP="00056603">
            <w:pPr>
              <w:ind w:right="-144"/>
              <w:jc w:val="center"/>
              <w:rPr>
                <w:rFonts w:ascii="Times New Roman" w:hAnsi="Times New Roman" w:cs="Times New Roman"/>
                <w:b/>
              </w:rPr>
            </w:pPr>
            <w:r>
              <w:rPr>
                <w:rFonts w:ascii="Times New Roman" w:eastAsia="Calibri" w:hAnsi="Times New Roman" w:cs="Times New Roman"/>
              </w:rPr>
              <w:t>1.51 (0.99-2.31)</w:t>
            </w:r>
          </w:p>
        </w:tc>
        <w:tc>
          <w:tcPr>
            <w:tcW w:w="1440"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1A89D1D5" w14:textId="77777777" w:rsidR="00BB4E21" w:rsidRDefault="00BB4E21" w:rsidP="00056603">
            <w:pPr>
              <w:ind w:right="-90"/>
              <w:jc w:val="center"/>
              <w:rPr>
                <w:rFonts w:ascii="Times New Roman" w:hAnsi="Times New Roman" w:cs="Times New Roman"/>
                <w:b/>
              </w:rPr>
            </w:pPr>
            <w:r>
              <w:rPr>
                <w:rFonts w:ascii="Times New Roman" w:eastAsia="Calibri" w:hAnsi="Times New Roman" w:cs="Times New Roman"/>
              </w:rPr>
              <w:t>0.06</w:t>
            </w:r>
          </w:p>
        </w:tc>
        <w:tc>
          <w:tcPr>
            <w:tcW w:w="1440"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34439D2A" w14:textId="77777777" w:rsidR="00BB4E21" w:rsidRDefault="00BB4E21" w:rsidP="00056603">
            <w:pPr>
              <w:ind w:right="-126"/>
              <w:jc w:val="center"/>
              <w:rPr>
                <w:rFonts w:ascii="Times New Roman" w:hAnsi="Times New Roman" w:cs="Times New Roman"/>
                <w:b/>
              </w:rPr>
            </w:pPr>
            <w:r>
              <w:rPr>
                <w:rFonts w:ascii="Times New Roman" w:eastAsia="Calibri" w:hAnsi="Times New Roman" w:cs="Times New Roman"/>
              </w:rPr>
              <w:t>30%</w:t>
            </w:r>
          </w:p>
        </w:tc>
      </w:tr>
      <w:tr w:rsidR="00BB4E21" w14:paraId="648E044F" w14:textId="77777777" w:rsidTr="00056603">
        <w:trPr>
          <w:trHeight w:val="360"/>
        </w:trPr>
        <w:tc>
          <w:tcPr>
            <w:tcW w:w="3978"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5E0C9791" w14:textId="77777777" w:rsidR="00BB4E21" w:rsidRDefault="00BB4E21" w:rsidP="00056603">
            <w:pPr>
              <w:ind w:right="-108"/>
              <w:rPr>
                <w:rFonts w:ascii="Times New Roman" w:hAnsi="Times New Roman" w:cs="Times New Roman"/>
                <w:b/>
              </w:rPr>
            </w:pPr>
            <w:r>
              <w:rPr>
                <w:rFonts w:ascii="Times New Roman" w:eastAsia="Calibri" w:hAnsi="Times New Roman" w:cs="Times New Roman"/>
              </w:rPr>
              <w:t>Endocarditis</w:t>
            </w:r>
          </w:p>
        </w:tc>
        <w:tc>
          <w:tcPr>
            <w:tcW w:w="259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241F6DB8" w14:textId="77777777" w:rsidR="00BB4E21" w:rsidRDefault="00BB4E21" w:rsidP="00056603">
            <w:pPr>
              <w:ind w:right="-144"/>
              <w:jc w:val="center"/>
              <w:rPr>
                <w:rFonts w:ascii="Times New Roman" w:hAnsi="Times New Roman" w:cs="Times New Roman"/>
                <w:b/>
              </w:rPr>
            </w:pPr>
            <w:r>
              <w:rPr>
                <w:rFonts w:ascii="Times New Roman" w:eastAsia="Calibri" w:hAnsi="Times New Roman" w:cs="Times New Roman"/>
              </w:rPr>
              <w:t>0.71 (0.26-1.97)</w:t>
            </w:r>
          </w:p>
        </w:tc>
        <w:tc>
          <w:tcPr>
            <w:tcW w:w="144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4C0EFBA" w14:textId="77777777" w:rsidR="00BB4E21" w:rsidRDefault="00BB4E21" w:rsidP="00056603">
            <w:pPr>
              <w:ind w:right="-90"/>
              <w:jc w:val="center"/>
              <w:rPr>
                <w:rFonts w:ascii="Times New Roman" w:hAnsi="Times New Roman" w:cs="Times New Roman"/>
                <w:b/>
              </w:rPr>
            </w:pPr>
            <w:r>
              <w:rPr>
                <w:rFonts w:ascii="Times New Roman" w:eastAsia="Calibri" w:hAnsi="Times New Roman" w:cs="Times New Roman"/>
              </w:rPr>
              <w:t>0.51</w:t>
            </w:r>
          </w:p>
        </w:tc>
        <w:tc>
          <w:tcPr>
            <w:tcW w:w="144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58B9A223" w14:textId="77777777" w:rsidR="00BB4E21" w:rsidRDefault="00BB4E21" w:rsidP="00056603">
            <w:pPr>
              <w:ind w:right="-126"/>
              <w:jc w:val="center"/>
              <w:rPr>
                <w:rFonts w:ascii="Times New Roman" w:hAnsi="Times New Roman" w:cs="Times New Roman"/>
                <w:b/>
              </w:rPr>
            </w:pPr>
            <w:r>
              <w:rPr>
                <w:rFonts w:ascii="Times New Roman" w:eastAsia="Calibri" w:hAnsi="Times New Roman" w:cs="Times New Roman"/>
              </w:rPr>
              <w:t>0%</w:t>
            </w:r>
          </w:p>
        </w:tc>
      </w:tr>
      <w:tr w:rsidR="00BB4E21" w14:paraId="2415BB4B" w14:textId="77777777" w:rsidTr="00056603">
        <w:trPr>
          <w:trHeight w:val="360"/>
        </w:trPr>
        <w:tc>
          <w:tcPr>
            <w:tcW w:w="3978"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3748449C" w14:textId="77777777" w:rsidR="00BB4E21" w:rsidRDefault="00BB4E21" w:rsidP="00056603">
            <w:pPr>
              <w:ind w:right="-108"/>
              <w:rPr>
                <w:rFonts w:ascii="Times New Roman" w:hAnsi="Times New Roman" w:cs="Times New Roman"/>
                <w:b/>
              </w:rPr>
            </w:pPr>
            <w:r>
              <w:rPr>
                <w:rFonts w:ascii="Times New Roman" w:eastAsia="Calibri" w:hAnsi="Times New Roman" w:cs="Times New Roman"/>
              </w:rPr>
              <w:t>Aortic Valve Reintervention</w:t>
            </w:r>
          </w:p>
        </w:tc>
        <w:tc>
          <w:tcPr>
            <w:tcW w:w="2592"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6A7CDC73" w14:textId="77777777" w:rsidR="00BB4E21" w:rsidRDefault="00BB4E21" w:rsidP="00056603">
            <w:pPr>
              <w:ind w:right="-144"/>
              <w:jc w:val="center"/>
              <w:rPr>
                <w:rFonts w:ascii="Times New Roman" w:hAnsi="Times New Roman" w:cs="Times New Roman"/>
                <w:b/>
              </w:rPr>
            </w:pPr>
            <w:r>
              <w:rPr>
                <w:rFonts w:ascii="Times New Roman" w:eastAsia="Calibri" w:hAnsi="Times New Roman" w:cs="Times New Roman"/>
              </w:rPr>
              <w:t>2.00 (0.82-4.87)</w:t>
            </w:r>
          </w:p>
        </w:tc>
        <w:tc>
          <w:tcPr>
            <w:tcW w:w="1440"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5322286E" w14:textId="77777777" w:rsidR="00BB4E21" w:rsidRDefault="00BB4E21" w:rsidP="00056603">
            <w:pPr>
              <w:ind w:right="-90"/>
              <w:jc w:val="center"/>
              <w:rPr>
                <w:rFonts w:ascii="Times New Roman" w:hAnsi="Times New Roman" w:cs="Times New Roman"/>
                <w:b/>
              </w:rPr>
            </w:pPr>
            <w:r>
              <w:rPr>
                <w:rFonts w:ascii="Times New Roman" w:eastAsia="Calibri" w:hAnsi="Times New Roman" w:cs="Times New Roman"/>
              </w:rPr>
              <w:t>0.13</w:t>
            </w:r>
          </w:p>
        </w:tc>
        <w:tc>
          <w:tcPr>
            <w:tcW w:w="1440"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6075D914" w14:textId="77777777" w:rsidR="00BB4E21" w:rsidRDefault="00BB4E21" w:rsidP="00056603">
            <w:pPr>
              <w:ind w:right="-126"/>
              <w:jc w:val="center"/>
              <w:rPr>
                <w:rFonts w:ascii="Times New Roman" w:hAnsi="Times New Roman" w:cs="Times New Roman"/>
                <w:b/>
              </w:rPr>
            </w:pPr>
            <w:r>
              <w:rPr>
                <w:rFonts w:ascii="Times New Roman" w:eastAsia="Calibri" w:hAnsi="Times New Roman" w:cs="Times New Roman"/>
              </w:rPr>
              <w:t>3%</w:t>
            </w:r>
          </w:p>
        </w:tc>
      </w:tr>
      <w:tr w:rsidR="00BB4E21" w14:paraId="1738616E" w14:textId="77777777" w:rsidTr="00056603">
        <w:trPr>
          <w:trHeight w:val="360"/>
        </w:trPr>
        <w:tc>
          <w:tcPr>
            <w:tcW w:w="3978"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70BEFCB7" w14:textId="77777777" w:rsidR="00BB4E21" w:rsidRDefault="00BB4E21" w:rsidP="00056603">
            <w:pPr>
              <w:ind w:right="-108"/>
              <w:rPr>
                <w:rFonts w:ascii="Times New Roman" w:hAnsi="Times New Roman" w:cs="Times New Roman"/>
                <w:b/>
              </w:rPr>
            </w:pPr>
            <w:r>
              <w:rPr>
                <w:rFonts w:ascii="Times New Roman" w:eastAsia="Calibri" w:hAnsi="Times New Roman" w:cs="Times New Roman"/>
              </w:rPr>
              <w:t>NYHA Class ≥II</w:t>
            </w:r>
          </w:p>
        </w:tc>
        <w:tc>
          <w:tcPr>
            <w:tcW w:w="259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9F1FBD4" w14:textId="77777777" w:rsidR="00BB4E21" w:rsidRDefault="00BB4E21" w:rsidP="00056603">
            <w:pPr>
              <w:ind w:right="-144"/>
              <w:jc w:val="center"/>
              <w:rPr>
                <w:rFonts w:ascii="Times New Roman" w:hAnsi="Times New Roman" w:cs="Times New Roman"/>
                <w:b/>
              </w:rPr>
            </w:pPr>
            <w:r>
              <w:rPr>
                <w:rFonts w:ascii="Times New Roman" w:eastAsia="Calibri" w:hAnsi="Times New Roman" w:cs="Times New Roman"/>
              </w:rPr>
              <w:t>1.20 (1.00-1.45)</w:t>
            </w:r>
          </w:p>
        </w:tc>
        <w:tc>
          <w:tcPr>
            <w:tcW w:w="144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356DDE5" w14:textId="77777777" w:rsidR="00BB4E21" w:rsidRDefault="00BB4E21" w:rsidP="00056603">
            <w:pPr>
              <w:ind w:right="-90"/>
              <w:jc w:val="center"/>
              <w:rPr>
                <w:rFonts w:ascii="Times New Roman" w:hAnsi="Times New Roman" w:cs="Times New Roman"/>
                <w:b/>
              </w:rPr>
            </w:pPr>
            <w:r>
              <w:rPr>
                <w:rFonts w:ascii="Times New Roman" w:eastAsia="Calibri" w:hAnsi="Times New Roman" w:cs="Times New Roman"/>
              </w:rPr>
              <w:t>0.05</w:t>
            </w:r>
          </w:p>
        </w:tc>
        <w:tc>
          <w:tcPr>
            <w:tcW w:w="144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68B408E" w14:textId="77777777" w:rsidR="00BB4E21" w:rsidRDefault="00BB4E21" w:rsidP="00056603">
            <w:pPr>
              <w:ind w:right="-126"/>
              <w:jc w:val="center"/>
              <w:rPr>
                <w:rFonts w:ascii="Times New Roman" w:hAnsi="Times New Roman" w:cs="Times New Roman"/>
                <w:b/>
              </w:rPr>
            </w:pPr>
            <w:r>
              <w:rPr>
                <w:rFonts w:ascii="Times New Roman" w:eastAsia="Calibri" w:hAnsi="Times New Roman" w:cs="Times New Roman"/>
              </w:rPr>
              <w:t>45%</w:t>
            </w:r>
          </w:p>
        </w:tc>
      </w:tr>
    </w:tbl>
    <w:p w14:paraId="68FE6444" w14:textId="77777777" w:rsidR="00BB4E21" w:rsidRDefault="00BB4E21" w:rsidP="00BB4E21">
      <w:pPr>
        <w:spacing w:line="480" w:lineRule="auto"/>
        <w:ind w:right="2880"/>
        <w:rPr>
          <w:rFonts w:ascii="Times New Roman" w:hAnsi="Times New Roman" w:cs="Times New Roman"/>
          <w:b/>
          <w:i/>
          <w:iCs/>
        </w:rPr>
      </w:pPr>
      <w:r>
        <w:rPr>
          <w:rFonts w:ascii="Times New Roman" w:eastAsia="Calibri" w:hAnsi="Times New Roman" w:cs="Times New Roman"/>
          <w:i/>
          <w:iCs/>
        </w:rPr>
        <w:t>PPM = permanent pacemaker; AKI = acute kidney injury; PVL = paravalvular leak; NYHA = New York Heart Association</w:t>
      </w:r>
    </w:p>
    <w:p w14:paraId="36D167BF" w14:textId="77777777" w:rsidR="00BB4E21" w:rsidRDefault="00BB4E21" w:rsidP="00BB4E21">
      <w:pPr>
        <w:rPr>
          <w:rFonts w:ascii="Times New Roman" w:hAnsi="Times New Roman" w:cs="Times New Roman"/>
          <w:b/>
          <w:bCs/>
        </w:rPr>
      </w:pPr>
      <w:r>
        <w:rPr>
          <w:rFonts w:ascii="Times New Roman" w:eastAsia="Calibri" w:hAnsi="Times New Roman" w:cs="Times New Roman"/>
          <w:b/>
          <w:bCs/>
        </w:rPr>
        <w:t xml:space="preserve">Table 6: </w:t>
      </w:r>
      <w:r>
        <w:rPr>
          <w:rFonts w:ascii="Times New Roman" w:eastAsia="Calibri" w:hAnsi="Times New Roman" w:cs="Times New Roman"/>
        </w:rPr>
        <w:t xml:space="preserve">Sensitivity Analysis After Excluding </w:t>
      </w:r>
      <w:r>
        <w:rPr>
          <w:rFonts w:ascii="Times New Roman" w:eastAsia="Calibri" w:hAnsi="Times New Roman" w:cs="Times New Roman"/>
          <w:i/>
          <w:iCs/>
        </w:rPr>
        <w:t xml:space="preserve">Post Hoc </w:t>
      </w:r>
      <w:r>
        <w:rPr>
          <w:rFonts w:ascii="Times New Roman" w:eastAsia="Calibri" w:hAnsi="Times New Roman" w:cs="Times New Roman"/>
        </w:rPr>
        <w:t>Analysis of SURTAVI Trial</w:t>
      </w:r>
    </w:p>
    <w:tbl>
      <w:tblPr>
        <w:tblW w:w="9450" w:type="dxa"/>
        <w:tblLook w:val="04A0" w:firstRow="1" w:lastRow="0" w:firstColumn="1" w:lastColumn="0" w:noHBand="0" w:noVBand="1"/>
      </w:tblPr>
      <w:tblGrid>
        <w:gridCol w:w="3978"/>
        <w:gridCol w:w="2592"/>
        <w:gridCol w:w="1440"/>
        <w:gridCol w:w="1440"/>
      </w:tblGrid>
      <w:tr w:rsidR="00BB4E21" w14:paraId="12F1EBD7" w14:textId="77777777" w:rsidTr="00056603">
        <w:trPr>
          <w:trHeight w:val="360"/>
        </w:trPr>
        <w:tc>
          <w:tcPr>
            <w:tcW w:w="3978"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A85E3C7" w14:textId="77777777" w:rsidR="00BB4E21" w:rsidRDefault="00BB4E21" w:rsidP="00056603">
            <w:pPr>
              <w:ind w:right="-108"/>
              <w:rPr>
                <w:rFonts w:ascii="Times New Roman" w:hAnsi="Times New Roman" w:cs="Times New Roman"/>
                <w:b/>
                <w:bCs/>
              </w:rPr>
            </w:pPr>
            <w:r>
              <w:rPr>
                <w:rFonts w:ascii="Times New Roman" w:eastAsia="Calibri" w:hAnsi="Times New Roman" w:cs="Times New Roman"/>
              </w:rPr>
              <w:t>Outcome</w:t>
            </w:r>
          </w:p>
        </w:tc>
        <w:tc>
          <w:tcPr>
            <w:tcW w:w="259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D801785" w14:textId="77777777" w:rsidR="00BB4E21" w:rsidRDefault="00BB4E21" w:rsidP="00056603">
            <w:pPr>
              <w:ind w:right="-144"/>
              <w:jc w:val="center"/>
              <w:rPr>
                <w:rFonts w:ascii="Times New Roman" w:hAnsi="Times New Roman" w:cs="Times New Roman"/>
                <w:b/>
                <w:bCs/>
              </w:rPr>
            </w:pPr>
            <w:r>
              <w:rPr>
                <w:rFonts w:ascii="Times New Roman" w:eastAsia="Calibri" w:hAnsi="Times New Roman" w:cs="Times New Roman"/>
              </w:rPr>
              <w:t>RR (95% CI)</w:t>
            </w:r>
          </w:p>
        </w:tc>
        <w:tc>
          <w:tcPr>
            <w:tcW w:w="144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56131511" w14:textId="77777777" w:rsidR="00BB4E21" w:rsidRDefault="00BB4E21" w:rsidP="00056603">
            <w:pPr>
              <w:ind w:right="-90"/>
              <w:jc w:val="center"/>
              <w:rPr>
                <w:rFonts w:ascii="Times New Roman" w:hAnsi="Times New Roman" w:cs="Times New Roman"/>
                <w:b/>
                <w:bCs/>
              </w:rPr>
            </w:pPr>
            <w:r>
              <w:rPr>
                <w:rFonts w:ascii="Times New Roman" w:eastAsia="Calibri" w:hAnsi="Times New Roman" w:cs="Times New Roman"/>
              </w:rPr>
              <w:t>P Value</w:t>
            </w:r>
          </w:p>
        </w:tc>
        <w:tc>
          <w:tcPr>
            <w:tcW w:w="144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51C1F84" w14:textId="77777777" w:rsidR="00BB4E21" w:rsidRDefault="00BB4E21" w:rsidP="00056603">
            <w:pPr>
              <w:ind w:right="-126"/>
              <w:jc w:val="center"/>
              <w:rPr>
                <w:rFonts w:ascii="Times New Roman" w:hAnsi="Times New Roman" w:cs="Times New Roman"/>
                <w:b/>
                <w:bCs/>
              </w:rPr>
            </w:pPr>
            <w:r>
              <w:rPr>
                <w:rFonts w:ascii="Times New Roman" w:eastAsia="Calibri" w:hAnsi="Times New Roman" w:cs="Times New Roman"/>
              </w:rPr>
              <w:t>I</w:t>
            </w:r>
            <w:r>
              <w:rPr>
                <w:rFonts w:ascii="Times New Roman" w:eastAsia="Calibri" w:hAnsi="Times New Roman" w:cs="Times New Roman"/>
                <w:vertAlign w:val="superscript"/>
              </w:rPr>
              <w:t>2</w:t>
            </w:r>
          </w:p>
        </w:tc>
      </w:tr>
      <w:tr w:rsidR="00BB4E21" w14:paraId="2DDE29F6" w14:textId="77777777" w:rsidTr="00056603">
        <w:trPr>
          <w:trHeight w:val="360"/>
        </w:trPr>
        <w:tc>
          <w:tcPr>
            <w:tcW w:w="3978"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65F14542" w14:textId="77777777" w:rsidR="00BB4E21" w:rsidRDefault="00BB4E21" w:rsidP="00056603">
            <w:pPr>
              <w:ind w:right="-108"/>
              <w:rPr>
                <w:rFonts w:ascii="Times New Roman" w:hAnsi="Times New Roman" w:cs="Times New Roman"/>
                <w:b/>
                <w:bCs/>
              </w:rPr>
            </w:pPr>
            <w:r>
              <w:rPr>
                <w:rFonts w:ascii="Times New Roman" w:eastAsia="Calibri" w:hAnsi="Times New Roman" w:cs="Times New Roman"/>
              </w:rPr>
              <w:t>All-Cause Death</w:t>
            </w:r>
          </w:p>
        </w:tc>
        <w:tc>
          <w:tcPr>
            <w:tcW w:w="2592"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73FAF0FB" w14:textId="77777777" w:rsidR="00BB4E21" w:rsidRDefault="00BB4E21" w:rsidP="00056603">
            <w:pPr>
              <w:ind w:right="-144"/>
              <w:jc w:val="center"/>
              <w:rPr>
                <w:rFonts w:ascii="Times New Roman" w:hAnsi="Times New Roman" w:cs="Times New Roman"/>
                <w:b/>
                <w:bCs/>
              </w:rPr>
            </w:pPr>
            <w:r>
              <w:rPr>
                <w:rFonts w:ascii="Times New Roman" w:eastAsia="Calibri" w:hAnsi="Times New Roman" w:cs="Times New Roman"/>
              </w:rPr>
              <w:t>0.66 (0.41-1.06)</w:t>
            </w:r>
          </w:p>
        </w:tc>
        <w:tc>
          <w:tcPr>
            <w:tcW w:w="1440"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7CFBBE9F" w14:textId="77777777" w:rsidR="00BB4E21" w:rsidRDefault="00BB4E21" w:rsidP="00056603">
            <w:pPr>
              <w:ind w:right="-90"/>
              <w:jc w:val="center"/>
              <w:rPr>
                <w:rFonts w:ascii="Times New Roman" w:hAnsi="Times New Roman" w:cs="Times New Roman"/>
                <w:b/>
                <w:bCs/>
              </w:rPr>
            </w:pPr>
            <w:r>
              <w:rPr>
                <w:rFonts w:ascii="Times New Roman" w:eastAsia="Calibri" w:hAnsi="Times New Roman" w:cs="Times New Roman"/>
              </w:rPr>
              <w:t>0.09</w:t>
            </w:r>
          </w:p>
        </w:tc>
        <w:tc>
          <w:tcPr>
            <w:tcW w:w="1440"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60CCDA43" w14:textId="77777777" w:rsidR="00BB4E21" w:rsidRDefault="00BB4E21" w:rsidP="00056603">
            <w:pPr>
              <w:ind w:right="-126"/>
              <w:jc w:val="center"/>
              <w:rPr>
                <w:rFonts w:ascii="Times New Roman" w:hAnsi="Times New Roman" w:cs="Times New Roman"/>
                <w:b/>
                <w:bCs/>
              </w:rPr>
            </w:pPr>
            <w:r>
              <w:rPr>
                <w:rFonts w:ascii="Times New Roman" w:eastAsia="Calibri" w:hAnsi="Times New Roman" w:cs="Times New Roman"/>
              </w:rPr>
              <w:t>0%</w:t>
            </w:r>
          </w:p>
        </w:tc>
      </w:tr>
      <w:tr w:rsidR="00BB4E21" w14:paraId="56F944E4" w14:textId="77777777" w:rsidTr="00056603">
        <w:trPr>
          <w:trHeight w:val="360"/>
        </w:trPr>
        <w:tc>
          <w:tcPr>
            <w:tcW w:w="3978"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EFC923E" w14:textId="77777777" w:rsidR="00BB4E21" w:rsidRDefault="00BB4E21" w:rsidP="00056603">
            <w:pPr>
              <w:ind w:right="-108"/>
              <w:rPr>
                <w:rFonts w:ascii="Times New Roman" w:hAnsi="Times New Roman" w:cs="Times New Roman"/>
                <w:b/>
                <w:bCs/>
              </w:rPr>
            </w:pPr>
            <w:r>
              <w:rPr>
                <w:rFonts w:ascii="Times New Roman" w:eastAsia="Calibri" w:hAnsi="Times New Roman" w:cs="Times New Roman"/>
              </w:rPr>
              <w:t>Cardiovascular Death</w:t>
            </w:r>
          </w:p>
        </w:tc>
        <w:tc>
          <w:tcPr>
            <w:tcW w:w="259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7A83201F" w14:textId="77777777" w:rsidR="00BB4E21" w:rsidRDefault="00BB4E21" w:rsidP="00056603">
            <w:pPr>
              <w:ind w:right="-144"/>
              <w:jc w:val="center"/>
              <w:rPr>
                <w:rFonts w:ascii="Times New Roman" w:hAnsi="Times New Roman" w:cs="Times New Roman"/>
                <w:b/>
                <w:bCs/>
              </w:rPr>
            </w:pPr>
            <w:r>
              <w:rPr>
                <w:rFonts w:ascii="Times New Roman" w:eastAsia="Calibri" w:hAnsi="Times New Roman" w:cs="Times New Roman"/>
              </w:rPr>
              <w:t>0.56 (0.33-0.94)</w:t>
            </w:r>
          </w:p>
        </w:tc>
        <w:tc>
          <w:tcPr>
            <w:tcW w:w="144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3745008" w14:textId="77777777" w:rsidR="00BB4E21" w:rsidRDefault="00BB4E21" w:rsidP="00056603">
            <w:pPr>
              <w:ind w:right="-90"/>
              <w:jc w:val="center"/>
              <w:rPr>
                <w:rFonts w:ascii="Times New Roman" w:hAnsi="Times New Roman" w:cs="Times New Roman"/>
                <w:b/>
                <w:bCs/>
              </w:rPr>
            </w:pPr>
            <w:r>
              <w:rPr>
                <w:rFonts w:ascii="Times New Roman" w:eastAsia="Calibri" w:hAnsi="Times New Roman" w:cs="Times New Roman"/>
              </w:rPr>
              <w:t>0.03</w:t>
            </w:r>
          </w:p>
        </w:tc>
        <w:tc>
          <w:tcPr>
            <w:tcW w:w="144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702F05AA" w14:textId="77777777" w:rsidR="00BB4E21" w:rsidRDefault="00BB4E21" w:rsidP="00056603">
            <w:pPr>
              <w:ind w:right="-126"/>
              <w:jc w:val="center"/>
              <w:rPr>
                <w:rFonts w:ascii="Times New Roman" w:hAnsi="Times New Roman" w:cs="Times New Roman"/>
                <w:b/>
                <w:bCs/>
              </w:rPr>
            </w:pPr>
            <w:r>
              <w:rPr>
                <w:rFonts w:ascii="Times New Roman" w:eastAsia="Calibri" w:hAnsi="Times New Roman" w:cs="Times New Roman"/>
              </w:rPr>
              <w:t>0%</w:t>
            </w:r>
          </w:p>
        </w:tc>
      </w:tr>
      <w:tr w:rsidR="00BB4E21" w14:paraId="034D9D25" w14:textId="77777777" w:rsidTr="00056603">
        <w:trPr>
          <w:trHeight w:val="360"/>
        </w:trPr>
        <w:tc>
          <w:tcPr>
            <w:tcW w:w="3978"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33D4BBAA" w14:textId="77777777" w:rsidR="00BB4E21" w:rsidRDefault="00BB4E21" w:rsidP="00056603">
            <w:pPr>
              <w:ind w:right="-108"/>
              <w:rPr>
                <w:rFonts w:ascii="Times New Roman" w:hAnsi="Times New Roman" w:cs="Times New Roman"/>
                <w:b/>
                <w:bCs/>
              </w:rPr>
            </w:pPr>
            <w:r>
              <w:rPr>
                <w:rFonts w:ascii="Times New Roman" w:eastAsia="Calibri" w:hAnsi="Times New Roman" w:cs="Times New Roman"/>
              </w:rPr>
              <w:t>Stroke</w:t>
            </w:r>
          </w:p>
        </w:tc>
        <w:tc>
          <w:tcPr>
            <w:tcW w:w="2592"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033044A0" w14:textId="77777777" w:rsidR="00BB4E21" w:rsidRDefault="00BB4E21" w:rsidP="00056603">
            <w:pPr>
              <w:ind w:right="-144"/>
              <w:jc w:val="center"/>
              <w:rPr>
                <w:rFonts w:ascii="Times New Roman" w:hAnsi="Times New Roman" w:cs="Times New Roman"/>
                <w:b/>
                <w:bCs/>
              </w:rPr>
            </w:pPr>
            <w:r>
              <w:rPr>
                <w:rFonts w:ascii="Times New Roman" w:eastAsia="Calibri" w:hAnsi="Times New Roman" w:cs="Times New Roman"/>
              </w:rPr>
              <w:t>0.71 (0.40-1.25)</w:t>
            </w:r>
          </w:p>
        </w:tc>
        <w:tc>
          <w:tcPr>
            <w:tcW w:w="1440"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6DC555C2" w14:textId="77777777" w:rsidR="00BB4E21" w:rsidRDefault="00BB4E21" w:rsidP="00056603">
            <w:pPr>
              <w:ind w:right="-90"/>
              <w:jc w:val="center"/>
              <w:rPr>
                <w:rFonts w:ascii="Times New Roman" w:hAnsi="Times New Roman" w:cs="Times New Roman"/>
                <w:b/>
                <w:bCs/>
              </w:rPr>
            </w:pPr>
            <w:r>
              <w:rPr>
                <w:rFonts w:ascii="Times New Roman" w:eastAsia="Calibri" w:hAnsi="Times New Roman" w:cs="Times New Roman"/>
              </w:rPr>
              <w:t>0.23</w:t>
            </w:r>
          </w:p>
        </w:tc>
        <w:tc>
          <w:tcPr>
            <w:tcW w:w="1440"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4677F70E" w14:textId="77777777" w:rsidR="00BB4E21" w:rsidRDefault="00BB4E21" w:rsidP="00056603">
            <w:pPr>
              <w:ind w:right="-126"/>
              <w:jc w:val="center"/>
              <w:rPr>
                <w:rFonts w:ascii="Times New Roman" w:hAnsi="Times New Roman" w:cs="Times New Roman"/>
                <w:b/>
                <w:bCs/>
              </w:rPr>
            </w:pPr>
            <w:r>
              <w:rPr>
                <w:rFonts w:ascii="Times New Roman" w:eastAsia="Calibri" w:hAnsi="Times New Roman" w:cs="Times New Roman"/>
              </w:rPr>
              <w:t>30%</w:t>
            </w:r>
          </w:p>
        </w:tc>
      </w:tr>
      <w:tr w:rsidR="00BB4E21" w14:paraId="410C76CE" w14:textId="77777777" w:rsidTr="00056603">
        <w:trPr>
          <w:trHeight w:val="360"/>
        </w:trPr>
        <w:tc>
          <w:tcPr>
            <w:tcW w:w="3978"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53924BBD" w14:textId="77777777" w:rsidR="00BB4E21" w:rsidRDefault="00BB4E21" w:rsidP="00056603">
            <w:pPr>
              <w:ind w:right="-108"/>
              <w:rPr>
                <w:rFonts w:ascii="Times New Roman" w:hAnsi="Times New Roman" w:cs="Times New Roman"/>
                <w:b/>
                <w:bCs/>
              </w:rPr>
            </w:pPr>
            <w:r>
              <w:rPr>
                <w:rFonts w:ascii="Times New Roman" w:eastAsia="Calibri" w:hAnsi="Times New Roman" w:cs="Times New Roman"/>
              </w:rPr>
              <w:t>Myocardial Infarction</w:t>
            </w:r>
          </w:p>
        </w:tc>
        <w:tc>
          <w:tcPr>
            <w:tcW w:w="259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2E706D73" w14:textId="77777777" w:rsidR="00BB4E21" w:rsidRDefault="00BB4E21" w:rsidP="00056603">
            <w:pPr>
              <w:ind w:right="-144"/>
              <w:jc w:val="center"/>
              <w:rPr>
                <w:rFonts w:ascii="Times New Roman" w:hAnsi="Times New Roman" w:cs="Times New Roman"/>
                <w:b/>
                <w:bCs/>
              </w:rPr>
            </w:pPr>
            <w:r>
              <w:rPr>
                <w:rFonts w:ascii="Times New Roman" w:eastAsia="Calibri" w:hAnsi="Times New Roman" w:cs="Times New Roman"/>
              </w:rPr>
              <w:t>0.74 (0.43-1.27)</w:t>
            </w:r>
          </w:p>
        </w:tc>
        <w:tc>
          <w:tcPr>
            <w:tcW w:w="144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2A23B2D0" w14:textId="77777777" w:rsidR="00BB4E21" w:rsidRDefault="00BB4E21" w:rsidP="00056603">
            <w:pPr>
              <w:ind w:right="-90"/>
              <w:jc w:val="center"/>
              <w:rPr>
                <w:rFonts w:ascii="Times New Roman" w:hAnsi="Times New Roman" w:cs="Times New Roman"/>
                <w:b/>
                <w:bCs/>
              </w:rPr>
            </w:pPr>
            <w:r>
              <w:rPr>
                <w:rFonts w:ascii="Times New Roman" w:eastAsia="Calibri" w:hAnsi="Times New Roman" w:cs="Times New Roman"/>
              </w:rPr>
              <w:t>0.28</w:t>
            </w:r>
          </w:p>
        </w:tc>
        <w:tc>
          <w:tcPr>
            <w:tcW w:w="144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68FADD4" w14:textId="77777777" w:rsidR="00BB4E21" w:rsidRDefault="00BB4E21" w:rsidP="00056603">
            <w:pPr>
              <w:ind w:right="-126"/>
              <w:jc w:val="center"/>
              <w:rPr>
                <w:rFonts w:ascii="Times New Roman" w:hAnsi="Times New Roman" w:cs="Times New Roman"/>
                <w:b/>
                <w:bCs/>
              </w:rPr>
            </w:pPr>
            <w:r>
              <w:rPr>
                <w:rFonts w:ascii="Times New Roman" w:eastAsia="Calibri" w:hAnsi="Times New Roman" w:cs="Times New Roman"/>
              </w:rPr>
              <w:t>0%</w:t>
            </w:r>
          </w:p>
        </w:tc>
      </w:tr>
      <w:tr w:rsidR="00BB4E21" w14:paraId="5A2E160F" w14:textId="77777777" w:rsidTr="00056603">
        <w:trPr>
          <w:trHeight w:val="360"/>
        </w:trPr>
        <w:tc>
          <w:tcPr>
            <w:tcW w:w="3978"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1636A00B" w14:textId="77777777" w:rsidR="00BB4E21" w:rsidRDefault="00BB4E21" w:rsidP="00056603">
            <w:pPr>
              <w:ind w:right="-108"/>
              <w:rPr>
                <w:rFonts w:ascii="Times New Roman" w:hAnsi="Times New Roman" w:cs="Times New Roman"/>
                <w:b/>
                <w:bCs/>
              </w:rPr>
            </w:pPr>
            <w:r>
              <w:rPr>
                <w:rFonts w:ascii="Times New Roman" w:eastAsia="Calibri" w:hAnsi="Times New Roman" w:cs="Times New Roman"/>
              </w:rPr>
              <w:t>Rehospitalization</w:t>
            </w:r>
          </w:p>
        </w:tc>
        <w:tc>
          <w:tcPr>
            <w:tcW w:w="2592"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48A68C5B" w14:textId="77777777" w:rsidR="00BB4E21" w:rsidRDefault="00BB4E21" w:rsidP="00056603">
            <w:pPr>
              <w:ind w:right="-144"/>
              <w:jc w:val="center"/>
              <w:rPr>
                <w:rFonts w:ascii="Times New Roman" w:hAnsi="Times New Roman" w:cs="Times New Roman"/>
                <w:b/>
                <w:bCs/>
              </w:rPr>
            </w:pPr>
            <w:r>
              <w:rPr>
                <w:rFonts w:ascii="Times New Roman" w:eastAsia="Calibri" w:hAnsi="Times New Roman" w:cs="Times New Roman"/>
              </w:rPr>
              <w:t>0.59 (0.43-0.81)</w:t>
            </w:r>
          </w:p>
        </w:tc>
        <w:tc>
          <w:tcPr>
            <w:tcW w:w="1440"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3863480A" w14:textId="77777777" w:rsidR="00BB4E21" w:rsidRDefault="00BB4E21" w:rsidP="00056603">
            <w:pPr>
              <w:ind w:right="-90"/>
              <w:jc w:val="center"/>
              <w:rPr>
                <w:rFonts w:ascii="Times New Roman" w:hAnsi="Times New Roman" w:cs="Times New Roman"/>
                <w:b/>
                <w:bCs/>
              </w:rPr>
            </w:pPr>
            <w:r>
              <w:rPr>
                <w:rFonts w:ascii="Times New Roman" w:eastAsia="Calibri" w:hAnsi="Times New Roman" w:cs="Times New Roman"/>
              </w:rPr>
              <w:t>0.001</w:t>
            </w:r>
          </w:p>
        </w:tc>
        <w:tc>
          <w:tcPr>
            <w:tcW w:w="1440"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53CF7E53" w14:textId="77777777" w:rsidR="00BB4E21" w:rsidRDefault="00BB4E21" w:rsidP="00056603">
            <w:pPr>
              <w:ind w:right="-126"/>
              <w:jc w:val="center"/>
              <w:rPr>
                <w:rFonts w:ascii="Times New Roman" w:hAnsi="Times New Roman" w:cs="Times New Roman"/>
                <w:b/>
                <w:bCs/>
              </w:rPr>
            </w:pPr>
            <w:r>
              <w:rPr>
                <w:rFonts w:ascii="Times New Roman" w:eastAsia="Calibri" w:hAnsi="Times New Roman" w:cs="Times New Roman"/>
              </w:rPr>
              <w:t>0%</w:t>
            </w:r>
          </w:p>
        </w:tc>
      </w:tr>
      <w:tr w:rsidR="00BB4E21" w14:paraId="72C15671" w14:textId="77777777" w:rsidTr="00056603">
        <w:trPr>
          <w:trHeight w:val="360"/>
        </w:trPr>
        <w:tc>
          <w:tcPr>
            <w:tcW w:w="3978"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5112A79" w14:textId="77777777" w:rsidR="00BB4E21" w:rsidRDefault="00BB4E21" w:rsidP="00056603">
            <w:pPr>
              <w:ind w:right="-108"/>
              <w:rPr>
                <w:rFonts w:ascii="Times New Roman" w:hAnsi="Times New Roman" w:cs="Times New Roman"/>
                <w:b/>
                <w:bCs/>
              </w:rPr>
            </w:pPr>
            <w:r>
              <w:rPr>
                <w:rFonts w:ascii="Times New Roman" w:eastAsia="Calibri" w:hAnsi="Times New Roman" w:cs="Times New Roman"/>
              </w:rPr>
              <w:lastRenderedPageBreak/>
              <w:t>New/Worsening Atrial Fibrillation</w:t>
            </w:r>
          </w:p>
        </w:tc>
        <w:tc>
          <w:tcPr>
            <w:tcW w:w="259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E972272" w14:textId="77777777" w:rsidR="00BB4E21" w:rsidRDefault="00BB4E21" w:rsidP="00056603">
            <w:pPr>
              <w:ind w:right="-144"/>
              <w:jc w:val="center"/>
              <w:rPr>
                <w:rFonts w:ascii="Times New Roman" w:hAnsi="Times New Roman" w:cs="Times New Roman"/>
                <w:b/>
                <w:bCs/>
              </w:rPr>
            </w:pPr>
            <w:r>
              <w:rPr>
                <w:rFonts w:ascii="Times New Roman" w:eastAsia="Calibri" w:hAnsi="Times New Roman" w:cs="Times New Roman"/>
              </w:rPr>
              <w:t>0.25 (0.18-0.36)</w:t>
            </w:r>
          </w:p>
        </w:tc>
        <w:tc>
          <w:tcPr>
            <w:tcW w:w="144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7115BFC" w14:textId="77777777" w:rsidR="00BB4E21" w:rsidRDefault="00BB4E21" w:rsidP="00056603">
            <w:pPr>
              <w:ind w:right="-90"/>
              <w:jc w:val="center"/>
              <w:rPr>
                <w:rFonts w:ascii="Times New Roman" w:hAnsi="Times New Roman" w:cs="Times New Roman"/>
                <w:b/>
                <w:bCs/>
              </w:rPr>
            </w:pPr>
            <w:r>
              <w:rPr>
                <w:rFonts w:ascii="Times New Roman" w:eastAsia="Calibri" w:hAnsi="Times New Roman" w:cs="Times New Roman"/>
              </w:rPr>
              <w:t>&lt;0.001</w:t>
            </w:r>
          </w:p>
        </w:tc>
        <w:tc>
          <w:tcPr>
            <w:tcW w:w="144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002B408" w14:textId="77777777" w:rsidR="00BB4E21" w:rsidRDefault="00BB4E21" w:rsidP="00056603">
            <w:pPr>
              <w:ind w:right="-126"/>
              <w:jc w:val="center"/>
              <w:rPr>
                <w:rFonts w:ascii="Times New Roman" w:hAnsi="Times New Roman" w:cs="Times New Roman"/>
                <w:b/>
                <w:bCs/>
              </w:rPr>
            </w:pPr>
            <w:r>
              <w:rPr>
                <w:rFonts w:ascii="Times New Roman" w:eastAsia="Calibri" w:hAnsi="Times New Roman" w:cs="Times New Roman"/>
              </w:rPr>
              <w:t>72%</w:t>
            </w:r>
          </w:p>
        </w:tc>
      </w:tr>
      <w:tr w:rsidR="00BB4E21" w14:paraId="776C97C2" w14:textId="77777777" w:rsidTr="00056603">
        <w:trPr>
          <w:trHeight w:val="360"/>
        </w:trPr>
        <w:tc>
          <w:tcPr>
            <w:tcW w:w="3978"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7E1E2E73" w14:textId="77777777" w:rsidR="00BB4E21" w:rsidRDefault="00BB4E21" w:rsidP="00056603">
            <w:pPr>
              <w:ind w:right="-108"/>
              <w:rPr>
                <w:rFonts w:ascii="Times New Roman" w:hAnsi="Times New Roman" w:cs="Times New Roman"/>
                <w:b/>
                <w:bCs/>
              </w:rPr>
            </w:pPr>
            <w:r>
              <w:rPr>
                <w:rFonts w:ascii="Times New Roman" w:eastAsia="Calibri" w:hAnsi="Times New Roman" w:cs="Times New Roman"/>
              </w:rPr>
              <w:t>Life-Threatening/Disabling Bleeding</w:t>
            </w:r>
          </w:p>
        </w:tc>
        <w:tc>
          <w:tcPr>
            <w:tcW w:w="2592"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66E8E64A" w14:textId="77777777" w:rsidR="00BB4E21" w:rsidRDefault="00BB4E21" w:rsidP="00056603">
            <w:pPr>
              <w:ind w:right="-144"/>
              <w:jc w:val="center"/>
              <w:rPr>
                <w:rFonts w:ascii="Times New Roman" w:hAnsi="Times New Roman" w:cs="Times New Roman"/>
                <w:b/>
                <w:bCs/>
              </w:rPr>
            </w:pPr>
            <w:r>
              <w:rPr>
                <w:rFonts w:ascii="Times New Roman" w:eastAsia="Calibri" w:hAnsi="Times New Roman" w:cs="Times New Roman"/>
              </w:rPr>
              <w:t>0.35 (0.22-0.56)</w:t>
            </w:r>
          </w:p>
        </w:tc>
        <w:tc>
          <w:tcPr>
            <w:tcW w:w="1440"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0FD7901C" w14:textId="77777777" w:rsidR="00BB4E21" w:rsidRDefault="00BB4E21" w:rsidP="00056603">
            <w:pPr>
              <w:ind w:right="-90"/>
              <w:jc w:val="center"/>
              <w:rPr>
                <w:rFonts w:ascii="Times New Roman" w:hAnsi="Times New Roman" w:cs="Times New Roman"/>
                <w:b/>
                <w:bCs/>
              </w:rPr>
            </w:pPr>
            <w:r>
              <w:rPr>
                <w:rFonts w:ascii="Times New Roman" w:eastAsia="Calibri" w:hAnsi="Times New Roman" w:cs="Times New Roman"/>
              </w:rPr>
              <w:t>&lt;0.001</w:t>
            </w:r>
          </w:p>
        </w:tc>
        <w:tc>
          <w:tcPr>
            <w:tcW w:w="1440"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5BC032E0" w14:textId="77777777" w:rsidR="00BB4E21" w:rsidRDefault="00BB4E21" w:rsidP="00056603">
            <w:pPr>
              <w:ind w:right="-126"/>
              <w:jc w:val="center"/>
              <w:rPr>
                <w:rFonts w:ascii="Times New Roman" w:hAnsi="Times New Roman" w:cs="Times New Roman"/>
                <w:b/>
                <w:bCs/>
              </w:rPr>
            </w:pPr>
            <w:r>
              <w:rPr>
                <w:rFonts w:ascii="Times New Roman" w:eastAsia="Calibri" w:hAnsi="Times New Roman" w:cs="Times New Roman"/>
              </w:rPr>
              <w:t>57%</w:t>
            </w:r>
          </w:p>
        </w:tc>
      </w:tr>
      <w:tr w:rsidR="00BB4E21" w14:paraId="2A6D5FBF" w14:textId="77777777" w:rsidTr="00056603">
        <w:trPr>
          <w:trHeight w:val="360"/>
        </w:trPr>
        <w:tc>
          <w:tcPr>
            <w:tcW w:w="3978"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C06EC42" w14:textId="77777777" w:rsidR="00BB4E21" w:rsidRDefault="00BB4E21" w:rsidP="00056603">
            <w:pPr>
              <w:ind w:right="-108"/>
              <w:rPr>
                <w:rFonts w:ascii="Times New Roman" w:hAnsi="Times New Roman" w:cs="Times New Roman"/>
                <w:b/>
                <w:bCs/>
              </w:rPr>
            </w:pPr>
            <w:r>
              <w:rPr>
                <w:rFonts w:ascii="Times New Roman" w:eastAsia="Calibri" w:hAnsi="Times New Roman" w:cs="Times New Roman"/>
              </w:rPr>
              <w:t>AKI Stage 2/3</w:t>
            </w:r>
          </w:p>
        </w:tc>
        <w:tc>
          <w:tcPr>
            <w:tcW w:w="259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50A26057" w14:textId="77777777" w:rsidR="00BB4E21" w:rsidRDefault="00BB4E21" w:rsidP="00056603">
            <w:pPr>
              <w:ind w:right="-144"/>
              <w:jc w:val="center"/>
              <w:rPr>
                <w:rFonts w:ascii="Times New Roman" w:hAnsi="Times New Roman" w:cs="Times New Roman"/>
                <w:b/>
                <w:bCs/>
              </w:rPr>
            </w:pPr>
            <w:r>
              <w:rPr>
                <w:rFonts w:ascii="Times New Roman" w:eastAsia="Calibri" w:hAnsi="Times New Roman" w:cs="Times New Roman"/>
              </w:rPr>
              <w:t>0.27 (0.14-0.56)</w:t>
            </w:r>
          </w:p>
        </w:tc>
        <w:tc>
          <w:tcPr>
            <w:tcW w:w="144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056C493" w14:textId="77777777" w:rsidR="00BB4E21" w:rsidRDefault="00BB4E21" w:rsidP="00056603">
            <w:pPr>
              <w:ind w:right="-90"/>
              <w:jc w:val="center"/>
              <w:rPr>
                <w:rFonts w:ascii="Times New Roman" w:hAnsi="Times New Roman" w:cs="Times New Roman"/>
                <w:b/>
                <w:bCs/>
              </w:rPr>
            </w:pPr>
            <w:r>
              <w:rPr>
                <w:rFonts w:ascii="Times New Roman" w:eastAsia="Calibri" w:hAnsi="Times New Roman" w:cs="Times New Roman"/>
              </w:rPr>
              <w:t>&lt;0.001</w:t>
            </w:r>
          </w:p>
        </w:tc>
        <w:tc>
          <w:tcPr>
            <w:tcW w:w="144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BBFDC26" w14:textId="77777777" w:rsidR="00BB4E21" w:rsidRDefault="00BB4E21" w:rsidP="00056603">
            <w:pPr>
              <w:ind w:right="-126"/>
              <w:jc w:val="center"/>
              <w:rPr>
                <w:rFonts w:ascii="Times New Roman" w:hAnsi="Times New Roman" w:cs="Times New Roman"/>
                <w:b/>
                <w:bCs/>
              </w:rPr>
            </w:pPr>
            <w:r>
              <w:rPr>
                <w:rFonts w:ascii="Times New Roman" w:eastAsia="Calibri" w:hAnsi="Times New Roman" w:cs="Times New Roman"/>
              </w:rPr>
              <w:t>0%</w:t>
            </w:r>
          </w:p>
        </w:tc>
      </w:tr>
      <w:tr w:rsidR="00BB4E21" w14:paraId="00EB0C75" w14:textId="77777777" w:rsidTr="00056603">
        <w:trPr>
          <w:trHeight w:val="360"/>
        </w:trPr>
        <w:tc>
          <w:tcPr>
            <w:tcW w:w="3978"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40FEDE41" w14:textId="77777777" w:rsidR="00BB4E21" w:rsidRDefault="00BB4E21" w:rsidP="00056603">
            <w:pPr>
              <w:ind w:right="-108"/>
              <w:rPr>
                <w:rFonts w:ascii="Times New Roman" w:hAnsi="Times New Roman" w:cs="Times New Roman"/>
                <w:b/>
                <w:bCs/>
              </w:rPr>
            </w:pPr>
            <w:r>
              <w:rPr>
                <w:rFonts w:ascii="Times New Roman" w:eastAsia="Calibri" w:hAnsi="Times New Roman" w:cs="Times New Roman"/>
              </w:rPr>
              <w:t>PPM Implantation</w:t>
            </w:r>
          </w:p>
        </w:tc>
        <w:tc>
          <w:tcPr>
            <w:tcW w:w="2592"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0CA1427A" w14:textId="77777777" w:rsidR="00BB4E21" w:rsidRDefault="00BB4E21" w:rsidP="00056603">
            <w:pPr>
              <w:ind w:right="-144"/>
              <w:jc w:val="center"/>
              <w:rPr>
                <w:rFonts w:ascii="Times New Roman" w:hAnsi="Times New Roman" w:cs="Times New Roman"/>
                <w:b/>
                <w:bCs/>
              </w:rPr>
            </w:pPr>
            <w:r>
              <w:rPr>
                <w:rFonts w:ascii="Times New Roman" w:eastAsia="Calibri" w:hAnsi="Times New Roman" w:cs="Times New Roman"/>
              </w:rPr>
              <w:t>3.42 (1.33-8.82)</w:t>
            </w:r>
          </w:p>
        </w:tc>
        <w:tc>
          <w:tcPr>
            <w:tcW w:w="1440"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217FF426" w14:textId="77777777" w:rsidR="00BB4E21" w:rsidRDefault="00BB4E21" w:rsidP="00056603">
            <w:pPr>
              <w:ind w:right="-90"/>
              <w:jc w:val="center"/>
              <w:rPr>
                <w:rFonts w:ascii="Times New Roman" w:hAnsi="Times New Roman" w:cs="Times New Roman"/>
                <w:b/>
                <w:bCs/>
              </w:rPr>
            </w:pPr>
            <w:r>
              <w:rPr>
                <w:rFonts w:ascii="Times New Roman" w:eastAsia="Calibri" w:hAnsi="Times New Roman" w:cs="Times New Roman"/>
              </w:rPr>
              <w:t>0.01</w:t>
            </w:r>
          </w:p>
        </w:tc>
        <w:tc>
          <w:tcPr>
            <w:tcW w:w="1440"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44C627A0" w14:textId="77777777" w:rsidR="00BB4E21" w:rsidRDefault="00BB4E21" w:rsidP="00056603">
            <w:pPr>
              <w:ind w:right="-126"/>
              <w:jc w:val="center"/>
              <w:rPr>
                <w:rFonts w:ascii="Times New Roman" w:hAnsi="Times New Roman" w:cs="Times New Roman"/>
                <w:b/>
                <w:bCs/>
              </w:rPr>
            </w:pPr>
            <w:r>
              <w:rPr>
                <w:rFonts w:ascii="Times New Roman" w:eastAsia="Calibri" w:hAnsi="Times New Roman" w:cs="Times New Roman"/>
              </w:rPr>
              <w:t>88%</w:t>
            </w:r>
          </w:p>
        </w:tc>
      </w:tr>
      <w:tr w:rsidR="00BB4E21" w14:paraId="1D05B81B" w14:textId="77777777" w:rsidTr="00056603">
        <w:trPr>
          <w:trHeight w:val="360"/>
        </w:trPr>
        <w:tc>
          <w:tcPr>
            <w:tcW w:w="3978"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5449841F" w14:textId="77777777" w:rsidR="00BB4E21" w:rsidRDefault="00BB4E21" w:rsidP="00056603">
            <w:pPr>
              <w:ind w:right="-108"/>
              <w:rPr>
                <w:rFonts w:ascii="Times New Roman" w:hAnsi="Times New Roman" w:cs="Times New Roman"/>
                <w:b/>
                <w:bCs/>
              </w:rPr>
            </w:pPr>
            <w:r>
              <w:rPr>
                <w:rFonts w:ascii="Times New Roman" w:eastAsia="Calibri" w:hAnsi="Times New Roman" w:cs="Times New Roman"/>
              </w:rPr>
              <w:t>Moderate/Severe PVL</w:t>
            </w:r>
          </w:p>
        </w:tc>
        <w:tc>
          <w:tcPr>
            <w:tcW w:w="259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235E8C21" w14:textId="77777777" w:rsidR="00BB4E21" w:rsidRDefault="00BB4E21" w:rsidP="00056603">
            <w:pPr>
              <w:ind w:right="-144"/>
              <w:jc w:val="center"/>
              <w:rPr>
                <w:rFonts w:ascii="Times New Roman" w:hAnsi="Times New Roman" w:cs="Times New Roman"/>
                <w:b/>
                <w:bCs/>
              </w:rPr>
            </w:pPr>
            <w:r>
              <w:rPr>
                <w:rFonts w:ascii="Times New Roman" w:eastAsia="Calibri" w:hAnsi="Times New Roman" w:cs="Times New Roman"/>
              </w:rPr>
              <w:t>2.16 (1.03-4.54)</w:t>
            </w:r>
          </w:p>
        </w:tc>
        <w:tc>
          <w:tcPr>
            <w:tcW w:w="144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7D329E62" w14:textId="77777777" w:rsidR="00BB4E21" w:rsidRDefault="00BB4E21" w:rsidP="00056603">
            <w:pPr>
              <w:ind w:right="-90"/>
              <w:jc w:val="center"/>
              <w:rPr>
                <w:rFonts w:ascii="Times New Roman" w:hAnsi="Times New Roman" w:cs="Times New Roman"/>
                <w:b/>
                <w:bCs/>
              </w:rPr>
            </w:pPr>
            <w:r>
              <w:rPr>
                <w:rFonts w:ascii="Times New Roman" w:eastAsia="Calibri" w:hAnsi="Times New Roman" w:cs="Times New Roman"/>
              </w:rPr>
              <w:t>0.04</w:t>
            </w:r>
          </w:p>
        </w:tc>
        <w:tc>
          <w:tcPr>
            <w:tcW w:w="144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9F311FC" w14:textId="77777777" w:rsidR="00BB4E21" w:rsidRDefault="00BB4E21" w:rsidP="00056603">
            <w:pPr>
              <w:ind w:right="-126"/>
              <w:jc w:val="center"/>
              <w:rPr>
                <w:rFonts w:ascii="Times New Roman" w:hAnsi="Times New Roman" w:cs="Times New Roman"/>
                <w:b/>
                <w:bCs/>
              </w:rPr>
            </w:pPr>
            <w:r>
              <w:rPr>
                <w:rFonts w:ascii="Times New Roman" w:eastAsia="Calibri" w:hAnsi="Times New Roman" w:cs="Times New Roman"/>
              </w:rPr>
              <w:t>18%</w:t>
            </w:r>
          </w:p>
        </w:tc>
      </w:tr>
      <w:tr w:rsidR="00BB4E21" w14:paraId="1B71AB61" w14:textId="77777777" w:rsidTr="00056603">
        <w:trPr>
          <w:trHeight w:val="360"/>
        </w:trPr>
        <w:tc>
          <w:tcPr>
            <w:tcW w:w="3978"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7F74A930" w14:textId="77777777" w:rsidR="00BB4E21" w:rsidRDefault="00BB4E21" w:rsidP="00056603">
            <w:pPr>
              <w:ind w:right="-108"/>
              <w:rPr>
                <w:rFonts w:ascii="Times New Roman" w:hAnsi="Times New Roman" w:cs="Times New Roman"/>
                <w:b/>
                <w:bCs/>
              </w:rPr>
            </w:pPr>
            <w:r>
              <w:rPr>
                <w:rFonts w:ascii="Times New Roman" w:eastAsia="Calibri" w:hAnsi="Times New Roman" w:cs="Times New Roman"/>
              </w:rPr>
              <w:t>Major Vascular Complications</w:t>
            </w:r>
          </w:p>
        </w:tc>
        <w:tc>
          <w:tcPr>
            <w:tcW w:w="2592"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398B9E49" w14:textId="77777777" w:rsidR="00BB4E21" w:rsidRDefault="00BB4E21" w:rsidP="00056603">
            <w:pPr>
              <w:ind w:right="-144"/>
              <w:jc w:val="center"/>
              <w:rPr>
                <w:rFonts w:ascii="Times New Roman" w:hAnsi="Times New Roman" w:cs="Times New Roman"/>
                <w:b/>
                <w:bCs/>
              </w:rPr>
            </w:pPr>
            <w:r>
              <w:rPr>
                <w:rFonts w:ascii="Times New Roman" w:eastAsia="Calibri" w:hAnsi="Times New Roman" w:cs="Times New Roman"/>
              </w:rPr>
              <w:t>1.49 (0.83-2.67)</w:t>
            </w:r>
          </w:p>
        </w:tc>
        <w:tc>
          <w:tcPr>
            <w:tcW w:w="1440"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3C441622" w14:textId="77777777" w:rsidR="00BB4E21" w:rsidRDefault="00BB4E21" w:rsidP="00056603">
            <w:pPr>
              <w:ind w:right="-90"/>
              <w:jc w:val="center"/>
              <w:rPr>
                <w:rFonts w:ascii="Times New Roman" w:hAnsi="Times New Roman" w:cs="Times New Roman"/>
                <w:b/>
                <w:bCs/>
              </w:rPr>
            </w:pPr>
            <w:r>
              <w:rPr>
                <w:rFonts w:ascii="Times New Roman" w:eastAsia="Calibri" w:hAnsi="Times New Roman" w:cs="Times New Roman"/>
              </w:rPr>
              <w:t>0.18</w:t>
            </w:r>
          </w:p>
        </w:tc>
        <w:tc>
          <w:tcPr>
            <w:tcW w:w="1440"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1B11F85C" w14:textId="77777777" w:rsidR="00BB4E21" w:rsidRDefault="00BB4E21" w:rsidP="00056603">
            <w:pPr>
              <w:ind w:right="-126"/>
              <w:jc w:val="center"/>
              <w:rPr>
                <w:rFonts w:ascii="Times New Roman" w:hAnsi="Times New Roman" w:cs="Times New Roman"/>
                <w:b/>
                <w:bCs/>
              </w:rPr>
            </w:pPr>
            <w:r>
              <w:rPr>
                <w:rFonts w:ascii="Times New Roman" w:eastAsia="Calibri" w:hAnsi="Times New Roman" w:cs="Times New Roman"/>
              </w:rPr>
              <w:t>27%</w:t>
            </w:r>
          </w:p>
        </w:tc>
      </w:tr>
      <w:tr w:rsidR="00BB4E21" w14:paraId="0F4C87C3" w14:textId="77777777" w:rsidTr="00056603">
        <w:trPr>
          <w:trHeight w:val="360"/>
        </w:trPr>
        <w:tc>
          <w:tcPr>
            <w:tcW w:w="3978"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72C8666D" w14:textId="77777777" w:rsidR="00BB4E21" w:rsidRDefault="00BB4E21" w:rsidP="00056603">
            <w:pPr>
              <w:ind w:right="-108"/>
              <w:rPr>
                <w:rFonts w:ascii="Times New Roman" w:hAnsi="Times New Roman" w:cs="Times New Roman"/>
                <w:b/>
                <w:bCs/>
              </w:rPr>
            </w:pPr>
            <w:r>
              <w:rPr>
                <w:rFonts w:ascii="Times New Roman" w:eastAsia="Calibri" w:hAnsi="Times New Roman" w:cs="Times New Roman"/>
              </w:rPr>
              <w:t>Endocarditis</w:t>
            </w:r>
          </w:p>
        </w:tc>
        <w:tc>
          <w:tcPr>
            <w:tcW w:w="259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D0E5AAA" w14:textId="77777777" w:rsidR="00BB4E21" w:rsidRDefault="00BB4E21" w:rsidP="00056603">
            <w:pPr>
              <w:ind w:right="-144"/>
              <w:jc w:val="center"/>
              <w:rPr>
                <w:rFonts w:ascii="Times New Roman" w:hAnsi="Times New Roman" w:cs="Times New Roman"/>
                <w:b/>
                <w:bCs/>
              </w:rPr>
            </w:pPr>
            <w:r>
              <w:rPr>
                <w:rFonts w:ascii="Times New Roman" w:eastAsia="Calibri" w:hAnsi="Times New Roman" w:cs="Times New Roman"/>
              </w:rPr>
              <w:t>0.82 (0.25-2.66)</w:t>
            </w:r>
          </w:p>
        </w:tc>
        <w:tc>
          <w:tcPr>
            <w:tcW w:w="144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7AB8D0FE" w14:textId="77777777" w:rsidR="00BB4E21" w:rsidRDefault="00BB4E21" w:rsidP="00056603">
            <w:pPr>
              <w:ind w:right="-90"/>
              <w:jc w:val="center"/>
              <w:rPr>
                <w:rFonts w:ascii="Times New Roman" w:hAnsi="Times New Roman" w:cs="Times New Roman"/>
                <w:b/>
                <w:bCs/>
              </w:rPr>
            </w:pPr>
            <w:r>
              <w:rPr>
                <w:rFonts w:ascii="Times New Roman" w:eastAsia="Calibri" w:hAnsi="Times New Roman" w:cs="Times New Roman"/>
              </w:rPr>
              <w:t>0.74</w:t>
            </w:r>
          </w:p>
        </w:tc>
        <w:tc>
          <w:tcPr>
            <w:tcW w:w="144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F36AB0B" w14:textId="77777777" w:rsidR="00BB4E21" w:rsidRDefault="00BB4E21" w:rsidP="00056603">
            <w:pPr>
              <w:ind w:right="-126"/>
              <w:jc w:val="center"/>
              <w:rPr>
                <w:rFonts w:ascii="Times New Roman" w:hAnsi="Times New Roman" w:cs="Times New Roman"/>
                <w:b/>
                <w:bCs/>
              </w:rPr>
            </w:pPr>
            <w:r>
              <w:rPr>
                <w:rFonts w:ascii="Times New Roman" w:eastAsia="Calibri" w:hAnsi="Times New Roman" w:cs="Times New Roman"/>
              </w:rPr>
              <w:t>0%</w:t>
            </w:r>
          </w:p>
        </w:tc>
      </w:tr>
      <w:tr w:rsidR="00BB4E21" w14:paraId="7C5BAA02" w14:textId="77777777" w:rsidTr="00056603">
        <w:trPr>
          <w:trHeight w:val="360"/>
        </w:trPr>
        <w:tc>
          <w:tcPr>
            <w:tcW w:w="3978"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0600F140" w14:textId="77777777" w:rsidR="00BB4E21" w:rsidRDefault="00BB4E21" w:rsidP="00056603">
            <w:pPr>
              <w:ind w:right="-108"/>
              <w:rPr>
                <w:rFonts w:ascii="Times New Roman" w:hAnsi="Times New Roman" w:cs="Times New Roman"/>
                <w:b/>
                <w:bCs/>
              </w:rPr>
            </w:pPr>
            <w:r>
              <w:rPr>
                <w:rFonts w:ascii="Times New Roman" w:eastAsia="Calibri" w:hAnsi="Times New Roman" w:cs="Times New Roman"/>
              </w:rPr>
              <w:t>Aortic Valve Reintervention</w:t>
            </w:r>
          </w:p>
        </w:tc>
        <w:tc>
          <w:tcPr>
            <w:tcW w:w="2592"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6D33DA92" w14:textId="77777777" w:rsidR="00BB4E21" w:rsidRDefault="00BB4E21" w:rsidP="00056603">
            <w:pPr>
              <w:ind w:right="-144"/>
              <w:jc w:val="center"/>
              <w:rPr>
                <w:rFonts w:ascii="Times New Roman" w:hAnsi="Times New Roman" w:cs="Times New Roman"/>
                <w:b/>
                <w:bCs/>
              </w:rPr>
            </w:pPr>
            <w:r>
              <w:rPr>
                <w:rFonts w:ascii="Times New Roman" w:eastAsia="Calibri" w:hAnsi="Times New Roman" w:cs="Times New Roman"/>
              </w:rPr>
              <w:t>1.24 (0.43-2.56)</w:t>
            </w:r>
          </w:p>
        </w:tc>
        <w:tc>
          <w:tcPr>
            <w:tcW w:w="1440"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79550753" w14:textId="77777777" w:rsidR="00BB4E21" w:rsidRDefault="00BB4E21" w:rsidP="00056603">
            <w:pPr>
              <w:ind w:right="-90"/>
              <w:jc w:val="center"/>
              <w:rPr>
                <w:rFonts w:ascii="Times New Roman" w:hAnsi="Times New Roman" w:cs="Times New Roman"/>
                <w:b/>
                <w:bCs/>
              </w:rPr>
            </w:pPr>
            <w:r>
              <w:rPr>
                <w:rFonts w:ascii="Times New Roman" w:eastAsia="Calibri" w:hAnsi="Times New Roman" w:cs="Times New Roman"/>
              </w:rPr>
              <w:t>0.69</w:t>
            </w:r>
          </w:p>
        </w:tc>
        <w:tc>
          <w:tcPr>
            <w:tcW w:w="1440" w:type="dxa"/>
            <w:tcBorders>
              <w:top w:val="single" w:sz="4" w:space="0" w:color="BFBFBF"/>
              <w:left w:val="single" w:sz="4" w:space="0" w:color="BFBFBF"/>
              <w:bottom w:val="single" w:sz="4" w:space="0" w:color="BFBFBF"/>
              <w:right w:val="single" w:sz="4" w:space="0" w:color="BFBFBF"/>
            </w:tcBorders>
            <w:shd w:val="clear" w:color="FFFFFF" w:fill="F2F2F2"/>
            <w:tcMar>
              <w:top w:w="0" w:type="dxa"/>
              <w:left w:w="108" w:type="dxa"/>
              <w:bottom w:w="0" w:type="dxa"/>
              <w:right w:w="108" w:type="dxa"/>
            </w:tcMar>
          </w:tcPr>
          <w:p w14:paraId="4E06F7C2" w14:textId="77777777" w:rsidR="00BB4E21" w:rsidRDefault="00BB4E21" w:rsidP="00056603">
            <w:pPr>
              <w:ind w:right="-126"/>
              <w:jc w:val="center"/>
              <w:rPr>
                <w:rFonts w:ascii="Times New Roman" w:hAnsi="Times New Roman" w:cs="Times New Roman"/>
                <w:b/>
                <w:bCs/>
              </w:rPr>
            </w:pPr>
            <w:r>
              <w:rPr>
                <w:rFonts w:ascii="Times New Roman" w:eastAsia="Calibri" w:hAnsi="Times New Roman" w:cs="Times New Roman"/>
              </w:rPr>
              <w:t>0%</w:t>
            </w:r>
          </w:p>
        </w:tc>
      </w:tr>
      <w:tr w:rsidR="00BB4E21" w14:paraId="4C1D6008" w14:textId="77777777" w:rsidTr="00056603">
        <w:trPr>
          <w:trHeight w:val="360"/>
        </w:trPr>
        <w:tc>
          <w:tcPr>
            <w:tcW w:w="3978"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3961B71" w14:textId="77777777" w:rsidR="00BB4E21" w:rsidRDefault="00BB4E21" w:rsidP="00056603">
            <w:pPr>
              <w:ind w:right="-108"/>
              <w:rPr>
                <w:rFonts w:ascii="Times New Roman" w:hAnsi="Times New Roman" w:cs="Times New Roman"/>
                <w:b/>
                <w:bCs/>
              </w:rPr>
            </w:pPr>
            <w:r>
              <w:rPr>
                <w:rFonts w:ascii="Times New Roman" w:eastAsia="Calibri" w:hAnsi="Times New Roman" w:cs="Times New Roman"/>
              </w:rPr>
              <w:t>NYHA Class ≥II</w:t>
            </w:r>
          </w:p>
        </w:tc>
        <w:tc>
          <w:tcPr>
            <w:tcW w:w="2592"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0A79CB0" w14:textId="77777777" w:rsidR="00BB4E21" w:rsidRDefault="00BB4E21" w:rsidP="00056603">
            <w:pPr>
              <w:ind w:right="-144"/>
              <w:jc w:val="center"/>
              <w:rPr>
                <w:rFonts w:ascii="Times New Roman" w:hAnsi="Times New Roman" w:cs="Times New Roman"/>
                <w:b/>
                <w:bCs/>
              </w:rPr>
            </w:pPr>
            <w:r>
              <w:rPr>
                <w:rFonts w:ascii="Times New Roman" w:eastAsia="Calibri" w:hAnsi="Times New Roman" w:cs="Times New Roman"/>
              </w:rPr>
              <w:t>1.24 (0.96-1.61)</w:t>
            </w:r>
          </w:p>
        </w:tc>
        <w:tc>
          <w:tcPr>
            <w:tcW w:w="144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932CF3A" w14:textId="77777777" w:rsidR="00BB4E21" w:rsidRDefault="00BB4E21" w:rsidP="00056603">
            <w:pPr>
              <w:ind w:right="-90"/>
              <w:jc w:val="center"/>
              <w:rPr>
                <w:rFonts w:ascii="Times New Roman" w:hAnsi="Times New Roman" w:cs="Times New Roman"/>
                <w:b/>
                <w:bCs/>
              </w:rPr>
            </w:pPr>
            <w:r>
              <w:rPr>
                <w:rFonts w:ascii="Times New Roman" w:eastAsia="Calibri" w:hAnsi="Times New Roman" w:cs="Times New Roman"/>
              </w:rPr>
              <w:t>0.11</w:t>
            </w:r>
          </w:p>
        </w:tc>
        <w:tc>
          <w:tcPr>
            <w:tcW w:w="1440" w:type="dxa"/>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7D449BE3" w14:textId="77777777" w:rsidR="00BB4E21" w:rsidRDefault="00BB4E21" w:rsidP="00056603">
            <w:pPr>
              <w:ind w:right="-126"/>
              <w:jc w:val="center"/>
              <w:rPr>
                <w:rFonts w:ascii="Times New Roman" w:hAnsi="Times New Roman" w:cs="Times New Roman"/>
                <w:b/>
                <w:bCs/>
              </w:rPr>
            </w:pPr>
            <w:r>
              <w:rPr>
                <w:rFonts w:ascii="Times New Roman" w:eastAsia="Calibri" w:hAnsi="Times New Roman" w:cs="Times New Roman"/>
              </w:rPr>
              <w:t>45%</w:t>
            </w:r>
          </w:p>
        </w:tc>
      </w:tr>
    </w:tbl>
    <w:p w14:paraId="1DF9E375" w14:textId="77777777" w:rsidR="00BB4E21" w:rsidRDefault="00BB4E21" w:rsidP="00BB4E21">
      <w:pPr>
        <w:spacing w:line="480" w:lineRule="auto"/>
        <w:ind w:right="2880"/>
        <w:rPr>
          <w:rFonts w:ascii="Times New Roman" w:hAnsi="Times New Roman" w:cs="Times New Roman"/>
          <w:b/>
          <w:bCs/>
        </w:rPr>
      </w:pPr>
      <w:r>
        <w:rPr>
          <w:rFonts w:ascii="Times New Roman" w:eastAsia="Calibri" w:hAnsi="Times New Roman" w:cs="Times New Roman"/>
          <w:i/>
          <w:iCs/>
        </w:rPr>
        <w:t>PPM = permanent pacemaker; AKI = acute kidney injury; PVL = paravalvular leak; NYHA = New York Heart Association</w:t>
      </w:r>
      <w:r>
        <w:rPr>
          <w:rFonts w:ascii="Times New Roman" w:eastAsia="Calibri" w:hAnsi="Times New Roman" w:cs="Times New Roman"/>
          <w:b/>
          <w:bCs/>
        </w:rPr>
        <w:br w:type="page"/>
      </w:r>
    </w:p>
    <w:p w14:paraId="1697BD19" w14:textId="77777777" w:rsidR="00BB4E21" w:rsidRDefault="00BB4E21" w:rsidP="00BB4E21">
      <w:pPr>
        <w:spacing w:line="480" w:lineRule="auto"/>
        <w:ind w:right="2880"/>
        <w:rPr>
          <w:rFonts w:ascii="Times New Roman" w:hAnsi="Times New Roman" w:cs="Times New Roman"/>
          <w:b/>
          <w:i/>
          <w:iCs/>
        </w:rPr>
      </w:pPr>
    </w:p>
    <w:p w14:paraId="356A8873" w14:textId="77777777" w:rsidR="00BB4E21" w:rsidRDefault="00BB4E21" w:rsidP="00BB4E21">
      <w:pPr>
        <w:rPr>
          <w:rFonts w:ascii="Times New Roman" w:hAnsi="Times New Roman" w:cs="Times New Roman"/>
          <w:i/>
          <w:iCs/>
        </w:rPr>
      </w:pPr>
    </w:p>
    <w:p w14:paraId="7A2334BE" w14:textId="77777777" w:rsidR="00BB4E21" w:rsidRDefault="00BB4E21" w:rsidP="00BB4E21">
      <w:pPr>
        <w:rPr>
          <w:rFonts w:ascii="Times New Roman" w:hAnsi="Times New Roman" w:cs="Times New Roman"/>
          <w:i/>
          <w:iCs/>
        </w:rPr>
      </w:pPr>
    </w:p>
    <w:p w14:paraId="15E79B72" w14:textId="77777777" w:rsidR="00BB4E21" w:rsidRDefault="00BB4E21" w:rsidP="00BB4E21">
      <w:pPr>
        <w:rPr>
          <w:rFonts w:ascii="Times New Roman" w:hAnsi="Times New Roman" w:cs="Times New Roman"/>
          <w:i/>
          <w:iCs/>
        </w:rPr>
      </w:pPr>
    </w:p>
    <w:p w14:paraId="5E958233" w14:textId="77777777" w:rsidR="00D17396" w:rsidRDefault="00D17396">
      <w:pPr>
        <w:rPr>
          <w:rFonts w:ascii="Times New Roman" w:hAnsi="Times New Roman" w:cs="Times New Roman"/>
        </w:rPr>
      </w:pPr>
    </w:p>
    <w:sectPr w:rsidR="00D17396">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921752" w14:textId="77777777" w:rsidR="00394D51" w:rsidRDefault="00394D51">
      <w:pPr>
        <w:spacing w:after="0" w:line="240" w:lineRule="auto"/>
      </w:pPr>
      <w:r>
        <w:separator/>
      </w:r>
    </w:p>
  </w:endnote>
  <w:endnote w:type="continuationSeparator" w:id="0">
    <w:p w14:paraId="32336327" w14:textId="77777777" w:rsidR="00394D51" w:rsidRDefault="00394D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ptos Display">
    <w:altName w:val="Calibri"/>
    <w:charset w:val="00"/>
    <w:family w:val="swiss"/>
    <w:pitch w:val="variable"/>
    <w:sig w:usb0="20000287" w:usb1="00000003"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1E0C92" w14:textId="77777777" w:rsidR="00442DA7" w:rsidRDefault="00442D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64FBEC" w14:textId="4A9BC8CE" w:rsidR="00D17396" w:rsidRDefault="00394D51">
    <w:pPr>
      <w:pStyle w:val="Header"/>
      <w:jc w:val="center"/>
    </w:pPr>
    <w:r>
      <w:fldChar w:fldCharType="begin"/>
    </w:r>
    <w:r>
      <w:instrText>PAGE</w:instrText>
    </w:r>
    <w:r>
      <w:fldChar w:fldCharType="separate"/>
    </w:r>
    <w:r w:rsidR="000E36B3">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02D0D7" w14:textId="77777777" w:rsidR="00442DA7" w:rsidRDefault="00442D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336A5B" w14:textId="77777777" w:rsidR="00394D51" w:rsidRDefault="00394D51">
      <w:pPr>
        <w:spacing w:after="0" w:line="240" w:lineRule="auto"/>
      </w:pPr>
      <w:r>
        <w:separator/>
      </w:r>
    </w:p>
  </w:footnote>
  <w:footnote w:type="continuationSeparator" w:id="0">
    <w:p w14:paraId="76043636" w14:textId="77777777" w:rsidR="00394D51" w:rsidRDefault="00394D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0AE6FE" w14:textId="54D04F76" w:rsidR="00442DA7" w:rsidRDefault="00442DA7">
    <w:pPr>
      <w:pStyle w:val="Header"/>
    </w:pPr>
    <w:r>
      <w:rPr>
        <w:noProof/>
      </w:rPr>
      <w:pict w14:anchorId="1AC00D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8322188"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250AAF" w14:textId="7169575B" w:rsidR="00442DA7" w:rsidRDefault="00442DA7">
    <w:pPr>
      <w:pStyle w:val="Header"/>
    </w:pPr>
    <w:r>
      <w:rPr>
        <w:noProof/>
      </w:rPr>
      <w:pict w14:anchorId="25776B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8322189"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56F656" w14:textId="7FE5E8D2" w:rsidR="00442DA7" w:rsidRDefault="00442DA7">
    <w:pPr>
      <w:pStyle w:val="Header"/>
    </w:pPr>
    <w:r>
      <w:rPr>
        <w:noProof/>
      </w:rPr>
      <w:pict w14:anchorId="23293B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8322187"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0"/>
    <w:lvl w:ilvl="0" w:tplc="C4522940">
      <w:start w:val="1"/>
      <w:numFmt w:val="decimal"/>
      <w:lvlText w:val="%1."/>
      <w:lvlJc w:val="left"/>
      <w:pPr>
        <w:ind w:left="720" w:hanging="360"/>
      </w:pPr>
    </w:lvl>
    <w:lvl w:ilvl="1" w:tplc="029EA96E" w:tentative="1">
      <w:start w:val="1"/>
      <w:numFmt w:val="lowerLetter"/>
      <w:lvlText w:val="%2."/>
      <w:lvlJc w:val="left"/>
      <w:pPr>
        <w:ind w:left="1440" w:hanging="360"/>
      </w:pPr>
    </w:lvl>
    <w:lvl w:ilvl="2" w:tplc="7E224A1A" w:tentative="1">
      <w:start w:val="1"/>
      <w:numFmt w:val="lowerRoman"/>
      <w:lvlText w:val="%3."/>
      <w:lvlJc w:val="right"/>
      <w:pPr>
        <w:ind w:left="2160" w:hanging="360"/>
      </w:pPr>
    </w:lvl>
    <w:lvl w:ilvl="3" w:tplc="4BC2D98C" w:tentative="1">
      <w:start w:val="1"/>
      <w:numFmt w:val="decimal"/>
      <w:lvlText w:val="%4."/>
      <w:lvlJc w:val="left"/>
      <w:pPr>
        <w:ind w:left="2880" w:hanging="360"/>
      </w:pPr>
    </w:lvl>
    <w:lvl w:ilvl="4" w:tplc="7F2660BC" w:tentative="1">
      <w:start w:val="1"/>
      <w:numFmt w:val="lowerLetter"/>
      <w:lvlText w:val="%5."/>
      <w:lvlJc w:val="left"/>
      <w:pPr>
        <w:ind w:left="3600" w:hanging="360"/>
      </w:pPr>
    </w:lvl>
    <w:lvl w:ilvl="5" w:tplc="6C0ECF8C" w:tentative="1">
      <w:start w:val="1"/>
      <w:numFmt w:val="lowerRoman"/>
      <w:lvlText w:val="%6."/>
      <w:lvlJc w:val="right"/>
      <w:pPr>
        <w:ind w:left="4320" w:hanging="360"/>
      </w:pPr>
    </w:lvl>
    <w:lvl w:ilvl="6" w:tplc="E5D6C430" w:tentative="1">
      <w:start w:val="1"/>
      <w:numFmt w:val="decimal"/>
      <w:lvlText w:val="%7."/>
      <w:lvlJc w:val="left"/>
      <w:pPr>
        <w:ind w:left="5040" w:hanging="360"/>
      </w:pPr>
    </w:lvl>
    <w:lvl w:ilvl="7" w:tplc="02DCFE44" w:tentative="1">
      <w:start w:val="1"/>
      <w:numFmt w:val="lowerLetter"/>
      <w:lvlText w:val="%8."/>
      <w:lvlJc w:val="left"/>
      <w:pPr>
        <w:ind w:left="5760" w:hanging="360"/>
      </w:pPr>
    </w:lvl>
    <w:lvl w:ilvl="8" w:tplc="38C2FB28" w:tentative="1">
      <w:start w:val="1"/>
      <w:numFmt w:val="lowerRoman"/>
      <w:lvlText w:val="%9."/>
      <w:lvlJc w:val="right"/>
      <w:pPr>
        <w:ind w:left="6480" w:hanging="360"/>
      </w:pPr>
    </w:lvl>
  </w:abstractNum>
  <w:abstractNum w:abstractNumId="1" w15:restartNumberingAfterBreak="0">
    <w:nsid w:val="00000002"/>
    <w:multiLevelType w:val="hybridMultilevel"/>
    <w:tmpl w:val="000000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2" w15:restartNumberingAfterBreak="0">
    <w:nsid w:val="00000003"/>
    <w:multiLevelType w:val="hybridMultilevel"/>
    <w:tmpl w:val="000000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E74C08"/>
    <w:multiLevelType w:val="hybridMultilevel"/>
    <w:tmpl w:val="00000000"/>
    <w:lvl w:ilvl="0" w:tplc="F1E69662">
      <w:start w:val="1"/>
      <w:numFmt w:val="bullet"/>
      <w:lvlText w:val=""/>
      <w:lvlJc w:val="left"/>
      <w:pPr>
        <w:ind w:left="720" w:hanging="360"/>
      </w:pPr>
      <w:rPr>
        <w:rFonts w:ascii="Wingdings" w:hAnsi="Wingdings" w:hint="default"/>
      </w:rPr>
    </w:lvl>
    <w:lvl w:ilvl="1" w:tplc="D9DC797A" w:tentative="1">
      <w:start w:val="1"/>
      <w:numFmt w:val="bullet"/>
      <w:lvlText w:val="o"/>
      <w:lvlJc w:val="left"/>
      <w:pPr>
        <w:ind w:left="1440" w:hanging="360"/>
      </w:pPr>
      <w:rPr>
        <w:rFonts w:ascii="Courier New" w:hAnsi="Courier New" w:cs="Courier New" w:hint="default"/>
      </w:rPr>
    </w:lvl>
    <w:lvl w:ilvl="2" w:tplc="BFC0AA04" w:tentative="1">
      <w:start w:val="1"/>
      <w:numFmt w:val="bullet"/>
      <w:lvlText w:val=""/>
      <w:lvlJc w:val="left"/>
      <w:pPr>
        <w:ind w:left="2160" w:hanging="360"/>
      </w:pPr>
      <w:rPr>
        <w:rFonts w:ascii="Wingdings" w:hAnsi="Wingdings" w:hint="default"/>
      </w:rPr>
    </w:lvl>
    <w:lvl w:ilvl="3" w:tplc="C714CBC2" w:tentative="1">
      <w:start w:val="1"/>
      <w:numFmt w:val="bullet"/>
      <w:lvlText w:val=""/>
      <w:lvlJc w:val="left"/>
      <w:pPr>
        <w:ind w:left="2880" w:hanging="360"/>
      </w:pPr>
      <w:rPr>
        <w:rFonts w:ascii="Symbol" w:hAnsi="Symbol" w:hint="default"/>
      </w:rPr>
    </w:lvl>
    <w:lvl w:ilvl="4" w:tplc="84147C66" w:tentative="1">
      <w:start w:val="1"/>
      <w:numFmt w:val="bullet"/>
      <w:lvlText w:val="o"/>
      <w:lvlJc w:val="left"/>
      <w:pPr>
        <w:ind w:left="3600" w:hanging="360"/>
      </w:pPr>
      <w:rPr>
        <w:rFonts w:ascii="Courier New" w:hAnsi="Courier New" w:cs="Courier New" w:hint="default"/>
      </w:rPr>
    </w:lvl>
    <w:lvl w:ilvl="5" w:tplc="B41667A6" w:tentative="1">
      <w:start w:val="1"/>
      <w:numFmt w:val="bullet"/>
      <w:lvlText w:val=""/>
      <w:lvlJc w:val="left"/>
      <w:pPr>
        <w:ind w:left="4320" w:hanging="360"/>
      </w:pPr>
      <w:rPr>
        <w:rFonts w:ascii="Wingdings" w:hAnsi="Wingdings" w:hint="default"/>
      </w:rPr>
    </w:lvl>
    <w:lvl w:ilvl="6" w:tplc="DE26D868" w:tentative="1">
      <w:start w:val="1"/>
      <w:numFmt w:val="bullet"/>
      <w:lvlText w:val=""/>
      <w:lvlJc w:val="left"/>
      <w:pPr>
        <w:ind w:left="5040" w:hanging="360"/>
      </w:pPr>
      <w:rPr>
        <w:rFonts w:ascii="Symbol" w:hAnsi="Symbol" w:hint="default"/>
      </w:rPr>
    </w:lvl>
    <w:lvl w:ilvl="7" w:tplc="AF0287E0" w:tentative="1">
      <w:start w:val="1"/>
      <w:numFmt w:val="bullet"/>
      <w:lvlText w:val="o"/>
      <w:lvlJc w:val="left"/>
      <w:pPr>
        <w:ind w:left="5760" w:hanging="360"/>
      </w:pPr>
      <w:rPr>
        <w:rFonts w:ascii="Courier New" w:hAnsi="Courier New" w:cs="Courier New" w:hint="default"/>
      </w:rPr>
    </w:lvl>
    <w:lvl w:ilvl="8" w:tplc="082A8254"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7396"/>
    <w:rsid w:val="000E36B3"/>
    <w:rsid w:val="00163B85"/>
    <w:rsid w:val="001E1CE9"/>
    <w:rsid w:val="00394D51"/>
    <w:rsid w:val="00442DA7"/>
    <w:rsid w:val="0075052A"/>
    <w:rsid w:val="00BB4E21"/>
    <w:rsid w:val="00CA1F78"/>
    <w:rsid w:val="00D17396"/>
    <w:rsid w:val="00D27EE2"/>
    <w:rsid w:val="00E208C5"/>
    <w:rsid w:val="00E944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AC4FA72"/>
  <w15:docId w15:val="{09CAA1A5-5A71-D942-B93B-939B5CD6E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ptos" w:eastAsia="SimSun" w:hAnsi="Aptos" w:cs="SimSun"/>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Aptos Display" w:hAnsi="Aptos Di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Aptos Display" w:hAnsi="Aptos Di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qFormat/>
    <w:pPr>
      <w:keepNext/>
      <w:keepLines/>
      <w:spacing w:before="40" w:after="0"/>
      <w:outlineLvl w:val="6"/>
    </w:pPr>
    <w:rPr>
      <w:color w:val="595959"/>
    </w:rPr>
  </w:style>
  <w:style w:type="paragraph" w:styleId="Heading8">
    <w:name w:val="heading 8"/>
    <w:basedOn w:val="Normal"/>
    <w:next w:val="Normal"/>
    <w:link w:val="Heading8Char"/>
    <w:uiPriority w:val="9"/>
    <w:qFormat/>
    <w:pPr>
      <w:keepNext/>
      <w:keepLines/>
      <w:spacing w:after="0"/>
      <w:outlineLvl w:val="7"/>
    </w:pPr>
    <w:rPr>
      <w:i/>
      <w:iCs/>
      <w:color w:val="272727"/>
    </w:rPr>
  </w:style>
  <w:style w:type="paragraph" w:styleId="Heading9">
    <w:name w:val="heading 9"/>
    <w:basedOn w:val="Normal"/>
    <w:next w:val="Normal"/>
    <w:link w:val="Heading9Char"/>
    <w:uiPriority w:val="9"/>
    <w:qFormat/>
    <w:pPr>
      <w:keepNext/>
      <w:keepLines/>
      <w:spacing w:after="0"/>
      <w:outlineLvl w:val="8"/>
    </w:pPr>
    <w:rPr>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Aptos Display" w:eastAsia="SimSun" w:hAnsi="Aptos Display" w:cs="SimSun"/>
      <w:color w:val="0F4761"/>
      <w:sz w:val="40"/>
      <w:szCs w:val="40"/>
    </w:rPr>
  </w:style>
  <w:style w:type="character" w:customStyle="1" w:styleId="Heading2Char">
    <w:name w:val="Heading 2 Char"/>
    <w:basedOn w:val="DefaultParagraphFont"/>
    <w:link w:val="Heading2"/>
    <w:uiPriority w:val="9"/>
    <w:rPr>
      <w:rFonts w:ascii="Aptos Display" w:eastAsia="SimSun" w:hAnsi="Aptos Display" w:cs="SimSun"/>
      <w:color w:val="0F4761"/>
      <w:sz w:val="32"/>
      <w:szCs w:val="32"/>
    </w:rPr>
  </w:style>
  <w:style w:type="character" w:customStyle="1" w:styleId="Heading3Char">
    <w:name w:val="Heading 3 Char"/>
    <w:basedOn w:val="DefaultParagraphFont"/>
    <w:link w:val="Heading3"/>
    <w:uiPriority w:val="9"/>
    <w:rPr>
      <w:rFonts w:eastAsia="SimSun" w:cs="SimSun"/>
      <w:color w:val="0F4761"/>
      <w:sz w:val="28"/>
      <w:szCs w:val="28"/>
    </w:rPr>
  </w:style>
  <w:style w:type="character" w:customStyle="1" w:styleId="Heading4Char">
    <w:name w:val="Heading 4 Char"/>
    <w:basedOn w:val="DefaultParagraphFont"/>
    <w:link w:val="Heading4"/>
    <w:uiPriority w:val="9"/>
    <w:rPr>
      <w:rFonts w:eastAsia="SimSun" w:cs="SimSun"/>
      <w:i/>
      <w:iCs/>
      <w:color w:val="0F4761"/>
    </w:rPr>
  </w:style>
  <w:style w:type="character" w:customStyle="1" w:styleId="Heading5Char">
    <w:name w:val="Heading 5 Char"/>
    <w:basedOn w:val="DefaultParagraphFont"/>
    <w:link w:val="Heading5"/>
    <w:uiPriority w:val="9"/>
    <w:rPr>
      <w:rFonts w:eastAsia="SimSun" w:cs="SimSun"/>
      <w:color w:val="0F4761"/>
    </w:rPr>
  </w:style>
  <w:style w:type="character" w:customStyle="1" w:styleId="Heading6Char">
    <w:name w:val="Heading 6 Char"/>
    <w:basedOn w:val="DefaultParagraphFont"/>
    <w:link w:val="Heading6"/>
    <w:uiPriority w:val="9"/>
    <w:rPr>
      <w:rFonts w:eastAsia="SimSun" w:cs="SimSun"/>
      <w:i/>
      <w:iCs/>
      <w:color w:val="595959"/>
    </w:rPr>
  </w:style>
  <w:style w:type="character" w:customStyle="1" w:styleId="Heading7Char">
    <w:name w:val="Heading 7 Char"/>
    <w:basedOn w:val="DefaultParagraphFont"/>
    <w:link w:val="Heading7"/>
    <w:uiPriority w:val="9"/>
    <w:rPr>
      <w:rFonts w:eastAsia="SimSun" w:cs="SimSun"/>
      <w:color w:val="595959"/>
    </w:rPr>
  </w:style>
  <w:style w:type="character" w:customStyle="1" w:styleId="Heading8Char">
    <w:name w:val="Heading 8 Char"/>
    <w:basedOn w:val="DefaultParagraphFont"/>
    <w:link w:val="Heading8"/>
    <w:uiPriority w:val="9"/>
    <w:rPr>
      <w:rFonts w:eastAsia="SimSun" w:cs="SimSun"/>
      <w:i/>
      <w:iCs/>
      <w:color w:val="272727"/>
    </w:rPr>
  </w:style>
  <w:style w:type="character" w:customStyle="1" w:styleId="Heading9Char">
    <w:name w:val="Heading 9 Char"/>
    <w:basedOn w:val="DefaultParagraphFont"/>
    <w:link w:val="Heading9"/>
    <w:uiPriority w:val="9"/>
    <w:rPr>
      <w:rFonts w:eastAsia="SimSun" w:cs="SimSun"/>
      <w:color w:val="272727"/>
    </w:rPr>
  </w:style>
  <w:style w:type="paragraph" w:styleId="Title">
    <w:name w:val="Title"/>
    <w:basedOn w:val="Normal"/>
    <w:next w:val="Normal"/>
    <w:link w:val="TitleChar"/>
    <w:uiPriority w:val="10"/>
    <w:qFormat/>
    <w:pPr>
      <w:spacing w:after="80" w:line="240" w:lineRule="auto"/>
      <w:contextualSpacing/>
    </w:pPr>
    <w:rPr>
      <w:rFonts w:ascii="Aptos Display" w:hAnsi="Aptos Display"/>
      <w:spacing w:val="-10"/>
      <w:kern w:val="28"/>
      <w:sz w:val="56"/>
      <w:szCs w:val="56"/>
    </w:rPr>
  </w:style>
  <w:style w:type="character" w:customStyle="1" w:styleId="TitleChar">
    <w:name w:val="Title Char"/>
    <w:basedOn w:val="DefaultParagraphFont"/>
    <w:link w:val="Title"/>
    <w:uiPriority w:val="10"/>
    <w:rPr>
      <w:rFonts w:ascii="Aptos Display" w:eastAsia="SimSun" w:hAnsi="Aptos Display" w:cs="SimSun"/>
      <w:spacing w:val="-10"/>
      <w:kern w:val="28"/>
      <w:sz w:val="56"/>
      <w:szCs w:val="56"/>
    </w:rPr>
  </w:style>
  <w:style w:type="paragraph" w:styleId="Subtitle">
    <w:name w:val="Subtitle"/>
    <w:basedOn w:val="Normal"/>
    <w:next w:val="Normal"/>
    <w:link w:val="SubtitleChar"/>
    <w:uiPriority w:val="11"/>
    <w:qFormat/>
    <w:pPr>
      <w:numPr>
        <w:ilvl w:val="1"/>
      </w:numPr>
    </w:pPr>
    <w:rPr>
      <w:color w:val="595959"/>
      <w:spacing w:val="15"/>
      <w:sz w:val="28"/>
      <w:szCs w:val="28"/>
    </w:rPr>
  </w:style>
  <w:style w:type="character" w:customStyle="1" w:styleId="SubtitleChar">
    <w:name w:val="Subtitle Char"/>
    <w:basedOn w:val="DefaultParagraphFont"/>
    <w:link w:val="Subtitle"/>
    <w:uiPriority w:val="11"/>
    <w:rPr>
      <w:rFonts w:eastAsia="SimSun" w:cs="SimSun"/>
      <w:color w:val="595959"/>
      <w:spacing w:val="15"/>
      <w:sz w:val="28"/>
      <w:szCs w:val="28"/>
    </w:rPr>
  </w:style>
  <w:style w:type="paragraph" w:styleId="Quote">
    <w:name w:val="Quote"/>
    <w:basedOn w:val="Normal"/>
    <w:next w:val="Normal"/>
    <w:link w:val="QuoteChar"/>
    <w:uiPriority w:val="29"/>
    <w:qFormat/>
    <w:pPr>
      <w:spacing w:before="160"/>
      <w:jc w:val="center"/>
    </w:pPr>
    <w:rPr>
      <w:i/>
      <w:iCs/>
      <w:color w:val="404040"/>
    </w:rPr>
  </w:style>
  <w:style w:type="character" w:customStyle="1" w:styleId="QuoteChar">
    <w:name w:val="Quote Char"/>
    <w:basedOn w:val="DefaultParagraphFont"/>
    <w:link w:val="Quote"/>
    <w:uiPriority w:val="29"/>
    <w:rPr>
      <w:i/>
      <w:iCs/>
      <w:color w:val="404040"/>
    </w:rPr>
  </w:style>
  <w:style w:type="paragraph" w:styleId="ListParagraph">
    <w:name w:val="List Paragraph"/>
    <w:basedOn w:val="Normal"/>
    <w:uiPriority w:val="34"/>
    <w:qFormat/>
    <w:pPr>
      <w:ind w:left="720"/>
      <w:contextualSpacing/>
    </w:pPr>
  </w:style>
  <w:style w:type="character" w:styleId="IntenseEmphasis">
    <w:name w:val="Intense Emphasis"/>
    <w:basedOn w:val="DefaultParagraphFont"/>
    <w:uiPriority w:val="21"/>
    <w:qFormat/>
    <w:rPr>
      <w:i/>
      <w:iCs/>
      <w:color w:val="0F4761"/>
    </w:rPr>
  </w:style>
  <w:style w:type="paragraph" w:styleId="IntenseQuote">
    <w:name w:val="Intense Quote"/>
    <w:basedOn w:val="Normal"/>
    <w:next w:val="Normal"/>
    <w:link w:val="IntenseQuoteChar"/>
    <w:uiPriority w:val="30"/>
    <w:qFormat/>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basedOn w:val="DefaultParagraphFont"/>
    <w:link w:val="IntenseQuote"/>
    <w:uiPriority w:val="30"/>
    <w:rPr>
      <w:i/>
      <w:iCs/>
      <w:color w:val="0F4761"/>
    </w:rPr>
  </w:style>
  <w:style w:type="character" w:styleId="IntenseReference">
    <w:name w:val="Intense Reference"/>
    <w:basedOn w:val="DefaultParagraphFont"/>
    <w:uiPriority w:val="32"/>
    <w:qFormat/>
    <w:rPr>
      <w:b/>
      <w:bCs/>
      <w:smallCaps/>
      <w:color w:val="0F4761"/>
      <w:spacing w:val="5"/>
    </w:rPr>
  </w:style>
  <w:style w:type="paragraph" w:styleId="Header">
    <w:name w:val="header"/>
    <w:basedOn w:val="Normal"/>
    <w:link w:val="HeaderChar"/>
    <w:uiPriority w:val="99"/>
    <w:pPr>
      <w:tabs>
        <w:tab w:val="center" w:pos="4320"/>
        <w:tab w:val="right" w:pos="8640"/>
      </w:tabs>
      <w:spacing w:after="0" w:line="240" w:lineRule="auto"/>
    </w:pPr>
  </w:style>
  <w:style w:type="character" w:customStyle="1" w:styleId="HeaderChar">
    <w:name w:val="Header Char"/>
    <w:basedOn w:val="DefaultParagraphFont"/>
    <w:link w:val="Header"/>
    <w:uiPriority w:val="99"/>
  </w:style>
  <w:style w:type="character" w:styleId="Hyperlink">
    <w:name w:val="Hyperlink"/>
    <w:basedOn w:val="DefaultParagraphFont"/>
    <w:uiPriority w:val="99"/>
    <w:unhideWhenUsed/>
    <w:rsid w:val="001E1CE9"/>
    <w:rPr>
      <w:color w:val="0000FF" w:themeColor="hyperlink"/>
      <w:u w:val="single"/>
    </w:rPr>
  </w:style>
  <w:style w:type="character" w:styleId="UnresolvedMention">
    <w:name w:val="Unresolved Mention"/>
    <w:basedOn w:val="DefaultParagraphFont"/>
    <w:uiPriority w:val="99"/>
    <w:semiHidden/>
    <w:unhideWhenUsed/>
    <w:rsid w:val="001E1CE9"/>
    <w:rPr>
      <w:color w:val="605E5C"/>
      <w:shd w:val="clear" w:color="auto" w:fill="E1DFDD"/>
    </w:rPr>
  </w:style>
  <w:style w:type="table" w:customStyle="1" w:styleId="PlainTable11">
    <w:name w:val="Plain Table 11"/>
    <w:basedOn w:val="TableNormal"/>
    <w:uiPriority w:val="41"/>
    <w:rsid w:val="00BB4E21"/>
    <w:pPr>
      <w:spacing w:after="0" w:line="240" w:lineRule="auto"/>
    </w:pPr>
    <w:rPr>
      <w:rFonts w:ascii="Calibri" w:eastAsia="Calibri" w:hAnsi="Calibri"/>
      <w:kern w:val="0"/>
      <w:sz w:val="22"/>
      <w:szCs w:val="22"/>
      <w14:ligatures w14:val="none"/>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Footer">
    <w:name w:val="footer"/>
    <w:basedOn w:val="Normal"/>
    <w:link w:val="FooterChar"/>
    <w:uiPriority w:val="99"/>
    <w:unhideWhenUsed/>
    <w:rsid w:val="00442D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2D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theme" Target="theme/theme1.xml"/><Relationship Id="rId7" Type="http://schemas.openxmlformats.org/officeDocument/2006/relationships/hyperlink" Target="http://www.handbook.cochrane.org" TargetMode="Externa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hyperlink" Target="https://www.sciencedirect.com/science/article/pii/S0735109719361807?via%3Dihub" TargetMode="Externa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image" Target="media/image3.jpeg"/><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image" Target="media/image1.jpeg"/><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46</Pages>
  <Words>7891</Words>
  <Characters>44985</Characters>
  <Application>Microsoft Office Word</Application>
  <DocSecurity>0</DocSecurity>
  <Lines>374</Lines>
  <Paragraphs>105</Paragraphs>
  <ScaleCrop>false</ScaleCrop>
  <Company/>
  <LinksUpToDate>false</LinksUpToDate>
  <CharactersWithSpaces>52771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Chukwuka Elendu</dc:creator>
  <cp:lastModifiedBy>SDI 1084</cp:lastModifiedBy>
  <cp:revision>8</cp:revision>
  <dcterms:created xsi:type="dcterms:W3CDTF">2025-02-20T12:11:00Z</dcterms:created>
  <dcterms:modified xsi:type="dcterms:W3CDTF">2025-09-02T13:48:00Z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547e5e613ede4737993177d7753caf11</vt:lpwstr>
  </property>
</Properties>
</file>