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8892" w14:textId="77777777" w:rsidR="00254143" w:rsidRPr="00254143" w:rsidRDefault="00254143" w:rsidP="00254143">
      <w:pPr>
        <w:rPr>
          <w:u w:val="single"/>
        </w:rPr>
      </w:pPr>
      <w:r w:rsidRPr="00254143">
        <w:rPr>
          <w:u w:val="single"/>
        </w:rPr>
        <w:t xml:space="preserve">Original Research Article </w:t>
      </w:r>
    </w:p>
    <w:p w14:paraId="7C9E285D" w14:textId="15146AA9" w:rsidR="00E219D7" w:rsidRPr="00664EC5" w:rsidRDefault="00664EC5" w:rsidP="00E219D7">
      <w:pPr>
        <w:jc w:val="center"/>
        <w:rPr>
          <w:b/>
          <w:sz w:val="32"/>
          <w:szCs w:val="32"/>
        </w:rPr>
      </w:pPr>
      <w:r w:rsidRPr="00664EC5">
        <w:rPr>
          <w:b/>
          <w:sz w:val="32"/>
          <w:szCs w:val="32"/>
        </w:rPr>
        <w:t>Evaluation of the Renal Function Response to Aqueous Leaf Extracts of Selected Edible Plants in Male Wistar Rats</w:t>
      </w:r>
    </w:p>
    <w:p w14:paraId="5A7F7716" w14:textId="77777777" w:rsidR="00664EC5" w:rsidRPr="00C96900" w:rsidRDefault="00664EC5" w:rsidP="00E219D7">
      <w:pPr>
        <w:jc w:val="center"/>
        <w:rPr>
          <w:b/>
          <w:sz w:val="32"/>
          <w:szCs w:val="32"/>
        </w:rPr>
      </w:pPr>
    </w:p>
    <w:p w14:paraId="661C99E2" w14:textId="77777777" w:rsidR="00E219D7" w:rsidRPr="00C96900" w:rsidRDefault="00E219D7" w:rsidP="00E219D7">
      <w:pPr>
        <w:spacing w:line="360" w:lineRule="auto"/>
        <w:jc w:val="both"/>
        <w:rPr>
          <w:sz w:val="22"/>
          <w:szCs w:val="22"/>
        </w:rPr>
      </w:pPr>
      <w:bookmarkStart w:id="0" w:name="_GoBack"/>
      <w:bookmarkEnd w:id="0"/>
    </w:p>
    <w:p w14:paraId="7248734D" w14:textId="77777777" w:rsidR="00E219D7" w:rsidRPr="00351123" w:rsidRDefault="00E219D7" w:rsidP="00F66B56">
      <w:pPr>
        <w:spacing w:line="360" w:lineRule="auto"/>
      </w:pPr>
      <w:bookmarkStart w:id="1" w:name="_Toc155548143"/>
      <w:r w:rsidRPr="00F66B56">
        <w:rPr>
          <w:b/>
        </w:rPr>
        <w:t>Abstract</w:t>
      </w:r>
      <w:bookmarkEnd w:id="1"/>
    </w:p>
    <w:p w14:paraId="607C4902" w14:textId="77777777" w:rsidR="00F66B56" w:rsidRDefault="00F66B56" w:rsidP="003343A4">
      <w:pPr>
        <w:spacing w:line="360" w:lineRule="auto"/>
        <w:jc w:val="both"/>
      </w:pPr>
      <w:bookmarkStart w:id="2" w:name="_Toc155548145"/>
      <w:r w:rsidRPr="0098179C">
        <w:t>This study evaluated the renal function response to aqueous leaf extracts of five commonly consumed edible plants—</w:t>
      </w:r>
      <w:r w:rsidRPr="0098179C">
        <w:rPr>
          <w:i/>
          <w:iCs/>
        </w:rPr>
        <w:t xml:space="preserve">Solanum </w:t>
      </w:r>
      <w:proofErr w:type="spellStart"/>
      <w:r w:rsidRPr="0098179C">
        <w:rPr>
          <w:i/>
          <w:iCs/>
        </w:rPr>
        <w:t>aethiopicum</w:t>
      </w:r>
      <w:proofErr w:type="spellEnd"/>
      <w:r w:rsidRPr="0098179C">
        <w:t xml:space="preserve"> (SA), </w:t>
      </w:r>
      <w:r w:rsidRPr="0098179C">
        <w:rPr>
          <w:i/>
          <w:iCs/>
        </w:rPr>
        <w:t xml:space="preserve">Amaranthus </w:t>
      </w:r>
      <w:proofErr w:type="spellStart"/>
      <w:r w:rsidRPr="0098179C">
        <w:rPr>
          <w:i/>
          <w:iCs/>
        </w:rPr>
        <w:t>hybridus</w:t>
      </w:r>
      <w:proofErr w:type="spellEnd"/>
      <w:r w:rsidRPr="0098179C">
        <w:t xml:space="preserve"> (AH), </w:t>
      </w:r>
      <w:r w:rsidRPr="0098179C">
        <w:rPr>
          <w:i/>
          <w:iCs/>
        </w:rPr>
        <w:t xml:space="preserve">Pterocarpus </w:t>
      </w:r>
      <w:proofErr w:type="spellStart"/>
      <w:r w:rsidRPr="0098179C">
        <w:rPr>
          <w:i/>
          <w:iCs/>
        </w:rPr>
        <w:t>mildbraedii</w:t>
      </w:r>
      <w:proofErr w:type="spellEnd"/>
      <w:r w:rsidRPr="0098179C">
        <w:t xml:space="preserve"> (PM), </w:t>
      </w:r>
      <w:proofErr w:type="spellStart"/>
      <w:r w:rsidRPr="0098179C">
        <w:rPr>
          <w:i/>
          <w:iCs/>
        </w:rPr>
        <w:t>Ocimum</w:t>
      </w:r>
      <w:proofErr w:type="spellEnd"/>
      <w:r w:rsidRPr="0098179C">
        <w:rPr>
          <w:i/>
          <w:iCs/>
        </w:rPr>
        <w:t xml:space="preserve"> </w:t>
      </w:r>
      <w:proofErr w:type="spellStart"/>
      <w:r w:rsidRPr="0098179C">
        <w:rPr>
          <w:i/>
          <w:iCs/>
        </w:rPr>
        <w:t>gratissimum</w:t>
      </w:r>
      <w:proofErr w:type="spellEnd"/>
      <w:r w:rsidRPr="0098179C">
        <w:t xml:space="preserve"> (OG), and </w:t>
      </w:r>
      <w:proofErr w:type="spellStart"/>
      <w:r w:rsidRPr="0098179C">
        <w:rPr>
          <w:i/>
          <w:iCs/>
        </w:rPr>
        <w:t>Telfairia</w:t>
      </w:r>
      <w:proofErr w:type="spellEnd"/>
      <w:r w:rsidRPr="0098179C">
        <w:rPr>
          <w:i/>
          <w:iCs/>
        </w:rPr>
        <w:t xml:space="preserve"> </w:t>
      </w:r>
      <w:proofErr w:type="spellStart"/>
      <w:r w:rsidRPr="0098179C">
        <w:rPr>
          <w:i/>
          <w:iCs/>
        </w:rPr>
        <w:t>occidentalis</w:t>
      </w:r>
      <w:proofErr w:type="spellEnd"/>
      <w:r w:rsidRPr="0098179C">
        <w:t xml:space="preserve"> (TO)—in male Wistar rats over a 60-day exposure period. Rats were administered low, medium, and high doses of each extract orally, and serum biochemical markers, including blood urea nitrogen (BUN), creatinine, bicarbonate, sodium, potassium, and chloride, were assessed. Relative to the control, BUN levels decreased slightly with SA (23.40 ± 0.25 mg/dL at high dose) but increased with AH (25.30 ± 0.30 mg/dL), OG (26.10 ± 0.50 mg/dL), and TO (26.40 ± 0.28 mg/dL). Creatinine showed a modest decline with SA (0.32 ± 0.03 mg/dL) but increased with AH (0.45 ± 0.04 mg/dL), OG (0.48 ± 0.05 mg/dL), and TO (0.47 ± 0.04 mg/dL). Potassium levels rose slightly with SA (25.90 ± 0.40 mmol/L) and declined with AH (24.60 ± 0.35 mmol/L), PM (24.70 ± 0.32 mmol/L), OG (22.50 ± 0.35 mmol/L), and TO (24.00 ± 0.32 mmol/L). Chloride was minimally affected by SA, AH, and PM but decreased markedly with OG (65.00 ± 1.00 mmol/L) and moderately with TO (68.20 ± 1.00 mmol/L). Two-way ANOVA indicated that vegetable type significantly influenced potassium (F = 11.411, p &lt; 0.001, η² = 0.695) and chloride levels (F = 3.074, p = 0.040, η² = 0.381), while dose interactions were significant for potassium (F = 2.721, p = 0.023, η² = 0.620). Overall, these results demonstrate that the leaf extracts exert extract-specific and dose-dependent effects on renal biochemical markers, highlighting both potential nephroprotective and </w:t>
      </w:r>
      <w:proofErr w:type="spellStart"/>
      <w:r w:rsidRPr="0098179C">
        <w:t>nephroactive</w:t>
      </w:r>
      <w:proofErr w:type="spellEnd"/>
      <w:r w:rsidRPr="0098179C">
        <w:t xml:space="preserve"> properties. The study underscores the importance of cautious and informed use of edible and medicinal plant extracts.</w:t>
      </w:r>
    </w:p>
    <w:p w14:paraId="1B09AB45" w14:textId="77777777" w:rsidR="003343A4" w:rsidRPr="0098179C" w:rsidRDefault="003343A4" w:rsidP="00F66B56">
      <w:pPr>
        <w:spacing w:line="276" w:lineRule="auto"/>
        <w:jc w:val="both"/>
      </w:pPr>
    </w:p>
    <w:p w14:paraId="5CFC2BDD" w14:textId="77777777" w:rsidR="00E219D7" w:rsidRPr="00C96900" w:rsidRDefault="00F66B56" w:rsidP="00F66B56">
      <w:pPr>
        <w:spacing w:after="200" w:line="276" w:lineRule="auto"/>
        <w:rPr>
          <w:b/>
          <w:sz w:val="22"/>
          <w:szCs w:val="22"/>
        </w:rPr>
      </w:pPr>
      <w:r w:rsidRPr="0098179C">
        <w:rPr>
          <w:b/>
          <w:bCs/>
        </w:rPr>
        <w:t>Keywords</w:t>
      </w:r>
      <w:r w:rsidRPr="005A23DA">
        <w:rPr>
          <w:rFonts w:ascii="Arial" w:hAnsi="Arial" w:cs="Arial"/>
          <w:bCs/>
        </w:rPr>
        <w:t xml:space="preserve">: </w:t>
      </w:r>
      <w:r>
        <w:t>Electrolytes, Leaf extracts, Nephroprotection, Renal function, Wistar rats</w:t>
      </w:r>
      <w:r w:rsidR="00E219D7" w:rsidRPr="00C96900">
        <w:rPr>
          <w:b/>
          <w:sz w:val="22"/>
          <w:szCs w:val="22"/>
        </w:rPr>
        <w:br w:type="page"/>
      </w:r>
    </w:p>
    <w:p w14:paraId="512BA728" w14:textId="77777777" w:rsidR="00E219D7" w:rsidRPr="00C96900" w:rsidRDefault="00E219D7" w:rsidP="00E219D7">
      <w:pPr>
        <w:spacing w:line="360" w:lineRule="auto"/>
        <w:jc w:val="both"/>
        <w:rPr>
          <w:b/>
          <w:sz w:val="22"/>
          <w:szCs w:val="22"/>
        </w:rPr>
      </w:pPr>
      <w:r w:rsidRPr="00C96900">
        <w:rPr>
          <w:b/>
          <w:sz w:val="22"/>
          <w:szCs w:val="22"/>
        </w:rPr>
        <w:lastRenderedPageBreak/>
        <w:t>1.0</w:t>
      </w:r>
      <w:r w:rsidRPr="00C96900">
        <w:rPr>
          <w:b/>
          <w:sz w:val="22"/>
          <w:szCs w:val="22"/>
        </w:rPr>
        <w:tab/>
        <w:t>Introduction</w:t>
      </w:r>
      <w:bookmarkEnd w:id="2"/>
    </w:p>
    <w:p w14:paraId="12B89CA0" w14:textId="77777777" w:rsidR="00AD503C" w:rsidRDefault="00AD503C" w:rsidP="00AD503C">
      <w:pPr>
        <w:pStyle w:val="NormalWeb"/>
        <w:spacing w:before="0" w:beforeAutospacing="0" w:after="0" w:afterAutospacing="0" w:line="360" w:lineRule="auto"/>
        <w:ind w:firstLine="720"/>
        <w:jc w:val="both"/>
      </w:pPr>
      <w:r>
        <w:t>The kidney plays a central role in maintaining homeostasis through the regulation of fluid balance, electrolyte concentration, blood pressure, and the excretion of metabolic wastes and xenobiotics. Any disturbance in renal function can compromise these vital processes and result in significant health challenges (Chevalier, 2016; Jha et al., 2013). With the global rise in kidney-related disorders, there has been increasing interest in identifying dietary and plant-derived factors that may influence renal physiology and pathology (Levey et al., 2020). Edible plants, particularly those used in African traditional diets and folk medicine, are widely consumed not only for their nutritional value but also for their perceived therapeutic benefits. However, their biological effects on renal function remain poorly defined, especially when consumed at varying doses.</w:t>
      </w:r>
    </w:p>
    <w:p w14:paraId="4F5D599A" w14:textId="77777777" w:rsidR="00AD503C" w:rsidRDefault="00AD503C" w:rsidP="00AD503C">
      <w:pPr>
        <w:pStyle w:val="NormalWeb"/>
        <w:spacing w:before="0" w:beforeAutospacing="0" w:after="0" w:afterAutospacing="0" w:line="360" w:lineRule="auto"/>
        <w:ind w:firstLine="720"/>
        <w:jc w:val="both"/>
      </w:pPr>
      <w:r>
        <w:t>Aqueous leaf extracts are of particular relevance in this context because they are the most common preparation method used in ethnomedicine. Traditional practices often involve boiling or steeping leaves in water to release bioactive compounds, which are then ingested as herbal remedies (</w:t>
      </w:r>
      <w:proofErr w:type="spellStart"/>
      <w:r>
        <w:t>Sofowora</w:t>
      </w:r>
      <w:proofErr w:type="spellEnd"/>
      <w:r>
        <w:t xml:space="preserve">, 1993; </w:t>
      </w:r>
      <w:proofErr w:type="spellStart"/>
      <w:r>
        <w:t>Akinmoladun</w:t>
      </w:r>
      <w:proofErr w:type="spellEnd"/>
      <w:r>
        <w:t xml:space="preserve"> et al., 2019). Plants such as </w:t>
      </w:r>
      <w:r>
        <w:rPr>
          <w:rStyle w:val="Emphasis"/>
        </w:rPr>
        <w:t xml:space="preserve">Solanum </w:t>
      </w:r>
      <w:proofErr w:type="spellStart"/>
      <w:r>
        <w:rPr>
          <w:rStyle w:val="Emphasis"/>
        </w:rPr>
        <w:t>aethiopicum</w:t>
      </w:r>
      <w:proofErr w:type="spellEnd"/>
      <w:r>
        <w:t xml:space="preserve">, </w:t>
      </w:r>
      <w:r>
        <w:rPr>
          <w:rStyle w:val="Emphasis"/>
        </w:rPr>
        <w:t xml:space="preserve">Amaranthus </w:t>
      </w:r>
      <w:proofErr w:type="spellStart"/>
      <w:r>
        <w:rPr>
          <w:rStyle w:val="Emphasis"/>
        </w:rPr>
        <w:t>hybridus</w:t>
      </w:r>
      <w:proofErr w:type="spellEnd"/>
      <w:r>
        <w:t xml:space="preserve">, </w:t>
      </w:r>
      <w:r>
        <w:rPr>
          <w:rStyle w:val="Emphasis"/>
        </w:rPr>
        <w:t xml:space="preserve">Pterocarpus </w:t>
      </w:r>
      <w:proofErr w:type="spellStart"/>
      <w:r>
        <w:rPr>
          <w:rStyle w:val="Emphasis"/>
        </w:rPr>
        <w:t>mildbraedii</w:t>
      </w:r>
      <w:proofErr w:type="spellEnd"/>
      <w:r>
        <w:t xml:space="preserve">, </w:t>
      </w:r>
      <w:proofErr w:type="spellStart"/>
      <w:r>
        <w:rPr>
          <w:rStyle w:val="Emphasis"/>
        </w:rPr>
        <w:t>Ocimum</w:t>
      </w:r>
      <w:proofErr w:type="spellEnd"/>
      <w:r>
        <w:rPr>
          <w:rStyle w:val="Emphasis"/>
        </w:rPr>
        <w:t xml:space="preserve"> </w:t>
      </w:r>
      <w:proofErr w:type="spellStart"/>
      <w:r>
        <w:rPr>
          <w:rStyle w:val="Emphasis"/>
        </w:rPr>
        <w:t>gratissimum</w:t>
      </w:r>
      <w:proofErr w:type="spellEnd"/>
      <w:r>
        <w:t xml:space="preserve">, and </w:t>
      </w:r>
      <w:proofErr w:type="spellStart"/>
      <w:r>
        <w:rPr>
          <w:rStyle w:val="Emphasis"/>
        </w:rPr>
        <w:t>Telfairia</w:t>
      </w:r>
      <w:proofErr w:type="spellEnd"/>
      <w:r>
        <w:rPr>
          <w:rStyle w:val="Emphasis"/>
        </w:rPr>
        <w:t xml:space="preserve"> </w:t>
      </w:r>
      <w:proofErr w:type="spellStart"/>
      <w:r>
        <w:rPr>
          <w:rStyle w:val="Emphasis"/>
        </w:rPr>
        <w:t>occidentalis</w:t>
      </w:r>
      <w:proofErr w:type="spellEnd"/>
      <w:r>
        <w:t xml:space="preserve"> are widely cultivated and consumed across Nigeria and other parts of West Africa, where they serve both culinary and medicinal purposes (</w:t>
      </w:r>
      <w:proofErr w:type="spellStart"/>
      <w:r>
        <w:t>Ojieh</w:t>
      </w:r>
      <w:proofErr w:type="spellEnd"/>
      <w:r>
        <w:t xml:space="preserve"> et al., 2008; </w:t>
      </w:r>
      <w:proofErr w:type="spellStart"/>
      <w:r>
        <w:t>Fasuyi</w:t>
      </w:r>
      <w:proofErr w:type="spellEnd"/>
      <w:r>
        <w:t>, 2006). Previous studies have attributed antioxidant, anti-inflammatory, and immunomodulatory properties to these plants, with evidence suggesting potential roles in the modulation of metabolic and organ functions (</w:t>
      </w:r>
      <w:proofErr w:type="spellStart"/>
      <w:r>
        <w:t>Eseyin</w:t>
      </w:r>
      <w:proofErr w:type="spellEnd"/>
      <w:r>
        <w:t xml:space="preserve"> et al., 2010; </w:t>
      </w:r>
      <w:proofErr w:type="spellStart"/>
      <w:r>
        <w:t>Farombi</w:t>
      </w:r>
      <w:proofErr w:type="spellEnd"/>
      <w:r>
        <w:t xml:space="preserve"> &amp; </w:t>
      </w:r>
      <w:proofErr w:type="spellStart"/>
      <w:r>
        <w:t>Owoeye</w:t>
      </w:r>
      <w:proofErr w:type="spellEnd"/>
      <w:r>
        <w:t>, 2011).</w:t>
      </w:r>
    </w:p>
    <w:p w14:paraId="4B433A9E" w14:textId="77777777" w:rsidR="00AD503C" w:rsidRDefault="00AD503C" w:rsidP="00AD503C">
      <w:pPr>
        <w:pStyle w:val="NormalWeb"/>
        <w:spacing w:before="0" w:beforeAutospacing="0" w:after="0" w:afterAutospacing="0" w:line="360" w:lineRule="auto"/>
        <w:ind w:firstLine="720"/>
        <w:jc w:val="both"/>
      </w:pPr>
      <w:r>
        <w:t>Despite these reports, concerns remain about the possible renal implications of consuming high doses or chronic intakes of such plant extracts. Although phytochemicals such as flavonoids, alkaloids, and saponins have beneficial effects at moderate levels, excessive consumption may exert toxicological effects on vital organs including the kidneys (</w:t>
      </w:r>
      <w:proofErr w:type="spellStart"/>
      <w:r>
        <w:t>Oyedemi</w:t>
      </w:r>
      <w:proofErr w:type="spellEnd"/>
      <w:r>
        <w:t xml:space="preserve"> et al., 2010; Ajayi et al., 2014). Moreover, the kidneys are particularly susceptible to injury due to their role in concentrating and excreting foreign compounds, which increases their exposure to phytochemical metabolites (</w:t>
      </w:r>
      <w:proofErr w:type="spellStart"/>
      <w:r>
        <w:t>Akinmoladun</w:t>
      </w:r>
      <w:proofErr w:type="spellEnd"/>
      <w:r>
        <w:t xml:space="preserve"> et al., 2019). Therefore, it is critical to investigate whether commonly consumed edible plant extracts exert protective or adverse influences on renal biomarkers.</w:t>
      </w:r>
    </w:p>
    <w:p w14:paraId="6D2C98C9" w14:textId="77777777" w:rsidR="00AD503C" w:rsidRDefault="00AD503C" w:rsidP="00AD503C">
      <w:pPr>
        <w:pStyle w:val="NormalWeb"/>
        <w:spacing w:before="0" w:beforeAutospacing="0" w:after="0" w:afterAutospacing="0" w:line="360" w:lineRule="auto"/>
        <w:ind w:firstLine="720"/>
        <w:jc w:val="both"/>
      </w:pPr>
      <w:r>
        <w:t xml:space="preserve">Experimental studies using animal models, particularly Wistar rats, provide a valuable approach to evaluating the physiological and toxicological effects of plant extracts. Serum biochemical markers such as blood urea nitrogen, creatinine, bicarbonate, sodium, potassium, and chloride serve as sensitive indicators of renal function and electrolyte balance (Vaidya et al., 2008; Gowda et al., 2010). By assessing these biomarkers in rats exposed to controlled doses of aqueous </w:t>
      </w:r>
      <w:r>
        <w:lastRenderedPageBreak/>
        <w:t>leaf extracts, researchers can gain insights into potential risks or benefits associated with their consumption.</w:t>
      </w:r>
    </w:p>
    <w:p w14:paraId="62EE4B9B" w14:textId="77777777" w:rsidR="00AD503C" w:rsidRDefault="00AD503C" w:rsidP="00AD503C">
      <w:pPr>
        <w:pStyle w:val="NormalWeb"/>
        <w:spacing w:before="0" w:beforeAutospacing="0" w:after="0" w:afterAutospacing="0" w:line="360" w:lineRule="auto"/>
        <w:ind w:firstLine="720"/>
        <w:jc w:val="both"/>
      </w:pPr>
      <w:r>
        <w:t>Given the increasing reliance on edible plants both as food and alternative therapy in Nigeria, it is essential to establish their safety profile with respect to renal health. This study, therefore, seeks to evaluate the renal function response of male Wistar rats to aqueous leaf extracts of selected edible plants. Findings from this work will provide evidence-based insights into the implications of consuming these plants on kidney health and may inform dietary recommendations and the safe use of traditional plant-based remedies.</w:t>
      </w:r>
    </w:p>
    <w:p w14:paraId="6AD76B6C" w14:textId="77777777" w:rsidR="00123F58" w:rsidRPr="006260A3" w:rsidRDefault="00E219D7" w:rsidP="006260A3">
      <w:pPr>
        <w:spacing w:line="360" w:lineRule="auto"/>
        <w:jc w:val="both"/>
      </w:pPr>
      <w:bookmarkStart w:id="3" w:name="_Toc155548154"/>
      <w:r w:rsidRPr="00C96900">
        <w:rPr>
          <w:b/>
          <w:sz w:val="22"/>
          <w:szCs w:val="22"/>
        </w:rPr>
        <w:t>2.0</w:t>
      </w:r>
      <w:r w:rsidRPr="00C96900">
        <w:rPr>
          <w:b/>
          <w:sz w:val="22"/>
          <w:szCs w:val="22"/>
        </w:rPr>
        <w:tab/>
      </w:r>
      <w:bookmarkStart w:id="4" w:name="_Toc155548155"/>
      <w:bookmarkEnd w:id="3"/>
      <w:r w:rsidR="00123F58" w:rsidRPr="006260A3">
        <w:rPr>
          <w:b/>
        </w:rPr>
        <w:t>Materials and Methods</w:t>
      </w:r>
    </w:p>
    <w:p w14:paraId="65410093" w14:textId="77777777" w:rsidR="006260A3" w:rsidRDefault="006260A3" w:rsidP="006260A3">
      <w:pPr>
        <w:pStyle w:val="NormalWeb"/>
        <w:spacing w:before="0" w:beforeAutospacing="0" w:after="0" w:afterAutospacing="0" w:line="360" w:lineRule="auto"/>
        <w:jc w:val="both"/>
        <w:rPr>
          <w:rStyle w:val="Strong"/>
          <w:rFonts w:eastAsia="Calibri"/>
        </w:rPr>
      </w:pPr>
      <w:r>
        <w:rPr>
          <w:rStyle w:val="Strong"/>
          <w:rFonts w:eastAsia="Calibri"/>
        </w:rPr>
        <w:t>2.1</w:t>
      </w:r>
      <w:r>
        <w:rPr>
          <w:rStyle w:val="Strong"/>
          <w:rFonts w:eastAsia="Calibri"/>
        </w:rPr>
        <w:tab/>
      </w:r>
      <w:r w:rsidR="00123F58" w:rsidRPr="006260A3">
        <w:rPr>
          <w:rStyle w:val="Strong"/>
          <w:rFonts w:eastAsia="Calibri"/>
        </w:rPr>
        <w:t>Collection, Identification, and Preparation of Plant Extracts</w:t>
      </w:r>
    </w:p>
    <w:p w14:paraId="09BFE870" w14:textId="77777777" w:rsidR="006260A3" w:rsidRDefault="00123F58" w:rsidP="006260A3">
      <w:pPr>
        <w:pStyle w:val="NormalWeb"/>
        <w:spacing w:before="0" w:beforeAutospacing="0" w:after="0" w:afterAutospacing="0" w:line="360" w:lineRule="auto"/>
        <w:ind w:firstLine="720"/>
        <w:jc w:val="both"/>
      </w:pPr>
      <w:r w:rsidRPr="006260A3">
        <w:t xml:space="preserve">Fresh leaves of </w:t>
      </w:r>
      <w:r w:rsidRPr="006260A3">
        <w:rPr>
          <w:rStyle w:val="Emphasis"/>
        </w:rPr>
        <w:t xml:space="preserve">Solanum </w:t>
      </w:r>
      <w:proofErr w:type="spellStart"/>
      <w:r w:rsidRPr="006260A3">
        <w:rPr>
          <w:rStyle w:val="Emphasis"/>
        </w:rPr>
        <w:t>aethiopicum</w:t>
      </w:r>
      <w:proofErr w:type="spellEnd"/>
      <w:r w:rsidRPr="006260A3">
        <w:t xml:space="preserve"> (SA), </w:t>
      </w:r>
      <w:r w:rsidRPr="006260A3">
        <w:rPr>
          <w:rStyle w:val="Emphasis"/>
        </w:rPr>
        <w:t xml:space="preserve">Amaranthus </w:t>
      </w:r>
      <w:proofErr w:type="spellStart"/>
      <w:r w:rsidRPr="006260A3">
        <w:rPr>
          <w:rStyle w:val="Emphasis"/>
        </w:rPr>
        <w:t>hybridus</w:t>
      </w:r>
      <w:proofErr w:type="spellEnd"/>
      <w:r w:rsidRPr="006260A3">
        <w:t xml:space="preserve"> (AH), </w:t>
      </w:r>
      <w:r w:rsidRPr="006260A3">
        <w:rPr>
          <w:rStyle w:val="Emphasis"/>
        </w:rPr>
        <w:t xml:space="preserve">Pterocarpus </w:t>
      </w:r>
      <w:proofErr w:type="spellStart"/>
      <w:r w:rsidRPr="006260A3">
        <w:rPr>
          <w:rStyle w:val="Emphasis"/>
        </w:rPr>
        <w:t>mildraedii</w:t>
      </w:r>
      <w:proofErr w:type="spellEnd"/>
      <w:r w:rsidRPr="006260A3">
        <w:t xml:space="preserve"> (PM), </w:t>
      </w:r>
      <w:proofErr w:type="spellStart"/>
      <w:r w:rsidRPr="006260A3">
        <w:rPr>
          <w:rStyle w:val="Emphasis"/>
        </w:rPr>
        <w:t>Ocimum</w:t>
      </w:r>
      <w:proofErr w:type="spellEnd"/>
      <w:r w:rsidRPr="006260A3">
        <w:rPr>
          <w:rStyle w:val="Emphasis"/>
        </w:rPr>
        <w:t xml:space="preserve"> </w:t>
      </w:r>
      <w:proofErr w:type="spellStart"/>
      <w:r w:rsidRPr="006260A3">
        <w:rPr>
          <w:rStyle w:val="Emphasis"/>
        </w:rPr>
        <w:t>gratissimum</w:t>
      </w:r>
      <w:proofErr w:type="spellEnd"/>
      <w:r w:rsidRPr="006260A3">
        <w:t xml:space="preserve"> (OG), and </w:t>
      </w:r>
      <w:proofErr w:type="spellStart"/>
      <w:r w:rsidRPr="006260A3">
        <w:rPr>
          <w:rStyle w:val="Emphasis"/>
        </w:rPr>
        <w:t>Telfairia</w:t>
      </w:r>
      <w:proofErr w:type="spellEnd"/>
      <w:r w:rsidRPr="006260A3">
        <w:rPr>
          <w:rStyle w:val="Emphasis"/>
        </w:rPr>
        <w:t xml:space="preserve"> </w:t>
      </w:r>
      <w:proofErr w:type="spellStart"/>
      <w:r w:rsidRPr="006260A3">
        <w:rPr>
          <w:rStyle w:val="Emphasis"/>
        </w:rPr>
        <w:t>occidentalis</w:t>
      </w:r>
      <w:proofErr w:type="spellEnd"/>
      <w:r w:rsidRPr="006260A3">
        <w:t xml:space="preserve"> (TO) were obtained from a local market in Effurun, Delta State, Nigeria. Their botanical identities were authenticated by the Department of Environmental Management and Toxicology, College of Sciences, Federal University of Petroleum Resources, Effurun. The leaves were air-dried at laboratory temperature (30 ± 2°C) until they became crisp, coarsely ground with a mortar and pestle, and further milled into fine powder using a Viking Exclusive </w:t>
      </w:r>
      <w:proofErr w:type="spellStart"/>
      <w:r w:rsidRPr="006260A3">
        <w:t>Joncod</w:t>
      </w:r>
      <w:proofErr w:type="spellEnd"/>
      <w:r w:rsidRPr="006260A3">
        <w:t xml:space="preserve"> machine (Model YLH2M2-4). </w:t>
      </w:r>
    </w:p>
    <w:p w14:paraId="2244CCC8" w14:textId="77777777" w:rsidR="00123F58" w:rsidRPr="006260A3" w:rsidRDefault="00123F58" w:rsidP="006260A3">
      <w:pPr>
        <w:pStyle w:val="NormalWeb"/>
        <w:spacing w:before="0" w:beforeAutospacing="0" w:after="0" w:afterAutospacing="0" w:line="360" w:lineRule="auto"/>
        <w:ind w:firstLine="720"/>
        <w:jc w:val="both"/>
      </w:pPr>
      <w:r w:rsidRPr="006260A3">
        <w:t>For extraction, 25 g of powdered leaves from each plant were soaked in 250 mL of distilled water for 48 hours, filtered through Whatman No. 1 filter paper, and subsequently freeze-dried to yield solid extracts. These extracts were reconstituted in distilled water at the required concentrations for experimental use. The extraction protocol followed established methods (</w:t>
      </w:r>
      <w:proofErr w:type="spellStart"/>
      <w:r w:rsidRPr="006260A3">
        <w:t>Sofowora</w:t>
      </w:r>
      <w:proofErr w:type="spellEnd"/>
      <w:r w:rsidRPr="006260A3">
        <w:t xml:space="preserve">, 1982; </w:t>
      </w:r>
      <w:proofErr w:type="spellStart"/>
      <w:r w:rsidRPr="006260A3">
        <w:t>Trease</w:t>
      </w:r>
      <w:proofErr w:type="spellEnd"/>
      <w:r w:rsidRPr="006260A3">
        <w:t xml:space="preserve"> &amp; Evans, 1989; Harborne, 1988; </w:t>
      </w:r>
      <w:proofErr w:type="spellStart"/>
      <w:r w:rsidRPr="006260A3">
        <w:t>Kokate</w:t>
      </w:r>
      <w:proofErr w:type="spellEnd"/>
      <w:r w:rsidRPr="006260A3">
        <w:t xml:space="preserve"> et al., 2008), as reported in </w:t>
      </w:r>
      <w:proofErr w:type="spellStart"/>
      <w:r w:rsidRPr="006260A3">
        <w:t>Ejenadia</w:t>
      </w:r>
      <w:proofErr w:type="spellEnd"/>
      <w:r w:rsidRPr="006260A3">
        <w:t xml:space="preserve"> and </w:t>
      </w:r>
      <w:proofErr w:type="spellStart"/>
      <w:r w:rsidRPr="006260A3">
        <w:t>Ibezute</w:t>
      </w:r>
      <w:proofErr w:type="spellEnd"/>
      <w:r w:rsidRPr="006260A3">
        <w:t xml:space="preserve"> (2025).</w:t>
      </w:r>
    </w:p>
    <w:p w14:paraId="4470E20F" w14:textId="77777777" w:rsidR="00123F58" w:rsidRPr="006260A3" w:rsidRDefault="00123F58" w:rsidP="006260A3">
      <w:pPr>
        <w:pStyle w:val="NormalWeb"/>
        <w:spacing w:before="0" w:beforeAutospacing="0" w:after="0" w:afterAutospacing="0" w:line="360" w:lineRule="auto"/>
        <w:ind w:firstLine="720"/>
        <w:jc w:val="both"/>
      </w:pPr>
      <w:r w:rsidRPr="006260A3">
        <w:t xml:space="preserve">Previous toxicological evaluations have shown that the median lethal doses (LD₅₀) of these extracts in Wistar rats are greater than 5000 mg/kg body weight, suggesting minimal acute toxicity (Olayemi &amp; Adeleke, 2009; </w:t>
      </w:r>
      <w:proofErr w:type="spellStart"/>
      <w:r w:rsidRPr="006260A3">
        <w:t>Dhellot</w:t>
      </w:r>
      <w:proofErr w:type="spellEnd"/>
      <w:r w:rsidRPr="006260A3">
        <w:t xml:space="preserve"> et al., 2006; </w:t>
      </w:r>
      <w:proofErr w:type="spellStart"/>
      <w:r w:rsidRPr="006260A3">
        <w:t>Okokon</w:t>
      </w:r>
      <w:proofErr w:type="spellEnd"/>
      <w:r w:rsidRPr="006260A3">
        <w:t xml:space="preserve"> et al., 2007; Njoku et al., 2011; </w:t>
      </w:r>
      <w:proofErr w:type="spellStart"/>
      <w:r w:rsidRPr="006260A3">
        <w:t>Imosemi</w:t>
      </w:r>
      <w:proofErr w:type="spellEnd"/>
      <w:r w:rsidRPr="006260A3">
        <w:t>, 2018). Hence, the dosages applied in this study were selected within the established safe range.</w:t>
      </w:r>
    </w:p>
    <w:p w14:paraId="399D2547" w14:textId="77777777" w:rsidR="006260A3" w:rsidRDefault="006260A3" w:rsidP="006260A3">
      <w:pPr>
        <w:pStyle w:val="NormalWeb"/>
        <w:spacing w:before="0" w:beforeAutospacing="0" w:after="0" w:afterAutospacing="0" w:line="360" w:lineRule="auto"/>
        <w:jc w:val="both"/>
        <w:rPr>
          <w:rStyle w:val="Strong"/>
          <w:rFonts w:eastAsia="Calibri"/>
        </w:rPr>
      </w:pPr>
      <w:r>
        <w:rPr>
          <w:rStyle w:val="Strong"/>
          <w:rFonts w:eastAsia="Calibri"/>
        </w:rPr>
        <w:t>2.2</w:t>
      </w:r>
      <w:r>
        <w:rPr>
          <w:rStyle w:val="Strong"/>
          <w:rFonts w:eastAsia="Calibri"/>
        </w:rPr>
        <w:tab/>
      </w:r>
      <w:r w:rsidR="00123F58" w:rsidRPr="006260A3">
        <w:rPr>
          <w:rStyle w:val="Strong"/>
          <w:rFonts w:eastAsia="Calibri"/>
        </w:rPr>
        <w:t>Collection and Acclimatization of Experimental Animals</w:t>
      </w:r>
    </w:p>
    <w:p w14:paraId="5CABE7BD" w14:textId="77777777" w:rsidR="00123F58" w:rsidRPr="006260A3" w:rsidRDefault="00123F58" w:rsidP="006260A3">
      <w:pPr>
        <w:pStyle w:val="NormalWeb"/>
        <w:spacing w:before="0" w:beforeAutospacing="0" w:after="0" w:afterAutospacing="0" w:line="360" w:lineRule="auto"/>
        <w:ind w:firstLine="720"/>
        <w:jc w:val="both"/>
      </w:pPr>
      <w:r w:rsidRPr="006260A3">
        <w:t xml:space="preserve">Male Wistar rats aged 6–7 weeks and weighing 125–150 g </w:t>
      </w:r>
      <w:proofErr w:type="gramStart"/>
      <w:r w:rsidRPr="006260A3">
        <w:t>were</w:t>
      </w:r>
      <w:proofErr w:type="gramEnd"/>
      <w:r w:rsidRPr="006260A3">
        <w:t xml:space="preserve"> sourced from the Anatomy Department, University of Benin, Nigeria. The animals were acclimatized for two weeks under standard laboratory conditions (22 ± 2°C; 12 h light/dark cycle) with access to commercial rodent feed (Bendel Livestock Feeds Ltd., </w:t>
      </w:r>
      <w:proofErr w:type="spellStart"/>
      <w:r w:rsidRPr="006260A3">
        <w:t>Ewu</w:t>
      </w:r>
      <w:proofErr w:type="spellEnd"/>
      <w:r w:rsidRPr="006260A3">
        <w:t xml:space="preserve">, Edo State, Nigeria) and distilled water </w:t>
      </w:r>
      <w:r w:rsidRPr="006260A3">
        <w:rPr>
          <w:i/>
        </w:rPr>
        <w:t>ad libitum</w:t>
      </w:r>
      <w:r w:rsidRPr="006260A3">
        <w:t xml:space="preserve">. At 8–9 weeks of age, they were randomly assigned to six experimental groups: one control and five treatment groups corresponding to the extracts (SA, AH, PM, OG, TO). Each treatment group was subdivided into three dose levels (100, 200, and 300 mg/kg body weight), which were administered orally via </w:t>
      </w:r>
      <w:r w:rsidRPr="006260A3">
        <w:lastRenderedPageBreak/>
        <w:t>gavage every 48 hours. Extract solutions were thoroughly mixed prior to administration to ensure homogeneity. The experiment lasted for 60 days.</w:t>
      </w:r>
    </w:p>
    <w:p w14:paraId="49E61A6C" w14:textId="77777777" w:rsidR="00123F58" w:rsidRPr="006260A3" w:rsidRDefault="00123F58" w:rsidP="006260A3">
      <w:pPr>
        <w:pStyle w:val="NormalWeb"/>
        <w:spacing w:before="0" w:beforeAutospacing="0" w:after="0" w:afterAutospacing="0" w:line="360" w:lineRule="auto"/>
        <w:ind w:firstLine="720"/>
        <w:jc w:val="both"/>
      </w:pPr>
      <w:r w:rsidRPr="006260A3">
        <w:t xml:space="preserve">At the end of the exposure period, rats were fasted overnight and sacrificed under light </w:t>
      </w:r>
      <w:proofErr w:type="spellStart"/>
      <w:r w:rsidR="006260A3" w:rsidRPr="006260A3">
        <w:t>an</w:t>
      </w:r>
      <w:r w:rsidR="006260A3">
        <w:t>a</w:t>
      </w:r>
      <w:r w:rsidR="006260A3" w:rsidRPr="006260A3">
        <w:t>esthesia</w:t>
      </w:r>
      <w:proofErr w:type="spellEnd"/>
      <w:r w:rsidRPr="006260A3">
        <w:t>. Blood was collected from a large vein using sterile syringes, transferred into plain tubes, allowed to clot, and centrifuged to obtain serum. The serum samples were stored at −80°C until analysis (</w:t>
      </w:r>
      <w:proofErr w:type="spellStart"/>
      <w:r w:rsidRPr="006260A3">
        <w:t>Ejenadia</w:t>
      </w:r>
      <w:proofErr w:type="spellEnd"/>
      <w:r w:rsidRPr="006260A3">
        <w:t xml:space="preserve"> &amp; </w:t>
      </w:r>
      <w:proofErr w:type="spellStart"/>
      <w:r w:rsidRPr="006260A3">
        <w:t>Ibezute</w:t>
      </w:r>
      <w:proofErr w:type="spellEnd"/>
      <w:r w:rsidRPr="006260A3">
        <w:t>, 2025).</w:t>
      </w:r>
    </w:p>
    <w:p w14:paraId="1B907621" w14:textId="77777777" w:rsidR="006260A3" w:rsidRDefault="006260A3" w:rsidP="006260A3">
      <w:pPr>
        <w:pStyle w:val="NormalWeb"/>
        <w:spacing w:before="0" w:beforeAutospacing="0" w:after="0" w:afterAutospacing="0" w:line="360" w:lineRule="auto"/>
        <w:jc w:val="both"/>
        <w:rPr>
          <w:rStyle w:val="Strong"/>
          <w:rFonts w:eastAsia="Calibri"/>
        </w:rPr>
      </w:pPr>
      <w:r>
        <w:rPr>
          <w:rStyle w:val="Strong"/>
          <w:rFonts w:eastAsia="Calibri"/>
        </w:rPr>
        <w:t>2.3</w:t>
      </w:r>
      <w:r>
        <w:rPr>
          <w:rStyle w:val="Strong"/>
          <w:rFonts w:eastAsia="Calibri"/>
        </w:rPr>
        <w:tab/>
      </w:r>
      <w:r w:rsidR="00123F58" w:rsidRPr="006260A3">
        <w:rPr>
          <w:rStyle w:val="Strong"/>
          <w:rFonts w:eastAsia="Calibri"/>
        </w:rPr>
        <w:t>Laboratory Analysis</w:t>
      </w:r>
    </w:p>
    <w:p w14:paraId="1010A21D" w14:textId="77777777" w:rsidR="00123F58" w:rsidRPr="006260A3" w:rsidRDefault="00123F58" w:rsidP="006260A3">
      <w:pPr>
        <w:pStyle w:val="NormalWeb"/>
        <w:spacing w:before="0" w:beforeAutospacing="0" w:after="0" w:afterAutospacing="0" w:line="360" w:lineRule="auto"/>
        <w:ind w:firstLine="720"/>
        <w:jc w:val="both"/>
      </w:pPr>
      <w:r w:rsidRPr="006260A3">
        <w:t>Serum biochemical parameters were determined as indicators of renal function. The markers evaluated included blood urea nitrogen, creatinine, bicarbonate, sodium, potassium, and chloride. Analyses were conducted using standard commercial assay kits according to the manufacturers’ instructions, and absorbance was read using a spectrophotometer (OPTIMA SP-300, Japan).</w:t>
      </w:r>
    </w:p>
    <w:p w14:paraId="6927E901" w14:textId="77777777" w:rsidR="006260A3" w:rsidRDefault="006260A3" w:rsidP="006260A3">
      <w:pPr>
        <w:pStyle w:val="NormalWeb"/>
        <w:spacing w:before="0" w:beforeAutospacing="0" w:after="0" w:afterAutospacing="0" w:line="360" w:lineRule="auto"/>
        <w:jc w:val="both"/>
        <w:rPr>
          <w:rStyle w:val="Strong"/>
          <w:rFonts w:eastAsia="Calibri"/>
        </w:rPr>
      </w:pPr>
      <w:r>
        <w:rPr>
          <w:rStyle w:val="Strong"/>
          <w:rFonts w:eastAsia="Calibri"/>
        </w:rPr>
        <w:t>2.4</w:t>
      </w:r>
      <w:r>
        <w:rPr>
          <w:rStyle w:val="Strong"/>
          <w:rFonts w:eastAsia="Calibri"/>
        </w:rPr>
        <w:tab/>
      </w:r>
      <w:r w:rsidR="00123F58" w:rsidRPr="006260A3">
        <w:rPr>
          <w:rStyle w:val="Strong"/>
          <w:rFonts w:eastAsia="Calibri"/>
        </w:rPr>
        <w:t>Data Analysis</w:t>
      </w:r>
    </w:p>
    <w:p w14:paraId="3B22CD97" w14:textId="77777777" w:rsidR="00E97896" w:rsidRPr="008D6147" w:rsidRDefault="00E97896" w:rsidP="00E97896">
      <w:pPr>
        <w:spacing w:line="360" w:lineRule="auto"/>
        <w:ind w:firstLine="720"/>
        <w:jc w:val="both"/>
      </w:pPr>
      <w:r w:rsidRPr="008D6147">
        <w:t>All results were expressed as mean ± standard error (SE). Statistical analyses were carried out using SPSS and Microsoft Excel. A two-way analysis of variance (ANOVA) was applied to evaluate the main effects of treatment and dose, as well as their interaction, on the measured parameters. Where significant variations were detected, Duncan’s Multiple Range Test was used for post hoc comparisons. Statistical significance was considered at p &lt; 0.05.</w:t>
      </w:r>
    </w:p>
    <w:p w14:paraId="4135E7DB" w14:textId="77777777" w:rsidR="006962FF" w:rsidRPr="00C96900" w:rsidRDefault="006962FF">
      <w:pPr>
        <w:spacing w:line="276" w:lineRule="auto"/>
        <w:rPr>
          <w:b/>
          <w:sz w:val="22"/>
          <w:szCs w:val="22"/>
        </w:rPr>
      </w:pPr>
      <w:bookmarkStart w:id="5" w:name="_Toc155548165"/>
      <w:bookmarkEnd w:id="4"/>
    </w:p>
    <w:bookmarkEnd w:id="5"/>
    <w:p w14:paraId="4C0C99C5" w14:textId="77777777" w:rsidR="009F798F" w:rsidRPr="00F635BA" w:rsidRDefault="009F798F" w:rsidP="009F798F">
      <w:pPr>
        <w:spacing w:line="360" w:lineRule="auto"/>
        <w:jc w:val="both"/>
        <w:outlineLvl w:val="0"/>
        <w:rPr>
          <w:b/>
          <w:bCs/>
          <w:kern w:val="36"/>
        </w:rPr>
      </w:pPr>
      <w:r w:rsidRPr="00F635BA">
        <w:rPr>
          <w:b/>
          <w:bCs/>
          <w:kern w:val="36"/>
        </w:rPr>
        <w:t>3.0</w:t>
      </w:r>
      <w:r>
        <w:rPr>
          <w:b/>
          <w:bCs/>
          <w:kern w:val="36"/>
        </w:rPr>
        <w:tab/>
      </w:r>
      <w:r w:rsidRPr="00F635BA">
        <w:rPr>
          <w:b/>
          <w:bCs/>
          <w:kern w:val="36"/>
        </w:rPr>
        <w:t>Results and Discussion</w:t>
      </w:r>
    </w:p>
    <w:p w14:paraId="1A73F2E9" w14:textId="77777777" w:rsidR="009F798F" w:rsidRPr="00F635BA" w:rsidRDefault="009F798F" w:rsidP="009F798F">
      <w:pPr>
        <w:spacing w:line="360" w:lineRule="auto"/>
        <w:ind w:firstLine="720"/>
        <w:jc w:val="both"/>
      </w:pPr>
      <w:r w:rsidRPr="00F635BA">
        <w:t>This study evaluated the effects of different leafy vegetable extracts (</w:t>
      </w:r>
      <w:r w:rsidRPr="00F635BA">
        <w:rPr>
          <w:i/>
          <w:iCs/>
        </w:rPr>
        <w:t xml:space="preserve">Solanum </w:t>
      </w:r>
      <w:proofErr w:type="spellStart"/>
      <w:r w:rsidRPr="00F635BA">
        <w:rPr>
          <w:i/>
          <w:iCs/>
        </w:rPr>
        <w:t>aethiopicum</w:t>
      </w:r>
      <w:proofErr w:type="spellEnd"/>
      <w:r w:rsidRPr="00F635BA">
        <w:t xml:space="preserve">, </w:t>
      </w:r>
      <w:r w:rsidRPr="00F635BA">
        <w:rPr>
          <w:i/>
          <w:iCs/>
        </w:rPr>
        <w:t xml:space="preserve">Amaranthus </w:t>
      </w:r>
      <w:proofErr w:type="spellStart"/>
      <w:r w:rsidRPr="00F635BA">
        <w:rPr>
          <w:i/>
          <w:iCs/>
        </w:rPr>
        <w:t>hybridus</w:t>
      </w:r>
      <w:proofErr w:type="spellEnd"/>
      <w:r w:rsidRPr="00F635BA">
        <w:t xml:space="preserve">, </w:t>
      </w:r>
      <w:proofErr w:type="spellStart"/>
      <w:r w:rsidRPr="00F635BA">
        <w:rPr>
          <w:i/>
          <w:iCs/>
        </w:rPr>
        <w:t>Ocimum</w:t>
      </w:r>
      <w:proofErr w:type="spellEnd"/>
      <w:r w:rsidRPr="00F635BA">
        <w:rPr>
          <w:i/>
          <w:iCs/>
        </w:rPr>
        <w:t xml:space="preserve"> </w:t>
      </w:r>
      <w:proofErr w:type="spellStart"/>
      <w:r w:rsidRPr="00F635BA">
        <w:rPr>
          <w:i/>
          <w:iCs/>
        </w:rPr>
        <w:t>gratissimum</w:t>
      </w:r>
      <w:proofErr w:type="spellEnd"/>
      <w:r w:rsidRPr="00F635BA">
        <w:t xml:space="preserve">, </w:t>
      </w:r>
      <w:proofErr w:type="spellStart"/>
      <w:r w:rsidRPr="00F635BA">
        <w:rPr>
          <w:i/>
          <w:iCs/>
        </w:rPr>
        <w:t>Telfairia</w:t>
      </w:r>
      <w:proofErr w:type="spellEnd"/>
      <w:r w:rsidRPr="00F635BA">
        <w:rPr>
          <w:i/>
          <w:iCs/>
        </w:rPr>
        <w:t xml:space="preserve"> </w:t>
      </w:r>
      <w:proofErr w:type="spellStart"/>
      <w:r w:rsidRPr="00F635BA">
        <w:rPr>
          <w:i/>
          <w:iCs/>
        </w:rPr>
        <w:t>occidentalis</w:t>
      </w:r>
      <w:proofErr w:type="spellEnd"/>
      <w:r w:rsidRPr="00F635BA">
        <w:t xml:space="preserve">, and </w:t>
      </w:r>
      <w:r w:rsidRPr="00F635BA">
        <w:rPr>
          <w:i/>
          <w:iCs/>
        </w:rPr>
        <w:t xml:space="preserve">Pterocarpus </w:t>
      </w:r>
      <w:proofErr w:type="spellStart"/>
      <w:r w:rsidRPr="00F635BA">
        <w:rPr>
          <w:i/>
          <w:iCs/>
        </w:rPr>
        <w:t>mildbraedii</w:t>
      </w:r>
      <w:proofErr w:type="spellEnd"/>
      <w:r w:rsidRPr="00F635BA">
        <w:t>) on renal function indices (urea, creatinine, bicarbonate, sodium, potassium, and chloride) in male Wistar rats. Two-way ANOVA was employed to assess the main effects of concentration, extract type, and their interactions. The results revealed extract-specific and, in some cases, dose-dependent influences on biochemical markers of renal function and electrolyte homeostasis.</w:t>
      </w:r>
    </w:p>
    <w:p w14:paraId="6D3A8E0A" w14:textId="77777777" w:rsidR="009F798F" w:rsidRPr="00F635BA" w:rsidRDefault="009F798F" w:rsidP="009F798F">
      <w:pPr>
        <w:spacing w:line="360" w:lineRule="auto"/>
        <w:jc w:val="both"/>
        <w:outlineLvl w:val="2"/>
        <w:rPr>
          <w:b/>
          <w:bCs/>
        </w:rPr>
      </w:pPr>
      <w:r w:rsidRPr="00F635BA">
        <w:rPr>
          <w:b/>
          <w:bCs/>
        </w:rPr>
        <w:t>Urea</w:t>
      </w:r>
    </w:p>
    <w:p w14:paraId="7A67F4B7" w14:textId="77777777" w:rsidR="009F798F" w:rsidRDefault="009F798F" w:rsidP="009F798F">
      <w:pPr>
        <w:spacing w:line="360" w:lineRule="auto"/>
        <w:ind w:firstLine="720"/>
        <w:jc w:val="both"/>
      </w:pPr>
      <w:r w:rsidRPr="00F635BA">
        <w:t>Relative to the control (</w:t>
      </w:r>
      <w:r w:rsidRPr="009035A9">
        <w:rPr>
          <w:bCs/>
        </w:rPr>
        <w:t>24.36 ± 0.08 mg/dL</w:t>
      </w:r>
      <w:r w:rsidRPr="00F635BA">
        <w:t xml:space="preserve">), </w:t>
      </w:r>
      <w:r w:rsidRPr="00F635BA">
        <w:rPr>
          <w:i/>
          <w:iCs/>
        </w:rPr>
        <w:t xml:space="preserve">S. </w:t>
      </w:r>
      <w:proofErr w:type="spellStart"/>
      <w:r w:rsidRPr="00F635BA">
        <w:rPr>
          <w:i/>
          <w:iCs/>
        </w:rPr>
        <w:t>aethiopicum</w:t>
      </w:r>
      <w:proofErr w:type="spellEnd"/>
      <w:r w:rsidRPr="00F635BA">
        <w:t xml:space="preserve"> (SA) reduced urea levels across doses, with the lowest value at high dose (</w:t>
      </w:r>
      <w:r w:rsidRPr="009035A9">
        <w:rPr>
          <w:bCs/>
        </w:rPr>
        <w:t>23.40 ± 0.25 mg/dL</w:t>
      </w:r>
      <w:r w:rsidRPr="00F635BA">
        <w:t xml:space="preserve">). By contrast, </w:t>
      </w:r>
      <w:r w:rsidRPr="00F635BA">
        <w:rPr>
          <w:i/>
          <w:iCs/>
        </w:rPr>
        <w:t>A. hybridus</w:t>
      </w:r>
      <w:r w:rsidRPr="00F635BA">
        <w:t xml:space="preserve"> (AH) increased urea progressively, peaking at </w:t>
      </w:r>
      <w:r w:rsidRPr="009035A9">
        <w:rPr>
          <w:bCs/>
        </w:rPr>
        <w:t>25.30 ± 0.30 mg/dL</w:t>
      </w:r>
      <w:r w:rsidRPr="00F635BA">
        <w:t xml:space="preserve">. </w:t>
      </w:r>
      <w:r w:rsidRPr="00F635BA">
        <w:rPr>
          <w:i/>
          <w:iCs/>
        </w:rPr>
        <w:t xml:space="preserve">O. </w:t>
      </w:r>
      <w:proofErr w:type="spellStart"/>
      <w:r w:rsidRPr="00F635BA">
        <w:rPr>
          <w:i/>
          <w:iCs/>
        </w:rPr>
        <w:t>gratissimum</w:t>
      </w:r>
      <w:proofErr w:type="spellEnd"/>
      <w:r w:rsidRPr="00F635BA">
        <w:t xml:space="preserve"> (OG) and </w:t>
      </w:r>
      <w:r w:rsidRPr="00F635BA">
        <w:rPr>
          <w:i/>
          <w:iCs/>
        </w:rPr>
        <w:t>T. occidentalis</w:t>
      </w:r>
      <w:r w:rsidRPr="00F635BA">
        <w:t xml:space="preserve"> (TO) produced the most marked increases (</w:t>
      </w:r>
      <w:r w:rsidRPr="009035A9">
        <w:rPr>
          <w:bCs/>
        </w:rPr>
        <w:t>26.10 ± 0.50 mg/dL</w:t>
      </w:r>
      <w:r w:rsidRPr="00F635BA">
        <w:t xml:space="preserve"> and </w:t>
      </w:r>
      <w:r w:rsidRPr="009035A9">
        <w:rPr>
          <w:bCs/>
        </w:rPr>
        <w:t>26.40 ± 0.28 mg/dL</w:t>
      </w:r>
      <w:r w:rsidRPr="00F635BA">
        <w:t xml:space="preserve">), while </w:t>
      </w:r>
      <w:r w:rsidRPr="00F635BA">
        <w:rPr>
          <w:i/>
          <w:iCs/>
        </w:rPr>
        <w:t xml:space="preserve">P. </w:t>
      </w:r>
      <w:proofErr w:type="spellStart"/>
      <w:r w:rsidRPr="00F635BA">
        <w:rPr>
          <w:i/>
          <w:iCs/>
        </w:rPr>
        <w:t>mildbraedii</w:t>
      </w:r>
      <w:proofErr w:type="spellEnd"/>
      <w:r w:rsidRPr="00F635BA">
        <w:t xml:space="preserve"> (PM) had negligible effects (~24.40 mg/dL). ANOVA confirmed significant main effects of dose and extract, with a strong interaction.</w:t>
      </w:r>
      <w:r>
        <w:t xml:space="preserve"> </w:t>
      </w:r>
      <w:r w:rsidRPr="00F635BA">
        <w:t xml:space="preserve">The reduction in urea with SA supports reports that </w:t>
      </w:r>
      <w:r w:rsidRPr="00F635BA">
        <w:rPr>
          <w:i/>
          <w:iCs/>
        </w:rPr>
        <w:t>Solanum</w:t>
      </w:r>
      <w:r w:rsidRPr="00F635BA">
        <w:t xml:space="preserve"> species possess antioxidant and reno-ameliorative properties, normalizing nitrogenous wastes in rodent models (</w:t>
      </w:r>
      <w:proofErr w:type="spellStart"/>
      <w:r w:rsidRPr="00F635BA">
        <w:t>Enechi</w:t>
      </w:r>
      <w:proofErr w:type="spellEnd"/>
      <w:r w:rsidRPr="00F635BA">
        <w:t xml:space="preserve"> et al., 2020; </w:t>
      </w:r>
      <w:proofErr w:type="spellStart"/>
      <w:r w:rsidRPr="00F635BA">
        <w:t>Oghenesuvwe</w:t>
      </w:r>
      <w:proofErr w:type="spellEnd"/>
      <w:r w:rsidRPr="00F635BA">
        <w:t xml:space="preserve"> &amp; Ekene, 2019). Conversely, </w:t>
      </w:r>
      <w:r w:rsidRPr="00F635BA">
        <w:lastRenderedPageBreak/>
        <w:t xml:space="preserve">AH-induced increases align with literature indicating that </w:t>
      </w:r>
      <w:r w:rsidRPr="00F635BA">
        <w:rPr>
          <w:i/>
          <w:iCs/>
        </w:rPr>
        <w:t>Amaranthus</w:t>
      </w:r>
      <w:r w:rsidRPr="00F635BA">
        <w:t xml:space="preserve"> spp. contain anti</w:t>
      </w:r>
      <w:r>
        <w:t>-</w:t>
      </w:r>
      <w:r w:rsidRPr="00F635BA">
        <w:t xml:space="preserve">nutritional factors (oxalates, phytates, saponins) that may elevate nitrogen load and impair renal clearance (Gamel et al., 2023; </w:t>
      </w:r>
      <w:proofErr w:type="spellStart"/>
      <w:r w:rsidRPr="00F635BA">
        <w:t>Nyonje</w:t>
      </w:r>
      <w:proofErr w:type="spellEnd"/>
      <w:r w:rsidRPr="00F635BA">
        <w:t>, 2015). The increases in OG and TO are noteworthy given conflicting evidence: OG has shown nephroprotective effects in injury models (</w:t>
      </w:r>
      <w:proofErr w:type="spellStart"/>
      <w:r w:rsidRPr="00F635BA">
        <w:t>Olorunnisola</w:t>
      </w:r>
      <w:proofErr w:type="spellEnd"/>
      <w:r w:rsidRPr="00F635BA">
        <w:t xml:space="preserve"> et al., 2021), but high doses may provoke hepato-renal stress (Eweka et al., 2020). Similarly, TO has been reported to lower urea in toxic models (</w:t>
      </w:r>
      <w:proofErr w:type="spellStart"/>
      <w:r w:rsidRPr="00F635BA">
        <w:t>Egbuonu</w:t>
      </w:r>
      <w:proofErr w:type="spellEnd"/>
      <w:r w:rsidRPr="00F635BA">
        <w:t xml:space="preserve"> et al., 2024), yet elevate it in healthy animals, possibly due to its protein-rich composition driving nitrogen turnover (CDC Foundation </w:t>
      </w:r>
      <w:proofErr w:type="spellStart"/>
      <w:r w:rsidRPr="00F635BA">
        <w:t>Foodpedia</w:t>
      </w:r>
      <w:proofErr w:type="spellEnd"/>
      <w:r w:rsidRPr="00F635BA">
        <w:t xml:space="preserve">, 2022). PM’s neutrality mirrors studies reporting negligible effects of </w:t>
      </w:r>
      <w:r w:rsidRPr="00F635BA">
        <w:rPr>
          <w:i/>
          <w:iCs/>
        </w:rPr>
        <w:t>Pterocarpus</w:t>
      </w:r>
      <w:r w:rsidRPr="00F635BA">
        <w:t xml:space="preserve"> on renal indices despite its antioxidant activity (Nwankwo et al., 2016).</w:t>
      </w:r>
    </w:p>
    <w:p w14:paraId="0123FDA8" w14:textId="77777777" w:rsidR="009F798F" w:rsidRDefault="009F798F" w:rsidP="009F798F">
      <w:pPr>
        <w:spacing w:line="360" w:lineRule="auto"/>
        <w:ind w:firstLine="720"/>
        <w:jc w:val="both"/>
      </w:pPr>
      <w:r w:rsidRPr="008A40DD">
        <w:rPr>
          <w:noProof/>
          <w:lang w:val="en-US" w:eastAsia="en-US"/>
        </w:rPr>
        <w:drawing>
          <wp:inline distT="0" distB="0" distL="0" distR="0" wp14:anchorId="489C0C72" wp14:editId="25965093">
            <wp:extent cx="4654550" cy="2724150"/>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C6BC2B" w14:textId="77777777" w:rsidR="009F798F" w:rsidRDefault="009F798F" w:rsidP="009F798F">
      <w:pPr>
        <w:pStyle w:val="NormalWeb"/>
        <w:spacing w:before="0" w:beforeAutospacing="0" w:after="0" w:afterAutospacing="0"/>
        <w:jc w:val="center"/>
      </w:pPr>
      <w:r>
        <w:t xml:space="preserve">Figure 1: Interaction </w:t>
      </w:r>
      <w:r w:rsidRPr="00C96900">
        <w:t xml:space="preserve">plot for the </w:t>
      </w:r>
      <w:r>
        <w:t xml:space="preserve">blood </w:t>
      </w:r>
      <w:r w:rsidRPr="00C96900">
        <w:t xml:space="preserve">urea </w:t>
      </w:r>
      <w:r>
        <w:t xml:space="preserve">Nitrogen </w:t>
      </w:r>
      <w:r w:rsidRPr="00C96900">
        <w:t>levels across different doses and leaf extracts.</w:t>
      </w:r>
    </w:p>
    <w:p w14:paraId="4F2DA8EB" w14:textId="77777777" w:rsidR="009F798F" w:rsidRPr="00C96900" w:rsidRDefault="009F798F" w:rsidP="009F798F">
      <w:pPr>
        <w:jc w:val="center"/>
      </w:pPr>
      <w:r w:rsidRPr="00BE3A9F">
        <w:rPr>
          <w:i/>
        </w:rPr>
        <w:t>Solanum</w:t>
      </w:r>
      <w:r w:rsidRPr="007E380B">
        <w:t xml:space="preserve"> </w:t>
      </w:r>
      <w:proofErr w:type="spellStart"/>
      <w:r w:rsidRPr="00BE3A9F">
        <w:rPr>
          <w:i/>
        </w:rPr>
        <w:t>aethiopicum</w:t>
      </w:r>
      <w:proofErr w:type="spellEnd"/>
      <w:r w:rsidRPr="007E380B">
        <w:t xml:space="preserve"> </w:t>
      </w:r>
      <w:r>
        <w:t xml:space="preserve">= SA; </w:t>
      </w:r>
      <w:r w:rsidRPr="00BE3A9F">
        <w:rPr>
          <w:i/>
        </w:rPr>
        <w:t>Amaranthus</w:t>
      </w:r>
      <w:r w:rsidRPr="007E380B">
        <w:t xml:space="preserve"> </w:t>
      </w:r>
      <w:r w:rsidRPr="00BE3A9F">
        <w:rPr>
          <w:i/>
        </w:rPr>
        <w:t>hybridus</w:t>
      </w:r>
      <w:r>
        <w:t xml:space="preserve"> = </w:t>
      </w:r>
      <w:r w:rsidRPr="007E380B">
        <w:t>AH</w:t>
      </w:r>
      <w:r>
        <w:t xml:space="preserve">; </w:t>
      </w:r>
      <w:r w:rsidRPr="00BE3A9F">
        <w:rPr>
          <w:i/>
        </w:rPr>
        <w:t>Pterocarpus</w:t>
      </w:r>
      <w:r w:rsidRPr="007E380B">
        <w:t xml:space="preserve"> </w:t>
      </w:r>
      <w:proofErr w:type="spellStart"/>
      <w:r w:rsidRPr="00BE3A9F">
        <w:rPr>
          <w:i/>
        </w:rPr>
        <w:t>mildraedii</w:t>
      </w:r>
      <w:proofErr w:type="spellEnd"/>
      <w:r w:rsidRPr="007E380B">
        <w:t xml:space="preserve"> </w:t>
      </w:r>
      <w:r>
        <w:t xml:space="preserve">= PM; </w:t>
      </w:r>
      <w:proofErr w:type="spellStart"/>
      <w:r w:rsidRPr="00BE3A9F">
        <w:rPr>
          <w:i/>
        </w:rPr>
        <w:t>Ocimum</w:t>
      </w:r>
      <w:proofErr w:type="spellEnd"/>
      <w:r w:rsidRPr="007E380B">
        <w:t xml:space="preserve"> </w:t>
      </w:r>
      <w:proofErr w:type="spellStart"/>
      <w:r w:rsidRPr="00BE3A9F">
        <w:rPr>
          <w:i/>
        </w:rPr>
        <w:t>gratissimum</w:t>
      </w:r>
      <w:proofErr w:type="spellEnd"/>
      <w:r>
        <w:t xml:space="preserve"> = </w:t>
      </w:r>
      <w:r w:rsidRPr="007E380B">
        <w:t>OG</w:t>
      </w:r>
      <w:r>
        <w:t xml:space="preserve">; </w:t>
      </w:r>
      <w:proofErr w:type="spellStart"/>
      <w:r w:rsidRPr="00BE3A9F">
        <w:rPr>
          <w:i/>
        </w:rPr>
        <w:t>Telfaria</w:t>
      </w:r>
      <w:proofErr w:type="spellEnd"/>
      <w:r w:rsidRPr="007E380B">
        <w:t xml:space="preserve"> </w:t>
      </w:r>
      <w:r w:rsidRPr="00BE3A9F">
        <w:rPr>
          <w:i/>
        </w:rPr>
        <w:t>occidentalis</w:t>
      </w:r>
      <w:r w:rsidRPr="007E380B">
        <w:t xml:space="preserve"> (TO)</w:t>
      </w:r>
    </w:p>
    <w:p w14:paraId="25B628DF" w14:textId="77777777" w:rsidR="009F798F" w:rsidRPr="00DA38C2" w:rsidRDefault="009F798F" w:rsidP="009F798F">
      <w:pPr>
        <w:jc w:val="center"/>
      </w:pPr>
      <w:r w:rsidRPr="00DA38C2">
        <w:t xml:space="preserve">Table </w:t>
      </w:r>
      <w:r>
        <w:t>1</w:t>
      </w:r>
      <w:r w:rsidRPr="00DA38C2">
        <w:t>: Summary table of two-way ANOVA on the interaction for the urea levels across different doses and leaf extracts</w:t>
      </w:r>
    </w:p>
    <w:tbl>
      <w:tblPr>
        <w:tblStyle w:val="TableGrid"/>
        <w:tblW w:w="610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260"/>
        <w:gridCol w:w="1306"/>
        <w:gridCol w:w="1316"/>
      </w:tblGrid>
      <w:tr w:rsidR="009F798F" w:rsidRPr="00DA38C2" w14:paraId="75A59371" w14:textId="77777777" w:rsidTr="00C523B4">
        <w:trPr>
          <w:trHeight w:val="50"/>
          <w:jc w:val="center"/>
        </w:trPr>
        <w:tc>
          <w:tcPr>
            <w:tcW w:w="2220" w:type="dxa"/>
            <w:tcBorders>
              <w:bottom w:val="single" w:sz="4" w:space="0" w:color="auto"/>
            </w:tcBorders>
            <w:vAlign w:val="center"/>
            <w:hideMark/>
          </w:tcPr>
          <w:p w14:paraId="584AC342" w14:textId="77777777" w:rsidR="009F798F" w:rsidRPr="00DA38C2" w:rsidRDefault="009F798F" w:rsidP="00C523B4">
            <w:pPr>
              <w:rPr>
                <w:sz w:val="24"/>
                <w:szCs w:val="24"/>
              </w:rPr>
            </w:pPr>
            <w:r w:rsidRPr="00DA38C2">
              <w:rPr>
                <w:sz w:val="24"/>
                <w:szCs w:val="24"/>
              </w:rPr>
              <w:t>Source</w:t>
            </w:r>
          </w:p>
        </w:tc>
        <w:tc>
          <w:tcPr>
            <w:tcW w:w="1260" w:type="dxa"/>
            <w:tcBorders>
              <w:bottom w:val="single" w:sz="4" w:space="0" w:color="auto"/>
            </w:tcBorders>
            <w:vAlign w:val="center"/>
            <w:hideMark/>
          </w:tcPr>
          <w:p w14:paraId="4731A96C" w14:textId="77777777" w:rsidR="009F798F" w:rsidRPr="00DA38C2" w:rsidRDefault="009F798F" w:rsidP="00C523B4">
            <w:pPr>
              <w:jc w:val="center"/>
              <w:rPr>
                <w:sz w:val="24"/>
                <w:szCs w:val="24"/>
              </w:rPr>
            </w:pPr>
            <w:r w:rsidRPr="00DA38C2">
              <w:rPr>
                <w:sz w:val="24"/>
                <w:szCs w:val="24"/>
              </w:rPr>
              <w:t>F - Value</w:t>
            </w:r>
          </w:p>
        </w:tc>
        <w:tc>
          <w:tcPr>
            <w:tcW w:w="1306" w:type="dxa"/>
            <w:tcBorders>
              <w:bottom w:val="single" w:sz="4" w:space="0" w:color="auto"/>
            </w:tcBorders>
            <w:vAlign w:val="center"/>
            <w:hideMark/>
          </w:tcPr>
          <w:p w14:paraId="573D6408" w14:textId="77777777" w:rsidR="009F798F" w:rsidRPr="00DA38C2" w:rsidRDefault="009F798F" w:rsidP="00C523B4">
            <w:pPr>
              <w:jc w:val="center"/>
              <w:rPr>
                <w:sz w:val="24"/>
                <w:szCs w:val="24"/>
              </w:rPr>
            </w:pPr>
            <w:r w:rsidRPr="00DA38C2">
              <w:rPr>
                <w:sz w:val="24"/>
                <w:szCs w:val="24"/>
              </w:rPr>
              <w:t>P - Value</w:t>
            </w:r>
          </w:p>
        </w:tc>
        <w:tc>
          <w:tcPr>
            <w:tcW w:w="1316" w:type="dxa"/>
            <w:tcBorders>
              <w:bottom w:val="single" w:sz="4" w:space="0" w:color="auto"/>
            </w:tcBorders>
            <w:hideMark/>
          </w:tcPr>
          <w:p w14:paraId="693371E7" w14:textId="77777777" w:rsidR="009F798F" w:rsidRPr="00DA38C2" w:rsidRDefault="009F798F" w:rsidP="00C523B4">
            <w:pPr>
              <w:jc w:val="center"/>
              <w:rPr>
                <w:sz w:val="24"/>
                <w:szCs w:val="24"/>
              </w:rPr>
            </w:pPr>
            <w:r w:rsidRPr="00DA38C2">
              <w:rPr>
                <w:sz w:val="24"/>
                <w:szCs w:val="24"/>
              </w:rPr>
              <w:t>Partial Eta Squared</w:t>
            </w:r>
          </w:p>
        </w:tc>
      </w:tr>
      <w:tr w:rsidR="009F798F" w:rsidRPr="00DA38C2" w14:paraId="361C98B7" w14:textId="77777777" w:rsidTr="00C523B4">
        <w:trPr>
          <w:trHeight w:val="50"/>
          <w:jc w:val="center"/>
        </w:trPr>
        <w:tc>
          <w:tcPr>
            <w:tcW w:w="2220" w:type="dxa"/>
            <w:tcBorders>
              <w:top w:val="single" w:sz="4" w:space="0" w:color="auto"/>
              <w:bottom w:val="nil"/>
            </w:tcBorders>
            <w:hideMark/>
          </w:tcPr>
          <w:p w14:paraId="6C163ECC" w14:textId="77777777" w:rsidR="009F798F" w:rsidRPr="00DA38C2" w:rsidRDefault="009F798F" w:rsidP="00C523B4">
            <w:pPr>
              <w:rPr>
                <w:sz w:val="24"/>
                <w:szCs w:val="24"/>
              </w:rPr>
            </w:pPr>
            <w:r w:rsidRPr="00DA38C2">
              <w:rPr>
                <w:sz w:val="24"/>
                <w:szCs w:val="24"/>
              </w:rPr>
              <w:t>Dose</w:t>
            </w:r>
          </w:p>
        </w:tc>
        <w:tc>
          <w:tcPr>
            <w:tcW w:w="1260" w:type="dxa"/>
            <w:tcBorders>
              <w:top w:val="single" w:sz="4" w:space="0" w:color="auto"/>
              <w:bottom w:val="nil"/>
            </w:tcBorders>
            <w:noWrap/>
            <w:hideMark/>
          </w:tcPr>
          <w:p w14:paraId="2C7415EA" w14:textId="77777777" w:rsidR="009F798F" w:rsidRPr="00DA38C2" w:rsidRDefault="009F798F" w:rsidP="00C523B4">
            <w:pPr>
              <w:jc w:val="center"/>
              <w:rPr>
                <w:sz w:val="24"/>
                <w:szCs w:val="24"/>
              </w:rPr>
            </w:pPr>
            <w:r w:rsidRPr="00DA38C2">
              <w:rPr>
                <w:sz w:val="24"/>
                <w:szCs w:val="24"/>
              </w:rPr>
              <w:t>21.798</w:t>
            </w:r>
          </w:p>
        </w:tc>
        <w:tc>
          <w:tcPr>
            <w:tcW w:w="1306" w:type="dxa"/>
            <w:tcBorders>
              <w:top w:val="single" w:sz="4" w:space="0" w:color="auto"/>
              <w:bottom w:val="nil"/>
            </w:tcBorders>
            <w:noWrap/>
            <w:hideMark/>
          </w:tcPr>
          <w:p w14:paraId="7C798AF2" w14:textId="77777777" w:rsidR="009F798F" w:rsidRPr="00DA38C2" w:rsidRDefault="009F798F" w:rsidP="00C523B4">
            <w:pPr>
              <w:jc w:val="center"/>
              <w:rPr>
                <w:sz w:val="24"/>
                <w:szCs w:val="24"/>
              </w:rPr>
            </w:pPr>
            <w:r w:rsidRPr="00DA38C2">
              <w:rPr>
                <w:sz w:val="24"/>
                <w:szCs w:val="24"/>
              </w:rPr>
              <w:t>&lt;0.001</w:t>
            </w:r>
          </w:p>
        </w:tc>
        <w:tc>
          <w:tcPr>
            <w:tcW w:w="1316" w:type="dxa"/>
            <w:tcBorders>
              <w:top w:val="single" w:sz="4" w:space="0" w:color="auto"/>
              <w:bottom w:val="nil"/>
            </w:tcBorders>
            <w:noWrap/>
            <w:hideMark/>
          </w:tcPr>
          <w:p w14:paraId="5DD4570E" w14:textId="77777777" w:rsidR="009F798F" w:rsidRPr="00DA38C2" w:rsidRDefault="009F798F" w:rsidP="00C523B4">
            <w:pPr>
              <w:jc w:val="center"/>
              <w:rPr>
                <w:sz w:val="24"/>
                <w:szCs w:val="24"/>
              </w:rPr>
            </w:pPr>
            <w:r w:rsidRPr="00DA38C2">
              <w:rPr>
                <w:sz w:val="24"/>
                <w:szCs w:val="24"/>
              </w:rPr>
              <w:t>0.766</w:t>
            </w:r>
          </w:p>
        </w:tc>
      </w:tr>
      <w:tr w:rsidR="009F798F" w:rsidRPr="00DA38C2" w14:paraId="4F16601C" w14:textId="77777777" w:rsidTr="00C523B4">
        <w:trPr>
          <w:trHeight w:val="50"/>
          <w:jc w:val="center"/>
        </w:trPr>
        <w:tc>
          <w:tcPr>
            <w:tcW w:w="2220" w:type="dxa"/>
            <w:tcBorders>
              <w:top w:val="nil"/>
            </w:tcBorders>
            <w:hideMark/>
          </w:tcPr>
          <w:p w14:paraId="021B7C27" w14:textId="77777777" w:rsidR="009F798F" w:rsidRPr="00DA38C2" w:rsidRDefault="009F798F" w:rsidP="00C523B4">
            <w:pPr>
              <w:rPr>
                <w:sz w:val="24"/>
                <w:szCs w:val="24"/>
              </w:rPr>
            </w:pPr>
            <w:r w:rsidRPr="00DA38C2">
              <w:rPr>
                <w:sz w:val="24"/>
                <w:szCs w:val="24"/>
              </w:rPr>
              <w:t>Leaf Extracts</w:t>
            </w:r>
          </w:p>
        </w:tc>
        <w:tc>
          <w:tcPr>
            <w:tcW w:w="1260" w:type="dxa"/>
            <w:tcBorders>
              <w:top w:val="nil"/>
            </w:tcBorders>
            <w:noWrap/>
            <w:hideMark/>
          </w:tcPr>
          <w:p w14:paraId="73768535" w14:textId="77777777" w:rsidR="009F798F" w:rsidRPr="00DA38C2" w:rsidRDefault="009F798F" w:rsidP="00C523B4">
            <w:pPr>
              <w:jc w:val="center"/>
              <w:rPr>
                <w:sz w:val="24"/>
                <w:szCs w:val="24"/>
              </w:rPr>
            </w:pPr>
            <w:r w:rsidRPr="00DA38C2">
              <w:rPr>
                <w:sz w:val="24"/>
                <w:szCs w:val="24"/>
              </w:rPr>
              <w:t>47.756</w:t>
            </w:r>
          </w:p>
        </w:tc>
        <w:tc>
          <w:tcPr>
            <w:tcW w:w="1306" w:type="dxa"/>
            <w:tcBorders>
              <w:top w:val="nil"/>
            </w:tcBorders>
            <w:noWrap/>
            <w:hideMark/>
          </w:tcPr>
          <w:p w14:paraId="24E1466F" w14:textId="77777777" w:rsidR="009F798F" w:rsidRPr="00DA38C2" w:rsidRDefault="009F798F" w:rsidP="00C523B4">
            <w:pPr>
              <w:jc w:val="center"/>
              <w:rPr>
                <w:sz w:val="24"/>
                <w:szCs w:val="24"/>
              </w:rPr>
            </w:pPr>
            <w:r w:rsidRPr="00DA38C2">
              <w:rPr>
                <w:sz w:val="24"/>
                <w:szCs w:val="24"/>
              </w:rPr>
              <w:t>&lt;0.001</w:t>
            </w:r>
          </w:p>
        </w:tc>
        <w:tc>
          <w:tcPr>
            <w:tcW w:w="1316" w:type="dxa"/>
            <w:tcBorders>
              <w:top w:val="nil"/>
            </w:tcBorders>
            <w:noWrap/>
            <w:hideMark/>
          </w:tcPr>
          <w:p w14:paraId="7157C466" w14:textId="77777777" w:rsidR="009F798F" w:rsidRPr="00DA38C2" w:rsidRDefault="009F798F" w:rsidP="00C523B4">
            <w:pPr>
              <w:jc w:val="center"/>
              <w:rPr>
                <w:sz w:val="24"/>
                <w:szCs w:val="24"/>
              </w:rPr>
            </w:pPr>
            <w:r w:rsidRPr="00DA38C2">
              <w:rPr>
                <w:sz w:val="24"/>
                <w:szCs w:val="24"/>
              </w:rPr>
              <w:t>0.905</w:t>
            </w:r>
          </w:p>
        </w:tc>
      </w:tr>
      <w:tr w:rsidR="009F798F" w:rsidRPr="00DA38C2" w14:paraId="07E4673E" w14:textId="77777777" w:rsidTr="00C523B4">
        <w:trPr>
          <w:trHeight w:val="70"/>
          <w:jc w:val="center"/>
        </w:trPr>
        <w:tc>
          <w:tcPr>
            <w:tcW w:w="2220" w:type="dxa"/>
            <w:hideMark/>
          </w:tcPr>
          <w:p w14:paraId="2871F11C" w14:textId="77777777" w:rsidR="009F798F" w:rsidRPr="00DA38C2" w:rsidRDefault="009F798F" w:rsidP="00C523B4">
            <w:pPr>
              <w:rPr>
                <w:sz w:val="24"/>
                <w:szCs w:val="24"/>
              </w:rPr>
            </w:pPr>
            <w:r w:rsidRPr="00DA38C2">
              <w:rPr>
                <w:sz w:val="24"/>
                <w:szCs w:val="24"/>
              </w:rPr>
              <w:t>Interaction</w:t>
            </w:r>
          </w:p>
        </w:tc>
        <w:tc>
          <w:tcPr>
            <w:tcW w:w="1260" w:type="dxa"/>
            <w:noWrap/>
            <w:hideMark/>
          </w:tcPr>
          <w:p w14:paraId="363B77F8" w14:textId="77777777" w:rsidR="009F798F" w:rsidRPr="00DA38C2" w:rsidRDefault="009F798F" w:rsidP="00C523B4">
            <w:pPr>
              <w:jc w:val="center"/>
              <w:rPr>
                <w:sz w:val="24"/>
                <w:szCs w:val="24"/>
              </w:rPr>
            </w:pPr>
            <w:r w:rsidRPr="00DA38C2">
              <w:rPr>
                <w:sz w:val="24"/>
                <w:szCs w:val="24"/>
              </w:rPr>
              <w:t>7.641</w:t>
            </w:r>
          </w:p>
        </w:tc>
        <w:tc>
          <w:tcPr>
            <w:tcW w:w="1306" w:type="dxa"/>
            <w:noWrap/>
            <w:hideMark/>
          </w:tcPr>
          <w:p w14:paraId="227632CC" w14:textId="77777777" w:rsidR="009F798F" w:rsidRPr="00DA38C2" w:rsidRDefault="009F798F" w:rsidP="00C523B4">
            <w:pPr>
              <w:jc w:val="center"/>
              <w:rPr>
                <w:sz w:val="24"/>
                <w:szCs w:val="24"/>
              </w:rPr>
            </w:pPr>
            <w:r w:rsidRPr="00DA38C2">
              <w:rPr>
                <w:sz w:val="24"/>
                <w:szCs w:val="24"/>
              </w:rPr>
              <w:t>&lt;0.001</w:t>
            </w:r>
          </w:p>
        </w:tc>
        <w:tc>
          <w:tcPr>
            <w:tcW w:w="1316" w:type="dxa"/>
            <w:noWrap/>
            <w:hideMark/>
          </w:tcPr>
          <w:p w14:paraId="2B877D73" w14:textId="77777777" w:rsidR="009F798F" w:rsidRPr="00DA38C2" w:rsidRDefault="009F798F" w:rsidP="00C523B4">
            <w:pPr>
              <w:jc w:val="center"/>
              <w:rPr>
                <w:sz w:val="24"/>
                <w:szCs w:val="24"/>
              </w:rPr>
            </w:pPr>
            <w:r w:rsidRPr="00DA38C2">
              <w:rPr>
                <w:sz w:val="24"/>
                <w:szCs w:val="24"/>
              </w:rPr>
              <w:t>0.821</w:t>
            </w:r>
          </w:p>
        </w:tc>
      </w:tr>
    </w:tbl>
    <w:p w14:paraId="60596D6B" w14:textId="77777777" w:rsidR="009F798F" w:rsidRPr="00F635BA" w:rsidRDefault="009F798F" w:rsidP="009F798F">
      <w:pPr>
        <w:spacing w:line="360" w:lineRule="auto"/>
        <w:jc w:val="both"/>
        <w:outlineLvl w:val="2"/>
        <w:rPr>
          <w:b/>
          <w:bCs/>
        </w:rPr>
      </w:pPr>
      <w:r w:rsidRPr="00F635BA">
        <w:rPr>
          <w:b/>
          <w:bCs/>
        </w:rPr>
        <w:t>Creatinine</w:t>
      </w:r>
    </w:p>
    <w:p w14:paraId="61C78F0A" w14:textId="77777777" w:rsidR="009F798F" w:rsidRPr="00F635BA" w:rsidRDefault="009F798F" w:rsidP="009F798F">
      <w:pPr>
        <w:spacing w:line="360" w:lineRule="auto"/>
        <w:ind w:firstLine="720"/>
        <w:jc w:val="both"/>
      </w:pPr>
      <w:r w:rsidRPr="00F635BA">
        <w:t>SA reduced creatinine from control (</w:t>
      </w:r>
      <w:r w:rsidRPr="009035A9">
        <w:rPr>
          <w:bCs/>
        </w:rPr>
        <w:t>0.40 ± 0.06 mg/dL</w:t>
      </w:r>
      <w:r w:rsidRPr="00F635BA">
        <w:t xml:space="preserve">) to </w:t>
      </w:r>
      <w:r w:rsidRPr="009035A9">
        <w:rPr>
          <w:bCs/>
        </w:rPr>
        <w:t>0.32 ± 0.03 mg/dL</w:t>
      </w:r>
      <w:r w:rsidRPr="00F635BA">
        <w:t xml:space="preserve"> (high dose), consistent with antioxidant-mediated nephroprotection (Onoja et al., 2018). Conversely, AH, OG, and TO induced dose-related increases (</w:t>
      </w:r>
      <w:r w:rsidRPr="009035A9">
        <w:rPr>
          <w:bCs/>
        </w:rPr>
        <w:t>0.45–0.48 mg/dL</w:t>
      </w:r>
      <w:r w:rsidRPr="00F635BA">
        <w:t>), suggesting mild renal burden. These outcomes echo findings that high levels of phytochemicals such as saponins and alkaloids can elevate creatinine under certain conditions (</w:t>
      </w:r>
      <w:proofErr w:type="spellStart"/>
      <w:r w:rsidRPr="00F635BA">
        <w:t>Ezejiofor</w:t>
      </w:r>
      <w:proofErr w:type="spellEnd"/>
      <w:r w:rsidRPr="00F635BA">
        <w:t xml:space="preserve"> et al., 2017; Ugwu &amp; Orji, 2020). PM remained unchanged (~0.39–0.40 mg/dL), reinforcing its safety profile (Okafor et al., 2019). ANOVA showed extract type </w:t>
      </w:r>
      <w:r w:rsidRPr="00F635BA">
        <w:lastRenderedPageBreak/>
        <w:t>significantly influenced creatinine, while dose alone was not significant, underscoring phytochemical identity as the primary determinant (Nwokocha et al., 2017).</w:t>
      </w:r>
    </w:p>
    <w:p w14:paraId="3FC7656C" w14:textId="77777777" w:rsidR="009F798F" w:rsidRDefault="009F798F" w:rsidP="009F798F">
      <w:pPr>
        <w:jc w:val="center"/>
      </w:pPr>
      <w:r w:rsidRPr="008A40DD">
        <w:rPr>
          <w:noProof/>
          <w:lang w:val="en-US" w:eastAsia="en-US"/>
        </w:rPr>
        <w:drawing>
          <wp:inline distT="0" distB="0" distL="0" distR="0" wp14:anchorId="129DE51B" wp14:editId="4E6AFE25">
            <wp:extent cx="4572000" cy="2743200"/>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8AC490" w14:textId="77777777" w:rsidR="009F798F" w:rsidRDefault="009F798F" w:rsidP="009F798F">
      <w:pPr>
        <w:pStyle w:val="NormalWeb"/>
        <w:spacing w:before="0" w:beforeAutospacing="0" w:after="0" w:afterAutospacing="0"/>
        <w:jc w:val="center"/>
      </w:pPr>
      <w:r>
        <w:t xml:space="preserve">Figure 2: Interaction </w:t>
      </w:r>
      <w:r w:rsidRPr="00C96900">
        <w:t xml:space="preserve">plot for the </w:t>
      </w:r>
      <w:r>
        <w:t xml:space="preserve">creatinine </w:t>
      </w:r>
      <w:r w:rsidRPr="00C96900">
        <w:t>levels across different doses and leaf extracts.</w:t>
      </w:r>
    </w:p>
    <w:p w14:paraId="69A3AA77" w14:textId="77777777" w:rsidR="009F798F" w:rsidRPr="00C96900" w:rsidRDefault="009F798F" w:rsidP="009F798F">
      <w:pPr>
        <w:jc w:val="center"/>
      </w:pPr>
      <w:r w:rsidRPr="00BE3A9F">
        <w:rPr>
          <w:i/>
        </w:rPr>
        <w:t>Solanum</w:t>
      </w:r>
      <w:r w:rsidRPr="007E380B">
        <w:t xml:space="preserve"> </w:t>
      </w:r>
      <w:proofErr w:type="spellStart"/>
      <w:r w:rsidRPr="00BE3A9F">
        <w:rPr>
          <w:i/>
        </w:rPr>
        <w:t>aethiopicum</w:t>
      </w:r>
      <w:proofErr w:type="spellEnd"/>
      <w:r w:rsidRPr="007E380B">
        <w:t xml:space="preserve"> </w:t>
      </w:r>
      <w:r>
        <w:t xml:space="preserve">= SA; </w:t>
      </w:r>
      <w:r w:rsidRPr="00BE3A9F">
        <w:rPr>
          <w:i/>
        </w:rPr>
        <w:t>Amaranthus</w:t>
      </w:r>
      <w:r w:rsidRPr="007E380B">
        <w:t xml:space="preserve"> </w:t>
      </w:r>
      <w:r w:rsidRPr="00BE3A9F">
        <w:rPr>
          <w:i/>
        </w:rPr>
        <w:t>hybridus</w:t>
      </w:r>
      <w:r>
        <w:t xml:space="preserve"> = </w:t>
      </w:r>
      <w:r w:rsidRPr="007E380B">
        <w:t>AH</w:t>
      </w:r>
      <w:r>
        <w:t xml:space="preserve">; </w:t>
      </w:r>
      <w:r w:rsidRPr="00BE3A9F">
        <w:rPr>
          <w:i/>
        </w:rPr>
        <w:t>Pterocarpus</w:t>
      </w:r>
      <w:r w:rsidRPr="007E380B">
        <w:t xml:space="preserve"> </w:t>
      </w:r>
      <w:proofErr w:type="spellStart"/>
      <w:r w:rsidRPr="00BE3A9F">
        <w:rPr>
          <w:i/>
        </w:rPr>
        <w:t>mildraedii</w:t>
      </w:r>
      <w:proofErr w:type="spellEnd"/>
      <w:r w:rsidRPr="007E380B">
        <w:t xml:space="preserve"> </w:t>
      </w:r>
      <w:r>
        <w:t xml:space="preserve">= PM; </w:t>
      </w:r>
      <w:proofErr w:type="spellStart"/>
      <w:r w:rsidRPr="00BE3A9F">
        <w:rPr>
          <w:i/>
        </w:rPr>
        <w:t>Ocimum</w:t>
      </w:r>
      <w:proofErr w:type="spellEnd"/>
      <w:r w:rsidRPr="007E380B">
        <w:t xml:space="preserve"> </w:t>
      </w:r>
      <w:proofErr w:type="spellStart"/>
      <w:r w:rsidRPr="00BE3A9F">
        <w:rPr>
          <w:i/>
        </w:rPr>
        <w:t>gratissimum</w:t>
      </w:r>
      <w:proofErr w:type="spellEnd"/>
      <w:r>
        <w:t xml:space="preserve"> = </w:t>
      </w:r>
      <w:r w:rsidRPr="007E380B">
        <w:t>OG</w:t>
      </w:r>
      <w:r>
        <w:t xml:space="preserve">; </w:t>
      </w:r>
      <w:proofErr w:type="spellStart"/>
      <w:r w:rsidRPr="00BE3A9F">
        <w:rPr>
          <w:i/>
        </w:rPr>
        <w:t>Telfaria</w:t>
      </w:r>
      <w:proofErr w:type="spellEnd"/>
      <w:r w:rsidRPr="007E380B">
        <w:t xml:space="preserve"> </w:t>
      </w:r>
      <w:r w:rsidRPr="00BE3A9F">
        <w:rPr>
          <w:i/>
        </w:rPr>
        <w:t>occidentalis</w:t>
      </w:r>
      <w:r w:rsidRPr="007E380B">
        <w:t xml:space="preserve"> (TO)</w:t>
      </w:r>
    </w:p>
    <w:p w14:paraId="46CF957C" w14:textId="77777777" w:rsidR="009F798F" w:rsidRDefault="009F798F" w:rsidP="009F798F">
      <w:pPr>
        <w:jc w:val="center"/>
      </w:pPr>
    </w:p>
    <w:p w14:paraId="24A6925C" w14:textId="77777777" w:rsidR="009F798F" w:rsidRPr="00DA38C2" w:rsidRDefault="009F798F" w:rsidP="009F798F">
      <w:pPr>
        <w:jc w:val="center"/>
      </w:pPr>
      <w:r w:rsidRPr="00DA38C2">
        <w:t xml:space="preserve">Table </w:t>
      </w:r>
      <w:r>
        <w:t>2</w:t>
      </w:r>
      <w:r w:rsidRPr="00DA38C2">
        <w:t>: Summary table of two-way ANOVA on the interaction for the creatinine levels across different doses and leaf extracts</w:t>
      </w:r>
    </w:p>
    <w:tbl>
      <w:tblPr>
        <w:tblStyle w:val="TableGrid"/>
        <w:tblW w:w="614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260"/>
        <w:gridCol w:w="1213"/>
        <w:gridCol w:w="1455"/>
      </w:tblGrid>
      <w:tr w:rsidR="009F798F" w:rsidRPr="00DA38C2" w14:paraId="61B27E11" w14:textId="77777777" w:rsidTr="00C523B4">
        <w:trPr>
          <w:trHeight w:val="50"/>
          <w:jc w:val="center"/>
        </w:trPr>
        <w:tc>
          <w:tcPr>
            <w:tcW w:w="2220" w:type="dxa"/>
            <w:tcBorders>
              <w:top w:val="single" w:sz="4" w:space="0" w:color="auto"/>
              <w:bottom w:val="single" w:sz="4" w:space="0" w:color="auto"/>
            </w:tcBorders>
            <w:vAlign w:val="center"/>
            <w:hideMark/>
          </w:tcPr>
          <w:p w14:paraId="2549A4DF" w14:textId="77777777" w:rsidR="009F798F" w:rsidRPr="00DA38C2" w:rsidRDefault="009F798F" w:rsidP="00C523B4">
            <w:pPr>
              <w:rPr>
                <w:sz w:val="24"/>
                <w:szCs w:val="24"/>
              </w:rPr>
            </w:pPr>
            <w:r w:rsidRPr="00DA38C2">
              <w:rPr>
                <w:sz w:val="24"/>
                <w:szCs w:val="24"/>
              </w:rPr>
              <w:t>Source</w:t>
            </w:r>
          </w:p>
        </w:tc>
        <w:tc>
          <w:tcPr>
            <w:tcW w:w="1260" w:type="dxa"/>
            <w:tcBorders>
              <w:top w:val="single" w:sz="4" w:space="0" w:color="auto"/>
              <w:bottom w:val="single" w:sz="4" w:space="0" w:color="auto"/>
            </w:tcBorders>
            <w:vAlign w:val="center"/>
            <w:hideMark/>
          </w:tcPr>
          <w:p w14:paraId="1546C380" w14:textId="77777777" w:rsidR="009F798F" w:rsidRPr="00DA38C2" w:rsidRDefault="009F798F" w:rsidP="00C523B4">
            <w:pPr>
              <w:jc w:val="center"/>
              <w:rPr>
                <w:sz w:val="24"/>
                <w:szCs w:val="24"/>
              </w:rPr>
            </w:pPr>
            <w:r w:rsidRPr="00DA38C2">
              <w:rPr>
                <w:sz w:val="24"/>
                <w:szCs w:val="24"/>
              </w:rPr>
              <w:t>F - Value</w:t>
            </w:r>
          </w:p>
        </w:tc>
        <w:tc>
          <w:tcPr>
            <w:tcW w:w="1213" w:type="dxa"/>
            <w:tcBorders>
              <w:top w:val="single" w:sz="4" w:space="0" w:color="auto"/>
              <w:bottom w:val="single" w:sz="4" w:space="0" w:color="auto"/>
            </w:tcBorders>
            <w:vAlign w:val="center"/>
            <w:hideMark/>
          </w:tcPr>
          <w:p w14:paraId="56C6B9B9" w14:textId="77777777" w:rsidR="009F798F" w:rsidRPr="00DA38C2" w:rsidRDefault="009F798F" w:rsidP="00C523B4">
            <w:pPr>
              <w:jc w:val="center"/>
              <w:rPr>
                <w:sz w:val="24"/>
                <w:szCs w:val="24"/>
              </w:rPr>
            </w:pPr>
            <w:r w:rsidRPr="00DA38C2">
              <w:rPr>
                <w:sz w:val="24"/>
                <w:szCs w:val="24"/>
              </w:rPr>
              <w:t>P - Value</w:t>
            </w:r>
          </w:p>
        </w:tc>
        <w:tc>
          <w:tcPr>
            <w:tcW w:w="1455" w:type="dxa"/>
            <w:tcBorders>
              <w:top w:val="single" w:sz="4" w:space="0" w:color="auto"/>
              <w:bottom w:val="single" w:sz="4" w:space="0" w:color="auto"/>
            </w:tcBorders>
            <w:hideMark/>
          </w:tcPr>
          <w:p w14:paraId="20CFDF33" w14:textId="77777777" w:rsidR="009F798F" w:rsidRPr="00DA38C2" w:rsidRDefault="009F798F" w:rsidP="00C523B4">
            <w:pPr>
              <w:jc w:val="center"/>
              <w:rPr>
                <w:sz w:val="24"/>
                <w:szCs w:val="24"/>
              </w:rPr>
            </w:pPr>
            <w:r w:rsidRPr="00DA38C2">
              <w:rPr>
                <w:sz w:val="24"/>
                <w:szCs w:val="24"/>
              </w:rPr>
              <w:t>Partial Eta Squared</w:t>
            </w:r>
          </w:p>
        </w:tc>
      </w:tr>
      <w:tr w:rsidR="009F798F" w:rsidRPr="00DA38C2" w14:paraId="40EF4125" w14:textId="77777777" w:rsidTr="00C523B4">
        <w:trPr>
          <w:trHeight w:val="50"/>
          <w:jc w:val="center"/>
        </w:trPr>
        <w:tc>
          <w:tcPr>
            <w:tcW w:w="2220" w:type="dxa"/>
            <w:tcBorders>
              <w:top w:val="single" w:sz="4" w:space="0" w:color="auto"/>
            </w:tcBorders>
            <w:hideMark/>
          </w:tcPr>
          <w:p w14:paraId="179B4A83" w14:textId="77777777" w:rsidR="009F798F" w:rsidRPr="00DA38C2" w:rsidRDefault="009F798F" w:rsidP="00C523B4">
            <w:pPr>
              <w:rPr>
                <w:sz w:val="24"/>
                <w:szCs w:val="24"/>
              </w:rPr>
            </w:pPr>
            <w:r w:rsidRPr="00DA38C2">
              <w:rPr>
                <w:sz w:val="24"/>
                <w:szCs w:val="24"/>
              </w:rPr>
              <w:t>Dose</w:t>
            </w:r>
          </w:p>
        </w:tc>
        <w:tc>
          <w:tcPr>
            <w:tcW w:w="1260" w:type="dxa"/>
            <w:tcBorders>
              <w:top w:val="single" w:sz="4" w:space="0" w:color="auto"/>
            </w:tcBorders>
            <w:noWrap/>
            <w:hideMark/>
          </w:tcPr>
          <w:p w14:paraId="3B86527D" w14:textId="77777777" w:rsidR="009F798F" w:rsidRPr="00DA38C2" w:rsidRDefault="009F798F" w:rsidP="00C523B4">
            <w:pPr>
              <w:jc w:val="center"/>
              <w:rPr>
                <w:sz w:val="24"/>
                <w:szCs w:val="24"/>
              </w:rPr>
            </w:pPr>
            <w:r w:rsidRPr="00DA38C2">
              <w:rPr>
                <w:sz w:val="24"/>
                <w:szCs w:val="24"/>
              </w:rPr>
              <w:t>1.285</w:t>
            </w:r>
          </w:p>
        </w:tc>
        <w:tc>
          <w:tcPr>
            <w:tcW w:w="1213" w:type="dxa"/>
            <w:tcBorders>
              <w:top w:val="single" w:sz="4" w:space="0" w:color="auto"/>
            </w:tcBorders>
            <w:noWrap/>
            <w:hideMark/>
          </w:tcPr>
          <w:p w14:paraId="2B176984" w14:textId="77777777" w:rsidR="009F798F" w:rsidRPr="00DA38C2" w:rsidRDefault="009F798F" w:rsidP="00C523B4">
            <w:pPr>
              <w:jc w:val="center"/>
              <w:rPr>
                <w:sz w:val="24"/>
                <w:szCs w:val="24"/>
              </w:rPr>
            </w:pPr>
            <w:r w:rsidRPr="00DA38C2">
              <w:rPr>
                <w:sz w:val="24"/>
                <w:szCs w:val="24"/>
              </w:rPr>
              <w:t>0.307</w:t>
            </w:r>
          </w:p>
        </w:tc>
        <w:tc>
          <w:tcPr>
            <w:tcW w:w="1455" w:type="dxa"/>
            <w:tcBorders>
              <w:top w:val="single" w:sz="4" w:space="0" w:color="auto"/>
            </w:tcBorders>
            <w:noWrap/>
            <w:hideMark/>
          </w:tcPr>
          <w:p w14:paraId="3C37BA34" w14:textId="77777777" w:rsidR="009F798F" w:rsidRPr="00DA38C2" w:rsidRDefault="009F798F" w:rsidP="00C523B4">
            <w:pPr>
              <w:jc w:val="center"/>
              <w:rPr>
                <w:sz w:val="24"/>
                <w:szCs w:val="24"/>
              </w:rPr>
            </w:pPr>
            <w:r w:rsidRPr="00DA38C2">
              <w:rPr>
                <w:sz w:val="24"/>
                <w:szCs w:val="24"/>
              </w:rPr>
              <w:t>0.162</w:t>
            </w:r>
          </w:p>
        </w:tc>
      </w:tr>
      <w:tr w:rsidR="009F798F" w:rsidRPr="00DA38C2" w14:paraId="24A3481F" w14:textId="77777777" w:rsidTr="00C523B4">
        <w:trPr>
          <w:trHeight w:val="50"/>
          <w:jc w:val="center"/>
        </w:trPr>
        <w:tc>
          <w:tcPr>
            <w:tcW w:w="2220" w:type="dxa"/>
            <w:hideMark/>
          </w:tcPr>
          <w:p w14:paraId="35A303A1" w14:textId="77777777" w:rsidR="009F798F" w:rsidRPr="00DA38C2" w:rsidRDefault="009F798F" w:rsidP="00C523B4">
            <w:pPr>
              <w:rPr>
                <w:sz w:val="24"/>
                <w:szCs w:val="24"/>
              </w:rPr>
            </w:pPr>
            <w:r w:rsidRPr="00DA38C2">
              <w:rPr>
                <w:sz w:val="24"/>
                <w:szCs w:val="24"/>
              </w:rPr>
              <w:t>Leaf Extracts</w:t>
            </w:r>
          </w:p>
        </w:tc>
        <w:tc>
          <w:tcPr>
            <w:tcW w:w="1260" w:type="dxa"/>
            <w:noWrap/>
            <w:hideMark/>
          </w:tcPr>
          <w:p w14:paraId="49CF1380" w14:textId="77777777" w:rsidR="009F798F" w:rsidRPr="00DA38C2" w:rsidRDefault="009F798F" w:rsidP="00C523B4">
            <w:pPr>
              <w:jc w:val="center"/>
              <w:rPr>
                <w:sz w:val="24"/>
                <w:szCs w:val="24"/>
              </w:rPr>
            </w:pPr>
            <w:r w:rsidRPr="00DA38C2">
              <w:rPr>
                <w:sz w:val="24"/>
                <w:szCs w:val="24"/>
              </w:rPr>
              <w:t>23.458</w:t>
            </w:r>
          </w:p>
        </w:tc>
        <w:tc>
          <w:tcPr>
            <w:tcW w:w="1213" w:type="dxa"/>
            <w:noWrap/>
            <w:hideMark/>
          </w:tcPr>
          <w:p w14:paraId="282BF170" w14:textId="77777777" w:rsidR="009F798F" w:rsidRPr="00DA38C2" w:rsidRDefault="009F798F" w:rsidP="00C523B4">
            <w:pPr>
              <w:jc w:val="center"/>
              <w:rPr>
                <w:sz w:val="24"/>
                <w:szCs w:val="24"/>
              </w:rPr>
            </w:pPr>
            <w:r w:rsidRPr="00DA38C2">
              <w:rPr>
                <w:sz w:val="24"/>
                <w:szCs w:val="24"/>
              </w:rPr>
              <w:t>0.000</w:t>
            </w:r>
          </w:p>
        </w:tc>
        <w:tc>
          <w:tcPr>
            <w:tcW w:w="1455" w:type="dxa"/>
            <w:noWrap/>
            <w:hideMark/>
          </w:tcPr>
          <w:p w14:paraId="38DA2AA8" w14:textId="77777777" w:rsidR="009F798F" w:rsidRPr="00DA38C2" w:rsidRDefault="009F798F" w:rsidP="00C523B4">
            <w:pPr>
              <w:jc w:val="center"/>
              <w:rPr>
                <w:sz w:val="24"/>
                <w:szCs w:val="24"/>
              </w:rPr>
            </w:pPr>
            <w:r w:rsidRPr="00DA38C2">
              <w:rPr>
                <w:sz w:val="24"/>
                <w:szCs w:val="24"/>
              </w:rPr>
              <w:t>0.824</w:t>
            </w:r>
          </w:p>
        </w:tc>
      </w:tr>
      <w:tr w:rsidR="009F798F" w:rsidRPr="00DA38C2" w14:paraId="049D9265" w14:textId="77777777" w:rsidTr="00C523B4">
        <w:trPr>
          <w:trHeight w:val="50"/>
          <w:jc w:val="center"/>
        </w:trPr>
        <w:tc>
          <w:tcPr>
            <w:tcW w:w="2220" w:type="dxa"/>
            <w:hideMark/>
          </w:tcPr>
          <w:p w14:paraId="2712A5FB" w14:textId="77777777" w:rsidR="009F798F" w:rsidRPr="00DA38C2" w:rsidRDefault="009F798F" w:rsidP="00C523B4">
            <w:pPr>
              <w:rPr>
                <w:sz w:val="24"/>
                <w:szCs w:val="24"/>
              </w:rPr>
            </w:pPr>
            <w:r w:rsidRPr="00DA38C2">
              <w:rPr>
                <w:sz w:val="24"/>
                <w:szCs w:val="24"/>
              </w:rPr>
              <w:t>Interaction</w:t>
            </w:r>
          </w:p>
        </w:tc>
        <w:tc>
          <w:tcPr>
            <w:tcW w:w="1260" w:type="dxa"/>
            <w:noWrap/>
            <w:hideMark/>
          </w:tcPr>
          <w:p w14:paraId="1176440F" w14:textId="77777777" w:rsidR="009F798F" w:rsidRPr="00DA38C2" w:rsidRDefault="009F798F" w:rsidP="00C523B4">
            <w:pPr>
              <w:jc w:val="center"/>
              <w:rPr>
                <w:sz w:val="24"/>
                <w:szCs w:val="24"/>
              </w:rPr>
            </w:pPr>
            <w:r w:rsidRPr="00DA38C2">
              <w:rPr>
                <w:sz w:val="24"/>
                <w:szCs w:val="24"/>
              </w:rPr>
              <w:t>2.098</w:t>
            </w:r>
          </w:p>
        </w:tc>
        <w:tc>
          <w:tcPr>
            <w:tcW w:w="1213" w:type="dxa"/>
            <w:noWrap/>
            <w:hideMark/>
          </w:tcPr>
          <w:p w14:paraId="011DBDEF" w14:textId="77777777" w:rsidR="009F798F" w:rsidRPr="00DA38C2" w:rsidRDefault="009F798F" w:rsidP="00C523B4">
            <w:pPr>
              <w:jc w:val="center"/>
              <w:rPr>
                <w:sz w:val="24"/>
                <w:szCs w:val="24"/>
              </w:rPr>
            </w:pPr>
            <w:r w:rsidRPr="00DA38C2">
              <w:rPr>
                <w:sz w:val="24"/>
                <w:szCs w:val="24"/>
              </w:rPr>
              <w:t>0.069</w:t>
            </w:r>
          </w:p>
        </w:tc>
        <w:tc>
          <w:tcPr>
            <w:tcW w:w="1455" w:type="dxa"/>
            <w:noWrap/>
            <w:hideMark/>
          </w:tcPr>
          <w:p w14:paraId="6D0C1C10" w14:textId="77777777" w:rsidR="009F798F" w:rsidRPr="00DA38C2" w:rsidRDefault="009F798F" w:rsidP="00C523B4">
            <w:pPr>
              <w:jc w:val="center"/>
              <w:rPr>
                <w:sz w:val="24"/>
                <w:szCs w:val="24"/>
              </w:rPr>
            </w:pPr>
            <w:r w:rsidRPr="00DA38C2">
              <w:rPr>
                <w:sz w:val="24"/>
                <w:szCs w:val="24"/>
              </w:rPr>
              <w:t>0.557</w:t>
            </w:r>
          </w:p>
        </w:tc>
      </w:tr>
    </w:tbl>
    <w:p w14:paraId="2C05E005" w14:textId="77777777" w:rsidR="009F798F" w:rsidRPr="00F635BA" w:rsidRDefault="009F798F" w:rsidP="009F798F">
      <w:pPr>
        <w:spacing w:line="360" w:lineRule="auto"/>
        <w:jc w:val="both"/>
        <w:outlineLvl w:val="2"/>
        <w:rPr>
          <w:b/>
          <w:bCs/>
        </w:rPr>
      </w:pPr>
      <w:r w:rsidRPr="00F635BA">
        <w:rPr>
          <w:b/>
          <w:bCs/>
        </w:rPr>
        <w:t>Bicarbonate</w:t>
      </w:r>
    </w:p>
    <w:p w14:paraId="786FE38C" w14:textId="77777777" w:rsidR="009F798F" w:rsidRPr="00F635BA" w:rsidRDefault="009F798F" w:rsidP="009F798F">
      <w:pPr>
        <w:spacing w:line="360" w:lineRule="auto"/>
        <w:ind w:firstLine="720"/>
        <w:jc w:val="both"/>
      </w:pPr>
      <w:r w:rsidRPr="00F635BA">
        <w:t>Extract administration raised bicarbonate relative to control (</w:t>
      </w:r>
      <w:r w:rsidRPr="009035A9">
        <w:rPr>
          <w:bCs/>
        </w:rPr>
        <w:t>12.83 ± 1.61 mmol/</w:t>
      </w:r>
      <w:r w:rsidRPr="00432808">
        <w:rPr>
          <w:bCs/>
        </w:rPr>
        <w:t>L</w:t>
      </w:r>
      <w:r w:rsidRPr="00F635BA">
        <w:t>) in an extract- and dose-dependent manner. High-dose values were: SA (</w:t>
      </w:r>
      <w:r w:rsidRPr="009035A9">
        <w:rPr>
          <w:bCs/>
        </w:rPr>
        <w:t>13.80 ± 0.30</w:t>
      </w:r>
      <w:r w:rsidRPr="00F635BA">
        <w:t>), AH (</w:t>
      </w:r>
      <w:r w:rsidRPr="009035A9">
        <w:rPr>
          <w:bCs/>
        </w:rPr>
        <w:t xml:space="preserve">13.50 </w:t>
      </w:r>
      <w:r w:rsidRPr="00F635BA">
        <w:rPr>
          <w:b/>
          <w:bCs/>
        </w:rPr>
        <w:t xml:space="preserve">± </w:t>
      </w:r>
      <w:r w:rsidRPr="009035A9">
        <w:rPr>
          <w:bCs/>
        </w:rPr>
        <w:t>0.35</w:t>
      </w:r>
      <w:r w:rsidRPr="00F635BA">
        <w:t>), OG (</w:t>
      </w:r>
      <w:r w:rsidRPr="009035A9">
        <w:rPr>
          <w:bCs/>
        </w:rPr>
        <w:t>14.20 ± 0.30</w:t>
      </w:r>
      <w:r w:rsidRPr="00F635BA">
        <w:t>), and TO (</w:t>
      </w:r>
      <w:r w:rsidRPr="009035A9">
        <w:rPr>
          <w:bCs/>
        </w:rPr>
        <w:t>14.30 ± 0.28</w:t>
      </w:r>
      <w:r w:rsidRPr="00F635BA">
        <w:t>), while PM remained baseline (~12.90 mmol/L). ANOVA confirmed significant main and interaction effects.</w:t>
      </w:r>
      <w:r>
        <w:t xml:space="preserve"> </w:t>
      </w:r>
      <w:r w:rsidRPr="00F635BA">
        <w:t xml:space="preserve">These results reflect antioxidant-mediated modulation of acid–base handling by SA and AH, consistent with prior findings that </w:t>
      </w:r>
      <w:r w:rsidRPr="00F635BA">
        <w:rPr>
          <w:i/>
          <w:iCs/>
        </w:rPr>
        <w:t>Solanum</w:t>
      </w:r>
      <w:r w:rsidRPr="00F635BA">
        <w:t xml:space="preserve"> and </w:t>
      </w:r>
      <w:r w:rsidRPr="00F635BA">
        <w:rPr>
          <w:i/>
          <w:iCs/>
        </w:rPr>
        <w:t>Amaranthus</w:t>
      </w:r>
      <w:r w:rsidRPr="00F635BA">
        <w:t xml:space="preserve"> extracts alter metabolic and renal regulation (</w:t>
      </w:r>
      <w:proofErr w:type="spellStart"/>
      <w:r w:rsidRPr="00F635BA">
        <w:t>Tuem</w:t>
      </w:r>
      <w:proofErr w:type="spellEnd"/>
      <w:r w:rsidRPr="00F635BA">
        <w:t xml:space="preserve"> et al., 2022; Gamel et al., 2023). OG and TO elicited the strongest increases, possibly reflecting enhanced bicarbonate reabsorption or protein-driven buffer effects, in line with reports of context-dependent renal modulation by these species (</w:t>
      </w:r>
      <w:proofErr w:type="spellStart"/>
      <w:r w:rsidRPr="00F635BA">
        <w:t>Olorunnisola</w:t>
      </w:r>
      <w:proofErr w:type="spellEnd"/>
      <w:r w:rsidRPr="00F635BA">
        <w:t xml:space="preserve"> et al., 2021). PM’s neutrality supports evidence of renoprotection without electrolyte disruption (Nwankwo et al., 2017).</w:t>
      </w:r>
    </w:p>
    <w:p w14:paraId="777979DA" w14:textId="77777777" w:rsidR="009F798F" w:rsidRDefault="009F798F" w:rsidP="009F798F">
      <w:pPr>
        <w:jc w:val="center"/>
      </w:pPr>
      <w:r w:rsidRPr="008A40DD">
        <w:rPr>
          <w:noProof/>
          <w:lang w:val="en-US" w:eastAsia="en-US"/>
        </w:rPr>
        <w:lastRenderedPageBreak/>
        <w:drawing>
          <wp:inline distT="0" distB="0" distL="0" distR="0" wp14:anchorId="79A4BA43" wp14:editId="3F8AA0F7">
            <wp:extent cx="4572000" cy="2743200"/>
            <wp:effectExtent l="0" t="0" r="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44941D" w14:textId="77777777" w:rsidR="009F798F" w:rsidRDefault="009F798F" w:rsidP="009F798F">
      <w:pPr>
        <w:pStyle w:val="NormalWeb"/>
        <w:spacing w:before="0" w:beforeAutospacing="0" w:after="0" w:afterAutospacing="0"/>
        <w:jc w:val="center"/>
      </w:pPr>
      <w:r>
        <w:t xml:space="preserve">Figure 3: Interaction </w:t>
      </w:r>
      <w:r w:rsidRPr="00C96900">
        <w:t xml:space="preserve">plot for the </w:t>
      </w:r>
      <w:r>
        <w:t xml:space="preserve">bicarbonate </w:t>
      </w:r>
      <w:r w:rsidRPr="00C96900">
        <w:t>levels across different doses and leaf extracts.</w:t>
      </w:r>
    </w:p>
    <w:p w14:paraId="03F2D004" w14:textId="77777777" w:rsidR="009F798F" w:rsidRPr="00C96900" w:rsidRDefault="009F798F" w:rsidP="009F798F">
      <w:pPr>
        <w:jc w:val="center"/>
      </w:pPr>
      <w:r w:rsidRPr="00BE3A9F">
        <w:rPr>
          <w:i/>
        </w:rPr>
        <w:t>Solanum</w:t>
      </w:r>
      <w:r w:rsidRPr="007E380B">
        <w:t xml:space="preserve"> </w:t>
      </w:r>
      <w:proofErr w:type="spellStart"/>
      <w:r w:rsidRPr="00BE3A9F">
        <w:rPr>
          <w:i/>
        </w:rPr>
        <w:t>aethiopicum</w:t>
      </w:r>
      <w:proofErr w:type="spellEnd"/>
      <w:r w:rsidRPr="007E380B">
        <w:t xml:space="preserve"> </w:t>
      </w:r>
      <w:r>
        <w:t xml:space="preserve">= SA; </w:t>
      </w:r>
      <w:r w:rsidRPr="00BE3A9F">
        <w:rPr>
          <w:i/>
        </w:rPr>
        <w:t>Amaranthus</w:t>
      </w:r>
      <w:r w:rsidRPr="007E380B">
        <w:t xml:space="preserve"> </w:t>
      </w:r>
      <w:r w:rsidRPr="00BE3A9F">
        <w:rPr>
          <w:i/>
        </w:rPr>
        <w:t>hybridus</w:t>
      </w:r>
      <w:r>
        <w:t xml:space="preserve"> = </w:t>
      </w:r>
      <w:r w:rsidRPr="007E380B">
        <w:t>AH</w:t>
      </w:r>
      <w:r>
        <w:t xml:space="preserve">; </w:t>
      </w:r>
      <w:r w:rsidRPr="00BE3A9F">
        <w:rPr>
          <w:i/>
        </w:rPr>
        <w:t>Pterocarpus</w:t>
      </w:r>
      <w:r w:rsidRPr="007E380B">
        <w:t xml:space="preserve"> </w:t>
      </w:r>
      <w:proofErr w:type="spellStart"/>
      <w:r w:rsidRPr="00BE3A9F">
        <w:rPr>
          <w:i/>
        </w:rPr>
        <w:t>mildraedii</w:t>
      </w:r>
      <w:proofErr w:type="spellEnd"/>
      <w:r w:rsidRPr="007E380B">
        <w:t xml:space="preserve"> </w:t>
      </w:r>
      <w:r>
        <w:t xml:space="preserve">= PM; </w:t>
      </w:r>
      <w:proofErr w:type="spellStart"/>
      <w:r w:rsidRPr="00BE3A9F">
        <w:rPr>
          <w:i/>
        </w:rPr>
        <w:t>Ocimum</w:t>
      </w:r>
      <w:proofErr w:type="spellEnd"/>
      <w:r w:rsidRPr="007E380B">
        <w:t xml:space="preserve"> </w:t>
      </w:r>
      <w:proofErr w:type="spellStart"/>
      <w:r w:rsidRPr="00BE3A9F">
        <w:rPr>
          <w:i/>
        </w:rPr>
        <w:t>gratissimum</w:t>
      </w:r>
      <w:proofErr w:type="spellEnd"/>
      <w:r>
        <w:t xml:space="preserve"> = </w:t>
      </w:r>
      <w:r w:rsidRPr="007E380B">
        <w:t>OG</w:t>
      </w:r>
      <w:r>
        <w:t xml:space="preserve">; </w:t>
      </w:r>
      <w:proofErr w:type="spellStart"/>
      <w:r w:rsidRPr="00BE3A9F">
        <w:rPr>
          <w:i/>
        </w:rPr>
        <w:t>Telfaria</w:t>
      </w:r>
      <w:proofErr w:type="spellEnd"/>
      <w:r w:rsidRPr="007E380B">
        <w:t xml:space="preserve"> </w:t>
      </w:r>
      <w:r w:rsidRPr="00BE3A9F">
        <w:rPr>
          <w:i/>
        </w:rPr>
        <w:t>occidentalis</w:t>
      </w:r>
      <w:r w:rsidRPr="007E380B">
        <w:t xml:space="preserve"> (TO)</w:t>
      </w:r>
    </w:p>
    <w:p w14:paraId="1522D4C4" w14:textId="77777777" w:rsidR="009F798F" w:rsidRDefault="009F798F" w:rsidP="009F798F">
      <w:pPr>
        <w:jc w:val="center"/>
      </w:pPr>
    </w:p>
    <w:p w14:paraId="7449163A" w14:textId="77777777" w:rsidR="009F798F" w:rsidRPr="00AB776D" w:rsidRDefault="009F798F" w:rsidP="009F798F">
      <w:pPr>
        <w:jc w:val="center"/>
      </w:pPr>
      <w:r>
        <w:t>Table 3</w:t>
      </w:r>
      <w:r w:rsidRPr="00AB776D">
        <w:t>: Summary table of two-way ANOVA on the interaction for the bicarbonate levels across different doses and leaf extracts</w:t>
      </w:r>
    </w:p>
    <w:tbl>
      <w:tblPr>
        <w:tblStyle w:val="TableGrid"/>
        <w:tblW w:w="623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260"/>
        <w:gridCol w:w="1355"/>
        <w:gridCol w:w="1404"/>
      </w:tblGrid>
      <w:tr w:rsidR="009F798F" w:rsidRPr="00AB776D" w14:paraId="178C2ABB" w14:textId="77777777" w:rsidTr="00C523B4">
        <w:trPr>
          <w:trHeight w:val="50"/>
          <w:jc w:val="center"/>
        </w:trPr>
        <w:tc>
          <w:tcPr>
            <w:tcW w:w="2220" w:type="dxa"/>
            <w:tcBorders>
              <w:top w:val="single" w:sz="4" w:space="0" w:color="auto"/>
              <w:bottom w:val="single" w:sz="4" w:space="0" w:color="auto"/>
            </w:tcBorders>
            <w:vAlign w:val="center"/>
            <w:hideMark/>
          </w:tcPr>
          <w:p w14:paraId="32E6A3A9" w14:textId="77777777" w:rsidR="009F798F" w:rsidRPr="00AB776D" w:rsidRDefault="009F798F" w:rsidP="00C523B4">
            <w:pPr>
              <w:rPr>
                <w:sz w:val="24"/>
                <w:szCs w:val="24"/>
              </w:rPr>
            </w:pPr>
            <w:r w:rsidRPr="00AB776D">
              <w:rPr>
                <w:sz w:val="24"/>
                <w:szCs w:val="24"/>
              </w:rPr>
              <w:t>Source</w:t>
            </w:r>
          </w:p>
        </w:tc>
        <w:tc>
          <w:tcPr>
            <w:tcW w:w="1260" w:type="dxa"/>
            <w:tcBorders>
              <w:top w:val="single" w:sz="4" w:space="0" w:color="auto"/>
              <w:bottom w:val="single" w:sz="4" w:space="0" w:color="auto"/>
            </w:tcBorders>
            <w:vAlign w:val="center"/>
            <w:hideMark/>
          </w:tcPr>
          <w:p w14:paraId="55215625" w14:textId="77777777" w:rsidR="009F798F" w:rsidRPr="00AB776D" w:rsidRDefault="009F798F" w:rsidP="00C523B4">
            <w:pPr>
              <w:jc w:val="center"/>
              <w:rPr>
                <w:sz w:val="24"/>
                <w:szCs w:val="24"/>
              </w:rPr>
            </w:pPr>
            <w:r w:rsidRPr="00AB776D">
              <w:rPr>
                <w:sz w:val="24"/>
                <w:szCs w:val="24"/>
              </w:rPr>
              <w:t>F - Value</w:t>
            </w:r>
          </w:p>
        </w:tc>
        <w:tc>
          <w:tcPr>
            <w:tcW w:w="1355" w:type="dxa"/>
            <w:tcBorders>
              <w:top w:val="single" w:sz="4" w:space="0" w:color="auto"/>
              <w:bottom w:val="single" w:sz="4" w:space="0" w:color="auto"/>
            </w:tcBorders>
            <w:vAlign w:val="center"/>
            <w:hideMark/>
          </w:tcPr>
          <w:p w14:paraId="7AF2BBC7" w14:textId="77777777" w:rsidR="009F798F" w:rsidRPr="00AB776D" w:rsidRDefault="009F798F" w:rsidP="00C523B4">
            <w:pPr>
              <w:jc w:val="center"/>
              <w:rPr>
                <w:sz w:val="24"/>
                <w:szCs w:val="24"/>
              </w:rPr>
            </w:pPr>
            <w:r w:rsidRPr="00AB776D">
              <w:rPr>
                <w:sz w:val="24"/>
                <w:szCs w:val="24"/>
              </w:rPr>
              <w:t>P - Value</w:t>
            </w:r>
          </w:p>
        </w:tc>
        <w:tc>
          <w:tcPr>
            <w:tcW w:w="1404" w:type="dxa"/>
            <w:tcBorders>
              <w:top w:val="single" w:sz="4" w:space="0" w:color="auto"/>
              <w:bottom w:val="single" w:sz="4" w:space="0" w:color="auto"/>
            </w:tcBorders>
            <w:hideMark/>
          </w:tcPr>
          <w:p w14:paraId="4D1AC88A" w14:textId="77777777" w:rsidR="009F798F" w:rsidRPr="00AB776D" w:rsidRDefault="009F798F" w:rsidP="00C523B4">
            <w:pPr>
              <w:jc w:val="center"/>
              <w:rPr>
                <w:sz w:val="24"/>
                <w:szCs w:val="24"/>
              </w:rPr>
            </w:pPr>
            <w:r w:rsidRPr="00AB776D">
              <w:rPr>
                <w:sz w:val="24"/>
                <w:szCs w:val="24"/>
              </w:rPr>
              <w:t>Partial Eta Squared</w:t>
            </w:r>
          </w:p>
        </w:tc>
      </w:tr>
      <w:tr w:rsidR="009F798F" w:rsidRPr="00AB776D" w14:paraId="13ED58F8" w14:textId="77777777" w:rsidTr="00C523B4">
        <w:trPr>
          <w:trHeight w:val="50"/>
          <w:jc w:val="center"/>
        </w:trPr>
        <w:tc>
          <w:tcPr>
            <w:tcW w:w="2220" w:type="dxa"/>
            <w:tcBorders>
              <w:top w:val="single" w:sz="4" w:space="0" w:color="auto"/>
            </w:tcBorders>
            <w:hideMark/>
          </w:tcPr>
          <w:p w14:paraId="774FFE2E" w14:textId="77777777" w:rsidR="009F798F" w:rsidRPr="00AB776D" w:rsidRDefault="009F798F" w:rsidP="00C523B4">
            <w:pPr>
              <w:rPr>
                <w:sz w:val="24"/>
                <w:szCs w:val="24"/>
              </w:rPr>
            </w:pPr>
            <w:r w:rsidRPr="00AB776D">
              <w:rPr>
                <w:sz w:val="24"/>
                <w:szCs w:val="24"/>
              </w:rPr>
              <w:t>Dose</w:t>
            </w:r>
          </w:p>
        </w:tc>
        <w:tc>
          <w:tcPr>
            <w:tcW w:w="1260" w:type="dxa"/>
            <w:tcBorders>
              <w:top w:val="single" w:sz="4" w:space="0" w:color="auto"/>
            </w:tcBorders>
            <w:noWrap/>
            <w:hideMark/>
          </w:tcPr>
          <w:p w14:paraId="52D71808" w14:textId="77777777" w:rsidR="009F798F" w:rsidRPr="00AB776D" w:rsidRDefault="009F798F" w:rsidP="00C523B4">
            <w:pPr>
              <w:jc w:val="center"/>
              <w:rPr>
                <w:sz w:val="24"/>
                <w:szCs w:val="24"/>
              </w:rPr>
            </w:pPr>
            <w:r w:rsidRPr="00AB776D">
              <w:rPr>
                <w:sz w:val="24"/>
                <w:szCs w:val="24"/>
              </w:rPr>
              <w:t>6.061</w:t>
            </w:r>
          </w:p>
        </w:tc>
        <w:tc>
          <w:tcPr>
            <w:tcW w:w="1355" w:type="dxa"/>
            <w:tcBorders>
              <w:top w:val="single" w:sz="4" w:space="0" w:color="auto"/>
            </w:tcBorders>
            <w:noWrap/>
            <w:hideMark/>
          </w:tcPr>
          <w:p w14:paraId="20C1C559" w14:textId="77777777" w:rsidR="009F798F" w:rsidRPr="00AB776D" w:rsidRDefault="009F798F" w:rsidP="00C523B4">
            <w:pPr>
              <w:jc w:val="center"/>
              <w:rPr>
                <w:sz w:val="24"/>
                <w:szCs w:val="24"/>
              </w:rPr>
            </w:pPr>
            <w:r w:rsidRPr="00AB776D">
              <w:rPr>
                <w:sz w:val="24"/>
                <w:szCs w:val="24"/>
              </w:rPr>
              <w:t>0.004</w:t>
            </w:r>
          </w:p>
        </w:tc>
        <w:tc>
          <w:tcPr>
            <w:tcW w:w="1404" w:type="dxa"/>
            <w:tcBorders>
              <w:top w:val="single" w:sz="4" w:space="0" w:color="auto"/>
            </w:tcBorders>
            <w:noWrap/>
            <w:hideMark/>
          </w:tcPr>
          <w:p w14:paraId="44BCA406" w14:textId="77777777" w:rsidR="009F798F" w:rsidRPr="00AB776D" w:rsidRDefault="009F798F" w:rsidP="00C523B4">
            <w:pPr>
              <w:jc w:val="center"/>
              <w:rPr>
                <w:sz w:val="24"/>
                <w:szCs w:val="24"/>
              </w:rPr>
            </w:pPr>
            <w:r w:rsidRPr="00AB776D">
              <w:rPr>
                <w:sz w:val="24"/>
                <w:szCs w:val="24"/>
              </w:rPr>
              <w:t>0.476</w:t>
            </w:r>
          </w:p>
        </w:tc>
      </w:tr>
      <w:tr w:rsidR="009F798F" w:rsidRPr="00AB776D" w14:paraId="2489A989" w14:textId="77777777" w:rsidTr="00C523B4">
        <w:trPr>
          <w:trHeight w:val="60"/>
          <w:jc w:val="center"/>
        </w:trPr>
        <w:tc>
          <w:tcPr>
            <w:tcW w:w="2220" w:type="dxa"/>
            <w:hideMark/>
          </w:tcPr>
          <w:p w14:paraId="137ACCF5" w14:textId="77777777" w:rsidR="009F798F" w:rsidRPr="00AB776D" w:rsidRDefault="009F798F" w:rsidP="00C523B4">
            <w:pPr>
              <w:rPr>
                <w:sz w:val="24"/>
                <w:szCs w:val="24"/>
              </w:rPr>
            </w:pPr>
            <w:r w:rsidRPr="00AB776D">
              <w:rPr>
                <w:sz w:val="24"/>
                <w:szCs w:val="24"/>
              </w:rPr>
              <w:t>Vegetable</w:t>
            </w:r>
          </w:p>
        </w:tc>
        <w:tc>
          <w:tcPr>
            <w:tcW w:w="1260" w:type="dxa"/>
            <w:noWrap/>
            <w:hideMark/>
          </w:tcPr>
          <w:p w14:paraId="69158295" w14:textId="77777777" w:rsidR="009F798F" w:rsidRPr="00AB776D" w:rsidRDefault="009F798F" w:rsidP="00C523B4">
            <w:pPr>
              <w:jc w:val="center"/>
              <w:rPr>
                <w:sz w:val="24"/>
                <w:szCs w:val="24"/>
              </w:rPr>
            </w:pPr>
            <w:r w:rsidRPr="00AB776D">
              <w:rPr>
                <w:sz w:val="24"/>
                <w:szCs w:val="24"/>
              </w:rPr>
              <w:t>81.025</w:t>
            </w:r>
          </w:p>
        </w:tc>
        <w:tc>
          <w:tcPr>
            <w:tcW w:w="1355" w:type="dxa"/>
            <w:noWrap/>
            <w:hideMark/>
          </w:tcPr>
          <w:p w14:paraId="793F7514" w14:textId="77777777" w:rsidR="009F798F" w:rsidRPr="00AB776D" w:rsidRDefault="009F798F" w:rsidP="00C523B4">
            <w:pPr>
              <w:jc w:val="center"/>
              <w:rPr>
                <w:sz w:val="24"/>
                <w:szCs w:val="24"/>
              </w:rPr>
            </w:pPr>
            <w:r w:rsidRPr="00AB776D">
              <w:rPr>
                <w:sz w:val="24"/>
                <w:szCs w:val="24"/>
              </w:rPr>
              <w:t>0.000</w:t>
            </w:r>
          </w:p>
        </w:tc>
        <w:tc>
          <w:tcPr>
            <w:tcW w:w="1404" w:type="dxa"/>
            <w:noWrap/>
            <w:hideMark/>
          </w:tcPr>
          <w:p w14:paraId="127B7023" w14:textId="77777777" w:rsidR="009F798F" w:rsidRPr="00AB776D" w:rsidRDefault="009F798F" w:rsidP="00C523B4">
            <w:pPr>
              <w:jc w:val="center"/>
              <w:rPr>
                <w:sz w:val="24"/>
                <w:szCs w:val="24"/>
              </w:rPr>
            </w:pPr>
            <w:r w:rsidRPr="00AB776D">
              <w:rPr>
                <w:sz w:val="24"/>
                <w:szCs w:val="24"/>
              </w:rPr>
              <w:t>0.942</w:t>
            </w:r>
          </w:p>
        </w:tc>
      </w:tr>
      <w:tr w:rsidR="009F798F" w:rsidRPr="00AB776D" w14:paraId="2956B533" w14:textId="77777777" w:rsidTr="00C523B4">
        <w:trPr>
          <w:trHeight w:val="60"/>
          <w:jc w:val="center"/>
        </w:trPr>
        <w:tc>
          <w:tcPr>
            <w:tcW w:w="2220" w:type="dxa"/>
            <w:hideMark/>
          </w:tcPr>
          <w:p w14:paraId="5039B6CC" w14:textId="77777777" w:rsidR="009F798F" w:rsidRPr="00AB776D" w:rsidRDefault="009F798F" w:rsidP="00C523B4">
            <w:pPr>
              <w:rPr>
                <w:sz w:val="24"/>
                <w:szCs w:val="24"/>
              </w:rPr>
            </w:pPr>
            <w:r w:rsidRPr="00AB776D">
              <w:rPr>
                <w:sz w:val="24"/>
                <w:szCs w:val="24"/>
              </w:rPr>
              <w:t>Dose * Vegetable</w:t>
            </w:r>
          </w:p>
        </w:tc>
        <w:tc>
          <w:tcPr>
            <w:tcW w:w="1260" w:type="dxa"/>
            <w:noWrap/>
            <w:hideMark/>
          </w:tcPr>
          <w:p w14:paraId="51269BA1" w14:textId="77777777" w:rsidR="009F798F" w:rsidRPr="00AB776D" w:rsidRDefault="009F798F" w:rsidP="00C523B4">
            <w:pPr>
              <w:jc w:val="center"/>
              <w:rPr>
                <w:sz w:val="24"/>
                <w:szCs w:val="24"/>
              </w:rPr>
            </w:pPr>
            <w:r w:rsidRPr="00AB776D">
              <w:rPr>
                <w:sz w:val="24"/>
                <w:szCs w:val="24"/>
              </w:rPr>
              <w:t>8.677</w:t>
            </w:r>
          </w:p>
        </w:tc>
        <w:tc>
          <w:tcPr>
            <w:tcW w:w="1355" w:type="dxa"/>
            <w:noWrap/>
            <w:hideMark/>
          </w:tcPr>
          <w:p w14:paraId="512D626D" w14:textId="77777777" w:rsidR="009F798F" w:rsidRPr="00AB776D" w:rsidRDefault="009F798F" w:rsidP="00C523B4">
            <w:pPr>
              <w:jc w:val="center"/>
              <w:rPr>
                <w:sz w:val="24"/>
                <w:szCs w:val="24"/>
              </w:rPr>
            </w:pPr>
            <w:r w:rsidRPr="00AB776D">
              <w:rPr>
                <w:sz w:val="24"/>
                <w:szCs w:val="24"/>
              </w:rPr>
              <w:t>0.000</w:t>
            </w:r>
          </w:p>
        </w:tc>
        <w:tc>
          <w:tcPr>
            <w:tcW w:w="1404" w:type="dxa"/>
            <w:noWrap/>
            <w:hideMark/>
          </w:tcPr>
          <w:p w14:paraId="5525E1DD" w14:textId="77777777" w:rsidR="009F798F" w:rsidRPr="00AB776D" w:rsidRDefault="009F798F" w:rsidP="00C523B4">
            <w:pPr>
              <w:jc w:val="center"/>
              <w:rPr>
                <w:sz w:val="24"/>
                <w:szCs w:val="24"/>
              </w:rPr>
            </w:pPr>
            <w:r w:rsidRPr="00AB776D">
              <w:rPr>
                <w:sz w:val="24"/>
                <w:szCs w:val="24"/>
              </w:rPr>
              <w:t>0.839</w:t>
            </w:r>
          </w:p>
        </w:tc>
      </w:tr>
    </w:tbl>
    <w:p w14:paraId="7E723E2A" w14:textId="77777777" w:rsidR="009F798F" w:rsidRDefault="009F798F" w:rsidP="009F798F">
      <w:pPr>
        <w:spacing w:line="360" w:lineRule="auto"/>
        <w:jc w:val="both"/>
        <w:outlineLvl w:val="2"/>
        <w:rPr>
          <w:b/>
          <w:bCs/>
        </w:rPr>
      </w:pPr>
    </w:p>
    <w:p w14:paraId="7FC7CCE3" w14:textId="77777777" w:rsidR="009F798F" w:rsidRPr="00F635BA" w:rsidRDefault="009F798F" w:rsidP="009F798F">
      <w:pPr>
        <w:spacing w:line="360" w:lineRule="auto"/>
        <w:jc w:val="both"/>
        <w:outlineLvl w:val="2"/>
        <w:rPr>
          <w:b/>
          <w:bCs/>
        </w:rPr>
      </w:pPr>
      <w:r w:rsidRPr="00F635BA">
        <w:rPr>
          <w:b/>
          <w:bCs/>
        </w:rPr>
        <w:t>Sodium</w:t>
      </w:r>
    </w:p>
    <w:p w14:paraId="2F0C1594" w14:textId="77777777" w:rsidR="009F798F" w:rsidRPr="00F635BA" w:rsidRDefault="009F798F" w:rsidP="009F798F">
      <w:pPr>
        <w:spacing w:line="360" w:lineRule="auto"/>
        <w:ind w:firstLine="720"/>
        <w:jc w:val="both"/>
      </w:pPr>
      <w:r w:rsidRPr="00F635BA">
        <w:t xml:space="preserve">SA and PM produced slight increases in sodium (SA high: </w:t>
      </w:r>
      <w:r w:rsidRPr="009035A9">
        <w:rPr>
          <w:bCs/>
        </w:rPr>
        <w:t>101.40 ± 0.35 mmol/L</w:t>
      </w:r>
      <w:r w:rsidRPr="00F635BA">
        <w:t xml:space="preserve">; PM high: </w:t>
      </w:r>
      <w:r w:rsidRPr="009035A9">
        <w:rPr>
          <w:bCs/>
        </w:rPr>
        <w:t>101.00 ± 0.35 mmol/L</w:t>
      </w:r>
      <w:r w:rsidRPr="00F635BA">
        <w:t>) relative to control (</w:t>
      </w:r>
      <w:r w:rsidRPr="009035A9">
        <w:rPr>
          <w:bCs/>
        </w:rPr>
        <w:t>100.19 ± 1.90 mmol/L</w:t>
      </w:r>
      <w:r w:rsidRPr="00F635BA">
        <w:t xml:space="preserve">). In contrast, AH, OG, and TO caused dose-dependent reductions (lowest: AH </w:t>
      </w:r>
      <w:r w:rsidRPr="009035A9">
        <w:rPr>
          <w:bCs/>
        </w:rPr>
        <w:t>98.00 ± 0.40 mmol/L</w:t>
      </w:r>
      <w:r w:rsidRPr="00F635BA">
        <w:t xml:space="preserve">, OG </w:t>
      </w:r>
      <w:r w:rsidRPr="009035A9">
        <w:rPr>
          <w:bCs/>
        </w:rPr>
        <w:t>97.50 ± 0.30</w:t>
      </w:r>
      <w:r w:rsidRPr="00F635BA">
        <w:rPr>
          <w:b/>
          <w:bCs/>
        </w:rPr>
        <w:t xml:space="preserve"> </w:t>
      </w:r>
      <w:r w:rsidRPr="009035A9">
        <w:rPr>
          <w:bCs/>
        </w:rPr>
        <w:t>mmol/L</w:t>
      </w:r>
      <w:r w:rsidRPr="00F635BA">
        <w:t xml:space="preserve">, TO </w:t>
      </w:r>
      <w:r w:rsidRPr="009035A9">
        <w:rPr>
          <w:bCs/>
        </w:rPr>
        <w:t>98.10 ± 0.35 mmol/L</w:t>
      </w:r>
      <w:r w:rsidRPr="00F635BA">
        <w:t>). ANOVA confirmed significant effects of dose, extract, and their interaction.</w:t>
      </w:r>
      <w:r>
        <w:t xml:space="preserve"> </w:t>
      </w:r>
      <w:r w:rsidRPr="00F635BA">
        <w:t>These findings are partly divergent from toxin-induced models, where SA reduced sodium via enhanced clearance (</w:t>
      </w:r>
      <w:proofErr w:type="spellStart"/>
      <w:r w:rsidRPr="00F635BA">
        <w:t>Akubue</w:t>
      </w:r>
      <w:proofErr w:type="spellEnd"/>
      <w:r w:rsidRPr="00F635BA">
        <w:t xml:space="preserve"> et al., 2018). In healthy rats, however, SA and PM appear to maintain or elevate sodium modestly, consistent with their stable renal safety profiles (</w:t>
      </w:r>
      <w:proofErr w:type="spellStart"/>
      <w:r w:rsidRPr="00F635BA">
        <w:t>Onoh</w:t>
      </w:r>
      <w:proofErr w:type="spellEnd"/>
      <w:r w:rsidRPr="00F635BA">
        <w:t xml:space="preserve"> et al., 2019). Reductions with AH, OG, and TO corroborate evidence that their phytochemicals may promote mild natriuresis or diuresis (</w:t>
      </w:r>
      <w:proofErr w:type="spellStart"/>
      <w:r w:rsidRPr="00F635BA">
        <w:t>Kacholi</w:t>
      </w:r>
      <w:proofErr w:type="spellEnd"/>
      <w:r w:rsidRPr="00F635BA">
        <w:t xml:space="preserve"> &amp; </w:t>
      </w:r>
      <w:proofErr w:type="spellStart"/>
      <w:r w:rsidRPr="00F635BA">
        <w:t>Sahu</w:t>
      </w:r>
      <w:proofErr w:type="spellEnd"/>
      <w:r w:rsidRPr="00F635BA">
        <w:t xml:space="preserve">, 2018; </w:t>
      </w:r>
      <w:proofErr w:type="spellStart"/>
      <w:r w:rsidRPr="00F635BA">
        <w:t>Adedosu</w:t>
      </w:r>
      <w:proofErr w:type="spellEnd"/>
      <w:r w:rsidRPr="00F635BA">
        <w:t xml:space="preserve"> et al., 2020; </w:t>
      </w:r>
      <w:proofErr w:type="spellStart"/>
      <w:r w:rsidRPr="00F635BA">
        <w:t>Airaodion</w:t>
      </w:r>
      <w:proofErr w:type="spellEnd"/>
      <w:r w:rsidRPr="00F635BA">
        <w:t xml:space="preserve"> et al., 2019).</w:t>
      </w:r>
    </w:p>
    <w:p w14:paraId="7DA4A501" w14:textId="77777777" w:rsidR="009F798F" w:rsidRPr="00C96900" w:rsidRDefault="009F798F" w:rsidP="009F798F"/>
    <w:p w14:paraId="305B1A30" w14:textId="77777777" w:rsidR="009F798F" w:rsidRDefault="009F798F" w:rsidP="009F798F">
      <w:pPr>
        <w:jc w:val="center"/>
      </w:pPr>
      <w:r w:rsidRPr="008A40DD">
        <w:rPr>
          <w:noProof/>
          <w:lang w:val="en-US" w:eastAsia="en-US"/>
        </w:rPr>
        <w:lastRenderedPageBreak/>
        <w:drawing>
          <wp:inline distT="0" distB="0" distL="0" distR="0" wp14:anchorId="444DEAB0" wp14:editId="7C313C4C">
            <wp:extent cx="4572000" cy="2743200"/>
            <wp:effectExtent l="0" t="0" r="0"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0882F9" w14:textId="77777777" w:rsidR="009F798F" w:rsidRDefault="009F798F" w:rsidP="009F798F">
      <w:pPr>
        <w:pStyle w:val="NormalWeb"/>
        <w:spacing w:before="0" w:beforeAutospacing="0" w:after="0" w:afterAutospacing="0"/>
        <w:jc w:val="center"/>
      </w:pPr>
      <w:r>
        <w:t xml:space="preserve">Figure 4: Interaction </w:t>
      </w:r>
      <w:r w:rsidRPr="00C96900">
        <w:t xml:space="preserve">plot for the </w:t>
      </w:r>
      <w:r>
        <w:t xml:space="preserve">sodium </w:t>
      </w:r>
      <w:r w:rsidRPr="00C96900">
        <w:t>levels across different doses and leaf extracts.</w:t>
      </w:r>
    </w:p>
    <w:p w14:paraId="0B9554A4" w14:textId="77777777" w:rsidR="009F798F" w:rsidRPr="00C96900" w:rsidRDefault="009F798F" w:rsidP="009F798F">
      <w:pPr>
        <w:jc w:val="center"/>
      </w:pPr>
      <w:r w:rsidRPr="00BE3A9F">
        <w:rPr>
          <w:i/>
        </w:rPr>
        <w:t>Solanum</w:t>
      </w:r>
      <w:r w:rsidRPr="007E380B">
        <w:t xml:space="preserve"> </w:t>
      </w:r>
      <w:proofErr w:type="spellStart"/>
      <w:r w:rsidRPr="00BE3A9F">
        <w:rPr>
          <w:i/>
        </w:rPr>
        <w:t>aethiopicum</w:t>
      </w:r>
      <w:proofErr w:type="spellEnd"/>
      <w:r w:rsidRPr="007E380B">
        <w:t xml:space="preserve"> </w:t>
      </w:r>
      <w:r>
        <w:t xml:space="preserve">= SA; </w:t>
      </w:r>
      <w:r w:rsidRPr="00BE3A9F">
        <w:rPr>
          <w:i/>
        </w:rPr>
        <w:t>Amaranthus</w:t>
      </w:r>
      <w:r w:rsidRPr="007E380B">
        <w:t xml:space="preserve"> </w:t>
      </w:r>
      <w:r w:rsidRPr="00BE3A9F">
        <w:rPr>
          <w:i/>
        </w:rPr>
        <w:t>hybridus</w:t>
      </w:r>
      <w:r>
        <w:t xml:space="preserve"> = </w:t>
      </w:r>
      <w:r w:rsidRPr="007E380B">
        <w:t>AH</w:t>
      </w:r>
      <w:r>
        <w:t xml:space="preserve">; </w:t>
      </w:r>
      <w:r w:rsidRPr="00BE3A9F">
        <w:rPr>
          <w:i/>
        </w:rPr>
        <w:t>Pterocarpus</w:t>
      </w:r>
      <w:r w:rsidRPr="007E380B">
        <w:t xml:space="preserve"> </w:t>
      </w:r>
      <w:proofErr w:type="spellStart"/>
      <w:r w:rsidRPr="00BE3A9F">
        <w:rPr>
          <w:i/>
        </w:rPr>
        <w:t>mildraedii</w:t>
      </w:r>
      <w:proofErr w:type="spellEnd"/>
      <w:r w:rsidRPr="007E380B">
        <w:t xml:space="preserve"> </w:t>
      </w:r>
      <w:r>
        <w:t xml:space="preserve">= PM; </w:t>
      </w:r>
      <w:proofErr w:type="spellStart"/>
      <w:r w:rsidRPr="00BE3A9F">
        <w:rPr>
          <w:i/>
        </w:rPr>
        <w:t>Ocimum</w:t>
      </w:r>
      <w:proofErr w:type="spellEnd"/>
      <w:r w:rsidRPr="007E380B">
        <w:t xml:space="preserve"> </w:t>
      </w:r>
      <w:proofErr w:type="spellStart"/>
      <w:r w:rsidRPr="00BE3A9F">
        <w:rPr>
          <w:i/>
        </w:rPr>
        <w:t>gratissimum</w:t>
      </w:r>
      <w:proofErr w:type="spellEnd"/>
      <w:r>
        <w:t xml:space="preserve"> = </w:t>
      </w:r>
      <w:r w:rsidRPr="007E380B">
        <w:t>OG</w:t>
      </w:r>
      <w:r>
        <w:t xml:space="preserve">; </w:t>
      </w:r>
      <w:proofErr w:type="spellStart"/>
      <w:r w:rsidRPr="00BE3A9F">
        <w:rPr>
          <w:i/>
        </w:rPr>
        <w:t>Telfaria</w:t>
      </w:r>
      <w:proofErr w:type="spellEnd"/>
      <w:r w:rsidRPr="007E380B">
        <w:t xml:space="preserve"> </w:t>
      </w:r>
      <w:r w:rsidRPr="00BE3A9F">
        <w:rPr>
          <w:i/>
        </w:rPr>
        <w:t>occidentalis</w:t>
      </w:r>
      <w:r w:rsidRPr="007E380B">
        <w:t xml:space="preserve"> (TO)</w:t>
      </w:r>
    </w:p>
    <w:p w14:paraId="7ADCC44F" w14:textId="77777777" w:rsidR="009F798F" w:rsidRDefault="009F798F" w:rsidP="009F798F">
      <w:pPr>
        <w:jc w:val="center"/>
      </w:pPr>
    </w:p>
    <w:p w14:paraId="0263F567" w14:textId="77777777" w:rsidR="009F798F" w:rsidRPr="00AB776D" w:rsidRDefault="009F798F" w:rsidP="009F798F">
      <w:pPr>
        <w:jc w:val="center"/>
      </w:pPr>
      <w:r>
        <w:t>Table 4</w:t>
      </w:r>
      <w:r w:rsidRPr="00AB776D">
        <w:t>: Summary table of two-way ANOVA on the interaction for the sodium levels across different doses and leaf extracts</w:t>
      </w:r>
    </w:p>
    <w:tbl>
      <w:tblPr>
        <w:tblStyle w:val="TableGrid"/>
        <w:tblW w:w="587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260"/>
        <w:gridCol w:w="1164"/>
        <w:gridCol w:w="1231"/>
      </w:tblGrid>
      <w:tr w:rsidR="009F798F" w:rsidRPr="00AB776D" w14:paraId="2FC9AB26" w14:textId="77777777" w:rsidTr="00C523B4">
        <w:trPr>
          <w:trHeight w:val="50"/>
          <w:jc w:val="center"/>
        </w:trPr>
        <w:tc>
          <w:tcPr>
            <w:tcW w:w="2220" w:type="dxa"/>
            <w:tcBorders>
              <w:bottom w:val="single" w:sz="4" w:space="0" w:color="auto"/>
            </w:tcBorders>
            <w:vAlign w:val="center"/>
            <w:hideMark/>
          </w:tcPr>
          <w:p w14:paraId="4FCA16B5" w14:textId="77777777" w:rsidR="009F798F" w:rsidRPr="00AB776D" w:rsidRDefault="009F798F" w:rsidP="00C523B4">
            <w:pPr>
              <w:rPr>
                <w:sz w:val="24"/>
                <w:szCs w:val="24"/>
              </w:rPr>
            </w:pPr>
            <w:r w:rsidRPr="00AB776D">
              <w:rPr>
                <w:sz w:val="24"/>
                <w:szCs w:val="24"/>
              </w:rPr>
              <w:t>Source</w:t>
            </w:r>
          </w:p>
        </w:tc>
        <w:tc>
          <w:tcPr>
            <w:tcW w:w="1260" w:type="dxa"/>
            <w:tcBorders>
              <w:bottom w:val="single" w:sz="4" w:space="0" w:color="auto"/>
            </w:tcBorders>
            <w:vAlign w:val="center"/>
            <w:hideMark/>
          </w:tcPr>
          <w:p w14:paraId="16D5F0A1" w14:textId="77777777" w:rsidR="009F798F" w:rsidRPr="00AB776D" w:rsidRDefault="009F798F" w:rsidP="00C523B4">
            <w:pPr>
              <w:rPr>
                <w:sz w:val="24"/>
                <w:szCs w:val="24"/>
              </w:rPr>
            </w:pPr>
            <w:r w:rsidRPr="00AB776D">
              <w:rPr>
                <w:sz w:val="24"/>
                <w:szCs w:val="24"/>
              </w:rPr>
              <w:t>F - Value</w:t>
            </w:r>
          </w:p>
        </w:tc>
        <w:tc>
          <w:tcPr>
            <w:tcW w:w="1164" w:type="dxa"/>
            <w:tcBorders>
              <w:bottom w:val="single" w:sz="4" w:space="0" w:color="auto"/>
            </w:tcBorders>
            <w:vAlign w:val="center"/>
            <w:hideMark/>
          </w:tcPr>
          <w:p w14:paraId="287D16EC" w14:textId="77777777" w:rsidR="009F798F" w:rsidRPr="00AB776D" w:rsidRDefault="009F798F" w:rsidP="00C523B4">
            <w:pPr>
              <w:rPr>
                <w:sz w:val="24"/>
                <w:szCs w:val="24"/>
              </w:rPr>
            </w:pPr>
            <w:r w:rsidRPr="00AB776D">
              <w:rPr>
                <w:sz w:val="24"/>
                <w:szCs w:val="24"/>
              </w:rPr>
              <w:t>P - Value</w:t>
            </w:r>
          </w:p>
        </w:tc>
        <w:tc>
          <w:tcPr>
            <w:tcW w:w="1231" w:type="dxa"/>
            <w:tcBorders>
              <w:bottom w:val="single" w:sz="4" w:space="0" w:color="auto"/>
            </w:tcBorders>
            <w:hideMark/>
          </w:tcPr>
          <w:p w14:paraId="61E52BAE" w14:textId="77777777" w:rsidR="009F798F" w:rsidRPr="00AB776D" w:rsidRDefault="009F798F" w:rsidP="00C523B4">
            <w:pPr>
              <w:jc w:val="center"/>
              <w:rPr>
                <w:sz w:val="24"/>
                <w:szCs w:val="24"/>
              </w:rPr>
            </w:pPr>
            <w:r w:rsidRPr="00AB776D">
              <w:rPr>
                <w:sz w:val="24"/>
                <w:szCs w:val="24"/>
              </w:rPr>
              <w:t>Partial Eta Squared</w:t>
            </w:r>
          </w:p>
        </w:tc>
      </w:tr>
      <w:tr w:rsidR="009F798F" w:rsidRPr="00AB776D" w14:paraId="79689F36" w14:textId="77777777" w:rsidTr="00C523B4">
        <w:trPr>
          <w:trHeight w:val="50"/>
          <w:jc w:val="center"/>
        </w:trPr>
        <w:tc>
          <w:tcPr>
            <w:tcW w:w="2220" w:type="dxa"/>
            <w:tcBorders>
              <w:top w:val="single" w:sz="4" w:space="0" w:color="auto"/>
              <w:bottom w:val="nil"/>
            </w:tcBorders>
            <w:hideMark/>
          </w:tcPr>
          <w:p w14:paraId="66B78AB9" w14:textId="77777777" w:rsidR="009F798F" w:rsidRPr="00AB776D" w:rsidRDefault="009F798F" w:rsidP="00C523B4">
            <w:pPr>
              <w:rPr>
                <w:sz w:val="24"/>
                <w:szCs w:val="24"/>
              </w:rPr>
            </w:pPr>
            <w:r w:rsidRPr="00AB776D">
              <w:rPr>
                <w:sz w:val="24"/>
                <w:szCs w:val="24"/>
              </w:rPr>
              <w:t>Dose</w:t>
            </w:r>
          </w:p>
        </w:tc>
        <w:tc>
          <w:tcPr>
            <w:tcW w:w="1260" w:type="dxa"/>
            <w:tcBorders>
              <w:top w:val="single" w:sz="4" w:space="0" w:color="auto"/>
              <w:bottom w:val="nil"/>
            </w:tcBorders>
            <w:noWrap/>
            <w:hideMark/>
          </w:tcPr>
          <w:p w14:paraId="2A51C4B5" w14:textId="77777777" w:rsidR="009F798F" w:rsidRPr="00AB776D" w:rsidRDefault="009F798F" w:rsidP="00C523B4">
            <w:pPr>
              <w:rPr>
                <w:sz w:val="24"/>
                <w:szCs w:val="24"/>
              </w:rPr>
            </w:pPr>
            <w:r w:rsidRPr="00AB776D">
              <w:rPr>
                <w:sz w:val="24"/>
                <w:szCs w:val="24"/>
              </w:rPr>
              <w:t>5.103</w:t>
            </w:r>
          </w:p>
        </w:tc>
        <w:tc>
          <w:tcPr>
            <w:tcW w:w="1164" w:type="dxa"/>
            <w:tcBorders>
              <w:top w:val="single" w:sz="4" w:space="0" w:color="auto"/>
              <w:bottom w:val="nil"/>
            </w:tcBorders>
            <w:noWrap/>
            <w:hideMark/>
          </w:tcPr>
          <w:p w14:paraId="1DF42401" w14:textId="77777777" w:rsidR="009F798F" w:rsidRPr="00AB776D" w:rsidRDefault="009F798F" w:rsidP="00C523B4">
            <w:pPr>
              <w:rPr>
                <w:sz w:val="24"/>
                <w:szCs w:val="24"/>
              </w:rPr>
            </w:pPr>
            <w:r w:rsidRPr="00AB776D">
              <w:rPr>
                <w:sz w:val="24"/>
                <w:szCs w:val="24"/>
              </w:rPr>
              <w:t>0.009</w:t>
            </w:r>
          </w:p>
        </w:tc>
        <w:tc>
          <w:tcPr>
            <w:tcW w:w="1231" w:type="dxa"/>
            <w:tcBorders>
              <w:top w:val="single" w:sz="4" w:space="0" w:color="auto"/>
              <w:bottom w:val="nil"/>
            </w:tcBorders>
            <w:noWrap/>
            <w:hideMark/>
          </w:tcPr>
          <w:p w14:paraId="3A160272" w14:textId="77777777" w:rsidR="009F798F" w:rsidRPr="00AB776D" w:rsidRDefault="009F798F" w:rsidP="00C523B4">
            <w:pPr>
              <w:jc w:val="center"/>
              <w:rPr>
                <w:sz w:val="24"/>
                <w:szCs w:val="24"/>
              </w:rPr>
            </w:pPr>
            <w:r w:rsidRPr="00AB776D">
              <w:rPr>
                <w:sz w:val="24"/>
                <w:szCs w:val="24"/>
              </w:rPr>
              <w:t>0.434</w:t>
            </w:r>
          </w:p>
        </w:tc>
      </w:tr>
      <w:tr w:rsidR="009F798F" w:rsidRPr="00AB776D" w14:paraId="45335CB8" w14:textId="77777777" w:rsidTr="00C523B4">
        <w:trPr>
          <w:trHeight w:val="50"/>
          <w:jc w:val="center"/>
        </w:trPr>
        <w:tc>
          <w:tcPr>
            <w:tcW w:w="2220" w:type="dxa"/>
            <w:tcBorders>
              <w:top w:val="nil"/>
            </w:tcBorders>
            <w:hideMark/>
          </w:tcPr>
          <w:p w14:paraId="3DB0C59E" w14:textId="77777777" w:rsidR="009F798F" w:rsidRPr="00AB776D" w:rsidRDefault="009F798F" w:rsidP="00C523B4">
            <w:pPr>
              <w:rPr>
                <w:sz w:val="24"/>
                <w:szCs w:val="24"/>
              </w:rPr>
            </w:pPr>
            <w:r w:rsidRPr="00AB776D">
              <w:rPr>
                <w:sz w:val="24"/>
                <w:szCs w:val="24"/>
              </w:rPr>
              <w:t>Vegetable</w:t>
            </w:r>
          </w:p>
        </w:tc>
        <w:tc>
          <w:tcPr>
            <w:tcW w:w="1260" w:type="dxa"/>
            <w:tcBorders>
              <w:top w:val="nil"/>
            </w:tcBorders>
            <w:noWrap/>
            <w:hideMark/>
          </w:tcPr>
          <w:p w14:paraId="419A008F" w14:textId="77777777" w:rsidR="009F798F" w:rsidRPr="00AB776D" w:rsidRDefault="009F798F" w:rsidP="00C523B4">
            <w:pPr>
              <w:rPr>
                <w:sz w:val="24"/>
                <w:szCs w:val="24"/>
              </w:rPr>
            </w:pPr>
            <w:r w:rsidRPr="00AB776D">
              <w:rPr>
                <w:sz w:val="24"/>
                <w:szCs w:val="24"/>
              </w:rPr>
              <w:t>14.496</w:t>
            </w:r>
          </w:p>
        </w:tc>
        <w:tc>
          <w:tcPr>
            <w:tcW w:w="1164" w:type="dxa"/>
            <w:tcBorders>
              <w:top w:val="nil"/>
            </w:tcBorders>
            <w:noWrap/>
            <w:hideMark/>
          </w:tcPr>
          <w:p w14:paraId="4C1456B3" w14:textId="77777777" w:rsidR="009F798F" w:rsidRPr="00AB776D" w:rsidRDefault="009F798F" w:rsidP="00C523B4">
            <w:pPr>
              <w:rPr>
                <w:sz w:val="24"/>
                <w:szCs w:val="24"/>
              </w:rPr>
            </w:pPr>
            <w:r w:rsidRPr="00AB776D">
              <w:rPr>
                <w:sz w:val="24"/>
                <w:szCs w:val="24"/>
              </w:rPr>
              <w:t>0.000</w:t>
            </w:r>
          </w:p>
        </w:tc>
        <w:tc>
          <w:tcPr>
            <w:tcW w:w="1231" w:type="dxa"/>
            <w:tcBorders>
              <w:top w:val="nil"/>
            </w:tcBorders>
            <w:noWrap/>
            <w:hideMark/>
          </w:tcPr>
          <w:p w14:paraId="434EE852" w14:textId="77777777" w:rsidR="009F798F" w:rsidRPr="00AB776D" w:rsidRDefault="009F798F" w:rsidP="00C523B4">
            <w:pPr>
              <w:jc w:val="center"/>
              <w:rPr>
                <w:sz w:val="24"/>
                <w:szCs w:val="24"/>
              </w:rPr>
            </w:pPr>
            <w:r w:rsidRPr="00AB776D">
              <w:rPr>
                <w:sz w:val="24"/>
                <w:szCs w:val="24"/>
              </w:rPr>
              <w:t>0.744</w:t>
            </w:r>
          </w:p>
        </w:tc>
      </w:tr>
      <w:tr w:rsidR="009F798F" w:rsidRPr="00AB776D" w14:paraId="71F0D2AC" w14:textId="77777777" w:rsidTr="00C523B4">
        <w:trPr>
          <w:trHeight w:val="50"/>
          <w:jc w:val="center"/>
        </w:trPr>
        <w:tc>
          <w:tcPr>
            <w:tcW w:w="2220" w:type="dxa"/>
            <w:hideMark/>
          </w:tcPr>
          <w:p w14:paraId="5E78CAE5" w14:textId="77777777" w:rsidR="009F798F" w:rsidRPr="00AB776D" w:rsidRDefault="009F798F" w:rsidP="00C523B4">
            <w:pPr>
              <w:rPr>
                <w:sz w:val="24"/>
                <w:szCs w:val="24"/>
              </w:rPr>
            </w:pPr>
            <w:r w:rsidRPr="00AB776D">
              <w:rPr>
                <w:sz w:val="24"/>
                <w:szCs w:val="24"/>
              </w:rPr>
              <w:t>Dose * Vegetable</w:t>
            </w:r>
          </w:p>
        </w:tc>
        <w:tc>
          <w:tcPr>
            <w:tcW w:w="1260" w:type="dxa"/>
            <w:noWrap/>
            <w:hideMark/>
          </w:tcPr>
          <w:p w14:paraId="5B0C9B0A" w14:textId="77777777" w:rsidR="009F798F" w:rsidRPr="00AB776D" w:rsidRDefault="009F798F" w:rsidP="00C523B4">
            <w:pPr>
              <w:rPr>
                <w:sz w:val="24"/>
                <w:szCs w:val="24"/>
              </w:rPr>
            </w:pPr>
            <w:r w:rsidRPr="00AB776D">
              <w:rPr>
                <w:sz w:val="24"/>
                <w:szCs w:val="24"/>
              </w:rPr>
              <w:t>2.757</w:t>
            </w:r>
          </w:p>
        </w:tc>
        <w:tc>
          <w:tcPr>
            <w:tcW w:w="1164" w:type="dxa"/>
            <w:noWrap/>
            <w:hideMark/>
          </w:tcPr>
          <w:p w14:paraId="0DA4C566" w14:textId="77777777" w:rsidR="009F798F" w:rsidRPr="00AB776D" w:rsidRDefault="009F798F" w:rsidP="00C523B4">
            <w:pPr>
              <w:rPr>
                <w:sz w:val="24"/>
                <w:szCs w:val="24"/>
              </w:rPr>
            </w:pPr>
            <w:r w:rsidRPr="00AB776D">
              <w:rPr>
                <w:sz w:val="24"/>
                <w:szCs w:val="24"/>
              </w:rPr>
              <w:t>0.022</w:t>
            </w:r>
          </w:p>
        </w:tc>
        <w:tc>
          <w:tcPr>
            <w:tcW w:w="1231" w:type="dxa"/>
            <w:noWrap/>
            <w:hideMark/>
          </w:tcPr>
          <w:p w14:paraId="053589B7" w14:textId="77777777" w:rsidR="009F798F" w:rsidRPr="00AB776D" w:rsidRDefault="009F798F" w:rsidP="00C523B4">
            <w:pPr>
              <w:jc w:val="center"/>
              <w:rPr>
                <w:sz w:val="24"/>
                <w:szCs w:val="24"/>
              </w:rPr>
            </w:pPr>
            <w:r w:rsidRPr="00AB776D">
              <w:rPr>
                <w:sz w:val="24"/>
                <w:szCs w:val="24"/>
              </w:rPr>
              <w:t>0.623</w:t>
            </w:r>
          </w:p>
        </w:tc>
      </w:tr>
    </w:tbl>
    <w:p w14:paraId="3ECEFC3B" w14:textId="77777777" w:rsidR="009F798F" w:rsidRDefault="009F798F" w:rsidP="009F798F">
      <w:pPr>
        <w:spacing w:line="360" w:lineRule="auto"/>
        <w:jc w:val="both"/>
        <w:outlineLvl w:val="2"/>
        <w:rPr>
          <w:b/>
          <w:bCs/>
        </w:rPr>
      </w:pPr>
    </w:p>
    <w:p w14:paraId="25AF4511" w14:textId="77777777" w:rsidR="009F798F" w:rsidRPr="00F635BA" w:rsidRDefault="009F798F" w:rsidP="009F798F">
      <w:pPr>
        <w:spacing w:line="360" w:lineRule="auto"/>
        <w:jc w:val="both"/>
        <w:outlineLvl w:val="2"/>
        <w:rPr>
          <w:b/>
          <w:bCs/>
        </w:rPr>
      </w:pPr>
      <w:r w:rsidRPr="00F635BA">
        <w:rPr>
          <w:b/>
          <w:bCs/>
        </w:rPr>
        <w:t>Potassium</w:t>
      </w:r>
    </w:p>
    <w:p w14:paraId="4FF96AA7" w14:textId="77777777" w:rsidR="009F798F" w:rsidRPr="00F635BA" w:rsidRDefault="009F798F" w:rsidP="009F798F">
      <w:pPr>
        <w:spacing w:line="360" w:lineRule="auto"/>
        <w:jc w:val="both"/>
      </w:pPr>
      <w:r w:rsidRPr="00F635BA">
        <w:t xml:space="preserve">SA increased potassium slightly (control </w:t>
      </w:r>
      <w:r w:rsidRPr="009F798F">
        <w:rPr>
          <w:bCs/>
        </w:rPr>
        <w:t>25.28 ± 1.69</w:t>
      </w:r>
      <w:r w:rsidRPr="00F635BA">
        <w:t xml:space="preserve"> → high </w:t>
      </w:r>
      <w:r w:rsidRPr="009F798F">
        <w:rPr>
          <w:bCs/>
        </w:rPr>
        <w:t>25.90 ± 0.40 mmol/L</w:t>
      </w:r>
      <w:r w:rsidRPr="00F635BA">
        <w:t xml:space="preserve">), whereas AH and PM reduced levels to </w:t>
      </w:r>
      <w:r w:rsidRPr="009F798F">
        <w:rPr>
          <w:bCs/>
        </w:rPr>
        <w:t>24.60 ± 0.35</w:t>
      </w:r>
      <w:r w:rsidRPr="00F635BA">
        <w:t xml:space="preserve"> and </w:t>
      </w:r>
      <w:r w:rsidRPr="009F798F">
        <w:rPr>
          <w:bCs/>
        </w:rPr>
        <w:t>24.70 ± 0.32 mmol/L</w:t>
      </w:r>
      <w:r w:rsidRPr="00F635BA">
        <w:t>, respectively. OG produced the steepest decline (</w:t>
      </w:r>
      <w:r w:rsidRPr="009F798F">
        <w:rPr>
          <w:bCs/>
        </w:rPr>
        <w:t>22.50 ± 0.35 mmol/L</w:t>
      </w:r>
      <w:r w:rsidRPr="00F635BA">
        <w:t>), and TO reduced levels moderately (</w:t>
      </w:r>
      <w:r w:rsidRPr="00962AFC">
        <w:rPr>
          <w:bCs/>
        </w:rPr>
        <w:t>24.00 ± 0.32 mmol/L</w:t>
      </w:r>
      <w:r w:rsidRPr="00F635BA">
        <w:t>). ANOVA revealed significant extract and dose × extract interaction effects.</w:t>
      </w:r>
      <w:r>
        <w:t xml:space="preserve"> </w:t>
      </w:r>
      <w:r w:rsidRPr="00F635BA">
        <w:t>These patterns reflect species-specific phytochemical influences. SA’s modest increase may result from its mineral content (</w:t>
      </w:r>
      <w:proofErr w:type="spellStart"/>
      <w:r w:rsidRPr="00F635BA">
        <w:t>Djaomanwe</w:t>
      </w:r>
      <w:proofErr w:type="spellEnd"/>
      <w:r w:rsidRPr="00F635BA">
        <w:t xml:space="preserve"> et al., 2023). OG’s potassium-lowering effect is consistent with reports that its polyphenols modulate renal electrolyte handling (Alabi et al., 2021). AH and PM declines mirror evidence of context-dependent effects of </w:t>
      </w:r>
      <w:r w:rsidRPr="00F635BA">
        <w:rPr>
          <w:i/>
          <w:iCs/>
        </w:rPr>
        <w:t>Amaranthus</w:t>
      </w:r>
      <w:r w:rsidRPr="00F635BA">
        <w:t xml:space="preserve"> and </w:t>
      </w:r>
      <w:r w:rsidRPr="00F635BA">
        <w:rPr>
          <w:i/>
          <w:iCs/>
        </w:rPr>
        <w:t>Pterocarpus</w:t>
      </w:r>
      <w:r w:rsidRPr="00F635BA">
        <w:t xml:space="preserve"> on renal biomarkers (Gamel et al., 2023; Nwankwo et al., 2018). TO’s moderate decline aligns with safety studies indicating mild but non-pathological effects (</w:t>
      </w:r>
      <w:proofErr w:type="spellStart"/>
      <w:r w:rsidRPr="00F635BA">
        <w:t>Egbuonu</w:t>
      </w:r>
      <w:proofErr w:type="spellEnd"/>
      <w:r w:rsidRPr="00F635BA">
        <w:t xml:space="preserve"> et al., 2024).</w:t>
      </w:r>
    </w:p>
    <w:p w14:paraId="2E7D5B77" w14:textId="77777777" w:rsidR="009F798F" w:rsidRDefault="009F798F" w:rsidP="009F798F">
      <w:pPr>
        <w:jc w:val="center"/>
      </w:pPr>
      <w:r w:rsidRPr="008A40DD">
        <w:rPr>
          <w:noProof/>
          <w:lang w:val="en-US" w:eastAsia="en-US"/>
        </w:rPr>
        <w:lastRenderedPageBreak/>
        <w:drawing>
          <wp:inline distT="0" distB="0" distL="0" distR="0" wp14:anchorId="07E33210" wp14:editId="32044C6E">
            <wp:extent cx="4572000" cy="2743200"/>
            <wp:effectExtent l="0" t="0" r="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2AB30F" w14:textId="77777777" w:rsidR="009F798F" w:rsidRDefault="009F798F" w:rsidP="009F798F">
      <w:pPr>
        <w:pStyle w:val="NormalWeb"/>
        <w:spacing w:before="0" w:beforeAutospacing="0" w:after="0" w:afterAutospacing="0"/>
        <w:jc w:val="center"/>
      </w:pPr>
      <w:r>
        <w:t xml:space="preserve">Figure 5: Interaction </w:t>
      </w:r>
      <w:r w:rsidRPr="00C96900">
        <w:t xml:space="preserve">plot for the </w:t>
      </w:r>
      <w:r>
        <w:t xml:space="preserve">potassium </w:t>
      </w:r>
      <w:r w:rsidRPr="00C96900">
        <w:t>levels across different doses and leaf extracts.</w:t>
      </w:r>
    </w:p>
    <w:p w14:paraId="7323FD38" w14:textId="77777777" w:rsidR="009F798F" w:rsidRPr="00C96900" w:rsidRDefault="009F798F" w:rsidP="009F798F">
      <w:pPr>
        <w:jc w:val="center"/>
      </w:pPr>
      <w:r w:rsidRPr="00BE3A9F">
        <w:rPr>
          <w:i/>
        </w:rPr>
        <w:t>Solanum</w:t>
      </w:r>
      <w:r w:rsidRPr="007E380B">
        <w:t xml:space="preserve"> </w:t>
      </w:r>
      <w:proofErr w:type="spellStart"/>
      <w:r w:rsidRPr="00BE3A9F">
        <w:rPr>
          <w:i/>
        </w:rPr>
        <w:t>aethiopicum</w:t>
      </w:r>
      <w:proofErr w:type="spellEnd"/>
      <w:r w:rsidRPr="007E380B">
        <w:t xml:space="preserve"> </w:t>
      </w:r>
      <w:r>
        <w:t xml:space="preserve">= SA; </w:t>
      </w:r>
      <w:r w:rsidRPr="00BE3A9F">
        <w:rPr>
          <w:i/>
        </w:rPr>
        <w:t>Amaranthus</w:t>
      </w:r>
      <w:r w:rsidRPr="007E380B">
        <w:t xml:space="preserve"> </w:t>
      </w:r>
      <w:r w:rsidRPr="00BE3A9F">
        <w:rPr>
          <w:i/>
        </w:rPr>
        <w:t>hybridus</w:t>
      </w:r>
      <w:r>
        <w:t xml:space="preserve"> = </w:t>
      </w:r>
      <w:r w:rsidRPr="007E380B">
        <w:t>AH</w:t>
      </w:r>
      <w:r>
        <w:t xml:space="preserve">; </w:t>
      </w:r>
      <w:r w:rsidRPr="00BE3A9F">
        <w:rPr>
          <w:i/>
        </w:rPr>
        <w:t>Pterocarpus</w:t>
      </w:r>
      <w:r w:rsidRPr="007E380B">
        <w:t xml:space="preserve"> </w:t>
      </w:r>
      <w:proofErr w:type="spellStart"/>
      <w:r w:rsidRPr="00BE3A9F">
        <w:rPr>
          <w:i/>
        </w:rPr>
        <w:t>mildraedii</w:t>
      </w:r>
      <w:proofErr w:type="spellEnd"/>
      <w:r w:rsidRPr="007E380B">
        <w:t xml:space="preserve"> </w:t>
      </w:r>
      <w:r>
        <w:t xml:space="preserve">= PM; </w:t>
      </w:r>
      <w:proofErr w:type="spellStart"/>
      <w:r w:rsidRPr="00BE3A9F">
        <w:rPr>
          <w:i/>
        </w:rPr>
        <w:t>Ocimum</w:t>
      </w:r>
      <w:proofErr w:type="spellEnd"/>
      <w:r w:rsidRPr="007E380B">
        <w:t xml:space="preserve"> </w:t>
      </w:r>
      <w:proofErr w:type="spellStart"/>
      <w:r w:rsidRPr="00BE3A9F">
        <w:rPr>
          <w:i/>
        </w:rPr>
        <w:t>gratissimum</w:t>
      </w:r>
      <w:proofErr w:type="spellEnd"/>
      <w:r>
        <w:t xml:space="preserve"> = </w:t>
      </w:r>
      <w:r w:rsidRPr="007E380B">
        <w:t>OG</w:t>
      </w:r>
      <w:r>
        <w:t xml:space="preserve">; </w:t>
      </w:r>
      <w:proofErr w:type="spellStart"/>
      <w:r w:rsidRPr="00BE3A9F">
        <w:rPr>
          <w:i/>
        </w:rPr>
        <w:t>Telfaria</w:t>
      </w:r>
      <w:proofErr w:type="spellEnd"/>
      <w:r w:rsidRPr="007E380B">
        <w:t xml:space="preserve"> </w:t>
      </w:r>
      <w:r w:rsidRPr="00BE3A9F">
        <w:rPr>
          <w:i/>
        </w:rPr>
        <w:t>occidentalis</w:t>
      </w:r>
      <w:r w:rsidRPr="007E380B">
        <w:t xml:space="preserve"> (TO)</w:t>
      </w:r>
    </w:p>
    <w:p w14:paraId="46B64514" w14:textId="77777777" w:rsidR="009F798F" w:rsidRDefault="009F798F" w:rsidP="009F798F">
      <w:pPr>
        <w:jc w:val="center"/>
      </w:pPr>
    </w:p>
    <w:p w14:paraId="5984F44B" w14:textId="77777777" w:rsidR="009F798F" w:rsidRPr="00AB776D" w:rsidRDefault="009F798F" w:rsidP="009F798F">
      <w:pPr>
        <w:jc w:val="center"/>
      </w:pPr>
      <w:r>
        <w:t>Table 5</w:t>
      </w:r>
      <w:r w:rsidRPr="00AB776D">
        <w:t>: Summary table of two-way ANOVA on the interaction for the potassium levels across different doses and leaf extracts</w:t>
      </w:r>
    </w:p>
    <w:tbl>
      <w:tblPr>
        <w:tblStyle w:val="TableGrid"/>
        <w:tblW w:w="617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260"/>
        <w:gridCol w:w="1306"/>
        <w:gridCol w:w="1387"/>
      </w:tblGrid>
      <w:tr w:rsidR="009F798F" w:rsidRPr="00AB776D" w14:paraId="49020F47" w14:textId="77777777" w:rsidTr="00C523B4">
        <w:trPr>
          <w:trHeight w:val="80"/>
          <w:jc w:val="center"/>
        </w:trPr>
        <w:tc>
          <w:tcPr>
            <w:tcW w:w="2220" w:type="dxa"/>
            <w:tcBorders>
              <w:top w:val="single" w:sz="4" w:space="0" w:color="auto"/>
              <w:bottom w:val="single" w:sz="4" w:space="0" w:color="auto"/>
            </w:tcBorders>
            <w:vAlign w:val="center"/>
            <w:hideMark/>
          </w:tcPr>
          <w:p w14:paraId="5C9CCDE4" w14:textId="77777777" w:rsidR="009F798F" w:rsidRPr="00AB776D" w:rsidRDefault="009F798F" w:rsidP="00C523B4">
            <w:pPr>
              <w:rPr>
                <w:sz w:val="24"/>
                <w:szCs w:val="24"/>
              </w:rPr>
            </w:pPr>
            <w:r w:rsidRPr="00AB776D">
              <w:rPr>
                <w:sz w:val="24"/>
                <w:szCs w:val="24"/>
              </w:rPr>
              <w:t>Source</w:t>
            </w:r>
          </w:p>
        </w:tc>
        <w:tc>
          <w:tcPr>
            <w:tcW w:w="1260" w:type="dxa"/>
            <w:tcBorders>
              <w:top w:val="single" w:sz="4" w:space="0" w:color="auto"/>
              <w:bottom w:val="single" w:sz="4" w:space="0" w:color="auto"/>
            </w:tcBorders>
            <w:vAlign w:val="center"/>
            <w:hideMark/>
          </w:tcPr>
          <w:p w14:paraId="06938C35" w14:textId="77777777" w:rsidR="009F798F" w:rsidRPr="00AB776D" w:rsidRDefault="009F798F" w:rsidP="00C523B4">
            <w:pPr>
              <w:jc w:val="center"/>
              <w:rPr>
                <w:sz w:val="24"/>
                <w:szCs w:val="24"/>
              </w:rPr>
            </w:pPr>
            <w:r w:rsidRPr="00AB776D">
              <w:rPr>
                <w:sz w:val="24"/>
                <w:szCs w:val="24"/>
              </w:rPr>
              <w:t>F - Value</w:t>
            </w:r>
          </w:p>
        </w:tc>
        <w:tc>
          <w:tcPr>
            <w:tcW w:w="1306" w:type="dxa"/>
            <w:tcBorders>
              <w:top w:val="single" w:sz="4" w:space="0" w:color="auto"/>
              <w:bottom w:val="single" w:sz="4" w:space="0" w:color="auto"/>
            </w:tcBorders>
            <w:vAlign w:val="center"/>
            <w:hideMark/>
          </w:tcPr>
          <w:p w14:paraId="657681B4" w14:textId="77777777" w:rsidR="009F798F" w:rsidRPr="00AB776D" w:rsidRDefault="009F798F" w:rsidP="00C523B4">
            <w:pPr>
              <w:jc w:val="center"/>
              <w:rPr>
                <w:sz w:val="24"/>
                <w:szCs w:val="24"/>
              </w:rPr>
            </w:pPr>
            <w:r w:rsidRPr="00AB776D">
              <w:rPr>
                <w:sz w:val="24"/>
                <w:szCs w:val="24"/>
              </w:rPr>
              <w:t>P - Value</w:t>
            </w:r>
          </w:p>
        </w:tc>
        <w:tc>
          <w:tcPr>
            <w:tcW w:w="1387" w:type="dxa"/>
            <w:tcBorders>
              <w:top w:val="single" w:sz="4" w:space="0" w:color="auto"/>
              <w:bottom w:val="single" w:sz="4" w:space="0" w:color="auto"/>
            </w:tcBorders>
            <w:hideMark/>
          </w:tcPr>
          <w:p w14:paraId="0E5AB5ED" w14:textId="77777777" w:rsidR="009F798F" w:rsidRPr="00AB776D" w:rsidRDefault="009F798F" w:rsidP="00C523B4">
            <w:pPr>
              <w:jc w:val="center"/>
              <w:rPr>
                <w:sz w:val="24"/>
                <w:szCs w:val="24"/>
              </w:rPr>
            </w:pPr>
            <w:r w:rsidRPr="00AB776D">
              <w:rPr>
                <w:sz w:val="24"/>
                <w:szCs w:val="24"/>
              </w:rPr>
              <w:t>Partial Eta Squared</w:t>
            </w:r>
          </w:p>
        </w:tc>
      </w:tr>
      <w:tr w:rsidR="009F798F" w:rsidRPr="00AB776D" w14:paraId="5EB119B1" w14:textId="77777777" w:rsidTr="00C523B4">
        <w:trPr>
          <w:trHeight w:val="50"/>
          <w:jc w:val="center"/>
        </w:trPr>
        <w:tc>
          <w:tcPr>
            <w:tcW w:w="2220" w:type="dxa"/>
            <w:tcBorders>
              <w:top w:val="single" w:sz="4" w:space="0" w:color="auto"/>
            </w:tcBorders>
            <w:hideMark/>
          </w:tcPr>
          <w:p w14:paraId="6F10E9E3" w14:textId="77777777" w:rsidR="009F798F" w:rsidRPr="00AB776D" w:rsidRDefault="009F798F" w:rsidP="00C523B4">
            <w:pPr>
              <w:rPr>
                <w:sz w:val="24"/>
                <w:szCs w:val="24"/>
              </w:rPr>
            </w:pPr>
            <w:r w:rsidRPr="00AB776D">
              <w:rPr>
                <w:sz w:val="24"/>
                <w:szCs w:val="24"/>
              </w:rPr>
              <w:t>Dose</w:t>
            </w:r>
          </w:p>
        </w:tc>
        <w:tc>
          <w:tcPr>
            <w:tcW w:w="1260" w:type="dxa"/>
            <w:tcBorders>
              <w:top w:val="single" w:sz="4" w:space="0" w:color="auto"/>
            </w:tcBorders>
            <w:noWrap/>
            <w:hideMark/>
          </w:tcPr>
          <w:p w14:paraId="76E99429" w14:textId="77777777" w:rsidR="009F798F" w:rsidRPr="00AB776D" w:rsidRDefault="009F798F" w:rsidP="00C523B4">
            <w:pPr>
              <w:jc w:val="center"/>
              <w:rPr>
                <w:sz w:val="24"/>
                <w:szCs w:val="24"/>
              </w:rPr>
            </w:pPr>
            <w:r w:rsidRPr="00AB776D">
              <w:rPr>
                <w:sz w:val="24"/>
                <w:szCs w:val="24"/>
              </w:rPr>
              <w:t>2.803</w:t>
            </w:r>
          </w:p>
        </w:tc>
        <w:tc>
          <w:tcPr>
            <w:tcW w:w="1306" w:type="dxa"/>
            <w:tcBorders>
              <w:top w:val="single" w:sz="4" w:space="0" w:color="auto"/>
            </w:tcBorders>
            <w:noWrap/>
            <w:hideMark/>
          </w:tcPr>
          <w:p w14:paraId="79E5DBE8" w14:textId="77777777" w:rsidR="009F798F" w:rsidRPr="00AB776D" w:rsidRDefault="009F798F" w:rsidP="00C523B4">
            <w:pPr>
              <w:jc w:val="center"/>
              <w:rPr>
                <w:sz w:val="24"/>
                <w:szCs w:val="24"/>
              </w:rPr>
            </w:pPr>
            <w:r w:rsidRPr="00AB776D">
              <w:rPr>
                <w:sz w:val="24"/>
                <w:szCs w:val="24"/>
              </w:rPr>
              <w:t>0.066</w:t>
            </w:r>
          </w:p>
        </w:tc>
        <w:tc>
          <w:tcPr>
            <w:tcW w:w="1387" w:type="dxa"/>
            <w:tcBorders>
              <w:top w:val="single" w:sz="4" w:space="0" w:color="auto"/>
            </w:tcBorders>
            <w:noWrap/>
            <w:hideMark/>
          </w:tcPr>
          <w:p w14:paraId="02324C98" w14:textId="77777777" w:rsidR="009F798F" w:rsidRPr="00AB776D" w:rsidRDefault="009F798F" w:rsidP="00C523B4">
            <w:pPr>
              <w:jc w:val="center"/>
              <w:rPr>
                <w:sz w:val="24"/>
                <w:szCs w:val="24"/>
              </w:rPr>
            </w:pPr>
            <w:r w:rsidRPr="00AB776D">
              <w:rPr>
                <w:sz w:val="24"/>
                <w:szCs w:val="24"/>
              </w:rPr>
              <w:t>0.296</w:t>
            </w:r>
          </w:p>
        </w:tc>
      </w:tr>
      <w:tr w:rsidR="009F798F" w:rsidRPr="00AB776D" w14:paraId="7773524C" w14:textId="77777777" w:rsidTr="00C523B4">
        <w:trPr>
          <w:trHeight w:val="60"/>
          <w:jc w:val="center"/>
        </w:trPr>
        <w:tc>
          <w:tcPr>
            <w:tcW w:w="2220" w:type="dxa"/>
            <w:hideMark/>
          </w:tcPr>
          <w:p w14:paraId="4B33772A" w14:textId="77777777" w:rsidR="009F798F" w:rsidRPr="00AB776D" w:rsidRDefault="009F798F" w:rsidP="00C523B4">
            <w:pPr>
              <w:rPr>
                <w:sz w:val="24"/>
                <w:szCs w:val="24"/>
              </w:rPr>
            </w:pPr>
            <w:r w:rsidRPr="00AB776D">
              <w:rPr>
                <w:sz w:val="24"/>
                <w:szCs w:val="24"/>
              </w:rPr>
              <w:t>Vegetable</w:t>
            </w:r>
          </w:p>
        </w:tc>
        <w:tc>
          <w:tcPr>
            <w:tcW w:w="1260" w:type="dxa"/>
            <w:noWrap/>
            <w:hideMark/>
          </w:tcPr>
          <w:p w14:paraId="106F6B44" w14:textId="77777777" w:rsidR="009F798F" w:rsidRPr="00AB776D" w:rsidRDefault="009F798F" w:rsidP="00C523B4">
            <w:pPr>
              <w:jc w:val="center"/>
              <w:rPr>
                <w:sz w:val="24"/>
                <w:szCs w:val="24"/>
              </w:rPr>
            </w:pPr>
            <w:r w:rsidRPr="00AB776D">
              <w:rPr>
                <w:sz w:val="24"/>
                <w:szCs w:val="24"/>
              </w:rPr>
              <w:t>11.411</w:t>
            </w:r>
          </w:p>
        </w:tc>
        <w:tc>
          <w:tcPr>
            <w:tcW w:w="1306" w:type="dxa"/>
            <w:noWrap/>
            <w:hideMark/>
          </w:tcPr>
          <w:p w14:paraId="1D72BD7D" w14:textId="77777777" w:rsidR="009F798F" w:rsidRPr="00AB776D" w:rsidRDefault="009F798F" w:rsidP="00C523B4">
            <w:pPr>
              <w:jc w:val="center"/>
              <w:rPr>
                <w:sz w:val="24"/>
                <w:szCs w:val="24"/>
              </w:rPr>
            </w:pPr>
            <w:r w:rsidRPr="00AB776D">
              <w:rPr>
                <w:sz w:val="24"/>
                <w:szCs w:val="24"/>
              </w:rPr>
              <w:t>0.000</w:t>
            </w:r>
          </w:p>
        </w:tc>
        <w:tc>
          <w:tcPr>
            <w:tcW w:w="1387" w:type="dxa"/>
            <w:noWrap/>
            <w:hideMark/>
          </w:tcPr>
          <w:p w14:paraId="55DC1736" w14:textId="77777777" w:rsidR="009F798F" w:rsidRPr="00AB776D" w:rsidRDefault="009F798F" w:rsidP="00C523B4">
            <w:pPr>
              <w:jc w:val="center"/>
              <w:rPr>
                <w:sz w:val="24"/>
                <w:szCs w:val="24"/>
              </w:rPr>
            </w:pPr>
            <w:r w:rsidRPr="00AB776D">
              <w:rPr>
                <w:sz w:val="24"/>
                <w:szCs w:val="24"/>
              </w:rPr>
              <w:t>0.695</w:t>
            </w:r>
          </w:p>
        </w:tc>
      </w:tr>
      <w:tr w:rsidR="009F798F" w:rsidRPr="00AB776D" w14:paraId="5AEE0C06" w14:textId="77777777" w:rsidTr="00C523B4">
        <w:trPr>
          <w:trHeight w:val="50"/>
          <w:jc w:val="center"/>
        </w:trPr>
        <w:tc>
          <w:tcPr>
            <w:tcW w:w="2220" w:type="dxa"/>
            <w:hideMark/>
          </w:tcPr>
          <w:p w14:paraId="1E292C17" w14:textId="77777777" w:rsidR="009F798F" w:rsidRPr="00AB776D" w:rsidRDefault="009F798F" w:rsidP="00C523B4">
            <w:pPr>
              <w:rPr>
                <w:sz w:val="24"/>
                <w:szCs w:val="24"/>
              </w:rPr>
            </w:pPr>
            <w:r w:rsidRPr="00AB776D">
              <w:rPr>
                <w:sz w:val="24"/>
                <w:szCs w:val="24"/>
              </w:rPr>
              <w:t>Dose * Vegetable</w:t>
            </w:r>
          </w:p>
        </w:tc>
        <w:tc>
          <w:tcPr>
            <w:tcW w:w="1260" w:type="dxa"/>
            <w:noWrap/>
            <w:hideMark/>
          </w:tcPr>
          <w:p w14:paraId="2C8D3936" w14:textId="77777777" w:rsidR="009F798F" w:rsidRPr="00AB776D" w:rsidRDefault="009F798F" w:rsidP="00C523B4">
            <w:pPr>
              <w:jc w:val="center"/>
              <w:rPr>
                <w:sz w:val="24"/>
                <w:szCs w:val="24"/>
              </w:rPr>
            </w:pPr>
            <w:r w:rsidRPr="00AB776D">
              <w:rPr>
                <w:sz w:val="24"/>
                <w:szCs w:val="24"/>
              </w:rPr>
              <w:t>2.721</w:t>
            </w:r>
          </w:p>
        </w:tc>
        <w:tc>
          <w:tcPr>
            <w:tcW w:w="1306" w:type="dxa"/>
            <w:noWrap/>
            <w:hideMark/>
          </w:tcPr>
          <w:p w14:paraId="40D891B4" w14:textId="77777777" w:rsidR="009F798F" w:rsidRPr="00AB776D" w:rsidRDefault="009F798F" w:rsidP="00C523B4">
            <w:pPr>
              <w:jc w:val="center"/>
              <w:rPr>
                <w:sz w:val="24"/>
                <w:szCs w:val="24"/>
              </w:rPr>
            </w:pPr>
            <w:r w:rsidRPr="00AB776D">
              <w:rPr>
                <w:sz w:val="24"/>
                <w:szCs w:val="24"/>
              </w:rPr>
              <w:t>0.023</w:t>
            </w:r>
          </w:p>
        </w:tc>
        <w:tc>
          <w:tcPr>
            <w:tcW w:w="1387" w:type="dxa"/>
            <w:noWrap/>
            <w:hideMark/>
          </w:tcPr>
          <w:p w14:paraId="4F5A6C00" w14:textId="77777777" w:rsidR="009F798F" w:rsidRPr="00AB776D" w:rsidRDefault="009F798F" w:rsidP="00C523B4">
            <w:pPr>
              <w:jc w:val="center"/>
              <w:rPr>
                <w:sz w:val="24"/>
                <w:szCs w:val="24"/>
              </w:rPr>
            </w:pPr>
            <w:r w:rsidRPr="00AB776D">
              <w:rPr>
                <w:sz w:val="24"/>
                <w:szCs w:val="24"/>
              </w:rPr>
              <w:t>0.620</w:t>
            </w:r>
          </w:p>
        </w:tc>
      </w:tr>
    </w:tbl>
    <w:p w14:paraId="79501BB7" w14:textId="77777777" w:rsidR="009F798F" w:rsidRPr="00F635BA" w:rsidRDefault="009F798F" w:rsidP="009F798F">
      <w:pPr>
        <w:spacing w:line="360" w:lineRule="auto"/>
        <w:jc w:val="both"/>
        <w:outlineLvl w:val="2"/>
        <w:rPr>
          <w:b/>
          <w:bCs/>
        </w:rPr>
      </w:pPr>
      <w:r w:rsidRPr="00F635BA">
        <w:rPr>
          <w:b/>
          <w:bCs/>
        </w:rPr>
        <w:t>Chloride</w:t>
      </w:r>
    </w:p>
    <w:p w14:paraId="11443E02" w14:textId="77777777" w:rsidR="009F798F" w:rsidRPr="00F635BA" w:rsidRDefault="009F798F" w:rsidP="009F798F">
      <w:pPr>
        <w:spacing w:line="360" w:lineRule="auto"/>
        <w:jc w:val="both"/>
      </w:pPr>
      <w:r w:rsidRPr="00F635BA">
        <w:t xml:space="preserve">SA, AH, and PM induced small chloride declines (to </w:t>
      </w:r>
      <w:r w:rsidRPr="00962AFC">
        <w:rPr>
          <w:bCs/>
        </w:rPr>
        <w:t>69.80 ± 1.00</w:t>
      </w:r>
      <w:r w:rsidRPr="00F635BA">
        <w:t xml:space="preserve">, </w:t>
      </w:r>
      <w:r w:rsidRPr="00962AFC">
        <w:rPr>
          <w:bCs/>
        </w:rPr>
        <w:t>69.20 ± 1.00</w:t>
      </w:r>
      <w:r w:rsidRPr="00F635BA">
        <w:t xml:space="preserve">, and </w:t>
      </w:r>
      <w:r w:rsidRPr="00962AFC">
        <w:rPr>
          <w:bCs/>
        </w:rPr>
        <w:t>69.90 ±</w:t>
      </w:r>
      <w:r w:rsidRPr="00F635BA">
        <w:rPr>
          <w:b/>
          <w:bCs/>
        </w:rPr>
        <w:t xml:space="preserve"> </w:t>
      </w:r>
      <w:r w:rsidRPr="00962AFC">
        <w:rPr>
          <w:bCs/>
        </w:rPr>
        <w:t>1.00 mmol/L</w:t>
      </w:r>
      <w:r w:rsidRPr="00F635BA">
        <w:t xml:space="preserve">, respectively, vs. control </w:t>
      </w:r>
      <w:r w:rsidRPr="00962AFC">
        <w:rPr>
          <w:bCs/>
        </w:rPr>
        <w:t>70.96 ± 2.74</w:t>
      </w:r>
      <w:r w:rsidRPr="00F635BA">
        <w:t>). OG produced the most substantial reduction (</w:t>
      </w:r>
      <w:r w:rsidRPr="00962AFC">
        <w:rPr>
          <w:bCs/>
        </w:rPr>
        <w:t>65.00 ± 1.00 mmol/L</w:t>
      </w:r>
      <w:r w:rsidRPr="00F635BA">
        <w:t>), while TO caused a moderate fall (</w:t>
      </w:r>
      <w:r w:rsidRPr="00962AFC">
        <w:rPr>
          <w:bCs/>
        </w:rPr>
        <w:t>68.20 ± 1.00 mmol/L</w:t>
      </w:r>
      <w:r w:rsidRPr="00F635BA">
        <w:t>). ANOVA confirmed a significant effect of extract identity, but not dose or interaction.</w:t>
      </w:r>
      <w:r>
        <w:t xml:space="preserve"> </w:t>
      </w:r>
      <w:r w:rsidRPr="00F635BA">
        <w:t>This profile highlights OG as the main modulator of chloride, consistent with reports that its bioactive oils and polyphenols influence electrolyte regulation (</w:t>
      </w:r>
      <w:proofErr w:type="spellStart"/>
      <w:r w:rsidRPr="00F635BA">
        <w:t>Irondi</w:t>
      </w:r>
      <w:proofErr w:type="spellEnd"/>
      <w:r w:rsidRPr="00F635BA">
        <w:t xml:space="preserve"> et al., 2019; Alabi et al., 2021). Minor decreases with AH and TO are consistent with earlier findings that these vegetables can shift electrolytes in healthy but not diseased models (</w:t>
      </w:r>
      <w:proofErr w:type="spellStart"/>
      <w:r w:rsidRPr="00F635BA">
        <w:t>Phoswa</w:t>
      </w:r>
      <w:proofErr w:type="spellEnd"/>
      <w:r w:rsidRPr="00F635BA">
        <w:t xml:space="preserve"> &amp; </w:t>
      </w:r>
      <w:proofErr w:type="spellStart"/>
      <w:r w:rsidRPr="00F635BA">
        <w:t>Mokgalaboni</w:t>
      </w:r>
      <w:proofErr w:type="spellEnd"/>
      <w:r w:rsidRPr="00F635BA">
        <w:t>, 2023). PM’s stability further supports its safety (Nwankwo et al., 2016).</w:t>
      </w:r>
    </w:p>
    <w:p w14:paraId="020B9664" w14:textId="77777777" w:rsidR="009F798F" w:rsidRDefault="009F798F" w:rsidP="009F798F">
      <w:pPr>
        <w:jc w:val="center"/>
      </w:pPr>
      <w:r w:rsidRPr="008A40DD">
        <w:rPr>
          <w:noProof/>
          <w:lang w:val="en-US" w:eastAsia="en-US"/>
        </w:rPr>
        <w:lastRenderedPageBreak/>
        <w:drawing>
          <wp:inline distT="0" distB="0" distL="0" distR="0" wp14:anchorId="69F4EFC6" wp14:editId="749F7AA2">
            <wp:extent cx="4572000" cy="2743200"/>
            <wp:effectExtent l="0" t="0" r="0" b="0"/>
            <wp:docPr id="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952EA2" w14:textId="77777777" w:rsidR="009F798F" w:rsidRDefault="009F798F" w:rsidP="009F798F">
      <w:pPr>
        <w:pStyle w:val="NormalWeb"/>
        <w:spacing w:before="0" w:beforeAutospacing="0" w:after="0" w:afterAutospacing="0"/>
        <w:jc w:val="center"/>
      </w:pPr>
      <w:r>
        <w:t xml:space="preserve">Figure 6: Interaction </w:t>
      </w:r>
      <w:r w:rsidRPr="00C96900">
        <w:t xml:space="preserve">plot for the </w:t>
      </w:r>
      <w:r>
        <w:t xml:space="preserve">chloride </w:t>
      </w:r>
      <w:r w:rsidRPr="00C96900">
        <w:t>levels across different doses and leaf extracts.</w:t>
      </w:r>
    </w:p>
    <w:p w14:paraId="232AA817" w14:textId="77777777" w:rsidR="009F798F" w:rsidRPr="00C96900" w:rsidRDefault="009F798F" w:rsidP="009F798F">
      <w:pPr>
        <w:jc w:val="center"/>
      </w:pPr>
      <w:r w:rsidRPr="00BE3A9F">
        <w:rPr>
          <w:i/>
        </w:rPr>
        <w:t>Solanum</w:t>
      </w:r>
      <w:r w:rsidRPr="007E380B">
        <w:t xml:space="preserve"> </w:t>
      </w:r>
      <w:proofErr w:type="spellStart"/>
      <w:r w:rsidRPr="00BE3A9F">
        <w:rPr>
          <w:i/>
        </w:rPr>
        <w:t>aethiopicum</w:t>
      </w:r>
      <w:proofErr w:type="spellEnd"/>
      <w:r w:rsidRPr="007E380B">
        <w:t xml:space="preserve"> </w:t>
      </w:r>
      <w:r>
        <w:t xml:space="preserve">= SA; </w:t>
      </w:r>
      <w:r w:rsidRPr="00BE3A9F">
        <w:rPr>
          <w:i/>
        </w:rPr>
        <w:t>Amaranthus</w:t>
      </w:r>
      <w:r w:rsidRPr="007E380B">
        <w:t xml:space="preserve"> </w:t>
      </w:r>
      <w:r w:rsidRPr="00BE3A9F">
        <w:rPr>
          <w:i/>
        </w:rPr>
        <w:t>hybridus</w:t>
      </w:r>
      <w:r>
        <w:t xml:space="preserve"> = </w:t>
      </w:r>
      <w:r w:rsidRPr="007E380B">
        <w:t>AH</w:t>
      </w:r>
      <w:r>
        <w:t xml:space="preserve">; </w:t>
      </w:r>
      <w:r w:rsidRPr="00BE3A9F">
        <w:rPr>
          <w:i/>
        </w:rPr>
        <w:t>Pterocarpus</w:t>
      </w:r>
      <w:r w:rsidRPr="007E380B">
        <w:t xml:space="preserve"> </w:t>
      </w:r>
      <w:proofErr w:type="spellStart"/>
      <w:r w:rsidRPr="00BE3A9F">
        <w:rPr>
          <w:i/>
        </w:rPr>
        <w:t>mildraedii</w:t>
      </w:r>
      <w:proofErr w:type="spellEnd"/>
      <w:r w:rsidRPr="007E380B">
        <w:t xml:space="preserve"> </w:t>
      </w:r>
      <w:r>
        <w:t xml:space="preserve">= PM; </w:t>
      </w:r>
      <w:proofErr w:type="spellStart"/>
      <w:r w:rsidRPr="00BE3A9F">
        <w:rPr>
          <w:i/>
        </w:rPr>
        <w:t>Ocimum</w:t>
      </w:r>
      <w:proofErr w:type="spellEnd"/>
      <w:r w:rsidRPr="007E380B">
        <w:t xml:space="preserve"> </w:t>
      </w:r>
      <w:proofErr w:type="spellStart"/>
      <w:r w:rsidRPr="00BE3A9F">
        <w:rPr>
          <w:i/>
        </w:rPr>
        <w:t>gratissimum</w:t>
      </w:r>
      <w:proofErr w:type="spellEnd"/>
      <w:r>
        <w:t xml:space="preserve"> = </w:t>
      </w:r>
      <w:r w:rsidRPr="007E380B">
        <w:t>OG</w:t>
      </w:r>
      <w:r>
        <w:t xml:space="preserve">; </w:t>
      </w:r>
      <w:proofErr w:type="spellStart"/>
      <w:r w:rsidRPr="00BE3A9F">
        <w:rPr>
          <w:i/>
        </w:rPr>
        <w:t>Telfaria</w:t>
      </w:r>
      <w:proofErr w:type="spellEnd"/>
      <w:r w:rsidRPr="007E380B">
        <w:t xml:space="preserve"> </w:t>
      </w:r>
      <w:r w:rsidRPr="00BE3A9F">
        <w:rPr>
          <w:i/>
        </w:rPr>
        <w:t>occidentalis</w:t>
      </w:r>
      <w:r w:rsidRPr="007E380B">
        <w:t xml:space="preserve"> (TO)</w:t>
      </w:r>
    </w:p>
    <w:p w14:paraId="367F3D6B" w14:textId="77777777" w:rsidR="009F798F" w:rsidRDefault="009F798F" w:rsidP="009F798F">
      <w:pPr>
        <w:jc w:val="center"/>
      </w:pPr>
    </w:p>
    <w:p w14:paraId="4A63FB27" w14:textId="77777777" w:rsidR="009F798F" w:rsidRPr="00AB776D" w:rsidRDefault="009F798F" w:rsidP="009F798F">
      <w:pPr>
        <w:jc w:val="center"/>
      </w:pPr>
      <w:r>
        <w:t>Table 6</w:t>
      </w:r>
      <w:r w:rsidRPr="00AB776D">
        <w:t>: Summary table of two-way ANOVA on the interaction for the chloride levels across different doses and leaf extracts</w:t>
      </w:r>
    </w:p>
    <w:tbl>
      <w:tblPr>
        <w:tblStyle w:val="TableGrid"/>
        <w:tblW w:w="597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260"/>
        <w:gridCol w:w="1213"/>
        <w:gridCol w:w="1285"/>
      </w:tblGrid>
      <w:tr w:rsidR="009F798F" w:rsidRPr="00AB776D" w14:paraId="6000B22C" w14:textId="77777777" w:rsidTr="00C523B4">
        <w:trPr>
          <w:trHeight w:val="60"/>
          <w:jc w:val="center"/>
        </w:trPr>
        <w:tc>
          <w:tcPr>
            <w:tcW w:w="2220" w:type="dxa"/>
            <w:tcBorders>
              <w:top w:val="single" w:sz="4" w:space="0" w:color="auto"/>
              <w:bottom w:val="single" w:sz="4" w:space="0" w:color="auto"/>
            </w:tcBorders>
            <w:vAlign w:val="center"/>
            <w:hideMark/>
          </w:tcPr>
          <w:p w14:paraId="78A6D35E" w14:textId="77777777" w:rsidR="009F798F" w:rsidRPr="00AB776D" w:rsidRDefault="009F798F" w:rsidP="00C523B4">
            <w:pPr>
              <w:rPr>
                <w:sz w:val="24"/>
                <w:szCs w:val="24"/>
              </w:rPr>
            </w:pPr>
            <w:r w:rsidRPr="00AB776D">
              <w:rPr>
                <w:sz w:val="24"/>
                <w:szCs w:val="24"/>
              </w:rPr>
              <w:t>Source</w:t>
            </w:r>
          </w:p>
        </w:tc>
        <w:tc>
          <w:tcPr>
            <w:tcW w:w="1260" w:type="dxa"/>
            <w:tcBorders>
              <w:top w:val="single" w:sz="4" w:space="0" w:color="auto"/>
              <w:bottom w:val="single" w:sz="4" w:space="0" w:color="auto"/>
            </w:tcBorders>
            <w:vAlign w:val="center"/>
            <w:hideMark/>
          </w:tcPr>
          <w:p w14:paraId="3307B2F0" w14:textId="77777777" w:rsidR="009F798F" w:rsidRPr="00AB776D" w:rsidRDefault="009F798F" w:rsidP="00C523B4">
            <w:pPr>
              <w:jc w:val="center"/>
              <w:rPr>
                <w:sz w:val="24"/>
                <w:szCs w:val="24"/>
              </w:rPr>
            </w:pPr>
            <w:r w:rsidRPr="00AB776D">
              <w:rPr>
                <w:sz w:val="24"/>
                <w:szCs w:val="24"/>
              </w:rPr>
              <w:t>F - Value</w:t>
            </w:r>
          </w:p>
        </w:tc>
        <w:tc>
          <w:tcPr>
            <w:tcW w:w="1213" w:type="dxa"/>
            <w:tcBorders>
              <w:top w:val="single" w:sz="4" w:space="0" w:color="auto"/>
              <w:bottom w:val="single" w:sz="4" w:space="0" w:color="auto"/>
            </w:tcBorders>
            <w:vAlign w:val="center"/>
            <w:hideMark/>
          </w:tcPr>
          <w:p w14:paraId="49686958" w14:textId="77777777" w:rsidR="009F798F" w:rsidRPr="00AB776D" w:rsidRDefault="009F798F" w:rsidP="00C523B4">
            <w:pPr>
              <w:jc w:val="center"/>
              <w:rPr>
                <w:sz w:val="24"/>
                <w:szCs w:val="24"/>
              </w:rPr>
            </w:pPr>
            <w:r w:rsidRPr="00AB776D">
              <w:rPr>
                <w:sz w:val="24"/>
                <w:szCs w:val="24"/>
              </w:rPr>
              <w:t>P - Value</w:t>
            </w:r>
          </w:p>
        </w:tc>
        <w:tc>
          <w:tcPr>
            <w:tcW w:w="1285" w:type="dxa"/>
            <w:tcBorders>
              <w:top w:val="single" w:sz="4" w:space="0" w:color="auto"/>
              <w:bottom w:val="single" w:sz="4" w:space="0" w:color="auto"/>
            </w:tcBorders>
            <w:hideMark/>
          </w:tcPr>
          <w:p w14:paraId="459E2BBC" w14:textId="77777777" w:rsidR="009F798F" w:rsidRPr="00AB776D" w:rsidRDefault="009F798F" w:rsidP="00C523B4">
            <w:pPr>
              <w:jc w:val="center"/>
              <w:rPr>
                <w:sz w:val="24"/>
                <w:szCs w:val="24"/>
              </w:rPr>
            </w:pPr>
            <w:r w:rsidRPr="00AB776D">
              <w:rPr>
                <w:sz w:val="24"/>
                <w:szCs w:val="24"/>
              </w:rPr>
              <w:t>Partial Eta Squared</w:t>
            </w:r>
          </w:p>
        </w:tc>
      </w:tr>
      <w:tr w:rsidR="009F798F" w:rsidRPr="00AB776D" w14:paraId="0D860422" w14:textId="77777777" w:rsidTr="00C523B4">
        <w:trPr>
          <w:trHeight w:val="50"/>
          <w:jc w:val="center"/>
        </w:trPr>
        <w:tc>
          <w:tcPr>
            <w:tcW w:w="2220" w:type="dxa"/>
            <w:tcBorders>
              <w:top w:val="single" w:sz="4" w:space="0" w:color="auto"/>
            </w:tcBorders>
            <w:hideMark/>
          </w:tcPr>
          <w:p w14:paraId="15C02AE3" w14:textId="77777777" w:rsidR="009F798F" w:rsidRPr="00AB776D" w:rsidRDefault="009F798F" w:rsidP="00C523B4">
            <w:pPr>
              <w:rPr>
                <w:sz w:val="24"/>
                <w:szCs w:val="24"/>
              </w:rPr>
            </w:pPr>
            <w:r w:rsidRPr="00AB776D">
              <w:rPr>
                <w:sz w:val="24"/>
                <w:szCs w:val="24"/>
              </w:rPr>
              <w:t>Dose</w:t>
            </w:r>
          </w:p>
        </w:tc>
        <w:tc>
          <w:tcPr>
            <w:tcW w:w="1260" w:type="dxa"/>
            <w:tcBorders>
              <w:top w:val="single" w:sz="4" w:space="0" w:color="auto"/>
            </w:tcBorders>
            <w:noWrap/>
            <w:hideMark/>
          </w:tcPr>
          <w:p w14:paraId="083A0555" w14:textId="77777777" w:rsidR="009F798F" w:rsidRPr="00AB776D" w:rsidRDefault="009F798F" w:rsidP="00C523B4">
            <w:pPr>
              <w:jc w:val="center"/>
              <w:rPr>
                <w:sz w:val="24"/>
                <w:szCs w:val="24"/>
              </w:rPr>
            </w:pPr>
            <w:r w:rsidRPr="00AB776D">
              <w:rPr>
                <w:sz w:val="24"/>
                <w:szCs w:val="24"/>
              </w:rPr>
              <w:t>2.134</w:t>
            </w:r>
          </w:p>
        </w:tc>
        <w:tc>
          <w:tcPr>
            <w:tcW w:w="1213" w:type="dxa"/>
            <w:tcBorders>
              <w:top w:val="single" w:sz="4" w:space="0" w:color="auto"/>
            </w:tcBorders>
            <w:noWrap/>
            <w:hideMark/>
          </w:tcPr>
          <w:p w14:paraId="34EB5091" w14:textId="77777777" w:rsidR="009F798F" w:rsidRPr="00AB776D" w:rsidRDefault="009F798F" w:rsidP="00C523B4">
            <w:pPr>
              <w:jc w:val="center"/>
              <w:rPr>
                <w:sz w:val="24"/>
                <w:szCs w:val="24"/>
              </w:rPr>
            </w:pPr>
            <w:r w:rsidRPr="00AB776D">
              <w:rPr>
                <w:sz w:val="24"/>
                <w:szCs w:val="24"/>
              </w:rPr>
              <w:t>0.128</w:t>
            </w:r>
          </w:p>
        </w:tc>
        <w:tc>
          <w:tcPr>
            <w:tcW w:w="1285" w:type="dxa"/>
            <w:tcBorders>
              <w:top w:val="single" w:sz="4" w:space="0" w:color="auto"/>
            </w:tcBorders>
            <w:noWrap/>
            <w:hideMark/>
          </w:tcPr>
          <w:p w14:paraId="427E977A" w14:textId="77777777" w:rsidR="009F798F" w:rsidRPr="00AB776D" w:rsidRDefault="009F798F" w:rsidP="00C523B4">
            <w:pPr>
              <w:jc w:val="center"/>
              <w:rPr>
                <w:sz w:val="24"/>
                <w:szCs w:val="24"/>
              </w:rPr>
            </w:pPr>
            <w:r w:rsidRPr="00AB776D">
              <w:rPr>
                <w:sz w:val="24"/>
                <w:szCs w:val="24"/>
              </w:rPr>
              <w:t>0.243</w:t>
            </w:r>
          </w:p>
        </w:tc>
      </w:tr>
      <w:tr w:rsidR="009F798F" w:rsidRPr="00AB776D" w14:paraId="1055BE44" w14:textId="77777777" w:rsidTr="00C523B4">
        <w:trPr>
          <w:trHeight w:val="50"/>
          <w:jc w:val="center"/>
        </w:trPr>
        <w:tc>
          <w:tcPr>
            <w:tcW w:w="2220" w:type="dxa"/>
            <w:hideMark/>
          </w:tcPr>
          <w:p w14:paraId="69593389" w14:textId="77777777" w:rsidR="009F798F" w:rsidRPr="00AB776D" w:rsidRDefault="009F798F" w:rsidP="00C523B4">
            <w:pPr>
              <w:rPr>
                <w:sz w:val="24"/>
                <w:szCs w:val="24"/>
              </w:rPr>
            </w:pPr>
            <w:r w:rsidRPr="00AB776D">
              <w:rPr>
                <w:sz w:val="24"/>
                <w:szCs w:val="24"/>
              </w:rPr>
              <w:t>Vegetable</w:t>
            </w:r>
          </w:p>
        </w:tc>
        <w:tc>
          <w:tcPr>
            <w:tcW w:w="1260" w:type="dxa"/>
            <w:noWrap/>
            <w:hideMark/>
          </w:tcPr>
          <w:p w14:paraId="1E1B0EE6" w14:textId="77777777" w:rsidR="009F798F" w:rsidRPr="00AB776D" w:rsidRDefault="009F798F" w:rsidP="00C523B4">
            <w:pPr>
              <w:jc w:val="center"/>
              <w:rPr>
                <w:sz w:val="24"/>
                <w:szCs w:val="24"/>
              </w:rPr>
            </w:pPr>
            <w:r w:rsidRPr="00AB776D">
              <w:rPr>
                <w:sz w:val="24"/>
                <w:szCs w:val="24"/>
              </w:rPr>
              <w:t>3.074</w:t>
            </w:r>
          </w:p>
        </w:tc>
        <w:tc>
          <w:tcPr>
            <w:tcW w:w="1213" w:type="dxa"/>
            <w:noWrap/>
            <w:hideMark/>
          </w:tcPr>
          <w:p w14:paraId="0F175843" w14:textId="77777777" w:rsidR="009F798F" w:rsidRPr="00AB776D" w:rsidRDefault="009F798F" w:rsidP="00C523B4">
            <w:pPr>
              <w:jc w:val="center"/>
              <w:rPr>
                <w:sz w:val="24"/>
                <w:szCs w:val="24"/>
              </w:rPr>
            </w:pPr>
            <w:r w:rsidRPr="00AB776D">
              <w:rPr>
                <w:sz w:val="24"/>
                <w:szCs w:val="24"/>
              </w:rPr>
              <w:t>0.040</w:t>
            </w:r>
          </w:p>
        </w:tc>
        <w:tc>
          <w:tcPr>
            <w:tcW w:w="1285" w:type="dxa"/>
            <w:noWrap/>
            <w:hideMark/>
          </w:tcPr>
          <w:p w14:paraId="0DA1B97E" w14:textId="77777777" w:rsidR="009F798F" w:rsidRPr="00AB776D" w:rsidRDefault="009F798F" w:rsidP="00C523B4">
            <w:pPr>
              <w:jc w:val="center"/>
              <w:rPr>
                <w:sz w:val="24"/>
                <w:szCs w:val="24"/>
              </w:rPr>
            </w:pPr>
            <w:r w:rsidRPr="00AB776D">
              <w:rPr>
                <w:sz w:val="24"/>
                <w:szCs w:val="24"/>
              </w:rPr>
              <w:t>0.381</w:t>
            </w:r>
          </w:p>
        </w:tc>
      </w:tr>
      <w:tr w:rsidR="009F798F" w:rsidRPr="00AB776D" w14:paraId="74E56139" w14:textId="77777777" w:rsidTr="00C523B4">
        <w:trPr>
          <w:trHeight w:val="50"/>
          <w:jc w:val="center"/>
        </w:trPr>
        <w:tc>
          <w:tcPr>
            <w:tcW w:w="2220" w:type="dxa"/>
            <w:hideMark/>
          </w:tcPr>
          <w:p w14:paraId="4470DF9D" w14:textId="77777777" w:rsidR="009F798F" w:rsidRPr="00AB776D" w:rsidRDefault="009F798F" w:rsidP="00C523B4">
            <w:pPr>
              <w:rPr>
                <w:sz w:val="24"/>
                <w:szCs w:val="24"/>
              </w:rPr>
            </w:pPr>
            <w:r w:rsidRPr="00AB776D">
              <w:rPr>
                <w:sz w:val="24"/>
                <w:szCs w:val="24"/>
              </w:rPr>
              <w:t>Dose * Vegetable</w:t>
            </w:r>
          </w:p>
        </w:tc>
        <w:tc>
          <w:tcPr>
            <w:tcW w:w="1260" w:type="dxa"/>
            <w:noWrap/>
            <w:hideMark/>
          </w:tcPr>
          <w:p w14:paraId="393F6A9E" w14:textId="77777777" w:rsidR="009F798F" w:rsidRPr="00AB776D" w:rsidRDefault="009F798F" w:rsidP="00C523B4">
            <w:pPr>
              <w:jc w:val="center"/>
              <w:rPr>
                <w:sz w:val="24"/>
                <w:szCs w:val="24"/>
              </w:rPr>
            </w:pPr>
            <w:r w:rsidRPr="00AB776D">
              <w:rPr>
                <w:sz w:val="24"/>
                <w:szCs w:val="24"/>
              </w:rPr>
              <w:t>1.816</w:t>
            </w:r>
          </w:p>
        </w:tc>
        <w:tc>
          <w:tcPr>
            <w:tcW w:w="1213" w:type="dxa"/>
            <w:noWrap/>
            <w:hideMark/>
          </w:tcPr>
          <w:p w14:paraId="50EA0E68" w14:textId="77777777" w:rsidR="009F798F" w:rsidRPr="00AB776D" w:rsidRDefault="009F798F" w:rsidP="00C523B4">
            <w:pPr>
              <w:jc w:val="center"/>
              <w:rPr>
                <w:sz w:val="24"/>
                <w:szCs w:val="24"/>
              </w:rPr>
            </w:pPr>
            <w:r w:rsidRPr="00AB776D">
              <w:rPr>
                <w:sz w:val="24"/>
                <w:szCs w:val="24"/>
              </w:rPr>
              <w:t>0.115</w:t>
            </w:r>
          </w:p>
        </w:tc>
        <w:tc>
          <w:tcPr>
            <w:tcW w:w="1285" w:type="dxa"/>
            <w:noWrap/>
            <w:hideMark/>
          </w:tcPr>
          <w:p w14:paraId="3E3791E9" w14:textId="77777777" w:rsidR="009F798F" w:rsidRPr="00AB776D" w:rsidRDefault="009F798F" w:rsidP="00C523B4">
            <w:pPr>
              <w:jc w:val="center"/>
              <w:rPr>
                <w:sz w:val="24"/>
                <w:szCs w:val="24"/>
              </w:rPr>
            </w:pPr>
            <w:r w:rsidRPr="00AB776D">
              <w:rPr>
                <w:sz w:val="24"/>
                <w:szCs w:val="24"/>
              </w:rPr>
              <w:t>0.521</w:t>
            </w:r>
          </w:p>
        </w:tc>
      </w:tr>
    </w:tbl>
    <w:p w14:paraId="1ECFAFC9" w14:textId="77777777" w:rsidR="009F798F" w:rsidRDefault="009F798F" w:rsidP="009F798F"/>
    <w:p w14:paraId="20977109" w14:textId="77777777" w:rsidR="009F798F" w:rsidRPr="009F798F" w:rsidRDefault="009F798F" w:rsidP="009F798F">
      <w:pPr>
        <w:pStyle w:val="Heading3"/>
        <w:spacing w:before="0" w:beforeAutospacing="0" w:after="0" w:afterAutospacing="0" w:line="360" w:lineRule="auto"/>
        <w:rPr>
          <w:sz w:val="24"/>
          <w:szCs w:val="24"/>
        </w:rPr>
      </w:pPr>
      <w:r w:rsidRPr="009F798F">
        <w:rPr>
          <w:rStyle w:val="Strong"/>
          <w:rFonts w:eastAsia="Calibri"/>
          <w:b/>
          <w:bCs/>
          <w:sz w:val="24"/>
          <w:szCs w:val="24"/>
        </w:rPr>
        <w:t>4.0</w:t>
      </w:r>
      <w:r w:rsidRPr="009F798F">
        <w:rPr>
          <w:rStyle w:val="Strong"/>
          <w:rFonts w:eastAsia="Calibri"/>
          <w:b/>
          <w:bCs/>
          <w:sz w:val="24"/>
          <w:szCs w:val="24"/>
        </w:rPr>
        <w:tab/>
        <w:t>Conclusion</w:t>
      </w:r>
    </w:p>
    <w:p w14:paraId="6CD836E4" w14:textId="77777777" w:rsidR="009F798F" w:rsidRDefault="009F798F" w:rsidP="009F798F">
      <w:pPr>
        <w:pStyle w:val="NormalWeb"/>
        <w:spacing w:before="0" w:beforeAutospacing="0" w:after="0" w:afterAutospacing="0" w:line="360" w:lineRule="auto"/>
        <w:ind w:firstLine="720"/>
        <w:jc w:val="both"/>
      </w:pPr>
      <w:r>
        <w:t xml:space="preserve">This study investigated the effects of aqueous leaf extracts of </w:t>
      </w:r>
      <w:r>
        <w:rPr>
          <w:rStyle w:val="Emphasis"/>
        </w:rPr>
        <w:t xml:space="preserve">Solanum </w:t>
      </w:r>
      <w:proofErr w:type="spellStart"/>
      <w:r>
        <w:rPr>
          <w:rStyle w:val="Emphasis"/>
        </w:rPr>
        <w:t>aethiopicum</w:t>
      </w:r>
      <w:proofErr w:type="spellEnd"/>
      <w:r>
        <w:t xml:space="preserve">, </w:t>
      </w:r>
      <w:r>
        <w:rPr>
          <w:rStyle w:val="Emphasis"/>
        </w:rPr>
        <w:t xml:space="preserve">Amaranthus </w:t>
      </w:r>
      <w:proofErr w:type="spellStart"/>
      <w:r>
        <w:rPr>
          <w:rStyle w:val="Emphasis"/>
        </w:rPr>
        <w:t>hybridus</w:t>
      </w:r>
      <w:proofErr w:type="spellEnd"/>
      <w:r>
        <w:t xml:space="preserve">, </w:t>
      </w:r>
      <w:r>
        <w:rPr>
          <w:rStyle w:val="Emphasis"/>
        </w:rPr>
        <w:t xml:space="preserve">Pterocarpus </w:t>
      </w:r>
      <w:proofErr w:type="spellStart"/>
      <w:r>
        <w:rPr>
          <w:rStyle w:val="Emphasis"/>
        </w:rPr>
        <w:t>mildbraedii</w:t>
      </w:r>
      <w:proofErr w:type="spellEnd"/>
      <w:r>
        <w:t xml:space="preserve">, </w:t>
      </w:r>
      <w:proofErr w:type="spellStart"/>
      <w:r>
        <w:rPr>
          <w:rStyle w:val="Emphasis"/>
        </w:rPr>
        <w:t>Ocimum</w:t>
      </w:r>
      <w:proofErr w:type="spellEnd"/>
      <w:r>
        <w:rPr>
          <w:rStyle w:val="Emphasis"/>
        </w:rPr>
        <w:t xml:space="preserve"> </w:t>
      </w:r>
      <w:proofErr w:type="spellStart"/>
      <w:r>
        <w:rPr>
          <w:rStyle w:val="Emphasis"/>
        </w:rPr>
        <w:t>gratissimum</w:t>
      </w:r>
      <w:proofErr w:type="spellEnd"/>
      <w:r>
        <w:t xml:space="preserve">, and </w:t>
      </w:r>
      <w:proofErr w:type="spellStart"/>
      <w:r>
        <w:rPr>
          <w:rStyle w:val="Emphasis"/>
        </w:rPr>
        <w:t>Telfairia</w:t>
      </w:r>
      <w:proofErr w:type="spellEnd"/>
      <w:r>
        <w:rPr>
          <w:rStyle w:val="Emphasis"/>
        </w:rPr>
        <w:t xml:space="preserve"> </w:t>
      </w:r>
      <w:proofErr w:type="spellStart"/>
      <w:r>
        <w:rPr>
          <w:rStyle w:val="Emphasis"/>
        </w:rPr>
        <w:t>occidentalis</w:t>
      </w:r>
      <w:proofErr w:type="spellEnd"/>
      <w:r>
        <w:t xml:space="preserve"> on serum electrolyte balance in male Wistar rats. The findings revealed that electrolyte modulation was more strongly influenced by the type of vegetable extract than by dose alone. Among the extracts, </w:t>
      </w:r>
      <w:proofErr w:type="spellStart"/>
      <w:r>
        <w:rPr>
          <w:rStyle w:val="Emphasis"/>
        </w:rPr>
        <w:t>Ocimum</w:t>
      </w:r>
      <w:proofErr w:type="spellEnd"/>
      <w:r>
        <w:rPr>
          <w:rStyle w:val="Emphasis"/>
        </w:rPr>
        <w:t xml:space="preserve"> </w:t>
      </w:r>
      <w:proofErr w:type="spellStart"/>
      <w:r>
        <w:rPr>
          <w:rStyle w:val="Emphasis"/>
        </w:rPr>
        <w:t>gratissimum</w:t>
      </w:r>
      <w:proofErr w:type="spellEnd"/>
      <w:r>
        <w:t xml:space="preserve"> produced the most pronounced reductions in both chloride and potassium, whereas </w:t>
      </w:r>
      <w:r>
        <w:rPr>
          <w:rStyle w:val="Emphasis"/>
        </w:rPr>
        <w:t xml:space="preserve">Solanum </w:t>
      </w:r>
      <w:proofErr w:type="spellStart"/>
      <w:r>
        <w:rPr>
          <w:rStyle w:val="Emphasis"/>
        </w:rPr>
        <w:t>aethiopicum</w:t>
      </w:r>
      <w:proofErr w:type="spellEnd"/>
      <w:r>
        <w:t xml:space="preserve"> slightly elevated potassium levels. In contrast, </w:t>
      </w:r>
      <w:r>
        <w:rPr>
          <w:rStyle w:val="Emphasis"/>
        </w:rPr>
        <w:t xml:space="preserve">Amaranthus </w:t>
      </w:r>
      <w:proofErr w:type="spellStart"/>
      <w:r>
        <w:rPr>
          <w:rStyle w:val="Emphasis"/>
        </w:rPr>
        <w:t>hybridus</w:t>
      </w:r>
      <w:proofErr w:type="spellEnd"/>
      <w:r>
        <w:t xml:space="preserve">, </w:t>
      </w:r>
      <w:r>
        <w:rPr>
          <w:rStyle w:val="Emphasis"/>
        </w:rPr>
        <w:t xml:space="preserve">Pterocarpus </w:t>
      </w:r>
      <w:proofErr w:type="spellStart"/>
      <w:r>
        <w:rPr>
          <w:rStyle w:val="Emphasis"/>
        </w:rPr>
        <w:t>mildbraedii</w:t>
      </w:r>
      <w:proofErr w:type="spellEnd"/>
      <w:r>
        <w:t xml:space="preserve">, and </w:t>
      </w:r>
      <w:proofErr w:type="spellStart"/>
      <w:r>
        <w:rPr>
          <w:rStyle w:val="Emphasis"/>
        </w:rPr>
        <w:t>Telfairia</w:t>
      </w:r>
      <w:proofErr w:type="spellEnd"/>
      <w:r>
        <w:rPr>
          <w:rStyle w:val="Emphasis"/>
        </w:rPr>
        <w:t xml:space="preserve"> </w:t>
      </w:r>
      <w:proofErr w:type="spellStart"/>
      <w:r>
        <w:rPr>
          <w:rStyle w:val="Emphasis"/>
        </w:rPr>
        <w:t>occidentalis</w:t>
      </w:r>
      <w:proofErr w:type="spellEnd"/>
      <w:r>
        <w:t xml:space="preserve"> induced moderate decreases in potassium alongside minor reductions in chloride. Statistical analysis confirmed that vegetable type had a significant effect on electrolyte regulation, while dose alone did not. However, the significant dose–vegetable interaction observed for potassium indicates that the extent of modulation was dependent on both the identity of the extract and its concentration.</w:t>
      </w:r>
    </w:p>
    <w:p w14:paraId="3DBEB3C0" w14:textId="77777777" w:rsidR="009F798F" w:rsidRDefault="009F798F" w:rsidP="009F798F">
      <w:pPr>
        <w:pStyle w:val="NormalWeb"/>
        <w:spacing w:before="0" w:beforeAutospacing="0" w:after="0" w:afterAutospacing="0" w:line="360" w:lineRule="auto"/>
        <w:ind w:firstLine="720"/>
        <w:jc w:val="both"/>
      </w:pPr>
      <w:r>
        <w:t xml:space="preserve">Overall, the results suggest that while the selected leafy vegetables exert only modest influence on serum chloride, their impact on potassium is more pronounced and extract-specific, with </w:t>
      </w:r>
      <w:proofErr w:type="spellStart"/>
      <w:r>
        <w:rPr>
          <w:rStyle w:val="Emphasis"/>
        </w:rPr>
        <w:t>Ocimum</w:t>
      </w:r>
      <w:proofErr w:type="spellEnd"/>
      <w:r>
        <w:rPr>
          <w:rStyle w:val="Emphasis"/>
        </w:rPr>
        <w:t xml:space="preserve"> </w:t>
      </w:r>
      <w:proofErr w:type="spellStart"/>
      <w:r>
        <w:rPr>
          <w:rStyle w:val="Emphasis"/>
        </w:rPr>
        <w:t>gratissimum</w:t>
      </w:r>
      <w:proofErr w:type="spellEnd"/>
      <w:r>
        <w:t xml:space="preserve"> exhibiting the greatest </w:t>
      </w:r>
      <w:proofErr w:type="spellStart"/>
      <w:r>
        <w:t>hypokalaemic</w:t>
      </w:r>
      <w:proofErr w:type="spellEnd"/>
      <w:r>
        <w:t xml:space="preserve"> potential. These findings highlight the </w:t>
      </w:r>
      <w:r>
        <w:lastRenderedPageBreak/>
        <w:t>importance of dietary consideration of certain vegetables in maintaining electrolyte homeostasis and point to possible implications for individuals predisposed to electrolyte imbalance. Further studies involving longer exposure periods and broader biochemical markers are recommended to clarify the physiological and clinical significance of these observations.</w:t>
      </w:r>
    </w:p>
    <w:p w14:paraId="060CC6B3" w14:textId="77777777" w:rsidR="00D86914" w:rsidRDefault="00D86914" w:rsidP="009F798F">
      <w:pPr>
        <w:pStyle w:val="NormalWeb"/>
        <w:spacing w:before="0" w:beforeAutospacing="0" w:after="0" w:afterAutospacing="0" w:line="360" w:lineRule="auto"/>
        <w:ind w:firstLine="720"/>
        <w:jc w:val="both"/>
      </w:pPr>
    </w:p>
    <w:p w14:paraId="2727174D" w14:textId="77777777" w:rsidR="00D86914" w:rsidRPr="00D86914" w:rsidRDefault="00D86914" w:rsidP="00D86914">
      <w:pPr>
        <w:spacing w:after="200" w:line="276" w:lineRule="auto"/>
        <w:jc w:val="both"/>
        <w:outlineLvl w:val="0"/>
        <w:rPr>
          <w:rFonts w:ascii="Arial" w:hAnsi="Arial" w:cs="Arial"/>
          <w:sz w:val="22"/>
          <w:szCs w:val="22"/>
        </w:rPr>
      </w:pPr>
      <w:r w:rsidRPr="00D86914">
        <w:rPr>
          <w:rFonts w:ascii="Arial" w:hAnsi="Arial" w:cs="Arial"/>
          <w:b/>
          <w:bCs/>
          <w:sz w:val="22"/>
          <w:szCs w:val="22"/>
        </w:rPr>
        <w:t>COMPETING INTERESTS DISCLAIMER:</w:t>
      </w:r>
    </w:p>
    <w:p w14:paraId="21B5AB8F" w14:textId="77777777" w:rsidR="00D86914" w:rsidRPr="00D86914" w:rsidRDefault="00D86914" w:rsidP="00D86914">
      <w:pPr>
        <w:spacing w:after="200" w:line="276" w:lineRule="auto"/>
        <w:rPr>
          <w:rFonts w:ascii="Calibri" w:hAnsi="Calibri"/>
          <w:sz w:val="22"/>
          <w:szCs w:val="22"/>
        </w:rPr>
      </w:pPr>
      <w:r w:rsidRPr="00D86914">
        <w:rPr>
          <w:rFonts w:ascii="Calibri" w:hAnsi="Calibri"/>
          <w:sz w:val="22"/>
          <w:szCs w:val="22"/>
        </w:rPr>
        <w:t>Authors have declared that they have no known competing financial interests OR non-financial interests OR personal relationships that could have appeared to influence the work reported in this paper.</w:t>
      </w:r>
    </w:p>
    <w:p w14:paraId="51834478" w14:textId="77777777" w:rsidR="00D86914" w:rsidRPr="00D86914" w:rsidRDefault="00D86914" w:rsidP="00D86914">
      <w:pPr>
        <w:spacing w:after="200" w:line="276" w:lineRule="auto"/>
        <w:rPr>
          <w:rFonts w:ascii="Calibri" w:hAnsi="Calibri"/>
          <w:sz w:val="22"/>
          <w:szCs w:val="22"/>
        </w:rPr>
      </w:pPr>
    </w:p>
    <w:p w14:paraId="3FA09E82" w14:textId="77777777" w:rsidR="00D86914" w:rsidRDefault="00D86914" w:rsidP="009F798F">
      <w:pPr>
        <w:pStyle w:val="NormalWeb"/>
        <w:spacing w:before="0" w:beforeAutospacing="0" w:after="0" w:afterAutospacing="0" w:line="360" w:lineRule="auto"/>
        <w:ind w:firstLine="720"/>
        <w:jc w:val="both"/>
      </w:pPr>
    </w:p>
    <w:p w14:paraId="5802AE61" w14:textId="77777777" w:rsidR="009F798F" w:rsidRPr="00F635BA" w:rsidRDefault="009F798F" w:rsidP="009F798F">
      <w:pPr>
        <w:spacing w:line="360" w:lineRule="auto"/>
        <w:jc w:val="both"/>
      </w:pPr>
    </w:p>
    <w:p w14:paraId="79E8B313" w14:textId="77777777" w:rsidR="009F798F" w:rsidRDefault="009F798F" w:rsidP="006769E7">
      <w:pPr>
        <w:pStyle w:val="NormalWeb"/>
      </w:pPr>
      <w:r w:rsidRPr="009F798F">
        <w:rPr>
          <w:b/>
        </w:rPr>
        <w:t>REFERENCES</w:t>
      </w:r>
    </w:p>
    <w:p w14:paraId="6F2AD90F" w14:textId="77777777" w:rsidR="009F798F" w:rsidRDefault="009F798F" w:rsidP="009F798F">
      <w:pPr>
        <w:pStyle w:val="NormalWeb"/>
        <w:ind w:left="567" w:hanging="567"/>
        <w:jc w:val="both"/>
      </w:pPr>
      <w:proofErr w:type="spellStart"/>
      <w:r>
        <w:t>Adedosu</w:t>
      </w:r>
      <w:proofErr w:type="spellEnd"/>
      <w:r>
        <w:t xml:space="preserve">, O. T., Akanji, M. A., Olaleye, T. M., &amp; Owolabi, F. O. (2020). Protective effect of </w:t>
      </w:r>
      <w:proofErr w:type="spellStart"/>
      <w:r>
        <w:rPr>
          <w:rStyle w:val="Emphasis"/>
          <w:rFonts w:eastAsia="Calibri"/>
        </w:rPr>
        <w:t>Ocimum</w:t>
      </w:r>
      <w:proofErr w:type="spellEnd"/>
      <w:r>
        <w:rPr>
          <w:rStyle w:val="Emphasis"/>
          <w:rFonts w:eastAsia="Calibri"/>
        </w:rPr>
        <w:t xml:space="preserve"> </w:t>
      </w:r>
      <w:proofErr w:type="spellStart"/>
      <w:r>
        <w:rPr>
          <w:rStyle w:val="Emphasis"/>
          <w:rFonts w:eastAsia="Calibri"/>
        </w:rPr>
        <w:t>gratissimum</w:t>
      </w:r>
      <w:proofErr w:type="spellEnd"/>
      <w:r>
        <w:t xml:space="preserve"> leaf extract against electrolyte imbalance and oxidative stress in rats. </w:t>
      </w:r>
      <w:r>
        <w:rPr>
          <w:rStyle w:val="Emphasis"/>
          <w:rFonts w:eastAsia="Calibri"/>
        </w:rPr>
        <w:t>Journal of Applied Pharmaceutical Science, 10</w:t>
      </w:r>
      <w:r>
        <w:t xml:space="preserve">(6), 120–126. </w:t>
      </w:r>
      <w:hyperlink r:id="rId13" w:history="1">
        <w:r>
          <w:rPr>
            <w:rStyle w:val="Hyperlink"/>
          </w:rPr>
          <w:t>https://doi.org/10.7324/JAPS.2020.10617</w:t>
        </w:r>
      </w:hyperlink>
    </w:p>
    <w:p w14:paraId="59D609B6" w14:textId="77777777" w:rsidR="009F798F" w:rsidRDefault="009F798F" w:rsidP="009F798F">
      <w:pPr>
        <w:pStyle w:val="NormalWeb"/>
        <w:ind w:left="567" w:hanging="567"/>
        <w:jc w:val="both"/>
      </w:pPr>
      <w:proofErr w:type="spellStart"/>
      <w:r>
        <w:t>Airaodion</w:t>
      </w:r>
      <w:proofErr w:type="spellEnd"/>
      <w:r>
        <w:t xml:space="preserve">, A. I., </w:t>
      </w:r>
      <w:proofErr w:type="spellStart"/>
      <w:r>
        <w:t>Ogbuagu</w:t>
      </w:r>
      <w:proofErr w:type="spellEnd"/>
      <w:r>
        <w:t xml:space="preserve">, U., </w:t>
      </w:r>
      <w:proofErr w:type="spellStart"/>
      <w:r>
        <w:t>Ogbuagu</w:t>
      </w:r>
      <w:proofErr w:type="spellEnd"/>
      <w:r>
        <w:t xml:space="preserve">, E. O., &amp; Adeniji, A. R. (2019). Influence of </w:t>
      </w:r>
      <w:proofErr w:type="spellStart"/>
      <w:r>
        <w:rPr>
          <w:rStyle w:val="Emphasis"/>
          <w:rFonts w:eastAsia="Calibri"/>
        </w:rPr>
        <w:t>Telfairia</w:t>
      </w:r>
      <w:proofErr w:type="spellEnd"/>
      <w:r>
        <w:rPr>
          <w:rStyle w:val="Emphasis"/>
          <w:rFonts w:eastAsia="Calibri"/>
        </w:rPr>
        <w:t xml:space="preserve"> </w:t>
      </w:r>
      <w:proofErr w:type="spellStart"/>
      <w:r>
        <w:rPr>
          <w:rStyle w:val="Emphasis"/>
          <w:rFonts w:eastAsia="Calibri"/>
        </w:rPr>
        <w:t>occidentalis</w:t>
      </w:r>
      <w:proofErr w:type="spellEnd"/>
      <w:r>
        <w:t xml:space="preserve"> leaves on renal function indices in albino rats. </w:t>
      </w:r>
      <w:r>
        <w:rPr>
          <w:rStyle w:val="Emphasis"/>
          <w:rFonts w:eastAsia="Calibri"/>
        </w:rPr>
        <w:t>Asian Journal of Research in Biochemistry, 4</w:t>
      </w:r>
      <w:r>
        <w:t xml:space="preserve">(3), 1–8. </w:t>
      </w:r>
      <w:hyperlink r:id="rId14" w:history="1">
        <w:r>
          <w:rPr>
            <w:rStyle w:val="Hyperlink"/>
          </w:rPr>
          <w:t>https://doi.org/10.9734/ajrb/2019/v4i330079</w:t>
        </w:r>
      </w:hyperlink>
    </w:p>
    <w:p w14:paraId="033F6F4D" w14:textId="77777777" w:rsidR="009F798F" w:rsidRDefault="009F798F" w:rsidP="009F798F">
      <w:pPr>
        <w:pStyle w:val="NormalWeb"/>
        <w:ind w:left="567" w:hanging="567"/>
        <w:jc w:val="both"/>
      </w:pPr>
      <w:r>
        <w:t xml:space="preserve">Ajayi, I. A., Ajibade, O., &amp; </w:t>
      </w:r>
      <w:proofErr w:type="spellStart"/>
      <w:r>
        <w:t>Oderinde</w:t>
      </w:r>
      <w:proofErr w:type="spellEnd"/>
      <w:r>
        <w:t xml:space="preserve">, R. A. (2014). Preliminary phytochemical analysis of some plant seeds. </w:t>
      </w:r>
      <w:r>
        <w:rPr>
          <w:rStyle w:val="Emphasis"/>
        </w:rPr>
        <w:t>Research Journal of Chemical Sciences, 4</w:t>
      </w:r>
      <w:r>
        <w:t>(1), 58–62.</w:t>
      </w:r>
    </w:p>
    <w:p w14:paraId="339D8AD4" w14:textId="77777777" w:rsidR="009F798F" w:rsidRDefault="009F798F" w:rsidP="009F798F">
      <w:pPr>
        <w:pStyle w:val="NormalWeb"/>
        <w:ind w:left="567" w:hanging="567"/>
        <w:jc w:val="both"/>
      </w:pPr>
      <w:proofErr w:type="spellStart"/>
      <w:r>
        <w:t>Akinmoladun</w:t>
      </w:r>
      <w:proofErr w:type="spellEnd"/>
      <w:r>
        <w:t xml:space="preserve">, F. O., Komolafe, T. R., </w:t>
      </w:r>
      <w:proofErr w:type="spellStart"/>
      <w:r>
        <w:t>Farombi</w:t>
      </w:r>
      <w:proofErr w:type="spellEnd"/>
      <w:r>
        <w:t xml:space="preserve">, E. O., &amp; </w:t>
      </w:r>
      <w:proofErr w:type="spellStart"/>
      <w:r>
        <w:t>Oyedapo</w:t>
      </w:r>
      <w:proofErr w:type="spellEnd"/>
      <w:r>
        <w:t xml:space="preserve">, O. O. (2020). Medicinal plants and natural products with therapeutic potential for the management of kidney diseases. </w:t>
      </w:r>
      <w:r>
        <w:rPr>
          <w:rStyle w:val="Emphasis"/>
        </w:rPr>
        <w:t>Frontiers in Pharmacology, 11,</w:t>
      </w:r>
      <w:r>
        <w:t xml:space="preserve"> 583988. </w:t>
      </w:r>
      <w:hyperlink r:id="rId15" w:history="1">
        <w:r>
          <w:rPr>
            <w:rStyle w:val="Hyperlink"/>
          </w:rPr>
          <w:t>https://doi.org/10.3389/fphar.2020.583988</w:t>
        </w:r>
      </w:hyperlink>
    </w:p>
    <w:p w14:paraId="3DE3C727" w14:textId="77777777" w:rsidR="009F798F" w:rsidRDefault="009F798F" w:rsidP="009F798F">
      <w:pPr>
        <w:pStyle w:val="NormalWeb"/>
        <w:ind w:left="567" w:hanging="567"/>
        <w:jc w:val="both"/>
      </w:pPr>
      <w:proofErr w:type="spellStart"/>
      <w:r>
        <w:t>Akinmoladun</w:t>
      </w:r>
      <w:proofErr w:type="spellEnd"/>
      <w:r>
        <w:t xml:space="preserve">, F. O., Komolafe, T. R., </w:t>
      </w:r>
      <w:proofErr w:type="spellStart"/>
      <w:r>
        <w:t>Farombi</w:t>
      </w:r>
      <w:proofErr w:type="spellEnd"/>
      <w:r>
        <w:t xml:space="preserve">, O. E., &amp; Komolafe, R. O. (2019). Phytochemicals: Potential alternative preventive and therapeutic agents for cardiovascular disease. </w:t>
      </w:r>
      <w:r>
        <w:rPr>
          <w:rStyle w:val="Emphasis"/>
        </w:rPr>
        <w:t>Current Pharmaceutical Design, 25</w:t>
      </w:r>
      <w:r>
        <w:t xml:space="preserve">(27), 3004–3016. </w:t>
      </w:r>
      <w:hyperlink r:id="rId16" w:history="1">
        <w:r>
          <w:rPr>
            <w:rStyle w:val="Hyperlink"/>
          </w:rPr>
          <w:t>https://doi.org/10.2174/1381612825666190906150717</w:t>
        </w:r>
      </w:hyperlink>
    </w:p>
    <w:p w14:paraId="665BEF5E" w14:textId="77777777" w:rsidR="009F798F" w:rsidRDefault="009F798F" w:rsidP="009F798F">
      <w:pPr>
        <w:pStyle w:val="NormalWeb"/>
        <w:ind w:left="567" w:hanging="567"/>
        <w:jc w:val="both"/>
      </w:pPr>
      <w:proofErr w:type="spellStart"/>
      <w:r>
        <w:t>Akubue</w:t>
      </w:r>
      <w:proofErr w:type="spellEnd"/>
      <w:r>
        <w:t xml:space="preserve">, P. I., </w:t>
      </w:r>
      <w:proofErr w:type="spellStart"/>
      <w:r>
        <w:t>Anyika</w:t>
      </w:r>
      <w:proofErr w:type="spellEnd"/>
      <w:r>
        <w:t xml:space="preserve">, E. N., &amp; Okorie, C. H. (2018). Effect of </w:t>
      </w:r>
      <w:r>
        <w:rPr>
          <w:rStyle w:val="Emphasis"/>
          <w:rFonts w:eastAsia="Calibri"/>
        </w:rPr>
        <w:t xml:space="preserve">Solanum </w:t>
      </w:r>
      <w:proofErr w:type="spellStart"/>
      <w:r>
        <w:rPr>
          <w:rStyle w:val="Emphasis"/>
          <w:rFonts w:eastAsia="Calibri"/>
        </w:rPr>
        <w:t>aethiopicum</w:t>
      </w:r>
      <w:proofErr w:type="spellEnd"/>
      <w:r>
        <w:t xml:space="preserve"> Linn. fruit extract on electrolyte balance in Wistar rats. </w:t>
      </w:r>
      <w:r>
        <w:rPr>
          <w:rStyle w:val="Emphasis"/>
          <w:rFonts w:eastAsia="Calibri"/>
        </w:rPr>
        <w:t>Journal of Medicinal Food, 21</w:t>
      </w:r>
      <w:r>
        <w:t xml:space="preserve">(12), 1234–1240. </w:t>
      </w:r>
      <w:hyperlink r:id="rId17" w:history="1">
        <w:r>
          <w:rPr>
            <w:rStyle w:val="Hyperlink"/>
          </w:rPr>
          <w:t>https://doi.org/10.1089/jmf.2018.0023</w:t>
        </w:r>
      </w:hyperlink>
    </w:p>
    <w:p w14:paraId="6FFADEEF" w14:textId="77777777" w:rsidR="009F798F" w:rsidRDefault="009F798F" w:rsidP="009F798F">
      <w:pPr>
        <w:pStyle w:val="NormalWeb"/>
        <w:ind w:left="567" w:hanging="567"/>
        <w:jc w:val="both"/>
      </w:pPr>
      <w:r>
        <w:t xml:space="preserve">Alabi, Q. K., Akomolafe, R. O., Omole, J. G., </w:t>
      </w:r>
      <w:proofErr w:type="spellStart"/>
      <w:r>
        <w:t>Aturamu</w:t>
      </w:r>
      <w:proofErr w:type="spellEnd"/>
      <w:r>
        <w:t xml:space="preserve">, A., Ige, M. S., Kayode, O. O., &amp; </w:t>
      </w:r>
      <w:proofErr w:type="spellStart"/>
      <w:r>
        <w:t>Kajewole</w:t>
      </w:r>
      <w:proofErr w:type="spellEnd"/>
      <w:r>
        <w:t xml:space="preserve">-Alabi, D. (2021). Polyphenol-rich extract of </w:t>
      </w:r>
      <w:proofErr w:type="spellStart"/>
      <w:r>
        <w:rPr>
          <w:rStyle w:val="Emphasis"/>
          <w:rFonts w:eastAsia="Calibri"/>
        </w:rPr>
        <w:t>Ocimum</w:t>
      </w:r>
      <w:proofErr w:type="spellEnd"/>
      <w:r>
        <w:rPr>
          <w:rStyle w:val="Emphasis"/>
          <w:rFonts w:eastAsia="Calibri"/>
        </w:rPr>
        <w:t xml:space="preserve"> </w:t>
      </w:r>
      <w:proofErr w:type="spellStart"/>
      <w:r>
        <w:rPr>
          <w:rStyle w:val="Emphasis"/>
          <w:rFonts w:eastAsia="Calibri"/>
        </w:rPr>
        <w:t>gratissimum</w:t>
      </w:r>
      <w:proofErr w:type="spellEnd"/>
      <w:r>
        <w:t xml:space="preserve"> leaves prevented toxic effects of cyclophosphamide on the kidney function of Wistar rats. </w:t>
      </w:r>
      <w:r>
        <w:rPr>
          <w:rStyle w:val="Emphasis"/>
          <w:rFonts w:eastAsia="Calibri"/>
        </w:rPr>
        <w:t>BMC Complementary Medicine and Therapies, 21,</w:t>
      </w:r>
      <w:r>
        <w:t xml:space="preserve"> 274. </w:t>
      </w:r>
      <w:hyperlink r:id="rId18" w:history="1">
        <w:r>
          <w:rPr>
            <w:rStyle w:val="Hyperlink"/>
          </w:rPr>
          <w:t>https://doi.org/10.1186/s12906-021-03447-3</w:t>
        </w:r>
      </w:hyperlink>
    </w:p>
    <w:p w14:paraId="06476559" w14:textId="77777777" w:rsidR="009F798F" w:rsidRDefault="009F798F" w:rsidP="009F798F">
      <w:pPr>
        <w:pStyle w:val="NormalWeb"/>
        <w:ind w:left="567" w:hanging="567"/>
        <w:jc w:val="both"/>
      </w:pPr>
      <w:r>
        <w:lastRenderedPageBreak/>
        <w:t xml:space="preserve">Al-Malki, A. L., &amp; </w:t>
      </w:r>
      <w:proofErr w:type="spellStart"/>
      <w:r>
        <w:t>Moselhy</w:t>
      </w:r>
      <w:proofErr w:type="spellEnd"/>
      <w:r>
        <w:t xml:space="preserve">, S. S. (2013). Protective effect of vitamin E and selenium against gentamicin-induced nephrotoxicity in rats. </w:t>
      </w:r>
      <w:r>
        <w:rPr>
          <w:rStyle w:val="Emphasis"/>
        </w:rPr>
        <w:t>Pharmaceutical Biology, 51</w:t>
      </w:r>
      <w:r>
        <w:t xml:space="preserve">(6), 687–692. </w:t>
      </w:r>
      <w:hyperlink r:id="rId19" w:history="1">
        <w:r>
          <w:rPr>
            <w:rStyle w:val="Hyperlink"/>
          </w:rPr>
          <w:t>https://doi.org/10.3109/13880209.2013.764933</w:t>
        </w:r>
      </w:hyperlink>
    </w:p>
    <w:p w14:paraId="7C07B7CF" w14:textId="77777777" w:rsidR="009F798F" w:rsidRDefault="009F798F" w:rsidP="009F798F">
      <w:pPr>
        <w:pStyle w:val="NormalWeb"/>
        <w:ind w:left="567" w:hanging="567"/>
        <w:jc w:val="both"/>
      </w:pPr>
      <w:r>
        <w:t xml:space="preserve">Ameh, T., </w:t>
      </w:r>
      <w:proofErr w:type="spellStart"/>
      <w:r>
        <w:t>Ebeshi</w:t>
      </w:r>
      <w:proofErr w:type="spellEnd"/>
      <w:r>
        <w:t xml:space="preserve">, B. U., &amp; </w:t>
      </w:r>
      <w:proofErr w:type="spellStart"/>
      <w:r>
        <w:t>Oyedapo</w:t>
      </w:r>
      <w:proofErr w:type="spellEnd"/>
      <w:r>
        <w:t xml:space="preserve">, O. O. (2021). Safety assessment of selected Nigerian medicinal plants: A review. </w:t>
      </w:r>
      <w:r>
        <w:rPr>
          <w:rStyle w:val="Emphasis"/>
        </w:rPr>
        <w:t>Journal of Ethnopharmacology, 268,</w:t>
      </w:r>
      <w:r>
        <w:t xml:space="preserve"> 113580. </w:t>
      </w:r>
      <w:hyperlink r:id="rId20" w:history="1">
        <w:r>
          <w:rPr>
            <w:rStyle w:val="Hyperlink"/>
          </w:rPr>
          <w:t>https://doi.org/10.1016/j.jep.2020.113580</w:t>
        </w:r>
      </w:hyperlink>
    </w:p>
    <w:p w14:paraId="4F236E0B" w14:textId="77777777" w:rsidR="009F798F" w:rsidRDefault="009F798F" w:rsidP="009F798F">
      <w:pPr>
        <w:pStyle w:val="NormalWeb"/>
        <w:ind w:left="567" w:hanging="567"/>
        <w:jc w:val="both"/>
      </w:pPr>
      <w:r>
        <w:t xml:space="preserve">Aslam, M., Sultana, N., &amp; Khan, T. (2017). Evaluation of nephroprotective potential of </w:t>
      </w:r>
      <w:proofErr w:type="spellStart"/>
      <w:r>
        <w:rPr>
          <w:rStyle w:val="Emphasis"/>
        </w:rPr>
        <w:t>Ocimum</w:t>
      </w:r>
      <w:proofErr w:type="spellEnd"/>
      <w:r>
        <w:rPr>
          <w:rStyle w:val="Emphasis"/>
        </w:rPr>
        <w:t xml:space="preserve"> </w:t>
      </w:r>
      <w:proofErr w:type="spellStart"/>
      <w:r>
        <w:rPr>
          <w:rStyle w:val="Emphasis"/>
        </w:rPr>
        <w:t>gratissimum</w:t>
      </w:r>
      <w:proofErr w:type="spellEnd"/>
      <w:r>
        <w:t xml:space="preserve"> in Wistar rats. </w:t>
      </w:r>
      <w:r>
        <w:rPr>
          <w:rStyle w:val="Emphasis"/>
        </w:rPr>
        <w:t>Journal of Ayurveda and Integrative Medicine, 8</w:t>
      </w:r>
      <w:r>
        <w:t xml:space="preserve">(2), 104–110. </w:t>
      </w:r>
      <w:hyperlink r:id="rId21" w:history="1">
        <w:r>
          <w:rPr>
            <w:rStyle w:val="Hyperlink"/>
          </w:rPr>
          <w:t>https://doi.org/10.1016/j.jaim.2016.12.002</w:t>
        </w:r>
      </w:hyperlink>
    </w:p>
    <w:p w14:paraId="1D4180ED" w14:textId="77777777" w:rsidR="009F798F" w:rsidRDefault="009F798F" w:rsidP="009F798F">
      <w:pPr>
        <w:pStyle w:val="NormalWeb"/>
        <w:ind w:left="567" w:hanging="567"/>
        <w:jc w:val="both"/>
      </w:pPr>
      <w:r>
        <w:t xml:space="preserve">Chevalier, R. L. (2016). The proximal tubule is the primary target of injury and progression of kidney disease: Role of the </w:t>
      </w:r>
      <w:proofErr w:type="spellStart"/>
      <w:r>
        <w:t>glomerulotubular</w:t>
      </w:r>
      <w:proofErr w:type="spellEnd"/>
      <w:r>
        <w:t xml:space="preserve"> junction. </w:t>
      </w:r>
      <w:r>
        <w:rPr>
          <w:rStyle w:val="Emphasis"/>
        </w:rPr>
        <w:t>American Journal of Physiology-Renal Physiology, 311</w:t>
      </w:r>
      <w:r>
        <w:t xml:space="preserve">(1), F145–F161. </w:t>
      </w:r>
      <w:hyperlink r:id="rId22" w:history="1">
        <w:r>
          <w:rPr>
            <w:rStyle w:val="Hyperlink"/>
          </w:rPr>
          <w:t>https://doi.org/10.1152/ajprenal.00120.2016</w:t>
        </w:r>
      </w:hyperlink>
    </w:p>
    <w:p w14:paraId="74FBD145" w14:textId="77777777" w:rsidR="009F798F" w:rsidRDefault="009F798F" w:rsidP="009F798F">
      <w:pPr>
        <w:pStyle w:val="NormalWeb"/>
        <w:ind w:left="567" w:hanging="567"/>
        <w:jc w:val="both"/>
      </w:pPr>
      <w:proofErr w:type="spellStart"/>
      <w:r>
        <w:t>Ekweogu</w:t>
      </w:r>
      <w:proofErr w:type="spellEnd"/>
      <w:r>
        <w:t xml:space="preserve">, C. N., Ude, V. C., Nwankpa, P., Emmanuel, O., &amp; </w:t>
      </w:r>
      <w:proofErr w:type="spellStart"/>
      <w:r>
        <w:t>Ugbogu</w:t>
      </w:r>
      <w:proofErr w:type="spellEnd"/>
      <w:r>
        <w:t xml:space="preserve">, E. A. (2019). Ameliorative effect of aqueous leaf extract of </w:t>
      </w:r>
      <w:r>
        <w:rPr>
          <w:rStyle w:val="Emphasis"/>
          <w:rFonts w:eastAsia="Calibri"/>
        </w:rPr>
        <w:t xml:space="preserve">Solanum </w:t>
      </w:r>
      <w:proofErr w:type="spellStart"/>
      <w:r>
        <w:rPr>
          <w:rStyle w:val="Emphasis"/>
          <w:rFonts w:eastAsia="Calibri"/>
        </w:rPr>
        <w:t>aethiopicum</w:t>
      </w:r>
      <w:proofErr w:type="spellEnd"/>
      <w:r>
        <w:t xml:space="preserve"> on </w:t>
      </w:r>
      <w:proofErr w:type="spellStart"/>
      <w:r>
        <w:t>phenylhydrazine</w:t>
      </w:r>
      <w:proofErr w:type="spellEnd"/>
      <w:r>
        <w:t xml:space="preserve">-induced </w:t>
      </w:r>
      <w:proofErr w:type="spellStart"/>
      <w:r>
        <w:t>anaemia</w:t>
      </w:r>
      <w:proofErr w:type="spellEnd"/>
      <w:r>
        <w:t xml:space="preserve"> and toxicity in rats. </w:t>
      </w:r>
      <w:r>
        <w:rPr>
          <w:rStyle w:val="Emphasis"/>
          <w:rFonts w:eastAsia="Calibri"/>
        </w:rPr>
        <w:t>Toxicology Research, 36</w:t>
      </w:r>
      <w:r>
        <w:t xml:space="preserve">(3), 227–238. </w:t>
      </w:r>
      <w:hyperlink r:id="rId23" w:history="1">
        <w:r>
          <w:rPr>
            <w:rStyle w:val="Hyperlink"/>
          </w:rPr>
          <w:t>https://doi.org/10.1007/s43188-019-00021-5</w:t>
        </w:r>
      </w:hyperlink>
    </w:p>
    <w:p w14:paraId="7B9847B6" w14:textId="77777777" w:rsidR="009F798F" w:rsidRDefault="009F798F" w:rsidP="009F798F">
      <w:pPr>
        <w:pStyle w:val="NormalWeb"/>
        <w:ind w:left="567" w:hanging="567"/>
        <w:jc w:val="both"/>
      </w:pPr>
      <w:proofErr w:type="spellStart"/>
      <w:r>
        <w:t>Enechi</w:t>
      </w:r>
      <w:proofErr w:type="spellEnd"/>
      <w:r>
        <w:t xml:space="preserve">, O. C., Nwodo, O. F. C., Ugwu, O. P. C., &amp; Onah, J. C. (2020). Ameliorative effects of aqueous leaf extract of </w:t>
      </w:r>
      <w:r>
        <w:rPr>
          <w:rStyle w:val="Emphasis"/>
          <w:rFonts w:eastAsia="Calibri"/>
        </w:rPr>
        <w:t xml:space="preserve">Solanum </w:t>
      </w:r>
      <w:proofErr w:type="spellStart"/>
      <w:r>
        <w:rPr>
          <w:rStyle w:val="Emphasis"/>
          <w:rFonts w:eastAsia="Calibri"/>
        </w:rPr>
        <w:t>aethiopicum</w:t>
      </w:r>
      <w:proofErr w:type="spellEnd"/>
      <w:r>
        <w:t xml:space="preserve"> in rat models of organ injury. </w:t>
      </w:r>
      <w:r>
        <w:rPr>
          <w:rStyle w:val="Emphasis"/>
          <w:rFonts w:eastAsia="Calibri"/>
        </w:rPr>
        <w:t>Journal of Medicinal Plants Research, 14</w:t>
      </w:r>
      <w:r>
        <w:t>(6), 276–284.</w:t>
      </w:r>
    </w:p>
    <w:p w14:paraId="1C0416DE" w14:textId="77777777" w:rsidR="009F798F" w:rsidRDefault="009F798F" w:rsidP="009F798F">
      <w:pPr>
        <w:pStyle w:val="NormalWeb"/>
        <w:ind w:left="567" w:hanging="567"/>
        <w:jc w:val="both"/>
      </w:pPr>
      <w:proofErr w:type="spellStart"/>
      <w:r>
        <w:t>Enejiofor</w:t>
      </w:r>
      <w:proofErr w:type="spellEnd"/>
      <w:r>
        <w:t xml:space="preserve">, A. N., </w:t>
      </w:r>
      <w:proofErr w:type="spellStart"/>
      <w:r>
        <w:t>Orisakwe</w:t>
      </w:r>
      <w:proofErr w:type="spellEnd"/>
      <w:r>
        <w:t xml:space="preserve">, O. E., &amp; </w:t>
      </w:r>
      <w:proofErr w:type="spellStart"/>
      <w:r>
        <w:t>Nwaehujor</w:t>
      </w:r>
      <w:proofErr w:type="spellEnd"/>
      <w:r>
        <w:t xml:space="preserve">, C. O. (2017). Safety considerations in herbal medicine: Toxicological profile of commonly used medicinal plants in Nigeria. </w:t>
      </w:r>
      <w:r>
        <w:rPr>
          <w:rStyle w:val="Emphasis"/>
          <w:rFonts w:eastAsia="Calibri"/>
        </w:rPr>
        <w:t>Frontiers in Pharmacology, 8,</w:t>
      </w:r>
      <w:r>
        <w:t xml:space="preserve"> 618. </w:t>
      </w:r>
      <w:hyperlink r:id="rId24" w:history="1">
        <w:r>
          <w:rPr>
            <w:rStyle w:val="Hyperlink"/>
          </w:rPr>
          <w:t>https://doi.org/10.3389/fphar.2017.00618</w:t>
        </w:r>
      </w:hyperlink>
    </w:p>
    <w:p w14:paraId="63EDFEF7" w14:textId="77777777" w:rsidR="009F798F" w:rsidRDefault="009F798F" w:rsidP="009F798F">
      <w:pPr>
        <w:pStyle w:val="NormalWeb"/>
        <w:ind w:left="567" w:hanging="567"/>
        <w:jc w:val="both"/>
      </w:pPr>
      <w:proofErr w:type="spellStart"/>
      <w:r>
        <w:t>Eseyin</w:t>
      </w:r>
      <w:proofErr w:type="spellEnd"/>
      <w:r>
        <w:t xml:space="preserve">, O. A., Ebong, P. E., Eyong, E. U., Umoh, I. B., &amp; Ekpo, A. (2010). Hypoglycemic effect of the leaf extract of </w:t>
      </w:r>
      <w:proofErr w:type="spellStart"/>
      <w:r>
        <w:rPr>
          <w:rStyle w:val="Emphasis"/>
        </w:rPr>
        <w:t>Ocimum</w:t>
      </w:r>
      <w:proofErr w:type="spellEnd"/>
      <w:r>
        <w:rPr>
          <w:rStyle w:val="Emphasis"/>
        </w:rPr>
        <w:t xml:space="preserve"> </w:t>
      </w:r>
      <w:proofErr w:type="spellStart"/>
      <w:r>
        <w:rPr>
          <w:rStyle w:val="Emphasis"/>
        </w:rPr>
        <w:t>gratissimum</w:t>
      </w:r>
      <w:proofErr w:type="spellEnd"/>
      <w:r>
        <w:t xml:space="preserve"> in alloxan-induced diabetic rats. </w:t>
      </w:r>
      <w:r>
        <w:rPr>
          <w:rStyle w:val="Emphasis"/>
        </w:rPr>
        <w:t>Journal of Pharmacy &amp; Bioresources, 7</w:t>
      </w:r>
      <w:r>
        <w:t xml:space="preserve">(1), 49–56. </w:t>
      </w:r>
      <w:hyperlink r:id="rId25" w:history="1">
        <w:r>
          <w:rPr>
            <w:rStyle w:val="Hyperlink"/>
          </w:rPr>
          <w:t>https://doi.org/10.4314/jpb.v7i1.57376</w:t>
        </w:r>
      </w:hyperlink>
    </w:p>
    <w:p w14:paraId="3C5B2C09" w14:textId="77777777" w:rsidR="009F798F" w:rsidRDefault="009F798F" w:rsidP="009F798F">
      <w:pPr>
        <w:pStyle w:val="NormalWeb"/>
        <w:ind w:left="567" w:hanging="567"/>
        <w:jc w:val="both"/>
      </w:pPr>
      <w:r w:rsidRPr="009F798F">
        <w:rPr>
          <w:highlight w:val="yellow"/>
        </w:rPr>
        <w:t xml:space="preserve">Eweka, A. O., et al. (2020). Acute dysfunctional status of hepato-renal tissues of rats administered fractions of </w:t>
      </w:r>
      <w:proofErr w:type="spellStart"/>
      <w:r w:rsidRPr="009F798F">
        <w:rPr>
          <w:rStyle w:val="Emphasis"/>
          <w:rFonts w:eastAsia="Calibri"/>
        </w:rPr>
        <w:t>Ocimum</w:t>
      </w:r>
      <w:proofErr w:type="spellEnd"/>
      <w:r w:rsidRPr="009F798F">
        <w:rPr>
          <w:rStyle w:val="Emphasis"/>
          <w:rFonts w:eastAsia="Calibri"/>
        </w:rPr>
        <w:t xml:space="preserve"> </w:t>
      </w:r>
      <w:proofErr w:type="spellStart"/>
      <w:r w:rsidRPr="009F798F">
        <w:rPr>
          <w:rStyle w:val="Emphasis"/>
          <w:rFonts w:eastAsia="Calibri"/>
        </w:rPr>
        <w:t>gratissimum</w:t>
      </w:r>
      <w:proofErr w:type="spellEnd"/>
      <w:r w:rsidRPr="009F798F">
        <w:rPr>
          <w:highlight w:val="yellow"/>
        </w:rPr>
        <w:t xml:space="preserve"> leaf extract. </w:t>
      </w:r>
      <w:r w:rsidRPr="009F798F">
        <w:rPr>
          <w:rStyle w:val="Emphasis"/>
          <w:rFonts w:eastAsia="Calibri"/>
        </w:rPr>
        <w:t>Biomedical Research and Therapy, 7</w:t>
      </w:r>
      <w:r w:rsidRPr="009F798F">
        <w:rPr>
          <w:highlight w:val="yellow"/>
        </w:rPr>
        <w:t>(6), 3833–3844.</w:t>
      </w:r>
    </w:p>
    <w:p w14:paraId="10B53B1A" w14:textId="77777777" w:rsidR="009F798F" w:rsidRDefault="009F798F" w:rsidP="009F798F">
      <w:pPr>
        <w:pStyle w:val="NormalWeb"/>
        <w:ind w:left="567" w:hanging="567"/>
        <w:jc w:val="both"/>
      </w:pPr>
      <w:proofErr w:type="spellStart"/>
      <w:r>
        <w:t>Ezejindu</w:t>
      </w:r>
      <w:proofErr w:type="spellEnd"/>
      <w:r>
        <w:t xml:space="preserve">, D. N., &amp; Chinweuba, C. A. (2016). Effects of aqueous leaf extract of </w:t>
      </w:r>
      <w:proofErr w:type="spellStart"/>
      <w:r>
        <w:rPr>
          <w:rStyle w:val="Emphasis"/>
        </w:rPr>
        <w:t>Telfairia</w:t>
      </w:r>
      <w:proofErr w:type="spellEnd"/>
      <w:r>
        <w:rPr>
          <w:rStyle w:val="Emphasis"/>
        </w:rPr>
        <w:t xml:space="preserve"> </w:t>
      </w:r>
      <w:proofErr w:type="spellStart"/>
      <w:r>
        <w:rPr>
          <w:rStyle w:val="Emphasis"/>
        </w:rPr>
        <w:t>occidentalis</w:t>
      </w:r>
      <w:proofErr w:type="spellEnd"/>
      <w:r>
        <w:t xml:space="preserve"> on kidney function indices of Wistar rats. </w:t>
      </w:r>
      <w:r>
        <w:rPr>
          <w:rStyle w:val="Emphasis"/>
        </w:rPr>
        <w:t>Journal of Medical and Allied Sciences, 6</w:t>
      </w:r>
      <w:r>
        <w:t>(2), 78–83.</w:t>
      </w:r>
    </w:p>
    <w:p w14:paraId="13A90228" w14:textId="77777777" w:rsidR="009F798F" w:rsidRDefault="009F798F" w:rsidP="009F798F">
      <w:pPr>
        <w:pStyle w:val="NormalWeb"/>
        <w:ind w:left="567" w:hanging="567"/>
        <w:jc w:val="both"/>
      </w:pPr>
      <w:proofErr w:type="spellStart"/>
      <w:r>
        <w:t>Farombi</w:t>
      </w:r>
      <w:proofErr w:type="spellEnd"/>
      <w:r>
        <w:t xml:space="preserve">, E. O., &amp; Owoeye, O. (2011). Antioxidative and </w:t>
      </w:r>
      <w:proofErr w:type="spellStart"/>
      <w:r>
        <w:t>chemopreventive</w:t>
      </w:r>
      <w:proofErr w:type="spellEnd"/>
      <w:r>
        <w:t xml:space="preserve"> properties of Vernonia </w:t>
      </w:r>
      <w:proofErr w:type="spellStart"/>
      <w:r>
        <w:t>amygdalina</w:t>
      </w:r>
      <w:proofErr w:type="spellEnd"/>
      <w:r>
        <w:t xml:space="preserve"> and Garcinia </w:t>
      </w:r>
      <w:proofErr w:type="spellStart"/>
      <w:r>
        <w:t>biflavonoid</w:t>
      </w:r>
      <w:proofErr w:type="spellEnd"/>
      <w:r>
        <w:t xml:space="preserve">. </w:t>
      </w:r>
      <w:r>
        <w:rPr>
          <w:rStyle w:val="Emphasis"/>
        </w:rPr>
        <w:t>International Journal of Environmental Research and Public Health, 8</w:t>
      </w:r>
      <w:r>
        <w:t xml:space="preserve">(6), 2533–2555. </w:t>
      </w:r>
      <w:hyperlink r:id="rId26" w:history="1">
        <w:r>
          <w:rPr>
            <w:rStyle w:val="Hyperlink"/>
          </w:rPr>
          <w:t>https://doi.org/10.3390/ijerph8062533</w:t>
        </w:r>
      </w:hyperlink>
    </w:p>
    <w:p w14:paraId="55C4645D" w14:textId="77777777" w:rsidR="009F798F" w:rsidRDefault="009F798F" w:rsidP="009F798F">
      <w:pPr>
        <w:pStyle w:val="NormalWeb"/>
        <w:ind w:left="567" w:hanging="567"/>
        <w:jc w:val="both"/>
      </w:pPr>
      <w:r>
        <w:t xml:space="preserve">Fasuyi, A. O. (2006). Nutritional potentials of some tropical vegetable leaf meals: Chemical characterization and functional properties. </w:t>
      </w:r>
      <w:r>
        <w:rPr>
          <w:rStyle w:val="Emphasis"/>
        </w:rPr>
        <w:t>African Journal of Biotechnology, 5</w:t>
      </w:r>
      <w:r>
        <w:t>(1), 49–53.</w:t>
      </w:r>
    </w:p>
    <w:p w14:paraId="6A4B2796" w14:textId="77777777" w:rsidR="009F798F" w:rsidRDefault="009F798F" w:rsidP="009F798F">
      <w:pPr>
        <w:pStyle w:val="NormalWeb"/>
        <w:ind w:left="567" w:hanging="567"/>
        <w:jc w:val="both"/>
      </w:pPr>
      <w:r>
        <w:t xml:space="preserve">Gamel, T. H., Abdel-Aal, E.-S. M., &amp; Abdel-Rahman, S. M. (2023). Amaranth and quinoa as potential nutraceuticals: A review of anti-nutrients and processing. </w:t>
      </w:r>
      <w:r>
        <w:rPr>
          <w:rStyle w:val="Emphasis"/>
          <w:rFonts w:eastAsia="Calibri"/>
        </w:rPr>
        <w:t>Cereal Chemistry, 100</w:t>
      </w:r>
      <w:r>
        <w:t xml:space="preserve">(4), 655–671. </w:t>
      </w:r>
      <w:hyperlink r:id="rId27" w:history="1">
        <w:r>
          <w:rPr>
            <w:rStyle w:val="Hyperlink"/>
          </w:rPr>
          <w:t>https://doi.org/10.1002/cche.10575</w:t>
        </w:r>
      </w:hyperlink>
    </w:p>
    <w:p w14:paraId="603AA398" w14:textId="77777777" w:rsidR="009F798F" w:rsidRDefault="009F798F" w:rsidP="009F798F">
      <w:pPr>
        <w:pStyle w:val="NormalWeb"/>
        <w:ind w:left="567" w:hanging="567"/>
        <w:jc w:val="both"/>
      </w:pPr>
      <w:r>
        <w:lastRenderedPageBreak/>
        <w:t xml:space="preserve">Ganiyu, A. I., </w:t>
      </w:r>
      <w:proofErr w:type="spellStart"/>
      <w:r>
        <w:t>Adefolaju</w:t>
      </w:r>
      <w:proofErr w:type="spellEnd"/>
      <w:r>
        <w:t xml:space="preserve">, G. A., &amp; Adebayo, O. L. (2021). </w:t>
      </w:r>
      <w:proofErr w:type="spellStart"/>
      <w:r>
        <w:rPr>
          <w:rStyle w:val="Emphasis"/>
          <w:rFonts w:eastAsia="Calibri"/>
        </w:rPr>
        <w:t>Telfairia</w:t>
      </w:r>
      <w:proofErr w:type="spellEnd"/>
      <w:r>
        <w:rPr>
          <w:rStyle w:val="Emphasis"/>
          <w:rFonts w:eastAsia="Calibri"/>
        </w:rPr>
        <w:t xml:space="preserve"> </w:t>
      </w:r>
      <w:proofErr w:type="spellStart"/>
      <w:r>
        <w:rPr>
          <w:rStyle w:val="Emphasis"/>
          <w:rFonts w:eastAsia="Calibri"/>
        </w:rPr>
        <w:t>occidentalis</w:t>
      </w:r>
      <w:proofErr w:type="spellEnd"/>
      <w:r>
        <w:t xml:space="preserve"> mitigates carbon tetrachloride–induced nephrotoxicity in Wistar rats. </w:t>
      </w:r>
      <w:r>
        <w:rPr>
          <w:rStyle w:val="Emphasis"/>
          <w:rFonts w:eastAsia="Calibri"/>
        </w:rPr>
        <w:t>NIPES Journal of Science and Technology Research, 3</w:t>
      </w:r>
      <w:r>
        <w:t>(4), 465–476.</w:t>
      </w:r>
    </w:p>
    <w:p w14:paraId="44A2F2F5" w14:textId="77777777" w:rsidR="009F798F" w:rsidRDefault="009F798F" w:rsidP="009F798F">
      <w:pPr>
        <w:pStyle w:val="NormalWeb"/>
        <w:ind w:left="567" w:hanging="567"/>
        <w:jc w:val="both"/>
      </w:pPr>
      <w:r>
        <w:t xml:space="preserve">Gbemisola, A. M., Funmilayo, O. A., &amp; Samuel, O. A. (2018). Nutritional and medicinal values of </w:t>
      </w:r>
      <w:r>
        <w:rPr>
          <w:rStyle w:val="Emphasis"/>
        </w:rPr>
        <w:t>Amaranthus hybridus</w:t>
      </w:r>
      <w:r>
        <w:t xml:space="preserve">: A review. </w:t>
      </w:r>
      <w:r>
        <w:rPr>
          <w:rStyle w:val="Emphasis"/>
        </w:rPr>
        <w:t>Journal of Medicinal Plants Research, 12</w:t>
      </w:r>
      <w:r>
        <w:t xml:space="preserve">(6), 87–95. </w:t>
      </w:r>
      <w:hyperlink r:id="rId28" w:history="1">
        <w:r>
          <w:rPr>
            <w:rStyle w:val="Hyperlink"/>
          </w:rPr>
          <w:t>https://doi.org/10.5897/JMPR2017.6553</w:t>
        </w:r>
      </w:hyperlink>
    </w:p>
    <w:p w14:paraId="3A4F7AB2" w14:textId="77777777" w:rsidR="009F798F" w:rsidRDefault="009F798F" w:rsidP="009F798F">
      <w:pPr>
        <w:pStyle w:val="NormalWeb"/>
        <w:ind w:left="567" w:hanging="567"/>
        <w:jc w:val="both"/>
      </w:pPr>
      <w:r>
        <w:t xml:space="preserve">Gheith, O., Farouk, N., </w:t>
      </w:r>
      <w:proofErr w:type="spellStart"/>
      <w:r>
        <w:t>Nampoory</w:t>
      </w:r>
      <w:proofErr w:type="spellEnd"/>
      <w:r>
        <w:t xml:space="preserve">, N., Halim, M. A., &amp; Al-Otaibi, T. (2016). Diabetic kidney disease: </w:t>
      </w:r>
      <w:proofErr w:type="spellStart"/>
      <w:r>
        <w:t>World wide</w:t>
      </w:r>
      <w:proofErr w:type="spellEnd"/>
      <w:r>
        <w:t xml:space="preserve"> difference of prevalence and risk factors. </w:t>
      </w:r>
      <w:r>
        <w:rPr>
          <w:rStyle w:val="Emphasis"/>
        </w:rPr>
        <w:t xml:space="preserve">Journal of </w:t>
      </w:r>
      <w:proofErr w:type="spellStart"/>
      <w:r>
        <w:rPr>
          <w:rStyle w:val="Emphasis"/>
        </w:rPr>
        <w:t>Nephropharmacology</w:t>
      </w:r>
      <w:proofErr w:type="spellEnd"/>
      <w:r>
        <w:rPr>
          <w:rStyle w:val="Emphasis"/>
        </w:rPr>
        <w:t>, 5</w:t>
      </w:r>
      <w:r>
        <w:t>(1), 49–56.</w:t>
      </w:r>
    </w:p>
    <w:p w14:paraId="1622C267" w14:textId="77777777" w:rsidR="009F798F" w:rsidRDefault="009F798F" w:rsidP="009F798F">
      <w:pPr>
        <w:pStyle w:val="NormalWeb"/>
        <w:ind w:left="567" w:hanging="567"/>
        <w:jc w:val="both"/>
      </w:pPr>
      <w:r>
        <w:t xml:space="preserve">Gowda, S., Desai, P. B., Kulkarni, S. S., Hull, V. V., Math, A. A. K., &amp; Vernekar, S. N. (2010). Markers of renal function tests. </w:t>
      </w:r>
      <w:r>
        <w:rPr>
          <w:rStyle w:val="Emphasis"/>
        </w:rPr>
        <w:t>North American Journal of Medical Sciences, 2</w:t>
      </w:r>
      <w:r>
        <w:t>(4), 170–173.</w:t>
      </w:r>
    </w:p>
    <w:p w14:paraId="4E88A4B0" w14:textId="77777777" w:rsidR="009F798F" w:rsidRDefault="009F798F" w:rsidP="009F798F">
      <w:pPr>
        <w:pStyle w:val="NormalWeb"/>
        <w:ind w:left="567" w:hanging="567"/>
        <w:jc w:val="both"/>
      </w:pPr>
      <w:r>
        <w:t xml:space="preserve">Jaja, S. I., </w:t>
      </w:r>
      <w:proofErr w:type="spellStart"/>
      <w:r>
        <w:t>Ogungbemi</w:t>
      </w:r>
      <w:proofErr w:type="spellEnd"/>
      <w:r>
        <w:t xml:space="preserve">, A. T., &amp; Adesanya, O. A. (2019). Effects of aqueous extract of </w:t>
      </w:r>
      <w:r>
        <w:rPr>
          <w:rStyle w:val="Emphasis"/>
        </w:rPr>
        <w:t xml:space="preserve">Pterocarpus </w:t>
      </w:r>
      <w:proofErr w:type="spellStart"/>
      <w:r>
        <w:rPr>
          <w:rStyle w:val="Emphasis"/>
        </w:rPr>
        <w:t>mildbraedii</w:t>
      </w:r>
      <w:proofErr w:type="spellEnd"/>
      <w:r>
        <w:t xml:space="preserve"> leaves on renal function indices in male Wistar rats. </w:t>
      </w:r>
      <w:r>
        <w:rPr>
          <w:rStyle w:val="Emphasis"/>
        </w:rPr>
        <w:t>Journal of Ethnopharmacology, 235,</w:t>
      </w:r>
      <w:r>
        <w:t xml:space="preserve"> 56–62. </w:t>
      </w:r>
      <w:hyperlink r:id="rId29" w:history="1">
        <w:r>
          <w:rPr>
            <w:rStyle w:val="Hyperlink"/>
          </w:rPr>
          <w:t>https://doi.org/10.1016/j.jep.2019.02.041</w:t>
        </w:r>
      </w:hyperlink>
    </w:p>
    <w:p w14:paraId="6B22C169" w14:textId="77777777" w:rsidR="009F798F" w:rsidRDefault="009F798F" w:rsidP="009F798F">
      <w:pPr>
        <w:pStyle w:val="NormalWeb"/>
        <w:ind w:left="567" w:hanging="567"/>
        <w:jc w:val="both"/>
      </w:pPr>
      <w:r>
        <w:t xml:space="preserve">Jha, V., Garcia-Garcia, G., Iseki, K., Li, Z., Naicker, S., Plattner, B., ... &amp; Yang, C. W. (2013). Chronic kidney disease: Global dimension and perspectives. </w:t>
      </w:r>
      <w:r>
        <w:rPr>
          <w:rStyle w:val="Emphasis"/>
        </w:rPr>
        <w:t>The Lancet, 382</w:t>
      </w:r>
      <w:r>
        <w:t xml:space="preserve">(9888), 260–272. </w:t>
      </w:r>
      <w:hyperlink r:id="rId30" w:history="1">
        <w:r>
          <w:rPr>
            <w:rStyle w:val="Hyperlink"/>
          </w:rPr>
          <w:t>https://doi.org/10.1016/S0140-6736(13)60687-X</w:t>
        </w:r>
      </w:hyperlink>
    </w:p>
    <w:p w14:paraId="2F62D24E" w14:textId="77777777" w:rsidR="009F798F" w:rsidRDefault="009F798F" w:rsidP="009F798F">
      <w:pPr>
        <w:pStyle w:val="NormalWeb"/>
        <w:ind w:left="567" w:hanging="567"/>
        <w:jc w:val="both"/>
      </w:pPr>
      <w:proofErr w:type="spellStart"/>
      <w:r>
        <w:t>Kacholi</w:t>
      </w:r>
      <w:proofErr w:type="spellEnd"/>
      <w:r>
        <w:t xml:space="preserve">, D. S., &amp; Sahu, M. (2018). Nutritional composition and phytochemical properties of traditional leafy vegetables consumed in Africa: A review. </w:t>
      </w:r>
      <w:r>
        <w:rPr>
          <w:rStyle w:val="Emphasis"/>
          <w:rFonts w:eastAsia="Calibri"/>
        </w:rPr>
        <w:t>Food Research International, 113,</w:t>
      </w:r>
      <w:r>
        <w:t xml:space="preserve"> 409–422. </w:t>
      </w:r>
      <w:hyperlink r:id="rId31" w:history="1">
        <w:r>
          <w:rPr>
            <w:rStyle w:val="Hyperlink"/>
          </w:rPr>
          <w:t>https://doi.org/10.1016/j.foodres.2018.07.020</w:t>
        </w:r>
      </w:hyperlink>
    </w:p>
    <w:p w14:paraId="7D2AC93B" w14:textId="77777777" w:rsidR="009F798F" w:rsidRDefault="009F798F" w:rsidP="009F798F">
      <w:pPr>
        <w:pStyle w:val="NormalWeb"/>
        <w:ind w:left="567" w:hanging="567"/>
        <w:jc w:val="both"/>
      </w:pPr>
      <w:proofErr w:type="spellStart"/>
      <w:r>
        <w:t>Kpomblekou-Awoyele</w:t>
      </w:r>
      <w:proofErr w:type="spellEnd"/>
      <w:r>
        <w:t xml:space="preserve">, B., &amp; Monu, E. (2019). Nutritional composition, phytochemical profiles and therapeutic benefits of </w:t>
      </w:r>
      <w:proofErr w:type="spellStart"/>
      <w:r>
        <w:rPr>
          <w:rStyle w:val="Emphasis"/>
          <w:rFonts w:eastAsia="Calibri"/>
        </w:rPr>
        <w:t>Telfairia</w:t>
      </w:r>
      <w:proofErr w:type="spellEnd"/>
      <w:r>
        <w:rPr>
          <w:rStyle w:val="Emphasis"/>
          <w:rFonts w:eastAsia="Calibri"/>
        </w:rPr>
        <w:t xml:space="preserve"> </w:t>
      </w:r>
      <w:proofErr w:type="spellStart"/>
      <w:r>
        <w:rPr>
          <w:rStyle w:val="Emphasis"/>
          <w:rFonts w:eastAsia="Calibri"/>
        </w:rPr>
        <w:t>occidentalis</w:t>
      </w:r>
      <w:proofErr w:type="spellEnd"/>
      <w:r>
        <w:t xml:space="preserve"> (fluted pumpkin): A review. </w:t>
      </w:r>
      <w:r>
        <w:rPr>
          <w:rStyle w:val="Emphasis"/>
          <w:rFonts w:eastAsia="Calibri"/>
        </w:rPr>
        <w:t>Nutrients, 11</w:t>
      </w:r>
      <w:r>
        <w:t xml:space="preserve">(4), 856. </w:t>
      </w:r>
      <w:hyperlink r:id="rId32" w:history="1">
        <w:r>
          <w:rPr>
            <w:rStyle w:val="Hyperlink"/>
          </w:rPr>
          <w:t>https://doi.org/10.3390/nu11040856</w:t>
        </w:r>
      </w:hyperlink>
    </w:p>
    <w:p w14:paraId="6D76E6E6" w14:textId="77777777" w:rsidR="009F798F" w:rsidRDefault="009F798F" w:rsidP="009F798F">
      <w:pPr>
        <w:pStyle w:val="NormalWeb"/>
        <w:ind w:left="567" w:hanging="567"/>
        <w:jc w:val="both"/>
      </w:pPr>
      <w:r>
        <w:t xml:space="preserve">Levey, A. S., Eckardt, K. U., Dorman, N. M., Christiansen, S. L., Cheung, M., Jadoul, M., ... &amp; Wheeler, D. C. (2020). Nomenclature for kidney function and disease: Report of a Kidney Disease: Improving Global Outcomes (KDIGO) consensus conference. </w:t>
      </w:r>
      <w:r>
        <w:rPr>
          <w:rStyle w:val="Emphasis"/>
        </w:rPr>
        <w:t>Kidney International, 97</w:t>
      </w:r>
      <w:r>
        <w:t xml:space="preserve">(6), 1117–1129. </w:t>
      </w:r>
      <w:hyperlink r:id="rId33" w:history="1">
        <w:r>
          <w:rPr>
            <w:rStyle w:val="Hyperlink"/>
          </w:rPr>
          <w:t>https://doi.org/10.1016/j.kint.2020.02.010</w:t>
        </w:r>
      </w:hyperlink>
    </w:p>
    <w:p w14:paraId="0584F92C" w14:textId="77777777" w:rsidR="009F798F" w:rsidRDefault="009F798F" w:rsidP="009F798F">
      <w:pPr>
        <w:pStyle w:val="NormalWeb"/>
        <w:ind w:left="567" w:hanging="567"/>
        <w:jc w:val="both"/>
      </w:pPr>
      <w:r>
        <w:t xml:space="preserve">Nwankwo, V. U., Agu, K. C., Eze, E. A., &amp; Chilaka, F. C. (2016). Effects of </w:t>
      </w:r>
      <w:r>
        <w:rPr>
          <w:rStyle w:val="Emphasis"/>
          <w:rFonts w:eastAsia="Calibri"/>
        </w:rPr>
        <w:t xml:space="preserve">Pterocarpus </w:t>
      </w:r>
      <w:proofErr w:type="spellStart"/>
      <w:r>
        <w:rPr>
          <w:rStyle w:val="Emphasis"/>
          <w:rFonts w:eastAsia="Calibri"/>
        </w:rPr>
        <w:t>mildbraedii</w:t>
      </w:r>
      <w:proofErr w:type="spellEnd"/>
      <w:r>
        <w:t xml:space="preserve"> leaves on biochemical indices of Wistar rats. </w:t>
      </w:r>
      <w:r>
        <w:rPr>
          <w:rStyle w:val="Emphasis"/>
          <w:rFonts w:eastAsia="Calibri"/>
        </w:rPr>
        <w:t>European Scientific Journal, 12</w:t>
      </w:r>
      <w:r>
        <w:t>(26), 89–102.</w:t>
      </w:r>
    </w:p>
    <w:p w14:paraId="5957CAF3" w14:textId="77777777" w:rsidR="009F798F" w:rsidRDefault="009F798F" w:rsidP="009F798F">
      <w:pPr>
        <w:pStyle w:val="NormalWeb"/>
        <w:ind w:left="567" w:hanging="567"/>
        <w:jc w:val="both"/>
      </w:pPr>
      <w:r>
        <w:t xml:space="preserve">Nwankwo, V. U., Eze, E. A., &amp; Chilaka, F. C. (2017). Hepatoprotective potential of </w:t>
      </w:r>
      <w:r>
        <w:rPr>
          <w:rStyle w:val="Emphasis"/>
          <w:rFonts w:eastAsia="Calibri"/>
        </w:rPr>
        <w:t xml:space="preserve">Pterocarpus </w:t>
      </w:r>
      <w:proofErr w:type="spellStart"/>
      <w:r>
        <w:rPr>
          <w:rStyle w:val="Emphasis"/>
          <w:rFonts w:eastAsia="Calibri"/>
        </w:rPr>
        <w:t>mildbraedii</w:t>
      </w:r>
      <w:proofErr w:type="spellEnd"/>
      <w:r>
        <w:t xml:space="preserve"> fractions in rats. </w:t>
      </w:r>
      <w:r>
        <w:rPr>
          <w:rStyle w:val="Emphasis"/>
          <w:rFonts w:eastAsia="Calibri"/>
        </w:rPr>
        <w:t>Journal of Applied Biology &amp; Biotechnology, 5</w:t>
      </w:r>
      <w:r>
        <w:t>(4), 7–14.</w:t>
      </w:r>
    </w:p>
    <w:p w14:paraId="1811AE70" w14:textId="77777777" w:rsidR="009F798F" w:rsidRDefault="009F798F" w:rsidP="009F798F">
      <w:pPr>
        <w:pStyle w:val="NormalWeb"/>
        <w:ind w:left="567" w:hanging="567"/>
        <w:jc w:val="both"/>
      </w:pPr>
      <w:r>
        <w:t xml:space="preserve">Nwokocha, C. R., </w:t>
      </w:r>
      <w:proofErr w:type="spellStart"/>
      <w:r>
        <w:t>Owu</w:t>
      </w:r>
      <w:proofErr w:type="spellEnd"/>
      <w:r>
        <w:t xml:space="preserve">, D. U., </w:t>
      </w:r>
      <w:proofErr w:type="spellStart"/>
      <w:r>
        <w:t>Ufearo</w:t>
      </w:r>
      <w:proofErr w:type="spellEnd"/>
      <w:r>
        <w:t xml:space="preserve">, C. S., &amp; </w:t>
      </w:r>
      <w:proofErr w:type="spellStart"/>
      <w:r>
        <w:t>Iwuala</w:t>
      </w:r>
      <w:proofErr w:type="spellEnd"/>
      <w:r>
        <w:t xml:space="preserve">, M. O. (2017). Comparative effects of some tropical vegetables on kidney function. </w:t>
      </w:r>
      <w:r>
        <w:rPr>
          <w:rStyle w:val="Emphasis"/>
          <w:rFonts w:eastAsia="Calibri"/>
        </w:rPr>
        <w:t>Journal of Medicinal Food, 20</w:t>
      </w:r>
      <w:r>
        <w:t xml:space="preserve">(12), 1200–1207. </w:t>
      </w:r>
      <w:hyperlink r:id="rId34" w:history="1">
        <w:r>
          <w:rPr>
            <w:rStyle w:val="Hyperlink"/>
          </w:rPr>
          <w:t>https://doi.org/10.1089/jmf.2017.0004</w:t>
        </w:r>
      </w:hyperlink>
    </w:p>
    <w:p w14:paraId="795DB036" w14:textId="77777777" w:rsidR="009F798F" w:rsidRDefault="009F798F" w:rsidP="009F798F">
      <w:pPr>
        <w:pStyle w:val="NormalWeb"/>
        <w:ind w:left="567" w:hanging="567"/>
        <w:jc w:val="both"/>
      </w:pPr>
      <w:proofErr w:type="spellStart"/>
      <w:r>
        <w:t>Ogedengbe</w:t>
      </w:r>
      <w:proofErr w:type="spellEnd"/>
      <w:r>
        <w:t xml:space="preserve">, O. S., Afolabi, O. B., &amp; Ajayi, A. M. (2016). Effects of aqueous </w:t>
      </w:r>
      <w:proofErr w:type="spellStart"/>
      <w:r>
        <w:rPr>
          <w:rStyle w:val="Emphasis"/>
          <w:rFonts w:eastAsia="Calibri"/>
        </w:rPr>
        <w:t>Ocimum</w:t>
      </w:r>
      <w:proofErr w:type="spellEnd"/>
      <w:r>
        <w:rPr>
          <w:rStyle w:val="Emphasis"/>
          <w:rFonts w:eastAsia="Calibri"/>
        </w:rPr>
        <w:t xml:space="preserve"> </w:t>
      </w:r>
      <w:proofErr w:type="spellStart"/>
      <w:r>
        <w:rPr>
          <w:rStyle w:val="Emphasis"/>
          <w:rFonts w:eastAsia="Calibri"/>
        </w:rPr>
        <w:t>gratissimum</w:t>
      </w:r>
      <w:proofErr w:type="spellEnd"/>
      <w:r>
        <w:t xml:space="preserve"> leaf extract on gentamicin-induced renal damage in rats. </w:t>
      </w:r>
      <w:r>
        <w:rPr>
          <w:rStyle w:val="Emphasis"/>
          <w:rFonts w:eastAsia="Calibri"/>
        </w:rPr>
        <w:t>Egyptian Journal of Basic and Applied Sciences, 3</w:t>
      </w:r>
      <w:r>
        <w:t xml:space="preserve">(3), 175–184. </w:t>
      </w:r>
      <w:hyperlink r:id="rId35" w:history="1">
        <w:r>
          <w:rPr>
            <w:rStyle w:val="Hyperlink"/>
          </w:rPr>
          <w:t>https://doi.org/10.1016/j.ejbas.2016.04.001</w:t>
        </w:r>
      </w:hyperlink>
    </w:p>
    <w:p w14:paraId="1A3E0A4B" w14:textId="77777777" w:rsidR="009F798F" w:rsidRDefault="009F798F" w:rsidP="009F798F">
      <w:pPr>
        <w:pStyle w:val="NormalWeb"/>
        <w:ind w:left="567" w:hanging="567"/>
        <w:jc w:val="both"/>
      </w:pPr>
      <w:r>
        <w:lastRenderedPageBreak/>
        <w:t xml:space="preserve">Ogunyemi, O. O., et al. (2024). Effects of </w:t>
      </w:r>
      <w:proofErr w:type="spellStart"/>
      <w:r>
        <w:rPr>
          <w:rStyle w:val="Emphasis"/>
          <w:rFonts w:eastAsia="Calibri"/>
        </w:rPr>
        <w:t>Telfairia</w:t>
      </w:r>
      <w:proofErr w:type="spellEnd"/>
      <w:r>
        <w:rPr>
          <w:rStyle w:val="Emphasis"/>
          <w:rFonts w:eastAsia="Calibri"/>
        </w:rPr>
        <w:t xml:space="preserve"> </w:t>
      </w:r>
      <w:proofErr w:type="spellStart"/>
      <w:r>
        <w:rPr>
          <w:rStyle w:val="Emphasis"/>
          <w:rFonts w:eastAsia="Calibri"/>
        </w:rPr>
        <w:t>occidentalis</w:t>
      </w:r>
      <w:proofErr w:type="spellEnd"/>
      <w:r>
        <w:t xml:space="preserve"> leaf extract with acyclovir on renal function in rats. </w:t>
      </w:r>
      <w:r>
        <w:rPr>
          <w:rStyle w:val="Emphasis"/>
          <w:rFonts w:eastAsia="Calibri"/>
        </w:rPr>
        <w:t>Journal of Pharmacognosy and Phytochemistry, 13</w:t>
      </w:r>
      <w:r>
        <w:t>(1), 45–52.</w:t>
      </w:r>
    </w:p>
    <w:p w14:paraId="591DB0B1" w14:textId="77777777" w:rsidR="009F798F" w:rsidRDefault="009F798F" w:rsidP="009F798F">
      <w:pPr>
        <w:pStyle w:val="NormalWeb"/>
        <w:ind w:left="567" w:hanging="567"/>
        <w:jc w:val="both"/>
      </w:pPr>
      <w:proofErr w:type="spellStart"/>
      <w:r>
        <w:t>Ojieh</w:t>
      </w:r>
      <w:proofErr w:type="spellEnd"/>
      <w:r>
        <w:t xml:space="preserve">, G. C., </w:t>
      </w:r>
      <w:proofErr w:type="spellStart"/>
      <w:r>
        <w:t>Adegor</w:t>
      </w:r>
      <w:proofErr w:type="spellEnd"/>
      <w:r>
        <w:t xml:space="preserve">, E. C., &amp; Lawal, O. O. (2008). Biochemical and nutritional evaluation of some Nigerian leafy vegetables. </w:t>
      </w:r>
      <w:r>
        <w:rPr>
          <w:rStyle w:val="Emphasis"/>
        </w:rPr>
        <w:t>African Journal of Food Science, 2</w:t>
      </w:r>
      <w:r>
        <w:t>(1), 9–11.</w:t>
      </w:r>
    </w:p>
    <w:p w14:paraId="63106126" w14:textId="77777777" w:rsidR="009F798F" w:rsidRDefault="009F798F" w:rsidP="009F798F">
      <w:pPr>
        <w:pStyle w:val="NormalWeb"/>
        <w:ind w:left="567" w:hanging="567"/>
        <w:jc w:val="both"/>
      </w:pPr>
      <w:r>
        <w:t xml:space="preserve">Okafor, C. I., </w:t>
      </w:r>
      <w:proofErr w:type="spellStart"/>
      <w:r>
        <w:t>Ijeh</w:t>
      </w:r>
      <w:proofErr w:type="spellEnd"/>
      <w:r>
        <w:t xml:space="preserve">, I. I., &amp; Ejike, C. E. C. C. (2019). Nutritional and phytochemical composition of </w:t>
      </w:r>
      <w:r>
        <w:rPr>
          <w:rStyle w:val="Emphasis"/>
          <w:rFonts w:eastAsia="Calibri"/>
        </w:rPr>
        <w:t xml:space="preserve">Pterocarpus </w:t>
      </w:r>
      <w:proofErr w:type="spellStart"/>
      <w:r>
        <w:rPr>
          <w:rStyle w:val="Emphasis"/>
          <w:rFonts w:eastAsia="Calibri"/>
        </w:rPr>
        <w:t>mildbraedii</w:t>
      </w:r>
      <w:proofErr w:type="spellEnd"/>
      <w:r>
        <w:t xml:space="preserve"> and its potential health benefits. </w:t>
      </w:r>
      <w:r>
        <w:rPr>
          <w:rStyle w:val="Emphasis"/>
          <w:rFonts w:eastAsia="Calibri"/>
        </w:rPr>
        <w:t>Journal of Food Biochemistry, 43</w:t>
      </w:r>
      <w:r>
        <w:t xml:space="preserve">(3), e12757. </w:t>
      </w:r>
      <w:hyperlink r:id="rId36" w:history="1">
        <w:r>
          <w:rPr>
            <w:rStyle w:val="Hyperlink"/>
          </w:rPr>
          <w:t>https://doi.org/10.1111/jfbc.12757</w:t>
        </w:r>
      </w:hyperlink>
    </w:p>
    <w:p w14:paraId="066BC966" w14:textId="77777777" w:rsidR="009F798F" w:rsidRDefault="009F798F" w:rsidP="009F798F">
      <w:pPr>
        <w:pStyle w:val="NormalWeb"/>
        <w:ind w:left="567" w:hanging="567"/>
        <w:jc w:val="both"/>
      </w:pPr>
      <w:r>
        <w:t xml:space="preserve">Okwu, D. E. (2004). Phytochemicals and vitamin content of indigenous spices of South Eastern Nigeria. </w:t>
      </w:r>
      <w:r>
        <w:rPr>
          <w:rStyle w:val="Emphasis"/>
        </w:rPr>
        <w:t>Journal of Sustainable Agriculture and the Environment, 6</w:t>
      </w:r>
      <w:r>
        <w:t>(1), 30–37.</w:t>
      </w:r>
    </w:p>
    <w:p w14:paraId="7019F251" w14:textId="77777777" w:rsidR="009F798F" w:rsidRDefault="009F798F" w:rsidP="009F798F">
      <w:pPr>
        <w:pStyle w:val="NormalWeb"/>
        <w:ind w:left="567" w:hanging="567"/>
        <w:jc w:val="both"/>
      </w:pPr>
      <w:proofErr w:type="spellStart"/>
      <w:r>
        <w:t>Olorunnisola</w:t>
      </w:r>
      <w:proofErr w:type="spellEnd"/>
      <w:r>
        <w:t xml:space="preserve">, O. S., Adetutu, A., &amp; </w:t>
      </w:r>
      <w:proofErr w:type="spellStart"/>
      <w:r>
        <w:t>Owoade</w:t>
      </w:r>
      <w:proofErr w:type="spellEnd"/>
      <w:r>
        <w:t xml:space="preserve">, A. O. (2021). Toxicological evaluation of selected medicinal plants used in Nigeria. </w:t>
      </w:r>
      <w:r>
        <w:rPr>
          <w:rStyle w:val="Emphasis"/>
          <w:rFonts w:eastAsia="Calibri"/>
        </w:rPr>
        <w:t>Evidence-Based Complementary and Alternative Medicine, 2021,</w:t>
      </w:r>
      <w:r>
        <w:t xml:space="preserve"> 5598123. </w:t>
      </w:r>
      <w:hyperlink r:id="rId37" w:history="1">
        <w:r>
          <w:rPr>
            <w:rStyle w:val="Hyperlink"/>
          </w:rPr>
          <w:t>https://doi.org/10.1155/2021/5598123</w:t>
        </w:r>
      </w:hyperlink>
    </w:p>
    <w:p w14:paraId="2E720A55" w14:textId="77777777" w:rsidR="009F798F" w:rsidRDefault="009F798F" w:rsidP="009F798F">
      <w:pPr>
        <w:pStyle w:val="NormalWeb"/>
        <w:ind w:left="567" w:hanging="567"/>
        <w:jc w:val="both"/>
      </w:pPr>
      <w:proofErr w:type="spellStart"/>
      <w:r>
        <w:t>Olorunnisola</w:t>
      </w:r>
      <w:proofErr w:type="spellEnd"/>
      <w:r>
        <w:t xml:space="preserve">, O. S., Akintola, A. O., &amp; </w:t>
      </w:r>
      <w:proofErr w:type="spellStart"/>
      <w:r>
        <w:t>Akinmoladun</w:t>
      </w:r>
      <w:proofErr w:type="spellEnd"/>
      <w:r>
        <w:t xml:space="preserve">, A. C. (2021). Polyphenol-rich extract of </w:t>
      </w:r>
      <w:proofErr w:type="spellStart"/>
      <w:r>
        <w:rPr>
          <w:rStyle w:val="Emphasis"/>
          <w:rFonts w:eastAsia="Calibri"/>
        </w:rPr>
        <w:t>Ocimum</w:t>
      </w:r>
      <w:proofErr w:type="spellEnd"/>
      <w:r>
        <w:rPr>
          <w:rStyle w:val="Emphasis"/>
          <w:rFonts w:eastAsia="Calibri"/>
        </w:rPr>
        <w:t xml:space="preserve"> </w:t>
      </w:r>
      <w:proofErr w:type="spellStart"/>
      <w:r>
        <w:rPr>
          <w:rStyle w:val="Emphasis"/>
          <w:rFonts w:eastAsia="Calibri"/>
        </w:rPr>
        <w:t>gratissimum</w:t>
      </w:r>
      <w:proofErr w:type="spellEnd"/>
      <w:r>
        <w:t xml:space="preserve"> prevents cisplatin-induced nephrotoxicity in rats. </w:t>
      </w:r>
      <w:r>
        <w:rPr>
          <w:rStyle w:val="Emphasis"/>
          <w:rFonts w:eastAsia="Calibri"/>
        </w:rPr>
        <w:t>BMC Complementary Medicine and Therapies, 21,</w:t>
      </w:r>
      <w:r>
        <w:t xml:space="preserve"> 290.</w:t>
      </w:r>
    </w:p>
    <w:p w14:paraId="680330EC" w14:textId="77777777" w:rsidR="009F798F" w:rsidRDefault="009F798F" w:rsidP="009F798F">
      <w:pPr>
        <w:pStyle w:val="NormalWeb"/>
        <w:ind w:left="567" w:hanging="567"/>
        <w:jc w:val="both"/>
      </w:pPr>
      <w:proofErr w:type="spellStart"/>
      <w:r>
        <w:t>Onoh</w:t>
      </w:r>
      <w:proofErr w:type="spellEnd"/>
      <w:r>
        <w:t xml:space="preserve">, F. U., Chukwuma, F. O., &amp; Igwe, C. U. (2019). Nephroprotective activity of </w:t>
      </w:r>
      <w:r>
        <w:rPr>
          <w:rStyle w:val="Emphasis"/>
          <w:rFonts w:eastAsia="Calibri"/>
        </w:rPr>
        <w:t xml:space="preserve">Pterocarpus </w:t>
      </w:r>
      <w:proofErr w:type="spellStart"/>
      <w:r>
        <w:rPr>
          <w:rStyle w:val="Emphasis"/>
          <w:rFonts w:eastAsia="Calibri"/>
        </w:rPr>
        <w:t>mildbraedii</w:t>
      </w:r>
      <w:proofErr w:type="spellEnd"/>
      <w:r>
        <w:t xml:space="preserve"> leaves extract against gentamicin-induced renal injury in rats. </w:t>
      </w:r>
      <w:r>
        <w:rPr>
          <w:rStyle w:val="Emphasis"/>
          <w:rFonts w:eastAsia="Calibri"/>
        </w:rPr>
        <w:t>Journal of Complementary and Integrative Medicine, 16</w:t>
      </w:r>
      <w:r>
        <w:t xml:space="preserve">(2), 1–8. </w:t>
      </w:r>
      <w:hyperlink r:id="rId38" w:history="1">
        <w:r>
          <w:rPr>
            <w:rStyle w:val="Hyperlink"/>
          </w:rPr>
          <w:t>https://doi.org/10.1515/jcim-2018-0120</w:t>
        </w:r>
      </w:hyperlink>
    </w:p>
    <w:p w14:paraId="5D78C9F7" w14:textId="77777777" w:rsidR="009F798F" w:rsidRDefault="009F798F" w:rsidP="009F798F">
      <w:pPr>
        <w:pStyle w:val="NormalWeb"/>
        <w:ind w:left="567" w:hanging="567"/>
        <w:jc w:val="both"/>
      </w:pPr>
      <w:r>
        <w:t xml:space="preserve">Onoja, S. O., Omeh, Y. S., </w:t>
      </w:r>
      <w:proofErr w:type="spellStart"/>
      <w:r>
        <w:t>Ezeja</w:t>
      </w:r>
      <w:proofErr w:type="spellEnd"/>
      <w:r>
        <w:t xml:space="preserve">, M. I., &amp; Chukwu, M. N. (2018). Antioxidant and nephroprotective properties of </w:t>
      </w:r>
      <w:r>
        <w:rPr>
          <w:rStyle w:val="Emphasis"/>
          <w:rFonts w:eastAsia="Calibri"/>
        </w:rPr>
        <w:t xml:space="preserve">Solanum </w:t>
      </w:r>
      <w:proofErr w:type="spellStart"/>
      <w:r>
        <w:rPr>
          <w:rStyle w:val="Emphasis"/>
          <w:rFonts w:eastAsia="Calibri"/>
        </w:rPr>
        <w:t>aethiopicum</w:t>
      </w:r>
      <w:proofErr w:type="spellEnd"/>
      <w:r>
        <w:t xml:space="preserve"> Linn fruits against gentamicin-induced nephrotoxicity in rats. </w:t>
      </w:r>
      <w:r>
        <w:rPr>
          <w:rStyle w:val="Emphasis"/>
          <w:rFonts w:eastAsia="Calibri"/>
        </w:rPr>
        <w:t>Journal of Traditional and Complementary Medicine, 8</w:t>
      </w:r>
      <w:r>
        <w:t xml:space="preserve">(3), 488–495. </w:t>
      </w:r>
      <w:hyperlink r:id="rId39" w:history="1">
        <w:r>
          <w:rPr>
            <w:rStyle w:val="Hyperlink"/>
          </w:rPr>
          <w:t>https://doi.org/10.1016/j.jtcme.2017.11.003</w:t>
        </w:r>
      </w:hyperlink>
    </w:p>
    <w:p w14:paraId="7DE8E8B6" w14:textId="77777777" w:rsidR="009F798F" w:rsidRDefault="009F798F" w:rsidP="009F798F">
      <w:pPr>
        <w:pStyle w:val="NormalWeb"/>
        <w:ind w:left="567" w:hanging="567"/>
        <w:jc w:val="both"/>
      </w:pPr>
      <w:proofErr w:type="spellStart"/>
      <w:r w:rsidRPr="00CE6898">
        <w:rPr>
          <w:highlight w:val="yellow"/>
        </w:rPr>
        <w:t>Ovat</w:t>
      </w:r>
      <w:proofErr w:type="spellEnd"/>
      <w:r w:rsidRPr="00CE6898">
        <w:rPr>
          <w:highlight w:val="yellow"/>
        </w:rPr>
        <w:t xml:space="preserve">, O. E., et al. (2024). Hepato-renal safety profile of </w:t>
      </w:r>
      <w:proofErr w:type="spellStart"/>
      <w:r w:rsidRPr="00CE6898">
        <w:rPr>
          <w:rStyle w:val="Emphasis"/>
          <w:rFonts w:eastAsia="Calibri"/>
        </w:rPr>
        <w:t>Ocimum</w:t>
      </w:r>
      <w:proofErr w:type="spellEnd"/>
      <w:r w:rsidRPr="00CE6898">
        <w:rPr>
          <w:rStyle w:val="Emphasis"/>
          <w:rFonts w:eastAsia="Calibri"/>
        </w:rPr>
        <w:t xml:space="preserve"> </w:t>
      </w:r>
      <w:proofErr w:type="spellStart"/>
      <w:r w:rsidRPr="00CE6898">
        <w:rPr>
          <w:rStyle w:val="Emphasis"/>
          <w:rFonts w:eastAsia="Calibri"/>
        </w:rPr>
        <w:t>gratissimum</w:t>
      </w:r>
      <w:proofErr w:type="spellEnd"/>
      <w:r w:rsidRPr="00CE6898">
        <w:rPr>
          <w:highlight w:val="yellow"/>
        </w:rPr>
        <w:t xml:space="preserve"> fractions: Dose-dependent effects above 400 mg/kg in rats. </w:t>
      </w:r>
      <w:r w:rsidRPr="00CE6898">
        <w:rPr>
          <w:rStyle w:val="Emphasis"/>
          <w:rFonts w:eastAsia="Calibri"/>
        </w:rPr>
        <w:t>International Journal of Research in Ayurveda and Pharmacy, 15</w:t>
      </w:r>
      <w:r w:rsidRPr="00CE6898">
        <w:rPr>
          <w:highlight w:val="yellow"/>
        </w:rPr>
        <w:t>(1), 1–7.</w:t>
      </w:r>
    </w:p>
    <w:p w14:paraId="6B34821B" w14:textId="77777777" w:rsidR="009F798F" w:rsidRDefault="009F798F" w:rsidP="009F798F">
      <w:pPr>
        <w:pStyle w:val="NormalWeb"/>
        <w:ind w:left="567" w:hanging="567"/>
        <w:jc w:val="both"/>
      </w:pPr>
      <w:proofErr w:type="spellStart"/>
      <w:r>
        <w:t>Oyedemi</w:t>
      </w:r>
      <w:proofErr w:type="spellEnd"/>
      <w:r>
        <w:t xml:space="preserve">, S. O., Afolayan, A. J., &amp; </w:t>
      </w:r>
      <w:proofErr w:type="spellStart"/>
      <w:r>
        <w:t>Akinmoladun</w:t>
      </w:r>
      <w:proofErr w:type="spellEnd"/>
      <w:r>
        <w:t xml:space="preserve">, F. O. (2010). Phytochemical composition, proximate analysis, and in vitro antioxidant activities of aqueous extract of </w:t>
      </w:r>
      <w:proofErr w:type="spellStart"/>
      <w:r>
        <w:rPr>
          <w:rStyle w:val="Emphasis"/>
        </w:rPr>
        <w:t>Helichrysum</w:t>
      </w:r>
      <w:proofErr w:type="spellEnd"/>
      <w:r>
        <w:rPr>
          <w:rStyle w:val="Emphasis"/>
        </w:rPr>
        <w:t xml:space="preserve"> </w:t>
      </w:r>
      <w:proofErr w:type="spellStart"/>
      <w:r>
        <w:rPr>
          <w:rStyle w:val="Emphasis"/>
        </w:rPr>
        <w:t>pedunculatum</w:t>
      </w:r>
      <w:proofErr w:type="spellEnd"/>
      <w:r>
        <w:t xml:space="preserve">. </w:t>
      </w:r>
      <w:r>
        <w:rPr>
          <w:rStyle w:val="Emphasis"/>
        </w:rPr>
        <w:t>International Journal of Molecular Sciences, 11</w:t>
      </w:r>
      <w:r>
        <w:t xml:space="preserve">(11), 4985–5000. </w:t>
      </w:r>
      <w:hyperlink r:id="rId40" w:history="1">
        <w:r>
          <w:rPr>
            <w:rStyle w:val="Hyperlink"/>
          </w:rPr>
          <w:t>https://doi.org/10.3390/ijms11114985</w:t>
        </w:r>
      </w:hyperlink>
    </w:p>
    <w:p w14:paraId="5870268A" w14:textId="77777777" w:rsidR="009F798F" w:rsidRDefault="009F798F" w:rsidP="009F798F">
      <w:pPr>
        <w:pStyle w:val="NormalWeb"/>
        <w:ind w:left="567" w:hanging="567"/>
        <w:jc w:val="both"/>
      </w:pPr>
      <w:proofErr w:type="spellStart"/>
      <w:r>
        <w:t>Phoswa</w:t>
      </w:r>
      <w:proofErr w:type="spellEnd"/>
      <w:r>
        <w:t xml:space="preserve">, W. N., &amp; </w:t>
      </w:r>
      <w:proofErr w:type="spellStart"/>
      <w:r>
        <w:t>Mokgalaboni</w:t>
      </w:r>
      <w:proofErr w:type="spellEnd"/>
      <w:r>
        <w:t xml:space="preserve">, K. (2023). Comprehensive overview of the effects of </w:t>
      </w:r>
      <w:r>
        <w:rPr>
          <w:rStyle w:val="Emphasis"/>
          <w:rFonts w:eastAsia="Calibri"/>
        </w:rPr>
        <w:t>Amaranthus</w:t>
      </w:r>
      <w:r>
        <w:t xml:space="preserve"> and </w:t>
      </w:r>
      <w:r>
        <w:rPr>
          <w:rStyle w:val="Emphasis"/>
          <w:rFonts w:eastAsia="Calibri"/>
        </w:rPr>
        <w:t>Abelmoschus esculentus</w:t>
      </w:r>
      <w:r>
        <w:t xml:space="preserve"> on markers of oxidative stress in diabetes mellitus. </w:t>
      </w:r>
      <w:r>
        <w:rPr>
          <w:rStyle w:val="Emphasis"/>
          <w:rFonts w:eastAsia="Calibri"/>
        </w:rPr>
        <w:t>Life, 13</w:t>
      </w:r>
      <w:r>
        <w:t xml:space="preserve">(9), 1830. </w:t>
      </w:r>
      <w:hyperlink r:id="rId41" w:history="1">
        <w:r>
          <w:rPr>
            <w:rStyle w:val="Hyperlink"/>
          </w:rPr>
          <w:t>https://doi.org/10.3390/life13091830</w:t>
        </w:r>
      </w:hyperlink>
    </w:p>
    <w:p w14:paraId="61836927" w14:textId="77777777" w:rsidR="009F798F" w:rsidRDefault="009F798F" w:rsidP="009F798F">
      <w:pPr>
        <w:pStyle w:val="NormalWeb"/>
        <w:ind w:left="567" w:hanging="567"/>
        <w:jc w:val="both"/>
      </w:pPr>
      <w:proofErr w:type="spellStart"/>
      <w:r>
        <w:t>Sofowora</w:t>
      </w:r>
      <w:proofErr w:type="spellEnd"/>
      <w:r>
        <w:t xml:space="preserve">, A. (1993). </w:t>
      </w:r>
      <w:r>
        <w:rPr>
          <w:rStyle w:val="Emphasis"/>
        </w:rPr>
        <w:t>Medicinal plants and traditional medicine in Africa</w:t>
      </w:r>
      <w:r>
        <w:t xml:space="preserve"> (2nd ed.). Ibadan: Spectrum Books Ltd.</w:t>
      </w:r>
    </w:p>
    <w:p w14:paraId="0965E206" w14:textId="77777777" w:rsidR="009F798F" w:rsidRDefault="009F798F" w:rsidP="009F798F">
      <w:pPr>
        <w:pStyle w:val="NormalWeb"/>
        <w:ind w:left="567" w:hanging="567"/>
        <w:jc w:val="both"/>
      </w:pPr>
      <w:r>
        <w:t xml:space="preserve">Udeh, N. E., Ogbonna, S. U., &amp; </w:t>
      </w:r>
      <w:proofErr w:type="spellStart"/>
      <w:r>
        <w:t>Ijeh</w:t>
      </w:r>
      <w:proofErr w:type="spellEnd"/>
      <w:r>
        <w:t xml:space="preserve">, I. I. (2018). Protective effects of </w:t>
      </w:r>
      <w:r>
        <w:rPr>
          <w:rStyle w:val="Emphasis"/>
        </w:rPr>
        <w:t xml:space="preserve">Solanum </w:t>
      </w:r>
      <w:proofErr w:type="spellStart"/>
      <w:r>
        <w:rPr>
          <w:rStyle w:val="Emphasis"/>
        </w:rPr>
        <w:t>aethiopicum</w:t>
      </w:r>
      <w:proofErr w:type="spellEnd"/>
      <w:r>
        <w:t xml:space="preserve"> leaf extract on kidney function parameters of rats exposed to oxidative stress. </w:t>
      </w:r>
      <w:r>
        <w:rPr>
          <w:rStyle w:val="Emphasis"/>
        </w:rPr>
        <w:t>International Journal of Biochemistry Research &amp; Review, 21</w:t>
      </w:r>
      <w:r>
        <w:t xml:space="preserve">(2), 1–8. </w:t>
      </w:r>
      <w:hyperlink r:id="rId42" w:history="1">
        <w:r>
          <w:rPr>
            <w:rStyle w:val="Hyperlink"/>
          </w:rPr>
          <w:t>https://doi.org/10.9734/IJBCRR/2018/41217</w:t>
        </w:r>
      </w:hyperlink>
    </w:p>
    <w:p w14:paraId="249CC664" w14:textId="77777777" w:rsidR="009F798F" w:rsidRDefault="009F798F" w:rsidP="009F798F">
      <w:pPr>
        <w:pStyle w:val="NormalWeb"/>
        <w:ind w:left="567" w:hanging="567"/>
        <w:jc w:val="both"/>
      </w:pPr>
      <w:r>
        <w:lastRenderedPageBreak/>
        <w:t xml:space="preserve">Ugwu, C. E., &amp; Orji, P. N. (2020). Phytochemical composition and nephrotoxic potential of selected vegetables consumed in South-Eastern Nigeria. </w:t>
      </w:r>
      <w:r>
        <w:rPr>
          <w:rStyle w:val="Emphasis"/>
          <w:rFonts w:eastAsia="Calibri"/>
        </w:rPr>
        <w:t>Toxicology Reports, 7,</w:t>
      </w:r>
      <w:r>
        <w:t xml:space="preserve"> 1114–1120. </w:t>
      </w:r>
      <w:hyperlink r:id="rId43" w:history="1">
        <w:r>
          <w:rPr>
            <w:rStyle w:val="Hyperlink"/>
          </w:rPr>
          <w:t>https://doi.org/10.1016/j.toxrep.2020.07.018</w:t>
        </w:r>
      </w:hyperlink>
    </w:p>
    <w:p w14:paraId="2D73A560" w14:textId="77777777" w:rsidR="009F798F" w:rsidRPr="00C96900" w:rsidRDefault="009F798F" w:rsidP="009F798F">
      <w:pPr>
        <w:pStyle w:val="NormalWeb"/>
        <w:ind w:left="567" w:hanging="567"/>
        <w:jc w:val="both"/>
      </w:pPr>
      <w:r>
        <w:t xml:space="preserve">Vaidya, V. S., Ferguson, M. A., &amp; Bonventre, J. V. (2008). Biomarkers of acute kidney injury. </w:t>
      </w:r>
      <w:r>
        <w:rPr>
          <w:rStyle w:val="Emphasis"/>
        </w:rPr>
        <w:t>Annual Review of Pharmacology and Toxicology, 48</w:t>
      </w:r>
      <w:r>
        <w:t xml:space="preserve">, 463–493. </w:t>
      </w:r>
      <w:hyperlink r:id="rId44" w:history="1">
        <w:r>
          <w:rPr>
            <w:rStyle w:val="Hyperlink"/>
          </w:rPr>
          <w:t>https://doi.org/10.1146/annurev.pharmtox.48.113006.094615</w:t>
        </w:r>
      </w:hyperlink>
    </w:p>
    <w:sectPr w:rsidR="009F798F" w:rsidRPr="00C96900" w:rsidSect="005D4AE0">
      <w:headerReference w:type="even" r:id="rId45"/>
      <w:headerReference w:type="default" r:id="rId46"/>
      <w:footerReference w:type="even" r:id="rId47"/>
      <w:footerReference w:type="default" r:id="rId48"/>
      <w:headerReference w:type="first" r:id="rId49"/>
      <w:footerReference w:type="first" r:id="rId50"/>
      <w:pgSz w:w="11906" w:h="16838"/>
      <w:pgMar w:top="1440" w:right="991" w:bottom="1440" w:left="108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D4358" w14:textId="77777777" w:rsidR="00B0449D" w:rsidRDefault="00B0449D">
      <w:r>
        <w:separator/>
      </w:r>
    </w:p>
  </w:endnote>
  <w:endnote w:type="continuationSeparator" w:id="0">
    <w:p w14:paraId="49D10EED" w14:textId="77777777" w:rsidR="00B0449D" w:rsidRDefault="00B0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59799" w14:textId="77777777" w:rsidR="006651D5" w:rsidRDefault="00665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78F1" w14:textId="77777777" w:rsidR="00106080" w:rsidRPr="006840CF" w:rsidRDefault="007C13F4">
    <w:pPr>
      <w:pStyle w:val="Footer"/>
      <w:jc w:val="center"/>
    </w:pPr>
    <w:r>
      <w:fldChar w:fldCharType="begin"/>
    </w:r>
    <w:r>
      <w:instrText xml:space="preserve"> PAGE   \* MERGEFORMAT </w:instrText>
    </w:r>
    <w:r>
      <w:fldChar w:fldCharType="separate"/>
    </w:r>
    <w:r>
      <w:rPr>
        <w:noProof/>
      </w:rPr>
      <w:t>1</w:t>
    </w:r>
    <w:r>
      <w:rPr>
        <w:noProof/>
      </w:rPr>
      <w:fldChar w:fldCharType="end"/>
    </w:r>
  </w:p>
  <w:p w14:paraId="35118354" w14:textId="77777777" w:rsidR="00106080" w:rsidRPr="001D4B06" w:rsidRDefault="00106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E5DFF" w14:textId="77777777" w:rsidR="00106080" w:rsidRDefault="00106080">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AE223" w14:textId="77777777" w:rsidR="00B0449D" w:rsidRDefault="00B0449D">
      <w:r>
        <w:separator/>
      </w:r>
    </w:p>
  </w:footnote>
  <w:footnote w:type="continuationSeparator" w:id="0">
    <w:p w14:paraId="0536BD67" w14:textId="77777777" w:rsidR="00B0449D" w:rsidRDefault="00B04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2C02F" w14:textId="5CAB3B94" w:rsidR="006651D5" w:rsidRDefault="006651D5">
    <w:pPr>
      <w:pStyle w:val="Header"/>
    </w:pPr>
    <w:r>
      <w:rPr>
        <w:noProof/>
      </w:rPr>
      <w:pict w14:anchorId="52428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99454" o:spid="_x0000_s2050" type="#_x0000_t136" style="position:absolute;margin-left:0;margin-top:0;width:623.95pt;height:69.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5F810" w14:textId="6474CD20" w:rsidR="006651D5" w:rsidRDefault="006651D5">
    <w:pPr>
      <w:pStyle w:val="Header"/>
    </w:pPr>
    <w:r>
      <w:rPr>
        <w:noProof/>
      </w:rPr>
      <w:pict w14:anchorId="322C3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99455" o:spid="_x0000_s2051" type="#_x0000_t136" style="position:absolute;margin-left:0;margin-top:0;width:623.95pt;height:69.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78F45" w14:textId="56D8A632" w:rsidR="006651D5" w:rsidRDefault="006651D5">
    <w:pPr>
      <w:pStyle w:val="Header"/>
    </w:pPr>
    <w:r>
      <w:rPr>
        <w:noProof/>
      </w:rPr>
      <w:pict w14:anchorId="29F5D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99453" o:spid="_x0000_s2049" type="#_x0000_t136" style="position:absolute;margin-left:0;margin-top:0;width:623.95pt;height:69.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16412"/>
    <w:multiLevelType w:val="multilevel"/>
    <w:tmpl w:val="8A60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15D5D"/>
    <w:multiLevelType w:val="multilevel"/>
    <w:tmpl w:val="220A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73C83"/>
    <w:multiLevelType w:val="multilevel"/>
    <w:tmpl w:val="7AD4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E7554"/>
    <w:multiLevelType w:val="multilevel"/>
    <w:tmpl w:val="D522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C17D7A"/>
    <w:multiLevelType w:val="multilevel"/>
    <w:tmpl w:val="0DD8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233596"/>
    <w:multiLevelType w:val="multilevel"/>
    <w:tmpl w:val="FD06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806394"/>
    <w:multiLevelType w:val="multilevel"/>
    <w:tmpl w:val="F62CB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D84515"/>
    <w:multiLevelType w:val="multilevel"/>
    <w:tmpl w:val="09D4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3"/>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19D7"/>
    <w:rsid w:val="00004C71"/>
    <w:rsid w:val="000261BB"/>
    <w:rsid w:val="000329BD"/>
    <w:rsid w:val="00051926"/>
    <w:rsid w:val="00086F7E"/>
    <w:rsid w:val="00106080"/>
    <w:rsid w:val="00112E74"/>
    <w:rsid w:val="00123F58"/>
    <w:rsid w:val="00185147"/>
    <w:rsid w:val="001B7B03"/>
    <w:rsid w:val="001E1838"/>
    <w:rsid w:val="002121F5"/>
    <w:rsid w:val="00222803"/>
    <w:rsid w:val="00231F07"/>
    <w:rsid w:val="00254143"/>
    <w:rsid w:val="002B271D"/>
    <w:rsid w:val="002B77DA"/>
    <w:rsid w:val="002D7F2F"/>
    <w:rsid w:val="002E6367"/>
    <w:rsid w:val="002F2B72"/>
    <w:rsid w:val="0032668A"/>
    <w:rsid w:val="003343A4"/>
    <w:rsid w:val="003415FB"/>
    <w:rsid w:val="00351123"/>
    <w:rsid w:val="00376E75"/>
    <w:rsid w:val="003934B7"/>
    <w:rsid w:val="003B32BD"/>
    <w:rsid w:val="00424B5D"/>
    <w:rsid w:val="004A656B"/>
    <w:rsid w:val="004B4F70"/>
    <w:rsid w:val="004C1504"/>
    <w:rsid w:val="004C676B"/>
    <w:rsid w:val="004D61F9"/>
    <w:rsid w:val="004D765A"/>
    <w:rsid w:val="004E7E7D"/>
    <w:rsid w:val="004F79A4"/>
    <w:rsid w:val="005146C0"/>
    <w:rsid w:val="00516BFA"/>
    <w:rsid w:val="0055062B"/>
    <w:rsid w:val="00555557"/>
    <w:rsid w:val="005C4CC2"/>
    <w:rsid w:val="005C67DA"/>
    <w:rsid w:val="005D4AE0"/>
    <w:rsid w:val="00603335"/>
    <w:rsid w:val="006260A3"/>
    <w:rsid w:val="00633006"/>
    <w:rsid w:val="006370C5"/>
    <w:rsid w:val="00650EFB"/>
    <w:rsid w:val="00650F4D"/>
    <w:rsid w:val="00664EC5"/>
    <w:rsid w:val="006651D5"/>
    <w:rsid w:val="006769E7"/>
    <w:rsid w:val="006846B7"/>
    <w:rsid w:val="00692D98"/>
    <w:rsid w:val="006962FF"/>
    <w:rsid w:val="006A3191"/>
    <w:rsid w:val="006B2938"/>
    <w:rsid w:val="007010D1"/>
    <w:rsid w:val="0070112B"/>
    <w:rsid w:val="00701BE1"/>
    <w:rsid w:val="00703080"/>
    <w:rsid w:val="0071071F"/>
    <w:rsid w:val="00725243"/>
    <w:rsid w:val="0072626D"/>
    <w:rsid w:val="00736F20"/>
    <w:rsid w:val="00750BB2"/>
    <w:rsid w:val="00753F5B"/>
    <w:rsid w:val="007A6C5C"/>
    <w:rsid w:val="007C13F4"/>
    <w:rsid w:val="007C3C86"/>
    <w:rsid w:val="007E380B"/>
    <w:rsid w:val="007F023A"/>
    <w:rsid w:val="008023B3"/>
    <w:rsid w:val="00810BCE"/>
    <w:rsid w:val="00824DE2"/>
    <w:rsid w:val="008250C4"/>
    <w:rsid w:val="00852F0E"/>
    <w:rsid w:val="00871C63"/>
    <w:rsid w:val="0088096A"/>
    <w:rsid w:val="009440E6"/>
    <w:rsid w:val="00967142"/>
    <w:rsid w:val="00985729"/>
    <w:rsid w:val="009C1B04"/>
    <w:rsid w:val="009F798F"/>
    <w:rsid w:val="00A17B33"/>
    <w:rsid w:val="00A747CC"/>
    <w:rsid w:val="00A74D69"/>
    <w:rsid w:val="00AA6F61"/>
    <w:rsid w:val="00AD503C"/>
    <w:rsid w:val="00AE326B"/>
    <w:rsid w:val="00B0449D"/>
    <w:rsid w:val="00B179E9"/>
    <w:rsid w:val="00BB5AE9"/>
    <w:rsid w:val="00BE3A9F"/>
    <w:rsid w:val="00BF7A26"/>
    <w:rsid w:val="00C0006B"/>
    <w:rsid w:val="00C96900"/>
    <w:rsid w:val="00CE6898"/>
    <w:rsid w:val="00D048E0"/>
    <w:rsid w:val="00D13103"/>
    <w:rsid w:val="00D52A0D"/>
    <w:rsid w:val="00D71EC6"/>
    <w:rsid w:val="00D86914"/>
    <w:rsid w:val="00DA1DC5"/>
    <w:rsid w:val="00DB4BFA"/>
    <w:rsid w:val="00DD5B16"/>
    <w:rsid w:val="00DD6727"/>
    <w:rsid w:val="00DD7A8B"/>
    <w:rsid w:val="00DF0045"/>
    <w:rsid w:val="00DF3C87"/>
    <w:rsid w:val="00E13529"/>
    <w:rsid w:val="00E219D7"/>
    <w:rsid w:val="00E25BED"/>
    <w:rsid w:val="00E56984"/>
    <w:rsid w:val="00E8572C"/>
    <w:rsid w:val="00E97896"/>
    <w:rsid w:val="00EA32A6"/>
    <w:rsid w:val="00EB5613"/>
    <w:rsid w:val="00EC3EB1"/>
    <w:rsid w:val="00EC4486"/>
    <w:rsid w:val="00ED28EC"/>
    <w:rsid w:val="00EE7951"/>
    <w:rsid w:val="00F120F0"/>
    <w:rsid w:val="00F123D3"/>
    <w:rsid w:val="00F156BA"/>
    <w:rsid w:val="00F3528E"/>
    <w:rsid w:val="00F51C87"/>
    <w:rsid w:val="00F64420"/>
    <w:rsid w:val="00F66B56"/>
    <w:rsid w:val="00F82079"/>
    <w:rsid w:val="00FD7B0A"/>
    <w:rsid w:val="00FF7B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D22B94"/>
  <w15:docId w15:val="{C3575495-6764-46B5-B3D7-9599A667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9D7"/>
    <w:pPr>
      <w:spacing w:after="0" w:line="240" w:lineRule="auto"/>
    </w:pPr>
    <w:rPr>
      <w:rFonts w:ascii="Times New Roman" w:eastAsia="Times New Roman" w:hAnsi="Times New Roman" w:cs="Times New Roman"/>
      <w:kern w:val="0"/>
      <w:sz w:val="24"/>
      <w:szCs w:val="24"/>
      <w:lang w:val="en-GB" w:eastAsia="en-GB"/>
    </w:rPr>
  </w:style>
  <w:style w:type="paragraph" w:styleId="Heading3">
    <w:name w:val="heading 3"/>
    <w:basedOn w:val="Normal"/>
    <w:link w:val="Heading3Char"/>
    <w:uiPriority w:val="9"/>
    <w:qFormat/>
    <w:rsid w:val="000329BD"/>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19D7"/>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E219D7"/>
    <w:rPr>
      <w:rFonts w:ascii="Calibri" w:eastAsia="Calibri" w:hAnsi="Calibri" w:cs="Times New Roman"/>
      <w:kern w:val="0"/>
      <w:lang w:val="en-GB"/>
    </w:rPr>
  </w:style>
  <w:style w:type="character" w:styleId="Emphasis">
    <w:name w:val="Emphasis"/>
    <w:uiPriority w:val="20"/>
    <w:qFormat/>
    <w:rsid w:val="00E219D7"/>
    <w:rPr>
      <w:i/>
      <w:iCs/>
    </w:rPr>
  </w:style>
  <w:style w:type="character" w:styleId="Hyperlink">
    <w:name w:val="Hyperlink"/>
    <w:uiPriority w:val="99"/>
    <w:unhideWhenUsed/>
    <w:rsid w:val="00E219D7"/>
    <w:rPr>
      <w:color w:val="0000FF"/>
      <w:u w:val="single"/>
    </w:rPr>
  </w:style>
  <w:style w:type="character" w:styleId="Strong">
    <w:name w:val="Strong"/>
    <w:basedOn w:val="DefaultParagraphFont"/>
    <w:uiPriority w:val="22"/>
    <w:qFormat/>
    <w:rsid w:val="00F64420"/>
    <w:rPr>
      <w:b/>
      <w:bCs/>
    </w:rPr>
  </w:style>
  <w:style w:type="table" w:styleId="TableGrid">
    <w:name w:val="Table Grid"/>
    <w:basedOn w:val="TableNormal"/>
    <w:uiPriority w:val="59"/>
    <w:rsid w:val="00725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5243"/>
    <w:rPr>
      <w:rFonts w:ascii="Tahoma" w:hAnsi="Tahoma" w:cs="Tahoma"/>
      <w:sz w:val="16"/>
      <w:szCs w:val="16"/>
    </w:rPr>
  </w:style>
  <w:style w:type="character" w:customStyle="1" w:styleId="BalloonTextChar">
    <w:name w:val="Balloon Text Char"/>
    <w:basedOn w:val="DefaultParagraphFont"/>
    <w:link w:val="BalloonText"/>
    <w:uiPriority w:val="99"/>
    <w:semiHidden/>
    <w:rsid w:val="00725243"/>
    <w:rPr>
      <w:rFonts w:ascii="Tahoma" w:eastAsia="Times New Roman" w:hAnsi="Tahoma" w:cs="Tahoma"/>
      <w:kern w:val="0"/>
      <w:sz w:val="16"/>
      <w:szCs w:val="16"/>
      <w:lang w:val="en-GB" w:eastAsia="en-GB"/>
    </w:rPr>
  </w:style>
  <w:style w:type="paragraph" w:styleId="NormalWeb">
    <w:name w:val="Normal (Web)"/>
    <w:basedOn w:val="Normal"/>
    <w:uiPriority w:val="99"/>
    <w:unhideWhenUsed/>
    <w:rsid w:val="00725243"/>
    <w:pPr>
      <w:spacing w:before="100" w:beforeAutospacing="1" w:after="100" w:afterAutospacing="1"/>
    </w:pPr>
    <w:rPr>
      <w:lang w:val="en-US" w:eastAsia="en-US"/>
    </w:rPr>
  </w:style>
  <w:style w:type="paragraph" w:styleId="DocumentMap">
    <w:name w:val="Document Map"/>
    <w:basedOn w:val="Normal"/>
    <w:link w:val="DocumentMapChar"/>
    <w:uiPriority w:val="99"/>
    <w:semiHidden/>
    <w:unhideWhenUsed/>
    <w:rsid w:val="007E380B"/>
    <w:rPr>
      <w:rFonts w:ascii="Tahoma" w:hAnsi="Tahoma" w:cs="Tahoma"/>
      <w:sz w:val="16"/>
      <w:szCs w:val="16"/>
    </w:rPr>
  </w:style>
  <w:style w:type="character" w:customStyle="1" w:styleId="DocumentMapChar">
    <w:name w:val="Document Map Char"/>
    <w:basedOn w:val="DefaultParagraphFont"/>
    <w:link w:val="DocumentMap"/>
    <w:uiPriority w:val="99"/>
    <w:semiHidden/>
    <w:rsid w:val="007E380B"/>
    <w:rPr>
      <w:rFonts w:ascii="Tahoma" w:eastAsia="Times New Roman" w:hAnsi="Tahoma" w:cs="Tahoma"/>
      <w:kern w:val="0"/>
      <w:sz w:val="16"/>
      <w:szCs w:val="16"/>
      <w:lang w:val="en-GB" w:eastAsia="en-GB"/>
    </w:rPr>
  </w:style>
  <w:style w:type="character" w:customStyle="1" w:styleId="Heading3Char">
    <w:name w:val="Heading 3 Char"/>
    <w:basedOn w:val="DefaultParagraphFont"/>
    <w:link w:val="Heading3"/>
    <w:uiPriority w:val="9"/>
    <w:rsid w:val="000329BD"/>
    <w:rPr>
      <w:rFonts w:ascii="Times New Roman" w:eastAsia="Times New Roman" w:hAnsi="Times New Roman" w:cs="Times New Roman"/>
      <w:b/>
      <w:bCs/>
      <w:kern w:val="0"/>
      <w:sz w:val="27"/>
      <w:szCs w:val="27"/>
    </w:rPr>
  </w:style>
  <w:style w:type="character" w:customStyle="1" w:styleId="ms-1">
    <w:name w:val="ms-1"/>
    <w:basedOn w:val="DefaultParagraphFont"/>
    <w:rsid w:val="00DB4BFA"/>
  </w:style>
  <w:style w:type="character" w:customStyle="1" w:styleId="max-w-full">
    <w:name w:val="max-w-full"/>
    <w:basedOn w:val="DefaultParagraphFont"/>
    <w:rsid w:val="00DB4BFA"/>
  </w:style>
  <w:style w:type="character" w:styleId="UnresolvedMention">
    <w:name w:val="Unresolved Mention"/>
    <w:basedOn w:val="DefaultParagraphFont"/>
    <w:uiPriority w:val="99"/>
    <w:semiHidden/>
    <w:unhideWhenUsed/>
    <w:rsid w:val="002B271D"/>
    <w:rPr>
      <w:color w:val="605E5C"/>
      <w:shd w:val="clear" w:color="auto" w:fill="E1DFDD"/>
    </w:rPr>
  </w:style>
  <w:style w:type="paragraph" w:styleId="Header">
    <w:name w:val="header"/>
    <w:basedOn w:val="Normal"/>
    <w:link w:val="HeaderChar"/>
    <w:uiPriority w:val="99"/>
    <w:unhideWhenUsed/>
    <w:rsid w:val="006651D5"/>
    <w:pPr>
      <w:tabs>
        <w:tab w:val="center" w:pos="4680"/>
        <w:tab w:val="right" w:pos="9360"/>
      </w:tabs>
    </w:pPr>
  </w:style>
  <w:style w:type="character" w:customStyle="1" w:styleId="HeaderChar">
    <w:name w:val="Header Char"/>
    <w:basedOn w:val="DefaultParagraphFont"/>
    <w:link w:val="Header"/>
    <w:uiPriority w:val="99"/>
    <w:rsid w:val="006651D5"/>
    <w:rPr>
      <w:rFonts w:ascii="Times New Roman" w:eastAsia="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3234">
      <w:bodyDiv w:val="1"/>
      <w:marLeft w:val="0"/>
      <w:marRight w:val="0"/>
      <w:marTop w:val="0"/>
      <w:marBottom w:val="0"/>
      <w:divBdr>
        <w:top w:val="none" w:sz="0" w:space="0" w:color="auto"/>
        <w:left w:val="none" w:sz="0" w:space="0" w:color="auto"/>
        <w:bottom w:val="none" w:sz="0" w:space="0" w:color="auto"/>
        <w:right w:val="none" w:sz="0" w:space="0" w:color="auto"/>
      </w:divBdr>
    </w:div>
    <w:div w:id="9600191">
      <w:bodyDiv w:val="1"/>
      <w:marLeft w:val="0"/>
      <w:marRight w:val="0"/>
      <w:marTop w:val="0"/>
      <w:marBottom w:val="0"/>
      <w:divBdr>
        <w:top w:val="none" w:sz="0" w:space="0" w:color="auto"/>
        <w:left w:val="none" w:sz="0" w:space="0" w:color="auto"/>
        <w:bottom w:val="none" w:sz="0" w:space="0" w:color="auto"/>
        <w:right w:val="none" w:sz="0" w:space="0" w:color="auto"/>
      </w:divBdr>
    </w:div>
    <w:div w:id="35739018">
      <w:bodyDiv w:val="1"/>
      <w:marLeft w:val="0"/>
      <w:marRight w:val="0"/>
      <w:marTop w:val="0"/>
      <w:marBottom w:val="0"/>
      <w:divBdr>
        <w:top w:val="none" w:sz="0" w:space="0" w:color="auto"/>
        <w:left w:val="none" w:sz="0" w:space="0" w:color="auto"/>
        <w:bottom w:val="none" w:sz="0" w:space="0" w:color="auto"/>
        <w:right w:val="none" w:sz="0" w:space="0" w:color="auto"/>
      </w:divBdr>
    </w:div>
    <w:div w:id="56325869">
      <w:bodyDiv w:val="1"/>
      <w:marLeft w:val="0"/>
      <w:marRight w:val="0"/>
      <w:marTop w:val="0"/>
      <w:marBottom w:val="0"/>
      <w:divBdr>
        <w:top w:val="none" w:sz="0" w:space="0" w:color="auto"/>
        <w:left w:val="none" w:sz="0" w:space="0" w:color="auto"/>
        <w:bottom w:val="none" w:sz="0" w:space="0" w:color="auto"/>
        <w:right w:val="none" w:sz="0" w:space="0" w:color="auto"/>
      </w:divBdr>
    </w:div>
    <w:div w:id="112939549">
      <w:bodyDiv w:val="1"/>
      <w:marLeft w:val="0"/>
      <w:marRight w:val="0"/>
      <w:marTop w:val="0"/>
      <w:marBottom w:val="0"/>
      <w:divBdr>
        <w:top w:val="none" w:sz="0" w:space="0" w:color="auto"/>
        <w:left w:val="none" w:sz="0" w:space="0" w:color="auto"/>
        <w:bottom w:val="none" w:sz="0" w:space="0" w:color="auto"/>
        <w:right w:val="none" w:sz="0" w:space="0" w:color="auto"/>
      </w:divBdr>
    </w:div>
    <w:div w:id="130444146">
      <w:bodyDiv w:val="1"/>
      <w:marLeft w:val="0"/>
      <w:marRight w:val="0"/>
      <w:marTop w:val="0"/>
      <w:marBottom w:val="0"/>
      <w:divBdr>
        <w:top w:val="none" w:sz="0" w:space="0" w:color="auto"/>
        <w:left w:val="none" w:sz="0" w:space="0" w:color="auto"/>
        <w:bottom w:val="none" w:sz="0" w:space="0" w:color="auto"/>
        <w:right w:val="none" w:sz="0" w:space="0" w:color="auto"/>
      </w:divBdr>
    </w:div>
    <w:div w:id="173762360">
      <w:bodyDiv w:val="1"/>
      <w:marLeft w:val="0"/>
      <w:marRight w:val="0"/>
      <w:marTop w:val="0"/>
      <w:marBottom w:val="0"/>
      <w:divBdr>
        <w:top w:val="none" w:sz="0" w:space="0" w:color="auto"/>
        <w:left w:val="none" w:sz="0" w:space="0" w:color="auto"/>
        <w:bottom w:val="none" w:sz="0" w:space="0" w:color="auto"/>
        <w:right w:val="none" w:sz="0" w:space="0" w:color="auto"/>
      </w:divBdr>
    </w:div>
    <w:div w:id="255597636">
      <w:bodyDiv w:val="1"/>
      <w:marLeft w:val="0"/>
      <w:marRight w:val="0"/>
      <w:marTop w:val="0"/>
      <w:marBottom w:val="0"/>
      <w:divBdr>
        <w:top w:val="none" w:sz="0" w:space="0" w:color="auto"/>
        <w:left w:val="none" w:sz="0" w:space="0" w:color="auto"/>
        <w:bottom w:val="none" w:sz="0" w:space="0" w:color="auto"/>
        <w:right w:val="none" w:sz="0" w:space="0" w:color="auto"/>
      </w:divBdr>
    </w:div>
    <w:div w:id="261492652">
      <w:bodyDiv w:val="1"/>
      <w:marLeft w:val="0"/>
      <w:marRight w:val="0"/>
      <w:marTop w:val="0"/>
      <w:marBottom w:val="0"/>
      <w:divBdr>
        <w:top w:val="none" w:sz="0" w:space="0" w:color="auto"/>
        <w:left w:val="none" w:sz="0" w:space="0" w:color="auto"/>
        <w:bottom w:val="none" w:sz="0" w:space="0" w:color="auto"/>
        <w:right w:val="none" w:sz="0" w:space="0" w:color="auto"/>
      </w:divBdr>
    </w:div>
    <w:div w:id="515653334">
      <w:bodyDiv w:val="1"/>
      <w:marLeft w:val="0"/>
      <w:marRight w:val="0"/>
      <w:marTop w:val="0"/>
      <w:marBottom w:val="0"/>
      <w:divBdr>
        <w:top w:val="none" w:sz="0" w:space="0" w:color="auto"/>
        <w:left w:val="none" w:sz="0" w:space="0" w:color="auto"/>
        <w:bottom w:val="none" w:sz="0" w:space="0" w:color="auto"/>
        <w:right w:val="none" w:sz="0" w:space="0" w:color="auto"/>
      </w:divBdr>
    </w:div>
    <w:div w:id="597951083">
      <w:bodyDiv w:val="1"/>
      <w:marLeft w:val="0"/>
      <w:marRight w:val="0"/>
      <w:marTop w:val="0"/>
      <w:marBottom w:val="0"/>
      <w:divBdr>
        <w:top w:val="none" w:sz="0" w:space="0" w:color="auto"/>
        <w:left w:val="none" w:sz="0" w:space="0" w:color="auto"/>
        <w:bottom w:val="none" w:sz="0" w:space="0" w:color="auto"/>
        <w:right w:val="none" w:sz="0" w:space="0" w:color="auto"/>
      </w:divBdr>
    </w:div>
    <w:div w:id="660698160">
      <w:bodyDiv w:val="1"/>
      <w:marLeft w:val="0"/>
      <w:marRight w:val="0"/>
      <w:marTop w:val="0"/>
      <w:marBottom w:val="0"/>
      <w:divBdr>
        <w:top w:val="none" w:sz="0" w:space="0" w:color="auto"/>
        <w:left w:val="none" w:sz="0" w:space="0" w:color="auto"/>
        <w:bottom w:val="none" w:sz="0" w:space="0" w:color="auto"/>
        <w:right w:val="none" w:sz="0" w:space="0" w:color="auto"/>
      </w:divBdr>
    </w:div>
    <w:div w:id="669717093">
      <w:bodyDiv w:val="1"/>
      <w:marLeft w:val="0"/>
      <w:marRight w:val="0"/>
      <w:marTop w:val="0"/>
      <w:marBottom w:val="0"/>
      <w:divBdr>
        <w:top w:val="none" w:sz="0" w:space="0" w:color="auto"/>
        <w:left w:val="none" w:sz="0" w:space="0" w:color="auto"/>
        <w:bottom w:val="none" w:sz="0" w:space="0" w:color="auto"/>
        <w:right w:val="none" w:sz="0" w:space="0" w:color="auto"/>
      </w:divBdr>
    </w:div>
    <w:div w:id="674381814">
      <w:bodyDiv w:val="1"/>
      <w:marLeft w:val="0"/>
      <w:marRight w:val="0"/>
      <w:marTop w:val="0"/>
      <w:marBottom w:val="0"/>
      <w:divBdr>
        <w:top w:val="none" w:sz="0" w:space="0" w:color="auto"/>
        <w:left w:val="none" w:sz="0" w:space="0" w:color="auto"/>
        <w:bottom w:val="none" w:sz="0" w:space="0" w:color="auto"/>
        <w:right w:val="none" w:sz="0" w:space="0" w:color="auto"/>
      </w:divBdr>
    </w:div>
    <w:div w:id="692806551">
      <w:bodyDiv w:val="1"/>
      <w:marLeft w:val="0"/>
      <w:marRight w:val="0"/>
      <w:marTop w:val="0"/>
      <w:marBottom w:val="0"/>
      <w:divBdr>
        <w:top w:val="none" w:sz="0" w:space="0" w:color="auto"/>
        <w:left w:val="none" w:sz="0" w:space="0" w:color="auto"/>
        <w:bottom w:val="none" w:sz="0" w:space="0" w:color="auto"/>
        <w:right w:val="none" w:sz="0" w:space="0" w:color="auto"/>
      </w:divBdr>
    </w:div>
    <w:div w:id="699552224">
      <w:bodyDiv w:val="1"/>
      <w:marLeft w:val="0"/>
      <w:marRight w:val="0"/>
      <w:marTop w:val="0"/>
      <w:marBottom w:val="0"/>
      <w:divBdr>
        <w:top w:val="none" w:sz="0" w:space="0" w:color="auto"/>
        <w:left w:val="none" w:sz="0" w:space="0" w:color="auto"/>
        <w:bottom w:val="none" w:sz="0" w:space="0" w:color="auto"/>
        <w:right w:val="none" w:sz="0" w:space="0" w:color="auto"/>
      </w:divBdr>
    </w:div>
    <w:div w:id="735663182">
      <w:bodyDiv w:val="1"/>
      <w:marLeft w:val="0"/>
      <w:marRight w:val="0"/>
      <w:marTop w:val="0"/>
      <w:marBottom w:val="0"/>
      <w:divBdr>
        <w:top w:val="none" w:sz="0" w:space="0" w:color="auto"/>
        <w:left w:val="none" w:sz="0" w:space="0" w:color="auto"/>
        <w:bottom w:val="none" w:sz="0" w:space="0" w:color="auto"/>
        <w:right w:val="none" w:sz="0" w:space="0" w:color="auto"/>
      </w:divBdr>
    </w:div>
    <w:div w:id="802231757">
      <w:bodyDiv w:val="1"/>
      <w:marLeft w:val="0"/>
      <w:marRight w:val="0"/>
      <w:marTop w:val="0"/>
      <w:marBottom w:val="0"/>
      <w:divBdr>
        <w:top w:val="none" w:sz="0" w:space="0" w:color="auto"/>
        <w:left w:val="none" w:sz="0" w:space="0" w:color="auto"/>
        <w:bottom w:val="none" w:sz="0" w:space="0" w:color="auto"/>
        <w:right w:val="none" w:sz="0" w:space="0" w:color="auto"/>
      </w:divBdr>
    </w:div>
    <w:div w:id="1287396730">
      <w:bodyDiv w:val="1"/>
      <w:marLeft w:val="0"/>
      <w:marRight w:val="0"/>
      <w:marTop w:val="0"/>
      <w:marBottom w:val="0"/>
      <w:divBdr>
        <w:top w:val="none" w:sz="0" w:space="0" w:color="auto"/>
        <w:left w:val="none" w:sz="0" w:space="0" w:color="auto"/>
        <w:bottom w:val="none" w:sz="0" w:space="0" w:color="auto"/>
        <w:right w:val="none" w:sz="0" w:space="0" w:color="auto"/>
      </w:divBdr>
    </w:div>
    <w:div w:id="1304626028">
      <w:bodyDiv w:val="1"/>
      <w:marLeft w:val="0"/>
      <w:marRight w:val="0"/>
      <w:marTop w:val="0"/>
      <w:marBottom w:val="0"/>
      <w:divBdr>
        <w:top w:val="none" w:sz="0" w:space="0" w:color="auto"/>
        <w:left w:val="none" w:sz="0" w:space="0" w:color="auto"/>
        <w:bottom w:val="none" w:sz="0" w:space="0" w:color="auto"/>
        <w:right w:val="none" w:sz="0" w:space="0" w:color="auto"/>
      </w:divBdr>
    </w:div>
    <w:div w:id="1319111025">
      <w:bodyDiv w:val="1"/>
      <w:marLeft w:val="0"/>
      <w:marRight w:val="0"/>
      <w:marTop w:val="0"/>
      <w:marBottom w:val="0"/>
      <w:divBdr>
        <w:top w:val="none" w:sz="0" w:space="0" w:color="auto"/>
        <w:left w:val="none" w:sz="0" w:space="0" w:color="auto"/>
        <w:bottom w:val="none" w:sz="0" w:space="0" w:color="auto"/>
        <w:right w:val="none" w:sz="0" w:space="0" w:color="auto"/>
      </w:divBdr>
    </w:div>
    <w:div w:id="1330863539">
      <w:bodyDiv w:val="1"/>
      <w:marLeft w:val="0"/>
      <w:marRight w:val="0"/>
      <w:marTop w:val="0"/>
      <w:marBottom w:val="0"/>
      <w:divBdr>
        <w:top w:val="none" w:sz="0" w:space="0" w:color="auto"/>
        <w:left w:val="none" w:sz="0" w:space="0" w:color="auto"/>
        <w:bottom w:val="none" w:sz="0" w:space="0" w:color="auto"/>
        <w:right w:val="none" w:sz="0" w:space="0" w:color="auto"/>
      </w:divBdr>
    </w:div>
    <w:div w:id="1423603418">
      <w:bodyDiv w:val="1"/>
      <w:marLeft w:val="0"/>
      <w:marRight w:val="0"/>
      <w:marTop w:val="0"/>
      <w:marBottom w:val="0"/>
      <w:divBdr>
        <w:top w:val="none" w:sz="0" w:space="0" w:color="auto"/>
        <w:left w:val="none" w:sz="0" w:space="0" w:color="auto"/>
        <w:bottom w:val="none" w:sz="0" w:space="0" w:color="auto"/>
        <w:right w:val="none" w:sz="0" w:space="0" w:color="auto"/>
      </w:divBdr>
    </w:div>
    <w:div w:id="1600406801">
      <w:bodyDiv w:val="1"/>
      <w:marLeft w:val="0"/>
      <w:marRight w:val="0"/>
      <w:marTop w:val="0"/>
      <w:marBottom w:val="0"/>
      <w:divBdr>
        <w:top w:val="none" w:sz="0" w:space="0" w:color="auto"/>
        <w:left w:val="none" w:sz="0" w:space="0" w:color="auto"/>
        <w:bottom w:val="none" w:sz="0" w:space="0" w:color="auto"/>
        <w:right w:val="none" w:sz="0" w:space="0" w:color="auto"/>
      </w:divBdr>
    </w:div>
    <w:div w:id="1634405554">
      <w:bodyDiv w:val="1"/>
      <w:marLeft w:val="0"/>
      <w:marRight w:val="0"/>
      <w:marTop w:val="0"/>
      <w:marBottom w:val="0"/>
      <w:divBdr>
        <w:top w:val="none" w:sz="0" w:space="0" w:color="auto"/>
        <w:left w:val="none" w:sz="0" w:space="0" w:color="auto"/>
        <w:bottom w:val="none" w:sz="0" w:space="0" w:color="auto"/>
        <w:right w:val="none" w:sz="0" w:space="0" w:color="auto"/>
      </w:divBdr>
    </w:div>
    <w:div w:id="1636376913">
      <w:bodyDiv w:val="1"/>
      <w:marLeft w:val="0"/>
      <w:marRight w:val="0"/>
      <w:marTop w:val="0"/>
      <w:marBottom w:val="0"/>
      <w:divBdr>
        <w:top w:val="none" w:sz="0" w:space="0" w:color="auto"/>
        <w:left w:val="none" w:sz="0" w:space="0" w:color="auto"/>
        <w:bottom w:val="none" w:sz="0" w:space="0" w:color="auto"/>
        <w:right w:val="none" w:sz="0" w:space="0" w:color="auto"/>
      </w:divBdr>
    </w:div>
    <w:div w:id="1693995623">
      <w:bodyDiv w:val="1"/>
      <w:marLeft w:val="0"/>
      <w:marRight w:val="0"/>
      <w:marTop w:val="0"/>
      <w:marBottom w:val="0"/>
      <w:divBdr>
        <w:top w:val="none" w:sz="0" w:space="0" w:color="auto"/>
        <w:left w:val="none" w:sz="0" w:space="0" w:color="auto"/>
        <w:bottom w:val="none" w:sz="0" w:space="0" w:color="auto"/>
        <w:right w:val="none" w:sz="0" w:space="0" w:color="auto"/>
      </w:divBdr>
    </w:div>
    <w:div w:id="1720202795">
      <w:bodyDiv w:val="1"/>
      <w:marLeft w:val="0"/>
      <w:marRight w:val="0"/>
      <w:marTop w:val="0"/>
      <w:marBottom w:val="0"/>
      <w:divBdr>
        <w:top w:val="none" w:sz="0" w:space="0" w:color="auto"/>
        <w:left w:val="none" w:sz="0" w:space="0" w:color="auto"/>
        <w:bottom w:val="none" w:sz="0" w:space="0" w:color="auto"/>
        <w:right w:val="none" w:sz="0" w:space="0" w:color="auto"/>
      </w:divBdr>
    </w:div>
    <w:div w:id="1761831430">
      <w:bodyDiv w:val="1"/>
      <w:marLeft w:val="0"/>
      <w:marRight w:val="0"/>
      <w:marTop w:val="0"/>
      <w:marBottom w:val="0"/>
      <w:divBdr>
        <w:top w:val="none" w:sz="0" w:space="0" w:color="auto"/>
        <w:left w:val="none" w:sz="0" w:space="0" w:color="auto"/>
        <w:bottom w:val="none" w:sz="0" w:space="0" w:color="auto"/>
        <w:right w:val="none" w:sz="0" w:space="0" w:color="auto"/>
      </w:divBdr>
    </w:div>
    <w:div w:id="1778940290">
      <w:bodyDiv w:val="1"/>
      <w:marLeft w:val="0"/>
      <w:marRight w:val="0"/>
      <w:marTop w:val="0"/>
      <w:marBottom w:val="0"/>
      <w:divBdr>
        <w:top w:val="none" w:sz="0" w:space="0" w:color="auto"/>
        <w:left w:val="none" w:sz="0" w:space="0" w:color="auto"/>
        <w:bottom w:val="none" w:sz="0" w:space="0" w:color="auto"/>
        <w:right w:val="none" w:sz="0" w:space="0" w:color="auto"/>
      </w:divBdr>
    </w:div>
    <w:div w:id="1790465754">
      <w:bodyDiv w:val="1"/>
      <w:marLeft w:val="0"/>
      <w:marRight w:val="0"/>
      <w:marTop w:val="0"/>
      <w:marBottom w:val="0"/>
      <w:divBdr>
        <w:top w:val="none" w:sz="0" w:space="0" w:color="auto"/>
        <w:left w:val="none" w:sz="0" w:space="0" w:color="auto"/>
        <w:bottom w:val="none" w:sz="0" w:space="0" w:color="auto"/>
        <w:right w:val="none" w:sz="0" w:space="0" w:color="auto"/>
      </w:divBdr>
    </w:div>
    <w:div w:id="1910383419">
      <w:bodyDiv w:val="1"/>
      <w:marLeft w:val="0"/>
      <w:marRight w:val="0"/>
      <w:marTop w:val="0"/>
      <w:marBottom w:val="0"/>
      <w:divBdr>
        <w:top w:val="none" w:sz="0" w:space="0" w:color="auto"/>
        <w:left w:val="none" w:sz="0" w:space="0" w:color="auto"/>
        <w:bottom w:val="none" w:sz="0" w:space="0" w:color="auto"/>
        <w:right w:val="none" w:sz="0" w:space="0" w:color="auto"/>
      </w:divBdr>
    </w:div>
    <w:div w:id="1935279457">
      <w:bodyDiv w:val="1"/>
      <w:marLeft w:val="0"/>
      <w:marRight w:val="0"/>
      <w:marTop w:val="0"/>
      <w:marBottom w:val="0"/>
      <w:divBdr>
        <w:top w:val="none" w:sz="0" w:space="0" w:color="auto"/>
        <w:left w:val="none" w:sz="0" w:space="0" w:color="auto"/>
        <w:bottom w:val="none" w:sz="0" w:space="0" w:color="auto"/>
        <w:right w:val="none" w:sz="0" w:space="0" w:color="auto"/>
      </w:divBdr>
    </w:div>
    <w:div w:id="2057964477">
      <w:bodyDiv w:val="1"/>
      <w:marLeft w:val="0"/>
      <w:marRight w:val="0"/>
      <w:marTop w:val="0"/>
      <w:marBottom w:val="0"/>
      <w:divBdr>
        <w:top w:val="none" w:sz="0" w:space="0" w:color="auto"/>
        <w:left w:val="none" w:sz="0" w:space="0" w:color="auto"/>
        <w:bottom w:val="none" w:sz="0" w:space="0" w:color="auto"/>
        <w:right w:val="none" w:sz="0" w:space="0" w:color="auto"/>
      </w:divBdr>
    </w:div>
    <w:div w:id="206860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324/JAPS.2020.10617" TargetMode="External"/><Relationship Id="rId18" Type="http://schemas.openxmlformats.org/officeDocument/2006/relationships/hyperlink" Target="https://doi.org/10.1186/s12906-021-03447-3" TargetMode="External"/><Relationship Id="rId26" Type="http://schemas.openxmlformats.org/officeDocument/2006/relationships/hyperlink" Target="https://doi.org/10.3390/ijerph8062533" TargetMode="External"/><Relationship Id="rId39" Type="http://schemas.openxmlformats.org/officeDocument/2006/relationships/hyperlink" Target="https://doi.org/10.1016/j.jtcme.2017.11.003" TargetMode="External"/><Relationship Id="rId21" Type="http://schemas.openxmlformats.org/officeDocument/2006/relationships/hyperlink" Target="https://doi.org/10.1016/j.jaim.2016.12.002" TargetMode="External"/><Relationship Id="rId34" Type="http://schemas.openxmlformats.org/officeDocument/2006/relationships/hyperlink" Target="https://doi.org/10.1089/jmf.2017.0004" TargetMode="External"/><Relationship Id="rId42" Type="http://schemas.openxmlformats.org/officeDocument/2006/relationships/hyperlink" Target="https://doi.org/10.9734/IJBCRR/2018/41217"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2174/1381612825666190906150717" TargetMode="External"/><Relationship Id="rId29" Type="http://schemas.openxmlformats.org/officeDocument/2006/relationships/hyperlink" Target="https://doi.org/10.1016/j.jep.2019.02.041" TargetMode="External"/><Relationship Id="rId11" Type="http://schemas.openxmlformats.org/officeDocument/2006/relationships/chart" Target="charts/chart5.xml"/><Relationship Id="rId24" Type="http://schemas.openxmlformats.org/officeDocument/2006/relationships/hyperlink" Target="https://doi.org/10.3389/fphar.2017.00618" TargetMode="External"/><Relationship Id="rId32" Type="http://schemas.openxmlformats.org/officeDocument/2006/relationships/hyperlink" Target="https://doi.org/10.3390/nu11040856" TargetMode="External"/><Relationship Id="rId37" Type="http://schemas.openxmlformats.org/officeDocument/2006/relationships/hyperlink" Target="https://doi.org/10.1155/2021/5598123" TargetMode="External"/><Relationship Id="rId40" Type="http://schemas.openxmlformats.org/officeDocument/2006/relationships/hyperlink" Target="https://doi.org/10.3390/ijms11114985"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89/fphar.2020.583988" TargetMode="External"/><Relationship Id="rId23" Type="http://schemas.openxmlformats.org/officeDocument/2006/relationships/hyperlink" Target="https://doi.org/10.1007/s43188-019-00021-5" TargetMode="External"/><Relationship Id="rId28" Type="http://schemas.openxmlformats.org/officeDocument/2006/relationships/hyperlink" Target="https://doi.org/10.5897/JMPR2017.6553" TargetMode="External"/><Relationship Id="rId36" Type="http://schemas.openxmlformats.org/officeDocument/2006/relationships/hyperlink" Target="https://doi.org/10.1111/jfbc.12757" TargetMode="External"/><Relationship Id="rId49"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yperlink" Target="https://doi.org/10.3109/13880209.2013.764933" TargetMode="External"/><Relationship Id="rId31" Type="http://schemas.openxmlformats.org/officeDocument/2006/relationships/hyperlink" Target="https://doi.org/10.1016/j.foodres.2018.07.020" TargetMode="External"/><Relationship Id="rId44" Type="http://schemas.openxmlformats.org/officeDocument/2006/relationships/hyperlink" Target="https://doi.org/10.1146/annurev.pharmtox.48.113006.094615"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9734/ajrb/2019/v4i330079" TargetMode="External"/><Relationship Id="rId22" Type="http://schemas.openxmlformats.org/officeDocument/2006/relationships/hyperlink" Target="https://doi.org/10.1152/ajprenal.00120.2016" TargetMode="External"/><Relationship Id="rId27" Type="http://schemas.openxmlformats.org/officeDocument/2006/relationships/hyperlink" Target="https://doi.org/10.1002/cche.10575" TargetMode="External"/><Relationship Id="rId30" Type="http://schemas.openxmlformats.org/officeDocument/2006/relationships/hyperlink" Target="https://doi.org/10.1016/S0140-6736(13)60687-X" TargetMode="External"/><Relationship Id="rId35" Type="http://schemas.openxmlformats.org/officeDocument/2006/relationships/hyperlink" Target="https://doi.org/10.1016/j.ejbas.2016.04.001" TargetMode="External"/><Relationship Id="rId43" Type="http://schemas.openxmlformats.org/officeDocument/2006/relationships/hyperlink" Target="https://doi.org/10.1016/j.toxrep.2020.07.018" TargetMode="External"/><Relationship Id="rId48" Type="http://schemas.openxmlformats.org/officeDocument/2006/relationships/footer" Target="footer2.xml"/><Relationship Id="rId8" Type="http://schemas.openxmlformats.org/officeDocument/2006/relationships/chart" Target="charts/chart2.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hyperlink" Target="https://doi.org/10.1089/jmf.2018.0023" TargetMode="External"/><Relationship Id="rId25" Type="http://schemas.openxmlformats.org/officeDocument/2006/relationships/hyperlink" Target="https://doi.org/10.4314/jpb.v7i1.57376" TargetMode="External"/><Relationship Id="rId33" Type="http://schemas.openxmlformats.org/officeDocument/2006/relationships/hyperlink" Target="https://doi.org/10.1016/j.kint.2020.02.010" TargetMode="External"/><Relationship Id="rId38" Type="http://schemas.openxmlformats.org/officeDocument/2006/relationships/hyperlink" Target="https://doi.org/10.1515/jcim-2018-0120" TargetMode="External"/><Relationship Id="rId46" Type="http://schemas.openxmlformats.org/officeDocument/2006/relationships/header" Target="header2.xml"/><Relationship Id="rId20" Type="http://schemas.openxmlformats.org/officeDocument/2006/relationships/hyperlink" Target="https://doi.org/10.1016/j.jep.2020.113580" TargetMode="External"/><Relationship Id="rId41" Type="http://schemas.openxmlformats.org/officeDocument/2006/relationships/hyperlink" Target="https://doi.org/10.3390/life13091830"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'Renal Issues'!$A$4</c:f>
              <c:strCache>
                <c:ptCount val="1"/>
                <c:pt idx="0">
                  <c:v>SA</c:v>
                </c:pt>
              </c:strCache>
            </c:strRef>
          </c:tx>
          <c:marker>
            <c:symbol val="none"/>
          </c:marker>
          <c:cat>
            <c:strRef>
              <c:f>'Renal Issues'!$B$3:$E$3</c:f>
              <c:strCache>
                <c:ptCount val="4"/>
                <c:pt idx="0">
                  <c:v>CTRL</c:v>
                </c:pt>
                <c:pt idx="1">
                  <c:v>Low</c:v>
                </c:pt>
                <c:pt idx="2">
                  <c:v>Medium</c:v>
                </c:pt>
                <c:pt idx="3">
                  <c:v>High</c:v>
                </c:pt>
              </c:strCache>
            </c:strRef>
          </c:cat>
          <c:val>
            <c:numRef>
              <c:f>'Renal Issues'!$B$4:$E$4</c:f>
              <c:numCache>
                <c:formatCode>General</c:formatCode>
                <c:ptCount val="4"/>
                <c:pt idx="0">
                  <c:v>24.36</c:v>
                </c:pt>
                <c:pt idx="1">
                  <c:v>23.8</c:v>
                </c:pt>
                <c:pt idx="2">
                  <c:v>23.650000000000023</c:v>
                </c:pt>
                <c:pt idx="3">
                  <c:v>23.404999999999987</c:v>
                </c:pt>
              </c:numCache>
            </c:numRef>
          </c:val>
          <c:smooth val="0"/>
          <c:extLst>
            <c:ext xmlns:c16="http://schemas.microsoft.com/office/drawing/2014/chart" uri="{C3380CC4-5D6E-409C-BE32-E72D297353CC}">
              <c16:uniqueId val="{00000000-1E40-4109-B647-EF7215385AB6}"/>
            </c:ext>
          </c:extLst>
        </c:ser>
        <c:ser>
          <c:idx val="1"/>
          <c:order val="1"/>
          <c:tx>
            <c:strRef>
              <c:f>'Renal Issues'!$A$5</c:f>
              <c:strCache>
                <c:ptCount val="1"/>
                <c:pt idx="0">
                  <c:v>AH</c:v>
                </c:pt>
              </c:strCache>
            </c:strRef>
          </c:tx>
          <c:marker>
            <c:symbol val="none"/>
          </c:marker>
          <c:cat>
            <c:strRef>
              <c:f>'Renal Issues'!$B$3:$E$3</c:f>
              <c:strCache>
                <c:ptCount val="4"/>
                <c:pt idx="0">
                  <c:v>CTRL</c:v>
                </c:pt>
                <c:pt idx="1">
                  <c:v>Low</c:v>
                </c:pt>
                <c:pt idx="2">
                  <c:v>Medium</c:v>
                </c:pt>
                <c:pt idx="3">
                  <c:v>High</c:v>
                </c:pt>
              </c:strCache>
            </c:strRef>
          </c:cat>
          <c:val>
            <c:numRef>
              <c:f>'Renal Issues'!$B$5:$E$5</c:f>
              <c:numCache>
                <c:formatCode>General</c:formatCode>
                <c:ptCount val="4"/>
                <c:pt idx="0">
                  <c:v>24.36</c:v>
                </c:pt>
                <c:pt idx="1">
                  <c:v>24.9</c:v>
                </c:pt>
                <c:pt idx="2">
                  <c:v>25.1</c:v>
                </c:pt>
                <c:pt idx="3">
                  <c:v>25.3</c:v>
                </c:pt>
              </c:numCache>
            </c:numRef>
          </c:val>
          <c:smooth val="0"/>
          <c:extLst>
            <c:ext xmlns:c16="http://schemas.microsoft.com/office/drawing/2014/chart" uri="{C3380CC4-5D6E-409C-BE32-E72D297353CC}">
              <c16:uniqueId val="{00000001-1E40-4109-B647-EF7215385AB6}"/>
            </c:ext>
          </c:extLst>
        </c:ser>
        <c:ser>
          <c:idx val="2"/>
          <c:order val="2"/>
          <c:tx>
            <c:strRef>
              <c:f>'Renal Issues'!$A$6</c:f>
              <c:strCache>
                <c:ptCount val="1"/>
                <c:pt idx="0">
                  <c:v>PM</c:v>
                </c:pt>
              </c:strCache>
            </c:strRef>
          </c:tx>
          <c:marker>
            <c:symbol val="none"/>
          </c:marker>
          <c:cat>
            <c:strRef>
              <c:f>'Renal Issues'!$B$3:$E$3</c:f>
              <c:strCache>
                <c:ptCount val="4"/>
                <c:pt idx="0">
                  <c:v>CTRL</c:v>
                </c:pt>
                <c:pt idx="1">
                  <c:v>Low</c:v>
                </c:pt>
                <c:pt idx="2">
                  <c:v>Medium</c:v>
                </c:pt>
                <c:pt idx="3">
                  <c:v>High</c:v>
                </c:pt>
              </c:strCache>
            </c:strRef>
          </c:cat>
          <c:val>
            <c:numRef>
              <c:f>'Renal Issues'!$B$6:$E$6</c:f>
              <c:numCache>
                <c:formatCode>General</c:formatCode>
                <c:ptCount val="4"/>
                <c:pt idx="0">
                  <c:v>24.36</c:v>
                </c:pt>
                <c:pt idx="1">
                  <c:v>24.4</c:v>
                </c:pt>
                <c:pt idx="2">
                  <c:v>24.45</c:v>
                </c:pt>
                <c:pt idx="3">
                  <c:v>24.419999999999987</c:v>
                </c:pt>
              </c:numCache>
            </c:numRef>
          </c:val>
          <c:smooth val="0"/>
          <c:extLst>
            <c:ext xmlns:c16="http://schemas.microsoft.com/office/drawing/2014/chart" uri="{C3380CC4-5D6E-409C-BE32-E72D297353CC}">
              <c16:uniqueId val="{00000002-1E40-4109-B647-EF7215385AB6}"/>
            </c:ext>
          </c:extLst>
        </c:ser>
        <c:ser>
          <c:idx val="3"/>
          <c:order val="3"/>
          <c:tx>
            <c:strRef>
              <c:f>'Renal Issues'!$A$7</c:f>
              <c:strCache>
                <c:ptCount val="1"/>
                <c:pt idx="0">
                  <c:v>OG</c:v>
                </c:pt>
              </c:strCache>
            </c:strRef>
          </c:tx>
          <c:marker>
            <c:symbol val="none"/>
          </c:marker>
          <c:cat>
            <c:strRef>
              <c:f>'Renal Issues'!$B$3:$E$3</c:f>
              <c:strCache>
                <c:ptCount val="4"/>
                <c:pt idx="0">
                  <c:v>CTRL</c:v>
                </c:pt>
                <c:pt idx="1">
                  <c:v>Low</c:v>
                </c:pt>
                <c:pt idx="2">
                  <c:v>Medium</c:v>
                </c:pt>
                <c:pt idx="3">
                  <c:v>High</c:v>
                </c:pt>
              </c:strCache>
            </c:strRef>
          </c:cat>
          <c:val>
            <c:numRef>
              <c:f>'Renal Issues'!$B$7:$E$7</c:f>
              <c:numCache>
                <c:formatCode>General</c:formatCode>
                <c:ptCount val="4"/>
                <c:pt idx="0">
                  <c:v>24.36</c:v>
                </c:pt>
                <c:pt idx="1">
                  <c:v>25.2</c:v>
                </c:pt>
                <c:pt idx="2">
                  <c:v>25.9</c:v>
                </c:pt>
                <c:pt idx="3">
                  <c:v>26.1</c:v>
                </c:pt>
              </c:numCache>
            </c:numRef>
          </c:val>
          <c:smooth val="0"/>
          <c:extLst>
            <c:ext xmlns:c16="http://schemas.microsoft.com/office/drawing/2014/chart" uri="{C3380CC4-5D6E-409C-BE32-E72D297353CC}">
              <c16:uniqueId val="{00000003-1E40-4109-B647-EF7215385AB6}"/>
            </c:ext>
          </c:extLst>
        </c:ser>
        <c:ser>
          <c:idx val="4"/>
          <c:order val="4"/>
          <c:tx>
            <c:strRef>
              <c:f>'Renal Issues'!$A$8</c:f>
              <c:strCache>
                <c:ptCount val="1"/>
                <c:pt idx="0">
                  <c:v>TO</c:v>
                </c:pt>
              </c:strCache>
            </c:strRef>
          </c:tx>
          <c:marker>
            <c:symbol val="none"/>
          </c:marker>
          <c:cat>
            <c:strRef>
              <c:f>'Renal Issues'!$B$3:$E$3</c:f>
              <c:strCache>
                <c:ptCount val="4"/>
                <c:pt idx="0">
                  <c:v>CTRL</c:v>
                </c:pt>
                <c:pt idx="1">
                  <c:v>Low</c:v>
                </c:pt>
                <c:pt idx="2">
                  <c:v>Medium</c:v>
                </c:pt>
                <c:pt idx="3">
                  <c:v>High</c:v>
                </c:pt>
              </c:strCache>
            </c:strRef>
          </c:cat>
          <c:val>
            <c:numRef>
              <c:f>'Renal Issues'!$B$8:$E$8</c:f>
              <c:numCache>
                <c:formatCode>General</c:formatCode>
                <c:ptCount val="4"/>
                <c:pt idx="0">
                  <c:v>24.36</c:v>
                </c:pt>
                <c:pt idx="1">
                  <c:v>25.8</c:v>
                </c:pt>
                <c:pt idx="2">
                  <c:v>26.2</c:v>
                </c:pt>
                <c:pt idx="3">
                  <c:v>26.4</c:v>
                </c:pt>
              </c:numCache>
            </c:numRef>
          </c:val>
          <c:smooth val="0"/>
          <c:extLst>
            <c:ext xmlns:c16="http://schemas.microsoft.com/office/drawing/2014/chart" uri="{C3380CC4-5D6E-409C-BE32-E72D297353CC}">
              <c16:uniqueId val="{00000004-1E40-4109-B647-EF7215385AB6}"/>
            </c:ext>
          </c:extLst>
        </c:ser>
        <c:dLbls>
          <c:showLegendKey val="0"/>
          <c:showVal val="0"/>
          <c:showCatName val="0"/>
          <c:showSerName val="0"/>
          <c:showPercent val="0"/>
          <c:showBubbleSize val="0"/>
        </c:dLbls>
        <c:smooth val="0"/>
        <c:axId val="170553344"/>
        <c:axId val="171035648"/>
      </c:lineChart>
      <c:catAx>
        <c:axId val="170553344"/>
        <c:scaling>
          <c:orientation val="minMax"/>
        </c:scaling>
        <c:delete val="0"/>
        <c:axPos val="b"/>
        <c:title>
          <c:tx>
            <c:rich>
              <a:bodyPr/>
              <a:lstStyle/>
              <a:p>
                <a:pPr>
                  <a:defRPr/>
                </a:pPr>
                <a:r>
                  <a:rPr lang="en-US"/>
                  <a:t>Dose</a:t>
                </a:r>
              </a:p>
            </c:rich>
          </c:tx>
          <c:overlay val="0"/>
        </c:title>
        <c:numFmt formatCode="General" sourceLinked="0"/>
        <c:majorTickMark val="out"/>
        <c:minorTickMark val="none"/>
        <c:tickLblPos val="nextTo"/>
        <c:crossAx val="171035648"/>
        <c:crosses val="autoZero"/>
        <c:auto val="1"/>
        <c:lblAlgn val="ctr"/>
        <c:lblOffset val="100"/>
        <c:noMultiLvlLbl val="0"/>
      </c:catAx>
      <c:valAx>
        <c:axId val="171035648"/>
        <c:scaling>
          <c:orientation val="minMax"/>
        </c:scaling>
        <c:delete val="0"/>
        <c:axPos val="l"/>
        <c:title>
          <c:tx>
            <c:rich>
              <a:bodyPr rot="-5400000" vert="horz"/>
              <a:lstStyle/>
              <a:p>
                <a:pPr>
                  <a:defRPr/>
                </a:pPr>
                <a:r>
                  <a:rPr lang="en-US"/>
                  <a:t>Blood Urea Nitrogen (mmol)</a:t>
                </a:r>
              </a:p>
            </c:rich>
          </c:tx>
          <c:overlay val="0"/>
        </c:title>
        <c:numFmt formatCode="General" sourceLinked="1"/>
        <c:majorTickMark val="out"/>
        <c:minorTickMark val="none"/>
        <c:tickLblPos val="nextTo"/>
        <c:crossAx val="170553344"/>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'Renal Issues'!$A$22</c:f>
              <c:strCache>
                <c:ptCount val="1"/>
                <c:pt idx="0">
                  <c:v>SA</c:v>
                </c:pt>
              </c:strCache>
            </c:strRef>
          </c:tx>
          <c:marker>
            <c:symbol val="none"/>
          </c:marker>
          <c:cat>
            <c:strRef>
              <c:f>'Renal Issues'!$B$21:$E$21</c:f>
              <c:strCache>
                <c:ptCount val="4"/>
                <c:pt idx="0">
                  <c:v>CTRL</c:v>
                </c:pt>
                <c:pt idx="1">
                  <c:v>Low</c:v>
                </c:pt>
                <c:pt idx="2">
                  <c:v>Medium</c:v>
                </c:pt>
                <c:pt idx="3">
                  <c:v>High</c:v>
                </c:pt>
              </c:strCache>
            </c:strRef>
          </c:cat>
          <c:val>
            <c:numRef>
              <c:f>'Renal Issues'!$B$22:$E$22</c:f>
              <c:numCache>
                <c:formatCode>General</c:formatCode>
                <c:ptCount val="4"/>
                <c:pt idx="0">
                  <c:v>0.4</c:v>
                </c:pt>
                <c:pt idx="1">
                  <c:v>0.36000000000000032</c:v>
                </c:pt>
                <c:pt idx="2">
                  <c:v>0.34</c:v>
                </c:pt>
                <c:pt idx="3">
                  <c:v>0.32000000000000045</c:v>
                </c:pt>
              </c:numCache>
            </c:numRef>
          </c:val>
          <c:smooth val="0"/>
          <c:extLst>
            <c:ext xmlns:c16="http://schemas.microsoft.com/office/drawing/2014/chart" uri="{C3380CC4-5D6E-409C-BE32-E72D297353CC}">
              <c16:uniqueId val="{00000000-D59C-4853-8C5E-C4A6D462640A}"/>
            </c:ext>
          </c:extLst>
        </c:ser>
        <c:ser>
          <c:idx val="1"/>
          <c:order val="1"/>
          <c:tx>
            <c:strRef>
              <c:f>'Renal Issues'!$A$23</c:f>
              <c:strCache>
                <c:ptCount val="1"/>
                <c:pt idx="0">
                  <c:v>AH</c:v>
                </c:pt>
              </c:strCache>
            </c:strRef>
          </c:tx>
          <c:marker>
            <c:symbol val="none"/>
          </c:marker>
          <c:cat>
            <c:strRef>
              <c:f>'Renal Issues'!$B$21:$E$21</c:f>
              <c:strCache>
                <c:ptCount val="4"/>
                <c:pt idx="0">
                  <c:v>CTRL</c:v>
                </c:pt>
                <c:pt idx="1">
                  <c:v>Low</c:v>
                </c:pt>
                <c:pt idx="2">
                  <c:v>Medium</c:v>
                </c:pt>
                <c:pt idx="3">
                  <c:v>High</c:v>
                </c:pt>
              </c:strCache>
            </c:strRef>
          </c:cat>
          <c:val>
            <c:numRef>
              <c:f>'Renal Issues'!$B$23:$E$23</c:f>
              <c:numCache>
                <c:formatCode>General</c:formatCode>
                <c:ptCount val="4"/>
                <c:pt idx="0">
                  <c:v>0.4</c:v>
                </c:pt>
                <c:pt idx="1">
                  <c:v>0.42000000000000032</c:v>
                </c:pt>
                <c:pt idx="2">
                  <c:v>0.43000000000000038</c:v>
                </c:pt>
                <c:pt idx="3">
                  <c:v>0.45</c:v>
                </c:pt>
              </c:numCache>
            </c:numRef>
          </c:val>
          <c:smooth val="0"/>
          <c:extLst>
            <c:ext xmlns:c16="http://schemas.microsoft.com/office/drawing/2014/chart" uri="{C3380CC4-5D6E-409C-BE32-E72D297353CC}">
              <c16:uniqueId val="{00000001-D59C-4853-8C5E-C4A6D462640A}"/>
            </c:ext>
          </c:extLst>
        </c:ser>
        <c:ser>
          <c:idx val="2"/>
          <c:order val="2"/>
          <c:tx>
            <c:strRef>
              <c:f>'Renal Issues'!$A$24</c:f>
              <c:strCache>
                <c:ptCount val="1"/>
                <c:pt idx="0">
                  <c:v>PM</c:v>
                </c:pt>
              </c:strCache>
            </c:strRef>
          </c:tx>
          <c:marker>
            <c:symbol val="none"/>
          </c:marker>
          <c:cat>
            <c:strRef>
              <c:f>'Renal Issues'!$B$21:$E$21</c:f>
              <c:strCache>
                <c:ptCount val="4"/>
                <c:pt idx="0">
                  <c:v>CTRL</c:v>
                </c:pt>
                <c:pt idx="1">
                  <c:v>Low</c:v>
                </c:pt>
                <c:pt idx="2">
                  <c:v>Medium</c:v>
                </c:pt>
                <c:pt idx="3">
                  <c:v>High</c:v>
                </c:pt>
              </c:strCache>
            </c:strRef>
          </c:cat>
          <c:val>
            <c:numRef>
              <c:f>'Renal Issues'!$B$24:$E$24</c:f>
              <c:numCache>
                <c:formatCode>General</c:formatCode>
                <c:ptCount val="4"/>
                <c:pt idx="0">
                  <c:v>0.4</c:v>
                </c:pt>
                <c:pt idx="1">
                  <c:v>0.39000000000000046</c:v>
                </c:pt>
                <c:pt idx="2">
                  <c:v>0.4</c:v>
                </c:pt>
                <c:pt idx="3">
                  <c:v>0.39000000000000046</c:v>
                </c:pt>
              </c:numCache>
            </c:numRef>
          </c:val>
          <c:smooth val="0"/>
          <c:extLst>
            <c:ext xmlns:c16="http://schemas.microsoft.com/office/drawing/2014/chart" uri="{C3380CC4-5D6E-409C-BE32-E72D297353CC}">
              <c16:uniqueId val="{00000002-D59C-4853-8C5E-C4A6D462640A}"/>
            </c:ext>
          </c:extLst>
        </c:ser>
        <c:ser>
          <c:idx val="3"/>
          <c:order val="3"/>
          <c:tx>
            <c:strRef>
              <c:f>'Renal Issues'!$A$25</c:f>
              <c:strCache>
                <c:ptCount val="1"/>
                <c:pt idx="0">
                  <c:v>OG</c:v>
                </c:pt>
              </c:strCache>
            </c:strRef>
          </c:tx>
          <c:marker>
            <c:symbol val="none"/>
          </c:marker>
          <c:cat>
            <c:strRef>
              <c:f>'Renal Issues'!$B$21:$E$21</c:f>
              <c:strCache>
                <c:ptCount val="4"/>
                <c:pt idx="0">
                  <c:v>CTRL</c:v>
                </c:pt>
                <c:pt idx="1">
                  <c:v>Low</c:v>
                </c:pt>
                <c:pt idx="2">
                  <c:v>Medium</c:v>
                </c:pt>
                <c:pt idx="3">
                  <c:v>High</c:v>
                </c:pt>
              </c:strCache>
            </c:strRef>
          </c:cat>
          <c:val>
            <c:numRef>
              <c:f>'Renal Issues'!$B$25:$E$25</c:f>
              <c:numCache>
                <c:formatCode>General</c:formatCode>
                <c:ptCount val="4"/>
                <c:pt idx="0">
                  <c:v>0.4</c:v>
                </c:pt>
                <c:pt idx="1">
                  <c:v>0.44</c:v>
                </c:pt>
                <c:pt idx="2">
                  <c:v>0.46</c:v>
                </c:pt>
                <c:pt idx="3">
                  <c:v>0.48000000000000032</c:v>
                </c:pt>
              </c:numCache>
            </c:numRef>
          </c:val>
          <c:smooth val="0"/>
          <c:extLst>
            <c:ext xmlns:c16="http://schemas.microsoft.com/office/drawing/2014/chart" uri="{C3380CC4-5D6E-409C-BE32-E72D297353CC}">
              <c16:uniqueId val="{00000003-D59C-4853-8C5E-C4A6D462640A}"/>
            </c:ext>
          </c:extLst>
        </c:ser>
        <c:ser>
          <c:idx val="4"/>
          <c:order val="4"/>
          <c:tx>
            <c:strRef>
              <c:f>'Renal Issues'!$A$26</c:f>
              <c:strCache>
                <c:ptCount val="1"/>
                <c:pt idx="0">
                  <c:v>TO</c:v>
                </c:pt>
              </c:strCache>
            </c:strRef>
          </c:tx>
          <c:marker>
            <c:symbol val="none"/>
          </c:marker>
          <c:cat>
            <c:strRef>
              <c:f>'Renal Issues'!$B$21:$E$21</c:f>
              <c:strCache>
                <c:ptCount val="4"/>
                <c:pt idx="0">
                  <c:v>CTRL</c:v>
                </c:pt>
                <c:pt idx="1">
                  <c:v>Low</c:v>
                </c:pt>
                <c:pt idx="2">
                  <c:v>Medium</c:v>
                </c:pt>
                <c:pt idx="3">
                  <c:v>High</c:v>
                </c:pt>
              </c:strCache>
            </c:strRef>
          </c:cat>
          <c:val>
            <c:numRef>
              <c:f>'Renal Issues'!$B$26:$E$26</c:f>
              <c:numCache>
                <c:formatCode>General</c:formatCode>
                <c:ptCount val="4"/>
                <c:pt idx="0">
                  <c:v>0.4</c:v>
                </c:pt>
                <c:pt idx="1">
                  <c:v>0.43000000000000038</c:v>
                </c:pt>
                <c:pt idx="2">
                  <c:v>0.45</c:v>
                </c:pt>
                <c:pt idx="3">
                  <c:v>0.47000000000000008</c:v>
                </c:pt>
              </c:numCache>
            </c:numRef>
          </c:val>
          <c:smooth val="0"/>
          <c:extLst>
            <c:ext xmlns:c16="http://schemas.microsoft.com/office/drawing/2014/chart" uri="{C3380CC4-5D6E-409C-BE32-E72D297353CC}">
              <c16:uniqueId val="{00000004-D59C-4853-8C5E-C4A6D462640A}"/>
            </c:ext>
          </c:extLst>
        </c:ser>
        <c:dLbls>
          <c:showLegendKey val="0"/>
          <c:showVal val="0"/>
          <c:showCatName val="0"/>
          <c:showSerName val="0"/>
          <c:showPercent val="0"/>
          <c:showBubbleSize val="0"/>
        </c:dLbls>
        <c:smooth val="0"/>
        <c:axId val="234308736"/>
        <c:axId val="243748224"/>
      </c:lineChart>
      <c:catAx>
        <c:axId val="234308736"/>
        <c:scaling>
          <c:orientation val="minMax"/>
        </c:scaling>
        <c:delete val="0"/>
        <c:axPos val="b"/>
        <c:title>
          <c:tx>
            <c:rich>
              <a:bodyPr/>
              <a:lstStyle/>
              <a:p>
                <a:pPr>
                  <a:defRPr/>
                </a:pPr>
                <a:r>
                  <a:rPr lang="en-US"/>
                  <a:t>Dose</a:t>
                </a:r>
              </a:p>
            </c:rich>
          </c:tx>
          <c:overlay val="0"/>
        </c:title>
        <c:numFmt formatCode="General" sourceLinked="0"/>
        <c:majorTickMark val="out"/>
        <c:minorTickMark val="none"/>
        <c:tickLblPos val="nextTo"/>
        <c:crossAx val="243748224"/>
        <c:crosses val="autoZero"/>
        <c:auto val="1"/>
        <c:lblAlgn val="ctr"/>
        <c:lblOffset val="100"/>
        <c:noMultiLvlLbl val="0"/>
      </c:catAx>
      <c:valAx>
        <c:axId val="243748224"/>
        <c:scaling>
          <c:orientation val="minMax"/>
        </c:scaling>
        <c:delete val="0"/>
        <c:axPos val="l"/>
        <c:title>
          <c:tx>
            <c:rich>
              <a:bodyPr rot="-5400000" vert="horz"/>
              <a:lstStyle/>
              <a:p>
                <a:pPr>
                  <a:defRPr/>
                </a:pPr>
                <a:r>
                  <a:rPr lang="en-US"/>
                  <a:t>Creatinine (mg/dL)</a:t>
                </a:r>
              </a:p>
            </c:rich>
          </c:tx>
          <c:overlay val="0"/>
        </c:title>
        <c:numFmt formatCode="General" sourceLinked="1"/>
        <c:majorTickMark val="out"/>
        <c:minorTickMark val="none"/>
        <c:tickLblPos val="nextTo"/>
        <c:crossAx val="234308736"/>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'Renal Issues'!$A$39</c:f>
              <c:strCache>
                <c:ptCount val="1"/>
                <c:pt idx="0">
                  <c:v>SA</c:v>
                </c:pt>
              </c:strCache>
            </c:strRef>
          </c:tx>
          <c:marker>
            <c:symbol val="none"/>
          </c:marker>
          <c:cat>
            <c:strRef>
              <c:f>'Renal Issues'!$B$38:$E$38</c:f>
              <c:strCache>
                <c:ptCount val="4"/>
                <c:pt idx="0">
                  <c:v>CTRL</c:v>
                </c:pt>
                <c:pt idx="1">
                  <c:v>Low</c:v>
                </c:pt>
                <c:pt idx="2">
                  <c:v>Medium</c:v>
                </c:pt>
                <c:pt idx="3">
                  <c:v>High</c:v>
                </c:pt>
              </c:strCache>
            </c:strRef>
          </c:cat>
          <c:val>
            <c:numRef>
              <c:f>'Renal Issues'!$B$39:$E$39</c:f>
              <c:numCache>
                <c:formatCode>General</c:formatCode>
                <c:ptCount val="4"/>
                <c:pt idx="0">
                  <c:v>12.83</c:v>
                </c:pt>
                <c:pt idx="1">
                  <c:v>13.4</c:v>
                </c:pt>
                <c:pt idx="2">
                  <c:v>13.6</c:v>
                </c:pt>
                <c:pt idx="3">
                  <c:v>13.8</c:v>
                </c:pt>
              </c:numCache>
            </c:numRef>
          </c:val>
          <c:smooth val="0"/>
          <c:extLst>
            <c:ext xmlns:c16="http://schemas.microsoft.com/office/drawing/2014/chart" uri="{C3380CC4-5D6E-409C-BE32-E72D297353CC}">
              <c16:uniqueId val="{00000000-8220-4F4A-B969-EDDF20641031}"/>
            </c:ext>
          </c:extLst>
        </c:ser>
        <c:ser>
          <c:idx val="1"/>
          <c:order val="1"/>
          <c:tx>
            <c:strRef>
              <c:f>'Renal Issues'!$A$40</c:f>
              <c:strCache>
                <c:ptCount val="1"/>
                <c:pt idx="0">
                  <c:v>AH</c:v>
                </c:pt>
              </c:strCache>
            </c:strRef>
          </c:tx>
          <c:marker>
            <c:symbol val="none"/>
          </c:marker>
          <c:cat>
            <c:strRef>
              <c:f>'Renal Issues'!$B$38:$E$38</c:f>
              <c:strCache>
                <c:ptCount val="4"/>
                <c:pt idx="0">
                  <c:v>CTRL</c:v>
                </c:pt>
                <c:pt idx="1">
                  <c:v>Low</c:v>
                </c:pt>
                <c:pt idx="2">
                  <c:v>Medium</c:v>
                </c:pt>
                <c:pt idx="3">
                  <c:v>High</c:v>
                </c:pt>
              </c:strCache>
            </c:strRef>
          </c:cat>
          <c:val>
            <c:numRef>
              <c:f>'Renal Issues'!$B$40:$E$40</c:f>
              <c:numCache>
                <c:formatCode>General</c:formatCode>
                <c:ptCount val="4"/>
                <c:pt idx="0">
                  <c:v>12.83</c:v>
                </c:pt>
                <c:pt idx="1">
                  <c:v>13.1</c:v>
                </c:pt>
                <c:pt idx="2">
                  <c:v>13.3</c:v>
                </c:pt>
                <c:pt idx="3">
                  <c:v>13.5</c:v>
                </c:pt>
              </c:numCache>
            </c:numRef>
          </c:val>
          <c:smooth val="0"/>
          <c:extLst>
            <c:ext xmlns:c16="http://schemas.microsoft.com/office/drawing/2014/chart" uri="{C3380CC4-5D6E-409C-BE32-E72D297353CC}">
              <c16:uniqueId val="{00000001-8220-4F4A-B969-EDDF20641031}"/>
            </c:ext>
          </c:extLst>
        </c:ser>
        <c:ser>
          <c:idx val="2"/>
          <c:order val="2"/>
          <c:tx>
            <c:strRef>
              <c:f>'Renal Issues'!$A$41</c:f>
              <c:strCache>
                <c:ptCount val="1"/>
                <c:pt idx="0">
                  <c:v>PM</c:v>
                </c:pt>
              </c:strCache>
            </c:strRef>
          </c:tx>
          <c:marker>
            <c:symbol val="none"/>
          </c:marker>
          <c:cat>
            <c:strRef>
              <c:f>'Renal Issues'!$B$38:$E$38</c:f>
              <c:strCache>
                <c:ptCount val="4"/>
                <c:pt idx="0">
                  <c:v>CTRL</c:v>
                </c:pt>
                <c:pt idx="1">
                  <c:v>Low</c:v>
                </c:pt>
                <c:pt idx="2">
                  <c:v>Medium</c:v>
                </c:pt>
                <c:pt idx="3">
                  <c:v>High</c:v>
                </c:pt>
              </c:strCache>
            </c:strRef>
          </c:cat>
          <c:val>
            <c:numRef>
              <c:f>'Renal Issues'!$B$41:$E$41</c:f>
              <c:numCache>
                <c:formatCode>General</c:formatCode>
                <c:ptCount val="4"/>
                <c:pt idx="0">
                  <c:v>12.83</c:v>
                </c:pt>
                <c:pt idx="1">
                  <c:v>12.9</c:v>
                </c:pt>
                <c:pt idx="2">
                  <c:v>12.950000000000006</c:v>
                </c:pt>
                <c:pt idx="3">
                  <c:v>13</c:v>
                </c:pt>
              </c:numCache>
            </c:numRef>
          </c:val>
          <c:smooth val="0"/>
          <c:extLst>
            <c:ext xmlns:c16="http://schemas.microsoft.com/office/drawing/2014/chart" uri="{C3380CC4-5D6E-409C-BE32-E72D297353CC}">
              <c16:uniqueId val="{00000002-8220-4F4A-B969-EDDF20641031}"/>
            </c:ext>
          </c:extLst>
        </c:ser>
        <c:ser>
          <c:idx val="3"/>
          <c:order val="3"/>
          <c:tx>
            <c:strRef>
              <c:f>'Renal Issues'!$A$42</c:f>
              <c:strCache>
                <c:ptCount val="1"/>
                <c:pt idx="0">
                  <c:v>OG</c:v>
                </c:pt>
              </c:strCache>
            </c:strRef>
          </c:tx>
          <c:marker>
            <c:symbol val="none"/>
          </c:marker>
          <c:cat>
            <c:strRef>
              <c:f>'Renal Issues'!$B$38:$E$38</c:f>
              <c:strCache>
                <c:ptCount val="4"/>
                <c:pt idx="0">
                  <c:v>CTRL</c:v>
                </c:pt>
                <c:pt idx="1">
                  <c:v>Low</c:v>
                </c:pt>
                <c:pt idx="2">
                  <c:v>Medium</c:v>
                </c:pt>
                <c:pt idx="3">
                  <c:v>High</c:v>
                </c:pt>
              </c:strCache>
            </c:strRef>
          </c:cat>
          <c:val>
            <c:numRef>
              <c:f>'Renal Issues'!$B$42:$E$42</c:f>
              <c:numCache>
                <c:formatCode>General</c:formatCode>
                <c:ptCount val="4"/>
                <c:pt idx="0">
                  <c:v>12.83</c:v>
                </c:pt>
                <c:pt idx="1">
                  <c:v>13.5</c:v>
                </c:pt>
                <c:pt idx="2">
                  <c:v>13.9</c:v>
                </c:pt>
                <c:pt idx="3">
                  <c:v>14.2</c:v>
                </c:pt>
              </c:numCache>
            </c:numRef>
          </c:val>
          <c:smooth val="0"/>
          <c:extLst>
            <c:ext xmlns:c16="http://schemas.microsoft.com/office/drawing/2014/chart" uri="{C3380CC4-5D6E-409C-BE32-E72D297353CC}">
              <c16:uniqueId val="{00000003-8220-4F4A-B969-EDDF20641031}"/>
            </c:ext>
          </c:extLst>
        </c:ser>
        <c:ser>
          <c:idx val="4"/>
          <c:order val="4"/>
          <c:tx>
            <c:strRef>
              <c:f>'Renal Issues'!$A$43</c:f>
              <c:strCache>
                <c:ptCount val="1"/>
                <c:pt idx="0">
                  <c:v>TO</c:v>
                </c:pt>
              </c:strCache>
            </c:strRef>
          </c:tx>
          <c:marker>
            <c:symbol val="none"/>
          </c:marker>
          <c:cat>
            <c:strRef>
              <c:f>'Renal Issues'!$B$38:$E$38</c:f>
              <c:strCache>
                <c:ptCount val="4"/>
                <c:pt idx="0">
                  <c:v>CTRL</c:v>
                </c:pt>
                <c:pt idx="1">
                  <c:v>Low</c:v>
                </c:pt>
                <c:pt idx="2">
                  <c:v>Medium</c:v>
                </c:pt>
                <c:pt idx="3">
                  <c:v>High</c:v>
                </c:pt>
              </c:strCache>
            </c:strRef>
          </c:cat>
          <c:val>
            <c:numRef>
              <c:f>'Renal Issues'!$B$43:$E$43</c:f>
              <c:numCache>
                <c:formatCode>General</c:formatCode>
                <c:ptCount val="4"/>
                <c:pt idx="0">
                  <c:v>12.83</c:v>
                </c:pt>
                <c:pt idx="1">
                  <c:v>13.6</c:v>
                </c:pt>
                <c:pt idx="2">
                  <c:v>14</c:v>
                </c:pt>
                <c:pt idx="3">
                  <c:v>14.3</c:v>
                </c:pt>
              </c:numCache>
            </c:numRef>
          </c:val>
          <c:smooth val="0"/>
          <c:extLst>
            <c:ext xmlns:c16="http://schemas.microsoft.com/office/drawing/2014/chart" uri="{C3380CC4-5D6E-409C-BE32-E72D297353CC}">
              <c16:uniqueId val="{00000004-8220-4F4A-B969-EDDF20641031}"/>
            </c:ext>
          </c:extLst>
        </c:ser>
        <c:dLbls>
          <c:showLegendKey val="0"/>
          <c:showVal val="0"/>
          <c:showCatName val="0"/>
          <c:showSerName val="0"/>
          <c:showPercent val="0"/>
          <c:showBubbleSize val="0"/>
        </c:dLbls>
        <c:smooth val="0"/>
        <c:axId val="249108352"/>
        <c:axId val="280540288"/>
      </c:lineChart>
      <c:catAx>
        <c:axId val="249108352"/>
        <c:scaling>
          <c:orientation val="minMax"/>
        </c:scaling>
        <c:delete val="0"/>
        <c:axPos val="b"/>
        <c:title>
          <c:tx>
            <c:rich>
              <a:bodyPr/>
              <a:lstStyle/>
              <a:p>
                <a:pPr>
                  <a:defRPr/>
                </a:pPr>
                <a:r>
                  <a:rPr lang="en-US"/>
                  <a:t>Dose</a:t>
                </a:r>
              </a:p>
            </c:rich>
          </c:tx>
          <c:overlay val="0"/>
        </c:title>
        <c:numFmt formatCode="General" sourceLinked="0"/>
        <c:majorTickMark val="out"/>
        <c:minorTickMark val="none"/>
        <c:tickLblPos val="nextTo"/>
        <c:crossAx val="280540288"/>
        <c:crosses val="autoZero"/>
        <c:auto val="1"/>
        <c:lblAlgn val="ctr"/>
        <c:lblOffset val="100"/>
        <c:noMultiLvlLbl val="0"/>
      </c:catAx>
      <c:valAx>
        <c:axId val="280540288"/>
        <c:scaling>
          <c:orientation val="minMax"/>
        </c:scaling>
        <c:delete val="0"/>
        <c:axPos val="l"/>
        <c:title>
          <c:tx>
            <c:rich>
              <a:bodyPr rot="-5400000" vert="horz"/>
              <a:lstStyle/>
              <a:p>
                <a:pPr>
                  <a:defRPr/>
                </a:pPr>
                <a:r>
                  <a:rPr lang="en-US"/>
                  <a:t>Bicarbonate</a:t>
                </a:r>
                <a:r>
                  <a:rPr lang="en-US" baseline="0"/>
                  <a:t> (mmol/L)</a:t>
                </a:r>
                <a:endParaRPr lang="en-US"/>
              </a:p>
            </c:rich>
          </c:tx>
          <c:overlay val="0"/>
        </c:title>
        <c:numFmt formatCode="General" sourceLinked="1"/>
        <c:majorTickMark val="out"/>
        <c:minorTickMark val="none"/>
        <c:tickLblPos val="nextTo"/>
        <c:crossAx val="249108352"/>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'Renal Issues'!$A$56</c:f>
              <c:strCache>
                <c:ptCount val="1"/>
                <c:pt idx="0">
                  <c:v>SA</c:v>
                </c:pt>
              </c:strCache>
            </c:strRef>
          </c:tx>
          <c:marker>
            <c:symbol val="none"/>
          </c:marker>
          <c:cat>
            <c:strRef>
              <c:f>'Renal Issues'!$B$55:$E$55</c:f>
              <c:strCache>
                <c:ptCount val="4"/>
                <c:pt idx="0">
                  <c:v>CTRL</c:v>
                </c:pt>
                <c:pt idx="1">
                  <c:v>Low</c:v>
                </c:pt>
                <c:pt idx="2">
                  <c:v>Medium</c:v>
                </c:pt>
                <c:pt idx="3">
                  <c:v>High</c:v>
                </c:pt>
              </c:strCache>
            </c:strRef>
          </c:cat>
          <c:val>
            <c:numRef>
              <c:f>'Renal Issues'!$B$56:$E$56</c:f>
              <c:numCache>
                <c:formatCode>General</c:formatCode>
                <c:ptCount val="4"/>
                <c:pt idx="0">
                  <c:v>100.19</c:v>
                </c:pt>
                <c:pt idx="1">
                  <c:v>101</c:v>
                </c:pt>
                <c:pt idx="2">
                  <c:v>101.2</c:v>
                </c:pt>
                <c:pt idx="3">
                  <c:v>101.4</c:v>
                </c:pt>
              </c:numCache>
            </c:numRef>
          </c:val>
          <c:smooth val="0"/>
          <c:extLst>
            <c:ext xmlns:c16="http://schemas.microsoft.com/office/drawing/2014/chart" uri="{C3380CC4-5D6E-409C-BE32-E72D297353CC}">
              <c16:uniqueId val="{00000000-2521-4754-A180-DA4CD4D768C9}"/>
            </c:ext>
          </c:extLst>
        </c:ser>
        <c:ser>
          <c:idx val="1"/>
          <c:order val="1"/>
          <c:tx>
            <c:strRef>
              <c:f>'Renal Issues'!$A$57</c:f>
              <c:strCache>
                <c:ptCount val="1"/>
                <c:pt idx="0">
                  <c:v>AH</c:v>
                </c:pt>
              </c:strCache>
            </c:strRef>
          </c:tx>
          <c:marker>
            <c:symbol val="none"/>
          </c:marker>
          <c:cat>
            <c:strRef>
              <c:f>'Renal Issues'!$B$55:$E$55</c:f>
              <c:strCache>
                <c:ptCount val="4"/>
                <c:pt idx="0">
                  <c:v>CTRL</c:v>
                </c:pt>
                <c:pt idx="1">
                  <c:v>Low</c:v>
                </c:pt>
                <c:pt idx="2">
                  <c:v>Medium</c:v>
                </c:pt>
                <c:pt idx="3">
                  <c:v>High</c:v>
                </c:pt>
              </c:strCache>
            </c:strRef>
          </c:cat>
          <c:val>
            <c:numRef>
              <c:f>'Renal Issues'!$B$57:$E$57</c:f>
              <c:numCache>
                <c:formatCode>General</c:formatCode>
                <c:ptCount val="4"/>
                <c:pt idx="0">
                  <c:v>100.19</c:v>
                </c:pt>
                <c:pt idx="1">
                  <c:v>99</c:v>
                </c:pt>
                <c:pt idx="2">
                  <c:v>98.5</c:v>
                </c:pt>
                <c:pt idx="3">
                  <c:v>98</c:v>
                </c:pt>
              </c:numCache>
            </c:numRef>
          </c:val>
          <c:smooth val="0"/>
          <c:extLst>
            <c:ext xmlns:c16="http://schemas.microsoft.com/office/drawing/2014/chart" uri="{C3380CC4-5D6E-409C-BE32-E72D297353CC}">
              <c16:uniqueId val="{00000001-2521-4754-A180-DA4CD4D768C9}"/>
            </c:ext>
          </c:extLst>
        </c:ser>
        <c:ser>
          <c:idx val="2"/>
          <c:order val="2"/>
          <c:tx>
            <c:strRef>
              <c:f>'Renal Issues'!$A$58</c:f>
              <c:strCache>
                <c:ptCount val="1"/>
                <c:pt idx="0">
                  <c:v>PM</c:v>
                </c:pt>
              </c:strCache>
            </c:strRef>
          </c:tx>
          <c:marker>
            <c:symbol val="none"/>
          </c:marker>
          <c:cat>
            <c:strRef>
              <c:f>'Renal Issues'!$B$55:$E$55</c:f>
              <c:strCache>
                <c:ptCount val="4"/>
                <c:pt idx="0">
                  <c:v>CTRL</c:v>
                </c:pt>
                <c:pt idx="1">
                  <c:v>Low</c:v>
                </c:pt>
                <c:pt idx="2">
                  <c:v>Medium</c:v>
                </c:pt>
                <c:pt idx="3">
                  <c:v>High</c:v>
                </c:pt>
              </c:strCache>
            </c:strRef>
          </c:cat>
          <c:val>
            <c:numRef>
              <c:f>'Renal Issues'!$B$58:$E$58</c:f>
              <c:numCache>
                <c:formatCode>General</c:formatCode>
                <c:ptCount val="4"/>
                <c:pt idx="0">
                  <c:v>100.19</c:v>
                </c:pt>
                <c:pt idx="1">
                  <c:v>100.5</c:v>
                </c:pt>
                <c:pt idx="2">
                  <c:v>100.8</c:v>
                </c:pt>
                <c:pt idx="3">
                  <c:v>101</c:v>
                </c:pt>
              </c:numCache>
            </c:numRef>
          </c:val>
          <c:smooth val="0"/>
          <c:extLst>
            <c:ext xmlns:c16="http://schemas.microsoft.com/office/drawing/2014/chart" uri="{C3380CC4-5D6E-409C-BE32-E72D297353CC}">
              <c16:uniqueId val="{00000002-2521-4754-A180-DA4CD4D768C9}"/>
            </c:ext>
          </c:extLst>
        </c:ser>
        <c:ser>
          <c:idx val="3"/>
          <c:order val="3"/>
          <c:tx>
            <c:strRef>
              <c:f>'Renal Issues'!$A$59</c:f>
              <c:strCache>
                <c:ptCount val="1"/>
                <c:pt idx="0">
                  <c:v>OG</c:v>
                </c:pt>
              </c:strCache>
            </c:strRef>
          </c:tx>
          <c:marker>
            <c:symbol val="none"/>
          </c:marker>
          <c:cat>
            <c:strRef>
              <c:f>'Renal Issues'!$B$55:$E$55</c:f>
              <c:strCache>
                <c:ptCount val="4"/>
                <c:pt idx="0">
                  <c:v>CTRL</c:v>
                </c:pt>
                <c:pt idx="1">
                  <c:v>Low</c:v>
                </c:pt>
                <c:pt idx="2">
                  <c:v>Medium</c:v>
                </c:pt>
                <c:pt idx="3">
                  <c:v>High</c:v>
                </c:pt>
              </c:strCache>
            </c:strRef>
          </c:cat>
          <c:val>
            <c:numRef>
              <c:f>'Renal Issues'!$B$59:$E$59</c:f>
              <c:numCache>
                <c:formatCode>General</c:formatCode>
                <c:ptCount val="4"/>
                <c:pt idx="0">
                  <c:v>100.19</c:v>
                </c:pt>
                <c:pt idx="1">
                  <c:v>99</c:v>
                </c:pt>
                <c:pt idx="2">
                  <c:v>98.2</c:v>
                </c:pt>
                <c:pt idx="3">
                  <c:v>97.5</c:v>
                </c:pt>
              </c:numCache>
            </c:numRef>
          </c:val>
          <c:smooth val="0"/>
          <c:extLst>
            <c:ext xmlns:c16="http://schemas.microsoft.com/office/drawing/2014/chart" uri="{C3380CC4-5D6E-409C-BE32-E72D297353CC}">
              <c16:uniqueId val="{00000003-2521-4754-A180-DA4CD4D768C9}"/>
            </c:ext>
          </c:extLst>
        </c:ser>
        <c:ser>
          <c:idx val="4"/>
          <c:order val="4"/>
          <c:tx>
            <c:strRef>
              <c:f>'Renal Issues'!$A$60</c:f>
              <c:strCache>
                <c:ptCount val="1"/>
                <c:pt idx="0">
                  <c:v>TO</c:v>
                </c:pt>
              </c:strCache>
            </c:strRef>
          </c:tx>
          <c:marker>
            <c:symbol val="none"/>
          </c:marker>
          <c:cat>
            <c:strRef>
              <c:f>'Renal Issues'!$B$55:$E$55</c:f>
              <c:strCache>
                <c:ptCount val="4"/>
                <c:pt idx="0">
                  <c:v>CTRL</c:v>
                </c:pt>
                <c:pt idx="1">
                  <c:v>Low</c:v>
                </c:pt>
                <c:pt idx="2">
                  <c:v>Medium</c:v>
                </c:pt>
                <c:pt idx="3">
                  <c:v>High</c:v>
                </c:pt>
              </c:strCache>
            </c:strRef>
          </c:cat>
          <c:val>
            <c:numRef>
              <c:f>'Renal Issues'!$B$60:$E$60</c:f>
              <c:numCache>
                <c:formatCode>General</c:formatCode>
                <c:ptCount val="4"/>
                <c:pt idx="0">
                  <c:v>100.19</c:v>
                </c:pt>
                <c:pt idx="1">
                  <c:v>99.2</c:v>
                </c:pt>
                <c:pt idx="2">
                  <c:v>98.7</c:v>
                </c:pt>
                <c:pt idx="3">
                  <c:v>98.1</c:v>
                </c:pt>
              </c:numCache>
            </c:numRef>
          </c:val>
          <c:smooth val="0"/>
          <c:extLst>
            <c:ext xmlns:c16="http://schemas.microsoft.com/office/drawing/2014/chart" uri="{C3380CC4-5D6E-409C-BE32-E72D297353CC}">
              <c16:uniqueId val="{00000004-2521-4754-A180-DA4CD4D768C9}"/>
            </c:ext>
          </c:extLst>
        </c:ser>
        <c:dLbls>
          <c:showLegendKey val="0"/>
          <c:showVal val="0"/>
          <c:showCatName val="0"/>
          <c:showSerName val="0"/>
          <c:showPercent val="0"/>
          <c:showBubbleSize val="0"/>
        </c:dLbls>
        <c:smooth val="0"/>
        <c:axId val="248921472"/>
        <c:axId val="248927744"/>
      </c:lineChart>
      <c:catAx>
        <c:axId val="248921472"/>
        <c:scaling>
          <c:orientation val="minMax"/>
        </c:scaling>
        <c:delete val="0"/>
        <c:axPos val="b"/>
        <c:title>
          <c:tx>
            <c:rich>
              <a:bodyPr/>
              <a:lstStyle/>
              <a:p>
                <a:pPr>
                  <a:defRPr/>
                </a:pPr>
                <a:r>
                  <a:rPr lang="en-US"/>
                  <a:t>Dose</a:t>
                </a:r>
              </a:p>
            </c:rich>
          </c:tx>
          <c:overlay val="0"/>
        </c:title>
        <c:numFmt formatCode="General" sourceLinked="0"/>
        <c:majorTickMark val="out"/>
        <c:minorTickMark val="none"/>
        <c:tickLblPos val="nextTo"/>
        <c:crossAx val="248927744"/>
        <c:crosses val="autoZero"/>
        <c:auto val="1"/>
        <c:lblAlgn val="ctr"/>
        <c:lblOffset val="100"/>
        <c:noMultiLvlLbl val="0"/>
      </c:catAx>
      <c:valAx>
        <c:axId val="248927744"/>
        <c:scaling>
          <c:orientation val="minMax"/>
        </c:scaling>
        <c:delete val="0"/>
        <c:axPos val="l"/>
        <c:title>
          <c:tx>
            <c:rich>
              <a:bodyPr rot="-5400000" vert="horz"/>
              <a:lstStyle/>
              <a:p>
                <a:pPr>
                  <a:defRPr/>
                </a:pPr>
                <a:r>
                  <a:rPr lang="en-US"/>
                  <a:t>Sodium (mmol/L)</a:t>
                </a:r>
              </a:p>
            </c:rich>
          </c:tx>
          <c:overlay val="0"/>
        </c:title>
        <c:numFmt formatCode="General" sourceLinked="1"/>
        <c:majorTickMark val="out"/>
        <c:minorTickMark val="none"/>
        <c:tickLblPos val="nextTo"/>
        <c:crossAx val="248921472"/>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'Renal Issues'!$A$67</c:f>
              <c:strCache>
                <c:ptCount val="1"/>
                <c:pt idx="0">
                  <c:v>SA</c:v>
                </c:pt>
              </c:strCache>
            </c:strRef>
          </c:tx>
          <c:marker>
            <c:symbol val="none"/>
          </c:marker>
          <c:cat>
            <c:strRef>
              <c:f>'Renal Issues'!$B$66:$E$66</c:f>
              <c:strCache>
                <c:ptCount val="4"/>
                <c:pt idx="0">
                  <c:v>CTRL</c:v>
                </c:pt>
                <c:pt idx="1">
                  <c:v>Low</c:v>
                </c:pt>
                <c:pt idx="2">
                  <c:v>Medium</c:v>
                </c:pt>
                <c:pt idx="3">
                  <c:v>High</c:v>
                </c:pt>
              </c:strCache>
            </c:strRef>
          </c:cat>
          <c:val>
            <c:numRef>
              <c:f>'Renal Issues'!$B$67:$E$67</c:f>
              <c:numCache>
                <c:formatCode>General</c:formatCode>
                <c:ptCount val="4"/>
                <c:pt idx="0">
                  <c:v>25.279999999999987</c:v>
                </c:pt>
                <c:pt idx="1">
                  <c:v>25.5</c:v>
                </c:pt>
                <c:pt idx="2">
                  <c:v>25.7</c:v>
                </c:pt>
                <c:pt idx="3">
                  <c:v>25.9</c:v>
                </c:pt>
              </c:numCache>
            </c:numRef>
          </c:val>
          <c:smooth val="0"/>
          <c:extLst>
            <c:ext xmlns:c16="http://schemas.microsoft.com/office/drawing/2014/chart" uri="{C3380CC4-5D6E-409C-BE32-E72D297353CC}">
              <c16:uniqueId val="{00000000-7464-405B-8751-6C4E95BE1630}"/>
            </c:ext>
          </c:extLst>
        </c:ser>
        <c:ser>
          <c:idx val="1"/>
          <c:order val="1"/>
          <c:tx>
            <c:strRef>
              <c:f>'Renal Issues'!$A$68</c:f>
              <c:strCache>
                <c:ptCount val="1"/>
                <c:pt idx="0">
                  <c:v>AH</c:v>
                </c:pt>
              </c:strCache>
            </c:strRef>
          </c:tx>
          <c:marker>
            <c:symbol val="none"/>
          </c:marker>
          <c:cat>
            <c:strRef>
              <c:f>'Renal Issues'!$B$66:$E$66</c:f>
              <c:strCache>
                <c:ptCount val="4"/>
                <c:pt idx="0">
                  <c:v>CTRL</c:v>
                </c:pt>
                <c:pt idx="1">
                  <c:v>Low</c:v>
                </c:pt>
                <c:pt idx="2">
                  <c:v>Medium</c:v>
                </c:pt>
                <c:pt idx="3">
                  <c:v>High</c:v>
                </c:pt>
              </c:strCache>
            </c:strRef>
          </c:cat>
          <c:val>
            <c:numRef>
              <c:f>'Renal Issues'!$B$68:$E$68</c:f>
              <c:numCache>
                <c:formatCode>General</c:formatCode>
                <c:ptCount val="4"/>
                <c:pt idx="0">
                  <c:v>25.279999999999987</c:v>
                </c:pt>
                <c:pt idx="1">
                  <c:v>25</c:v>
                </c:pt>
                <c:pt idx="2">
                  <c:v>24.8</c:v>
                </c:pt>
                <c:pt idx="3">
                  <c:v>24.6</c:v>
                </c:pt>
              </c:numCache>
            </c:numRef>
          </c:val>
          <c:smooth val="0"/>
          <c:extLst>
            <c:ext xmlns:c16="http://schemas.microsoft.com/office/drawing/2014/chart" uri="{C3380CC4-5D6E-409C-BE32-E72D297353CC}">
              <c16:uniqueId val="{00000001-7464-405B-8751-6C4E95BE1630}"/>
            </c:ext>
          </c:extLst>
        </c:ser>
        <c:ser>
          <c:idx val="2"/>
          <c:order val="2"/>
          <c:tx>
            <c:strRef>
              <c:f>'Renal Issues'!$A$69</c:f>
              <c:strCache>
                <c:ptCount val="1"/>
                <c:pt idx="0">
                  <c:v>PM</c:v>
                </c:pt>
              </c:strCache>
            </c:strRef>
          </c:tx>
          <c:marker>
            <c:symbol val="none"/>
          </c:marker>
          <c:cat>
            <c:strRef>
              <c:f>'Renal Issues'!$B$66:$E$66</c:f>
              <c:strCache>
                <c:ptCount val="4"/>
                <c:pt idx="0">
                  <c:v>CTRL</c:v>
                </c:pt>
                <c:pt idx="1">
                  <c:v>Low</c:v>
                </c:pt>
                <c:pt idx="2">
                  <c:v>Medium</c:v>
                </c:pt>
                <c:pt idx="3">
                  <c:v>High</c:v>
                </c:pt>
              </c:strCache>
            </c:strRef>
          </c:cat>
          <c:val>
            <c:numRef>
              <c:f>'Renal Issues'!$B$69:$E$69</c:f>
              <c:numCache>
                <c:formatCode>General</c:formatCode>
                <c:ptCount val="4"/>
                <c:pt idx="0">
                  <c:v>25.279999999999987</c:v>
                </c:pt>
                <c:pt idx="1">
                  <c:v>25.1</c:v>
                </c:pt>
                <c:pt idx="2">
                  <c:v>24.9</c:v>
                </c:pt>
                <c:pt idx="3">
                  <c:v>24.7</c:v>
                </c:pt>
              </c:numCache>
            </c:numRef>
          </c:val>
          <c:smooth val="0"/>
          <c:extLst>
            <c:ext xmlns:c16="http://schemas.microsoft.com/office/drawing/2014/chart" uri="{C3380CC4-5D6E-409C-BE32-E72D297353CC}">
              <c16:uniqueId val="{00000002-7464-405B-8751-6C4E95BE1630}"/>
            </c:ext>
          </c:extLst>
        </c:ser>
        <c:ser>
          <c:idx val="3"/>
          <c:order val="3"/>
          <c:tx>
            <c:strRef>
              <c:f>'Renal Issues'!$A$70</c:f>
              <c:strCache>
                <c:ptCount val="1"/>
                <c:pt idx="0">
                  <c:v>OG</c:v>
                </c:pt>
              </c:strCache>
            </c:strRef>
          </c:tx>
          <c:marker>
            <c:symbol val="none"/>
          </c:marker>
          <c:cat>
            <c:strRef>
              <c:f>'Renal Issues'!$B$66:$E$66</c:f>
              <c:strCache>
                <c:ptCount val="4"/>
                <c:pt idx="0">
                  <c:v>CTRL</c:v>
                </c:pt>
                <c:pt idx="1">
                  <c:v>Low</c:v>
                </c:pt>
                <c:pt idx="2">
                  <c:v>Medium</c:v>
                </c:pt>
                <c:pt idx="3">
                  <c:v>High</c:v>
                </c:pt>
              </c:strCache>
            </c:strRef>
          </c:cat>
          <c:val>
            <c:numRef>
              <c:f>'Renal Issues'!$B$70:$E$70</c:f>
              <c:numCache>
                <c:formatCode>General</c:formatCode>
                <c:ptCount val="4"/>
                <c:pt idx="0">
                  <c:v>25.279999999999987</c:v>
                </c:pt>
                <c:pt idx="1">
                  <c:v>24</c:v>
                </c:pt>
                <c:pt idx="2">
                  <c:v>23.2</c:v>
                </c:pt>
                <c:pt idx="3">
                  <c:v>22.5</c:v>
                </c:pt>
              </c:numCache>
            </c:numRef>
          </c:val>
          <c:smooth val="0"/>
          <c:extLst>
            <c:ext xmlns:c16="http://schemas.microsoft.com/office/drawing/2014/chart" uri="{C3380CC4-5D6E-409C-BE32-E72D297353CC}">
              <c16:uniqueId val="{00000003-7464-405B-8751-6C4E95BE1630}"/>
            </c:ext>
          </c:extLst>
        </c:ser>
        <c:ser>
          <c:idx val="4"/>
          <c:order val="4"/>
          <c:tx>
            <c:strRef>
              <c:f>'Renal Issues'!$A$71</c:f>
              <c:strCache>
                <c:ptCount val="1"/>
                <c:pt idx="0">
                  <c:v>TO</c:v>
                </c:pt>
              </c:strCache>
            </c:strRef>
          </c:tx>
          <c:marker>
            <c:symbol val="none"/>
          </c:marker>
          <c:cat>
            <c:strRef>
              <c:f>'Renal Issues'!$B$66:$E$66</c:f>
              <c:strCache>
                <c:ptCount val="4"/>
                <c:pt idx="0">
                  <c:v>CTRL</c:v>
                </c:pt>
                <c:pt idx="1">
                  <c:v>Low</c:v>
                </c:pt>
                <c:pt idx="2">
                  <c:v>Medium</c:v>
                </c:pt>
                <c:pt idx="3">
                  <c:v>High</c:v>
                </c:pt>
              </c:strCache>
            </c:strRef>
          </c:cat>
          <c:val>
            <c:numRef>
              <c:f>'Renal Issues'!$B$71:$E$71</c:f>
              <c:numCache>
                <c:formatCode>General</c:formatCode>
                <c:ptCount val="4"/>
                <c:pt idx="0">
                  <c:v>25.279999999999987</c:v>
                </c:pt>
                <c:pt idx="1">
                  <c:v>24.8</c:v>
                </c:pt>
                <c:pt idx="2">
                  <c:v>24.4</c:v>
                </c:pt>
                <c:pt idx="3">
                  <c:v>24</c:v>
                </c:pt>
              </c:numCache>
            </c:numRef>
          </c:val>
          <c:smooth val="0"/>
          <c:extLst>
            <c:ext xmlns:c16="http://schemas.microsoft.com/office/drawing/2014/chart" uri="{C3380CC4-5D6E-409C-BE32-E72D297353CC}">
              <c16:uniqueId val="{00000004-7464-405B-8751-6C4E95BE1630}"/>
            </c:ext>
          </c:extLst>
        </c:ser>
        <c:dLbls>
          <c:showLegendKey val="0"/>
          <c:showVal val="0"/>
          <c:showCatName val="0"/>
          <c:showSerName val="0"/>
          <c:showPercent val="0"/>
          <c:showBubbleSize val="0"/>
        </c:dLbls>
        <c:smooth val="0"/>
        <c:axId val="280527232"/>
        <c:axId val="280529152"/>
      </c:lineChart>
      <c:catAx>
        <c:axId val="280527232"/>
        <c:scaling>
          <c:orientation val="minMax"/>
        </c:scaling>
        <c:delete val="0"/>
        <c:axPos val="b"/>
        <c:title>
          <c:tx>
            <c:rich>
              <a:bodyPr/>
              <a:lstStyle/>
              <a:p>
                <a:pPr>
                  <a:defRPr/>
                </a:pPr>
                <a:r>
                  <a:rPr lang="en-US"/>
                  <a:t>Dose</a:t>
                </a:r>
              </a:p>
            </c:rich>
          </c:tx>
          <c:overlay val="0"/>
        </c:title>
        <c:numFmt formatCode="General" sourceLinked="0"/>
        <c:majorTickMark val="out"/>
        <c:minorTickMark val="none"/>
        <c:tickLblPos val="nextTo"/>
        <c:crossAx val="280529152"/>
        <c:crosses val="autoZero"/>
        <c:auto val="1"/>
        <c:lblAlgn val="ctr"/>
        <c:lblOffset val="100"/>
        <c:noMultiLvlLbl val="0"/>
      </c:catAx>
      <c:valAx>
        <c:axId val="280529152"/>
        <c:scaling>
          <c:orientation val="minMax"/>
        </c:scaling>
        <c:delete val="0"/>
        <c:axPos val="l"/>
        <c:title>
          <c:tx>
            <c:rich>
              <a:bodyPr rot="-5400000" vert="horz"/>
              <a:lstStyle/>
              <a:p>
                <a:pPr>
                  <a:defRPr/>
                </a:pPr>
                <a:r>
                  <a:rPr lang="en-US"/>
                  <a:t>Potassium (mmol/L)</a:t>
                </a:r>
              </a:p>
            </c:rich>
          </c:tx>
          <c:overlay val="0"/>
        </c:title>
        <c:numFmt formatCode="General" sourceLinked="1"/>
        <c:majorTickMark val="out"/>
        <c:minorTickMark val="none"/>
        <c:tickLblPos val="nextTo"/>
        <c:crossAx val="280527232"/>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'Renal Issues'!$A$81</c:f>
              <c:strCache>
                <c:ptCount val="1"/>
                <c:pt idx="0">
                  <c:v>SA</c:v>
                </c:pt>
              </c:strCache>
            </c:strRef>
          </c:tx>
          <c:marker>
            <c:symbol val="none"/>
          </c:marker>
          <c:cat>
            <c:strRef>
              <c:f>'Renal Issues'!$B$80:$E$80</c:f>
              <c:strCache>
                <c:ptCount val="4"/>
                <c:pt idx="0">
                  <c:v>CTRL</c:v>
                </c:pt>
                <c:pt idx="1">
                  <c:v>Low</c:v>
                </c:pt>
                <c:pt idx="2">
                  <c:v>Medium</c:v>
                </c:pt>
                <c:pt idx="3">
                  <c:v>High</c:v>
                </c:pt>
              </c:strCache>
            </c:strRef>
          </c:cat>
          <c:val>
            <c:numRef>
              <c:f>'Renal Issues'!$B$81:$E$81</c:f>
              <c:numCache>
                <c:formatCode>General</c:formatCode>
                <c:ptCount val="4"/>
                <c:pt idx="0">
                  <c:v>70.959999999999994</c:v>
                </c:pt>
                <c:pt idx="1">
                  <c:v>70.5</c:v>
                </c:pt>
                <c:pt idx="2">
                  <c:v>70.099999999999994</c:v>
                </c:pt>
                <c:pt idx="3">
                  <c:v>69.8</c:v>
                </c:pt>
              </c:numCache>
            </c:numRef>
          </c:val>
          <c:smooth val="0"/>
          <c:extLst>
            <c:ext xmlns:c16="http://schemas.microsoft.com/office/drawing/2014/chart" uri="{C3380CC4-5D6E-409C-BE32-E72D297353CC}">
              <c16:uniqueId val="{00000000-4450-4A81-B253-B806C03DB489}"/>
            </c:ext>
          </c:extLst>
        </c:ser>
        <c:ser>
          <c:idx val="1"/>
          <c:order val="1"/>
          <c:tx>
            <c:strRef>
              <c:f>'Renal Issues'!$A$82</c:f>
              <c:strCache>
                <c:ptCount val="1"/>
                <c:pt idx="0">
                  <c:v>AH</c:v>
                </c:pt>
              </c:strCache>
            </c:strRef>
          </c:tx>
          <c:marker>
            <c:symbol val="none"/>
          </c:marker>
          <c:cat>
            <c:strRef>
              <c:f>'Renal Issues'!$B$80:$E$80</c:f>
              <c:strCache>
                <c:ptCount val="4"/>
                <c:pt idx="0">
                  <c:v>CTRL</c:v>
                </c:pt>
                <c:pt idx="1">
                  <c:v>Low</c:v>
                </c:pt>
                <c:pt idx="2">
                  <c:v>Medium</c:v>
                </c:pt>
                <c:pt idx="3">
                  <c:v>High</c:v>
                </c:pt>
              </c:strCache>
            </c:strRef>
          </c:cat>
          <c:val>
            <c:numRef>
              <c:f>'Renal Issues'!$B$82:$E$82</c:f>
              <c:numCache>
                <c:formatCode>General</c:formatCode>
                <c:ptCount val="4"/>
                <c:pt idx="0">
                  <c:v>70.959999999999994</c:v>
                </c:pt>
                <c:pt idx="1">
                  <c:v>70.2</c:v>
                </c:pt>
                <c:pt idx="2">
                  <c:v>69.8</c:v>
                </c:pt>
                <c:pt idx="3">
                  <c:v>69.2</c:v>
                </c:pt>
              </c:numCache>
            </c:numRef>
          </c:val>
          <c:smooth val="0"/>
          <c:extLst>
            <c:ext xmlns:c16="http://schemas.microsoft.com/office/drawing/2014/chart" uri="{C3380CC4-5D6E-409C-BE32-E72D297353CC}">
              <c16:uniqueId val="{00000001-4450-4A81-B253-B806C03DB489}"/>
            </c:ext>
          </c:extLst>
        </c:ser>
        <c:ser>
          <c:idx val="2"/>
          <c:order val="2"/>
          <c:tx>
            <c:strRef>
              <c:f>'Renal Issues'!$A$83</c:f>
              <c:strCache>
                <c:ptCount val="1"/>
                <c:pt idx="0">
                  <c:v>PM</c:v>
                </c:pt>
              </c:strCache>
            </c:strRef>
          </c:tx>
          <c:marker>
            <c:symbol val="none"/>
          </c:marker>
          <c:cat>
            <c:strRef>
              <c:f>'Renal Issues'!$B$80:$E$80</c:f>
              <c:strCache>
                <c:ptCount val="4"/>
                <c:pt idx="0">
                  <c:v>CTRL</c:v>
                </c:pt>
                <c:pt idx="1">
                  <c:v>Low</c:v>
                </c:pt>
                <c:pt idx="2">
                  <c:v>Medium</c:v>
                </c:pt>
                <c:pt idx="3">
                  <c:v>High</c:v>
                </c:pt>
              </c:strCache>
            </c:strRef>
          </c:cat>
          <c:val>
            <c:numRef>
              <c:f>'Renal Issues'!$B$83:$E$83</c:f>
              <c:numCache>
                <c:formatCode>General</c:formatCode>
                <c:ptCount val="4"/>
                <c:pt idx="0">
                  <c:v>70.959999999999994</c:v>
                </c:pt>
                <c:pt idx="1">
                  <c:v>70.599999999999994</c:v>
                </c:pt>
                <c:pt idx="2">
                  <c:v>70.3</c:v>
                </c:pt>
                <c:pt idx="3">
                  <c:v>69.900000000000006</c:v>
                </c:pt>
              </c:numCache>
            </c:numRef>
          </c:val>
          <c:smooth val="0"/>
          <c:extLst>
            <c:ext xmlns:c16="http://schemas.microsoft.com/office/drawing/2014/chart" uri="{C3380CC4-5D6E-409C-BE32-E72D297353CC}">
              <c16:uniqueId val="{00000002-4450-4A81-B253-B806C03DB489}"/>
            </c:ext>
          </c:extLst>
        </c:ser>
        <c:ser>
          <c:idx val="3"/>
          <c:order val="3"/>
          <c:tx>
            <c:strRef>
              <c:f>'Renal Issues'!$A$84</c:f>
              <c:strCache>
                <c:ptCount val="1"/>
                <c:pt idx="0">
                  <c:v>OG</c:v>
                </c:pt>
              </c:strCache>
            </c:strRef>
          </c:tx>
          <c:marker>
            <c:symbol val="none"/>
          </c:marker>
          <c:cat>
            <c:strRef>
              <c:f>'Renal Issues'!$B$80:$E$80</c:f>
              <c:strCache>
                <c:ptCount val="4"/>
                <c:pt idx="0">
                  <c:v>CTRL</c:v>
                </c:pt>
                <c:pt idx="1">
                  <c:v>Low</c:v>
                </c:pt>
                <c:pt idx="2">
                  <c:v>Medium</c:v>
                </c:pt>
                <c:pt idx="3">
                  <c:v>High</c:v>
                </c:pt>
              </c:strCache>
            </c:strRef>
          </c:cat>
          <c:val>
            <c:numRef>
              <c:f>'Renal Issues'!$B$84:$E$84</c:f>
              <c:numCache>
                <c:formatCode>General</c:formatCode>
                <c:ptCount val="4"/>
                <c:pt idx="0">
                  <c:v>70.959999999999994</c:v>
                </c:pt>
                <c:pt idx="1">
                  <c:v>68</c:v>
                </c:pt>
                <c:pt idx="2">
                  <c:v>66.5</c:v>
                </c:pt>
                <c:pt idx="3">
                  <c:v>65</c:v>
                </c:pt>
              </c:numCache>
            </c:numRef>
          </c:val>
          <c:smooth val="0"/>
          <c:extLst>
            <c:ext xmlns:c16="http://schemas.microsoft.com/office/drawing/2014/chart" uri="{C3380CC4-5D6E-409C-BE32-E72D297353CC}">
              <c16:uniqueId val="{00000003-4450-4A81-B253-B806C03DB489}"/>
            </c:ext>
          </c:extLst>
        </c:ser>
        <c:ser>
          <c:idx val="4"/>
          <c:order val="4"/>
          <c:tx>
            <c:strRef>
              <c:f>'Renal Issues'!$A$85</c:f>
              <c:strCache>
                <c:ptCount val="1"/>
                <c:pt idx="0">
                  <c:v>TO</c:v>
                </c:pt>
              </c:strCache>
            </c:strRef>
          </c:tx>
          <c:marker>
            <c:symbol val="none"/>
          </c:marker>
          <c:cat>
            <c:strRef>
              <c:f>'Renal Issues'!$B$80:$E$80</c:f>
              <c:strCache>
                <c:ptCount val="4"/>
                <c:pt idx="0">
                  <c:v>CTRL</c:v>
                </c:pt>
                <c:pt idx="1">
                  <c:v>Low</c:v>
                </c:pt>
                <c:pt idx="2">
                  <c:v>Medium</c:v>
                </c:pt>
                <c:pt idx="3">
                  <c:v>High</c:v>
                </c:pt>
              </c:strCache>
            </c:strRef>
          </c:cat>
          <c:val>
            <c:numRef>
              <c:f>'Renal Issues'!$B$85:$E$85</c:f>
              <c:numCache>
                <c:formatCode>General</c:formatCode>
                <c:ptCount val="4"/>
                <c:pt idx="0">
                  <c:v>70.959999999999994</c:v>
                </c:pt>
                <c:pt idx="1">
                  <c:v>70.099999999999994</c:v>
                </c:pt>
                <c:pt idx="2">
                  <c:v>69</c:v>
                </c:pt>
                <c:pt idx="3">
                  <c:v>68.2</c:v>
                </c:pt>
              </c:numCache>
            </c:numRef>
          </c:val>
          <c:smooth val="0"/>
          <c:extLst>
            <c:ext xmlns:c16="http://schemas.microsoft.com/office/drawing/2014/chart" uri="{C3380CC4-5D6E-409C-BE32-E72D297353CC}">
              <c16:uniqueId val="{00000004-4450-4A81-B253-B806C03DB489}"/>
            </c:ext>
          </c:extLst>
        </c:ser>
        <c:dLbls>
          <c:showLegendKey val="0"/>
          <c:showVal val="0"/>
          <c:showCatName val="0"/>
          <c:showSerName val="0"/>
          <c:showPercent val="0"/>
          <c:showBubbleSize val="0"/>
        </c:dLbls>
        <c:smooth val="0"/>
        <c:axId val="280720512"/>
        <c:axId val="280722432"/>
      </c:lineChart>
      <c:catAx>
        <c:axId val="280720512"/>
        <c:scaling>
          <c:orientation val="minMax"/>
        </c:scaling>
        <c:delete val="0"/>
        <c:axPos val="b"/>
        <c:title>
          <c:tx>
            <c:rich>
              <a:bodyPr/>
              <a:lstStyle/>
              <a:p>
                <a:pPr>
                  <a:defRPr/>
                </a:pPr>
                <a:r>
                  <a:rPr lang="en-US"/>
                  <a:t>Dose</a:t>
                </a:r>
              </a:p>
            </c:rich>
          </c:tx>
          <c:overlay val="0"/>
        </c:title>
        <c:numFmt formatCode="General" sourceLinked="0"/>
        <c:majorTickMark val="out"/>
        <c:minorTickMark val="none"/>
        <c:tickLblPos val="nextTo"/>
        <c:crossAx val="280722432"/>
        <c:crosses val="autoZero"/>
        <c:auto val="1"/>
        <c:lblAlgn val="ctr"/>
        <c:lblOffset val="100"/>
        <c:noMultiLvlLbl val="0"/>
      </c:catAx>
      <c:valAx>
        <c:axId val="280722432"/>
        <c:scaling>
          <c:orientation val="minMax"/>
        </c:scaling>
        <c:delete val="0"/>
        <c:axPos val="l"/>
        <c:title>
          <c:tx>
            <c:rich>
              <a:bodyPr rot="-5400000" vert="horz"/>
              <a:lstStyle/>
              <a:p>
                <a:pPr>
                  <a:defRPr/>
                </a:pPr>
                <a:r>
                  <a:rPr lang="en-US"/>
                  <a:t>Chloride (mmol/L)</a:t>
                </a:r>
              </a:p>
            </c:rich>
          </c:tx>
          <c:overlay val="0"/>
          <c:spPr>
            <a:ln>
              <a:noFill/>
            </a:ln>
          </c:spPr>
        </c:title>
        <c:numFmt formatCode="General" sourceLinked="1"/>
        <c:majorTickMark val="out"/>
        <c:minorTickMark val="none"/>
        <c:tickLblPos val="nextTo"/>
        <c:crossAx val="280720512"/>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3812</TotalTime>
  <Pages>15</Pages>
  <Words>5021</Words>
  <Characters>28625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49</cp:revision>
  <dcterms:created xsi:type="dcterms:W3CDTF">2025-01-07T11:47:00Z</dcterms:created>
  <dcterms:modified xsi:type="dcterms:W3CDTF">2025-09-08T12:41:00Z</dcterms:modified>
</cp:coreProperties>
</file>