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F1351" w14:textId="77777777" w:rsidR="00E657F1" w:rsidRPr="002663DF" w:rsidRDefault="00E657F1" w:rsidP="00ED1518">
      <w:pPr>
        <w:spacing w:line="240" w:lineRule="auto"/>
        <w:rPr>
          <w:rFonts w:ascii="Arial" w:hAnsi="Arial" w:cs="Arial"/>
          <w:b/>
        </w:rPr>
      </w:pPr>
      <w:bookmarkStart w:id="0" w:name="_Toc92319896"/>
      <w:r w:rsidRPr="002663DF">
        <w:rPr>
          <w:rFonts w:ascii="Arial" w:hAnsi="Arial" w:cs="Arial"/>
          <w:b/>
        </w:rPr>
        <w:t>Effect of land uses</w:t>
      </w:r>
      <w:r w:rsidR="00864A0A" w:rsidRPr="002663DF">
        <w:rPr>
          <w:rFonts w:ascii="Arial" w:hAnsi="Arial" w:cs="Arial"/>
          <w:b/>
        </w:rPr>
        <w:t xml:space="preserve"> and soil depth</w:t>
      </w:r>
      <w:r w:rsidRPr="002663DF">
        <w:rPr>
          <w:rFonts w:ascii="Arial" w:hAnsi="Arial" w:cs="Arial"/>
          <w:b/>
        </w:rPr>
        <w:t xml:space="preserve"> on selected soil </w:t>
      </w:r>
      <w:proofErr w:type="spellStart"/>
      <w:r w:rsidR="00217873" w:rsidRPr="002663DF">
        <w:rPr>
          <w:rFonts w:ascii="Arial" w:hAnsi="Arial" w:cs="Arial"/>
          <w:b/>
        </w:rPr>
        <w:t>phsico</w:t>
      </w:r>
      <w:proofErr w:type="spellEnd"/>
      <w:r w:rsidR="00217873" w:rsidRPr="002663DF">
        <w:rPr>
          <w:rFonts w:ascii="Arial" w:hAnsi="Arial" w:cs="Arial"/>
          <w:b/>
        </w:rPr>
        <w:t xml:space="preserve"> chemical properties in </w:t>
      </w:r>
      <w:proofErr w:type="spellStart"/>
      <w:r w:rsidR="00217873" w:rsidRPr="002663DF">
        <w:rPr>
          <w:rFonts w:ascii="Arial" w:hAnsi="Arial" w:cs="Arial"/>
          <w:b/>
        </w:rPr>
        <w:t>S</w:t>
      </w:r>
      <w:r w:rsidRPr="002663DF">
        <w:rPr>
          <w:rFonts w:ascii="Arial" w:hAnsi="Arial" w:cs="Arial"/>
          <w:b/>
        </w:rPr>
        <w:t>idama</w:t>
      </w:r>
      <w:proofErr w:type="spellEnd"/>
      <w:r w:rsidRPr="002663DF">
        <w:rPr>
          <w:rFonts w:ascii="Arial" w:hAnsi="Arial" w:cs="Arial"/>
          <w:b/>
        </w:rPr>
        <w:t xml:space="preserve"> regional </w:t>
      </w:r>
      <w:proofErr w:type="spellStart"/>
      <w:proofErr w:type="gramStart"/>
      <w:r w:rsidRPr="002663DF">
        <w:rPr>
          <w:rFonts w:ascii="Arial" w:hAnsi="Arial" w:cs="Arial"/>
          <w:b/>
        </w:rPr>
        <w:t>state</w:t>
      </w:r>
      <w:r w:rsidR="001A4879" w:rsidRPr="002663DF">
        <w:rPr>
          <w:rFonts w:ascii="Arial" w:hAnsi="Arial" w:cs="Arial"/>
          <w:b/>
        </w:rPr>
        <w:t>,southern</w:t>
      </w:r>
      <w:proofErr w:type="spellEnd"/>
      <w:proofErr w:type="gramEnd"/>
      <w:r w:rsidR="001A4879" w:rsidRPr="002663DF">
        <w:rPr>
          <w:rFonts w:ascii="Arial" w:hAnsi="Arial" w:cs="Arial"/>
          <w:b/>
        </w:rPr>
        <w:t xml:space="preserve"> Ethiopia</w:t>
      </w:r>
    </w:p>
    <w:p w14:paraId="31E1C9D6" w14:textId="77777777" w:rsidR="00FC6238" w:rsidRPr="001A4879" w:rsidRDefault="00FC6238" w:rsidP="00ED1518">
      <w:pPr>
        <w:spacing w:line="240" w:lineRule="auto"/>
        <w:jc w:val="left"/>
        <w:rPr>
          <w:rFonts w:ascii="Arial" w:hAnsi="Arial" w:cs="Arial"/>
          <w:b/>
        </w:rPr>
      </w:pPr>
    </w:p>
    <w:p w14:paraId="3E08DF20" w14:textId="77777777" w:rsidR="00E657F1" w:rsidRPr="001A4879" w:rsidRDefault="00DE2087" w:rsidP="00ED1518">
      <w:pPr>
        <w:spacing w:line="240" w:lineRule="auto"/>
        <w:jc w:val="left"/>
        <w:rPr>
          <w:rFonts w:ascii="Arial" w:hAnsi="Arial" w:cs="Arial"/>
          <w:b/>
        </w:rPr>
      </w:pPr>
      <w:r w:rsidRPr="001A4879">
        <w:rPr>
          <w:rFonts w:ascii="Arial" w:hAnsi="Arial" w:cs="Arial"/>
          <w:b/>
        </w:rPr>
        <w:t>ABSTRACT</w:t>
      </w:r>
    </w:p>
    <w:p w14:paraId="756493EE" w14:textId="77777777" w:rsidR="0001265B" w:rsidRPr="001A4879" w:rsidRDefault="001B1047" w:rsidP="00ED1518">
      <w:pPr>
        <w:spacing w:line="240" w:lineRule="auto"/>
        <w:rPr>
          <w:rFonts w:ascii="Arial" w:hAnsi="Arial" w:cs="Arial"/>
          <w:i/>
        </w:rPr>
      </w:pPr>
      <w:r w:rsidRPr="001A4879">
        <w:rPr>
          <w:rFonts w:ascii="Arial" w:hAnsi="Arial" w:cs="Arial"/>
          <w:i/>
        </w:rPr>
        <w:t xml:space="preserve">Assessing the influence of land use on soil physic chemical properties is crucial for developing sustainable land management strategies. </w:t>
      </w:r>
      <w:r w:rsidR="00AC6AD4" w:rsidRPr="001A4879">
        <w:rPr>
          <w:rFonts w:ascii="Arial" w:hAnsi="Arial" w:cs="Arial"/>
          <w:i/>
        </w:rPr>
        <w:t>T</w:t>
      </w:r>
      <w:r w:rsidR="00411597" w:rsidRPr="001A4879">
        <w:rPr>
          <w:rFonts w:ascii="Arial" w:hAnsi="Arial" w:cs="Arial"/>
          <w:i/>
        </w:rPr>
        <w:t>his study was conducted to evaluate the effect of different land uses and soil depth on selected soil properties</w:t>
      </w:r>
      <w:r w:rsidR="00AC6AD4" w:rsidRPr="001A4879">
        <w:rPr>
          <w:rFonts w:ascii="Arial" w:hAnsi="Arial" w:cs="Arial"/>
          <w:i/>
        </w:rPr>
        <w:t xml:space="preserve"> in three randomly selected sites of Sidama regional state</w:t>
      </w:r>
      <w:r w:rsidR="00C37C92" w:rsidRPr="001A4879">
        <w:rPr>
          <w:rFonts w:ascii="Arial" w:hAnsi="Arial" w:cs="Arial"/>
          <w:i/>
        </w:rPr>
        <w:t>.</w:t>
      </w:r>
      <w:r w:rsidR="00411597" w:rsidRPr="001A4879">
        <w:rPr>
          <w:rFonts w:ascii="Arial" w:hAnsi="Arial" w:cs="Arial"/>
          <w:i/>
        </w:rPr>
        <w:t xml:space="preserve"> </w:t>
      </w:r>
      <w:r w:rsidR="003F5552" w:rsidRPr="001A4879">
        <w:rPr>
          <w:rFonts w:ascii="Arial" w:hAnsi="Arial" w:cs="Arial"/>
          <w:i/>
        </w:rPr>
        <w:t xml:space="preserve"> </w:t>
      </w:r>
      <w:r w:rsidR="00A94E9C" w:rsidRPr="001A4879">
        <w:rPr>
          <w:rFonts w:ascii="Arial" w:hAnsi="Arial" w:cs="Arial"/>
          <w:i/>
        </w:rPr>
        <w:t>54</w:t>
      </w:r>
      <w:r w:rsidR="00411597" w:rsidRPr="001A4879">
        <w:rPr>
          <w:rFonts w:ascii="Arial" w:hAnsi="Arial" w:cs="Arial"/>
          <w:i/>
        </w:rPr>
        <w:t xml:space="preserve"> composite soil samples were collected from thr</w:t>
      </w:r>
      <w:r w:rsidR="00FF7E9A" w:rsidRPr="001A4879">
        <w:rPr>
          <w:rFonts w:ascii="Arial" w:hAnsi="Arial" w:cs="Arial"/>
          <w:i/>
        </w:rPr>
        <w:t xml:space="preserve">ee land uses (cultivated land, </w:t>
      </w:r>
      <w:proofErr w:type="spellStart"/>
      <w:r w:rsidR="00FF7E9A" w:rsidRPr="001A4879">
        <w:rPr>
          <w:rFonts w:ascii="Arial" w:hAnsi="Arial" w:cs="Arial"/>
          <w:i/>
        </w:rPr>
        <w:t>e</w:t>
      </w:r>
      <w:r w:rsidR="00411597" w:rsidRPr="001A4879">
        <w:rPr>
          <w:rFonts w:ascii="Arial" w:hAnsi="Arial" w:cs="Arial"/>
          <w:i/>
        </w:rPr>
        <w:t>nset</w:t>
      </w:r>
      <w:proofErr w:type="spellEnd"/>
      <w:r w:rsidR="00411597" w:rsidRPr="001A4879">
        <w:rPr>
          <w:rFonts w:ascii="Arial" w:hAnsi="Arial" w:cs="Arial"/>
          <w:i/>
        </w:rPr>
        <w:t xml:space="preserve"> and forest) at two soil depths (0-20cm and 20-40cm).</w:t>
      </w:r>
      <w:r w:rsidR="00A94E9C" w:rsidRPr="001A4879">
        <w:rPr>
          <w:rFonts w:ascii="Arial" w:hAnsi="Arial" w:cs="Arial"/>
          <w:i/>
        </w:rPr>
        <w:t xml:space="preserve"> </w:t>
      </w:r>
      <w:r w:rsidR="00550E1D" w:rsidRPr="001A4879">
        <w:rPr>
          <w:rFonts w:ascii="Arial" w:hAnsi="Arial" w:cs="Arial"/>
          <w:i/>
        </w:rPr>
        <w:t>In</w:t>
      </w:r>
      <w:r w:rsidR="00A94E9C" w:rsidRPr="001A4879">
        <w:rPr>
          <w:rFonts w:ascii="Arial" w:hAnsi="Arial" w:cs="Arial"/>
          <w:i/>
        </w:rPr>
        <w:t xml:space="preserve"> addition, undisturbed soil samples were collected using a core sampler to assess the bulk density.</w:t>
      </w:r>
      <w:r w:rsidR="00411597" w:rsidRPr="001A4879">
        <w:rPr>
          <w:rFonts w:ascii="Arial" w:hAnsi="Arial" w:cs="Arial"/>
          <w:i/>
        </w:rPr>
        <w:t xml:space="preserve"> Laboratory analyses were conducted for selected soil properties following standard procedures. The results of the study revealed that land use and soil depth significantly influenced soil properties.</w:t>
      </w:r>
      <w:r w:rsidR="00D7698C" w:rsidRPr="001A4879">
        <w:rPr>
          <w:rFonts w:ascii="Arial" w:hAnsi="Arial" w:cs="Arial"/>
          <w:i/>
        </w:rPr>
        <w:t xml:space="preserve"> Except particle size distribution, all measured soil properties were significantly influenced by land use types. Bulk density, total nitrogen and available phosphorus were found to be influenced by soil depth.</w:t>
      </w:r>
      <w:r w:rsidR="00411597" w:rsidRPr="001A4879">
        <w:rPr>
          <w:rFonts w:ascii="Arial" w:hAnsi="Arial" w:cs="Arial"/>
          <w:i/>
        </w:rPr>
        <w:t xml:space="preserve"> </w:t>
      </w:r>
      <w:proofErr w:type="spellStart"/>
      <w:r w:rsidR="00411597" w:rsidRPr="001A4879">
        <w:rPr>
          <w:rFonts w:ascii="Arial" w:hAnsi="Arial" w:cs="Arial"/>
          <w:i/>
        </w:rPr>
        <w:t>Enset</w:t>
      </w:r>
      <w:proofErr w:type="spellEnd"/>
      <w:r w:rsidR="00411597" w:rsidRPr="001A4879">
        <w:rPr>
          <w:rFonts w:ascii="Arial" w:hAnsi="Arial" w:cs="Arial"/>
          <w:i/>
        </w:rPr>
        <w:t xml:space="preserve"> had the highest mean values for available phosphorus, total nitrogen, cation exchange capacity, while cultivated land had the lowest value for all soil properties excluding bulk </w:t>
      </w:r>
      <w:r w:rsidR="00823155" w:rsidRPr="001A4879">
        <w:rPr>
          <w:rFonts w:ascii="Arial" w:hAnsi="Arial" w:cs="Arial"/>
          <w:i/>
        </w:rPr>
        <w:t xml:space="preserve">density. The highest value of all soil properties under </w:t>
      </w:r>
      <w:proofErr w:type="spellStart"/>
      <w:r w:rsidR="00823155" w:rsidRPr="001A4879">
        <w:rPr>
          <w:rFonts w:ascii="Arial" w:hAnsi="Arial" w:cs="Arial"/>
          <w:i/>
        </w:rPr>
        <w:t>enset</w:t>
      </w:r>
      <w:proofErr w:type="spellEnd"/>
      <w:r w:rsidR="00823155" w:rsidRPr="001A4879">
        <w:rPr>
          <w:rFonts w:ascii="Arial" w:hAnsi="Arial" w:cs="Arial"/>
          <w:i/>
        </w:rPr>
        <w:t xml:space="preserve"> land use might be attributed to farmer’s practice of frequent application of manure and household refuses.</w:t>
      </w:r>
      <w:r w:rsidR="00411597" w:rsidRPr="001A4879">
        <w:rPr>
          <w:rFonts w:ascii="Arial" w:hAnsi="Arial" w:cs="Arial"/>
          <w:i/>
        </w:rPr>
        <w:t xml:space="preserve"> Bulk density and clay content were increased with soil depth while sand, silt, pH, </w:t>
      </w:r>
      <w:proofErr w:type="spellStart"/>
      <w:proofErr w:type="gramStart"/>
      <w:r w:rsidR="00411597" w:rsidRPr="001A4879">
        <w:rPr>
          <w:rFonts w:ascii="Arial" w:hAnsi="Arial" w:cs="Arial"/>
          <w:i/>
        </w:rPr>
        <w:t>Av.P</w:t>
      </w:r>
      <w:proofErr w:type="spellEnd"/>
      <w:proofErr w:type="gramEnd"/>
      <w:r w:rsidR="00411597" w:rsidRPr="001A4879">
        <w:rPr>
          <w:rFonts w:ascii="Arial" w:hAnsi="Arial" w:cs="Arial"/>
          <w:i/>
        </w:rPr>
        <w:t xml:space="preserve">, total nitrogen </w:t>
      </w:r>
      <w:r w:rsidR="00EC7CE6" w:rsidRPr="001A4879">
        <w:rPr>
          <w:rFonts w:ascii="Arial" w:hAnsi="Arial" w:cs="Arial"/>
          <w:i/>
        </w:rPr>
        <w:t>was</w:t>
      </w:r>
      <w:r w:rsidR="00411597" w:rsidRPr="001A4879">
        <w:rPr>
          <w:rFonts w:ascii="Arial" w:hAnsi="Arial" w:cs="Arial"/>
          <w:i/>
        </w:rPr>
        <w:t xml:space="preserve"> decreased with soil depth. </w:t>
      </w:r>
      <w:r w:rsidR="00C37C92" w:rsidRPr="001A4879">
        <w:rPr>
          <w:rFonts w:ascii="Arial" w:hAnsi="Arial" w:cs="Arial"/>
          <w:i/>
        </w:rPr>
        <w:t xml:space="preserve">The highest value of bulk density and lowest value of other measured soil parameters were might be attributed to frequent tillage without organic input application. </w:t>
      </w:r>
      <w:r w:rsidR="00411597" w:rsidRPr="001A4879">
        <w:rPr>
          <w:rFonts w:ascii="Arial" w:hAnsi="Arial" w:cs="Arial"/>
          <w:i/>
        </w:rPr>
        <w:t xml:space="preserve">This study indicated that the cultivation of land continuously without proper management leads to the deterioration of soil </w:t>
      </w:r>
      <w:r w:rsidR="00823155" w:rsidRPr="001A4879">
        <w:rPr>
          <w:rFonts w:ascii="Arial" w:hAnsi="Arial" w:cs="Arial"/>
          <w:i/>
        </w:rPr>
        <w:t>properties</w:t>
      </w:r>
      <w:r w:rsidR="00411597" w:rsidRPr="001A4879">
        <w:rPr>
          <w:rFonts w:ascii="Arial" w:hAnsi="Arial" w:cs="Arial"/>
          <w:i/>
        </w:rPr>
        <w:t xml:space="preserve">. </w:t>
      </w:r>
      <w:r w:rsidR="00C37C92" w:rsidRPr="001A4879">
        <w:rPr>
          <w:rFonts w:ascii="Arial" w:hAnsi="Arial" w:cs="Arial"/>
          <w:i/>
        </w:rPr>
        <w:t xml:space="preserve">From this study, it can be concluded that conversion of forest land to cultivated land can lead to soil fertility degradation. </w:t>
      </w:r>
      <w:r w:rsidR="00411597" w:rsidRPr="001A4879">
        <w:rPr>
          <w:rFonts w:ascii="Arial" w:hAnsi="Arial" w:cs="Arial"/>
          <w:i/>
        </w:rPr>
        <w:t xml:space="preserve">Therefore, continuous cultivation needs the application of organic amendments in combination with inorganic fertilizer </w:t>
      </w:r>
      <w:r w:rsidR="00BA4CBD" w:rsidRPr="001A4879">
        <w:rPr>
          <w:rFonts w:ascii="Arial" w:hAnsi="Arial" w:cs="Arial"/>
          <w:i/>
        </w:rPr>
        <w:t>for</w:t>
      </w:r>
      <w:r w:rsidR="00411597" w:rsidRPr="001A4879">
        <w:rPr>
          <w:rFonts w:ascii="Arial" w:hAnsi="Arial" w:cs="Arial"/>
          <w:i/>
        </w:rPr>
        <w:t xml:space="preserve"> sustainable </w:t>
      </w:r>
      <w:r w:rsidR="00F11208" w:rsidRPr="001A4879">
        <w:rPr>
          <w:rFonts w:ascii="Arial" w:hAnsi="Arial" w:cs="Arial"/>
          <w:i/>
        </w:rPr>
        <w:t>soil</w:t>
      </w:r>
      <w:r w:rsidR="00411597" w:rsidRPr="001A4879">
        <w:rPr>
          <w:rFonts w:ascii="Arial" w:hAnsi="Arial" w:cs="Arial"/>
          <w:i/>
        </w:rPr>
        <w:t xml:space="preserve"> management. </w:t>
      </w:r>
    </w:p>
    <w:p w14:paraId="2E8C1257" w14:textId="77777777" w:rsidR="00411597" w:rsidRPr="001A4879" w:rsidRDefault="0001265B" w:rsidP="00ED1518">
      <w:pPr>
        <w:spacing w:line="240" w:lineRule="auto"/>
        <w:rPr>
          <w:rFonts w:ascii="Arial" w:hAnsi="Arial" w:cs="Arial"/>
          <w:b/>
          <w:color w:val="FF0000"/>
        </w:rPr>
      </w:pPr>
      <w:r w:rsidRPr="001A4879">
        <w:rPr>
          <w:rFonts w:ascii="Arial" w:hAnsi="Arial" w:cs="Arial"/>
          <w:i/>
        </w:rPr>
        <w:t xml:space="preserve">Key words: </w:t>
      </w:r>
      <w:r w:rsidR="007728E4" w:rsidRPr="001A4879">
        <w:rPr>
          <w:rFonts w:ascii="Arial" w:hAnsi="Arial" w:cs="Arial"/>
        </w:rPr>
        <w:t>land use types, soil depth, soil properties, cultivation.</w:t>
      </w:r>
      <w:r w:rsidR="00411597" w:rsidRPr="001A4879">
        <w:rPr>
          <w:rFonts w:ascii="Arial" w:hAnsi="Arial" w:cs="Arial"/>
          <w:i/>
        </w:rPr>
        <w:t xml:space="preserve"> </w:t>
      </w:r>
    </w:p>
    <w:p w14:paraId="4EA85744" w14:textId="77777777" w:rsidR="00E657F1" w:rsidRPr="001A4879" w:rsidRDefault="00DE2087" w:rsidP="00ED1518">
      <w:pPr>
        <w:spacing w:line="240" w:lineRule="auto"/>
        <w:jc w:val="left"/>
        <w:rPr>
          <w:rFonts w:ascii="Arial" w:hAnsi="Arial" w:cs="Arial"/>
          <w:b/>
        </w:rPr>
      </w:pPr>
      <w:r w:rsidRPr="001A4879">
        <w:rPr>
          <w:rFonts w:ascii="Arial" w:hAnsi="Arial" w:cs="Arial"/>
          <w:b/>
        </w:rPr>
        <w:t>INTRODUCTION</w:t>
      </w:r>
    </w:p>
    <w:p w14:paraId="2B28A65E" w14:textId="77777777" w:rsidR="00B416F5" w:rsidRPr="001A4879" w:rsidRDefault="000956B8" w:rsidP="00ED1518">
      <w:pPr>
        <w:spacing w:line="240" w:lineRule="auto"/>
        <w:rPr>
          <w:rFonts w:ascii="Arial" w:hAnsi="Arial" w:cs="Arial"/>
        </w:rPr>
      </w:pPr>
      <w:r w:rsidRPr="001A4879">
        <w:rPr>
          <w:rFonts w:ascii="Arial" w:hAnsi="Arial" w:cs="Arial"/>
        </w:rPr>
        <w:t xml:space="preserve">Soil is a basic resource underpinning all terrestrial ecosystems and it is a reusable resource when managed carefully, but in the scale of human lifetimes, it cannot be considered a renewable resource (Weil and Brady, 2017). Soils in the field are heterogeneous; that is, the profile characteristics are not exactly the same at any two points within the soil. It is also variable and their properties are changing across the landscape and vertically down the soil profile (Brubaker </w:t>
      </w:r>
      <w:r w:rsidRPr="001A4879">
        <w:rPr>
          <w:rFonts w:ascii="Arial" w:hAnsi="Arial" w:cs="Arial"/>
          <w:i/>
        </w:rPr>
        <w:t>et al</w:t>
      </w:r>
      <w:r w:rsidRPr="001A4879">
        <w:rPr>
          <w:rFonts w:ascii="Arial" w:hAnsi="Arial" w:cs="Arial"/>
        </w:rPr>
        <w:t>., 1993). Researchers showed the linkage between land uses and soil properties, particularly in relation to soil nutrients and carbon sequestrations (</w:t>
      </w:r>
      <w:proofErr w:type="spellStart"/>
      <w:r w:rsidRPr="001A4879">
        <w:rPr>
          <w:rFonts w:ascii="Arial" w:hAnsi="Arial" w:cs="Arial"/>
        </w:rPr>
        <w:t>Agbede</w:t>
      </w:r>
      <w:proofErr w:type="spellEnd"/>
      <w:r w:rsidRPr="001A4879">
        <w:rPr>
          <w:rFonts w:ascii="Arial" w:hAnsi="Arial" w:cs="Arial"/>
        </w:rPr>
        <w:t xml:space="preserve">, 2010; </w:t>
      </w:r>
      <w:proofErr w:type="spellStart"/>
      <w:r w:rsidRPr="001A4879">
        <w:rPr>
          <w:rFonts w:ascii="Arial" w:hAnsi="Arial" w:cs="Arial"/>
        </w:rPr>
        <w:t>Nega</w:t>
      </w:r>
      <w:proofErr w:type="spellEnd"/>
      <w:r w:rsidRPr="001A4879">
        <w:rPr>
          <w:rFonts w:ascii="Arial" w:hAnsi="Arial" w:cs="Arial"/>
        </w:rPr>
        <w:t xml:space="preserve"> and Heluf, 2015). Change in land use, long-term cultivation, deforestation, overgrazing and mineral fertilization can cause significant variation in soil properties (Conant </w:t>
      </w:r>
      <w:r w:rsidRPr="001A4879">
        <w:rPr>
          <w:rFonts w:ascii="Arial" w:hAnsi="Arial" w:cs="Arial"/>
          <w:i/>
        </w:rPr>
        <w:t>et al</w:t>
      </w:r>
      <w:r w:rsidRPr="001A4879">
        <w:rPr>
          <w:rFonts w:ascii="Arial" w:hAnsi="Arial" w:cs="Arial"/>
        </w:rPr>
        <w:t xml:space="preserve">., 2003). </w:t>
      </w:r>
      <w:r w:rsidR="00B416F5" w:rsidRPr="001A4879">
        <w:rPr>
          <w:rFonts w:ascii="Arial" w:hAnsi="Arial" w:cs="Arial"/>
        </w:rPr>
        <w:t xml:space="preserve">Land use </w:t>
      </w:r>
      <w:r w:rsidR="00D7698C" w:rsidRPr="001A4879">
        <w:rPr>
          <w:rFonts w:ascii="Arial" w:hAnsi="Arial" w:cs="Arial"/>
        </w:rPr>
        <w:t>refers to</w:t>
      </w:r>
      <w:r w:rsidR="00B416F5" w:rsidRPr="001A4879">
        <w:rPr>
          <w:rFonts w:ascii="Arial" w:hAnsi="Arial" w:cs="Arial"/>
        </w:rPr>
        <w:t xml:space="preserve"> </w:t>
      </w:r>
      <w:r w:rsidR="00B416F5" w:rsidRPr="001A4879">
        <w:rPr>
          <w:rFonts w:ascii="Arial" w:hAnsi="Arial" w:cs="Arial"/>
        </w:rPr>
        <w:lastRenderedPageBreak/>
        <w:t>arrangements, activities and inputs people undertake in a certain land cover type to produce, change or maintain it (</w:t>
      </w:r>
      <w:proofErr w:type="spellStart"/>
      <w:r w:rsidR="00B416F5" w:rsidRPr="001A4879">
        <w:rPr>
          <w:rFonts w:ascii="Arial" w:hAnsi="Arial" w:cs="Arial"/>
        </w:rPr>
        <w:t>Ufot</w:t>
      </w:r>
      <w:proofErr w:type="spellEnd"/>
      <w:r w:rsidR="00B416F5" w:rsidRPr="001A4879">
        <w:rPr>
          <w:rFonts w:ascii="Arial" w:hAnsi="Arial" w:cs="Arial"/>
        </w:rPr>
        <w:t xml:space="preserve"> </w:t>
      </w:r>
      <w:r w:rsidR="00B416F5" w:rsidRPr="001A4879">
        <w:rPr>
          <w:rFonts w:ascii="Arial" w:hAnsi="Arial" w:cs="Arial"/>
          <w:i/>
        </w:rPr>
        <w:t>et al</w:t>
      </w:r>
      <w:r w:rsidR="00B416F5" w:rsidRPr="001A4879">
        <w:rPr>
          <w:rFonts w:ascii="Arial" w:hAnsi="Arial" w:cs="Arial"/>
        </w:rPr>
        <w:t xml:space="preserve">., 2016). It can influence soil chemical and physical properties because of different anthropogenic activities, namely tillage, livestock trampling, harvesting, planting, application of fertilizer etc. </w:t>
      </w:r>
    </w:p>
    <w:p w14:paraId="518335BF" w14:textId="77777777" w:rsidR="00A61EC9" w:rsidRPr="001A4879" w:rsidRDefault="00756FA2" w:rsidP="00ED1518">
      <w:pPr>
        <w:spacing w:line="240" w:lineRule="auto"/>
        <w:rPr>
          <w:rFonts w:ascii="Arial" w:hAnsi="Arial" w:cs="Arial"/>
        </w:rPr>
      </w:pPr>
      <w:r w:rsidRPr="001A4879">
        <w:rPr>
          <w:rFonts w:ascii="Arial" w:hAnsi="Arial" w:cs="Arial"/>
        </w:rPr>
        <w:t xml:space="preserve">Previous studies showed that </w:t>
      </w:r>
      <w:r w:rsidRPr="001A4879">
        <w:rPr>
          <w:rFonts w:ascii="Arial" w:hAnsi="Arial" w:cs="Arial"/>
          <w:color w:val="000000"/>
          <w:shd w:val="clear" w:color="auto" w:fill="FFFFFF"/>
        </w:rPr>
        <w:t>the physical and chemical properties of soil and agricultural productivity are significantly affected by changes in land use (Girma et al., (2023), Yaseen et al., (2023</w:t>
      </w:r>
      <w:r w:rsidR="0046000F" w:rsidRPr="001A4879">
        <w:rPr>
          <w:rFonts w:ascii="Arial" w:hAnsi="Arial" w:cs="Arial"/>
          <w:color w:val="000000"/>
          <w:shd w:val="clear" w:color="auto" w:fill="FFFFFF"/>
        </w:rPr>
        <w:t>)</w:t>
      </w:r>
      <w:r w:rsidRPr="001A4879">
        <w:rPr>
          <w:rFonts w:ascii="Arial" w:hAnsi="Arial" w:cs="Arial"/>
          <w:color w:val="000000"/>
          <w:shd w:val="clear" w:color="auto" w:fill="FFFFFF"/>
        </w:rPr>
        <w:t>).</w:t>
      </w:r>
      <w:r w:rsidR="00A61EC9" w:rsidRPr="001A4879">
        <w:rPr>
          <w:rFonts w:ascii="Arial" w:hAnsi="Arial" w:cs="Arial"/>
        </w:rPr>
        <w:t xml:space="preserve"> According to Bore and </w:t>
      </w:r>
      <w:proofErr w:type="spellStart"/>
      <w:r w:rsidR="00A61EC9" w:rsidRPr="001A4879">
        <w:rPr>
          <w:rFonts w:ascii="Arial" w:hAnsi="Arial" w:cs="Arial"/>
        </w:rPr>
        <w:t>Bedadi</w:t>
      </w:r>
      <w:proofErr w:type="spellEnd"/>
      <w:r w:rsidR="00A61EC9" w:rsidRPr="001A4879">
        <w:rPr>
          <w:rFonts w:ascii="Arial" w:hAnsi="Arial" w:cs="Arial"/>
        </w:rPr>
        <w:t xml:space="preserve"> (2016) OM, TN, and cation exchange capacity (CEC) have declined by approximately 76%, 61%, and 39%, respectively in cultivated land, in Ethiopian highlands.</w:t>
      </w:r>
    </w:p>
    <w:p w14:paraId="31B1B2CF" w14:textId="77777777" w:rsidR="00B416F5" w:rsidRPr="001A4879" w:rsidRDefault="00756FA2" w:rsidP="00ED1518">
      <w:pPr>
        <w:spacing w:line="240" w:lineRule="auto"/>
        <w:rPr>
          <w:rFonts w:ascii="Arial" w:hAnsi="Arial" w:cs="Arial"/>
        </w:rPr>
      </w:pPr>
      <w:r w:rsidRPr="001A4879">
        <w:rPr>
          <w:rFonts w:ascii="Arial" w:hAnsi="Arial" w:cs="Arial"/>
        </w:rPr>
        <w:t xml:space="preserve"> </w:t>
      </w:r>
      <w:r w:rsidR="002627CF" w:rsidRPr="001A4879">
        <w:rPr>
          <w:rFonts w:ascii="Arial" w:hAnsi="Arial" w:cs="Arial"/>
        </w:rPr>
        <w:t>Land use has long term effects on the spatial heterogeneity of soil resources and also the need for land use and landscape research to determine ecologically sound and sustainable land use and management strategies (</w:t>
      </w:r>
      <w:proofErr w:type="spellStart"/>
      <w:r w:rsidR="00661040" w:rsidRPr="001A4879">
        <w:rPr>
          <w:rFonts w:ascii="Arial" w:hAnsi="Arial" w:cs="Arial"/>
        </w:rPr>
        <w:t>Kiflu</w:t>
      </w:r>
      <w:proofErr w:type="spellEnd"/>
      <w:r w:rsidR="002627CF" w:rsidRPr="001A4879">
        <w:rPr>
          <w:rFonts w:ascii="Arial" w:hAnsi="Arial" w:cs="Arial"/>
        </w:rPr>
        <w:t xml:space="preserve"> and </w:t>
      </w:r>
      <w:proofErr w:type="spellStart"/>
      <w:r w:rsidR="00661040" w:rsidRPr="001A4879">
        <w:rPr>
          <w:rFonts w:ascii="Arial" w:hAnsi="Arial" w:cs="Arial"/>
        </w:rPr>
        <w:t>Beyene</w:t>
      </w:r>
      <w:proofErr w:type="spellEnd"/>
      <w:r w:rsidR="002627CF" w:rsidRPr="001A4879">
        <w:rPr>
          <w:rFonts w:ascii="Arial" w:hAnsi="Arial" w:cs="Arial"/>
        </w:rPr>
        <w:t>, 2013).</w:t>
      </w:r>
      <w:r w:rsidR="000956B8" w:rsidRPr="001A4879">
        <w:rPr>
          <w:rFonts w:ascii="Arial" w:hAnsi="Arial" w:cs="Arial"/>
        </w:rPr>
        <w:t xml:space="preserve"> Therefore, assessing soil physicochemical properties in different land use types is </w:t>
      </w:r>
      <w:r w:rsidR="00BA272F" w:rsidRPr="001A4879">
        <w:rPr>
          <w:rFonts w:ascii="Arial" w:hAnsi="Arial" w:cs="Arial"/>
        </w:rPr>
        <w:t>crucial</w:t>
      </w:r>
      <w:r w:rsidR="000956B8" w:rsidRPr="001A4879">
        <w:rPr>
          <w:rFonts w:ascii="Arial" w:hAnsi="Arial" w:cs="Arial"/>
        </w:rPr>
        <w:t xml:space="preserve"> to provide important information for planners and policy makers to devise development interventions that ensure sustainable land management</w:t>
      </w:r>
      <w:r w:rsidR="00BA272F" w:rsidRPr="001A4879">
        <w:rPr>
          <w:rFonts w:ascii="Arial" w:hAnsi="Arial" w:cs="Arial"/>
        </w:rPr>
        <w:t xml:space="preserve">. </w:t>
      </w:r>
      <w:r w:rsidR="00692A0D" w:rsidRPr="001A4879">
        <w:rPr>
          <w:rFonts w:ascii="Arial" w:hAnsi="Arial" w:cs="Arial"/>
          <w:color w:val="1B1B1B"/>
          <w:shd w:val="clear" w:color="auto" w:fill="FFFFFF"/>
        </w:rPr>
        <w:t xml:space="preserve">Even though there are various studies conducted on the effect of land use type on soil physicochemical properties, </w:t>
      </w:r>
      <w:r w:rsidR="00A61EC9" w:rsidRPr="001A4879">
        <w:rPr>
          <w:rFonts w:ascii="Arial" w:hAnsi="Arial" w:cs="Arial"/>
          <w:color w:val="1B1B1B"/>
          <w:shd w:val="clear" w:color="auto" w:fill="FFFFFF"/>
        </w:rPr>
        <w:t xml:space="preserve">there is a little information on the effect of land uses on soil </w:t>
      </w:r>
      <w:r w:rsidR="00BA4CBD" w:rsidRPr="001A4879">
        <w:rPr>
          <w:rFonts w:ascii="Arial" w:hAnsi="Arial" w:cs="Arial"/>
          <w:color w:val="1B1B1B"/>
          <w:shd w:val="clear" w:color="auto" w:fill="FFFFFF"/>
        </w:rPr>
        <w:t>properties</w:t>
      </w:r>
      <w:r w:rsidR="00692A0D" w:rsidRPr="001A4879">
        <w:rPr>
          <w:rFonts w:ascii="Arial" w:hAnsi="Arial" w:cs="Arial"/>
          <w:color w:val="1B1B1B"/>
          <w:shd w:val="clear" w:color="auto" w:fill="FFFFFF"/>
        </w:rPr>
        <w:t xml:space="preserve"> in the </w:t>
      </w:r>
      <w:r w:rsidR="00A61EC9" w:rsidRPr="001A4879">
        <w:rPr>
          <w:rFonts w:ascii="Arial" w:hAnsi="Arial" w:cs="Arial"/>
          <w:color w:val="1B1B1B"/>
          <w:shd w:val="clear" w:color="auto" w:fill="FFFFFF"/>
        </w:rPr>
        <w:t>study area</w:t>
      </w:r>
      <w:r w:rsidR="00692A0D" w:rsidRPr="001A4879">
        <w:rPr>
          <w:rFonts w:ascii="Arial" w:hAnsi="Arial" w:cs="Arial"/>
          <w:color w:val="1B1B1B"/>
          <w:shd w:val="clear" w:color="auto" w:fill="FFFFFF"/>
        </w:rPr>
        <w:t>. Thus, this study aimed to assess the effect of land use type and soil depth on selected soil physicochemical properties in Sidama</w:t>
      </w:r>
      <w:r w:rsidR="00A61EC9" w:rsidRPr="001A4879">
        <w:rPr>
          <w:rFonts w:ascii="Arial" w:hAnsi="Arial" w:cs="Arial"/>
          <w:color w:val="1B1B1B"/>
          <w:shd w:val="clear" w:color="auto" w:fill="FFFFFF"/>
        </w:rPr>
        <w:t xml:space="preserve"> region</w:t>
      </w:r>
      <w:r w:rsidR="00692A0D" w:rsidRPr="001A4879">
        <w:rPr>
          <w:rFonts w:ascii="Arial" w:hAnsi="Arial" w:cs="Arial"/>
          <w:color w:val="1B1B1B"/>
          <w:shd w:val="clear" w:color="auto" w:fill="FFFFFF"/>
        </w:rPr>
        <w:t xml:space="preserve">, </w:t>
      </w:r>
      <w:r w:rsidR="00A61EC9" w:rsidRPr="001A4879">
        <w:rPr>
          <w:rFonts w:ascii="Arial" w:hAnsi="Arial" w:cs="Arial"/>
          <w:color w:val="1B1B1B"/>
          <w:shd w:val="clear" w:color="auto" w:fill="FFFFFF"/>
        </w:rPr>
        <w:t xml:space="preserve">southern </w:t>
      </w:r>
      <w:r w:rsidR="00692A0D" w:rsidRPr="001A4879">
        <w:rPr>
          <w:rFonts w:ascii="Arial" w:hAnsi="Arial" w:cs="Arial"/>
          <w:color w:val="1B1B1B"/>
          <w:shd w:val="clear" w:color="auto" w:fill="FFFFFF"/>
        </w:rPr>
        <w:t>Ethiopia.</w:t>
      </w:r>
    </w:p>
    <w:p w14:paraId="0925818D" w14:textId="77777777" w:rsidR="00E657F1" w:rsidRPr="001A4879" w:rsidRDefault="00232B43" w:rsidP="00ED1518">
      <w:pPr>
        <w:spacing w:line="240" w:lineRule="auto"/>
        <w:jc w:val="left"/>
        <w:rPr>
          <w:rFonts w:ascii="Arial" w:hAnsi="Arial" w:cs="Arial"/>
          <w:b/>
        </w:rPr>
      </w:pPr>
      <w:r w:rsidRPr="001A4879">
        <w:rPr>
          <w:rFonts w:ascii="Arial" w:hAnsi="Arial" w:cs="Arial"/>
          <w:b/>
        </w:rPr>
        <w:t>MATERIALS AND METHODS</w:t>
      </w:r>
    </w:p>
    <w:p w14:paraId="7EE7A33C" w14:textId="77777777" w:rsidR="00A472B9" w:rsidRPr="001A4879" w:rsidRDefault="00A472B9" w:rsidP="00ED1518">
      <w:pPr>
        <w:spacing w:line="240" w:lineRule="auto"/>
        <w:jc w:val="left"/>
        <w:rPr>
          <w:rFonts w:ascii="Arial" w:hAnsi="Arial" w:cs="Arial"/>
          <w:b/>
        </w:rPr>
      </w:pPr>
      <w:r w:rsidRPr="001A4879">
        <w:rPr>
          <w:rFonts w:ascii="Arial" w:hAnsi="Arial" w:cs="Arial"/>
          <w:b/>
        </w:rPr>
        <w:t>Description of the study area</w:t>
      </w:r>
    </w:p>
    <w:p w14:paraId="176E2AA9" w14:textId="77777777" w:rsidR="00A472B9" w:rsidRPr="001A4879" w:rsidRDefault="00A472B9" w:rsidP="00ED1518">
      <w:pPr>
        <w:spacing w:line="240" w:lineRule="auto"/>
        <w:rPr>
          <w:rFonts w:ascii="Arial" w:hAnsi="Arial" w:cs="Arial"/>
        </w:rPr>
      </w:pPr>
      <w:r w:rsidRPr="001A4879">
        <w:rPr>
          <w:rFonts w:ascii="Arial" w:hAnsi="Arial" w:cs="Arial"/>
        </w:rPr>
        <w:t xml:space="preserve">This study was carried out in randomly selected three sites of </w:t>
      </w:r>
      <w:proofErr w:type="spellStart"/>
      <w:r w:rsidRPr="001A4879">
        <w:rPr>
          <w:rFonts w:ascii="Arial" w:hAnsi="Arial" w:cs="Arial"/>
        </w:rPr>
        <w:t>sidama</w:t>
      </w:r>
      <w:proofErr w:type="spellEnd"/>
      <w:r w:rsidRPr="001A4879">
        <w:rPr>
          <w:rFonts w:ascii="Arial" w:hAnsi="Arial" w:cs="Arial"/>
        </w:rPr>
        <w:t xml:space="preserve"> regional state. Sites were located in </w:t>
      </w:r>
      <w:proofErr w:type="spellStart"/>
      <w:r w:rsidRPr="001A4879">
        <w:rPr>
          <w:rFonts w:ascii="Arial" w:hAnsi="Arial" w:cs="Arial"/>
        </w:rPr>
        <w:t>Arbegona</w:t>
      </w:r>
      <w:proofErr w:type="spellEnd"/>
      <w:r w:rsidRPr="001A4879">
        <w:rPr>
          <w:rFonts w:ascii="Arial" w:hAnsi="Arial" w:cs="Arial"/>
        </w:rPr>
        <w:t xml:space="preserve">, Dale and </w:t>
      </w:r>
      <w:proofErr w:type="spellStart"/>
      <w:r w:rsidRPr="001A4879">
        <w:rPr>
          <w:rFonts w:ascii="Arial" w:hAnsi="Arial" w:cs="Arial"/>
        </w:rPr>
        <w:t>Darara</w:t>
      </w:r>
      <w:proofErr w:type="spellEnd"/>
      <w:r w:rsidRPr="001A4879">
        <w:rPr>
          <w:rFonts w:ascii="Arial" w:hAnsi="Arial" w:cs="Arial"/>
        </w:rPr>
        <w:t xml:space="preserve"> districts of the region. Geographical study sites were in range from 6</w:t>
      </w:r>
      <w:r w:rsidRPr="001A4879">
        <w:rPr>
          <w:rFonts w:ascii="Arial" w:hAnsi="Arial" w:cs="Arial"/>
          <w:vertAlign w:val="superscript"/>
        </w:rPr>
        <w:t xml:space="preserve">0 </w:t>
      </w:r>
      <w:r w:rsidRPr="001A4879">
        <w:rPr>
          <w:rFonts w:ascii="Arial" w:hAnsi="Arial" w:cs="Arial"/>
        </w:rPr>
        <w:t>37</w:t>
      </w:r>
      <w:r w:rsidRPr="001A4879">
        <w:rPr>
          <w:rFonts w:ascii="Arial" w:hAnsi="Arial" w:cs="Arial"/>
          <w:vertAlign w:val="superscript"/>
        </w:rPr>
        <w:t>’</w:t>
      </w:r>
      <w:r w:rsidRPr="001A4879">
        <w:rPr>
          <w:rFonts w:ascii="Arial" w:hAnsi="Arial" w:cs="Arial"/>
        </w:rPr>
        <w:t>2</w:t>
      </w:r>
      <w:r w:rsidRPr="001A4879">
        <w:rPr>
          <w:rFonts w:ascii="Arial" w:hAnsi="Arial" w:cs="Arial"/>
          <w:vertAlign w:val="superscript"/>
        </w:rPr>
        <w:t xml:space="preserve">’’ </w:t>
      </w:r>
      <w:r w:rsidRPr="001A4879">
        <w:rPr>
          <w:rFonts w:ascii="Arial" w:hAnsi="Arial" w:cs="Arial"/>
        </w:rPr>
        <w:t>to 6</w:t>
      </w:r>
      <w:r w:rsidRPr="001A4879">
        <w:rPr>
          <w:rFonts w:ascii="Arial" w:hAnsi="Arial" w:cs="Arial"/>
          <w:vertAlign w:val="superscript"/>
        </w:rPr>
        <w:t>0</w:t>
      </w:r>
      <w:r w:rsidRPr="001A4879">
        <w:rPr>
          <w:rFonts w:ascii="Arial" w:hAnsi="Arial" w:cs="Arial"/>
        </w:rPr>
        <w:t>52</w:t>
      </w:r>
      <w:r w:rsidRPr="001A4879">
        <w:rPr>
          <w:rFonts w:ascii="Arial" w:hAnsi="Arial" w:cs="Arial"/>
          <w:vertAlign w:val="superscript"/>
        </w:rPr>
        <w:t>’</w:t>
      </w:r>
      <w:r w:rsidRPr="001A4879">
        <w:rPr>
          <w:rFonts w:ascii="Arial" w:hAnsi="Arial" w:cs="Arial"/>
        </w:rPr>
        <w:t xml:space="preserve"> 44</w:t>
      </w:r>
      <w:r w:rsidRPr="001A4879">
        <w:rPr>
          <w:rFonts w:ascii="Arial" w:hAnsi="Arial" w:cs="Arial"/>
          <w:vertAlign w:val="superscript"/>
        </w:rPr>
        <w:t>’’</w:t>
      </w:r>
      <w:r w:rsidRPr="001A4879">
        <w:rPr>
          <w:rFonts w:ascii="Arial" w:hAnsi="Arial" w:cs="Arial"/>
        </w:rPr>
        <w:t xml:space="preserve"> latitude and 38</w:t>
      </w:r>
      <w:r w:rsidRPr="001A4879">
        <w:rPr>
          <w:rFonts w:ascii="Arial" w:hAnsi="Arial" w:cs="Arial"/>
          <w:vertAlign w:val="superscript"/>
        </w:rPr>
        <w:t>0</w:t>
      </w:r>
      <w:r w:rsidRPr="001A4879">
        <w:rPr>
          <w:rFonts w:ascii="Arial" w:hAnsi="Arial" w:cs="Arial"/>
        </w:rPr>
        <w:t xml:space="preserve"> 15</w:t>
      </w:r>
      <w:r w:rsidRPr="001A4879">
        <w:rPr>
          <w:rFonts w:ascii="Arial" w:hAnsi="Arial" w:cs="Arial"/>
          <w:vertAlign w:val="superscript"/>
        </w:rPr>
        <w:t>’</w:t>
      </w:r>
      <w:r w:rsidRPr="001A4879">
        <w:rPr>
          <w:rFonts w:ascii="Arial" w:hAnsi="Arial" w:cs="Arial"/>
        </w:rPr>
        <w:t xml:space="preserve"> 51</w:t>
      </w:r>
      <w:r w:rsidRPr="001A4879">
        <w:rPr>
          <w:rFonts w:ascii="Arial" w:hAnsi="Arial" w:cs="Arial"/>
          <w:vertAlign w:val="superscript"/>
        </w:rPr>
        <w:t>’’</w:t>
      </w:r>
      <w:r w:rsidRPr="001A4879">
        <w:rPr>
          <w:rFonts w:ascii="Arial" w:hAnsi="Arial" w:cs="Arial"/>
        </w:rPr>
        <w:t xml:space="preserve"> to 38</w:t>
      </w:r>
      <w:r w:rsidRPr="001A4879">
        <w:rPr>
          <w:rFonts w:ascii="Arial" w:hAnsi="Arial" w:cs="Arial"/>
          <w:vertAlign w:val="superscript"/>
        </w:rPr>
        <w:t>0</w:t>
      </w:r>
      <w:r w:rsidRPr="001A4879">
        <w:rPr>
          <w:rFonts w:ascii="Arial" w:hAnsi="Arial" w:cs="Arial"/>
        </w:rPr>
        <w:t xml:space="preserve"> 45</w:t>
      </w:r>
      <w:r w:rsidRPr="001A4879">
        <w:rPr>
          <w:rFonts w:ascii="Arial" w:hAnsi="Arial" w:cs="Arial"/>
          <w:vertAlign w:val="superscript"/>
        </w:rPr>
        <w:t>’</w:t>
      </w:r>
      <w:r w:rsidR="000E4102" w:rsidRPr="001A4879">
        <w:rPr>
          <w:rFonts w:ascii="Arial" w:hAnsi="Arial" w:cs="Arial"/>
        </w:rPr>
        <w:t xml:space="preserve"> 23</w:t>
      </w:r>
      <w:r w:rsidR="000E4102" w:rsidRPr="001A4879">
        <w:rPr>
          <w:rFonts w:ascii="Arial" w:hAnsi="Arial" w:cs="Arial"/>
          <w:vertAlign w:val="superscript"/>
        </w:rPr>
        <w:t>’’</w:t>
      </w:r>
      <w:r w:rsidR="000E4102" w:rsidRPr="001A4879">
        <w:rPr>
          <w:rFonts w:ascii="Arial" w:hAnsi="Arial" w:cs="Arial"/>
        </w:rPr>
        <w:t xml:space="preserve"> longitude. The altitude ranges from 1842 to 2447 </w:t>
      </w:r>
      <w:proofErr w:type="spellStart"/>
      <w:r w:rsidR="000E4102" w:rsidRPr="001A4879">
        <w:rPr>
          <w:rFonts w:ascii="Arial" w:hAnsi="Arial" w:cs="Arial"/>
        </w:rPr>
        <w:t>masl</w:t>
      </w:r>
      <w:proofErr w:type="spellEnd"/>
      <w:r w:rsidR="000E4102" w:rsidRPr="001A4879">
        <w:rPr>
          <w:rFonts w:ascii="Arial" w:hAnsi="Arial" w:cs="Arial"/>
        </w:rPr>
        <w:t>.</w:t>
      </w:r>
      <w:r w:rsidR="00D806C6" w:rsidRPr="001A4879">
        <w:rPr>
          <w:rFonts w:ascii="Arial" w:eastAsia="Times New Roman" w:hAnsi="Arial" w:cs="Arial"/>
        </w:rPr>
        <w:t xml:space="preserve"> The dominant farming system </w:t>
      </w:r>
      <w:r w:rsidR="003B48DA" w:rsidRPr="001A4879">
        <w:rPr>
          <w:rFonts w:ascii="Arial" w:eastAsia="Times New Roman" w:hAnsi="Arial" w:cs="Arial"/>
        </w:rPr>
        <w:t xml:space="preserve">of the study </w:t>
      </w:r>
      <w:r w:rsidR="00D806C6" w:rsidRPr="001A4879">
        <w:rPr>
          <w:rFonts w:ascii="Arial" w:eastAsia="Times New Roman" w:hAnsi="Arial" w:cs="Arial"/>
        </w:rPr>
        <w:t xml:space="preserve">area is small-scale rain-fed cultivation of annual crops such as maize (Zea mays L.), barley (Hordeum vulgare L.), and perennial crops such as </w:t>
      </w:r>
      <w:proofErr w:type="spellStart"/>
      <w:r w:rsidR="00D806C6" w:rsidRPr="001A4879">
        <w:rPr>
          <w:rFonts w:ascii="Arial" w:eastAsia="Times New Roman" w:hAnsi="Arial" w:cs="Arial"/>
        </w:rPr>
        <w:t>enset</w:t>
      </w:r>
      <w:proofErr w:type="spellEnd"/>
      <w:r w:rsidR="00D806C6" w:rsidRPr="001A4879">
        <w:rPr>
          <w:rFonts w:ascii="Arial" w:eastAsia="Times New Roman" w:hAnsi="Arial" w:cs="Arial"/>
        </w:rPr>
        <w:t xml:space="preserve"> (</w:t>
      </w:r>
      <w:proofErr w:type="spellStart"/>
      <w:r w:rsidR="00D806C6" w:rsidRPr="001A4879">
        <w:rPr>
          <w:rFonts w:ascii="Arial" w:eastAsia="Times New Roman" w:hAnsi="Arial" w:cs="Arial"/>
        </w:rPr>
        <w:t>Ensete</w:t>
      </w:r>
      <w:proofErr w:type="spellEnd"/>
      <w:r w:rsidR="00D806C6" w:rsidRPr="001A4879">
        <w:rPr>
          <w:rFonts w:ascii="Arial" w:eastAsia="Times New Roman" w:hAnsi="Arial" w:cs="Arial"/>
        </w:rPr>
        <w:t xml:space="preserve"> </w:t>
      </w:r>
      <w:proofErr w:type="spellStart"/>
      <w:r w:rsidR="00D806C6" w:rsidRPr="001A4879">
        <w:rPr>
          <w:rFonts w:ascii="Arial" w:eastAsia="Times New Roman" w:hAnsi="Arial" w:cs="Arial"/>
        </w:rPr>
        <w:t>ventricosum</w:t>
      </w:r>
      <w:proofErr w:type="spellEnd"/>
      <w:r w:rsidR="00D806C6" w:rsidRPr="001A4879">
        <w:rPr>
          <w:rFonts w:ascii="Arial" w:eastAsia="Times New Roman" w:hAnsi="Arial" w:cs="Arial"/>
        </w:rPr>
        <w:t xml:space="preserve">), coffee (Coffea Arabica L.), etc. However, coffee is the main cash crops cultivated in the areas. Most of the area around the homestead is covered with perennial </w:t>
      </w:r>
      <w:proofErr w:type="spellStart"/>
      <w:r w:rsidR="00D806C6" w:rsidRPr="001A4879">
        <w:rPr>
          <w:rFonts w:ascii="Arial" w:eastAsia="Times New Roman" w:hAnsi="Arial" w:cs="Arial"/>
        </w:rPr>
        <w:t>enset</w:t>
      </w:r>
      <w:proofErr w:type="spellEnd"/>
      <w:r w:rsidR="00D806C6" w:rsidRPr="001A4879">
        <w:rPr>
          <w:rFonts w:ascii="Arial" w:eastAsia="Times New Roman" w:hAnsi="Arial" w:cs="Arial"/>
        </w:rPr>
        <w:t xml:space="preserve"> (</w:t>
      </w:r>
      <w:proofErr w:type="spellStart"/>
      <w:r w:rsidR="00D806C6" w:rsidRPr="001A4879">
        <w:rPr>
          <w:rFonts w:ascii="Arial" w:eastAsia="Times New Roman" w:hAnsi="Arial" w:cs="Arial"/>
          <w:i/>
          <w:iCs/>
        </w:rPr>
        <w:t>Ensete</w:t>
      </w:r>
      <w:proofErr w:type="spellEnd"/>
      <w:r w:rsidR="00D806C6" w:rsidRPr="001A4879">
        <w:rPr>
          <w:rFonts w:ascii="Arial" w:eastAsia="Times New Roman" w:hAnsi="Arial" w:cs="Arial"/>
          <w:i/>
          <w:iCs/>
        </w:rPr>
        <w:t xml:space="preserve"> </w:t>
      </w:r>
      <w:proofErr w:type="spellStart"/>
      <w:r w:rsidR="00D806C6" w:rsidRPr="001A4879">
        <w:rPr>
          <w:rFonts w:ascii="Arial" w:eastAsia="Times New Roman" w:hAnsi="Arial" w:cs="Arial"/>
          <w:i/>
          <w:iCs/>
        </w:rPr>
        <w:t>ventricosum</w:t>
      </w:r>
      <w:proofErr w:type="spellEnd"/>
      <w:r w:rsidR="00D806C6" w:rsidRPr="001A4879">
        <w:rPr>
          <w:rFonts w:ascii="Arial" w:eastAsia="Times New Roman" w:hAnsi="Arial" w:cs="Arial"/>
        </w:rPr>
        <w:t xml:space="preserve">), which is a staple food and income source for the farmers. Animal farming is also a common practice in the area. </w:t>
      </w:r>
      <w:r w:rsidR="00D806C6" w:rsidRPr="001A4879">
        <w:rPr>
          <w:rFonts w:ascii="Arial" w:hAnsi="Arial" w:cs="Arial"/>
        </w:rPr>
        <w:t xml:space="preserve">In general, </w:t>
      </w:r>
      <w:r w:rsidR="002722EE" w:rsidRPr="001A4879">
        <w:rPr>
          <w:rFonts w:ascii="Arial" w:hAnsi="Arial" w:cs="Arial"/>
        </w:rPr>
        <w:t xml:space="preserve">home gardens of the </w:t>
      </w:r>
      <w:proofErr w:type="spellStart"/>
      <w:r w:rsidR="002722EE" w:rsidRPr="001A4879">
        <w:rPr>
          <w:rFonts w:ascii="Arial" w:hAnsi="Arial" w:cs="Arial"/>
        </w:rPr>
        <w:t>sidama</w:t>
      </w:r>
      <w:proofErr w:type="spellEnd"/>
      <w:r w:rsidR="002722EE" w:rsidRPr="001A4879">
        <w:rPr>
          <w:rFonts w:ascii="Arial" w:hAnsi="Arial" w:cs="Arial"/>
        </w:rPr>
        <w:t xml:space="preserve"> region</w:t>
      </w:r>
      <w:r w:rsidR="00D806C6" w:rsidRPr="001A4879">
        <w:rPr>
          <w:rFonts w:ascii="Arial" w:hAnsi="Arial" w:cs="Arial"/>
        </w:rPr>
        <w:t xml:space="preserve"> included residential and grazing areas (14%), cultivated lands (82%) and sometimes some specialized woodlots (4%) in Sidama</w:t>
      </w:r>
      <w:r w:rsidR="00B414C0" w:rsidRPr="001A4879">
        <w:rPr>
          <w:rFonts w:ascii="Arial" w:hAnsi="Arial" w:cs="Arial"/>
        </w:rPr>
        <w:t xml:space="preserve"> </w:t>
      </w:r>
      <w:r w:rsidR="00D806C6" w:rsidRPr="001A4879">
        <w:rPr>
          <w:rFonts w:ascii="Arial" w:hAnsi="Arial" w:cs="Arial"/>
        </w:rPr>
        <w:t>(</w:t>
      </w:r>
      <w:r w:rsidR="000F1645" w:rsidRPr="001A4879">
        <w:rPr>
          <w:rFonts w:ascii="Arial" w:hAnsi="Arial" w:cs="Arial"/>
        </w:rPr>
        <w:t>Abebe</w:t>
      </w:r>
      <w:r w:rsidR="00D806C6" w:rsidRPr="001A4879">
        <w:rPr>
          <w:rFonts w:ascii="Arial" w:hAnsi="Arial" w:cs="Arial"/>
        </w:rPr>
        <w:t xml:space="preserve"> and </w:t>
      </w:r>
      <w:r w:rsidR="000F1645" w:rsidRPr="001A4879">
        <w:rPr>
          <w:rFonts w:ascii="Arial" w:hAnsi="Arial" w:cs="Arial"/>
        </w:rPr>
        <w:t>Bongers</w:t>
      </w:r>
      <w:r w:rsidR="00D806C6" w:rsidRPr="001A4879">
        <w:rPr>
          <w:rFonts w:ascii="Arial" w:hAnsi="Arial" w:cs="Arial"/>
        </w:rPr>
        <w:t>, 2012).</w:t>
      </w:r>
      <w:r w:rsidR="003B48DA" w:rsidRPr="001A4879">
        <w:rPr>
          <w:rFonts w:ascii="Arial" w:hAnsi="Arial" w:cs="Arial"/>
        </w:rPr>
        <w:t xml:space="preserve"> Textural class of the soils of study site is clay.</w:t>
      </w:r>
      <w:r w:rsidR="00D42200" w:rsidRPr="001A4879">
        <w:rPr>
          <w:rFonts w:ascii="Arial" w:hAnsi="Arial" w:cs="Arial"/>
        </w:rPr>
        <w:t xml:space="preserve"> According to agro</w:t>
      </w:r>
      <w:r w:rsidR="008C61EA" w:rsidRPr="001A4879">
        <w:rPr>
          <w:rFonts w:ascii="Arial" w:hAnsi="Arial" w:cs="Arial"/>
        </w:rPr>
        <w:t xml:space="preserve"> </w:t>
      </w:r>
      <w:r w:rsidR="00D42200" w:rsidRPr="001A4879">
        <w:rPr>
          <w:rFonts w:ascii="Arial" w:hAnsi="Arial" w:cs="Arial"/>
        </w:rPr>
        <w:t xml:space="preserve">ecological classification of </w:t>
      </w:r>
      <w:proofErr w:type="spellStart"/>
      <w:r w:rsidR="00D42200" w:rsidRPr="001A4879">
        <w:rPr>
          <w:rFonts w:ascii="Arial" w:hAnsi="Arial" w:cs="Arial"/>
        </w:rPr>
        <w:t>Hurni</w:t>
      </w:r>
      <w:proofErr w:type="spellEnd"/>
      <w:r w:rsidR="00D42200" w:rsidRPr="001A4879">
        <w:rPr>
          <w:rFonts w:ascii="Arial" w:hAnsi="Arial" w:cs="Arial"/>
        </w:rPr>
        <w:t>, (1998) the</w:t>
      </w:r>
      <w:r w:rsidR="008C61EA" w:rsidRPr="001A4879">
        <w:rPr>
          <w:rFonts w:ascii="Arial" w:hAnsi="Arial" w:cs="Arial"/>
        </w:rPr>
        <w:t xml:space="preserve"> </w:t>
      </w:r>
      <w:proofErr w:type="spellStart"/>
      <w:r w:rsidR="008C61EA" w:rsidRPr="001A4879">
        <w:rPr>
          <w:rFonts w:ascii="Arial" w:hAnsi="Arial" w:cs="Arial"/>
        </w:rPr>
        <w:t>agro</w:t>
      </w:r>
      <w:proofErr w:type="spellEnd"/>
      <w:r w:rsidR="008C61EA" w:rsidRPr="001A4879">
        <w:rPr>
          <w:rFonts w:ascii="Arial" w:hAnsi="Arial" w:cs="Arial"/>
        </w:rPr>
        <w:t xml:space="preserve"> ecology of the</w:t>
      </w:r>
      <w:r w:rsidR="00D42200" w:rsidRPr="001A4879">
        <w:rPr>
          <w:rFonts w:ascii="Arial" w:hAnsi="Arial" w:cs="Arial"/>
        </w:rPr>
        <w:t xml:space="preserve"> study </w:t>
      </w:r>
      <w:r w:rsidR="008C61EA" w:rsidRPr="001A4879">
        <w:rPr>
          <w:rFonts w:ascii="Arial" w:hAnsi="Arial" w:cs="Arial"/>
        </w:rPr>
        <w:t>areas is from midland to highland.</w:t>
      </w:r>
    </w:p>
    <w:p w14:paraId="78676497" w14:textId="77777777" w:rsidR="00BA4CBD" w:rsidRPr="001A4879" w:rsidRDefault="00BA4CBD" w:rsidP="00ED1518">
      <w:pPr>
        <w:spacing w:line="240" w:lineRule="auto"/>
        <w:rPr>
          <w:rFonts w:ascii="Arial" w:hAnsi="Arial" w:cs="Arial"/>
        </w:rPr>
      </w:pPr>
    </w:p>
    <w:p w14:paraId="318AF4D6" w14:textId="77777777" w:rsidR="00E57105" w:rsidRPr="001A4879" w:rsidRDefault="00EC1C6B" w:rsidP="00ED1518">
      <w:pPr>
        <w:pStyle w:val="Heading2"/>
        <w:spacing w:before="240" w:after="120" w:line="240" w:lineRule="auto"/>
        <w:jc w:val="left"/>
        <w:rPr>
          <w:rFonts w:ascii="Arial" w:eastAsiaTheme="minorEastAsia" w:hAnsi="Arial" w:cs="Arial"/>
          <w:b w:val="0"/>
          <w:bCs w:val="0"/>
          <w:sz w:val="24"/>
          <w:szCs w:val="24"/>
        </w:rPr>
      </w:pPr>
      <w:r w:rsidRPr="001A4879">
        <w:rPr>
          <w:rFonts w:ascii="Arial" w:hAnsi="Arial" w:cs="Arial"/>
          <w:noProof/>
          <w:lang w:bidi="ar-SA"/>
        </w:rPr>
        <w:lastRenderedPageBreak/>
        <w:drawing>
          <wp:inline distT="0" distB="0" distL="0" distR="0" wp14:anchorId="6C9980E0" wp14:editId="57F203DD">
            <wp:extent cx="5943600" cy="3366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66135"/>
                    </a:xfrm>
                    <a:prstGeom prst="rect">
                      <a:avLst/>
                    </a:prstGeom>
                  </pic:spPr>
                </pic:pic>
              </a:graphicData>
            </a:graphic>
          </wp:inline>
        </w:drawing>
      </w:r>
    </w:p>
    <w:p w14:paraId="3ADF7282" w14:textId="77777777" w:rsidR="00BA3AC7" w:rsidRPr="001A4879" w:rsidRDefault="00BA3AC7" w:rsidP="00BA3AC7">
      <w:pPr>
        <w:pStyle w:val="Caption"/>
        <w:spacing w:before="0"/>
        <w:rPr>
          <w:rFonts w:ascii="Arial" w:hAnsi="Arial" w:cs="Arial"/>
          <w:b w:val="0"/>
          <w:color w:val="auto"/>
          <w:sz w:val="36"/>
          <w:szCs w:val="24"/>
        </w:rPr>
      </w:pPr>
      <w:r w:rsidRPr="001A4879">
        <w:rPr>
          <w:rFonts w:ascii="Arial" w:hAnsi="Arial" w:cs="Arial"/>
          <w:b w:val="0"/>
          <w:color w:val="auto"/>
          <w:sz w:val="24"/>
        </w:rPr>
        <w:t xml:space="preserve">Figure </w:t>
      </w:r>
      <w:r w:rsidRPr="001A4879">
        <w:rPr>
          <w:rFonts w:ascii="Arial" w:hAnsi="Arial" w:cs="Arial"/>
          <w:b w:val="0"/>
          <w:color w:val="auto"/>
          <w:sz w:val="24"/>
        </w:rPr>
        <w:fldChar w:fldCharType="begin"/>
      </w:r>
      <w:r w:rsidRPr="001A4879">
        <w:rPr>
          <w:rFonts w:ascii="Arial" w:hAnsi="Arial" w:cs="Arial"/>
          <w:b w:val="0"/>
          <w:color w:val="auto"/>
          <w:sz w:val="24"/>
        </w:rPr>
        <w:instrText xml:space="preserve"> SEQ Figure \* ARABIC </w:instrText>
      </w:r>
      <w:r w:rsidRPr="001A4879">
        <w:rPr>
          <w:rFonts w:ascii="Arial" w:hAnsi="Arial" w:cs="Arial"/>
          <w:b w:val="0"/>
          <w:color w:val="auto"/>
          <w:sz w:val="24"/>
        </w:rPr>
        <w:fldChar w:fldCharType="separate"/>
      </w:r>
      <w:r w:rsidRPr="001A4879">
        <w:rPr>
          <w:rFonts w:ascii="Arial" w:hAnsi="Arial" w:cs="Arial"/>
          <w:b w:val="0"/>
          <w:noProof/>
          <w:color w:val="auto"/>
          <w:sz w:val="24"/>
        </w:rPr>
        <w:t>1</w:t>
      </w:r>
      <w:r w:rsidRPr="001A4879">
        <w:rPr>
          <w:rFonts w:ascii="Arial" w:hAnsi="Arial" w:cs="Arial"/>
          <w:b w:val="0"/>
          <w:color w:val="auto"/>
          <w:sz w:val="24"/>
        </w:rPr>
        <w:fldChar w:fldCharType="end"/>
      </w:r>
      <w:r w:rsidRPr="001A4879">
        <w:rPr>
          <w:rFonts w:ascii="Arial" w:hAnsi="Arial" w:cs="Arial"/>
          <w:b w:val="0"/>
          <w:color w:val="auto"/>
          <w:sz w:val="24"/>
        </w:rPr>
        <w:t>: Map of the study area</w:t>
      </w:r>
    </w:p>
    <w:p w14:paraId="2938CAFB" w14:textId="77777777" w:rsidR="0032216E" w:rsidRPr="001A4879" w:rsidRDefault="0032216E" w:rsidP="00ED1518">
      <w:pPr>
        <w:pStyle w:val="Heading2"/>
        <w:spacing w:before="240" w:after="120" w:line="240" w:lineRule="auto"/>
        <w:jc w:val="left"/>
        <w:rPr>
          <w:rFonts w:ascii="Arial" w:hAnsi="Arial" w:cs="Arial"/>
          <w:sz w:val="24"/>
          <w:szCs w:val="24"/>
        </w:rPr>
      </w:pPr>
      <w:r w:rsidRPr="001A4879">
        <w:rPr>
          <w:rFonts w:ascii="Arial" w:hAnsi="Arial" w:cs="Arial"/>
          <w:sz w:val="24"/>
          <w:szCs w:val="24"/>
        </w:rPr>
        <w:t>Land use Selection</w:t>
      </w:r>
    </w:p>
    <w:p w14:paraId="02CFCC4A" w14:textId="77777777" w:rsidR="0032216E" w:rsidRPr="001A4879" w:rsidRDefault="00BA4CBD" w:rsidP="00ED1518">
      <w:pPr>
        <w:spacing w:line="240" w:lineRule="auto"/>
        <w:rPr>
          <w:rFonts w:ascii="Arial" w:hAnsi="Arial" w:cs="Arial"/>
        </w:rPr>
      </w:pPr>
      <w:r w:rsidRPr="001A4879">
        <w:rPr>
          <w:rFonts w:ascii="Arial" w:hAnsi="Arial" w:cs="Arial"/>
        </w:rPr>
        <w:t>T</w:t>
      </w:r>
      <w:r w:rsidR="0032216E" w:rsidRPr="001A4879">
        <w:rPr>
          <w:rFonts w:ascii="Arial" w:hAnsi="Arial" w:cs="Arial"/>
        </w:rPr>
        <w:t xml:space="preserve">hree types of land use: </w:t>
      </w:r>
      <w:proofErr w:type="spellStart"/>
      <w:r w:rsidR="0032216E" w:rsidRPr="001A4879">
        <w:rPr>
          <w:rFonts w:ascii="Arial" w:hAnsi="Arial" w:cs="Arial"/>
        </w:rPr>
        <w:t>enset</w:t>
      </w:r>
      <w:proofErr w:type="spellEnd"/>
      <w:r w:rsidR="0032216E" w:rsidRPr="001A4879">
        <w:rPr>
          <w:rFonts w:ascii="Arial" w:hAnsi="Arial" w:cs="Arial"/>
        </w:rPr>
        <w:t>, forest and cultivated lands were selected</w:t>
      </w:r>
      <w:r w:rsidRPr="001A4879">
        <w:rPr>
          <w:rFonts w:ascii="Arial" w:hAnsi="Arial" w:cs="Arial"/>
        </w:rPr>
        <w:t xml:space="preserve">. Land uses selected at each site </w:t>
      </w:r>
      <w:r w:rsidR="0032216E" w:rsidRPr="001A4879">
        <w:rPr>
          <w:rFonts w:ascii="Arial" w:hAnsi="Arial" w:cs="Arial"/>
        </w:rPr>
        <w:t xml:space="preserve">were adjacent to each other to minimize variation. </w:t>
      </w:r>
      <w:proofErr w:type="spellStart"/>
      <w:r w:rsidR="0032216E" w:rsidRPr="001A4879">
        <w:rPr>
          <w:rFonts w:ascii="Arial" w:hAnsi="Arial" w:cs="Arial"/>
        </w:rPr>
        <w:t>Enset</w:t>
      </w:r>
      <w:proofErr w:type="spellEnd"/>
      <w:r w:rsidR="0032216E" w:rsidRPr="001A4879">
        <w:rPr>
          <w:rFonts w:ascii="Arial" w:hAnsi="Arial" w:cs="Arial"/>
        </w:rPr>
        <w:t xml:space="preserve"> (</w:t>
      </w:r>
      <w:proofErr w:type="spellStart"/>
      <w:r w:rsidR="0032216E" w:rsidRPr="001A4879">
        <w:rPr>
          <w:rFonts w:ascii="Arial" w:hAnsi="Arial" w:cs="Arial"/>
          <w:i/>
          <w:iCs/>
        </w:rPr>
        <w:t>Ensete</w:t>
      </w:r>
      <w:proofErr w:type="spellEnd"/>
      <w:r w:rsidR="0032216E" w:rsidRPr="001A4879">
        <w:rPr>
          <w:rFonts w:ascii="Arial" w:hAnsi="Arial" w:cs="Arial"/>
          <w:i/>
          <w:iCs/>
        </w:rPr>
        <w:t xml:space="preserve"> </w:t>
      </w:r>
      <w:proofErr w:type="spellStart"/>
      <w:r w:rsidR="0032216E" w:rsidRPr="001A4879">
        <w:rPr>
          <w:rFonts w:ascii="Arial" w:hAnsi="Arial" w:cs="Arial"/>
          <w:i/>
          <w:iCs/>
        </w:rPr>
        <w:t>ventricosum</w:t>
      </w:r>
      <w:proofErr w:type="spellEnd"/>
      <w:r w:rsidR="0032216E" w:rsidRPr="001A4879">
        <w:rPr>
          <w:rFonts w:ascii="Arial" w:hAnsi="Arial" w:cs="Arial"/>
        </w:rPr>
        <w:t xml:space="preserve">) is selected because it is dominant in the area and organically treated land use type. </w:t>
      </w:r>
      <w:proofErr w:type="spellStart"/>
      <w:r w:rsidR="0032216E" w:rsidRPr="001A4879">
        <w:rPr>
          <w:rFonts w:ascii="Arial" w:hAnsi="Arial" w:cs="Arial"/>
        </w:rPr>
        <w:t>Enset</w:t>
      </w:r>
      <w:proofErr w:type="spellEnd"/>
      <w:r w:rsidR="0032216E" w:rsidRPr="001A4879">
        <w:rPr>
          <w:rFonts w:ascii="Arial" w:hAnsi="Arial" w:cs="Arial"/>
        </w:rPr>
        <w:t xml:space="preserve"> leaves and discarded parts of the pseudo stem are frequently used as mulch. Manure application is widespread and considered essential by farmers of the area. Traditionally, farmers add household refuses and organic sweepings around house to </w:t>
      </w:r>
      <w:proofErr w:type="spellStart"/>
      <w:r w:rsidR="0032216E" w:rsidRPr="001A4879">
        <w:rPr>
          <w:rFonts w:ascii="Arial" w:hAnsi="Arial" w:cs="Arial"/>
        </w:rPr>
        <w:t>enset</w:t>
      </w:r>
      <w:proofErr w:type="spellEnd"/>
      <w:r w:rsidR="0032216E" w:rsidRPr="001A4879">
        <w:rPr>
          <w:rFonts w:ascii="Arial" w:hAnsi="Arial" w:cs="Arial"/>
        </w:rPr>
        <w:t xml:space="preserve"> fields. The other land uses selected was cultivated land in which production of cereals is common in the area. It is continuously cultivated for the production of cereal crops. This land use is inorganically managed which means production involves the use of inorganic fertilizers like urea and DAP</w:t>
      </w:r>
      <w:r w:rsidRPr="001A4879">
        <w:rPr>
          <w:rFonts w:ascii="Arial" w:hAnsi="Arial" w:cs="Arial"/>
        </w:rPr>
        <w:t>/NPS</w:t>
      </w:r>
      <w:r w:rsidR="0032216E" w:rsidRPr="001A4879">
        <w:rPr>
          <w:rFonts w:ascii="Arial" w:hAnsi="Arial" w:cs="Arial"/>
        </w:rPr>
        <w:t xml:space="preserve"> and is selected as a second land use type while forest is selected for comparison purpose and to use it as reference.</w:t>
      </w:r>
    </w:p>
    <w:p w14:paraId="78DCE2D5" w14:textId="77777777" w:rsidR="0032216E" w:rsidRPr="001A4879" w:rsidRDefault="0032216E" w:rsidP="00ED1518">
      <w:pPr>
        <w:pStyle w:val="Heading2"/>
        <w:spacing w:before="240" w:after="120" w:line="240" w:lineRule="auto"/>
        <w:jc w:val="left"/>
        <w:rPr>
          <w:rFonts w:ascii="Arial" w:hAnsi="Arial" w:cs="Arial"/>
          <w:sz w:val="24"/>
          <w:szCs w:val="24"/>
        </w:rPr>
      </w:pPr>
      <w:bookmarkStart w:id="1" w:name="_Toc94835245"/>
      <w:r w:rsidRPr="001A4879">
        <w:rPr>
          <w:rFonts w:ascii="Arial" w:hAnsi="Arial" w:cs="Arial"/>
          <w:sz w:val="24"/>
          <w:szCs w:val="24"/>
        </w:rPr>
        <w:t xml:space="preserve"> Soil sampling</w:t>
      </w:r>
      <w:bookmarkEnd w:id="1"/>
      <w:r w:rsidR="003B48DA" w:rsidRPr="001A4879">
        <w:rPr>
          <w:rFonts w:ascii="Arial" w:hAnsi="Arial" w:cs="Arial"/>
          <w:sz w:val="24"/>
          <w:szCs w:val="24"/>
        </w:rPr>
        <w:t xml:space="preserve"> and preparation</w:t>
      </w:r>
    </w:p>
    <w:p w14:paraId="4CF70F2D" w14:textId="77777777" w:rsidR="003B48DA" w:rsidRPr="001A4879" w:rsidRDefault="0032216E" w:rsidP="00ED1518">
      <w:pPr>
        <w:spacing w:line="240" w:lineRule="auto"/>
        <w:rPr>
          <w:rFonts w:ascii="Arial" w:hAnsi="Arial" w:cs="Arial"/>
        </w:rPr>
      </w:pPr>
      <w:r w:rsidRPr="001A4879">
        <w:rPr>
          <w:rFonts w:ascii="Arial" w:hAnsi="Arial" w:cs="Arial"/>
        </w:rPr>
        <w:t xml:space="preserve">Composite soil samples were collected from three land use types: cultivated land, forest and </w:t>
      </w:r>
      <w:proofErr w:type="spellStart"/>
      <w:r w:rsidRPr="001A4879">
        <w:rPr>
          <w:rFonts w:ascii="Arial" w:hAnsi="Arial" w:cs="Arial"/>
        </w:rPr>
        <w:t>enset</w:t>
      </w:r>
      <w:proofErr w:type="spellEnd"/>
      <w:r w:rsidRPr="001A4879">
        <w:rPr>
          <w:rFonts w:ascii="Arial" w:hAnsi="Arial" w:cs="Arial"/>
        </w:rPr>
        <w:t xml:space="preserve"> at two soil depths: 0-20 cm and 20-40 cm with three replications from three sites randomly. For the disturbed soil samples, ten sub samples were taken to make one composite samples at each depth. A total of 54 composite disturbed soil samples were collected (3 land uses x 2 depths x 3 replications x 3 elevation) using auger. Under each land use, random soil samples were taken from a plot, with dimensions of 20m x 20m from both soil depths. Additionally, 54 undisturbed soil samples were taken with a core sampler for bulk density determination.</w:t>
      </w:r>
      <w:r w:rsidR="003B48DA" w:rsidRPr="001A4879">
        <w:rPr>
          <w:rFonts w:ascii="Arial" w:hAnsi="Arial" w:cs="Arial"/>
        </w:rPr>
        <w:t xml:space="preserve"> The collected soil samples were air-dried at </w:t>
      </w:r>
      <w:r w:rsidR="003B48DA" w:rsidRPr="001A4879">
        <w:rPr>
          <w:rFonts w:ascii="Arial" w:hAnsi="Arial" w:cs="Arial"/>
        </w:rPr>
        <w:lastRenderedPageBreak/>
        <w:t>room temperature, gently crushed, homogenized and then passed through a 2-mm sieve. The samples were further sieved through 0.5 mm mesh for analysis of total nitrogen.</w:t>
      </w:r>
    </w:p>
    <w:p w14:paraId="3D0DFD40" w14:textId="77777777" w:rsidR="0032216E" w:rsidRPr="001A4879" w:rsidRDefault="0032216E" w:rsidP="00ED1518">
      <w:pPr>
        <w:pStyle w:val="Heading2"/>
        <w:spacing w:before="240" w:after="120" w:line="240" w:lineRule="auto"/>
        <w:jc w:val="left"/>
        <w:rPr>
          <w:rFonts w:ascii="Arial" w:hAnsi="Arial" w:cs="Arial"/>
          <w:sz w:val="24"/>
          <w:szCs w:val="24"/>
        </w:rPr>
      </w:pPr>
      <w:r w:rsidRPr="001A4879">
        <w:rPr>
          <w:rFonts w:ascii="Arial" w:hAnsi="Arial" w:cs="Arial"/>
          <w:sz w:val="24"/>
          <w:szCs w:val="24"/>
        </w:rPr>
        <w:t xml:space="preserve"> Analysis of soil physical and chemical properties</w:t>
      </w:r>
    </w:p>
    <w:p w14:paraId="5CB95A2A" w14:textId="77777777" w:rsidR="0032216E" w:rsidRPr="001A4879" w:rsidRDefault="003B48DA" w:rsidP="00ED1518">
      <w:pPr>
        <w:spacing w:line="240" w:lineRule="auto"/>
        <w:rPr>
          <w:rFonts w:ascii="Arial" w:hAnsi="Arial" w:cs="Arial"/>
        </w:rPr>
      </w:pPr>
      <w:r w:rsidRPr="001A4879">
        <w:rPr>
          <w:rFonts w:ascii="Arial" w:hAnsi="Arial" w:cs="Arial"/>
        </w:rPr>
        <w:t xml:space="preserve">Soil analysis was conducted at the Soil Science Laboratory of College of Agriculture at Hawassa University following standard procedures. </w:t>
      </w:r>
      <w:r w:rsidR="0032216E" w:rsidRPr="001A4879">
        <w:rPr>
          <w:rFonts w:ascii="Arial" w:hAnsi="Arial" w:cs="Arial"/>
        </w:rPr>
        <w:t xml:space="preserve">The soil pH was measured using a glass combination pH meter in the supernatant solution of 1:2.5 </w:t>
      </w:r>
      <w:r w:rsidR="00217873" w:rsidRPr="001A4879">
        <w:rPr>
          <w:rFonts w:ascii="Arial" w:hAnsi="Arial" w:cs="Arial"/>
        </w:rPr>
        <w:t>soils</w:t>
      </w:r>
      <w:r w:rsidR="0032216E" w:rsidRPr="001A4879">
        <w:rPr>
          <w:rFonts w:ascii="Arial" w:hAnsi="Arial" w:cs="Arial"/>
        </w:rPr>
        <w:t xml:space="preserve"> to water solution ratio Bulk density was calculated by dividing the dry weight of the sample which were oven dried at 105 </w:t>
      </w:r>
      <w:r w:rsidR="0032216E" w:rsidRPr="001A4879">
        <w:rPr>
          <w:rFonts w:ascii="Arial" w:hAnsi="Arial" w:cs="Arial"/>
          <w:vertAlign w:val="superscript"/>
        </w:rPr>
        <w:t>0</w:t>
      </w:r>
      <w:r w:rsidR="0032216E" w:rsidRPr="001A4879">
        <w:rPr>
          <w:rFonts w:ascii="Arial" w:hAnsi="Arial" w:cs="Arial"/>
        </w:rPr>
        <w:t xml:space="preserve"> C by the volume of the cylinder. Particle-size distribution was determined by the hydrometer procedure (</w:t>
      </w:r>
      <w:proofErr w:type="spellStart"/>
      <w:r w:rsidR="0032216E" w:rsidRPr="001A4879">
        <w:rPr>
          <w:rFonts w:ascii="Arial" w:hAnsi="Arial" w:cs="Arial"/>
        </w:rPr>
        <w:t>Bouyoucos</w:t>
      </w:r>
      <w:proofErr w:type="spellEnd"/>
      <w:r w:rsidR="0032216E" w:rsidRPr="001A4879">
        <w:rPr>
          <w:rFonts w:ascii="Arial" w:hAnsi="Arial" w:cs="Arial"/>
        </w:rPr>
        <w:t xml:space="preserve">, 1951). </w:t>
      </w:r>
      <w:r w:rsidR="00D42200" w:rsidRPr="001A4879">
        <w:rPr>
          <w:rFonts w:ascii="Arial" w:hAnsi="Arial" w:cs="Arial"/>
        </w:rPr>
        <w:t xml:space="preserve">Total nitrogen content was determined following the Kjeldahl method (Jackson, 1958). </w:t>
      </w:r>
      <w:r w:rsidR="0032216E" w:rsidRPr="001A4879">
        <w:rPr>
          <w:rFonts w:ascii="Arial" w:hAnsi="Arial" w:cs="Arial"/>
        </w:rPr>
        <w:t xml:space="preserve">Cation exchange capacity was determined by 1 M ammonium acetate (pH 7) method (Van </w:t>
      </w:r>
      <w:proofErr w:type="spellStart"/>
      <w:r w:rsidR="0032216E" w:rsidRPr="001A4879">
        <w:rPr>
          <w:rFonts w:ascii="Arial" w:hAnsi="Arial" w:cs="Arial"/>
        </w:rPr>
        <w:t>Reeuwijk</w:t>
      </w:r>
      <w:proofErr w:type="spellEnd"/>
      <w:r w:rsidR="0032216E" w:rsidRPr="001A4879">
        <w:rPr>
          <w:rFonts w:ascii="Arial" w:hAnsi="Arial" w:cs="Arial"/>
        </w:rPr>
        <w:t xml:space="preserve">, 1993). Available phosphorus was analyzed using the Olsen sodium bicarbonate (pH 8.5) extraction method (Olsen </w:t>
      </w:r>
      <w:r w:rsidR="0032216E" w:rsidRPr="001A4879">
        <w:rPr>
          <w:rFonts w:ascii="Arial" w:hAnsi="Arial" w:cs="Arial"/>
          <w:i/>
        </w:rPr>
        <w:t>et al</w:t>
      </w:r>
      <w:r w:rsidR="0032216E" w:rsidRPr="001A4879">
        <w:rPr>
          <w:rFonts w:ascii="Arial" w:hAnsi="Arial" w:cs="Arial"/>
        </w:rPr>
        <w:t xml:space="preserve">., 1954). </w:t>
      </w:r>
    </w:p>
    <w:p w14:paraId="4DC4D5E6" w14:textId="77777777" w:rsidR="00E657F1" w:rsidRPr="001A4879" w:rsidRDefault="00EB15F5" w:rsidP="00ED1518">
      <w:pPr>
        <w:spacing w:line="240" w:lineRule="auto"/>
        <w:jc w:val="left"/>
        <w:rPr>
          <w:rFonts w:ascii="Arial" w:hAnsi="Arial" w:cs="Arial"/>
          <w:b/>
        </w:rPr>
      </w:pPr>
      <w:r w:rsidRPr="001A4879">
        <w:rPr>
          <w:rFonts w:ascii="Arial" w:hAnsi="Arial" w:cs="Arial"/>
          <w:b/>
        </w:rPr>
        <w:t>Statistical analysis</w:t>
      </w:r>
    </w:p>
    <w:p w14:paraId="134EADD3" w14:textId="77777777" w:rsidR="00EB15F5" w:rsidRPr="001A4879" w:rsidRDefault="00EB15F5" w:rsidP="00ED1518">
      <w:pPr>
        <w:spacing w:after="0" w:line="240" w:lineRule="auto"/>
        <w:rPr>
          <w:rFonts w:ascii="Arial" w:hAnsi="Arial" w:cs="Arial"/>
        </w:rPr>
      </w:pPr>
      <w:r w:rsidRPr="001A4879">
        <w:rPr>
          <w:rFonts w:ascii="Arial" w:hAnsi="Arial" w:cs="Arial"/>
        </w:rPr>
        <w:t>Land uses and soil depth were used as a factor and site as random effect and soil parameters were used as dependent variables. Then, statistical differences between the values for the various parameters of land use type and soil depth were tested using a two-way analysis of variance (ANOVA) following the Mixed Linear Model (LMM) using R software version 4.5.0.</w:t>
      </w:r>
      <w:r w:rsidR="00C07E2C" w:rsidRPr="001A4879">
        <w:rPr>
          <w:rFonts w:ascii="Arial" w:hAnsi="Arial" w:cs="Arial"/>
        </w:rPr>
        <w:t xml:space="preserve"> </w:t>
      </w:r>
      <w:r w:rsidR="00595461" w:rsidRPr="001A4879">
        <w:rPr>
          <w:rFonts w:ascii="Arial" w:hAnsi="Arial" w:cs="Arial"/>
        </w:rPr>
        <w:t>The</w:t>
      </w:r>
      <w:r w:rsidR="00C07E2C" w:rsidRPr="001A4879">
        <w:rPr>
          <w:rFonts w:ascii="Arial" w:hAnsi="Arial" w:cs="Arial"/>
        </w:rPr>
        <w:t xml:space="preserve"> means were compared via the least significant difference (LSD) test at P</w:t>
      </w:r>
      <w:r w:rsidR="00595461" w:rsidRPr="001A4879">
        <w:rPr>
          <w:rFonts w:ascii="Arial" w:hAnsi="Arial" w:cs="Arial"/>
        </w:rPr>
        <w:t>&lt;0.05.</w:t>
      </w:r>
    </w:p>
    <w:p w14:paraId="4C6F4640" w14:textId="77777777" w:rsidR="00E657F1" w:rsidRPr="001A4879" w:rsidRDefault="00CE3FD3" w:rsidP="00ED1518">
      <w:pPr>
        <w:spacing w:line="240" w:lineRule="auto"/>
        <w:jc w:val="left"/>
        <w:rPr>
          <w:rFonts w:ascii="Arial" w:hAnsi="Arial" w:cs="Arial"/>
          <w:b/>
        </w:rPr>
      </w:pPr>
      <w:r w:rsidRPr="001A4879">
        <w:rPr>
          <w:rFonts w:ascii="Arial" w:hAnsi="Arial" w:cs="Arial"/>
          <w:b/>
        </w:rPr>
        <w:t>RESULT AND DISCUSSION</w:t>
      </w:r>
    </w:p>
    <w:p w14:paraId="63E6F3D8" w14:textId="77777777" w:rsidR="00E657F1" w:rsidRPr="001A4879" w:rsidRDefault="00E657F1" w:rsidP="00ED1518">
      <w:pPr>
        <w:pStyle w:val="Heading2"/>
        <w:spacing w:line="240" w:lineRule="auto"/>
        <w:jc w:val="left"/>
        <w:rPr>
          <w:rFonts w:ascii="Arial" w:hAnsi="Arial" w:cs="Arial"/>
          <w:sz w:val="24"/>
          <w:szCs w:val="24"/>
        </w:rPr>
      </w:pPr>
      <w:r w:rsidRPr="001A4879">
        <w:rPr>
          <w:rFonts w:ascii="Arial" w:hAnsi="Arial" w:cs="Arial"/>
          <w:sz w:val="24"/>
          <w:szCs w:val="24"/>
        </w:rPr>
        <w:t>The Effect of Different Land Use on Selected Physicochemical Properties of Soils</w:t>
      </w:r>
      <w:bookmarkEnd w:id="0"/>
    </w:p>
    <w:p w14:paraId="2E258335" w14:textId="77777777" w:rsidR="00E657F1" w:rsidRPr="001A4879" w:rsidRDefault="00E657F1" w:rsidP="00ED1518">
      <w:pPr>
        <w:spacing w:line="240" w:lineRule="auto"/>
        <w:rPr>
          <w:rFonts w:ascii="Arial" w:hAnsi="Arial" w:cs="Arial"/>
        </w:rPr>
      </w:pPr>
      <w:r w:rsidRPr="001A4879">
        <w:rPr>
          <w:rFonts w:ascii="Arial" w:hAnsi="Arial" w:cs="Arial"/>
        </w:rPr>
        <w:t>Soil bulk density was significantly</w:t>
      </w:r>
      <w:r w:rsidR="00D40441" w:rsidRPr="001A4879">
        <w:rPr>
          <w:rFonts w:ascii="Arial" w:hAnsi="Arial" w:cs="Arial"/>
        </w:rPr>
        <w:t xml:space="preserve"> (p&lt;.05)</w:t>
      </w:r>
      <w:r w:rsidRPr="001A4879">
        <w:rPr>
          <w:rFonts w:ascii="Arial" w:hAnsi="Arial" w:cs="Arial"/>
        </w:rPr>
        <w:t xml:space="preserve"> affected by land use types. Cultivated land had significantly higher bulk density than </w:t>
      </w:r>
      <w:proofErr w:type="spellStart"/>
      <w:r w:rsidRPr="001A4879">
        <w:rPr>
          <w:rFonts w:ascii="Arial" w:hAnsi="Arial" w:cs="Arial"/>
        </w:rPr>
        <w:t>enset</w:t>
      </w:r>
      <w:proofErr w:type="spellEnd"/>
      <w:r w:rsidRPr="001A4879">
        <w:rPr>
          <w:rFonts w:ascii="Arial" w:hAnsi="Arial" w:cs="Arial"/>
        </w:rPr>
        <w:t xml:space="preserve"> and forest soil but there is no significant difference between </w:t>
      </w:r>
      <w:proofErr w:type="spellStart"/>
      <w:r w:rsidRPr="001A4879">
        <w:rPr>
          <w:rFonts w:ascii="Arial" w:hAnsi="Arial" w:cs="Arial"/>
        </w:rPr>
        <w:t>enset</w:t>
      </w:r>
      <w:proofErr w:type="spellEnd"/>
      <w:r w:rsidRPr="001A4879">
        <w:rPr>
          <w:rFonts w:ascii="Arial" w:hAnsi="Arial" w:cs="Arial"/>
        </w:rPr>
        <w:t xml:space="preserve"> and forest land uses.</w:t>
      </w:r>
      <w:r w:rsidR="001F7538" w:rsidRPr="001A4879">
        <w:rPr>
          <w:rFonts w:ascii="Arial" w:hAnsi="Arial" w:cs="Arial"/>
        </w:rPr>
        <w:t xml:space="preserve"> </w:t>
      </w:r>
      <w:r w:rsidRPr="001A4879">
        <w:rPr>
          <w:rFonts w:ascii="Arial" w:hAnsi="Arial" w:cs="Arial"/>
        </w:rPr>
        <w:t xml:space="preserve">The highest value of bulk density in cultivated land could be due to continuous cultivation which depletes organic matter and this finding coincided with the findings of </w:t>
      </w:r>
      <w:proofErr w:type="spellStart"/>
      <w:r w:rsidR="00661040" w:rsidRPr="001A4879">
        <w:rPr>
          <w:rFonts w:ascii="Arial" w:hAnsi="Arial" w:cs="Arial"/>
        </w:rPr>
        <w:t>Chemeda</w:t>
      </w:r>
      <w:proofErr w:type="spellEnd"/>
      <w:r w:rsidRPr="001A4879">
        <w:rPr>
          <w:rFonts w:ascii="Arial" w:hAnsi="Arial" w:cs="Arial"/>
        </w:rPr>
        <w:t xml:space="preserve"> </w:t>
      </w:r>
      <w:r w:rsidRPr="001A4879">
        <w:rPr>
          <w:rFonts w:ascii="Arial" w:hAnsi="Arial" w:cs="Arial"/>
          <w:i/>
        </w:rPr>
        <w:t>et al</w:t>
      </w:r>
      <w:r w:rsidRPr="001A4879">
        <w:rPr>
          <w:rFonts w:ascii="Arial" w:hAnsi="Arial" w:cs="Arial"/>
        </w:rPr>
        <w:t xml:space="preserve">., (2017). This finding is also in agreement with </w:t>
      </w:r>
      <w:r w:rsidR="00661040" w:rsidRPr="001A4879">
        <w:rPr>
          <w:rFonts w:ascii="Arial" w:hAnsi="Arial" w:cs="Arial"/>
        </w:rPr>
        <w:t>Tufa</w:t>
      </w:r>
      <w:r w:rsidRPr="001A4879">
        <w:rPr>
          <w:rFonts w:ascii="Arial" w:hAnsi="Arial" w:cs="Arial"/>
        </w:rPr>
        <w:t xml:space="preserve"> </w:t>
      </w:r>
      <w:r w:rsidRPr="001A4879">
        <w:rPr>
          <w:rFonts w:ascii="Arial" w:hAnsi="Arial" w:cs="Arial"/>
          <w:i/>
        </w:rPr>
        <w:t>et al</w:t>
      </w:r>
      <w:r w:rsidRPr="001A4879">
        <w:rPr>
          <w:rFonts w:ascii="Arial" w:hAnsi="Arial" w:cs="Arial"/>
        </w:rPr>
        <w:t>., (2019) who found high bulk density under cultivated land. Decreased bulk de</w:t>
      </w:r>
      <w:r w:rsidR="00D473D3" w:rsidRPr="001A4879">
        <w:rPr>
          <w:rFonts w:ascii="Arial" w:hAnsi="Arial" w:cs="Arial"/>
        </w:rPr>
        <w:t xml:space="preserve">nsity in </w:t>
      </w:r>
      <w:proofErr w:type="spellStart"/>
      <w:r w:rsidR="00D473D3" w:rsidRPr="001A4879">
        <w:rPr>
          <w:rFonts w:ascii="Arial" w:hAnsi="Arial" w:cs="Arial"/>
        </w:rPr>
        <w:t>enset</w:t>
      </w:r>
      <w:proofErr w:type="spellEnd"/>
      <w:r w:rsidR="00D473D3" w:rsidRPr="001A4879">
        <w:rPr>
          <w:rFonts w:ascii="Arial" w:hAnsi="Arial" w:cs="Arial"/>
        </w:rPr>
        <w:t xml:space="preserve"> and forest land u</w:t>
      </w:r>
      <w:r w:rsidRPr="001A4879">
        <w:rPr>
          <w:rFonts w:ascii="Arial" w:hAnsi="Arial" w:cs="Arial"/>
        </w:rPr>
        <w:t>ses could be due to the accumulation of organic matter from organic amendments and litterfall respectively.</w:t>
      </w:r>
    </w:p>
    <w:p w14:paraId="702744A5" w14:textId="77777777" w:rsidR="00D473D3" w:rsidRPr="001A4879" w:rsidRDefault="00D473D3" w:rsidP="00ED1518">
      <w:pPr>
        <w:spacing w:line="240" w:lineRule="auto"/>
        <w:rPr>
          <w:rFonts w:ascii="Arial" w:hAnsi="Arial" w:cs="Arial"/>
        </w:rPr>
      </w:pPr>
      <w:r w:rsidRPr="001A4879">
        <w:rPr>
          <w:rFonts w:ascii="Arial" w:hAnsi="Arial" w:cs="Arial"/>
        </w:rPr>
        <w:t xml:space="preserve">Sand, silt and clay fractions of the study soils were not significantly influenced by different land use types. Textural class of all land use types </w:t>
      </w:r>
      <w:r w:rsidR="00D66CEE" w:rsidRPr="001A4879">
        <w:rPr>
          <w:rFonts w:ascii="Arial" w:hAnsi="Arial" w:cs="Arial"/>
        </w:rPr>
        <w:t xml:space="preserve">of the study area </w:t>
      </w:r>
      <w:r w:rsidRPr="001A4879">
        <w:rPr>
          <w:rFonts w:ascii="Arial" w:hAnsi="Arial" w:cs="Arial"/>
        </w:rPr>
        <w:t>was clay.</w:t>
      </w:r>
      <w:r w:rsidR="00D66CEE" w:rsidRPr="001A4879">
        <w:rPr>
          <w:rFonts w:ascii="Arial" w:hAnsi="Arial" w:cs="Arial"/>
        </w:rPr>
        <w:t xml:space="preserve"> This suggests that the different land use types did not have effect on the soil texture of the study area, since texture is an inherent soil property that not influenced in short period of time.</w:t>
      </w:r>
    </w:p>
    <w:p w14:paraId="2D815738" w14:textId="77777777" w:rsidR="00E657F1" w:rsidRPr="001A4879" w:rsidRDefault="00E657F1" w:rsidP="00ED1518">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pH</w:t>
      </w:r>
      <w:r w:rsidR="006B4BC5" w:rsidRPr="001A4879">
        <w:rPr>
          <w:rFonts w:ascii="Arial" w:eastAsiaTheme="minorHAnsi" w:hAnsi="Arial" w:cs="Arial"/>
          <w:lang w:bidi="ar-SA"/>
        </w:rPr>
        <w:t xml:space="preserve"> (</w:t>
      </w:r>
      <w:r w:rsidR="006B4BC5" w:rsidRPr="001A4879">
        <w:rPr>
          <w:rFonts w:ascii="Arial" w:hAnsi="Arial" w:cs="Arial"/>
        </w:rPr>
        <w:t xml:space="preserve">H2O) </w:t>
      </w:r>
      <w:r w:rsidR="006B4BC5" w:rsidRPr="001A4879">
        <w:rPr>
          <w:rFonts w:ascii="Arial" w:eastAsiaTheme="minorHAnsi" w:hAnsi="Arial" w:cs="Arial"/>
          <w:lang w:bidi="ar-SA"/>
        </w:rPr>
        <w:t>value of soils was</w:t>
      </w:r>
      <w:r w:rsidRPr="001A4879">
        <w:rPr>
          <w:rFonts w:ascii="Arial" w:eastAsiaTheme="minorHAnsi" w:hAnsi="Arial" w:cs="Arial"/>
          <w:lang w:bidi="ar-SA"/>
        </w:rPr>
        <w:t xml:space="preserve"> significantly</w:t>
      </w:r>
      <w:r w:rsidR="006B4BC5" w:rsidRPr="001A4879">
        <w:rPr>
          <w:rFonts w:ascii="Arial" w:eastAsiaTheme="minorHAnsi" w:hAnsi="Arial" w:cs="Arial"/>
          <w:lang w:bidi="ar-SA"/>
        </w:rPr>
        <w:t xml:space="preserve"> (p&lt;.05)</w:t>
      </w:r>
      <w:r w:rsidRPr="001A4879">
        <w:rPr>
          <w:rFonts w:ascii="Arial" w:eastAsiaTheme="minorHAnsi" w:hAnsi="Arial" w:cs="Arial"/>
          <w:lang w:bidi="ar-SA"/>
        </w:rPr>
        <w:t xml:space="preserve"> </w:t>
      </w:r>
      <w:r w:rsidR="006B4BC5" w:rsidRPr="001A4879">
        <w:rPr>
          <w:rFonts w:ascii="Arial" w:eastAsiaTheme="minorHAnsi" w:hAnsi="Arial" w:cs="Arial"/>
          <w:lang w:bidi="ar-SA"/>
        </w:rPr>
        <w:t>affected by</w:t>
      </w:r>
      <w:r w:rsidRPr="001A4879">
        <w:rPr>
          <w:rFonts w:ascii="Arial" w:eastAsiaTheme="minorHAnsi" w:hAnsi="Arial" w:cs="Arial"/>
          <w:lang w:bidi="ar-SA"/>
        </w:rPr>
        <w:t xml:space="preserve"> land uses types. </w:t>
      </w:r>
      <w:r w:rsidR="006B4BC5" w:rsidRPr="001A4879">
        <w:rPr>
          <w:rFonts w:ascii="Arial" w:eastAsiaTheme="minorHAnsi" w:hAnsi="Arial" w:cs="Arial"/>
          <w:lang w:bidi="ar-SA"/>
        </w:rPr>
        <w:t xml:space="preserve">The highest mean value (6.1) and lowest mean value (5.33) of soil pH (H2O) were recorded under </w:t>
      </w:r>
      <w:proofErr w:type="spellStart"/>
      <w:r w:rsidR="006B4BC5" w:rsidRPr="001A4879">
        <w:rPr>
          <w:rFonts w:ascii="Arial" w:eastAsiaTheme="minorHAnsi" w:hAnsi="Arial" w:cs="Arial"/>
          <w:lang w:bidi="ar-SA"/>
        </w:rPr>
        <w:t>e</w:t>
      </w:r>
      <w:r w:rsidRPr="001A4879">
        <w:rPr>
          <w:rFonts w:ascii="Arial" w:eastAsiaTheme="minorHAnsi" w:hAnsi="Arial" w:cs="Arial"/>
          <w:lang w:bidi="ar-SA"/>
        </w:rPr>
        <w:t>nset</w:t>
      </w:r>
      <w:proofErr w:type="spellEnd"/>
      <w:r w:rsidRPr="001A4879">
        <w:rPr>
          <w:rFonts w:ascii="Arial" w:eastAsiaTheme="minorHAnsi" w:hAnsi="Arial" w:cs="Arial"/>
          <w:lang w:bidi="ar-SA"/>
        </w:rPr>
        <w:t xml:space="preserve"> land use</w:t>
      </w:r>
      <w:r w:rsidR="006B4BC5" w:rsidRPr="001A4879">
        <w:rPr>
          <w:rFonts w:ascii="Arial" w:eastAsiaTheme="minorHAnsi" w:hAnsi="Arial" w:cs="Arial"/>
          <w:lang w:bidi="ar-SA"/>
        </w:rPr>
        <w:t xml:space="preserve"> and cultivated land respectively (Table 1</w:t>
      </w:r>
      <w:r w:rsidRPr="001A4879">
        <w:rPr>
          <w:rFonts w:ascii="Arial" w:eastAsiaTheme="minorHAnsi" w:hAnsi="Arial" w:cs="Arial"/>
          <w:lang w:bidi="ar-SA"/>
        </w:rPr>
        <w:t>).</w:t>
      </w:r>
      <w:r w:rsidR="00436009" w:rsidRPr="001A4879">
        <w:rPr>
          <w:rFonts w:ascii="Arial" w:eastAsiaTheme="minorHAnsi" w:hAnsi="Arial" w:cs="Arial"/>
          <w:lang w:bidi="ar-SA"/>
        </w:rPr>
        <w:t xml:space="preserve"> </w:t>
      </w:r>
      <w:r w:rsidRPr="001A4879">
        <w:rPr>
          <w:rFonts w:ascii="Arial" w:eastAsiaTheme="minorHAnsi" w:hAnsi="Arial" w:cs="Arial"/>
          <w:lang w:bidi="ar-SA"/>
        </w:rPr>
        <w:t xml:space="preserve">The higher </w:t>
      </w:r>
      <w:r w:rsidR="00436009" w:rsidRPr="001A4879">
        <w:rPr>
          <w:rFonts w:ascii="Arial" w:eastAsiaTheme="minorHAnsi" w:hAnsi="Arial" w:cs="Arial"/>
          <w:lang w:bidi="ar-SA"/>
        </w:rPr>
        <w:t xml:space="preserve">soil </w:t>
      </w:r>
      <w:r w:rsidRPr="001A4879">
        <w:rPr>
          <w:rFonts w:ascii="Arial" w:eastAsiaTheme="minorHAnsi" w:hAnsi="Arial" w:cs="Arial"/>
          <w:lang w:bidi="ar-SA"/>
        </w:rPr>
        <w:t xml:space="preserve">pH </w:t>
      </w:r>
      <w:r w:rsidRPr="001A4879">
        <w:rPr>
          <w:rFonts w:ascii="Arial" w:eastAsiaTheme="minorHAnsi" w:hAnsi="Arial" w:cs="Arial"/>
          <w:lang w:bidi="ar-SA"/>
        </w:rPr>
        <w:lastRenderedPageBreak/>
        <w:t xml:space="preserve">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uses could be due to the application of manures and house refuses to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This result </w:t>
      </w:r>
      <w:proofErr w:type="gramStart"/>
      <w:r w:rsidRPr="001A4879">
        <w:rPr>
          <w:rFonts w:ascii="Arial" w:eastAsiaTheme="minorHAnsi" w:hAnsi="Arial" w:cs="Arial"/>
          <w:lang w:bidi="ar-SA"/>
        </w:rPr>
        <w:t>is in agreement</w:t>
      </w:r>
      <w:proofErr w:type="gramEnd"/>
      <w:r w:rsidRPr="001A4879">
        <w:rPr>
          <w:rFonts w:ascii="Arial" w:eastAsiaTheme="minorHAnsi" w:hAnsi="Arial" w:cs="Arial"/>
          <w:lang w:bidi="ar-SA"/>
        </w:rPr>
        <w:t xml:space="preserve"> with the findings of </w:t>
      </w:r>
      <w:proofErr w:type="spellStart"/>
      <w:r w:rsidR="00661040" w:rsidRPr="001A4879">
        <w:rPr>
          <w:rFonts w:ascii="Arial" w:eastAsiaTheme="minorHAnsi" w:hAnsi="Arial" w:cs="Arial"/>
          <w:lang w:bidi="ar-SA"/>
        </w:rPr>
        <w:t>Kiflu</w:t>
      </w:r>
      <w:proofErr w:type="spellEnd"/>
      <w:r w:rsidRPr="001A4879">
        <w:rPr>
          <w:rFonts w:ascii="Arial" w:eastAsiaTheme="minorHAnsi" w:hAnsi="Arial" w:cs="Arial"/>
          <w:lang w:bidi="ar-SA"/>
        </w:rPr>
        <w:t xml:space="preserve"> and </w:t>
      </w:r>
      <w:proofErr w:type="spellStart"/>
      <w:r w:rsidR="00661040" w:rsidRPr="001A4879">
        <w:rPr>
          <w:rFonts w:ascii="Arial" w:eastAsiaTheme="minorHAnsi" w:hAnsi="Arial" w:cs="Arial"/>
          <w:lang w:bidi="ar-SA"/>
        </w:rPr>
        <w:t>Beyene</w:t>
      </w:r>
      <w:proofErr w:type="spellEnd"/>
      <w:r w:rsidRPr="001A4879">
        <w:rPr>
          <w:rFonts w:ascii="Arial" w:eastAsiaTheme="minorHAnsi" w:hAnsi="Arial" w:cs="Arial"/>
          <w:lang w:bidi="ar-SA"/>
        </w:rPr>
        <w:t xml:space="preserve"> (2013) in which higher pH value were detected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 Similarly, </w:t>
      </w:r>
      <w:r w:rsidR="00661040" w:rsidRPr="001A4879">
        <w:rPr>
          <w:rFonts w:ascii="Arial" w:eastAsiaTheme="minorHAnsi" w:hAnsi="Arial" w:cs="Arial"/>
          <w:lang w:bidi="ar-SA"/>
        </w:rPr>
        <w:t>Kassa</w:t>
      </w:r>
      <w:r w:rsidRPr="001A4879">
        <w:rPr>
          <w:rFonts w:ascii="Arial" w:eastAsiaTheme="minorHAnsi" w:hAnsi="Arial" w:cs="Arial"/>
          <w:lang w:bidi="ar-SA"/>
        </w:rPr>
        <w:t xml:space="preserve"> </w:t>
      </w:r>
      <w:r w:rsidRPr="001A4879">
        <w:rPr>
          <w:rFonts w:ascii="Arial" w:eastAsiaTheme="minorHAnsi" w:hAnsi="Arial" w:cs="Arial"/>
          <w:i/>
          <w:lang w:bidi="ar-SA"/>
        </w:rPr>
        <w:t>et al</w:t>
      </w:r>
      <w:r w:rsidRPr="001A4879">
        <w:rPr>
          <w:rFonts w:ascii="Arial" w:eastAsiaTheme="minorHAnsi" w:hAnsi="Arial" w:cs="Arial"/>
          <w:lang w:bidi="ar-SA"/>
        </w:rPr>
        <w:t xml:space="preserve">., (2020) reported high soil pH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coffee land use as compared with crop and grazing land soil. The lower value of pH under cultivated land might be due to the application of ammonium-based fertilizer as reported by </w:t>
      </w:r>
      <w:r w:rsidR="00661040" w:rsidRPr="001A4879">
        <w:rPr>
          <w:rFonts w:ascii="Arial" w:eastAsiaTheme="minorHAnsi" w:hAnsi="Arial" w:cs="Arial"/>
          <w:lang w:bidi="ar-SA"/>
        </w:rPr>
        <w:t>Fetene</w:t>
      </w:r>
      <w:r w:rsidRPr="001A4879">
        <w:rPr>
          <w:rFonts w:ascii="Arial" w:eastAsiaTheme="minorHAnsi" w:hAnsi="Arial" w:cs="Arial"/>
          <w:lang w:bidi="ar-SA"/>
        </w:rPr>
        <w:t xml:space="preserve"> and </w:t>
      </w:r>
      <w:r w:rsidR="00661040" w:rsidRPr="001A4879">
        <w:rPr>
          <w:rFonts w:ascii="Arial" w:eastAsiaTheme="minorHAnsi" w:hAnsi="Arial" w:cs="Arial"/>
          <w:lang w:bidi="ar-SA"/>
        </w:rPr>
        <w:t>Amera</w:t>
      </w:r>
      <w:r w:rsidRPr="001A4879">
        <w:rPr>
          <w:rFonts w:ascii="Arial" w:eastAsiaTheme="minorHAnsi" w:hAnsi="Arial" w:cs="Arial"/>
          <w:lang w:bidi="ar-SA"/>
        </w:rPr>
        <w:t xml:space="preserve"> (2018). Similarly, </w:t>
      </w:r>
      <w:r w:rsidR="00661040" w:rsidRPr="001A4879">
        <w:rPr>
          <w:rFonts w:ascii="Arial" w:eastAsiaTheme="minorHAnsi" w:hAnsi="Arial" w:cs="Arial"/>
          <w:lang w:bidi="ar-SA"/>
        </w:rPr>
        <w:t>Tufa</w:t>
      </w:r>
      <w:r w:rsidRPr="001A4879">
        <w:rPr>
          <w:rFonts w:ascii="Arial" w:eastAsiaTheme="minorHAnsi" w:hAnsi="Arial" w:cs="Arial"/>
          <w:lang w:bidi="ar-SA"/>
        </w:rPr>
        <w:t xml:space="preserve"> </w:t>
      </w:r>
      <w:r w:rsidRPr="001A4879">
        <w:rPr>
          <w:rFonts w:ascii="Arial" w:eastAsiaTheme="minorHAnsi" w:hAnsi="Arial" w:cs="Arial"/>
          <w:i/>
          <w:lang w:bidi="ar-SA"/>
        </w:rPr>
        <w:t>et al</w:t>
      </w:r>
      <w:r w:rsidRPr="001A4879">
        <w:rPr>
          <w:rFonts w:ascii="Arial" w:eastAsiaTheme="minorHAnsi" w:hAnsi="Arial" w:cs="Arial"/>
          <w:lang w:bidi="ar-SA"/>
        </w:rPr>
        <w:t xml:space="preserve">., (2019) also found lower pH under cultivated land compared with forest and grazing land. Generally, the mean value of pH under </w:t>
      </w:r>
      <w:proofErr w:type="spellStart"/>
      <w:r w:rsidRPr="001A4879">
        <w:rPr>
          <w:rFonts w:ascii="Arial" w:eastAsiaTheme="minorHAnsi" w:hAnsi="Arial" w:cs="Arial"/>
          <w:lang w:bidi="ar-SA"/>
        </w:rPr>
        <w:t>enset</w:t>
      </w:r>
      <w:proofErr w:type="spellEnd"/>
      <w:r w:rsidR="00761DF0" w:rsidRPr="001A4879">
        <w:rPr>
          <w:rFonts w:ascii="Arial" w:eastAsiaTheme="minorHAnsi" w:hAnsi="Arial" w:cs="Arial"/>
          <w:lang w:bidi="ar-SA"/>
        </w:rPr>
        <w:t xml:space="preserve"> </w:t>
      </w:r>
      <w:r w:rsidRPr="001A4879">
        <w:rPr>
          <w:rFonts w:ascii="Arial" w:eastAsiaTheme="minorHAnsi" w:hAnsi="Arial" w:cs="Arial"/>
          <w:lang w:bidi="ar-SA"/>
        </w:rPr>
        <w:t>was rated as slightly acidic while pH under cultivated and forest soil was rated as moderately acidic following the classification described by Weil and Brady (2017).</w:t>
      </w:r>
    </w:p>
    <w:p w14:paraId="55FBBAC3" w14:textId="77777777" w:rsidR="00925B04" w:rsidRPr="001A4879" w:rsidRDefault="00E657F1" w:rsidP="00ED1518">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Available phosphorus showed significant variation among land uses. The highest available p</w:t>
      </w:r>
      <w:r w:rsidR="00761DF0" w:rsidRPr="001A4879">
        <w:rPr>
          <w:rFonts w:ascii="Arial" w:eastAsiaTheme="minorHAnsi" w:hAnsi="Arial" w:cs="Arial"/>
          <w:lang w:bidi="ar-SA"/>
        </w:rPr>
        <w:t>hosphorus</w:t>
      </w:r>
      <w:r w:rsidRPr="001A4879">
        <w:rPr>
          <w:rFonts w:ascii="Arial" w:eastAsiaTheme="minorHAnsi" w:hAnsi="Arial" w:cs="Arial"/>
          <w:lang w:bidi="ar-SA"/>
        </w:rPr>
        <w:t xml:space="preserve"> was </w:t>
      </w:r>
      <w:r w:rsidR="00761DF0" w:rsidRPr="001A4879">
        <w:rPr>
          <w:rFonts w:ascii="Arial" w:eastAsiaTheme="minorHAnsi" w:hAnsi="Arial" w:cs="Arial"/>
          <w:lang w:bidi="ar-SA"/>
        </w:rPr>
        <w:t xml:space="preserve">recorded </w:t>
      </w:r>
      <w:r w:rsidRPr="001A4879">
        <w:rPr>
          <w:rFonts w:ascii="Arial" w:eastAsiaTheme="minorHAnsi" w:hAnsi="Arial" w:cs="Arial"/>
          <w:lang w:bidi="ar-SA"/>
        </w:rPr>
        <w:t xml:space="preserve">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 (10.2 ppm) followed by cultivated land (6.39 ppm) and forest </w:t>
      </w:r>
      <w:r w:rsidR="00436009" w:rsidRPr="001A4879">
        <w:rPr>
          <w:rFonts w:ascii="Arial" w:eastAsiaTheme="minorHAnsi" w:hAnsi="Arial" w:cs="Arial"/>
          <w:lang w:bidi="ar-SA"/>
        </w:rPr>
        <w:t>(6.19 ppm) respectively (Table 1</w:t>
      </w:r>
      <w:r w:rsidRPr="001A4879">
        <w:rPr>
          <w:rFonts w:ascii="Arial" w:eastAsiaTheme="minorHAnsi" w:hAnsi="Arial" w:cs="Arial"/>
          <w:lang w:bidi="ar-SA"/>
        </w:rPr>
        <w:t>).</w:t>
      </w:r>
      <w:r w:rsidR="00FC6238" w:rsidRPr="001A4879">
        <w:rPr>
          <w:rFonts w:ascii="Arial" w:eastAsiaTheme="minorHAnsi" w:hAnsi="Arial" w:cs="Arial"/>
          <w:lang w:bidi="ar-SA"/>
        </w:rPr>
        <w:t xml:space="preserve"> There was no significant difference in available phosphorus between cultivated and forest land, numerically the higher available phosphorus was recorded from cultivated land as compared with forest soil.</w:t>
      </w:r>
      <w:r w:rsidRPr="001A4879">
        <w:rPr>
          <w:rFonts w:ascii="Arial" w:eastAsiaTheme="minorHAnsi" w:hAnsi="Arial" w:cs="Arial"/>
          <w:lang w:bidi="ar-SA"/>
        </w:rPr>
        <w:t xml:space="preserve"> A similar finding was reported by </w:t>
      </w:r>
      <w:r w:rsidR="004053E4" w:rsidRPr="001A4879">
        <w:rPr>
          <w:rFonts w:ascii="Arial" w:eastAsiaTheme="minorHAnsi" w:hAnsi="Arial" w:cs="Arial"/>
          <w:lang w:bidi="ar-SA"/>
        </w:rPr>
        <w:t>Boke</w:t>
      </w:r>
      <w:r w:rsidRPr="001A4879">
        <w:rPr>
          <w:rFonts w:ascii="Arial" w:eastAsiaTheme="minorHAnsi" w:hAnsi="Arial" w:cs="Arial"/>
          <w:lang w:bidi="ar-SA"/>
        </w:rPr>
        <w:t xml:space="preserve">, (2004) where available phosphorus is higher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farms which could be due to rapid mineralization and additions of manure and crop residue. </w:t>
      </w:r>
      <w:r w:rsidR="004053E4" w:rsidRPr="001A4879">
        <w:rPr>
          <w:rFonts w:ascii="Arial" w:eastAsiaTheme="minorHAnsi" w:hAnsi="Arial" w:cs="Arial"/>
          <w:lang w:bidi="ar-SA"/>
        </w:rPr>
        <w:t>Mathewos</w:t>
      </w:r>
      <w:r w:rsidRPr="001A4879">
        <w:rPr>
          <w:rFonts w:ascii="Arial" w:eastAsiaTheme="minorHAnsi" w:hAnsi="Arial" w:cs="Arial"/>
          <w:lang w:bidi="ar-SA"/>
        </w:rPr>
        <w:t xml:space="preserve">, (2019) also reported the highest available phosphorus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field.</w:t>
      </w:r>
      <w:r w:rsidR="001110ED" w:rsidRPr="001A4879">
        <w:rPr>
          <w:rFonts w:ascii="Arial" w:eastAsiaTheme="minorHAnsi" w:hAnsi="Arial" w:cs="Arial"/>
          <w:lang w:bidi="ar-SA"/>
        </w:rPr>
        <w:t xml:space="preserve"> </w:t>
      </w:r>
      <w:r w:rsidRPr="001A4879">
        <w:rPr>
          <w:rFonts w:ascii="Arial" w:hAnsi="Arial" w:cs="Arial"/>
        </w:rPr>
        <w:t xml:space="preserve">According to rating of </w:t>
      </w:r>
      <w:proofErr w:type="spellStart"/>
      <w:r w:rsidRPr="001A4879">
        <w:rPr>
          <w:rFonts w:ascii="Arial" w:hAnsi="Arial" w:cs="Arial"/>
        </w:rPr>
        <w:t>Cottenie</w:t>
      </w:r>
      <w:proofErr w:type="spellEnd"/>
      <w:r w:rsidRPr="001A4879">
        <w:rPr>
          <w:rFonts w:ascii="Arial" w:hAnsi="Arial" w:cs="Arial"/>
        </w:rPr>
        <w:t xml:space="preserve">, (1980) available phosphorus at </w:t>
      </w:r>
      <w:proofErr w:type="spellStart"/>
      <w:r w:rsidRPr="001A4879">
        <w:rPr>
          <w:rFonts w:ascii="Arial" w:hAnsi="Arial" w:cs="Arial"/>
        </w:rPr>
        <w:t>enset</w:t>
      </w:r>
      <w:proofErr w:type="spellEnd"/>
      <w:r w:rsidRPr="001A4879">
        <w:rPr>
          <w:rFonts w:ascii="Arial" w:hAnsi="Arial" w:cs="Arial"/>
        </w:rPr>
        <w:t xml:space="preserve"> land use was in medium range while low in cultivated land and forest land use who classify very low (&lt; 5 ppm), low (5-9 ppm), medium (10-17 ppm), high (18-25 ppm) and very high (&gt; 25 ppm).</w:t>
      </w:r>
      <w:bookmarkStart w:id="2" w:name="_Toc92320486"/>
    </w:p>
    <w:bookmarkEnd w:id="2"/>
    <w:p w14:paraId="3538A641" w14:textId="77777777" w:rsidR="00E657F1" w:rsidRPr="001A4879" w:rsidRDefault="00E657F1" w:rsidP="00ED1518">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 xml:space="preserve">Cation exchange capacity (CEC) was showed significant variation among different land uses. Mean value of CEC was higher under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 and lower under cultivated land. CEC value of land uses are in order: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&gt; Forest &gt; Cultivated land. This result </w:t>
      </w:r>
      <w:proofErr w:type="gramStart"/>
      <w:r w:rsidRPr="001A4879">
        <w:rPr>
          <w:rFonts w:ascii="Arial" w:eastAsiaTheme="minorHAnsi" w:hAnsi="Arial" w:cs="Arial"/>
          <w:lang w:bidi="ar-SA"/>
        </w:rPr>
        <w:t>is in agreement</w:t>
      </w:r>
      <w:proofErr w:type="gramEnd"/>
      <w:r w:rsidRPr="001A4879">
        <w:rPr>
          <w:rFonts w:ascii="Arial" w:eastAsiaTheme="minorHAnsi" w:hAnsi="Arial" w:cs="Arial"/>
          <w:lang w:bidi="ar-SA"/>
        </w:rPr>
        <w:t xml:space="preserve"> with the findings of </w:t>
      </w:r>
      <w:r w:rsidR="004053E4" w:rsidRPr="001A4879">
        <w:rPr>
          <w:rFonts w:ascii="Arial" w:eastAsiaTheme="minorHAnsi" w:hAnsi="Arial" w:cs="Arial"/>
          <w:lang w:bidi="ar-SA"/>
        </w:rPr>
        <w:t>Bufalo</w:t>
      </w:r>
      <w:r w:rsidRPr="001A4879">
        <w:rPr>
          <w:rFonts w:ascii="Arial" w:eastAsiaTheme="minorHAnsi" w:hAnsi="Arial" w:cs="Arial"/>
          <w:lang w:bidi="ar-SA"/>
        </w:rPr>
        <w:t xml:space="preserve"> and </w:t>
      </w:r>
      <w:r w:rsidR="004053E4" w:rsidRPr="001A4879">
        <w:rPr>
          <w:rFonts w:ascii="Arial" w:eastAsiaTheme="minorHAnsi" w:hAnsi="Arial" w:cs="Arial"/>
          <w:lang w:bidi="ar-SA"/>
        </w:rPr>
        <w:t>Elias</w:t>
      </w:r>
      <w:r w:rsidRPr="001A4879">
        <w:rPr>
          <w:rFonts w:ascii="Arial" w:eastAsiaTheme="minorHAnsi" w:hAnsi="Arial" w:cs="Arial"/>
          <w:lang w:bidi="ar-SA"/>
        </w:rPr>
        <w:t xml:space="preserve">, (2020) who reported high CEC under forest as compared with cultivated fields. The lowest value of CEC under the soil of cultivated land could be due to reduction in organic matter content, such decrement </w:t>
      </w:r>
      <w:proofErr w:type="gramStart"/>
      <w:r w:rsidRPr="001A4879">
        <w:rPr>
          <w:rFonts w:ascii="Arial" w:eastAsiaTheme="minorHAnsi" w:hAnsi="Arial" w:cs="Arial"/>
          <w:lang w:bidi="ar-SA"/>
        </w:rPr>
        <w:t>are</w:t>
      </w:r>
      <w:proofErr w:type="gramEnd"/>
      <w:r w:rsidRPr="001A4879">
        <w:rPr>
          <w:rFonts w:ascii="Arial" w:eastAsiaTheme="minorHAnsi" w:hAnsi="Arial" w:cs="Arial"/>
          <w:lang w:bidi="ar-SA"/>
        </w:rPr>
        <w:t xml:space="preserve"> parallel with soil organic carbon. The lower value of CEC in cultivated land may be related to organic matter content of this land use. According to Landon (</w:t>
      </w:r>
      <w:r w:rsidR="008916BF" w:rsidRPr="001A4879">
        <w:rPr>
          <w:rFonts w:ascii="Arial" w:eastAsiaTheme="minorHAnsi" w:hAnsi="Arial" w:cs="Arial"/>
          <w:lang w:bidi="ar-SA"/>
        </w:rPr>
        <w:t>2014</w:t>
      </w:r>
      <w:r w:rsidRPr="001A4879">
        <w:rPr>
          <w:rFonts w:ascii="Arial" w:eastAsiaTheme="minorHAnsi" w:hAnsi="Arial" w:cs="Arial"/>
          <w:lang w:bidi="ar-SA"/>
        </w:rPr>
        <w:t xml:space="preserve">), CEC of all land uses of the study area is high who classify cation exchange capacity (CEC) of soils as low (&lt;15 </w:t>
      </w:r>
      <w:proofErr w:type="spellStart"/>
      <w:r w:rsidRPr="001A4879">
        <w:rPr>
          <w:rFonts w:ascii="Arial" w:eastAsiaTheme="minorHAnsi" w:hAnsi="Arial" w:cs="Arial"/>
          <w:lang w:bidi="ar-SA"/>
        </w:rPr>
        <w:t>Cmol</w:t>
      </w:r>
      <w:proofErr w:type="spellEnd"/>
      <w:r w:rsidRPr="001A4879">
        <w:rPr>
          <w:rFonts w:ascii="Arial" w:eastAsiaTheme="minorHAnsi" w:hAnsi="Arial" w:cs="Arial"/>
          <w:lang w:bidi="ar-SA"/>
        </w:rPr>
        <w:t xml:space="preserve"> (+) kg-1 of soils), medium (15-25 </w:t>
      </w:r>
      <w:proofErr w:type="spellStart"/>
      <w:r w:rsidRPr="001A4879">
        <w:rPr>
          <w:rFonts w:ascii="Arial" w:eastAsiaTheme="minorHAnsi" w:hAnsi="Arial" w:cs="Arial"/>
          <w:lang w:bidi="ar-SA"/>
        </w:rPr>
        <w:t>Cmol</w:t>
      </w:r>
      <w:proofErr w:type="spellEnd"/>
      <w:r w:rsidRPr="001A4879">
        <w:rPr>
          <w:rFonts w:ascii="Arial" w:eastAsiaTheme="minorHAnsi" w:hAnsi="Arial" w:cs="Arial"/>
          <w:lang w:bidi="ar-SA"/>
        </w:rPr>
        <w:t xml:space="preserve"> (+) kg-1 of soils) and high (&gt;25 </w:t>
      </w:r>
      <w:proofErr w:type="spellStart"/>
      <w:r w:rsidRPr="001A4879">
        <w:rPr>
          <w:rFonts w:ascii="Arial" w:eastAsiaTheme="minorHAnsi" w:hAnsi="Arial" w:cs="Arial"/>
          <w:lang w:bidi="ar-SA"/>
        </w:rPr>
        <w:t>Cmol</w:t>
      </w:r>
      <w:proofErr w:type="spellEnd"/>
      <w:r w:rsidRPr="001A4879">
        <w:rPr>
          <w:rFonts w:ascii="Arial" w:eastAsiaTheme="minorHAnsi" w:hAnsi="Arial" w:cs="Arial"/>
          <w:lang w:bidi="ar-SA"/>
        </w:rPr>
        <w:t xml:space="preserve"> (+) kg-1 of soils). </w:t>
      </w:r>
    </w:p>
    <w:p w14:paraId="594ED62A" w14:textId="77777777" w:rsidR="00F10F45" w:rsidRPr="001A4879" w:rsidRDefault="00F10F45" w:rsidP="00ED1518">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 xml:space="preserve">Total nitrogen significantly affected by different land uses. Cultivated land had significantly lowest total nitrogen. The highest total nitrogen was recorded from </w:t>
      </w:r>
      <w:proofErr w:type="spellStart"/>
      <w:r w:rsidRPr="001A4879">
        <w:rPr>
          <w:rFonts w:ascii="Arial" w:eastAsiaTheme="minorHAnsi" w:hAnsi="Arial" w:cs="Arial"/>
          <w:lang w:bidi="ar-SA"/>
        </w:rPr>
        <w:t>enset</w:t>
      </w:r>
      <w:proofErr w:type="spellEnd"/>
      <w:r w:rsidRPr="001A4879">
        <w:rPr>
          <w:rFonts w:ascii="Arial" w:eastAsiaTheme="minorHAnsi" w:hAnsi="Arial" w:cs="Arial"/>
          <w:lang w:bidi="ar-SA"/>
        </w:rPr>
        <w:t xml:space="preserve"> land uses followed by forest land.  </w:t>
      </w:r>
      <w:r w:rsidRPr="001A4879">
        <w:rPr>
          <w:rFonts w:ascii="Arial" w:hAnsi="Arial" w:cs="Arial"/>
        </w:rPr>
        <w:t xml:space="preserve">The low TN of the cultivated soil was due to rapid decomposition and oxidation process encouraged by intensive cultivation. In line with current findings, </w:t>
      </w:r>
      <w:r w:rsidR="00714D3F" w:rsidRPr="001A4879">
        <w:rPr>
          <w:rFonts w:ascii="Arial" w:hAnsi="Arial" w:cs="Arial"/>
        </w:rPr>
        <w:t>Girma</w:t>
      </w:r>
      <w:r w:rsidRPr="001A4879">
        <w:rPr>
          <w:rFonts w:ascii="Arial" w:hAnsi="Arial" w:cs="Arial"/>
        </w:rPr>
        <w:t xml:space="preserve">, (2020) reported lowest total nitrogen under cultivated land. According to the ratings of Landon, </w:t>
      </w:r>
      <w:r w:rsidR="00632A26" w:rsidRPr="001A4879">
        <w:rPr>
          <w:rFonts w:ascii="Arial" w:hAnsi="Arial" w:cs="Arial"/>
        </w:rPr>
        <w:t>(</w:t>
      </w:r>
      <w:r w:rsidRPr="001A4879">
        <w:rPr>
          <w:rFonts w:ascii="Arial" w:hAnsi="Arial" w:cs="Arial"/>
        </w:rPr>
        <w:t>2014</w:t>
      </w:r>
      <w:r w:rsidR="00632A26" w:rsidRPr="001A4879">
        <w:rPr>
          <w:rFonts w:ascii="Arial" w:hAnsi="Arial" w:cs="Arial"/>
        </w:rPr>
        <w:t>) total nitrogen content of the study area was under medium category (0.2-0.5%).</w:t>
      </w:r>
    </w:p>
    <w:p w14:paraId="407AFF32" w14:textId="77777777" w:rsidR="002B2308" w:rsidRPr="001A4879" w:rsidRDefault="002B2308" w:rsidP="00ED1518">
      <w:pPr>
        <w:tabs>
          <w:tab w:val="clear" w:pos="630"/>
        </w:tabs>
        <w:autoSpaceDE w:val="0"/>
        <w:autoSpaceDN w:val="0"/>
        <w:adjustRightInd w:val="0"/>
        <w:spacing w:after="0" w:line="240" w:lineRule="auto"/>
        <w:rPr>
          <w:rFonts w:ascii="Arial" w:eastAsiaTheme="minorHAnsi" w:hAnsi="Arial" w:cs="Arial"/>
          <w:lang w:bidi="ar-SA"/>
        </w:rPr>
      </w:pPr>
      <w:r w:rsidRPr="001A4879">
        <w:rPr>
          <w:rFonts w:ascii="Arial" w:hAnsi="Arial" w:cs="Arial"/>
        </w:rPr>
        <w:t xml:space="preserve">Table </w:t>
      </w:r>
      <w:r w:rsidR="00EC7CE6" w:rsidRPr="001A4879">
        <w:rPr>
          <w:rFonts w:ascii="Arial" w:hAnsi="Arial" w:cs="Arial"/>
          <w:b/>
        </w:rPr>
        <w:t>1</w:t>
      </w:r>
      <w:r w:rsidRPr="001A4879">
        <w:rPr>
          <w:rFonts w:ascii="Arial" w:hAnsi="Arial" w:cs="Arial"/>
        </w:rPr>
        <w:t xml:space="preserve">: </w:t>
      </w:r>
      <w:r w:rsidR="00632A26" w:rsidRPr="001A4879">
        <w:rPr>
          <w:rFonts w:ascii="Arial" w:hAnsi="Arial" w:cs="Arial"/>
        </w:rPr>
        <w:t>S</w:t>
      </w:r>
      <w:r w:rsidRPr="001A4879">
        <w:rPr>
          <w:rFonts w:ascii="Arial" w:hAnsi="Arial" w:cs="Arial"/>
        </w:rPr>
        <w:t>elected soil physicochemical properties</w:t>
      </w:r>
      <w:r w:rsidR="00632A26" w:rsidRPr="001A4879">
        <w:rPr>
          <w:rFonts w:ascii="Arial" w:hAnsi="Arial" w:cs="Arial"/>
        </w:rPr>
        <w:t xml:space="preserve"> as influenced by different land use types.</w:t>
      </w:r>
    </w:p>
    <w:tbl>
      <w:tblPr>
        <w:tblStyle w:val="TableGrid"/>
        <w:tblW w:w="9360" w:type="dxa"/>
        <w:tblInd w:w="108" w:type="dxa"/>
        <w:tblLayout w:type="fixed"/>
        <w:tblLook w:val="04A0" w:firstRow="1" w:lastRow="0" w:firstColumn="1" w:lastColumn="0" w:noHBand="0" w:noVBand="1"/>
      </w:tblPr>
      <w:tblGrid>
        <w:gridCol w:w="1620"/>
        <w:gridCol w:w="900"/>
        <w:gridCol w:w="1080"/>
        <w:gridCol w:w="990"/>
        <w:gridCol w:w="990"/>
        <w:gridCol w:w="720"/>
        <w:gridCol w:w="1080"/>
        <w:gridCol w:w="810"/>
        <w:gridCol w:w="1170"/>
      </w:tblGrid>
      <w:tr w:rsidR="007C312D" w:rsidRPr="002663DF" w14:paraId="16AA8C65" w14:textId="77777777" w:rsidTr="00815FC8">
        <w:tc>
          <w:tcPr>
            <w:tcW w:w="1620" w:type="dxa"/>
          </w:tcPr>
          <w:p w14:paraId="499CF74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lastRenderedPageBreak/>
              <w:t>Land use</w:t>
            </w:r>
          </w:p>
        </w:tc>
        <w:tc>
          <w:tcPr>
            <w:tcW w:w="900" w:type="dxa"/>
          </w:tcPr>
          <w:p w14:paraId="25C66D8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BD</w:t>
            </w:r>
            <w:r w:rsidR="00E57105" w:rsidRPr="002663DF">
              <w:rPr>
                <w:rFonts w:ascii="Arial" w:hAnsi="Arial" w:cs="Arial"/>
                <w:sz w:val="20"/>
                <w:szCs w:val="20"/>
              </w:rPr>
              <w:t>(g/cm</w:t>
            </w:r>
            <w:r w:rsidR="00E57105" w:rsidRPr="002663DF">
              <w:rPr>
                <w:rFonts w:ascii="Arial" w:hAnsi="Arial" w:cs="Arial"/>
                <w:sz w:val="20"/>
                <w:szCs w:val="20"/>
                <w:vertAlign w:val="superscript"/>
              </w:rPr>
              <w:t>3</w:t>
            </w:r>
            <w:r w:rsidR="00E57105" w:rsidRPr="002663DF">
              <w:rPr>
                <w:rFonts w:ascii="Arial" w:hAnsi="Arial" w:cs="Arial"/>
                <w:sz w:val="20"/>
                <w:szCs w:val="20"/>
              </w:rPr>
              <w:t>)</w:t>
            </w:r>
          </w:p>
        </w:tc>
        <w:tc>
          <w:tcPr>
            <w:tcW w:w="1080" w:type="dxa"/>
          </w:tcPr>
          <w:p w14:paraId="4863AF2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Sand</w:t>
            </w:r>
            <w:r w:rsidR="00E57105" w:rsidRPr="002663DF">
              <w:rPr>
                <w:rFonts w:ascii="Arial" w:hAnsi="Arial" w:cs="Arial"/>
                <w:sz w:val="20"/>
                <w:szCs w:val="20"/>
              </w:rPr>
              <w:t xml:space="preserve"> (%)</w:t>
            </w:r>
            <w:r w:rsidRPr="002663DF">
              <w:rPr>
                <w:rFonts w:ascii="Arial" w:hAnsi="Arial" w:cs="Arial"/>
                <w:sz w:val="20"/>
                <w:szCs w:val="20"/>
              </w:rPr>
              <w:t xml:space="preserve"> </w:t>
            </w:r>
          </w:p>
        </w:tc>
        <w:tc>
          <w:tcPr>
            <w:tcW w:w="990" w:type="dxa"/>
          </w:tcPr>
          <w:p w14:paraId="3342407C"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 xml:space="preserve">Silt </w:t>
            </w:r>
            <w:r w:rsidR="00E57105" w:rsidRPr="002663DF">
              <w:rPr>
                <w:rFonts w:ascii="Arial" w:hAnsi="Arial" w:cs="Arial"/>
                <w:sz w:val="20"/>
                <w:szCs w:val="20"/>
              </w:rPr>
              <w:t>(%)</w:t>
            </w:r>
          </w:p>
        </w:tc>
        <w:tc>
          <w:tcPr>
            <w:tcW w:w="990" w:type="dxa"/>
          </w:tcPr>
          <w:p w14:paraId="0FB0911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Clay</w:t>
            </w:r>
            <w:r w:rsidR="00E57105" w:rsidRPr="002663DF">
              <w:rPr>
                <w:rFonts w:ascii="Arial" w:hAnsi="Arial" w:cs="Arial"/>
                <w:sz w:val="20"/>
                <w:szCs w:val="20"/>
              </w:rPr>
              <w:t xml:space="preserve"> (%)</w:t>
            </w:r>
            <w:r w:rsidRPr="002663DF">
              <w:rPr>
                <w:rFonts w:ascii="Arial" w:hAnsi="Arial" w:cs="Arial"/>
                <w:sz w:val="20"/>
                <w:szCs w:val="20"/>
              </w:rPr>
              <w:t xml:space="preserve"> </w:t>
            </w:r>
          </w:p>
        </w:tc>
        <w:tc>
          <w:tcPr>
            <w:tcW w:w="720" w:type="dxa"/>
          </w:tcPr>
          <w:p w14:paraId="03B9FF9D"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pH</w:t>
            </w:r>
          </w:p>
        </w:tc>
        <w:tc>
          <w:tcPr>
            <w:tcW w:w="1080" w:type="dxa"/>
          </w:tcPr>
          <w:p w14:paraId="118FD3A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Av. P</w:t>
            </w:r>
            <w:r w:rsidR="00680CAD" w:rsidRPr="002663DF">
              <w:rPr>
                <w:rFonts w:ascii="Arial" w:hAnsi="Arial" w:cs="Arial"/>
                <w:sz w:val="20"/>
                <w:szCs w:val="20"/>
              </w:rPr>
              <w:t xml:space="preserve"> (</w:t>
            </w:r>
            <w:proofErr w:type="gramStart"/>
            <w:r w:rsidR="00680CAD" w:rsidRPr="002663DF">
              <w:rPr>
                <w:rFonts w:ascii="Arial" w:hAnsi="Arial" w:cs="Arial"/>
                <w:sz w:val="20"/>
                <w:szCs w:val="20"/>
              </w:rPr>
              <w:t xml:space="preserve">ppm)   </w:t>
            </w:r>
            <w:proofErr w:type="gramEnd"/>
            <w:r w:rsidR="00680CAD" w:rsidRPr="002663DF">
              <w:rPr>
                <w:rFonts w:ascii="Arial" w:hAnsi="Arial" w:cs="Arial"/>
                <w:sz w:val="20"/>
                <w:szCs w:val="20"/>
              </w:rPr>
              <w:t xml:space="preserve">     </w:t>
            </w:r>
          </w:p>
        </w:tc>
        <w:tc>
          <w:tcPr>
            <w:tcW w:w="810" w:type="dxa"/>
          </w:tcPr>
          <w:p w14:paraId="55B64D55"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TN</w:t>
            </w:r>
            <w:r w:rsidR="00E57105" w:rsidRPr="002663DF">
              <w:rPr>
                <w:rFonts w:ascii="Arial" w:hAnsi="Arial" w:cs="Arial"/>
                <w:sz w:val="20"/>
                <w:szCs w:val="20"/>
              </w:rPr>
              <w:t xml:space="preserve"> (%)</w:t>
            </w:r>
          </w:p>
        </w:tc>
        <w:tc>
          <w:tcPr>
            <w:tcW w:w="1170" w:type="dxa"/>
          </w:tcPr>
          <w:p w14:paraId="4DC19629"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CEC</w:t>
            </w:r>
            <w:r w:rsidR="00815FC8" w:rsidRPr="002663DF">
              <w:rPr>
                <w:rFonts w:ascii="Arial" w:eastAsiaTheme="minorHAnsi" w:hAnsi="Arial" w:cs="Arial"/>
                <w:sz w:val="20"/>
                <w:szCs w:val="20"/>
                <w:lang w:bidi="ar-SA"/>
              </w:rPr>
              <w:t xml:space="preserve"> </w:t>
            </w:r>
            <w:r w:rsidR="00B06970" w:rsidRPr="002663DF">
              <w:rPr>
                <w:rFonts w:ascii="Arial" w:eastAsiaTheme="minorHAnsi" w:hAnsi="Arial" w:cs="Arial"/>
                <w:sz w:val="20"/>
                <w:szCs w:val="20"/>
                <w:lang w:bidi="ar-SA"/>
              </w:rPr>
              <w:t>(</w:t>
            </w:r>
            <w:proofErr w:type="spellStart"/>
            <w:r w:rsidR="00815FC8" w:rsidRPr="002663DF">
              <w:rPr>
                <w:rFonts w:ascii="Arial" w:eastAsiaTheme="minorHAnsi" w:hAnsi="Arial" w:cs="Arial"/>
                <w:sz w:val="20"/>
                <w:szCs w:val="20"/>
                <w:lang w:bidi="ar-SA"/>
              </w:rPr>
              <w:t>Cmol</w:t>
            </w:r>
            <w:proofErr w:type="spellEnd"/>
            <w:r w:rsidR="00815FC8" w:rsidRPr="002663DF">
              <w:rPr>
                <w:rFonts w:ascii="Arial" w:eastAsiaTheme="minorHAnsi" w:hAnsi="Arial" w:cs="Arial"/>
                <w:sz w:val="20"/>
                <w:szCs w:val="20"/>
                <w:lang w:bidi="ar-SA"/>
              </w:rPr>
              <w:t xml:space="preserve"> (+) kg-1</w:t>
            </w:r>
            <w:r w:rsidR="00B06970" w:rsidRPr="002663DF">
              <w:rPr>
                <w:rFonts w:ascii="Arial" w:eastAsiaTheme="minorHAnsi" w:hAnsi="Arial" w:cs="Arial"/>
                <w:sz w:val="20"/>
                <w:szCs w:val="20"/>
                <w:lang w:bidi="ar-SA"/>
              </w:rPr>
              <w:t>)</w:t>
            </w:r>
          </w:p>
        </w:tc>
      </w:tr>
      <w:tr w:rsidR="007C312D" w:rsidRPr="002663DF" w14:paraId="733BCE60" w14:textId="77777777" w:rsidTr="00815FC8">
        <w:tc>
          <w:tcPr>
            <w:tcW w:w="1620" w:type="dxa"/>
          </w:tcPr>
          <w:p w14:paraId="27D8CEF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 xml:space="preserve">Cultivated </w:t>
            </w:r>
          </w:p>
        </w:tc>
        <w:tc>
          <w:tcPr>
            <w:tcW w:w="900" w:type="dxa"/>
          </w:tcPr>
          <w:p w14:paraId="4387BBA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1.16</w:t>
            </w:r>
            <w:r w:rsidRPr="002663DF">
              <w:rPr>
                <w:rFonts w:ascii="Arial" w:hAnsi="Arial" w:cs="Arial"/>
                <w:sz w:val="20"/>
                <w:szCs w:val="20"/>
                <w:vertAlign w:val="superscript"/>
              </w:rPr>
              <w:t>a</w:t>
            </w:r>
          </w:p>
        </w:tc>
        <w:tc>
          <w:tcPr>
            <w:tcW w:w="1080" w:type="dxa"/>
          </w:tcPr>
          <w:p w14:paraId="493605A6"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24.113</w:t>
            </w:r>
            <w:r w:rsidRPr="002663DF">
              <w:rPr>
                <w:rFonts w:ascii="Arial" w:hAnsi="Arial" w:cs="Arial"/>
                <w:sz w:val="20"/>
                <w:szCs w:val="20"/>
                <w:vertAlign w:val="superscript"/>
              </w:rPr>
              <w:t>a</w:t>
            </w:r>
          </w:p>
        </w:tc>
        <w:tc>
          <w:tcPr>
            <w:tcW w:w="990" w:type="dxa"/>
          </w:tcPr>
          <w:p w14:paraId="38839C4E"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31.61</w:t>
            </w:r>
            <w:r w:rsidRPr="002663DF">
              <w:rPr>
                <w:rFonts w:ascii="Arial" w:hAnsi="Arial" w:cs="Arial"/>
                <w:sz w:val="20"/>
                <w:szCs w:val="20"/>
                <w:vertAlign w:val="superscript"/>
              </w:rPr>
              <w:t>a</w:t>
            </w:r>
          </w:p>
        </w:tc>
        <w:tc>
          <w:tcPr>
            <w:tcW w:w="990" w:type="dxa"/>
          </w:tcPr>
          <w:p w14:paraId="2C101E8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44.012</w:t>
            </w:r>
            <w:r w:rsidRPr="002663DF">
              <w:rPr>
                <w:rFonts w:ascii="Arial" w:hAnsi="Arial" w:cs="Arial"/>
                <w:sz w:val="20"/>
                <w:szCs w:val="20"/>
                <w:vertAlign w:val="superscript"/>
              </w:rPr>
              <w:t>a</w:t>
            </w:r>
          </w:p>
        </w:tc>
        <w:tc>
          <w:tcPr>
            <w:tcW w:w="720" w:type="dxa"/>
          </w:tcPr>
          <w:p w14:paraId="016ED6E4"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5.33</w:t>
            </w:r>
            <w:r w:rsidRPr="002663DF">
              <w:rPr>
                <w:rFonts w:ascii="Arial" w:hAnsi="Arial" w:cs="Arial"/>
                <w:sz w:val="20"/>
                <w:szCs w:val="20"/>
                <w:vertAlign w:val="superscript"/>
              </w:rPr>
              <w:t>b</w:t>
            </w:r>
          </w:p>
        </w:tc>
        <w:tc>
          <w:tcPr>
            <w:tcW w:w="1080" w:type="dxa"/>
          </w:tcPr>
          <w:p w14:paraId="143699C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6.39</w:t>
            </w:r>
            <w:r w:rsidRPr="002663DF">
              <w:rPr>
                <w:rFonts w:ascii="Arial" w:hAnsi="Arial" w:cs="Arial"/>
                <w:sz w:val="20"/>
                <w:szCs w:val="20"/>
                <w:vertAlign w:val="superscript"/>
              </w:rPr>
              <w:t>b</w:t>
            </w:r>
          </w:p>
        </w:tc>
        <w:tc>
          <w:tcPr>
            <w:tcW w:w="810" w:type="dxa"/>
          </w:tcPr>
          <w:p w14:paraId="0DB57269"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0.26</w:t>
            </w:r>
            <w:r w:rsidRPr="002663DF">
              <w:rPr>
                <w:rFonts w:ascii="Arial" w:eastAsiaTheme="minorHAnsi" w:hAnsi="Arial" w:cs="Arial"/>
                <w:sz w:val="20"/>
                <w:szCs w:val="20"/>
                <w:vertAlign w:val="superscript"/>
                <w:lang w:bidi="ar-SA"/>
              </w:rPr>
              <w:t>b</w:t>
            </w:r>
          </w:p>
        </w:tc>
        <w:tc>
          <w:tcPr>
            <w:tcW w:w="1170" w:type="dxa"/>
          </w:tcPr>
          <w:p w14:paraId="04F2D757"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34.57</w:t>
            </w:r>
            <w:r w:rsidRPr="002663DF">
              <w:rPr>
                <w:rFonts w:ascii="Arial" w:hAnsi="Arial" w:cs="Arial"/>
                <w:sz w:val="20"/>
                <w:szCs w:val="20"/>
                <w:vertAlign w:val="superscript"/>
              </w:rPr>
              <w:t>b</w:t>
            </w:r>
          </w:p>
        </w:tc>
      </w:tr>
      <w:tr w:rsidR="007C312D" w:rsidRPr="002663DF" w14:paraId="48EBF818" w14:textId="77777777" w:rsidTr="00815FC8">
        <w:trPr>
          <w:trHeight w:val="530"/>
        </w:trPr>
        <w:tc>
          <w:tcPr>
            <w:tcW w:w="1620" w:type="dxa"/>
          </w:tcPr>
          <w:p w14:paraId="5869300C"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proofErr w:type="spellStart"/>
            <w:r w:rsidRPr="002663DF">
              <w:rPr>
                <w:rFonts w:ascii="Arial" w:hAnsi="Arial" w:cs="Arial"/>
                <w:sz w:val="20"/>
                <w:szCs w:val="20"/>
              </w:rPr>
              <w:t>Enset</w:t>
            </w:r>
            <w:proofErr w:type="spellEnd"/>
          </w:p>
        </w:tc>
        <w:tc>
          <w:tcPr>
            <w:tcW w:w="900" w:type="dxa"/>
          </w:tcPr>
          <w:p w14:paraId="566525A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1.05</w:t>
            </w:r>
            <w:r w:rsidRPr="002663DF">
              <w:rPr>
                <w:rFonts w:ascii="Arial" w:hAnsi="Arial" w:cs="Arial"/>
                <w:sz w:val="20"/>
                <w:szCs w:val="20"/>
                <w:vertAlign w:val="superscript"/>
              </w:rPr>
              <w:t>b</w:t>
            </w:r>
          </w:p>
        </w:tc>
        <w:tc>
          <w:tcPr>
            <w:tcW w:w="1080" w:type="dxa"/>
          </w:tcPr>
          <w:p w14:paraId="0161999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24.363</w:t>
            </w:r>
            <w:r w:rsidRPr="002663DF">
              <w:rPr>
                <w:rFonts w:ascii="Arial" w:hAnsi="Arial" w:cs="Arial"/>
                <w:sz w:val="20"/>
                <w:szCs w:val="20"/>
                <w:vertAlign w:val="superscript"/>
              </w:rPr>
              <w:t>a</w:t>
            </w:r>
          </w:p>
        </w:tc>
        <w:tc>
          <w:tcPr>
            <w:tcW w:w="990" w:type="dxa"/>
          </w:tcPr>
          <w:p w14:paraId="184CD765"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30.639</w:t>
            </w:r>
            <w:r w:rsidRPr="002663DF">
              <w:rPr>
                <w:rFonts w:ascii="Arial" w:hAnsi="Arial" w:cs="Arial"/>
                <w:sz w:val="20"/>
                <w:szCs w:val="20"/>
                <w:vertAlign w:val="superscript"/>
              </w:rPr>
              <w:t>a</w:t>
            </w:r>
          </w:p>
        </w:tc>
        <w:tc>
          <w:tcPr>
            <w:tcW w:w="990" w:type="dxa"/>
          </w:tcPr>
          <w:p w14:paraId="56F00C5E"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44.414</w:t>
            </w:r>
            <w:r w:rsidRPr="002663DF">
              <w:rPr>
                <w:rFonts w:ascii="Arial" w:hAnsi="Arial" w:cs="Arial"/>
                <w:sz w:val="20"/>
                <w:szCs w:val="20"/>
                <w:vertAlign w:val="superscript"/>
              </w:rPr>
              <w:t>a</w:t>
            </w:r>
          </w:p>
        </w:tc>
        <w:tc>
          <w:tcPr>
            <w:tcW w:w="720" w:type="dxa"/>
          </w:tcPr>
          <w:p w14:paraId="52174CD9"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6.1</w:t>
            </w:r>
            <w:r w:rsidRPr="002663DF">
              <w:rPr>
                <w:rFonts w:ascii="Arial" w:hAnsi="Arial" w:cs="Arial"/>
                <w:sz w:val="20"/>
                <w:szCs w:val="20"/>
                <w:vertAlign w:val="superscript"/>
              </w:rPr>
              <w:t>a</w:t>
            </w:r>
          </w:p>
        </w:tc>
        <w:tc>
          <w:tcPr>
            <w:tcW w:w="1080" w:type="dxa"/>
          </w:tcPr>
          <w:p w14:paraId="62EC092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10.2</w:t>
            </w:r>
            <w:r w:rsidRPr="002663DF">
              <w:rPr>
                <w:rFonts w:ascii="Arial" w:hAnsi="Arial" w:cs="Arial"/>
                <w:sz w:val="20"/>
                <w:szCs w:val="20"/>
                <w:vertAlign w:val="superscript"/>
              </w:rPr>
              <w:t>a</w:t>
            </w:r>
          </w:p>
        </w:tc>
        <w:tc>
          <w:tcPr>
            <w:tcW w:w="810" w:type="dxa"/>
          </w:tcPr>
          <w:p w14:paraId="14273133"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0.41</w:t>
            </w:r>
            <w:r w:rsidRPr="002663DF">
              <w:rPr>
                <w:rFonts w:ascii="Arial" w:eastAsiaTheme="minorHAnsi" w:hAnsi="Arial" w:cs="Arial"/>
                <w:sz w:val="20"/>
                <w:szCs w:val="20"/>
                <w:vertAlign w:val="superscript"/>
                <w:lang w:bidi="ar-SA"/>
              </w:rPr>
              <w:t>a</w:t>
            </w:r>
          </w:p>
        </w:tc>
        <w:tc>
          <w:tcPr>
            <w:tcW w:w="1170" w:type="dxa"/>
          </w:tcPr>
          <w:p w14:paraId="3E972ED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47.9</w:t>
            </w:r>
            <w:r w:rsidRPr="002663DF">
              <w:rPr>
                <w:rFonts w:ascii="Arial" w:hAnsi="Arial" w:cs="Arial"/>
                <w:sz w:val="20"/>
                <w:szCs w:val="20"/>
                <w:vertAlign w:val="superscript"/>
              </w:rPr>
              <w:t>a</w:t>
            </w:r>
          </w:p>
        </w:tc>
      </w:tr>
      <w:tr w:rsidR="007C312D" w:rsidRPr="002663DF" w14:paraId="76D58C0E" w14:textId="77777777" w:rsidTr="00815FC8">
        <w:tc>
          <w:tcPr>
            <w:tcW w:w="1620" w:type="dxa"/>
          </w:tcPr>
          <w:p w14:paraId="1F998757"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Forest</w:t>
            </w:r>
          </w:p>
        </w:tc>
        <w:tc>
          <w:tcPr>
            <w:tcW w:w="900" w:type="dxa"/>
          </w:tcPr>
          <w:p w14:paraId="5FE9C72E"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1.03</w:t>
            </w:r>
            <w:r w:rsidRPr="002663DF">
              <w:rPr>
                <w:rFonts w:ascii="Arial" w:hAnsi="Arial" w:cs="Arial"/>
                <w:sz w:val="20"/>
                <w:szCs w:val="20"/>
                <w:vertAlign w:val="superscript"/>
              </w:rPr>
              <w:t>b</w:t>
            </w:r>
          </w:p>
        </w:tc>
        <w:tc>
          <w:tcPr>
            <w:tcW w:w="1080" w:type="dxa"/>
          </w:tcPr>
          <w:p w14:paraId="268B20DB"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30.28</w:t>
            </w:r>
            <w:r w:rsidRPr="002663DF">
              <w:rPr>
                <w:rFonts w:ascii="Arial" w:hAnsi="Arial" w:cs="Arial"/>
                <w:sz w:val="20"/>
                <w:szCs w:val="20"/>
                <w:vertAlign w:val="superscript"/>
              </w:rPr>
              <w:t>a</w:t>
            </w:r>
          </w:p>
        </w:tc>
        <w:tc>
          <w:tcPr>
            <w:tcW w:w="990" w:type="dxa"/>
          </w:tcPr>
          <w:p w14:paraId="42782FAD"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27.617</w:t>
            </w:r>
            <w:r w:rsidRPr="002663DF">
              <w:rPr>
                <w:rFonts w:ascii="Arial" w:hAnsi="Arial" w:cs="Arial"/>
                <w:sz w:val="20"/>
                <w:szCs w:val="20"/>
                <w:vertAlign w:val="superscript"/>
              </w:rPr>
              <w:t>a</w:t>
            </w:r>
          </w:p>
        </w:tc>
        <w:tc>
          <w:tcPr>
            <w:tcW w:w="990" w:type="dxa"/>
          </w:tcPr>
          <w:p w14:paraId="17C9C994"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42.103</w:t>
            </w:r>
            <w:r w:rsidRPr="002663DF">
              <w:rPr>
                <w:rFonts w:ascii="Arial" w:hAnsi="Arial" w:cs="Arial"/>
                <w:sz w:val="20"/>
                <w:szCs w:val="20"/>
                <w:vertAlign w:val="superscript"/>
              </w:rPr>
              <w:t>a</w:t>
            </w:r>
          </w:p>
        </w:tc>
        <w:tc>
          <w:tcPr>
            <w:tcW w:w="720" w:type="dxa"/>
          </w:tcPr>
          <w:p w14:paraId="3347026A"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5.45</w:t>
            </w:r>
            <w:r w:rsidRPr="002663DF">
              <w:rPr>
                <w:rFonts w:ascii="Arial" w:hAnsi="Arial" w:cs="Arial"/>
                <w:sz w:val="20"/>
                <w:szCs w:val="20"/>
                <w:vertAlign w:val="superscript"/>
              </w:rPr>
              <w:t>b</w:t>
            </w:r>
          </w:p>
        </w:tc>
        <w:tc>
          <w:tcPr>
            <w:tcW w:w="1080" w:type="dxa"/>
          </w:tcPr>
          <w:p w14:paraId="4634799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hAnsi="Arial" w:cs="Arial"/>
                <w:sz w:val="20"/>
                <w:szCs w:val="20"/>
              </w:rPr>
              <w:t>6.19</w:t>
            </w:r>
            <w:r w:rsidRPr="002663DF">
              <w:rPr>
                <w:rFonts w:ascii="Arial" w:hAnsi="Arial" w:cs="Arial"/>
                <w:sz w:val="20"/>
                <w:szCs w:val="20"/>
                <w:vertAlign w:val="superscript"/>
              </w:rPr>
              <w:t>b</w:t>
            </w:r>
          </w:p>
        </w:tc>
        <w:tc>
          <w:tcPr>
            <w:tcW w:w="810" w:type="dxa"/>
          </w:tcPr>
          <w:p w14:paraId="6628A071"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0.36</w:t>
            </w:r>
            <w:r w:rsidRPr="002663DF">
              <w:rPr>
                <w:rFonts w:ascii="Arial" w:eastAsiaTheme="minorHAnsi" w:hAnsi="Arial" w:cs="Arial"/>
                <w:sz w:val="20"/>
                <w:szCs w:val="20"/>
                <w:vertAlign w:val="superscript"/>
                <w:lang w:bidi="ar-SA"/>
              </w:rPr>
              <w:t>a</w:t>
            </w:r>
          </w:p>
        </w:tc>
        <w:tc>
          <w:tcPr>
            <w:tcW w:w="1170" w:type="dxa"/>
          </w:tcPr>
          <w:p w14:paraId="3F9FF70D"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vertAlign w:val="superscript"/>
              </w:rPr>
            </w:pPr>
            <w:r w:rsidRPr="002663DF">
              <w:rPr>
                <w:rFonts w:ascii="Arial" w:eastAsiaTheme="minorHAnsi" w:hAnsi="Arial" w:cs="Arial"/>
                <w:sz w:val="20"/>
                <w:szCs w:val="20"/>
                <w:lang w:bidi="ar-SA"/>
              </w:rPr>
              <w:t>40</w:t>
            </w:r>
            <w:r w:rsidRPr="002663DF">
              <w:rPr>
                <w:rFonts w:ascii="Arial" w:eastAsiaTheme="minorHAnsi" w:hAnsi="Arial" w:cs="Arial"/>
                <w:sz w:val="20"/>
                <w:szCs w:val="20"/>
                <w:vertAlign w:val="superscript"/>
                <w:lang w:bidi="ar-SA"/>
              </w:rPr>
              <w:t>ab</w:t>
            </w:r>
          </w:p>
        </w:tc>
      </w:tr>
      <w:tr w:rsidR="007C312D" w:rsidRPr="002663DF" w14:paraId="6337E9C9" w14:textId="77777777" w:rsidTr="00815FC8">
        <w:tc>
          <w:tcPr>
            <w:tcW w:w="1620" w:type="dxa"/>
          </w:tcPr>
          <w:p w14:paraId="796AE939"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LSD (0.05%)</w:t>
            </w:r>
          </w:p>
        </w:tc>
        <w:tc>
          <w:tcPr>
            <w:tcW w:w="900" w:type="dxa"/>
          </w:tcPr>
          <w:p w14:paraId="15821E87"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0.25</w:t>
            </w:r>
          </w:p>
        </w:tc>
        <w:tc>
          <w:tcPr>
            <w:tcW w:w="1080" w:type="dxa"/>
          </w:tcPr>
          <w:p w14:paraId="3BD9ED65"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NS</w:t>
            </w:r>
          </w:p>
        </w:tc>
        <w:tc>
          <w:tcPr>
            <w:tcW w:w="990" w:type="dxa"/>
          </w:tcPr>
          <w:p w14:paraId="3275190E"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NS</w:t>
            </w:r>
          </w:p>
        </w:tc>
        <w:tc>
          <w:tcPr>
            <w:tcW w:w="990" w:type="dxa"/>
          </w:tcPr>
          <w:p w14:paraId="514EEE00"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NS</w:t>
            </w:r>
          </w:p>
        </w:tc>
        <w:tc>
          <w:tcPr>
            <w:tcW w:w="720" w:type="dxa"/>
          </w:tcPr>
          <w:p w14:paraId="5C0D4D84"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0.31</w:t>
            </w:r>
          </w:p>
        </w:tc>
        <w:tc>
          <w:tcPr>
            <w:tcW w:w="1080" w:type="dxa"/>
          </w:tcPr>
          <w:p w14:paraId="0563A0CA"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1.1</w:t>
            </w:r>
          </w:p>
        </w:tc>
        <w:tc>
          <w:tcPr>
            <w:tcW w:w="810" w:type="dxa"/>
          </w:tcPr>
          <w:p w14:paraId="5A1C251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eastAsiaTheme="minorHAnsi" w:hAnsi="Arial" w:cs="Arial"/>
                <w:sz w:val="20"/>
                <w:szCs w:val="20"/>
                <w:lang w:bidi="ar-SA"/>
              </w:rPr>
              <w:t>0.07</w:t>
            </w:r>
          </w:p>
        </w:tc>
        <w:tc>
          <w:tcPr>
            <w:tcW w:w="1170" w:type="dxa"/>
          </w:tcPr>
          <w:p w14:paraId="04C70C84"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eastAsiaTheme="minorHAnsi" w:hAnsi="Arial" w:cs="Arial"/>
                <w:sz w:val="20"/>
                <w:szCs w:val="20"/>
                <w:lang w:bidi="ar-SA"/>
              </w:rPr>
              <w:t>9.4</w:t>
            </w:r>
          </w:p>
        </w:tc>
      </w:tr>
      <w:tr w:rsidR="007C312D" w:rsidRPr="002663DF" w14:paraId="35A1590C" w14:textId="77777777" w:rsidTr="00815FC8">
        <w:trPr>
          <w:trHeight w:val="503"/>
        </w:trPr>
        <w:tc>
          <w:tcPr>
            <w:tcW w:w="1620" w:type="dxa"/>
          </w:tcPr>
          <w:p w14:paraId="7310A8F2" w14:textId="77777777" w:rsidR="00DE728F" w:rsidRPr="002663DF" w:rsidRDefault="00DE728F"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CV (%)</w:t>
            </w:r>
          </w:p>
        </w:tc>
        <w:tc>
          <w:tcPr>
            <w:tcW w:w="900" w:type="dxa"/>
          </w:tcPr>
          <w:p w14:paraId="612E3F74"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12.46</w:t>
            </w:r>
          </w:p>
        </w:tc>
        <w:tc>
          <w:tcPr>
            <w:tcW w:w="1080" w:type="dxa"/>
          </w:tcPr>
          <w:p w14:paraId="46452293"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52.8</w:t>
            </w:r>
          </w:p>
        </w:tc>
        <w:tc>
          <w:tcPr>
            <w:tcW w:w="990" w:type="dxa"/>
          </w:tcPr>
          <w:p w14:paraId="654C4EA5"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23.6</w:t>
            </w:r>
          </w:p>
        </w:tc>
        <w:tc>
          <w:tcPr>
            <w:tcW w:w="990" w:type="dxa"/>
          </w:tcPr>
          <w:p w14:paraId="3B7209B3"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30.1</w:t>
            </w:r>
          </w:p>
        </w:tc>
        <w:tc>
          <w:tcPr>
            <w:tcW w:w="720" w:type="dxa"/>
          </w:tcPr>
          <w:p w14:paraId="20EAF83D"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6.84</w:t>
            </w:r>
          </w:p>
        </w:tc>
        <w:tc>
          <w:tcPr>
            <w:tcW w:w="1080" w:type="dxa"/>
          </w:tcPr>
          <w:p w14:paraId="7141F853"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17.99</w:t>
            </w:r>
          </w:p>
        </w:tc>
        <w:tc>
          <w:tcPr>
            <w:tcW w:w="810" w:type="dxa"/>
          </w:tcPr>
          <w:p w14:paraId="0AE082E3"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25.16</w:t>
            </w:r>
          </w:p>
        </w:tc>
        <w:tc>
          <w:tcPr>
            <w:tcW w:w="1170" w:type="dxa"/>
          </w:tcPr>
          <w:p w14:paraId="620A0652" w14:textId="77777777" w:rsidR="00DE728F" w:rsidRPr="002663DF" w:rsidRDefault="00214F4E" w:rsidP="00214F4E">
            <w:pPr>
              <w:tabs>
                <w:tab w:val="clear" w:pos="630"/>
              </w:tabs>
              <w:autoSpaceDE w:val="0"/>
              <w:autoSpaceDN w:val="0"/>
              <w:adjustRightInd w:val="0"/>
              <w:spacing w:line="240" w:lineRule="auto"/>
              <w:rPr>
                <w:rFonts w:ascii="Arial" w:hAnsi="Arial" w:cs="Arial"/>
                <w:sz w:val="20"/>
                <w:szCs w:val="20"/>
              </w:rPr>
            </w:pPr>
            <w:r w:rsidRPr="002663DF">
              <w:rPr>
                <w:rFonts w:ascii="Arial" w:hAnsi="Arial" w:cs="Arial"/>
                <w:sz w:val="20"/>
                <w:szCs w:val="20"/>
              </w:rPr>
              <w:t>28.58</w:t>
            </w:r>
          </w:p>
        </w:tc>
      </w:tr>
    </w:tbl>
    <w:p w14:paraId="09E1F25C" w14:textId="77777777" w:rsidR="002B2308" w:rsidRPr="001A4879" w:rsidRDefault="002B2308" w:rsidP="00ED1518">
      <w:pPr>
        <w:tabs>
          <w:tab w:val="clear" w:pos="630"/>
        </w:tabs>
        <w:autoSpaceDE w:val="0"/>
        <w:autoSpaceDN w:val="0"/>
        <w:adjustRightInd w:val="0"/>
        <w:spacing w:before="0" w:after="0" w:line="240" w:lineRule="auto"/>
        <w:rPr>
          <w:rFonts w:ascii="Arial" w:eastAsiaTheme="minorHAnsi" w:hAnsi="Arial" w:cs="Arial"/>
          <w:sz w:val="20"/>
          <w:lang w:bidi="ar-SA"/>
        </w:rPr>
      </w:pPr>
      <w:r w:rsidRPr="001A4879">
        <w:rPr>
          <w:rFonts w:ascii="Arial" w:eastAsiaTheme="minorHAnsi" w:hAnsi="Arial" w:cs="Arial"/>
          <w:sz w:val="20"/>
          <w:lang w:bidi="ar-SA"/>
        </w:rPr>
        <w:t>Means with different letters in a column are significantly different at P &lt; 0.05</w:t>
      </w:r>
    </w:p>
    <w:p w14:paraId="3C1B7476" w14:textId="77777777" w:rsidR="002B2308" w:rsidRPr="001A4879" w:rsidRDefault="002B2308" w:rsidP="00ED1518">
      <w:pPr>
        <w:tabs>
          <w:tab w:val="clear" w:pos="630"/>
        </w:tabs>
        <w:autoSpaceDE w:val="0"/>
        <w:autoSpaceDN w:val="0"/>
        <w:adjustRightInd w:val="0"/>
        <w:spacing w:before="0" w:after="0" w:line="240" w:lineRule="auto"/>
        <w:rPr>
          <w:rFonts w:ascii="Arial" w:eastAsiaTheme="minorHAnsi" w:hAnsi="Arial" w:cs="Arial"/>
          <w:sz w:val="20"/>
          <w:lang w:bidi="ar-SA"/>
        </w:rPr>
      </w:pPr>
      <w:r w:rsidRPr="001A4879">
        <w:rPr>
          <w:rFonts w:ascii="Arial" w:eastAsiaTheme="minorHAnsi" w:hAnsi="Arial" w:cs="Arial"/>
          <w:sz w:val="20"/>
          <w:lang w:bidi="ar-SA"/>
        </w:rPr>
        <w:t>BD = Bulk Density, Av.</w:t>
      </w:r>
      <w:r w:rsidR="00632A26" w:rsidRPr="001A4879">
        <w:rPr>
          <w:rFonts w:ascii="Arial" w:eastAsiaTheme="minorHAnsi" w:hAnsi="Arial" w:cs="Arial"/>
          <w:sz w:val="20"/>
          <w:lang w:bidi="ar-SA"/>
        </w:rPr>
        <w:t xml:space="preserve"> </w:t>
      </w:r>
      <w:r w:rsidRPr="001A4879">
        <w:rPr>
          <w:rFonts w:ascii="Arial" w:eastAsiaTheme="minorHAnsi" w:hAnsi="Arial" w:cs="Arial"/>
          <w:sz w:val="20"/>
          <w:lang w:bidi="ar-SA"/>
        </w:rPr>
        <w:t xml:space="preserve">P = Available </w:t>
      </w:r>
      <w:r w:rsidR="00632A26" w:rsidRPr="001A4879">
        <w:rPr>
          <w:rFonts w:ascii="Arial" w:eastAsiaTheme="minorHAnsi" w:hAnsi="Arial" w:cs="Arial"/>
          <w:sz w:val="20"/>
          <w:lang w:bidi="ar-SA"/>
        </w:rPr>
        <w:t>Phosphorus, TN</w:t>
      </w:r>
      <w:r w:rsidRPr="001A4879">
        <w:rPr>
          <w:rFonts w:ascii="Arial" w:eastAsiaTheme="minorHAnsi" w:hAnsi="Arial" w:cs="Arial"/>
          <w:sz w:val="20"/>
          <w:lang w:bidi="ar-SA"/>
        </w:rPr>
        <w:t xml:space="preserve"> = Total nitrogen, CEC = Cation Exchange Capacity</w:t>
      </w:r>
    </w:p>
    <w:p w14:paraId="044F9FD3" w14:textId="77777777" w:rsidR="00E657F1" w:rsidRPr="001A4879" w:rsidRDefault="00E657F1" w:rsidP="00ED1518">
      <w:pPr>
        <w:pStyle w:val="Heading2"/>
        <w:spacing w:before="240" w:after="120" w:line="240" w:lineRule="auto"/>
        <w:rPr>
          <w:rFonts w:ascii="Arial" w:eastAsiaTheme="minorHAnsi" w:hAnsi="Arial" w:cs="Arial"/>
          <w:sz w:val="24"/>
          <w:szCs w:val="24"/>
          <w:lang w:bidi="ar-SA"/>
        </w:rPr>
      </w:pPr>
      <w:bookmarkStart w:id="3" w:name="_Toc92319897"/>
      <w:r w:rsidRPr="001A4879">
        <w:rPr>
          <w:rFonts w:ascii="Arial" w:eastAsiaTheme="minorHAnsi" w:hAnsi="Arial" w:cs="Arial"/>
          <w:sz w:val="24"/>
          <w:szCs w:val="24"/>
          <w:lang w:bidi="ar-SA"/>
        </w:rPr>
        <w:t>Effect of Soil Depth on Selected Physicochemical Properties of Soils</w:t>
      </w:r>
      <w:bookmarkEnd w:id="3"/>
    </w:p>
    <w:p w14:paraId="7DB303AB" w14:textId="77777777" w:rsidR="00E657F1" w:rsidRPr="001A4879" w:rsidRDefault="00E657F1" w:rsidP="00ED1518">
      <w:pPr>
        <w:spacing w:line="240" w:lineRule="auto"/>
        <w:rPr>
          <w:rFonts w:ascii="Arial" w:hAnsi="Arial" w:cs="Arial"/>
        </w:rPr>
      </w:pPr>
      <w:r w:rsidRPr="001A4879">
        <w:rPr>
          <w:rFonts w:ascii="Arial" w:eastAsiaTheme="minorHAnsi" w:hAnsi="Arial" w:cs="Arial"/>
          <w:lang w:bidi="ar-SA"/>
        </w:rPr>
        <w:t>The results of statistical analysis revealed that bulk density was significantly influenced by different soil depth.</w:t>
      </w:r>
      <w:r w:rsidRPr="001A4879">
        <w:rPr>
          <w:rFonts w:ascii="Arial" w:hAnsi="Arial" w:cs="Arial"/>
        </w:rPr>
        <w:t xml:space="preserve"> Subsurface soil (20-40 cm) had significantly higher bulk density than surface soil (0-20 cm). Increased bulk density with depth </w:t>
      </w:r>
      <w:proofErr w:type="gramStart"/>
      <w:r w:rsidRPr="001A4879">
        <w:rPr>
          <w:rFonts w:ascii="Arial" w:hAnsi="Arial" w:cs="Arial"/>
        </w:rPr>
        <w:t>is in agreement</w:t>
      </w:r>
      <w:proofErr w:type="gramEnd"/>
      <w:r w:rsidRPr="001A4879">
        <w:rPr>
          <w:rFonts w:ascii="Arial" w:hAnsi="Arial" w:cs="Arial"/>
        </w:rPr>
        <w:t xml:space="preserve"> with the result of </w:t>
      </w:r>
      <w:r w:rsidR="00EA70EA" w:rsidRPr="001A4879">
        <w:rPr>
          <w:rFonts w:ascii="Arial" w:hAnsi="Arial" w:cs="Arial"/>
        </w:rPr>
        <w:t>Moges</w:t>
      </w:r>
      <w:r w:rsidRPr="001A4879">
        <w:rPr>
          <w:rFonts w:ascii="Arial" w:hAnsi="Arial" w:cs="Arial"/>
        </w:rPr>
        <w:t xml:space="preserve"> </w:t>
      </w:r>
      <w:r w:rsidRPr="001A4879">
        <w:rPr>
          <w:rFonts w:ascii="Arial" w:hAnsi="Arial" w:cs="Arial"/>
          <w:i/>
        </w:rPr>
        <w:t>et al</w:t>
      </w:r>
      <w:r w:rsidRPr="001A4879">
        <w:rPr>
          <w:rFonts w:ascii="Arial" w:hAnsi="Arial" w:cs="Arial"/>
        </w:rPr>
        <w:t xml:space="preserve">., (2013) which may be attributed to the weight of overlying soil. </w:t>
      </w:r>
      <w:r w:rsidR="004053E4" w:rsidRPr="001A4879">
        <w:rPr>
          <w:rFonts w:ascii="Arial" w:hAnsi="Arial" w:cs="Arial"/>
        </w:rPr>
        <w:t>Fetene</w:t>
      </w:r>
      <w:r w:rsidR="000174CA" w:rsidRPr="001A4879">
        <w:rPr>
          <w:rFonts w:ascii="Arial" w:hAnsi="Arial" w:cs="Arial"/>
        </w:rPr>
        <w:t xml:space="preserve"> and</w:t>
      </w:r>
      <w:r w:rsidRPr="001A4879">
        <w:rPr>
          <w:rFonts w:ascii="Arial" w:hAnsi="Arial" w:cs="Arial"/>
        </w:rPr>
        <w:t xml:space="preserve"> </w:t>
      </w:r>
      <w:r w:rsidR="004053E4" w:rsidRPr="001A4879">
        <w:rPr>
          <w:rFonts w:ascii="Arial" w:hAnsi="Arial" w:cs="Arial"/>
        </w:rPr>
        <w:t>Amera</w:t>
      </w:r>
      <w:r w:rsidRPr="001A4879">
        <w:rPr>
          <w:rFonts w:ascii="Arial" w:hAnsi="Arial" w:cs="Arial"/>
        </w:rPr>
        <w:t xml:space="preserve"> (2018) also reported a higher mean value at sub-surface soil. Lower BD at surface soil might be attributed to higher organic matter content at surface layer. Present study was coincided with </w:t>
      </w:r>
      <w:proofErr w:type="spellStart"/>
      <w:r w:rsidRPr="001A4879">
        <w:rPr>
          <w:rFonts w:ascii="Arial" w:hAnsi="Arial" w:cs="Arial"/>
        </w:rPr>
        <w:t>Terefe</w:t>
      </w:r>
      <w:proofErr w:type="spellEnd"/>
      <w:r w:rsidRPr="001A4879">
        <w:rPr>
          <w:rFonts w:ascii="Arial" w:hAnsi="Arial" w:cs="Arial"/>
        </w:rPr>
        <w:t xml:space="preserve"> and </w:t>
      </w:r>
      <w:proofErr w:type="spellStart"/>
      <w:r w:rsidRPr="001A4879">
        <w:rPr>
          <w:rFonts w:ascii="Arial" w:hAnsi="Arial" w:cs="Arial"/>
        </w:rPr>
        <w:t>Feyera</w:t>
      </w:r>
      <w:proofErr w:type="spellEnd"/>
      <w:r w:rsidRPr="001A4879">
        <w:rPr>
          <w:rFonts w:ascii="Arial" w:hAnsi="Arial" w:cs="Arial"/>
        </w:rPr>
        <w:t>, (2018) who found that bulk density was significantly influenced by soil depth.</w:t>
      </w:r>
    </w:p>
    <w:p w14:paraId="57A0A2CB" w14:textId="77777777" w:rsidR="00E657F1" w:rsidRPr="001A4879" w:rsidRDefault="00E657F1" w:rsidP="0023659B">
      <w:pPr>
        <w:tabs>
          <w:tab w:val="clear" w:pos="630"/>
        </w:tabs>
        <w:autoSpaceDE w:val="0"/>
        <w:autoSpaceDN w:val="0"/>
        <w:adjustRightInd w:val="0"/>
        <w:spacing w:line="240" w:lineRule="auto"/>
        <w:rPr>
          <w:rFonts w:ascii="Arial" w:eastAsiaTheme="minorHAnsi" w:hAnsi="Arial" w:cs="Arial"/>
          <w:lang w:bidi="ar-SA"/>
        </w:rPr>
      </w:pPr>
      <w:r w:rsidRPr="001A4879">
        <w:rPr>
          <w:rFonts w:ascii="Arial" w:eastAsiaTheme="minorHAnsi" w:hAnsi="Arial" w:cs="Arial"/>
          <w:lang w:bidi="ar-SA"/>
        </w:rPr>
        <w:t xml:space="preserve">The higher soil pH value was recorded at surface soil (0-20cm) than the sub-surface soil (20-40cm). This might be due to the presence of higher organic carbon in the surface layer. This result </w:t>
      </w:r>
      <w:proofErr w:type="gramStart"/>
      <w:r w:rsidRPr="001A4879">
        <w:rPr>
          <w:rFonts w:ascii="Arial" w:eastAsiaTheme="minorHAnsi" w:hAnsi="Arial" w:cs="Arial"/>
          <w:lang w:bidi="ar-SA"/>
        </w:rPr>
        <w:t>is in agreement</w:t>
      </w:r>
      <w:proofErr w:type="gramEnd"/>
      <w:r w:rsidRPr="001A4879">
        <w:rPr>
          <w:rFonts w:ascii="Arial" w:eastAsiaTheme="minorHAnsi" w:hAnsi="Arial" w:cs="Arial"/>
          <w:lang w:bidi="ar-SA"/>
        </w:rPr>
        <w:t xml:space="preserve"> with the result of </w:t>
      </w:r>
      <w:r w:rsidR="00EA70EA" w:rsidRPr="001A4879">
        <w:rPr>
          <w:rFonts w:ascii="Arial" w:eastAsiaTheme="minorHAnsi" w:hAnsi="Arial" w:cs="Arial"/>
          <w:lang w:bidi="ar-SA"/>
        </w:rPr>
        <w:t>Moges</w:t>
      </w:r>
      <w:r w:rsidRPr="001A4879">
        <w:rPr>
          <w:rFonts w:ascii="Arial" w:eastAsiaTheme="minorHAnsi" w:hAnsi="Arial" w:cs="Arial"/>
          <w:lang w:bidi="ar-SA"/>
        </w:rPr>
        <w:t xml:space="preserve"> </w:t>
      </w:r>
      <w:r w:rsidRPr="001A4879">
        <w:rPr>
          <w:rFonts w:ascii="Arial" w:eastAsiaTheme="minorHAnsi" w:hAnsi="Arial" w:cs="Arial"/>
          <w:i/>
          <w:lang w:bidi="ar-SA"/>
        </w:rPr>
        <w:t>et al</w:t>
      </w:r>
      <w:r w:rsidRPr="001A4879">
        <w:rPr>
          <w:rFonts w:ascii="Arial" w:eastAsiaTheme="minorHAnsi" w:hAnsi="Arial" w:cs="Arial"/>
          <w:lang w:bidi="ar-SA"/>
        </w:rPr>
        <w:t>., (2013) who reported higher soil pH at the surface layer which is attributed to higher organic carbon in the surface layer.</w:t>
      </w:r>
      <w:r w:rsidR="0023659B" w:rsidRPr="001A4879">
        <w:rPr>
          <w:rFonts w:ascii="Arial" w:eastAsiaTheme="minorHAnsi" w:hAnsi="Arial" w:cs="Arial"/>
          <w:lang w:bidi="ar-SA"/>
        </w:rPr>
        <w:t xml:space="preserve"> </w:t>
      </w:r>
      <w:r w:rsidRPr="001A4879">
        <w:rPr>
          <w:rFonts w:ascii="Arial" w:eastAsiaTheme="minorHAnsi" w:hAnsi="Arial" w:cs="Arial"/>
          <w:lang w:bidi="ar-SA"/>
        </w:rPr>
        <w:t xml:space="preserve">Soil depth significantly influenced available phosphorus. The higher mean value was recorded at surface soil (0-20 cm) than subsurface soil (20-40 cm) which could be due to the application of phosphorus-containing fertilizer. In line with this </w:t>
      </w:r>
      <w:proofErr w:type="spellStart"/>
      <w:r w:rsidR="00EA70EA" w:rsidRPr="001A4879">
        <w:rPr>
          <w:rFonts w:ascii="Arial" w:eastAsiaTheme="minorHAnsi" w:hAnsi="Arial" w:cs="Arial"/>
          <w:lang w:bidi="ar-SA"/>
        </w:rPr>
        <w:t>Girma</w:t>
      </w:r>
      <w:proofErr w:type="spellEnd"/>
      <w:r w:rsidRPr="001A4879">
        <w:rPr>
          <w:rFonts w:ascii="Arial" w:eastAsiaTheme="minorHAnsi" w:hAnsi="Arial" w:cs="Arial"/>
          <w:lang w:bidi="ar-SA"/>
        </w:rPr>
        <w:t xml:space="preserve">, (2020), </w:t>
      </w:r>
      <w:proofErr w:type="spellStart"/>
      <w:r w:rsidR="00EA70EA" w:rsidRPr="001A4879">
        <w:rPr>
          <w:rFonts w:ascii="Arial" w:eastAsiaTheme="minorHAnsi" w:hAnsi="Arial" w:cs="Arial"/>
          <w:lang w:bidi="ar-SA"/>
        </w:rPr>
        <w:t>Chemeda</w:t>
      </w:r>
      <w:proofErr w:type="spellEnd"/>
      <w:r w:rsidRPr="001A4879">
        <w:rPr>
          <w:rFonts w:ascii="Arial" w:eastAsiaTheme="minorHAnsi" w:hAnsi="Arial" w:cs="Arial"/>
          <w:lang w:bidi="ar-SA"/>
        </w:rPr>
        <w:t xml:space="preserve"> </w:t>
      </w:r>
      <w:r w:rsidRPr="001A4879">
        <w:rPr>
          <w:rFonts w:ascii="Arial" w:eastAsiaTheme="minorHAnsi" w:hAnsi="Arial" w:cs="Arial"/>
          <w:i/>
          <w:lang w:bidi="ar-SA"/>
        </w:rPr>
        <w:t>et al</w:t>
      </w:r>
      <w:r w:rsidRPr="001A4879">
        <w:rPr>
          <w:rFonts w:ascii="Arial" w:eastAsiaTheme="minorHAnsi" w:hAnsi="Arial" w:cs="Arial"/>
          <w:lang w:bidi="ar-SA"/>
        </w:rPr>
        <w:t>., (2017) reported higher available phosphorus in surface soil than sub-surface soil.</w:t>
      </w:r>
      <w:r w:rsidR="00281622" w:rsidRPr="001A4879">
        <w:rPr>
          <w:rFonts w:ascii="Arial" w:eastAsia="Calibri" w:hAnsi="Arial" w:cs="Arial"/>
        </w:rPr>
        <w:t xml:space="preserve"> </w:t>
      </w:r>
      <w:r w:rsidRPr="001A4879">
        <w:rPr>
          <w:rFonts w:ascii="Arial" w:eastAsiaTheme="minorHAnsi" w:hAnsi="Arial" w:cs="Arial"/>
          <w:lang w:bidi="ar-SA"/>
        </w:rPr>
        <w:t xml:space="preserve">Total nitrogen (TN) varied significantly by the influence of soil depth. Its content decreased with depth. This result coincided with the result of </w:t>
      </w:r>
      <w:r w:rsidR="00EA70EA" w:rsidRPr="001A4879">
        <w:rPr>
          <w:rFonts w:ascii="Arial" w:eastAsiaTheme="minorHAnsi" w:hAnsi="Arial" w:cs="Arial"/>
          <w:lang w:bidi="ar-SA"/>
        </w:rPr>
        <w:t>Beyene</w:t>
      </w:r>
      <w:r w:rsidRPr="001A4879">
        <w:rPr>
          <w:rFonts w:ascii="Arial" w:eastAsiaTheme="minorHAnsi" w:hAnsi="Arial" w:cs="Arial"/>
          <w:lang w:bidi="ar-SA"/>
        </w:rPr>
        <w:t xml:space="preserve"> (2017) who found that total nitrogen was decreased with soil depth which due to the concentration of most of the root activities and incorporation of organic materials in the surface layers. </w:t>
      </w:r>
    </w:p>
    <w:p w14:paraId="48922056" w14:textId="77777777" w:rsidR="00AA33EA" w:rsidRPr="001A4879" w:rsidRDefault="00E657F1" w:rsidP="00ED1518">
      <w:pPr>
        <w:tabs>
          <w:tab w:val="clear" w:pos="630"/>
        </w:tabs>
        <w:autoSpaceDE w:val="0"/>
        <w:autoSpaceDN w:val="0"/>
        <w:adjustRightInd w:val="0"/>
        <w:spacing w:line="240" w:lineRule="auto"/>
        <w:rPr>
          <w:rFonts w:ascii="Arial" w:hAnsi="Arial" w:cs="Arial"/>
        </w:rPr>
      </w:pPr>
      <w:r w:rsidRPr="001A4879">
        <w:rPr>
          <w:rFonts w:ascii="Arial" w:eastAsiaTheme="minorHAnsi" w:hAnsi="Arial" w:cs="Arial"/>
          <w:lang w:bidi="ar-SA"/>
        </w:rPr>
        <w:t>CEC was significantly (p &lt; 0.05) different by soil depth, CEC of the surface soil (</w:t>
      </w:r>
      <w:r w:rsidR="007C312D" w:rsidRPr="001A4879">
        <w:rPr>
          <w:rFonts w:ascii="Arial" w:hAnsi="Arial" w:cs="Arial"/>
        </w:rPr>
        <w:t xml:space="preserve">43.67 </w:t>
      </w:r>
      <w:proofErr w:type="spellStart"/>
      <w:r w:rsidRPr="001A4879">
        <w:rPr>
          <w:rFonts w:ascii="Arial" w:hAnsi="Arial" w:cs="Arial"/>
        </w:rPr>
        <w:t>cmol</w:t>
      </w:r>
      <w:proofErr w:type="spellEnd"/>
      <w:r w:rsidRPr="001A4879">
        <w:rPr>
          <w:rFonts w:ascii="Arial" w:hAnsi="Arial" w:cs="Arial"/>
          <w:vertAlign w:val="subscript"/>
        </w:rPr>
        <w:t>(</w:t>
      </w:r>
      <w:proofErr w:type="gramStart"/>
      <w:r w:rsidRPr="001A4879">
        <w:rPr>
          <w:rFonts w:ascii="Arial" w:hAnsi="Arial" w:cs="Arial"/>
          <w:vertAlign w:val="subscript"/>
        </w:rPr>
        <w:t>+)</w:t>
      </w:r>
      <w:r w:rsidRPr="001A4879">
        <w:rPr>
          <w:rFonts w:ascii="Arial" w:hAnsi="Arial" w:cs="Arial"/>
        </w:rPr>
        <w:t>Kg</w:t>
      </w:r>
      <w:proofErr w:type="gramEnd"/>
      <w:r w:rsidRPr="001A4879">
        <w:rPr>
          <w:rFonts w:ascii="Arial" w:hAnsi="Arial" w:cs="Arial"/>
          <w:vertAlign w:val="superscript"/>
        </w:rPr>
        <w:t>-1</w:t>
      </w:r>
      <w:r w:rsidRPr="001A4879">
        <w:rPr>
          <w:rFonts w:ascii="Arial" w:hAnsi="Arial" w:cs="Arial"/>
        </w:rPr>
        <w:t>) was higher than CEC of the sub-surface soil (</w:t>
      </w:r>
      <w:r w:rsidR="007C312D" w:rsidRPr="001A4879">
        <w:rPr>
          <w:rFonts w:ascii="Arial" w:hAnsi="Arial" w:cs="Arial"/>
        </w:rPr>
        <w:t xml:space="preserve">37.993 </w:t>
      </w:r>
      <w:proofErr w:type="spellStart"/>
      <w:r w:rsidRPr="001A4879">
        <w:rPr>
          <w:rFonts w:ascii="Arial" w:hAnsi="Arial" w:cs="Arial"/>
        </w:rPr>
        <w:t>cmol</w:t>
      </w:r>
      <w:proofErr w:type="spellEnd"/>
      <w:r w:rsidRPr="001A4879">
        <w:rPr>
          <w:rFonts w:ascii="Arial" w:hAnsi="Arial" w:cs="Arial"/>
          <w:vertAlign w:val="subscript"/>
        </w:rPr>
        <w:t>(+)</w:t>
      </w:r>
      <w:r w:rsidRPr="001A4879">
        <w:rPr>
          <w:rFonts w:ascii="Arial" w:hAnsi="Arial" w:cs="Arial"/>
        </w:rPr>
        <w:t>Kg</w:t>
      </w:r>
      <w:r w:rsidRPr="001A4879">
        <w:rPr>
          <w:rFonts w:ascii="Arial" w:hAnsi="Arial" w:cs="Arial"/>
          <w:vertAlign w:val="superscript"/>
        </w:rPr>
        <w:t>-1</w:t>
      </w:r>
      <w:r w:rsidRPr="001A4879">
        <w:rPr>
          <w:rFonts w:ascii="Arial" w:hAnsi="Arial" w:cs="Arial"/>
        </w:rPr>
        <w:t>).</w:t>
      </w:r>
      <w:r w:rsidR="0023659B" w:rsidRPr="001A4879">
        <w:rPr>
          <w:rFonts w:ascii="Arial" w:hAnsi="Arial" w:cs="Arial"/>
        </w:rPr>
        <w:t xml:space="preserve"> This finding </w:t>
      </w:r>
      <w:proofErr w:type="gramStart"/>
      <w:r w:rsidR="0023659B" w:rsidRPr="001A4879">
        <w:rPr>
          <w:rFonts w:ascii="Arial" w:hAnsi="Arial" w:cs="Arial"/>
        </w:rPr>
        <w:t>are</w:t>
      </w:r>
      <w:proofErr w:type="gramEnd"/>
      <w:r w:rsidR="0023659B" w:rsidRPr="001A4879">
        <w:rPr>
          <w:rFonts w:ascii="Arial" w:hAnsi="Arial" w:cs="Arial"/>
        </w:rPr>
        <w:t xml:space="preserve"> in agreement with Eyayu and Mamo, (2018) who reported lower CEC values in subsoil (20-40 cm) than surface soil (0-20 cm).</w:t>
      </w:r>
      <w:r w:rsidRPr="001A4879">
        <w:rPr>
          <w:rFonts w:ascii="Arial" w:hAnsi="Arial" w:cs="Arial"/>
        </w:rPr>
        <w:t xml:space="preserve"> The higher CEC value in surface soil might be due to the </w:t>
      </w:r>
      <w:r w:rsidR="0023659B" w:rsidRPr="001A4879">
        <w:rPr>
          <w:rFonts w:ascii="Arial" w:hAnsi="Arial" w:cs="Arial"/>
        </w:rPr>
        <w:t>more accumulation of organic</w:t>
      </w:r>
      <w:r w:rsidRPr="001A4879">
        <w:rPr>
          <w:rFonts w:ascii="Arial" w:hAnsi="Arial" w:cs="Arial"/>
        </w:rPr>
        <w:t xml:space="preserve"> matter </w:t>
      </w:r>
      <w:r w:rsidR="0023659B" w:rsidRPr="001A4879">
        <w:rPr>
          <w:rFonts w:ascii="Arial" w:hAnsi="Arial" w:cs="Arial"/>
        </w:rPr>
        <w:t>in surface soil</w:t>
      </w:r>
      <w:r w:rsidRPr="001A4879">
        <w:rPr>
          <w:rFonts w:ascii="Arial" w:hAnsi="Arial" w:cs="Arial"/>
        </w:rPr>
        <w:t>.</w:t>
      </w:r>
      <w:bookmarkStart w:id="4" w:name="_Toc92320488"/>
    </w:p>
    <w:p w14:paraId="28EF4DDF" w14:textId="77777777" w:rsidR="00330355" w:rsidRPr="001A4879" w:rsidRDefault="00E657F1" w:rsidP="00ED1518">
      <w:pPr>
        <w:tabs>
          <w:tab w:val="clear" w:pos="630"/>
        </w:tabs>
        <w:autoSpaceDE w:val="0"/>
        <w:autoSpaceDN w:val="0"/>
        <w:adjustRightInd w:val="0"/>
        <w:spacing w:after="0" w:line="240" w:lineRule="auto"/>
        <w:rPr>
          <w:rFonts w:ascii="Arial" w:hAnsi="Arial" w:cs="Arial"/>
        </w:rPr>
      </w:pPr>
      <w:r w:rsidRPr="001A4879">
        <w:rPr>
          <w:rFonts w:ascii="Arial" w:hAnsi="Arial" w:cs="Arial"/>
        </w:rPr>
        <w:lastRenderedPageBreak/>
        <w:t xml:space="preserve">Table </w:t>
      </w:r>
      <w:r w:rsidR="00D93460" w:rsidRPr="001A4879">
        <w:rPr>
          <w:rFonts w:ascii="Arial" w:hAnsi="Arial" w:cs="Arial"/>
          <w:b/>
        </w:rPr>
        <w:t>2</w:t>
      </w:r>
      <w:r w:rsidRPr="001A4879">
        <w:rPr>
          <w:rFonts w:ascii="Arial" w:hAnsi="Arial" w:cs="Arial"/>
        </w:rPr>
        <w:t>: Selected soil properties as influenced by soil depth</w:t>
      </w:r>
      <w:bookmarkEnd w:id="4"/>
    </w:p>
    <w:tbl>
      <w:tblPr>
        <w:tblStyle w:val="TableGrid"/>
        <w:tblW w:w="9648" w:type="dxa"/>
        <w:tblLook w:val="04A0" w:firstRow="1" w:lastRow="0" w:firstColumn="1" w:lastColumn="0" w:noHBand="0" w:noVBand="1"/>
      </w:tblPr>
      <w:tblGrid>
        <w:gridCol w:w="1908"/>
        <w:gridCol w:w="990"/>
        <w:gridCol w:w="900"/>
        <w:gridCol w:w="900"/>
        <w:gridCol w:w="900"/>
        <w:gridCol w:w="900"/>
        <w:gridCol w:w="1080"/>
        <w:gridCol w:w="900"/>
        <w:gridCol w:w="1170"/>
      </w:tblGrid>
      <w:tr w:rsidR="007C312D" w:rsidRPr="002663DF" w14:paraId="240B440E" w14:textId="77777777" w:rsidTr="00B06970">
        <w:tc>
          <w:tcPr>
            <w:tcW w:w="1908" w:type="dxa"/>
          </w:tcPr>
          <w:p w14:paraId="7F8B3A8D"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Soil depth</w:t>
            </w:r>
          </w:p>
        </w:tc>
        <w:tc>
          <w:tcPr>
            <w:tcW w:w="990" w:type="dxa"/>
          </w:tcPr>
          <w:p w14:paraId="1B522B8F"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BD</w:t>
            </w:r>
            <w:r w:rsidR="00B06970" w:rsidRPr="002663DF">
              <w:rPr>
                <w:rFonts w:ascii="Arial" w:hAnsi="Arial" w:cs="Arial"/>
                <w:sz w:val="20"/>
              </w:rPr>
              <w:t xml:space="preserve"> (g/cm</w:t>
            </w:r>
            <w:r w:rsidR="00B06970" w:rsidRPr="002663DF">
              <w:rPr>
                <w:rFonts w:ascii="Arial" w:hAnsi="Arial" w:cs="Arial"/>
                <w:sz w:val="20"/>
                <w:vertAlign w:val="superscript"/>
              </w:rPr>
              <w:t>3</w:t>
            </w:r>
            <w:r w:rsidR="00B06970" w:rsidRPr="002663DF">
              <w:rPr>
                <w:rFonts w:ascii="Arial" w:hAnsi="Arial" w:cs="Arial"/>
                <w:sz w:val="20"/>
              </w:rPr>
              <w:t>)</w:t>
            </w:r>
          </w:p>
        </w:tc>
        <w:tc>
          <w:tcPr>
            <w:tcW w:w="900" w:type="dxa"/>
          </w:tcPr>
          <w:p w14:paraId="3A5DDC00"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Sand</w:t>
            </w:r>
            <w:r w:rsidR="00B06970" w:rsidRPr="002663DF">
              <w:rPr>
                <w:rFonts w:ascii="Arial" w:hAnsi="Arial" w:cs="Arial"/>
                <w:sz w:val="20"/>
              </w:rPr>
              <w:t xml:space="preserve"> (%)</w:t>
            </w:r>
          </w:p>
        </w:tc>
        <w:tc>
          <w:tcPr>
            <w:tcW w:w="900" w:type="dxa"/>
          </w:tcPr>
          <w:p w14:paraId="3DCDB7AE"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Silt</w:t>
            </w:r>
            <w:r w:rsidR="00B06970" w:rsidRPr="002663DF">
              <w:rPr>
                <w:rFonts w:ascii="Arial" w:hAnsi="Arial" w:cs="Arial"/>
                <w:sz w:val="20"/>
              </w:rPr>
              <w:t xml:space="preserve"> (%)</w:t>
            </w:r>
          </w:p>
        </w:tc>
        <w:tc>
          <w:tcPr>
            <w:tcW w:w="900" w:type="dxa"/>
          </w:tcPr>
          <w:p w14:paraId="180C5339"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Clay (%)</w:t>
            </w:r>
          </w:p>
        </w:tc>
        <w:tc>
          <w:tcPr>
            <w:tcW w:w="900" w:type="dxa"/>
          </w:tcPr>
          <w:p w14:paraId="2BE17059"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pH</w:t>
            </w:r>
          </w:p>
        </w:tc>
        <w:tc>
          <w:tcPr>
            <w:tcW w:w="1080" w:type="dxa"/>
          </w:tcPr>
          <w:p w14:paraId="029FDA7B"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Av. P (ppm)</w:t>
            </w:r>
          </w:p>
        </w:tc>
        <w:tc>
          <w:tcPr>
            <w:tcW w:w="900" w:type="dxa"/>
          </w:tcPr>
          <w:p w14:paraId="498D537C"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TN (%)</w:t>
            </w:r>
          </w:p>
        </w:tc>
        <w:tc>
          <w:tcPr>
            <w:tcW w:w="1170" w:type="dxa"/>
          </w:tcPr>
          <w:p w14:paraId="4DC89BBB"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CEC</w:t>
            </w:r>
            <w:r w:rsidR="00B06970" w:rsidRPr="002663DF">
              <w:rPr>
                <w:rFonts w:ascii="Arial" w:eastAsiaTheme="minorHAnsi" w:hAnsi="Arial" w:cs="Arial"/>
                <w:sz w:val="20"/>
                <w:lang w:bidi="ar-SA"/>
              </w:rPr>
              <w:t xml:space="preserve"> (</w:t>
            </w:r>
            <w:proofErr w:type="spellStart"/>
            <w:r w:rsidR="00B06970" w:rsidRPr="002663DF">
              <w:rPr>
                <w:rFonts w:ascii="Arial" w:eastAsiaTheme="minorHAnsi" w:hAnsi="Arial" w:cs="Arial"/>
                <w:sz w:val="20"/>
                <w:lang w:bidi="ar-SA"/>
              </w:rPr>
              <w:t>Cmol</w:t>
            </w:r>
            <w:proofErr w:type="spellEnd"/>
            <w:r w:rsidR="00B06970" w:rsidRPr="002663DF">
              <w:rPr>
                <w:rFonts w:ascii="Arial" w:eastAsiaTheme="minorHAnsi" w:hAnsi="Arial" w:cs="Arial"/>
                <w:sz w:val="20"/>
                <w:lang w:bidi="ar-SA"/>
              </w:rPr>
              <w:t xml:space="preserve"> (+) kg-1)</w:t>
            </w:r>
          </w:p>
        </w:tc>
      </w:tr>
      <w:tr w:rsidR="007C312D" w:rsidRPr="002663DF" w14:paraId="0F2629CC" w14:textId="77777777" w:rsidTr="00B06970">
        <w:trPr>
          <w:trHeight w:val="719"/>
        </w:trPr>
        <w:tc>
          <w:tcPr>
            <w:tcW w:w="1908" w:type="dxa"/>
          </w:tcPr>
          <w:p w14:paraId="5F3E8EDF"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0-20 cm</w:t>
            </w:r>
          </w:p>
        </w:tc>
        <w:tc>
          <w:tcPr>
            <w:tcW w:w="990" w:type="dxa"/>
          </w:tcPr>
          <w:p w14:paraId="7DFBED48"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1.05</w:t>
            </w:r>
            <w:r w:rsidRPr="002663DF">
              <w:rPr>
                <w:rFonts w:ascii="Arial" w:hAnsi="Arial" w:cs="Arial"/>
                <w:sz w:val="20"/>
                <w:vertAlign w:val="superscript"/>
              </w:rPr>
              <w:t>b</w:t>
            </w:r>
          </w:p>
        </w:tc>
        <w:tc>
          <w:tcPr>
            <w:tcW w:w="900" w:type="dxa"/>
          </w:tcPr>
          <w:p w14:paraId="44CACF0E"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28.8</w:t>
            </w:r>
            <w:r w:rsidRPr="002663DF">
              <w:rPr>
                <w:rFonts w:ascii="Arial" w:hAnsi="Arial" w:cs="Arial"/>
                <w:sz w:val="20"/>
                <w:vertAlign w:val="superscript"/>
              </w:rPr>
              <w:t>a</w:t>
            </w:r>
          </w:p>
        </w:tc>
        <w:tc>
          <w:tcPr>
            <w:tcW w:w="900" w:type="dxa"/>
          </w:tcPr>
          <w:p w14:paraId="33761524"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30.8</w:t>
            </w:r>
            <w:r w:rsidRPr="002663DF">
              <w:rPr>
                <w:rFonts w:ascii="Arial" w:hAnsi="Arial" w:cs="Arial"/>
                <w:sz w:val="20"/>
                <w:vertAlign w:val="superscript"/>
              </w:rPr>
              <w:t>a</w:t>
            </w:r>
          </w:p>
        </w:tc>
        <w:tc>
          <w:tcPr>
            <w:tcW w:w="900" w:type="dxa"/>
          </w:tcPr>
          <w:p w14:paraId="5415E3BD"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40.05</w:t>
            </w:r>
            <w:r w:rsidRPr="002663DF">
              <w:rPr>
                <w:rFonts w:ascii="Arial" w:hAnsi="Arial" w:cs="Arial"/>
                <w:sz w:val="20"/>
                <w:vertAlign w:val="superscript"/>
              </w:rPr>
              <w:t>a</w:t>
            </w:r>
          </w:p>
        </w:tc>
        <w:tc>
          <w:tcPr>
            <w:tcW w:w="900" w:type="dxa"/>
          </w:tcPr>
          <w:p w14:paraId="66CEA572"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5.67</w:t>
            </w:r>
            <w:r w:rsidRPr="002663DF">
              <w:rPr>
                <w:rFonts w:ascii="Arial" w:hAnsi="Arial" w:cs="Arial"/>
                <w:sz w:val="20"/>
                <w:vertAlign w:val="superscript"/>
              </w:rPr>
              <w:t>a</w:t>
            </w:r>
          </w:p>
        </w:tc>
        <w:tc>
          <w:tcPr>
            <w:tcW w:w="1080" w:type="dxa"/>
          </w:tcPr>
          <w:p w14:paraId="20ADF3D0"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8.07</w:t>
            </w:r>
            <w:r w:rsidRPr="002663DF">
              <w:rPr>
                <w:rFonts w:ascii="Arial" w:hAnsi="Arial" w:cs="Arial"/>
                <w:sz w:val="20"/>
                <w:vertAlign w:val="superscript"/>
              </w:rPr>
              <w:t>a</w:t>
            </w:r>
          </w:p>
        </w:tc>
        <w:tc>
          <w:tcPr>
            <w:tcW w:w="900" w:type="dxa"/>
          </w:tcPr>
          <w:p w14:paraId="4C6F2D88"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0.38</w:t>
            </w:r>
            <w:r w:rsidRPr="002663DF">
              <w:rPr>
                <w:rFonts w:ascii="Arial" w:hAnsi="Arial" w:cs="Arial"/>
                <w:sz w:val="20"/>
                <w:vertAlign w:val="superscript"/>
              </w:rPr>
              <w:t>a</w:t>
            </w:r>
          </w:p>
        </w:tc>
        <w:tc>
          <w:tcPr>
            <w:tcW w:w="1170" w:type="dxa"/>
          </w:tcPr>
          <w:p w14:paraId="6032925F"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eastAsiaTheme="minorHAnsi" w:hAnsi="Arial" w:cs="Arial"/>
                <w:sz w:val="20"/>
                <w:lang w:bidi="ar-SA"/>
              </w:rPr>
              <w:t>43.67</w:t>
            </w:r>
            <w:r w:rsidRPr="002663DF">
              <w:rPr>
                <w:rFonts w:ascii="Arial" w:eastAsiaTheme="minorHAnsi" w:hAnsi="Arial" w:cs="Arial"/>
                <w:sz w:val="20"/>
                <w:vertAlign w:val="superscript"/>
                <w:lang w:bidi="ar-SA"/>
              </w:rPr>
              <w:t>a</w:t>
            </w:r>
          </w:p>
        </w:tc>
      </w:tr>
      <w:tr w:rsidR="007C312D" w:rsidRPr="002663DF" w14:paraId="63180F6E" w14:textId="77777777" w:rsidTr="00B06970">
        <w:tc>
          <w:tcPr>
            <w:tcW w:w="1908" w:type="dxa"/>
          </w:tcPr>
          <w:p w14:paraId="461E1E12"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20-40 cm</w:t>
            </w:r>
          </w:p>
        </w:tc>
        <w:tc>
          <w:tcPr>
            <w:tcW w:w="990" w:type="dxa"/>
          </w:tcPr>
          <w:p w14:paraId="0C7483C4"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1.10</w:t>
            </w:r>
            <w:r w:rsidRPr="002663DF">
              <w:rPr>
                <w:rFonts w:ascii="Arial" w:hAnsi="Arial" w:cs="Arial"/>
                <w:sz w:val="20"/>
                <w:vertAlign w:val="superscript"/>
              </w:rPr>
              <w:t>a</w:t>
            </w:r>
          </w:p>
        </w:tc>
        <w:tc>
          <w:tcPr>
            <w:tcW w:w="900" w:type="dxa"/>
          </w:tcPr>
          <w:p w14:paraId="6CEFA6E7"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23.7</w:t>
            </w:r>
            <w:r w:rsidRPr="002663DF">
              <w:rPr>
                <w:rFonts w:ascii="Arial" w:hAnsi="Arial" w:cs="Arial"/>
                <w:sz w:val="20"/>
                <w:vertAlign w:val="superscript"/>
              </w:rPr>
              <w:t>a</w:t>
            </w:r>
          </w:p>
        </w:tc>
        <w:tc>
          <w:tcPr>
            <w:tcW w:w="900" w:type="dxa"/>
          </w:tcPr>
          <w:p w14:paraId="40E2EEAB"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29.3</w:t>
            </w:r>
            <w:r w:rsidRPr="002663DF">
              <w:rPr>
                <w:rFonts w:ascii="Arial" w:hAnsi="Arial" w:cs="Arial"/>
                <w:sz w:val="20"/>
                <w:vertAlign w:val="superscript"/>
              </w:rPr>
              <w:t>a</w:t>
            </w:r>
          </w:p>
        </w:tc>
        <w:tc>
          <w:tcPr>
            <w:tcW w:w="900" w:type="dxa"/>
          </w:tcPr>
          <w:p w14:paraId="5CEAEE9C"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46.97</w:t>
            </w:r>
            <w:r w:rsidRPr="002663DF">
              <w:rPr>
                <w:rFonts w:ascii="Arial" w:hAnsi="Arial" w:cs="Arial"/>
                <w:sz w:val="20"/>
                <w:vertAlign w:val="superscript"/>
              </w:rPr>
              <w:t>a</w:t>
            </w:r>
          </w:p>
        </w:tc>
        <w:tc>
          <w:tcPr>
            <w:tcW w:w="900" w:type="dxa"/>
          </w:tcPr>
          <w:p w14:paraId="3BD0C45E"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5.57</w:t>
            </w:r>
            <w:r w:rsidRPr="002663DF">
              <w:rPr>
                <w:rFonts w:ascii="Arial" w:hAnsi="Arial" w:cs="Arial"/>
                <w:sz w:val="20"/>
                <w:vertAlign w:val="superscript"/>
              </w:rPr>
              <w:t>a</w:t>
            </w:r>
          </w:p>
        </w:tc>
        <w:tc>
          <w:tcPr>
            <w:tcW w:w="1080" w:type="dxa"/>
          </w:tcPr>
          <w:p w14:paraId="530A20FD"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7.11</w:t>
            </w:r>
            <w:r w:rsidRPr="002663DF">
              <w:rPr>
                <w:rFonts w:ascii="Arial" w:hAnsi="Arial" w:cs="Arial"/>
                <w:sz w:val="20"/>
                <w:vertAlign w:val="superscript"/>
              </w:rPr>
              <w:t>b</w:t>
            </w:r>
          </w:p>
        </w:tc>
        <w:tc>
          <w:tcPr>
            <w:tcW w:w="900" w:type="dxa"/>
          </w:tcPr>
          <w:p w14:paraId="46A077C1"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hAnsi="Arial" w:cs="Arial"/>
                <w:sz w:val="20"/>
              </w:rPr>
              <w:t>0.32</w:t>
            </w:r>
            <w:r w:rsidRPr="002663DF">
              <w:rPr>
                <w:rFonts w:ascii="Arial" w:hAnsi="Arial" w:cs="Arial"/>
                <w:sz w:val="20"/>
                <w:vertAlign w:val="superscript"/>
              </w:rPr>
              <w:t>b</w:t>
            </w:r>
          </w:p>
        </w:tc>
        <w:tc>
          <w:tcPr>
            <w:tcW w:w="1170" w:type="dxa"/>
          </w:tcPr>
          <w:p w14:paraId="151F0BE5" w14:textId="77777777" w:rsidR="007C312D" w:rsidRPr="002663DF" w:rsidRDefault="007C312D" w:rsidP="00ED1518">
            <w:pPr>
              <w:tabs>
                <w:tab w:val="clear" w:pos="630"/>
              </w:tabs>
              <w:autoSpaceDE w:val="0"/>
              <w:autoSpaceDN w:val="0"/>
              <w:adjustRightInd w:val="0"/>
              <w:spacing w:line="240" w:lineRule="auto"/>
              <w:rPr>
                <w:rFonts w:ascii="Arial" w:hAnsi="Arial" w:cs="Arial"/>
                <w:sz w:val="20"/>
                <w:vertAlign w:val="superscript"/>
              </w:rPr>
            </w:pPr>
            <w:r w:rsidRPr="002663DF">
              <w:rPr>
                <w:rFonts w:ascii="Arial" w:eastAsiaTheme="minorHAnsi" w:hAnsi="Arial" w:cs="Arial"/>
                <w:sz w:val="20"/>
                <w:lang w:bidi="ar-SA"/>
              </w:rPr>
              <w:t>37.993</w:t>
            </w:r>
            <w:r w:rsidRPr="002663DF">
              <w:rPr>
                <w:rFonts w:ascii="Arial" w:eastAsiaTheme="minorHAnsi" w:hAnsi="Arial" w:cs="Arial"/>
                <w:sz w:val="20"/>
                <w:vertAlign w:val="superscript"/>
                <w:lang w:bidi="ar-SA"/>
              </w:rPr>
              <w:t>a</w:t>
            </w:r>
          </w:p>
        </w:tc>
      </w:tr>
      <w:tr w:rsidR="007C312D" w:rsidRPr="002663DF" w14:paraId="41FDB303" w14:textId="77777777" w:rsidTr="00B06970">
        <w:tc>
          <w:tcPr>
            <w:tcW w:w="1908" w:type="dxa"/>
          </w:tcPr>
          <w:p w14:paraId="2D14D47E"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LSD at 0.05%</w:t>
            </w:r>
          </w:p>
        </w:tc>
        <w:tc>
          <w:tcPr>
            <w:tcW w:w="990" w:type="dxa"/>
          </w:tcPr>
          <w:p w14:paraId="13289DF9"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0.02</w:t>
            </w:r>
          </w:p>
        </w:tc>
        <w:tc>
          <w:tcPr>
            <w:tcW w:w="900" w:type="dxa"/>
          </w:tcPr>
          <w:p w14:paraId="184115C7"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NS</w:t>
            </w:r>
          </w:p>
        </w:tc>
        <w:tc>
          <w:tcPr>
            <w:tcW w:w="900" w:type="dxa"/>
          </w:tcPr>
          <w:p w14:paraId="13ED2F3D"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NS</w:t>
            </w:r>
          </w:p>
        </w:tc>
        <w:tc>
          <w:tcPr>
            <w:tcW w:w="900" w:type="dxa"/>
          </w:tcPr>
          <w:p w14:paraId="0D39F6A1"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NS</w:t>
            </w:r>
          </w:p>
        </w:tc>
        <w:tc>
          <w:tcPr>
            <w:tcW w:w="900" w:type="dxa"/>
          </w:tcPr>
          <w:p w14:paraId="03B72C33"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NS</w:t>
            </w:r>
          </w:p>
        </w:tc>
        <w:tc>
          <w:tcPr>
            <w:tcW w:w="1080" w:type="dxa"/>
          </w:tcPr>
          <w:p w14:paraId="25274C5D"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hAnsi="Arial" w:cs="Arial"/>
                <w:sz w:val="20"/>
              </w:rPr>
              <w:t>0.74</w:t>
            </w:r>
          </w:p>
        </w:tc>
        <w:tc>
          <w:tcPr>
            <w:tcW w:w="900" w:type="dxa"/>
          </w:tcPr>
          <w:p w14:paraId="6FA94939" w14:textId="77777777" w:rsidR="007C312D" w:rsidRPr="002663DF" w:rsidRDefault="007C312D" w:rsidP="00ED1518">
            <w:pPr>
              <w:tabs>
                <w:tab w:val="clear" w:pos="630"/>
              </w:tabs>
              <w:autoSpaceDE w:val="0"/>
              <w:autoSpaceDN w:val="0"/>
              <w:adjustRightInd w:val="0"/>
              <w:spacing w:line="240" w:lineRule="auto"/>
              <w:rPr>
                <w:rFonts w:ascii="Arial" w:hAnsi="Arial" w:cs="Arial"/>
                <w:sz w:val="20"/>
              </w:rPr>
            </w:pPr>
            <w:r w:rsidRPr="002663DF">
              <w:rPr>
                <w:rFonts w:ascii="Arial" w:eastAsiaTheme="minorHAnsi" w:hAnsi="Arial" w:cs="Arial"/>
                <w:sz w:val="20"/>
                <w:lang w:bidi="ar-SA"/>
              </w:rPr>
              <w:t>0.0479</w:t>
            </w:r>
          </w:p>
        </w:tc>
        <w:tc>
          <w:tcPr>
            <w:tcW w:w="1170" w:type="dxa"/>
          </w:tcPr>
          <w:p w14:paraId="4C6B0DD0" w14:textId="77777777" w:rsidR="007C312D" w:rsidRPr="002663DF" w:rsidRDefault="007C312D" w:rsidP="00ED1518">
            <w:pPr>
              <w:tabs>
                <w:tab w:val="clear" w:pos="630"/>
                <w:tab w:val="left" w:pos="2160"/>
                <w:tab w:val="left" w:pos="3360"/>
                <w:tab w:val="left" w:pos="7080"/>
              </w:tabs>
              <w:autoSpaceDE w:val="0"/>
              <w:autoSpaceDN w:val="0"/>
              <w:adjustRightInd w:val="0"/>
              <w:spacing w:line="240" w:lineRule="auto"/>
              <w:jc w:val="left"/>
              <w:rPr>
                <w:rFonts w:ascii="Arial" w:eastAsiaTheme="minorHAnsi" w:hAnsi="Arial" w:cs="Arial"/>
                <w:sz w:val="20"/>
                <w:lang w:bidi="ar-SA"/>
              </w:rPr>
            </w:pPr>
            <w:r w:rsidRPr="002663DF">
              <w:rPr>
                <w:rFonts w:ascii="Arial" w:eastAsiaTheme="minorHAnsi" w:hAnsi="Arial" w:cs="Arial"/>
                <w:sz w:val="20"/>
                <w:lang w:bidi="ar-SA"/>
              </w:rPr>
              <w:t>NS</w:t>
            </w:r>
          </w:p>
        </w:tc>
      </w:tr>
    </w:tbl>
    <w:p w14:paraId="3CC95ABF" w14:textId="77777777" w:rsidR="00E657F1" w:rsidRPr="001A4879" w:rsidRDefault="00E657F1" w:rsidP="00ED1518">
      <w:pPr>
        <w:tabs>
          <w:tab w:val="clear" w:pos="630"/>
        </w:tabs>
        <w:autoSpaceDE w:val="0"/>
        <w:autoSpaceDN w:val="0"/>
        <w:adjustRightInd w:val="0"/>
        <w:spacing w:before="0" w:after="0" w:line="240" w:lineRule="auto"/>
        <w:rPr>
          <w:rFonts w:ascii="Arial" w:eastAsiaTheme="minorHAnsi" w:hAnsi="Arial" w:cs="Arial"/>
          <w:sz w:val="20"/>
          <w:lang w:bidi="ar-SA"/>
        </w:rPr>
      </w:pPr>
      <w:r w:rsidRPr="001A4879">
        <w:rPr>
          <w:rFonts w:ascii="Arial" w:eastAsiaTheme="minorHAnsi" w:hAnsi="Arial" w:cs="Arial"/>
          <w:sz w:val="20"/>
          <w:lang w:bidi="ar-SA"/>
        </w:rPr>
        <w:t>Means with different letters in a column are significantly different at P &lt; 0.05.</w:t>
      </w:r>
    </w:p>
    <w:p w14:paraId="13AB375E" w14:textId="77777777" w:rsidR="00E657F1" w:rsidRPr="001A4879" w:rsidRDefault="00925B04" w:rsidP="00ED1518">
      <w:pPr>
        <w:tabs>
          <w:tab w:val="clear" w:pos="630"/>
        </w:tabs>
        <w:autoSpaceDE w:val="0"/>
        <w:autoSpaceDN w:val="0"/>
        <w:adjustRightInd w:val="0"/>
        <w:spacing w:before="0" w:after="0" w:line="240" w:lineRule="auto"/>
        <w:rPr>
          <w:rFonts w:ascii="Arial" w:eastAsiaTheme="minorHAnsi" w:hAnsi="Arial" w:cs="Arial"/>
          <w:sz w:val="20"/>
          <w:lang w:bidi="ar-SA"/>
        </w:rPr>
      </w:pPr>
      <w:r w:rsidRPr="001A4879">
        <w:rPr>
          <w:rFonts w:ascii="Arial" w:eastAsiaTheme="minorHAnsi" w:hAnsi="Arial" w:cs="Arial"/>
          <w:sz w:val="20"/>
          <w:lang w:bidi="ar-SA"/>
        </w:rPr>
        <w:t xml:space="preserve">BD= Bulk density, </w:t>
      </w:r>
      <w:r w:rsidR="00E657F1" w:rsidRPr="001A4879">
        <w:rPr>
          <w:rFonts w:ascii="Arial" w:eastAsiaTheme="minorHAnsi" w:hAnsi="Arial" w:cs="Arial"/>
          <w:sz w:val="20"/>
          <w:lang w:bidi="ar-SA"/>
        </w:rPr>
        <w:t xml:space="preserve">TN = Total Nitrogen, </w:t>
      </w:r>
      <w:proofErr w:type="spellStart"/>
      <w:proofErr w:type="gramStart"/>
      <w:r w:rsidR="00E657F1" w:rsidRPr="001A4879">
        <w:rPr>
          <w:rFonts w:ascii="Arial" w:eastAsiaTheme="minorHAnsi" w:hAnsi="Arial" w:cs="Arial"/>
          <w:sz w:val="20"/>
          <w:lang w:bidi="ar-SA"/>
        </w:rPr>
        <w:t>Av.P</w:t>
      </w:r>
      <w:proofErr w:type="spellEnd"/>
      <w:proofErr w:type="gramEnd"/>
      <w:r w:rsidR="00E657F1" w:rsidRPr="001A4879">
        <w:rPr>
          <w:rFonts w:ascii="Arial" w:eastAsiaTheme="minorHAnsi" w:hAnsi="Arial" w:cs="Arial"/>
          <w:sz w:val="20"/>
          <w:lang w:bidi="ar-SA"/>
        </w:rPr>
        <w:t xml:space="preserve"> = Available Phosphorus, CEC = Cation Exchange Capacity</w:t>
      </w:r>
    </w:p>
    <w:p w14:paraId="2A77CCCB" w14:textId="77777777" w:rsidR="00AB7155" w:rsidRPr="001A4879" w:rsidRDefault="00CE3FD3" w:rsidP="00ED1518">
      <w:pPr>
        <w:spacing w:line="240" w:lineRule="auto"/>
        <w:rPr>
          <w:rFonts w:ascii="Arial" w:hAnsi="Arial" w:cs="Arial"/>
          <w:b/>
        </w:rPr>
      </w:pPr>
      <w:r w:rsidRPr="001A4879">
        <w:rPr>
          <w:rFonts w:ascii="Arial" w:hAnsi="Arial" w:cs="Arial"/>
          <w:b/>
        </w:rPr>
        <w:t>CONCLUSION</w:t>
      </w:r>
    </w:p>
    <w:p w14:paraId="50F851B3" w14:textId="77777777" w:rsidR="00AB7155" w:rsidRPr="001A4879" w:rsidRDefault="00AB7155" w:rsidP="00ED1518">
      <w:pPr>
        <w:spacing w:line="240" w:lineRule="auto"/>
        <w:rPr>
          <w:rFonts w:ascii="Arial" w:hAnsi="Arial" w:cs="Arial"/>
          <w:b/>
        </w:rPr>
      </w:pPr>
      <w:r w:rsidRPr="001A4879">
        <w:rPr>
          <w:rFonts w:ascii="Arial" w:hAnsi="Arial" w:cs="Arial"/>
          <w:color w:val="1F243C"/>
          <w:shd w:val="clear" w:color="auto" w:fill="FFFFFF"/>
        </w:rPr>
        <w:t xml:space="preserve">The findings suggest that soil characteristics </w:t>
      </w:r>
      <w:r w:rsidR="00B54ABB" w:rsidRPr="001A4879">
        <w:rPr>
          <w:rFonts w:ascii="Arial" w:hAnsi="Arial" w:cs="Arial"/>
          <w:color w:val="1F243C"/>
          <w:shd w:val="clear" w:color="auto" w:fill="FFFFFF"/>
        </w:rPr>
        <w:t>such as soil pH</w:t>
      </w:r>
      <w:r w:rsidR="003C56FE" w:rsidRPr="001A4879">
        <w:rPr>
          <w:rFonts w:ascii="Arial" w:hAnsi="Arial" w:cs="Arial"/>
          <w:color w:val="1F243C"/>
          <w:shd w:val="clear" w:color="auto" w:fill="FFFFFF"/>
        </w:rPr>
        <w:t>, total</w:t>
      </w:r>
      <w:r w:rsidRPr="001A4879">
        <w:rPr>
          <w:rFonts w:ascii="Arial" w:hAnsi="Arial" w:cs="Arial"/>
          <w:color w:val="1F243C"/>
          <w:shd w:val="clear" w:color="auto" w:fill="FFFFFF"/>
        </w:rPr>
        <w:t xml:space="preserve"> nitrogen, available phosphorus, and cation exchange capacity (CEC) are superior in </w:t>
      </w:r>
      <w:proofErr w:type="spellStart"/>
      <w:r w:rsidR="003C56FE" w:rsidRPr="001A4879">
        <w:rPr>
          <w:rFonts w:ascii="Arial" w:hAnsi="Arial" w:cs="Arial"/>
          <w:color w:val="1F243C"/>
          <w:shd w:val="clear" w:color="auto" w:fill="FFFFFF"/>
        </w:rPr>
        <w:t>enset</w:t>
      </w:r>
      <w:proofErr w:type="spellEnd"/>
      <w:r w:rsidR="003C56FE" w:rsidRPr="001A4879">
        <w:rPr>
          <w:rFonts w:ascii="Arial" w:hAnsi="Arial" w:cs="Arial"/>
          <w:color w:val="1F243C"/>
          <w:shd w:val="clear" w:color="auto" w:fill="FFFFFF"/>
        </w:rPr>
        <w:t xml:space="preserve"> land uses </w:t>
      </w:r>
      <w:r w:rsidRPr="001A4879">
        <w:rPr>
          <w:rFonts w:ascii="Arial" w:hAnsi="Arial" w:cs="Arial"/>
          <w:color w:val="1F243C"/>
          <w:shd w:val="clear" w:color="auto" w:fill="FFFFFF"/>
        </w:rPr>
        <w:t>compared to cultivated soils regarding soil fertility indicators. This implies that the conversion of natural forests into agricultural land reduces soil quality</w:t>
      </w:r>
      <w:r w:rsidR="00CB48CD" w:rsidRPr="001A4879">
        <w:rPr>
          <w:rFonts w:ascii="Arial" w:hAnsi="Arial" w:cs="Arial"/>
          <w:color w:val="1F243C"/>
          <w:shd w:val="clear" w:color="auto" w:fill="FFFFFF"/>
        </w:rPr>
        <w:t xml:space="preserve"> while </w:t>
      </w:r>
      <w:proofErr w:type="spellStart"/>
      <w:r w:rsidR="00CB48CD" w:rsidRPr="001A4879">
        <w:rPr>
          <w:rFonts w:ascii="Arial" w:hAnsi="Arial" w:cs="Arial"/>
          <w:color w:val="1F243C"/>
          <w:shd w:val="clear" w:color="auto" w:fill="FFFFFF"/>
        </w:rPr>
        <w:t>enset</w:t>
      </w:r>
      <w:proofErr w:type="spellEnd"/>
      <w:r w:rsidR="00CB48CD" w:rsidRPr="001A4879">
        <w:rPr>
          <w:rFonts w:ascii="Arial" w:hAnsi="Arial" w:cs="Arial"/>
          <w:color w:val="1F243C"/>
          <w:shd w:val="clear" w:color="auto" w:fill="FFFFFF"/>
        </w:rPr>
        <w:t xml:space="preserve"> land improves soil quality</w:t>
      </w:r>
      <w:r w:rsidRPr="001A4879">
        <w:rPr>
          <w:rFonts w:ascii="Arial" w:hAnsi="Arial" w:cs="Arial"/>
          <w:color w:val="1F243C"/>
          <w:shd w:val="clear" w:color="auto" w:fill="FFFFFF"/>
        </w:rPr>
        <w:t xml:space="preserve">. It suggests that cultivated soils struggle to maintain their fertility compared to </w:t>
      </w:r>
      <w:proofErr w:type="spellStart"/>
      <w:r w:rsidR="00CB48CD" w:rsidRPr="001A4879">
        <w:rPr>
          <w:rFonts w:ascii="Arial" w:hAnsi="Arial" w:cs="Arial"/>
          <w:color w:val="1F243C"/>
          <w:shd w:val="clear" w:color="auto" w:fill="FFFFFF"/>
        </w:rPr>
        <w:t>enset</w:t>
      </w:r>
      <w:proofErr w:type="spellEnd"/>
      <w:r w:rsidRPr="001A4879">
        <w:rPr>
          <w:rFonts w:ascii="Arial" w:hAnsi="Arial" w:cs="Arial"/>
          <w:color w:val="1F243C"/>
          <w:shd w:val="clear" w:color="auto" w:fill="FFFFFF"/>
        </w:rPr>
        <w:t xml:space="preserve"> and forest soils due to the effects of continuous tillage.</w:t>
      </w:r>
    </w:p>
    <w:p w14:paraId="61632494" w14:textId="77777777" w:rsidR="00AB7155" w:rsidRPr="001A4879" w:rsidRDefault="00AB7155" w:rsidP="00ED1518">
      <w:pPr>
        <w:spacing w:line="240" w:lineRule="auto"/>
        <w:rPr>
          <w:rFonts w:ascii="Arial" w:hAnsi="Arial" w:cs="Arial"/>
          <w:color w:val="1F243C"/>
          <w:shd w:val="clear" w:color="auto" w:fill="FFFFFF"/>
        </w:rPr>
      </w:pPr>
      <w:r w:rsidRPr="001A4879">
        <w:rPr>
          <w:rFonts w:ascii="Arial" w:hAnsi="Arial" w:cs="Arial"/>
          <w:color w:val="1F243C"/>
          <w:shd w:val="clear" w:color="auto" w:fill="FFFFFF"/>
        </w:rPr>
        <w:t xml:space="preserve">The general condition of the soil beneath cultivated land is declining and becoming less healthy in comparison to the soils found in </w:t>
      </w:r>
      <w:proofErr w:type="spellStart"/>
      <w:r w:rsidR="00CB48CD" w:rsidRPr="001A4879">
        <w:rPr>
          <w:rFonts w:ascii="Arial" w:hAnsi="Arial" w:cs="Arial"/>
          <w:color w:val="1F243C"/>
          <w:shd w:val="clear" w:color="auto" w:fill="FFFFFF"/>
        </w:rPr>
        <w:t>enset</w:t>
      </w:r>
      <w:proofErr w:type="spellEnd"/>
      <w:r w:rsidRPr="001A4879">
        <w:rPr>
          <w:rFonts w:ascii="Arial" w:hAnsi="Arial" w:cs="Arial"/>
          <w:color w:val="1F243C"/>
          <w:shd w:val="clear" w:color="auto" w:fill="FFFFFF"/>
        </w:rPr>
        <w:t xml:space="preserve"> and </w:t>
      </w:r>
      <w:r w:rsidR="00CB48CD" w:rsidRPr="001A4879">
        <w:rPr>
          <w:rFonts w:ascii="Arial" w:hAnsi="Arial" w:cs="Arial"/>
          <w:color w:val="1F243C"/>
          <w:shd w:val="clear" w:color="auto" w:fill="FFFFFF"/>
        </w:rPr>
        <w:t>forest</w:t>
      </w:r>
      <w:r w:rsidRPr="001A4879">
        <w:rPr>
          <w:rFonts w:ascii="Arial" w:hAnsi="Arial" w:cs="Arial"/>
          <w:color w:val="1F243C"/>
          <w:shd w:val="clear" w:color="auto" w:fill="FFFFFF"/>
        </w:rPr>
        <w:t xml:space="preserve"> areas.</w:t>
      </w:r>
      <w:r w:rsidR="00C15AEE" w:rsidRPr="001A4879">
        <w:rPr>
          <w:rFonts w:ascii="Arial" w:hAnsi="Arial" w:cs="Arial"/>
          <w:color w:val="1F243C"/>
          <w:shd w:val="clear" w:color="auto" w:fill="FFFFFF"/>
        </w:rPr>
        <w:t xml:space="preserve"> </w:t>
      </w:r>
      <w:r w:rsidR="003C56FE" w:rsidRPr="001A4879">
        <w:rPr>
          <w:rFonts w:ascii="Arial" w:hAnsi="Arial" w:cs="Arial"/>
          <w:color w:val="1F243C"/>
          <w:shd w:val="clear" w:color="auto" w:fill="FFFFFF"/>
        </w:rPr>
        <w:t>In</w:t>
      </w:r>
      <w:r w:rsidR="00BF078B" w:rsidRPr="001A4879">
        <w:rPr>
          <w:rFonts w:ascii="Arial" w:hAnsi="Arial" w:cs="Arial"/>
          <w:color w:val="1F243C"/>
          <w:shd w:val="clear" w:color="auto" w:fill="FFFFFF"/>
        </w:rPr>
        <w:t xml:space="preserve"> most of the soil properties assessed, the land under </w:t>
      </w:r>
      <w:proofErr w:type="spellStart"/>
      <w:r w:rsidR="00BF078B" w:rsidRPr="001A4879">
        <w:rPr>
          <w:rFonts w:ascii="Arial" w:hAnsi="Arial" w:cs="Arial"/>
          <w:color w:val="1F243C"/>
          <w:shd w:val="clear" w:color="auto" w:fill="FFFFFF"/>
        </w:rPr>
        <w:t>enset</w:t>
      </w:r>
      <w:proofErr w:type="spellEnd"/>
      <w:r w:rsidR="00BF078B" w:rsidRPr="001A4879">
        <w:rPr>
          <w:rFonts w:ascii="Arial" w:hAnsi="Arial" w:cs="Arial"/>
          <w:color w:val="1F243C"/>
          <w:shd w:val="clear" w:color="auto" w:fill="FFFFFF"/>
        </w:rPr>
        <w:t xml:space="preserve"> resulted in better quality as compared to cultivated and forest lands. </w:t>
      </w:r>
      <w:r w:rsidRPr="001A4879">
        <w:rPr>
          <w:rFonts w:ascii="Arial" w:hAnsi="Arial" w:cs="Arial"/>
          <w:color w:val="1F243C"/>
          <w:shd w:val="clear" w:color="auto" w:fill="FFFFFF"/>
        </w:rPr>
        <w:t xml:space="preserve"> The alterations in soil characteristics affect not only the surface layer but also the subsurface layers.</w:t>
      </w:r>
      <w:r w:rsidR="00B06970" w:rsidRPr="001A4879">
        <w:rPr>
          <w:rFonts w:ascii="Arial" w:hAnsi="Arial" w:cs="Arial"/>
          <w:color w:val="1F243C"/>
          <w:shd w:val="clear" w:color="auto" w:fill="FFFFFF"/>
        </w:rPr>
        <w:t xml:space="preserve"> Except clay content and bulk density, other all measured parameters were higher at surface layer.</w:t>
      </w:r>
      <w:r w:rsidRPr="001A4879">
        <w:rPr>
          <w:rFonts w:ascii="Arial" w:hAnsi="Arial" w:cs="Arial"/>
          <w:color w:val="1F243C"/>
          <w:shd w:val="clear" w:color="auto" w:fill="FFFFFF"/>
        </w:rPr>
        <w:t xml:space="preserve"> To restore the </w:t>
      </w:r>
      <w:r w:rsidR="00BF078B" w:rsidRPr="001A4879">
        <w:rPr>
          <w:rFonts w:ascii="Arial" w:hAnsi="Arial" w:cs="Arial"/>
          <w:color w:val="1F243C"/>
          <w:shd w:val="clear" w:color="auto" w:fill="FFFFFF"/>
        </w:rPr>
        <w:t>lower</w:t>
      </w:r>
      <w:r w:rsidRPr="001A4879">
        <w:rPr>
          <w:rFonts w:ascii="Arial" w:hAnsi="Arial" w:cs="Arial"/>
          <w:color w:val="1F243C"/>
          <w:shd w:val="clear" w:color="auto" w:fill="FFFFFF"/>
        </w:rPr>
        <w:t xml:space="preserve"> soil</w:t>
      </w:r>
      <w:r w:rsidR="00BF078B" w:rsidRPr="001A4879">
        <w:rPr>
          <w:rFonts w:ascii="Arial" w:hAnsi="Arial" w:cs="Arial"/>
          <w:color w:val="1F243C"/>
          <w:shd w:val="clear" w:color="auto" w:fill="FFFFFF"/>
        </w:rPr>
        <w:t xml:space="preserve"> quality in</w:t>
      </w:r>
      <w:r w:rsidRPr="001A4879">
        <w:rPr>
          <w:rFonts w:ascii="Arial" w:hAnsi="Arial" w:cs="Arial"/>
          <w:color w:val="1F243C"/>
          <w:shd w:val="clear" w:color="auto" w:fill="FFFFFF"/>
        </w:rPr>
        <w:t xml:space="preserve"> cultivated areas, it is recommended to implement integrated practices for improving soil fertility, such as using organic inputs, retaining crop residues after harvesting, and rotating cereal crops with legumes. Lastly, additional research focused on sustainable land management challenges within the study area is necessary.</w:t>
      </w:r>
    </w:p>
    <w:p w14:paraId="0D55690C" w14:textId="77777777" w:rsidR="002B0C34" w:rsidRDefault="002B0C34" w:rsidP="00ED1518">
      <w:pPr>
        <w:tabs>
          <w:tab w:val="clear" w:pos="630"/>
          <w:tab w:val="left" w:pos="1000"/>
        </w:tabs>
        <w:spacing w:line="240" w:lineRule="auto"/>
        <w:jc w:val="left"/>
        <w:rPr>
          <w:rFonts w:ascii="Arial" w:hAnsi="Arial" w:cs="Arial"/>
          <w:b/>
        </w:rPr>
      </w:pPr>
    </w:p>
    <w:p w14:paraId="535558C5" w14:textId="20D4588A" w:rsidR="00AB7155" w:rsidRPr="001A4879" w:rsidRDefault="00CE3FD3" w:rsidP="00ED1518">
      <w:pPr>
        <w:tabs>
          <w:tab w:val="clear" w:pos="630"/>
          <w:tab w:val="left" w:pos="1000"/>
        </w:tabs>
        <w:spacing w:line="240" w:lineRule="auto"/>
        <w:jc w:val="left"/>
        <w:rPr>
          <w:rFonts w:ascii="Arial" w:hAnsi="Arial" w:cs="Arial"/>
          <w:b/>
        </w:rPr>
      </w:pPr>
      <w:bookmarkStart w:id="5" w:name="_GoBack"/>
      <w:bookmarkEnd w:id="5"/>
      <w:r w:rsidRPr="001A4879">
        <w:rPr>
          <w:rFonts w:ascii="Arial" w:hAnsi="Arial" w:cs="Arial"/>
          <w:b/>
        </w:rPr>
        <w:t>REFERENCES</w:t>
      </w:r>
    </w:p>
    <w:p w14:paraId="0C3B56CF" w14:textId="77777777" w:rsidR="00B31019" w:rsidRPr="001A4879" w:rsidRDefault="00B31019" w:rsidP="001A4879">
      <w:pPr>
        <w:spacing w:line="240" w:lineRule="auto"/>
        <w:rPr>
          <w:rFonts w:ascii="Arial" w:hAnsi="Arial" w:cs="Arial"/>
        </w:rPr>
      </w:pPr>
      <w:r w:rsidRPr="001A4879">
        <w:rPr>
          <w:rFonts w:ascii="Arial" w:hAnsi="Arial" w:cs="Arial"/>
        </w:rPr>
        <w:t xml:space="preserve">Weil, R. R and Brady, N. C. 2017. The nature and properties of soils. 15 (eds). Pearson Education. 1104P. </w:t>
      </w:r>
    </w:p>
    <w:p w14:paraId="5B7E037D" w14:textId="77777777" w:rsidR="00F0654B" w:rsidRPr="001A4879" w:rsidRDefault="000F1645"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Brubaker, S. C., Jones, A. J., Lewis, D. T., &amp; Frank, K. (1993). Soil properties associated with landscape position. </w:t>
      </w:r>
      <w:r w:rsidRPr="001A4879">
        <w:rPr>
          <w:rFonts w:ascii="Arial" w:hAnsi="Arial" w:cs="Arial"/>
          <w:i/>
          <w:iCs/>
          <w:color w:val="222222"/>
          <w:shd w:val="clear" w:color="auto" w:fill="FFFFFF"/>
        </w:rPr>
        <w:t>Soil Science Society of America Journal</w:t>
      </w:r>
      <w:r w:rsidRPr="001A4879">
        <w:rPr>
          <w:rFonts w:ascii="Arial" w:hAnsi="Arial" w:cs="Arial"/>
          <w:color w:val="222222"/>
          <w:shd w:val="clear" w:color="auto" w:fill="FFFFFF"/>
        </w:rPr>
        <w:t>, </w:t>
      </w:r>
      <w:r w:rsidRPr="001A4879">
        <w:rPr>
          <w:rFonts w:ascii="Arial" w:hAnsi="Arial" w:cs="Arial"/>
          <w:i/>
          <w:iCs/>
          <w:color w:val="222222"/>
          <w:shd w:val="clear" w:color="auto" w:fill="FFFFFF"/>
        </w:rPr>
        <w:t>57</w:t>
      </w:r>
      <w:r w:rsidRPr="001A4879">
        <w:rPr>
          <w:rFonts w:ascii="Arial" w:hAnsi="Arial" w:cs="Arial"/>
          <w:color w:val="222222"/>
          <w:shd w:val="clear" w:color="auto" w:fill="FFFFFF"/>
        </w:rPr>
        <w:t>(1), 235-239.</w:t>
      </w:r>
    </w:p>
    <w:p w14:paraId="0C58A669" w14:textId="77777777" w:rsidR="00F0654B" w:rsidRPr="001A4879" w:rsidRDefault="00F0654B"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lastRenderedPageBreak/>
        <w:t>Agbede</w:t>
      </w:r>
      <w:proofErr w:type="spellEnd"/>
      <w:r w:rsidRPr="001A4879">
        <w:rPr>
          <w:rFonts w:ascii="Arial" w:hAnsi="Arial" w:cs="Arial"/>
          <w:color w:val="222222"/>
          <w:shd w:val="clear" w:color="auto" w:fill="FFFFFF"/>
        </w:rPr>
        <w:t xml:space="preserve">, T. M. (2010). Tillage and fertilizer effects on some soil properties, leaf nutrient concentrations, growth and sweet potato yield on an </w:t>
      </w:r>
      <w:proofErr w:type="spellStart"/>
      <w:r w:rsidRPr="001A4879">
        <w:rPr>
          <w:rFonts w:ascii="Arial" w:hAnsi="Arial" w:cs="Arial"/>
          <w:color w:val="222222"/>
          <w:shd w:val="clear" w:color="auto" w:fill="FFFFFF"/>
        </w:rPr>
        <w:t>Alfisol</w:t>
      </w:r>
      <w:proofErr w:type="spellEnd"/>
      <w:r w:rsidRPr="001A4879">
        <w:rPr>
          <w:rFonts w:ascii="Arial" w:hAnsi="Arial" w:cs="Arial"/>
          <w:color w:val="222222"/>
          <w:shd w:val="clear" w:color="auto" w:fill="FFFFFF"/>
        </w:rPr>
        <w:t xml:space="preserve"> in southwestern Nigeria. </w:t>
      </w:r>
      <w:r w:rsidRPr="001A4879">
        <w:rPr>
          <w:rFonts w:ascii="Arial" w:hAnsi="Arial" w:cs="Arial"/>
          <w:i/>
          <w:iCs/>
          <w:color w:val="222222"/>
          <w:shd w:val="clear" w:color="auto" w:fill="FFFFFF"/>
        </w:rPr>
        <w:t>Soil and Tillage research</w:t>
      </w:r>
      <w:r w:rsidRPr="001A4879">
        <w:rPr>
          <w:rFonts w:ascii="Arial" w:hAnsi="Arial" w:cs="Arial"/>
          <w:color w:val="222222"/>
          <w:shd w:val="clear" w:color="auto" w:fill="FFFFFF"/>
        </w:rPr>
        <w:t>, </w:t>
      </w:r>
      <w:r w:rsidRPr="001A4879">
        <w:rPr>
          <w:rFonts w:ascii="Arial" w:hAnsi="Arial" w:cs="Arial"/>
          <w:i/>
          <w:iCs/>
          <w:color w:val="222222"/>
          <w:shd w:val="clear" w:color="auto" w:fill="FFFFFF"/>
        </w:rPr>
        <w:t>110</w:t>
      </w:r>
      <w:r w:rsidRPr="001A4879">
        <w:rPr>
          <w:rFonts w:ascii="Arial" w:hAnsi="Arial" w:cs="Arial"/>
          <w:color w:val="222222"/>
          <w:shd w:val="clear" w:color="auto" w:fill="FFFFFF"/>
        </w:rPr>
        <w:t>(1), 25-32.</w:t>
      </w:r>
    </w:p>
    <w:p w14:paraId="3FF4AF02" w14:textId="77777777" w:rsidR="00B31019" w:rsidRPr="001A4879" w:rsidRDefault="00B31019" w:rsidP="001A4879">
      <w:pPr>
        <w:spacing w:line="240" w:lineRule="auto"/>
        <w:rPr>
          <w:rFonts w:ascii="Arial" w:hAnsi="Arial" w:cs="Arial"/>
        </w:rPr>
      </w:pPr>
      <w:proofErr w:type="spellStart"/>
      <w:r w:rsidRPr="001A4879">
        <w:rPr>
          <w:rFonts w:ascii="Arial" w:hAnsi="Arial" w:cs="Arial"/>
        </w:rPr>
        <w:t>Nega</w:t>
      </w:r>
      <w:proofErr w:type="spellEnd"/>
      <w:r w:rsidRPr="001A4879">
        <w:rPr>
          <w:rFonts w:ascii="Arial" w:hAnsi="Arial" w:cs="Arial"/>
        </w:rPr>
        <w:t xml:space="preserve"> </w:t>
      </w:r>
      <w:proofErr w:type="spellStart"/>
      <w:r w:rsidRPr="001A4879">
        <w:rPr>
          <w:rFonts w:ascii="Arial" w:hAnsi="Arial" w:cs="Arial"/>
        </w:rPr>
        <w:t>Debela</w:t>
      </w:r>
      <w:proofErr w:type="spellEnd"/>
      <w:r w:rsidRPr="001A4879">
        <w:rPr>
          <w:rFonts w:ascii="Arial" w:hAnsi="Arial" w:cs="Arial"/>
        </w:rPr>
        <w:t xml:space="preserve"> and </w:t>
      </w:r>
      <w:proofErr w:type="spellStart"/>
      <w:r w:rsidRPr="001A4879">
        <w:rPr>
          <w:rFonts w:ascii="Arial" w:hAnsi="Arial" w:cs="Arial"/>
        </w:rPr>
        <w:t>Heluf</w:t>
      </w:r>
      <w:proofErr w:type="spellEnd"/>
      <w:r w:rsidRPr="001A4879">
        <w:rPr>
          <w:rFonts w:ascii="Arial" w:hAnsi="Arial" w:cs="Arial"/>
        </w:rPr>
        <w:t xml:space="preserve"> Gebrekidan.2015. Effect of Land Use Changes and Soil Depth on Soil Organic Matter, Total Nitrogen and Available Phosphorus Contents of Soils in </w:t>
      </w:r>
      <w:proofErr w:type="spellStart"/>
      <w:r w:rsidRPr="001A4879">
        <w:rPr>
          <w:rFonts w:ascii="Arial" w:hAnsi="Arial" w:cs="Arial"/>
        </w:rPr>
        <w:t>Senbat</w:t>
      </w:r>
      <w:proofErr w:type="spellEnd"/>
      <w:r w:rsidRPr="001A4879">
        <w:rPr>
          <w:rFonts w:ascii="Arial" w:hAnsi="Arial" w:cs="Arial"/>
        </w:rPr>
        <w:t xml:space="preserve"> Watershed, Western Ethiopia. Journal of Agricultural and Biological Science, 8:206-2012.</w:t>
      </w:r>
    </w:p>
    <w:p w14:paraId="28EAC7A7" w14:textId="77777777" w:rsidR="006B6D73" w:rsidRPr="001A4879" w:rsidRDefault="006B6D7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Conant, R. T., Six, J., &amp; Paustian, K. (2003). Land use effects on soil carbon fractions in the southeastern United States. I. Management-intensive versus extensive grazing. </w:t>
      </w:r>
      <w:r w:rsidRPr="001A4879">
        <w:rPr>
          <w:rFonts w:ascii="Arial" w:hAnsi="Arial" w:cs="Arial"/>
          <w:i/>
          <w:iCs/>
          <w:color w:val="222222"/>
          <w:shd w:val="clear" w:color="auto" w:fill="FFFFFF"/>
        </w:rPr>
        <w:t>Biology and fertility of soils</w:t>
      </w:r>
      <w:r w:rsidRPr="001A4879">
        <w:rPr>
          <w:rFonts w:ascii="Arial" w:hAnsi="Arial" w:cs="Arial"/>
          <w:color w:val="222222"/>
          <w:shd w:val="clear" w:color="auto" w:fill="FFFFFF"/>
        </w:rPr>
        <w:t>, </w:t>
      </w:r>
      <w:r w:rsidRPr="001A4879">
        <w:rPr>
          <w:rFonts w:ascii="Arial" w:hAnsi="Arial" w:cs="Arial"/>
          <w:i/>
          <w:iCs/>
          <w:color w:val="222222"/>
          <w:shd w:val="clear" w:color="auto" w:fill="FFFFFF"/>
        </w:rPr>
        <w:t>38</w:t>
      </w:r>
      <w:r w:rsidRPr="001A4879">
        <w:rPr>
          <w:rFonts w:ascii="Arial" w:hAnsi="Arial" w:cs="Arial"/>
          <w:color w:val="222222"/>
          <w:shd w:val="clear" w:color="auto" w:fill="FFFFFF"/>
        </w:rPr>
        <w:t>(6), 386-392.</w:t>
      </w:r>
    </w:p>
    <w:p w14:paraId="51FA2909" w14:textId="77777777" w:rsidR="006B6D73" w:rsidRPr="001A4879" w:rsidRDefault="006B6D73"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Ufot</w:t>
      </w:r>
      <w:proofErr w:type="spellEnd"/>
      <w:r w:rsidRPr="001A4879">
        <w:rPr>
          <w:rFonts w:ascii="Arial" w:hAnsi="Arial" w:cs="Arial"/>
          <w:color w:val="222222"/>
          <w:shd w:val="clear" w:color="auto" w:fill="FFFFFF"/>
        </w:rPr>
        <w:t xml:space="preserve">, U. O., Iren, O. B., &amp; Chikere Njoku, C. U. (2016). Effects of land use on soil physical and chemical properties in </w:t>
      </w:r>
      <w:proofErr w:type="spellStart"/>
      <w:r w:rsidRPr="001A4879">
        <w:rPr>
          <w:rFonts w:ascii="Arial" w:hAnsi="Arial" w:cs="Arial"/>
          <w:color w:val="222222"/>
          <w:shd w:val="clear" w:color="auto" w:fill="FFFFFF"/>
        </w:rPr>
        <w:t>Akokwa</w:t>
      </w:r>
      <w:proofErr w:type="spellEnd"/>
      <w:r w:rsidRPr="001A4879">
        <w:rPr>
          <w:rFonts w:ascii="Arial" w:hAnsi="Arial" w:cs="Arial"/>
          <w:color w:val="222222"/>
          <w:shd w:val="clear" w:color="auto" w:fill="FFFFFF"/>
        </w:rPr>
        <w:t xml:space="preserve"> area of Imo State, Nigeria. </w:t>
      </w:r>
      <w:r w:rsidRPr="001A4879">
        <w:rPr>
          <w:rFonts w:ascii="Arial" w:hAnsi="Arial" w:cs="Arial"/>
          <w:i/>
          <w:iCs/>
          <w:color w:val="222222"/>
          <w:shd w:val="clear" w:color="auto" w:fill="FFFFFF"/>
        </w:rPr>
        <w:t>International Journal of Life Sciences Scientific Research</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w:t>
      </w:r>
      <w:r w:rsidRPr="001A4879">
        <w:rPr>
          <w:rFonts w:ascii="Arial" w:hAnsi="Arial" w:cs="Arial"/>
          <w:color w:val="222222"/>
          <w:shd w:val="clear" w:color="auto" w:fill="FFFFFF"/>
        </w:rPr>
        <w:t>(3), 273-278.</w:t>
      </w:r>
    </w:p>
    <w:p w14:paraId="0505102C" w14:textId="77777777" w:rsidR="006B6D73" w:rsidRPr="001A4879" w:rsidRDefault="006B6D7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Girma, K., Yimer, F., Tamirat, T., &amp; Abdelkadir, A. (2023). Effect of Land Use Change on Soil Physico-Chemical Properties Under Different Land Use System in Arsi Zone, Oromia Region, Ethiopia. </w:t>
      </w:r>
      <w:r w:rsidRPr="001A4879">
        <w:rPr>
          <w:rFonts w:ascii="Arial" w:hAnsi="Arial" w:cs="Arial"/>
          <w:i/>
          <w:iCs/>
          <w:color w:val="222222"/>
          <w:shd w:val="clear" w:color="auto" w:fill="FFFFFF"/>
        </w:rPr>
        <w:t>Journal of Biology and Nature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15</w:t>
      </w:r>
      <w:r w:rsidRPr="001A4879">
        <w:rPr>
          <w:rFonts w:ascii="Arial" w:hAnsi="Arial" w:cs="Arial"/>
          <w:color w:val="222222"/>
          <w:shd w:val="clear" w:color="auto" w:fill="FFFFFF"/>
        </w:rPr>
        <w:t>(1), 57-69.</w:t>
      </w:r>
    </w:p>
    <w:p w14:paraId="2E4A098E" w14:textId="77777777" w:rsidR="006B6D73" w:rsidRPr="001A4879" w:rsidRDefault="006B6D7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Yaseen, M., Abbas, S., &amp; Latif, Y. (2024). Evaluating the effects of soil physicochemical properties under different land use types in the arid zones of Pakistan. </w:t>
      </w:r>
      <w:r w:rsidRPr="001A4879">
        <w:rPr>
          <w:rFonts w:ascii="Arial" w:hAnsi="Arial" w:cs="Arial"/>
          <w:i/>
          <w:iCs/>
          <w:color w:val="222222"/>
          <w:shd w:val="clear" w:color="auto" w:fill="FFFFFF"/>
        </w:rPr>
        <w:t>Environment, Development and Sustainability</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26</w:t>
      </w:r>
      <w:r w:rsidRPr="001A4879">
        <w:rPr>
          <w:rFonts w:ascii="Arial" w:hAnsi="Arial" w:cs="Arial"/>
          <w:color w:val="222222"/>
          <w:shd w:val="clear" w:color="auto" w:fill="FFFFFF"/>
        </w:rPr>
        <w:t>(5), 13577-13594.</w:t>
      </w:r>
    </w:p>
    <w:p w14:paraId="695D4E72" w14:textId="77777777" w:rsidR="006B6D73" w:rsidRPr="001A4879" w:rsidRDefault="006B6D7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 xml:space="preserve">Bore, G., &amp; </w:t>
      </w:r>
      <w:proofErr w:type="spellStart"/>
      <w:r w:rsidRPr="001A4879">
        <w:rPr>
          <w:rFonts w:ascii="Arial" w:hAnsi="Arial" w:cs="Arial"/>
          <w:color w:val="222222"/>
          <w:shd w:val="clear" w:color="auto" w:fill="FFFFFF"/>
        </w:rPr>
        <w:t>Bedadi</w:t>
      </w:r>
      <w:proofErr w:type="spellEnd"/>
      <w:r w:rsidRPr="001A4879">
        <w:rPr>
          <w:rFonts w:ascii="Arial" w:hAnsi="Arial" w:cs="Arial"/>
          <w:color w:val="222222"/>
          <w:shd w:val="clear" w:color="auto" w:fill="FFFFFF"/>
        </w:rPr>
        <w:t xml:space="preserve">, B. (2015). Impacts of land use types on selected soil </w:t>
      </w:r>
      <w:proofErr w:type="spellStart"/>
      <w:r w:rsidRPr="001A4879">
        <w:rPr>
          <w:rFonts w:ascii="Arial" w:hAnsi="Arial" w:cs="Arial"/>
          <w:color w:val="222222"/>
          <w:shd w:val="clear" w:color="auto" w:fill="FFFFFF"/>
        </w:rPr>
        <w:t>physico</w:t>
      </w:r>
      <w:proofErr w:type="spellEnd"/>
      <w:r w:rsidRPr="001A4879">
        <w:rPr>
          <w:rFonts w:ascii="Arial" w:hAnsi="Arial" w:cs="Arial"/>
          <w:color w:val="222222"/>
          <w:shd w:val="clear" w:color="auto" w:fill="FFFFFF"/>
        </w:rPr>
        <w:t xml:space="preserve">-chemical properties of Loma Woreda, </w:t>
      </w:r>
      <w:proofErr w:type="spellStart"/>
      <w:r w:rsidRPr="001A4879">
        <w:rPr>
          <w:rFonts w:ascii="Arial" w:hAnsi="Arial" w:cs="Arial"/>
          <w:color w:val="222222"/>
          <w:shd w:val="clear" w:color="auto" w:fill="FFFFFF"/>
        </w:rPr>
        <w:t>Dawuro</w:t>
      </w:r>
      <w:proofErr w:type="spellEnd"/>
      <w:r w:rsidRPr="001A4879">
        <w:rPr>
          <w:rFonts w:ascii="Arial" w:hAnsi="Arial" w:cs="Arial"/>
          <w:color w:val="222222"/>
          <w:shd w:val="clear" w:color="auto" w:fill="FFFFFF"/>
        </w:rPr>
        <w:t xml:space="preserve"> Zone, Southern Ethiopia. </w:t>
      </w:r>
      <w:r w:rsidRPr="001A4879">
        <w:rPr>
          <w:rFonts w:ascii="Arial" w:hAnsi="Arial" w:cs="Arial"/>
          <w:i/>
          <w:iCs/>
          <w:color w:val="222222"/>
          <w:shd w:val="clear" w:color="auto" w:fill="FFFFFF"/>
        </w:rPr>
        <w:t>Science, Technology and Arts Research Journal</w:t>
      </w:r>
      <w:r w:rsidRPr="001A4879">
        <w:rPr>
          <w:rFonts w:ascii="Arial" w:hAnsi="Arial" w:cs="Arial"/>
          <w:color w:val="222222"/>
          <w:shd w:val="clear" w:color="auto" w:fill="FFFFFF"/>
        </w:rPr>
        <w:t>, </w:t>
      </w:r>
      <w:r w:rsidRPr="001A4879">
        <w:rPr>
          <w:rFonts w:ascii="Arial" w:hAnsi="Arial" w:cs="Arial"/>
          <w:i/>
          <w:iCs/>
          <w:color w:val="222222"/>
          <w:shd w:val="clear" w:color="auto" w:fill="FFFFFF"/>
        </w:rPr>
        <w:t>4</w:t>
      </w:r>
      <w:r w:rsidRPr="001A4879">
        <w:rPr>
          <w:rFonts w:ascii="Arial" w:hAnsi="Arial" w:cs="Arial"/>
          <w:color w:val="222222"/>
          <w:shd w:val="clear" w:color="auto" w:fill="FFFFFF"/>
        </w:rPr>
        <w:t>(4), 40-48.</w:t>
      </w:r>
    </w:p>
    <w:p w14:paraId="3B975EA8" w14:textId="77777777" w:rsidR="004B5C63" w:rsidRPr="001A4879" w:rsidRDefault="004B5C63"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Kiflu</w:t>
      </w:r>
      <w:proofErr w:type="spellEnd"/>
      <w:r w:rsidRPr="001A4879">
        <w:rPr>
          <w:rFonts w:ascii="Arial" w:hAnsi="Arial" w:cs="Arial"/>
          <w:color w:val="222222"/>
          <w:shd w:val="clear" w:color="auto" w:fill="FFFFFF"/>
        </w:rPr>
        <w:t>, A., &amp; Beyene, S. (2013). Effects of different land use systems on selected soil properties in South Ethiopia. </w:t>
      </w:r>
      <w:r w:rsidRPr="001A4879">
        <w:rPr>
          <w:rFonts w:ascii="Arial" w:hAnsi="Arial" w:cs="Arial"/>
          <w:i/>
          <w:iCs/>
          <w:color w:val="222222"/>
          <w:shd w:val="clear" w:color="auto" w:fill="FFFFFF"/>
        </w:rPr>
        <w:t>Journal of soil science and Environmental Management</w:t>
      </w:r>
      <w:r w:rsidRPr="001A4879">
        <w:rPr>
          <w:rFonts w:ascii="Arial" w:hAnsi="Arial" w:cs="Arial"/>
          <w:color w:val="222222"/>
          <w:shd w:val="clear" w:color="auto" w:fill="FFFFFF"/>
        </w:rPr>
        <w:t>, </w:t>
      </w:r>
      <w:r w:rsidRPr="001A4879">
        <w:rPr>
          <w:rFonts w:ascii="Arial" w:hAnsi="Arial" w:cs="Arial"/>
          <w:i/>
          <w:iCs/>
          <w:color w:val="222222"/>
          <w:shd w:val="clear" w:color="auto" w:fill="FFFFFF"/>
        </w:rPr>
        <w:t>4</w:t>
      </w:r>
      <w:r w:rsidRPr="001A4879">
        <w:rPr>
          <w:rFonts w:ascii="Arial" w:hAnsi="Arial" w:cs="Arial"/>
          <w:color w:val="222222"/>
          <w:shd w:val="clear" w:color="auto" w:fill="FFFFFF"/>
        </w:rPr>
        <w:t>(5), 100-107.</w:t>
      </w:r>
    </w:p>
    <w:p w14:paraId="39171472" w14:textId="77777777" w:rsidR="00B31019" w:rsidRPr="001A4879" w:rsidRDefault="000F1645" w:rsidP="001A4879">
      <w:pPr>
        <w:spacing w:line="240" w:lineRule="auto"/>
        <w:rPr>
          <w:rFonts w:ascii="Arial" w:hAnsi="Arial" w:cs="Arial"/>
        </w:rPr>
      </w:pPr>
      <w:r w:rsidRPr="001A4879">
        <w:rPr>
          <w:rFonts w:ascii="Arial" w:hAnsi="Arial" w:cs="Arial"/>
          <w:color w:val="222222"/>
          <w:shd w:val="clear" w:color="auto" w:fill="FFFFFF"/>
        </w:rPr>
        <w:t xml:space="preserve">Abebe, T., &amp; Bongers, F. (2012). Land-use dynamics in </w:t>
      </w:r>
      <w:proofErr w:type="spellStart"/>
      <w:r w:rsidRPr="001A4879">
        <w:rPr>
          <w:rFonts w:ascii="Arial" w:hAnsi="Arial" w:cs="Arial"/>
          <w:color w:val="222222"/>
          <w:shd w:val="clear" w:color="auto" w:fill="FFFFFF"/>
        </w:rPr>
        <w:t>enset</w:t>
      </w:r>
      <w:proofErr w:type="spellEnd"/>
      <w:r w:rsidRPr="001A4879">
        <w:rPr>
          <w:rFonts w:ascii="Arial" w:hAnsi="Arial" w:cs="Arial"/>
          <w:color w:val="222222"/>
          <w:shd w:val="clear" w:color="auto" w:fill="FFFFFF"/>
        </w:rPr>
        <w:t xml:space="preserve">-based agroforestry </w:t>
      </w:r>
      <w:proofErr w:type="spellStart"/>
      <w:r w:rsidRPr="001A4879">
        <w:rPr>
          <w:rFonts w:ascii="Arial" w:hAnsi="Arial" w:cs="Arial"/>
          <w:color w:val="222222"/>
          <w:shd w:val="clear" w:color="auto" w:fill="FFFFFF"/>
        </w:rPr>
        <w:t>homegardens</w:t>
      </w:r>
      <w:proofErr w:type="spellEnd"/>
      <w:r w:rsidRPr="001A4879">
        <w:rPr>
          <w:rFonts w:ascii="Arial" w:hAnsi="Arial" w:cs="Arial"/>
          <w:color w:val="222222"/>
          <w:shd w:val="clear" w:color="auto" w:fill="FFFFFF"/>
        </w:rPr>
        <w:t xml:space="preserve"> in Ethiopia. In </w:t>
      </w:r>
      <w:r w:rsidRPr="001A4879">
        <w:rPr>
          <w:rFonts w:ascii="Arial" w:hAnsi="Arial" w:cs="Arial"/>
          <w:i/>
          <w:iCs/>
          <w:color w:val="222222"/>
          <w:shd w:val="clear" w:color="auto" w:fill="FFFFFF"/>
        </w:rPr>
        <w:t>Forest-people interfaces</w:t>
      </w:r>
      <w:r w:rsidRPr="001A4879">
        <w:rPr>
          <w:rFonts w:ascii="Arial" w:hAnsi="Arial" w:cs="Arial"/>
          <w:color w:val="222222"/>
          <w:shd w:val="clear" w:color="auto" w:fill="FFFFFF"/>
        </w:rPr>
        <w:t xml:space="preserve"> (pp. 69-85). Wageningen </w:t>
      </w:r>
      <w:proofErr w:type="spellStart"/>
      <w:r w:rsidRPr="001A4879">
        <w:rPr>
          <w:rFonts w:ascii="Arial" w:hAnsi="Arial" w:cs="Arial"/>
          <w:color w:val="222222"/>
          <w:shd w:val="clear" w:color="auto" w:fill="FFFFFF"/>
        </w:rPr>
        <w:t>Academic.</w:t>
      </w:r>
      <w:r w:rsidR="00B31019" w:rsidRPr="001A4879">
        <w:rPr>
          <w:rFonts w:ascii="Arial" w:hAnsi="Arial" w:cs="Arial"/>
        </w:rPr>
        <w:t>Hurni</w:t>
      </w:r>
      <w:proofErr w:type="spellEnd"/>
      <w:r w:rsidR="00B31019" w:rsidRPr="001A4879">
        <w:rPr>
          <w:rFonts w:ascii="Arial" w:hAnsi="Arial" w:cs="Arial"/>
        </w:rPr>
        <w:t>, H. (1998): Agroecological Belts of Ethiopia: explanatory notes on three maps at a scale of 1:1,000,000. 31 pp. Soil Conservation Research Program of Ethiopia, Addis Ababa.</w:t>
      </w:r>
    </w:p>
    <w:p w14:paraId="457822D8" w14:textId="77777777" w:rsidR="004B5C63" w:rsidRPr="001A4879" w:rsidRDefault="004B5C63"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Bouyoucos</w:t>
      </w:r>
      <w:proofErr w:type="spellEnd"/>
      <w:r w:rsidRPr="001A4879">
        <w:rPr>
          <w:rFonts w:ascii="Arial" w:hAnsi="Arial" w:cs="Arial"/>
          <w:color w:val="222222"/>
          <w:shd w:val="clear" w:color="auto" w:fill="FFFFFF"/>
        </w:rPr>
        <w:t>, G. J. (1951). A recalibration of the hydrometer method for making mechanical analysis of soils.</w:t>
      </w:r>
    </w:p>
    <w:p w14:paraId="2CDD929C" w14:textId="77777777" w:rsidR="00B31019" w:rsidRPr="001A4879" w:rsidRDefault="00B31019" w:rsidP="001A4879">
      <w:pPr>
        <w:spacing w:line="240" w:lineRule="auto"/>
        <w:rPr>
          <w:rFonts w:ascii="Arial" w:hAnsi="Arial" w:cs="Arial"/>
        </w:rPr>
      </w:pPr>
      <w:r w:rsidRPr="001A4879">
        <w:rPr>
          <w:rFonts w:ascii="Arial" w:hAnsi="Arial" w:cs="Arial"/>
        </w:rPr>
        <w:t>Jackson ML (1958). Soil Chemical Analysis. Prentice Hall, Inc., Engle Wood Cliffs. New Jersey. pp. 183-204.</w:t>
      </w:r>
    </w:p>
    <w:p w14:paraId="4B4E31DA" w14:textId="77777777" w:rsidR="00B31019" w:rsidRPr="001A4879" w:rsidRDefault="00B31019" w:rsidP="001A4879">
      <w:pPr>
        <w:spacing w:line="240" w:lineRule="auto"/>
        <w:rPr>
          <w:rFonts w:ascii="Arial" w:hAnsi="Arial" w:cs="Arial"/>
        </w:rPr>
      </w:pPr>
      <w:r w:rsidRPr="001A4879">
        <w:rPr>
          <w:rFonts w:ascii="Arial" w:hAnsi="Arial" w:cs="Arial"/>
        </w:rPr>
        <w:t xml:space="preserve">Van </w:t>
      </w:r>
      <w:proofErr w:type="spellStart"/>
      <w:r w:rsidRPr="001A4879">
        <w:rPr>
          <w:rFonts w:ascii="Arial" w:hAnsi="Arial" w:cs="Arial"/>
        </w:rPr>
        <w:t>Reeuwijk</w:t>
      </w:r>
      <w:proofErr w:type="spellEnd"/>
      <w:r w:rsidRPr="001A4879">
        <w:rPr>
          <w:rFonts w:ascii="Arial" w:hAnsi="Arial" w:cs="Arial"/>
        </w:rPr>
        <w:t xml:space="preserve"> LP. 1993. Procedures for Soil Analysis, International Soil Reference and Information Center (ISRIC)”, the Netherlands, 4th </w:t>
      </w:r>
      <w:proofErr w:type="spellStart"/>
      <w:r w:rsidRPr="001A4879">
        <w:rPr>
          <w:rFonts w:ascii="Arial" w:hAnsi="Arial" w:cs="Arial"/>
        </w:rPr>
        <w:t>edn</w:t>
      </w:r>
      <w:proofErr w:type="spellEnd"/>
      <w:r w:rsidRPr="001A4879">
        <w:rPr>
          <w:rFonts w:ascii="Arial" w:hAnsi="Arial" w:cs="Arial"/>
        </w:rPr>
        <w:t>.</w:t>
      </w:r>
    </w:p>
    <w:p w14:paraId="11DB6778" w14:textId="77777777" w:rsidR="00B31019" w:rsidRPr="001A4879" w:rsidRDefault="00B31019" w:rsidP="001A4879">
      <w:pPr>
        <w:spacing w:line="240" w:lineRule="auto"/>
        <w:rPr>
          <w:rFonts w:ascii="Arial" w:hAnsi="Arial" w:cs="Arial"/>
        </w:rPr>
      </w:pPr>
      <w:r w:rsidRPr="001A4879">
        <w:rPr>
          <w:rFonts w:ascii="Arial" w:hAnsi="Arial" w:cs="Arial"/>
        </w:rPr>
        <w:lastRenderedPageBreak/>
        <w:t xml:space="preserve">Olsen SR, Cole CV, Watanabe FS, Dean LA .1954. Estimation of available phosphorus in soils by extraction with sodium bicarbonate. USDA Circular 939:1-19. </w:t>
      </w:r>
    </w:p>
    <w:p w14:paraId="291D0FF5" w14:textId="77777777" w:rsidR="00B31019" w:rsidRPr="001A4879" w:rsidRDefault="004B5C63" w:rsidP="001A4879">
      <w:pPr>
        <w:spacing w:line="240" w:lineRule="auto"/>
        <w:rPr>
          <w:rFonts w:ascii="Arial" w:hAnsi="Arial" w:cs="Arial"/>
        </w:rPr>
      </w:pPr>
      <w:proofErr w:type="spellStart"/>
      <w:r w:rsidRPr="001A4879">
        <w:rPr>
          <w:rFonts w:ascii="Arial" w:hAnsi="Arial" w:cs="Arial"/>
          <w:color w:val="222222"/>
          <w:shd w:val="clear" w:color="auto" w:fill="FFFFFF"/>
        </w:rPr>
        <w:t>Chemeda</w:t>
      </w:r>
      <w:proofErr w:type="spellEnd"/>
      <w:r w:rsidRPr="001A4879">
        <w:rPr>
          <w:rFonts w:ascii="Arial" w:hAnsi="Arial" w:cs="Arial"/>
          <w:color w:val="222222"/>
          <w:shd w:val="clear" w:color="auto" w:fill="FFFFFF"/>
        </w:rPr>
        <w:t xml:space="preserve">, M., Kibret, K., &amp; Fite, T. (2017). Influence of different land use types and soil depths on selected soil properties related to soil fertility in </w:t>
      </w:r>
      <w:proofErr w:type="spellStart"/>
      <w:r w:rsidRPr="001A4879">
        <w:rPr>
          <w:rFonts w:ascii="Arial" w:hAnsi="Arial" w:cs="Arial"/>
          <w:color w:val="222222"/>
          <w:shd w:val="clear" w:color="auto" w:fill="FFFFFF"/>
        </w:rPr>
        <w:t>Warandhab</w:t>
      </w:r>
      <w:proofErr w:type="spellEnd"/>
      <w:r w:rsidRPr="001A4879">
        <w:rPr>
          <w:rFonts w:ascii="Arial" w:hAnsi="Arial" w:cs="Arial"/>
          <w:color w:val="222222"/>
          <w:shd w:val="clear" w:color="auto" w:fill="FFFFFF"/>
        </w:rPr>
        <w:t xml:space="preserve"> Area, </w:t>
      </w:r>
      <w:proofErr w:type="spellStart"/>
      <w:r w:rsidRPr="001A4879">
        <w:rPr>
          <w:rFonts w:ascii="Arial" w:hAnsi="Arial" w:cs="Arial"/>
          <w:color w:val="222222"/>
          <w:shd w:val="clear" w:color="auto" w:fill="FFFFFF"/>
        </w:rPr>
        <w:t>Horo</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t>Guduru</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t>Wallaga</w:t>
      </w:r>
      <w:proofErr w:type="spellEnd"/>
      <w:r w:rsidRPr="001A4879">
        <w:rPr>
          <w:rFonts w:ascii="Arial" w:hAnsi="Arial" w:cs="Arial"/>
          <w:color w:val="222222"/>
          <w:shd w:val="clear" w:color="auto" w:fill="FFFFFF"/>
        </w:rPr>
        <w:t xml:space="preserve"> Zone, </w:t>
      </w:r>
      <w:proofErr w:type="spellStart"/>
      <w:r w:rsidRPr="001A4879">
        <w:rPr>
          <w:rFonts w:ascii="Arial" w:hAnsi="Arial" w:cs="Arial"/>
          <w:color w:val="222222"/>
          <w:shd w:val="clear" w:color="auto" w:fill="FFFFFF"/>
        </w:rPr>
        <w:t>Oromiya</w:t>
      </w:r>
      <w:proofErr w:type="spellEnd"/>
      <w:r w:rsidRPr="001A4879">
        <w:rPr>
          <w:rFonts w:ascii="Arial" w:hAnsi="Arial" w:cs="Arial"/>
          <w:color w:val="222222"/>
          <w:shd w:val="clear" w:color="auto" w:fill="FFFFFF"/>
        </w:rPr>
        <w:t>, Ethiopia. </w:t>
      </w:r>
      <w:r w:rsidRPr="001A4879">
        <w:rPr>
          <w:rFonts w:ascii="Arial" w:hAnsi="Arial" w:cs="Arial"/>
          <w:i/>
          <w:iCs/>
          <w:color w:val="222222"/>
          <w:shd w:val="clear" w:color="auto" w:fill="FFFFFF"/>
        </w:rPr>
        <w:t>International Journal of Environmental Sciences and Natural Resources</w:t>
      </w:r>
      <w:r w:rsidRPr="001A4879">
        <w:rPr>
          <w:rFonts w:ascii="Arial" w:hAnsi="Arial" w:cs="Arial"/>
          <w:color w:val="222222"/>
          <w:shd w:val="clear" w:color="auto" w:fill="FFFFFF"/>
        </w:rPr>
        <w:t>, </w:t>
      </w:r>
      <w:r w:rsidRPr="001A4879">
        <w:rPr>
          <w:rFonts w:ascii="Arial" w:hAnsi="Arial" w:cs="Arial"/>
          <w:i/>
          <w:iCs/>
          <w:color w:val="222222"/>
          <w:shd w:val="clear" w:color="auto" w:fill="FFFFFF"/>
        </w:rPr>
        <w:t>4</w:t>
      </w:r>
      <w:r w:rsidRPr="001A4879">
        <w:rPr>
          <w:rFonts w:ascii="Arial" w:hAnsi="Arial" w:cs="Arial"/>
          <w:color w:val="222222"/>
          <w:shd w:val="clear" w:color="auto" w:fill="FFFFFF"/>
        </w:rPr>
        <w:t>(2), 555634.</w:t>
      </w:r>
    </w:p>
    <w:p w14:paraId="5AF9E7AB" w14:textId="77777777" w:rsidR="004B5C63" w:rsidRPr="001A4879" w:rsidRDefault="004B5C6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 xml:space="preserve">Tufa, M., Melese, A., &amp; Tena, W. (2019). Effects of land use types on selected soil physical and chemical properties: The case of </w:t>
      </w:r>
      <w:proofErr w:type="spellStart"/>
      <w:r w:rsidRPr="001A4879">
        <w:rPr>
          <w:rFonts w:ascii="Arial" w:hAnsi="Arial" w:cs="Arial"/>
          <w:color w:val="222222"/>
          <w:shd w:val="clear" w:color="auto" w:fill="FFFFFF"/>
        </w:rPr>
        <w:t>Kuyu</w:t>
      </w:r>
      <w:proofErr w:type="spellEnd"/>
      <w:r w:rsidRPr="001A4879">
        <w:rPr>
          <w:rFonts w:ascii="Arial" w:hAnsi="Arial" w:cs="Arial"/>
          <w:color w:val="222222"/>
          <w:shd w:val="clear" w:color="auto" w:fill="FFFFFF"/>
        </w:rPr>
        <w:t xml:space="preserve"> District, Ethiopia. </w:t>
      </w:r>
      <w:r w:rsidRPr="001A4879">
        <w:rPr>
          <w:rFonts w:ascii="Arial" w:hAnsi="Arial" w:cs="Arial"/>
          <w:i/>
          <w:iCs/>
          <w:color w:val="222222"/>
          <w:shd w:val="clear" w:color="auto" w:fill="FFFFFF"/>
        </w:rPr>
        <w:t>Eurasian journal of soil science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8</w:t>
      </w:r>
      <w:r w:rsidRPr="001A4879">
        <w:rPr>
          <w:rFonts w:ascii="Arial" w:hAnsi="Arial" w:cs="Arial"/>
          <w:color w:val="222222"/>
          <w:shd w:val="clear" w:color="auto" w:fill="FFFFFF"/>
        </w:rPr>
        <w:t>(2), 94-109.</w:t>
      </w:r>
    </w:p>
    <w:p w14:paraId="403977C4" w14:textId="77777777" w:rsidR="004B5C63" w:rsidRPr="001A4879" w:rsidRDefault="004B5C6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 xml:space="preserve">Kassa Cholbe, M., Kebede Yeme, F., &amp; Haile Woldeyohannes, W. (2020). Fertility status of acid soils under different land use types in </w:t>
      </w:r>
      <w:proofErr w:type="spellStart"/>
      <w:r w:rsidRPr="001A4879">
        <w:rPr>
          <w:rFonts w:ascii="Arial" w:hAnsi="Arial" w:cs="Arial"/>
          <w:color w:val="222222"/>
          <w:shd w:val="clear" w:color="auto" w:fill="FFFFFF"/>
        </w:rPr>
        <w:t>Wolaita</w:t>
      </w:r>
      <w:proofErr w:type="spellEnd"/>
      <w:r w:rsidRPr="001A4879">
        <w:rPr>
          <w:rFonts w:ascii="Arial" w:hAnsi="Arial" w:cs="Arial"/>
          <w:color w:val="222222"/>
          <w:shd w:val="clear" w:color="auto" w:fill="FFFFFF"/>
        </w:rPr>
        <w:t xml:space="preserve"> zone, Southern Ethiopia. </w:t>
      </w:r>
      <w:r w:rsidRPr="001A4879">
        <w:rPr>
          <w:rFonts w:ascii="Arial" w:hAnsi="Arial" w:cs="Arial"/>
          <w:i/>
          <w:iCs/>
          <w:color w:val="222222"/>
          <w:shd w:val="clear" w:color="auto" w:fill="FFFFFF"/>
        </w:rPr>
        <w:t>Applied and Environmental Soil Science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2020</w:t>
      </w:r>
      <w:r w:rsidRPr="001A4879">
        <w:rPr>
          <w:rFonts w:ascii="Arial" w:hAnsi="Arial" w:cs="Arial"/>
          <w:color w:val="222222"/>
          <w:shd w:val="clear" w:color="auto" w:fill="FFFFFF"/>
        </w:rPr>
        <w:t>(1), 3713967.</w:t>
      </w:r>
    </w:p>
    <w:p w14:paraId="77B48293" w14:textId="77777777" w:rsidR="004B5C63" w:rsidRPr="001A4879" w:rsidRDefault="004B5C6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 xml:space="preserve">Fetene, E. M., &amp; Amera, M. Y. (2018). The effects of land use types and soil depth on soil properties of </w:t>
      </w:r>
      <w:proofErr w:type="spellStart"/>
      <w:r w:rsidRPr="001A4879">
        <w:rPr>
          <w:rFonts w:ascii="Arial" w:hAnsi="Arial" w:cs="Arial"/>
          <w:color w:val="222222"/>
          <w:shd w:val="clear" w:color="auto" w:fill="FFFFFF"/>
        </w:rPr>
        <w:t>Agedit</w:t>
      </w:r>
      <w:proofErr w:type="spellEnd"/>
      <w:r w:rsidRPr="001A4879">
        <w:rPr>
          <w:rFonts w:ascii="Arial" w:hAnsi="Arial" w:cs="Arial"/>
          <w:color w:val="222222"/>
          <w:shd w:val="clear" w:color="auto" w:fill="FFFFFF"/>
        </w:rPr>
        <w:t xml:space="preserve"> watershed, Northwest Ethiopia. </w:t>
      </w:r>
      <w:r w:rsidRPr="001A4879">
        <w:rPr>
          <w:rFonts w:ascii="Arial" w:hAnsi="Arial" w:cs="Arial"/>
          <w:i/>
          <w:iCs/>
          <w:color w:val="222222"/>
          <w:shd w:val="clear" w:color="auto" w:fill="FFFFFF"/>
        </w:rPr>
        <w:t>Ethiopian Journal of Science and Technology</w:t>
      </w:r>
      <w:r w:rsidRPr="001A4879">
        <w:rPr>
          <w:rFonts w:ascii="Arial" w:hAnsi="Arial" w:cs="Arial"/>
          <w:color w:val="222222"/>
          <w:shd w:val="clear" w:color="auto" w:fill="FFFFFF"/>
        </w:rPr>
        <w:t>, </w:t>
      </w:r>
      <w:r w:rsidRPr="001A4879">
        <w:rPr>
          <w:rFonts w:ascii="Arial" w:hAnsi="Arial" w:cs="Arial"/>
          <w:i/>
          <w:iCs/>
          <w:color w:val="222222"/>
          <w:shd w:val="clear" w:color="auto" w:fill="FFFFFF"/>
        </w:rPr>
        <w:t>11</w:t>
      </w:r>
      <w:r w:rsidRPr="001A4879">
        <w:rPr>
          <w:rFonts w:ascii="Arial" w:hAnsi="Arial" w:cs="Arial"/>
          <w:color w:val="222222"/>
          <w:shd w:val="clear" w:color="auto" w:fill="FFFFFF"/>
        </w:rPr>
        <w:t>(1), 39-56.</w:t>
      </w:r>
    </w:p>
    <w:p w14:paraId="63024294" w14:textId="77777777" w:rsidR="004B5C63" w:rsidRPr="001A4879" w:rsidRDefault="004B5C6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 xml:space="preserve">Boke, S. (2004). Soil phosphorus fractions as influenced by different cropping systems in Andosols and </w:t>
      </w:r>
      <w:proofErr w:type="spellStart"/>
      <w:r w:rsidRPr="001A4879">
        <w:rPr>
          <w:rFonts w:ascii="Arial" w:hAnsi="Arial" w:cs="Arial"/>
          <w:color w:val="222222"/>
          <w:shd w:val="clear" w:color="auto" w:fill="FFFFFF"/>
        </w:rPr>
        <w:t>Nitosols</w:t>
      </w:r>
      <w:proofErr w:type="spellEnd"/>
      <w:r w:rsidRPr="001A4879">
        <w:rPr>
          <w:rFonts w:ascii="Arial" w:hAnsi="Arial" w:cs="Arial"/>
          <w:color w:val="222222"/>
          <w:shd w:val="clear" w:color="auto" w:fill="FFFFFF"/>
        </w:rPr>
        <w:t xml:space="preserve"> in </w:t>
      </w:r>
      <w:proofErr w:type="spellStart"/>
      <w:r w:rsidRPr="001A4879">
        <w:rPr>
          <w:rFonts w:ascii="Arial" w:hAnsi="Arial" w:cs="Arial"/>
          <w:color w:val="222222"/>
          <w:shd w:val="clear" w:color="auto" w:fill="FFFFFF"/>
        </w:rPr>
        <w:t>Kembata-Tembaro</w:t>
      </w:r>
      <w:proofErr w:type="spellEnd"/>
      <w:r w:rsidRPr="001A4879">
        <w:rPr>
          <w:rFonts w:ascii="Arial" w:hAnsi="Arial" w:cs="Arial"/>
          <w:color w:val="222222"/>
          <w:shd w:val="clear" w:color="auto" w:fill="FFFFFF"/>
        </w:rPr>
        <w:t xml:space="preserve"> and </w:t>
      </w:r>
      <w:proofErr w:type="spellStart"/>
      <w:r w:rsidRPr="001A4879">
        <w:rPr>
          <w:rFonts w:ascii="Arial" w:hAnsi="Arial" w:cs="Arial"/>
          <w:color w:val="222222"/>
          <w:shd w:val="clear" w:color="auto" w:fill="FFFFFF"/>
        </w:rPr>
        <w:t>Wolayta</w:t>
      </w:r>
      <w:proofErr w:type="spellEnd"/>
      <w:r w:rsidRPr="001A4879">
        <w:rPr>
          <w:rFonts w:ascii="Arial" w:hAnsi="Arial" w:cs="Arial"/>
          <w:color w:val="222222"/>
          <w:shd w:val="clear" w:color="auto" w:fill="FFFFFF"/>
        </w:rPr>
        <w:t xml:space="preserve"> Zones, SNNPRS. </w:t>
      </w:r>
      <w:proofErr w:type="spellStart"/>
      <w:r w:rsidRPr="001A4879">
        <w:rPr>
          <w:rFonts w:ascii="Arial" w:hAnsi="Arial" w:cs="Arial"/>
          <w:i/>
          <w:iCs/>
          <w:color w:val="222222"/>
          <w:shd w:val="clear" w:color="auto" w:fill="FFFFFF"/>
        </w:rPr>
        <w:t>Alemaya</w:t>
      </w:r>
      <w:proofErr w:type="spellEnd"/>
      <w:r w:rsidRPr="001A4879">
        <w:rPr>
          <w:rFonts w:ascii="Arial" w:hAnsi="Arial" w:cs="Arial"/>
          <w:i/>
          <w:iCs/>
          <w:color w:val="222222"/>
          <w:shd w:val="clear" w:color="auto" w:fill="FFFFFF"/>
        </w:rPr>
        <w:t xml:space="preserve"> </w:t>
      </w:r>
      <w:proofErr w:type="gramStart"/>
      <w:r w:rsidRPr="001A4879">
        <w:rPr>
          <w:rFonts w:ascii="Arial" w:hAnsi="Arial" w:cs="Arial"/>
          <w:i/>
          <w:iCs/>
          <w:color w:val="222222"/>
          <w:shd w:val="clear" w:color="auto" w:fill="FFFFFF"/>
        </w:rPr>
        <w:t>University,(</w:t>
      </w:r>
      <w:proofErr w:type="gramEnd"/>
      <w:r w:rsidRPr="001A4879">
        <w:rPr>
          <w:rFonts w:ascii="Arial" w:hAnsi="Arial" w:cs="Arial"/>
          <w:i/>
          <w:iCs/>
          <w:color w:val="222222"/>
          <w:shd w:val="clear" w:color="auto" w:fill="FFFFFF"/>
        </w:rPr>
        <w:t>AU) Ethiopia</w:t>
      </w:r>
      <w:r w:rsidRPr="001A4879">
        <w:rPr>
          <w:rFonts w:ascii="Arial" w:hAnsi="Arial" w:cs="Arial"/>
          <w:color w:val="222222"/>
          <w:shd w:val="clear" w:color="auto" w:fill="FFFFFF"/>
        </w:rPr>
        <w:t>.</w:t>
      </w:r>
    </w:p>
    <w:p w14:paraId="68C1074C" w14:textId="77777777" w:rsidR="004B5C63" w:rsidRPr="001A4879" w:rsidRDefault="004B5C63"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 xml:space="preserve">Mathewos, M. (2020). Assessment of selected soil physicochemical properties on different land-use systems and landscape positions at </w:t>
      </w:r>
      <w:proofErr w:type="spellStart"/>
      <w:r w:rsidRPr="001A4879">
        <w:rPr>
          <w:rFonts w:ascii="Arial" w:hAnsi="Arial" w:cs="Arial"/>
          <w:color w:val="222222"/>
          <w:shd w:val="clear" w:color="auto" w:fill="FFFFFF"/>
        </w:rPr>
        <w:t>Hamesa</w:t>
      </w:r>
      <w:proofErr w:type="spellEnd"/>
      <w:r w:rsidRPr="001A4879">
        <w:rPr>
          <w:rFonts w:ascii="Arial" w:hAnsi="Arial" w:cs="Arial"/>
          <w:color w:val="222222"/>
          <w:shd w:val="clear" w:color="auto" w:fill="FFFFFF"/>
        </w:rPr>
        <w:t xml:space="preserve"> watershed, </w:t>
      </w:r>
      <w:proofErr w:type="spellStart"/>
      <w:r w:rsidRPr="001A4879">
        <w:rPr>
          <w:rFonts w:ascii="Arial" w:hAnsi="Arial" w:cs="Arial"/>
          <w:color w:val="222222"/>
          <w:shd w:val="clear" w:color="auto" w:fill="FFFFFF"/>
        </w:rPr>
        <w:t>Wolayita</w:t>
      </w:r>
      <w:proofErr w:type="spellEnd"/>
      <w:r w:rsidRPr="001A4879">
        <w:rPr>
          <w:rFonts w:ascii="Arial" w:hAnsi="Arial" w:cs="Arial"/>
          <w:color w:val="222222"/>
          <w:shd w:val="clear" w:color="auto" w:fill="FFFFFF"/>
        </w:rPr>
        <w:t xml:space="preserve"> zone, Southern Ethiopia. </w:t>
      </w:r>
      <w:r w:rsidRPr="001A4879">
        <w:rPr>
          <w:rFonts w:ascii="Arial" w:hAnsi="Arial" w:cs="Arial"/>
          <w:i/>
          <w:iCs/>
          <w:color w:val="222222"/>
          <w:shd w:val="clear" w:color="auto" w:fill="FFFFFF"/>
        </w:rPr>
        <w:t>Journal of Soil Science and Environmental Management</w:t>
      </w:r>
      <w:r w:rsidRPr="001A4879">
        <w:rPr>
          <w:rFonts w:ascii="Arial" w:hAnsi="Arial" w:cs="Arial"/>
          <w:color w:val="222222"/>
          <w:shd w:val="clear" w:color="auto" w:fill="FFFFFF"/>
        </w:rPr>
        <w:t>, </w:t>
      </w:r>
      <w:r w:rsidRPr="001A4879">
        <w:rPr>
          <w:rFonts w:ascii="Arial" w:hAnsi="Arial" w:cs="Arial"/>
          <w:i/>
          <w:iCs/>
          <w:color w:val="222222"/>
          <w:shd w:val="clear" w:color="auto" w:fill="FFFFFF"/>
        </w:rPr>
        <w:t>11</w:t>
      </w:r>
      <w:r w:rsidRPr="001A4879">
        <w:rPr>
          <w:rFonts w:ascii="Arial" w:hAnsi="Arial" w:cs="Arial"/>
          <w:color w:val="222222"/>
          <w:shd w:val="clear" w:color="auto" w:fill="FFFFFF"/>
        </w:rPr>
        <w:t>(3), 122-130.</w:t>
      </w:r>
    </w:p>
    <w:p w14:paraId="5041DF27" w14:textId="77777777" w:rsidR="00924B20" w:rsidRPr="001A4879" w:rsidRDefault="00924B20" w:rsidP="001A4879">
      <w:pPr>
        <w:spacing w:line="240" w:lineRule="auto"/>
        <w:rPr>
          <w:rFonts w:ascii="Arial" w:hAnsi="Arial" w:cs="Arial"/>
        </w:rPr>
      </w:pPr>
      <w:proofErr w:type="spellStart"/>
      <w:r w:rsidRPr="001A4879">
        <w:rPr>
          <w:rFonts w:ascii="Arial" w:hAnsi="Arial" w:cs="Arial"/>
        </w:rPr>
        <w:t>Cottenie</w:t>
      </w:r>
      <w:proofErr w:type="spellEnd"/>
      <w:r w:rsidRPr="001A4879">
        <w:rPr>
          <w:rFonts w:ascii="Arial" w:hAnsi="Arial" w:cs="Arial"/>
        </w:rPr>
        <w:t xml:space="preserve"> A. </w:t>
      </w:r>
      <w:r w:rsidR="004B5C63" w:rsidRPr="001A4879">
        <w:rPr>
          <w:rFonts w:ascii="Arial" w:hAnsi="Arial" w:cs="Arial"/>
        </w:rPr>
        <w:t>(</w:t>
      </w:r>
      <w:r w:rsidRPr="001A4879">
        <w:rPr>
          <w:rFonts w:ascii="Arial" w:hAnsi="Arial" w:cs="Arial"/>
        </w:rPr>
        <w:t>1980</w:t>
      </w:r>
      <w:r w:rsidR="004B5C63" w:rsidRPr="001A4879">
        <w:rPr>
          <w:rFonts w:ascii="Arial" w:hAnsi="Arial" w:cs="Arial"/>
        </w:rPr>
        <w:t>)</w:t>
      </w:r>
      <w:r w:rsidRPr="001A4879">
        <w:rPr>
          <w:rFonts w:ascii="Arial" w:hAnsi="Arial" w:cs="Arial"/>
        </w:rPr>
        <w:t>. Soil and plant testing as a basis of fertilizer recommendations (No. 38/2).</w:t>
      </w:r>
    </w:p>
    <w:p w14:paraId="0A1AAE44" w14:textId="77777777" w:rsidR="00EA70EA" w:rsidRPr="001A4879" w:rsidRDefault="004B5C63"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Bufebo</w:t>
      </w:r>
      <w:proofErr w:type="spellEnd"/>
      <w:r w:rsidRPr="001A4879">
        <w:rPr>
          <w:rFonts w:ascii="Arial" w:hAnsi="Arial" w:cs="Arial"/>
          <w:color w:val="222222"/>
          <w:shd w:val="clear" w:color="auto" w:fill="FFFFFF"/>
        </w:rPr>
        <w:t xml:space="preserve">, B., &amp; Elias, E. (2020). Effects of land use/land cover changes on selected soil physical and chemical properties in </w:t>
      </w:r>
      <w:proofErr w:type="spellStart"/>
      <w:r w:rsidRPr="001A4879">
        <w:rPr>
          <w:rFonts w:ascii="Arial" w:hAnsi="Arial" w:cs="Arial"/>
          <w:color w:val="222222"/>
          <w:shd w:val="clear" w:color="auto" w:fill="FFFFFF"/>
        </w:rPr>
        <w:t>Shenkolla</w:t>
      </w:r>
      <w:proofErr w:type="spellEnd"/>
      <w:r w:rsidRPr="001A4879">
        <w:rPr>
          <w:rFonts w:ascii="Arial" w:hAnsi="Arial" w:cs="Arial"/>
          <w:color w:val="222222"/>
          <w:shd w:val="clear" w:color="auto" w:fill="FFFFFF"/>
        </w:rPr>
        <w:t xml:space="preserve"> watershed, south Central Ethiopia. </w:t>
      </w:r>
      <w:r w:rsidRPr="001A4879">
        <w:rPr>
          <w:rFonts w:ascii="Arial" w:hAnsi="Arial" w:cs="Arial"/>
          <w:i/>
          <w:iCs/>
          <w:color w:val="222222"/>
          <w:shd w:val="clear" w:color="auto" w:fill="FFFFFF"/>
        </w:rPr>
        <w:t>Advances in Agriculture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2020</w:t>
      </w:r>
      <w:r w:rsidRPr="001A4879">
        <w:rPr>
          <w:rFonts w:ascii="Arial" w:hAnsi="Arial" w:cs="Arial"/>
          <w:color w:val="222222"/>
          <w:shd w:val="clear" w:color="auto" w:fill="FFFFFF"/>
        </w:rPr>
        <w:t>(1), 5145483.</w:t>
      </w:r>
    </w:p>
    <w:p w14:paraId="3C9C2B0A" w14:textId="77777777" w:rsidR="00EA70EA" w:rsidRPr="001A4879" w:rsidRDefault="00EA70EA"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Landon, J. R. (2014). </w:t>
      </w:r>
      <w:r w:rsidRPr="001A4879">
        <w:rPr>
          <w:rFonts w:ascii="Arial" w:hAnsi="Arial" w:cs="Arial"/>
          <w:i/>
          <w:iCs/>
          <w:color w:val="222222"/>
          <w:shd w:val="clear" w:color="auto" w:fill="FFFFFF"/>
        </w:rPr>
        <w:t>Booker tropical soil manual: a handbook for soil survey and agricultural land evaluation in the tropics and subtropics</w:t>
      </w:r>
      <w:r w:rsidRPr="001A4879">
        <w:rPr>
          <w:rFonts w:ascii="Arial" w:hAnsi="Arial" w:cs="Arial"/>
          <w:color w:val="222222"/>
          <w:shd w:val="clear" w:color="auto" w:fill="FFFFFF"/>
        </w:rPr>
        <w:t>. Routledge.</w:t>
      </w:r>
    </w:p>
    <w:p w14:paraId="4E2BEB49" w14:textId="77777777" w:rsidR="00EA70EA" w:rsidRPr="001A4879" w:rsidRDefault="00EA70EA"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Moges, A., Dagnachew, M., &amp; Yimer, F. (2013). Land Use Effects on Soil Quality Indicators: A Case Study of Abo</w:t>
      </w:r>
      <w:r w:rsidRPr="001A4879">
        <w:rPr>
          <w:rFonts w:ascii="Cambria Math" w:hAnsi="Cambria Math" w:cs="Cambria Math"/>
          <w:color w:val="222222"/>
          <w:shd w:val="clear" w:color="auto" w:fill="FFFFFF"/>
        </w:rPr>
        <w:t>‐</w:t>
      </w:r>
      <w:proofErr w:type="spellStart"/>
      <w:r w:rsidRPr="001A4879">
        <w:rPr>
          <w:rFonts w:ascii="Arial" w:hAnsi="Arial" w:cs="Arial"/>
          <w:color w:val="222222"/>
          <w:shd w:val="clear" w:color="auto" w:fill="FFFFFF"/>
        </w:rPr>
        <w:t>Wonsho</w:t>
      </w:r>
      <w:proofErr w:type="spellEnd"/>
      <w:r w:rsidRPr="001A4879">
        <w:rPr>
          <w:rFonts w:ascii="Arial" w:hAnsi="Arial" w:cs="Arial"/>
          <w:color w:val="222222"/>
          <w:shd w:val="clear" w:color="auto" w:fill="FFFFFF"/>
        </w:rPr>
        <w:t xml:space="preserve"> Southern Ethiopia. </w:t>
      </w:r>
      <w:r w:rsidRPr="001A4879">
        <w:rPr>
          <w:rFonts w:ascii="Arial" w:hAnsi="Arial" w:cs="Arial"/>
          <w:i/>
          <w:iCs/>
          <w:color w:val="222222"/>
          <w:shd w:val="clear" w:color="auto" w:fill="FFFFFF"/>
        </w:rPr>
        <w:t>Applied and Environmental Soil Science</w:t>
      </w:r>
      <w:r w:rsidRPr="001A4879">
        <w:rPr>
          <w:rFonts w:ascii="Arial" w:hAnsi="Arial" w:cs="Arial"/>
          <w:color w:val="222222"/>
          <w:shd w:val="clear" w:color="auto" w:fill="FFFFFF"/>
        </w:rPr>
        <w:t>, </w:t>
      </w:r>
      <w:r w:rsidRPr="001A4879">
        <w:rPr>
          <w:rFonts w:ascii="Arial" w:hAnsi="Arial" w:cs="Arial"/>
          <w:i/>
          <w:iCs/>
          <w:color w:val="222222"/>
          <w:shd w:val="clear" w:color="auto" w:fill="FFFFFF"/>
        </w:rPr>
        <w:t>2013</w:t>
      </w:r>
      <w:r w:rsidRPr="001A4879">
        <w:rPr>
          <w:rFonts w:ascii="Arial" w:hAnsi="Arial" w:cs="Arial"/>
          <w:color w:val="222222"/>
          <w:shd w:val="clear" w:color="auto" w:fill="FFFFFF"/>
        </w:rPr>
        <w:t>(1), 784989.</w:t>
      </w:r>
    </w:p>
    <w:p w14:paraId="05EE2265" w14:textId="77777777" w:rsidR="00EA70EA" w:rsidRPr="001A4879" w:rsidRDefault="00EA70EA" w:rsidP="001A4879">
      <w:pPr>
        <w:spacing w:line="240" w:lineRule="auto"/>
        <w:rPr>
          <w:rFonts w:ascii="Arial" w:hAnsi="Arial" w:cs="Arial"/>
          <w:color w:val="222222"/>
          <w:shd w:val="clear" w:color="auto" w:fill="FFFFFF"/>
        </w:rPr>
      </w:pPr>
      <w:proofErr w:type="spellStart"/>
      <w:r w:rsidRPr="001A4879">
        <w:rPr>
          <w:rFonts w:ascii="Arial" w:hAnsi="Arial" w:cs="Arial"/>
          <w:color w:val="222222"/>
          <w:shd w:val="clear" w:color="auto" w:fill="FFFFFF"/>
        </w:rPr>
        <w:t>Tolessa</w:t>
      </w:r>
      <w:proofErr w:type="spellEnd"/>
      <w:r w:rsidRPr="001A4879">
        <w:rPr>
          <w:rFonts w:ascii="Arial" w:hAnsi="Arial" w:cs="Arial"/>
          <w:color w:val="222222"/>
          <w:shd w:val="clear" w:color="auto" w:fill="FFFFFF"/>
        </w:rPr>
        <w:t xml:space="preserve">, T., &amp; </w:t>
      </w:r>
      <w:proofErr w:type="spellStart"/>
      <w:r w:rsidRPr="001A4879">
        <w:rPr>
          <w:rFonts w:ascii="Arial" w:hAnsi="Arial" w:cs="Arial"/>
          <w:color w:val="222222"/>
          <w:shd w:val="clear" w:color="auto" w:fill="FFFFFF"/>
        </w:rPr>
        <w:t>Senbeta</w:t>
      </w:r>
      <w:proofErr w:type="spellEnd"/>
      <w:r w:rsidRPr="001A4879">
        <w:rPr>
          <w:rFonts w:ascii="Arial" w:hAnsi="Arial" w:cs="Arial"/>
          <w:color w:val="222222"/>
          <w:shd w:val="clear" w:color="auto" w:fill="FFFFFF"/>
        </w:rPr>
        <w:t>, F. (2018). The extent of soil organic carbon and total nitrogen in forest fragments of the central highlands of Ethiopia. </w:t>
      </w:r>
      <w:r w:rsidRPr="001A4879">
        <w:rPr>
          <w:rFonts w:ascii="Arial" w:hAnsi="Arial" w:cs="Arial"/>
          <w:i/>
          <w:iCs/>
          <w:color w:val="222222"/>
          <w:shd w:val="clear" w:color="auto" w:fill="FFFFFF"/>
        </w:rPr>
        <w:t>Journal of Ecology and Environment</w:t>
      </w:r>
      <w:r w:rsidRPr="001A4879">
        <w:rPr>
          <w:rFonts w:ascii="Arial" w:hAnsi="Arial" w:cs="Arial"/>
          <w:color w:val="222222"/>
          <w:shd w:val="clear" w:color="auto" w:fill="FFFFFF"/>
        </w:rPr>
        <w:t>, </w:t>
      </w:r>
      <w:r w:rsidRPr="001A4879">
        <w:rPr>
          <w:rFonts w:ascii="Arial" w:hAnsi="Arial" w:cs="Arial"/>
          <w:i/>
          <w:iCs/>
          <w:color w:val="222222"/>
          <w:shd w:val="clear" w:color="auto" w:fill="FFFFFF"/>
        </w:rPr>
        <w:t>42</w:t>
      </w:r>
      <w:r w:rsidRPr="001A4879">
        <w:rPr>
          <w:rFonts w:ascii="Arial" w:hAnsi="Arial" w:cs="Arial"/>
          <w:color w:val="222222"/>
          <w:shd w:val="clear" w:color="auto" w:fill="FFFFFF"/>
        </w:rPr>
        <w:t>(1), 20.</w:t>
      </w:r>
    </w:p>
    <w:p w14:paraId="1BAA2C20" w14:textId="77777777" w:rsidR="00EA70EA" w:rsidRPr="001A4879" w:rsidRDefault="00EA70EA"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lastRenderedPageBreak/>
        <w:t>Girma, D. (2020). Effect of land use types on selected soil physical and chemical properties at sire morose sub watershed, central highland of Ethiopia. </w:t>
      </w:r>
      <w:r w:rsidRPr="001A4879">
        <w:rPr>
          <w:rFonts w:ascii="Arial" w:hAnsi="Arial" w:cs="Arial"/>
          <w:i/>
          <w:iCs/>
          <w:color w:val="222222"/>
          <w:shd w:val="clear" w:color="auto" w:fill="FFFFFF"/>
        </w:rPr>
        <w:t>Int. J. Eng. Res. Technol</w:t>
      </w:r>
      <w:r w:rsidRPr="001A4879">
        <w:rPr>
          <w:rFonts w:ascii="Arial" w:hAnsi="Arial" w:cs="Arial"/>
          <w:color w:val="222222"/>
          <w:shd w:val="clear" w:color="auto" w:fill="FFFFFF"/>
        </w:rPr>
        <w:t>, </w:t>
      </w:r>
      <w:r w:rsidRPr="001A4879">
        <w:rPr>
          <w:rFonts w:ascii="Arial" w:hAnsi="Arial" w:cs="Arial"/>
          <w:i/>
          <w:iCs/>
          <w:color w:val="222222"/>
          <w:shd w:val="clear" w:color="auto" w:fill="FFFFFF"/>
        </w:rPr>
        <w:t>9</w:t>
      </w:r>
      <w:r w:rsidRPr="001A4879">
        <w:rPr>
          <w:rFonts w:ascii="Arial" w:hAnsi="Arial" w:cs="Arial"/>
          <w:color w:val="222222"/>
          <w:shd w:val="clear" w:color="auto" w:fill="FFFFFF"/>
        </w:rPr>
        <w:t>(5), 770-779.</w:t>
      </w:r>
    </w:p>
    <w:p w14:paraId="6A6B7A46" w14:textId="77777777" w:rsidR="00EA70EA" w:rsidRPr="001A4879" w:rsidRDefault="00EA70EA" w:rsidP="001A4879">
      <w:pPr>
        <w:spacing w:line="240" w:lineRule="auto"/>
        <w:rPr>
          <w:rFonts w:ascii="Arial" w:hAnsi="Arial" w:cs="Arial"/>
          <w:color w:val="222222"/>
          <w:shd w:val="clear" w:color="auto" w:fill="FFFFFF"/>
        </w:rPr>
      </w:pPr>
      <w:r w:rsidRPr="001A4879">
        <w:rPr>
          <w:rFonts w:ascii="Arial" w:hAnsi="Arial" w:cs="Arial"/>
          <w:color w:val="222222"/>
          <w:shd w:val="clear" w:color="auto" w:fill="FFFFFF"/>
        </w:rPr>
        <w:t xml:space="preserve">Beyene, S. (2017). Topographic positions and land use impacted soil properties along </w:t>
      </w:r>
      <w:proofErr w:type="spellStart"/>
      <w:r w:rsidRPr="001A4879">
        <w:rPr>
          <w:rFonts w:ascii="Arial" w:hAnsi="Arial" w:cs="Arial"/>
          <w:color w:val="222222"/>
          <w:shd w:val="clear" w:color="auto" w:fill="FFFFFF"/>
        </w:rPr>
        <w:t>Humbo</w:t>
      </w:r>
      <w:proofErr w:type="spellEnd"/>
      <w:r w:rsidRPr="001A4879">
        <w:rPr>
          <w:rFonts w:ascii="Arial" w:hAnsi="Arial" w:cs="Arial"/>
          <w:color w:val="222222"/>
          <w:shd w:val="clear" w:color="auto" w:fill="FFFFFF"/>
        </w:rPr>
        <w:t xml:space="preserve"> </w:t>
      </w:r>
      <w:proofErr w:type="spellStart"/>
      <w:r w:rsidRPr="001A4879">
        <w:rPr>
          <w:rFonts w:ascii="Arial" w:hAnsi="Arial" w:cs="Arial"/>
          <w:color w:val="222222"/>
          <w:shd w:val="clear" w:color="auto" w:fill="FFFFFF"/>
        </w:rPr>
        <w:t>Larena-Ofa</w:t>
      </w:r>
      <w:proofErr w:type="spellEnd"/>
      <w:r w:rsidRPr="001A4879">
        <w:rPr>
          <w:rFonts w:ascii="Arial" w:hAnsi="Arial" w:cs="Arial"/>
          <w:color w:val="222222"/>
          <w:shd w:val="clear" w:color="auto" w:fill="FFFFFF"/>
        </w:rPr>
        <w:t xml:space="preserve"> Sere </w:t>
      </w:r>
      <w:proofErr w:type="spellStart"/>
      <w:r w:rsidRPr="001A4879">
        <w:rPr>
          <w:rFonts w:ascii="Arial" w:hAnsi="Arial" w:cs="Arial"/>
          <w:color w:val="222222"/>
          <w:shd w:val="clear" w:color="auto" w:fill="FFFFFF"/>
        </w:rPr>
        <w:t>toposequence</w:t>
      </w:r>
      <w:proofErr w:type="spellEnd"/>
      <w:r w:rsidRPr="001A4879">
        <w:rPr>
          <w:rFonts w:ascii="Arial" w:hAnsi="Arial" w:cs="Arial"/>
          <w:color w:val="222222"/>
          <w:shd w:val="clear" w:color="auto" w:fill="FFFFFF"/>
        </w:rPr>
        <w:t>, Southern Ethiopia. </w:t>
      </w:r>
      <w:r w:rsidRPr="001A4879">
        <w:rPr>
          <w:rFonts w:ascii="Arial" w:hAnsi="Arial" w:cs="Arial"/>
          <w:i/>
          <w:iCs/>
          <w:color w:val="222222"/>
          <w:shd w:val="clear" w:color="auto" w:fill="FFFFFF"/>
        </w:rPr>
        <w:t>Journal of Soil Science and Environmental Management</w:t>
      </w:r>
      <w:r w:rsidRPr="001A4879">
        <w:rPr>
          <w:rFonts w:ascii="Arial" w:hAnsi="Arial" w:cs="Arial"/>
          <w:color w:val="222222"/>
          <w:shd w:val="clear" w:color="auto" w:fill="FFFFFF"/>
        </w:rPr>
        <w:t>, </w:t>
      </w:r>
      <w:r w:rsidRPr="001A4879">
        <w:rPr>
          <w:rFonts w:ascii="Arial" w:hAnsi="Arial" w:cs="Arial"/>
          <w:i/>
          <w:iCs/>
          <w:color w:val="222222"/>
          <w:shd w:val="clear" w:color="auto" w:fill="FFFFFF"/>
        </w:rPr>
        <w:t>8</w:t>
      </w:r>
      <w:r w:rsidRPr="001A4879">
        <w:rPr>
          <w:rFonts w:ascii="Arial" w:hAnsi="Arial" w:cs="Arial"/>
          <w:color w:val="222222"/>
          <w:shd w:val="clear" w:color="auto" w:fill="FFFFFF"/>
        </w:rPr>
        <w:t>(8), 135-147.</w:t>
      </w:r>
    </w:p>
    <w:p w14:paraId="383EC78A" w14:textId="77777777" w:rsidR="00756FA2" w:rsidRPr="001A4879" w:rsidRDefault="00756FA2" w:rsidP="00ED1518">
      <w:pPr>
        <w:spacing w:line="240" w:lineRule="auto"/>
        <w:rPr>
          <w:rStyle w:val="author"/>
          <w:rFonts w:ascii="Arial" w:hAnsi="Arial" w:cs="Arial"/>
          <w:color w:val="1C1D1E"/>
          <w:shd w:val="clear" w:color="auto" w:fill="EFEFF0"/>
        </w:rPr>
      </w:pPr>
    </w:p>
    <w:p w14:paraId="5B79D97D" w14:textId="77777777" w:rsidR="006C36A5" w:rsidRPr="00ED1518" w:rsidRDefault="006C36A5" w:rsidP="00ED1518">
      <w:pPr>
        <w:spacing w:line="240" w:lineRule="auto"/>
        <w:ind w:hanging="634"/>
      </w:pPr>
    </w:p>
    <w:sectPr w:rsidR="006C36A5" w:rsidRPr="00ED1518" w:rsidSect="002B0C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D576B" w14:textId="77777777" w:rsidR="00691897" w:rsidRDefault="00691897" w:rsidP="00E657F1">
      <w:pPr>
        <w:spacing w:before="0" w:after="0" w:line="240" w:lineRule="auto"/>
      </w:pPr>
      <w:r>
        <w:separator/>
      </w:r>
    </w:p>
  </w:endnote>
  <w:endnote w:type="continuationSeparator" w:id="0">
    <w:p w14:paraId="3E0F4182" w14:textId="77777777" w:rsidR="00691897" w:rsidRDefault="00691897" w:rsidP="00E657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209F" w14:textId="77777777" w:rsidR="002B0C34" w:rsidRDefault="002B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DDA4" w14:textId="77777777" w:rsidR="002B0C34" w:rsidRDefault="002B0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6997" w14:textId="77777777" w:rsidR="002B0C34" w:rsidRDefault="002B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27270" w14:textId="77777777" w:rsidR="00691897" w:rsidRDefault="00691897" w:rsidP="00E657F1">
      <w:pPr>
        <w:spacing w:before="0" w:after="0" w:line="240" w:lineRule="auto"/>
      </w:pPr>
      <w:r>
        <w:separator/>
      </w:r>
    </w:p>
  </w:footnote>
  <w:footnote w:type="continuationSeparator" w:id="0">
    <w:p w14:paraId="6E91B86F" w14:textId="77777777" w:rsidR="00691897" w:rsidRDefault="00691897" w:rsidP="00E657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B3F2" w14:textId="65EB8D80" w:rsidR="002B0C34" w:rsidRDefault="002B0C34">
    <w:pPr>
      <w:pStyle w:val="Header"/>
    </w:pPr>
    <w:r>
      <w:rPr>
        <w:noProof/>
      </w:rPr>
      <w:pict w14:anchorId="2E49F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02412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878A4" w14:textId="3A5C3D02" w:rsidR="002B0C34" w:rsidRDefault="002B0C34">
    <w:pPr>
      <w:pStyle w:val="Header"/>
    </w:pPr>
    <w:r>
      <w:rPr>
        <w:noProof/>
      </w:rPr>
      <w:pict w14:anchorId="6C8B6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02412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F350" w14:textId="335506E4" w:rsidR="002B0C34" w:rsidRDefault="002B0C34">
    <w:pPr>
      <w:pStyle w:val="Header"/>
    </w:pPr>
    <w:r>
      <w:rPr>
        <w:noProof/>
      </w:rPr>
      <w:pict w14:anchorId="31736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02412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B1658"/>
    <w:multiLevelType w:val="hybridMultilevel"/>
    <w:tmpl w:val="44AE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391AD9"/>
    <w:multiLevelType w:val="multilevel"/>
    <w:tmpl w:val="7C869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7F1"/>
    <w:rsid w:val="00010D95"/>
    <w:rsid w:val="0001265B"/>
    <w:rsid w:val="000174CA"/>
    <w:rsid w:val="00020049"/>
    <w:rsid w:val="0003414A"/>
    <w:rsid w:val="000956B8"/>
    <w:rsid w:val="000C65DB"/>
    <w:rsid w:val="000D31EC"/>
    <w:rsid w:val="000E4102"/>
    <w:rsid w:val="000F1645"/>
    <w:rsid w:val="001110ED"/>
    <w:rsid w:val="001213F2"/>
    <w:rsid w:val="00135BA4"/>
    <w:rsid w:val="001707C9"/>
    <w:rsid w:val="00171FDE"/>
    <w:rsid w:val="001A4879"/>
    <w:rsid w:val="001A6B4B"/>
    <w:rsid w:val="001B1047"/>
    <w:rsid w:val="001C37ED"/>
    <w:rsid w:val="001E7078"/>
    <w:rsid w:val="001F7538"/>
    <w:rsid w:val="002069C5"/>
    <w:rsid w:val="00214F4E"/>
    <w:rsid w:val="00217873"/>
    <w:rsid w:val="00232B43"/>
    <w:rsid w:val="0023659B"/>
    <w:rsid w:val="00236E64"/>
    <w:rsid w:val="002627CF"/>
    <w:rsid w:val="002663DF"/>
    <w:rsid w:val="002722EE"/>
    <w:rsid w:val="00281622"/>
    <w:rsid w:val="002A1413"/>
    <w:rsid w:val="002B0C34"/>
    <w:rsid w:val="002B2308"/>
    <w:rsid w:val="002B2FD3"/>
    <w:rsid w:val="0032216E"/>
    <w:rsid w:val="00330355"/>
    <w:rsid w:val="003311CA"/>
    <w:rsid w:val="00333991"/>
    <w:rsid w:val="00373DFB"/>
    <w:rsid w:val="003B48DA"/>
    <w:rsid w:val="003C0CA1"/>
    <w:rsid w:val="003C56FE"/>
    <w:rsid w:val="003F5552"/>
    <w:rsid w:val="004053E4"/>
    <w:rsid w:val="00406C46"/>
    <w:rsid w:val="00411597"/>
    <w:rsid w:val="00425A9C"/>
    <w:rsid w:val="00436009"/>
    <w:rsid w:val="00441411"/>
    <w:rsid w:val="00442612"/>
    <w:rsid w:val="0046000F"/>
    <w:rsid w:val="00466499"/>
    <w:rsid w:val="004823E4"/>
    <w:rsid w:val="004B5C63"/>
    <w:rsid w:val="004C3E31"/>
    <w:rsid w:val="00513EF9"/>
    <w:rsid w:val="005165DE"/>
    <w:rsid w:val="00520992"/>
    <w:rsid w:val="00530434"/>
    <w:rsid w:val="00550E1D"/>
    <w:rsid w:val="00595461"/>
    <w:rsid w:val="00632A26"/>
    <w:rsid w:val="00640D40"/>
    <w:rsid w:val="0066084D"/>
    <w:rsid w:val="00661040"/>
    <w:rsid w:val="00680CAD"/>
    <w:rsid w:val="00691897"/>
    <w:rsid w:val="00692A0D"/>
    <w:rsid w:val="006B4BC5"/>
    <w:rsid w:val="006B6D73"/>
    <w:rsid w:val="006C36A5"/>
    <w:rsid w:val="006C4591"/>
    <w:rsid w:val="006E40F6"/>
    <w:rsid w:val="00714D3F"/>
    <w:rsid w:val="00727BED"/>
    <w:rsid w:val="00730AB3"/>
    <w:rsid w:val="0073643F"/>
    <w:rsid w:val="00756FA2"/>
    <w:rsid w:val="00761DF0"/>
    <w:rsid w:val="007728E4"/>
    <w:rsid w:val="0077545A"/>
    <w:rsid w:val="007C312D"/>
    <w:rsid w:val="007F2BDE"/>
    <w:rsid w:val="008035B4"/>
    <w:rsid w:val="00815FC8"/>
    <w:rsid w:val="00823155"/>
    <w:rsid w:val="0084596E"/>
    <w:rsid w:val="00852BB4"/>
    <w:rsid w:val="00864A0A"/>
    <w:rsid w:val="00865EF3"/>
    <w:rsid w:val="008916BF"/>
    <w:rsid w:val="008A5FC2"/>
    <w:rsid w:val="008C0675"/>
    <w:rsid w:val="008C61EA"/>
    <w:rsid w:val="008D03A4"/>
    <w:rsid w:val="009050C3"/>
    <w:rsid w:val="00924B20"/>
    <w:rsid w:val="00925B04"/>
    <w:rsid w:val="009306EF"/>
    <w:rsid w:val="009320B8"/>
    <w:rsid w:val="0097062B"/>
    <w:rsid w:val="00990D75"/>
    <w:rsid w:val="00A068B9"/>
    <w:rsid w:val="00A472B9"/>
    <w:rsid w:val="00A61EC9"/>
    <w:rsid w:val="00A716B8"/>
    <w:rsid w:val="00A73BCC"/>
    <w:rsid w:val="00A91B42"/>
    <w:rsid w:val="00A94C2B"/>
    <w:rsid w:val="00A94E9C"/>
    <w:rsid w:val="00AA028D"/>
    <w:rsid w:val="00AA33EA"/>
    <w:rsid w:val="00AB4026"/>
    <w:rsid w:val="00AB7155"/>
    <w:rsid w:val="00AC6AD4"/>
    <w:rsid w:val="00B06970"/>
    <w:rsid w:val="00B31019"/>
    <w:rsid w:val="00B414C0"/>
    <w:rsid w:val="00B416F5"/>
    <w:rsid w:val="00B54ABB"/>
    <w:rsid w:val="00B86B04"/>
    <w:rsid w:val="00BA272F"/>
    <w:rsid w:val="00BA3AC7"/>
    <w:rsid w:val="00BA4CBD"/>
    <w:rsid w:val="00BC74BB"/>
    <w:rsid w:val="00BE3EDC"/>
    <w:rsid w:val="00BF078B"/>
    <w:rsid w:val="00C07E2C"/>
    <w:rsid w:val="00C15AEE"/>
    <w:rsid w:val="00C37C92"/>
    <w:rsid w:val="00C62BC8"/>
    <w:rsid w:val="00CB06A5"/>
    <w:rsid w:val="00CB48CD"/>
    <w:rsid w:val="00CC5C4E"/>
    <w:rsid w:val="00CE3FD3"/>
    <w:rsid w:val="00D0677F"/>
    <w:rsid w:val="00D40441"/>
    <w:rsid w:val="00D42200"/>
    <w:rsid w:val="00D473D3"/>
    <w:rsid w:val="00D66CEE"/>
    <w:rsid w:val="00D73741"/>
    <w:rsid w:val="00D7698C"/>
    <w:rsid w:val="00D806C6"/>
    <w:rsid w:val="00D93460"/>
    <w:rsid w:val="00DA1649"/>
    <w:rsid w:val="00DD7122"/>
    <w:rsid w:val="00DE2087"/>
    <w:rsid w:val="00DE728F"/>
    <w:rsid w:val="00E31FFC"/>
    <w:rsid w:val="00E536F7"/>
    <w:rsid w:val="00E57105"/>
    <w:rsid w:val="00E657F1"/>
    <w:rsid w:val="00E958FB"/>
    <w:rsid w:val="00EA080C"/>
    <w:rsid w:val="00EA70EA"/>
    <w:rsid w:val="00EB0391"/>
    <w:rsid w:val="00EB15F5"/>
    <w:rsid w:val="00EC17C9"/>
    <w:rsid w:val="00EC1C6B"/>
    <w:rsid w:val="00EC7CE6"/>
    <w:rsid w:val="00ED1518"/>
    <w:rsid w:val="00F0654B"/>
    <w:rsid w:val="00F10F45"/>
    <w:rsid w:val="00F11208"/>
    <w:rsid w:val="00F23BCD"/>
    <w:rsid w:val="00F55AE2"/>
    <w:rsid w:val="00F56921"/>
    <w:rsid w:val="00F708F1"/>
    <w:rsid w:val="00FC6238"/>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4AB2CE"/>
  <w15:docId w15:val="{B8E14D95-BADD-4C8E-92CA-F0018A68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7F1"/>
    <w:pPr>
      <w:tabs>
        <w:tab w:val="left" w:pos="630"/>
      </w:tabs>
      <w:spacing w:before="240" w:after="120" w:line="480" w:lineRule="auto"/>
      <w:jc w:val="both"/>
    </w:pPr>
    <w:rPr>
      <w:rFonts w:ascii="Times New Roman" w:eastAsiaTheme="minorEastAsia" w:hAnsi="Times New Roman" w:cs="Times New Roman"/>
      <w:sz w:val="24"/>
      <w:szCs w:val="24"/>
      <w:lang w:bidi="en-US"/>
    </w:rPr>
  </w:style>
  <w:style w:type="paragraph" w:styleId="Heading2">
    <w:name w:val="heading 2"/>
    <w:basedOn w:val="Normal"/>
    <w:next w:val="Normal"/>
    <w:link w:val="Heading2Char"/>
    <w:uiPriority w:val="9"/>
    <w:unhideWhenUsed/>
    <w:qFormat/>
    <w:rsid w:val="00E657F1"/>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7F1"/>
    <w:rPr>
      <w:rFonts w:asciiTheme="majorHAnsi" w:eastAsiaTheme="majorEastAsia" w:hAnsiTheme="majorHAnsi" w:cstheme="majorBidi"/>
      <w:b/>
      <w:bCs/>
      <w:sz w:val="26"/>
      <w:szCs w:val="26"/>
      <w:lang w:bidi="en-US"/>
    </w:rPr>
  </w:style>
  <w:style w:type="table" w:styleId="TableGrid">
    <w:name w:val="Table Grid"/>
    <w:basedOn w:val="TableNormal"/>
    <w:uiPriority w:val="59"/>
    <w:rsid w:val="00E657F1"/>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57F1"/>
    <w:pPr>
      <w:spacing w:line="240" w:lineRule="auto"/>
    </w:pPr>
    <w:rPr>
      <w:b/>
      <w:bCs/>
      <w:color w:val="4472C4" w:themeColor="accent1"/>
      <w:sz w:val="18"/>
      <w:szCs w:val="18"/>
    </w:rPr>
  </w:style>
  <w:style w:type="paragraph" w:styleId="FootnoteText">
    <w:name w:val="footnote text"/>
    <w:basedOn w:val="Normal"/>
    <w:link w:val="FootnoteTextChar"/>
    <w:uiPriority w:val="99"/>
    <w:semiHidden/>
    <w:unhideWhenUsed/>
    <w:rsid w:val="00E657F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57F1"/>
    <w:rPr>
      <w:rFonts w:ascii="Times New Roman" w:eastAsiaTheme="minorEastAsia" w:hAnsi="Times New Roman" w:cs="Times New Roman"/>
      <w:sz w:val="20"/>
      <w:szCs w:val="20"/>
      <w:lang w:bidi="en-US"/>
    </w:rPr>
  </w:style>
  <w:style w:type="character" w:styleId="FootnoteReference">
    <w:name w:val="footnote reference"/>
    <w:basedOn w:val="DefaultParagraphFont"/>
    <w:uiPriority w:val="99"/>
    <w:semiHidden/>
    <w:unhideWhenUsed/>
    <w:rsid w:val="00E657F1"/>
    <w:rPr>
      <w:vertAlign w:val="superscript"/>
    </w:rPr>
  </w:style>
  <w:style w:type="paragraph" w:styleId="ListParagraph">
    <w:name w:val="List Paragraph"/>
    <w:basedOn w:val="Normal"/>
    <w:uiPriority w:val="34"/>
    <w:qFormat/>
    <w:rsid w:val="00761DF0"/>
    <w:pPr>
      <w:ind w:left="720"/>
      <w:contextualSpacing/>
    </w:pPr>
  </w:style>
  <w:style w:type="character" w:customStyle="1" w:styleId="author">
    <w:name w:val="author"/>
    <w:basedOn w:val="DefaultParagraphFont"/>
    <w:rsid w:val="00756FA2"/>
  </w:style>
  <w:style w:type="character" w:customStyle="1" w:styleId="articletitle">
    <w:name w:val="articletitle"/>
    <w:basedOn w:val="DefaultParagraphFont"/>
    <w:rsid w:val="00756FA2"/>
  </w:style>
  <w:style w:type="character" w:customStyle="1" w:styleId="pubyear">
    <w:name w:val="pubyear"/>
    <w:basedOn w:val="DefaultParagraphFont"/>
    <w:rsid w:val="00756FA2"/>
  </w:style>
  <w:style w:type="character" w:customStyle="1" w:styleId="vol">
    <w:name w:val="vol"/>
    <w:basedOn w:val="DefaultParagraphFont"/>
    <w:rsid w:val="00756FA2"/>
  </w:style>
  <w:style w:type="character" w:customStyle="1" w:styleId="pagefirst">
    <w:name w:val="pagefirst"/>
    <w:basedOn w:val="DefaultParagraphFont"/>
    <w:rsid w:val="00756FA2"/>
  </w:style>
  <w:style w:type="character" w:customStyle="1" w:styleId="pagelast">
    <w:name w:val="pagelast"/>
    <w:basedOn w:val="DefaultParagraphFont"/>
    <w:rsid w:val="00756FA2"/>
  </w:style>
  <w:style w:type="character" w:styleId="Hyperlink">
    <w:name w:val="Hyperlink"/>
    <w:basedOn w:val="DefaultParagraphFont"/>
    <w:uiPriority w:val="99"/>
    <w:unhideWhenUsed/>
    <w:rsid w:val="00756FA2"/>
    <w:rPr>
      <w:color w:val="0000FF"/>
      <w:u w:val="single"/>
    </w:rPr>
  </w:style>
  <w:style w:type="paragraph" w:styleId="Header">
    <w:name w:val="header"/>
    <w:basedOn w:val="Normal"/>
    <w:link w:val="HeaderChar"/>
    <w:uiPriority w:val="99"/>
    <w:unhideWhenUsed/>
    <w:rsid w:val="00756FA2"/>
    <w:pPr>
      <w:tabs>
        <w:tab w:val="clear" w:pos="630"/>
        <w:tab w:val="center" w:pos="4680"/>
        <w:tab w:val="right" w:pos="9360"/>
      </w:tabs>
      <w:spacing w:before="0" w:after="0" w:line="240" w:lineRule="auto"/>
    </w:pPr>
  </w:style>
  <w:style w:type="character" w:customStyle="1" w:styleId="HeaderChar">
    <w:name w:val="Header Char"/>
    <w:basedOn w:val="DefaultParagraphFont"/>
    <w:link w:val="Header"/>
    <w:uiPriority w:val="99"/>
    <w:rsid w:val="00756FA2"/>
    <w:rPr>
      <w:rFonts w:ascii="Times New Roman" w:eastAsiaTheme="minorEastAsia" w:hAnsi="Times New Roman" w:cs="Times New Roman"/>
      <w:sz w:val="24"/>
      <w:szCs w:val="24"/>
      <w:lang w:bidi="en-US"/>
    </w:rPr>
  </w:style>
  <w:style w:type="paragraph" w:styleId="Footer">
    <w:name w:val="footer"/>
    <w:basedOn w:val="Normal"/>
    <w:link w:val="FooterChar"/>
    <w:uiPriority w:val="99"/>
    <w:unhideWhenUsed/>
    <w:rsid w:val="00756FA2"/>
    <w:pPr>
      <w:tabs>
        <w:tab w:val="clear" w:pos="630"/>
        <w:tab w:val="center" w:pos="4680"/>
        <w:tab w:val="right" w:pos="9360"/>
      </w:tabs>
      <w:spacing w:before="0" w:after="0" w:line="240" w:lineRule="auto"/>
    </w:pPr>
  </w:style>
  <w:style w:type="character" w:customStyle="1" w:styleId="FooterChar">
    <w:name w:val="Footer Char"/>
    <w:basedOn w:val="DefaultParagraphFont"/>
    <w:link w:val="Footer"/>
    <w:uiPriority w:val="99"/>
    <w:rsid w:val="00756FA2"/>
    <w:rPr>
      <w:rFonts w:ascii="Times New Roman" w:eastAsiaTheme="minorEastAsia" w:hAnsi="Times New Roman" w:cs="Times New Roman"/>
      <w:sz w:val="24"/>
      <w:szCs w:val="24"/>
      <w:lang w:bidi="en-US"/>
    </w:rPr>
  </w:style>
  <w:style w:type="paragraph" w:styleId="BalloonText">
    <w:name w:val="Balloon Text"/>
    <w:basedOn w:val="Normal"/>
    <w:link w:val="BalloonTextChar"/>
    <w:uiPriority w:val="99"/>
    <w:semiHidden/>
    <w:unhideWhenUsed/>
    <w:rsid w:val="00BA3AC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AC7"/>
    <w:rPr>
      <w:rFonts w:ascii="Tahoma" w:eastAsiaTheme="minorEastAsia" w:hAnsi="Tahoma" w:cs="Tahoma"/>
      <w:sz w:val="16"/>
      <w:szCs w:val="16"/>
      <w:lang w:bidi="en-US"/>
    </w:rPr>
  </w:style>
  <w:style w:type="character" w:styleId="LineNumber">
    <w:name w:val="line number"/>
    <w:basedOn w:val="DefaultParagraphFont"/>
    <w:uiPriority w:val="99"/>
    <w:semiHidden/>
    <w:unhideWhenUsed/>
    <w:rsid w:val="001A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573">
      <w:bodyDiv w:val="1"/>
      <w:marLeft w:val="0"/>
      <w:marRight w:val="0"/>
      <w:marTop w:val="0"/>
      <w:marBottom w:val="0"/>
      <w:divBdr>
        <w:top w:val="none" w:sz="0" w:space="0" w:color="auto"/>
        <w:left w:val="none" w:sz="0" w:space="0" w:color="auto"/>
        <w:bottom w:val="none" w:sz="0" w:space="0" w:color="auto"/>
        <w:right w:val="none" w:sz="0" w:space="0" w:color="auto"/>
      </w:divBdr>
    </w:div>
    <w:div w:id="12730332">
      <w:bodyDiv w:val="1"/>
      <w:marLeft w:val="0"/>
      <w:marRight w:val="0"/>
      <w:marTop w:val="0"/>
      <w:marBottom w:val="0"/>
      <w:divBdr>
        <w:top w:val="none" w:sz="0" w:space="0" w:color="auto"/>
        <w:left w:val="none" w:sz="0" w:space="0" w:color="auto"/>
        <w:bottom w:val="none" w:sz="0" w:space="0" w:color="auto"/>
        <w:right w:val="none" w:sz="0" w:space="0" w:color="auto"/>
      </w:divBdr>
    </w:div>
    <w:div w:id="298727701">
      <w:bodyDiv w:val="1"/>
      <w:marLeft w:val="0"/>
      <w:marRight w:val="0"/>
      <w:marTop w:val="0"/>
      <w:marBottom w:val="0"/>
      <w:divBdr>
        <w:top w:val="none" w:sz="0" w:space="0" w:color="auto"/>
        <w:left w:val="none" w:sz="0" w:space="0" w:color="auto"/>
        <w:bottom w:val="none" w:sz="0" w:space="0" w:color="auto"/>
        <w:right w:val="none" w:sz="0" w:space="0" w:color="auto"/>
      </w:divBdr>
    </w:div>
    <w:div w:id="450131492">
      <w:bodyDiv w:val="1"/>
      <w:marLeft w:val="0"/>
      <w:marRight w:val="0"/>
      <w:marTop w:val="0"/>
      <w:marBottom w:val="0"/>
      <w:divBdr>
        <w:top w:val="none" w:sz="0" w:space="0" w:color="auto"/>
        <w:left w:val="none" w:sz="0" w:space="0" w:color="auto"/>
        <w:bottom w:val="none" w:sz="0" w:space="0" w:color="auto"/>
        <w:right w:val="none" w:sz="0" w:space="0" w:color="auto"/>
      </w:divBdr>
    </w:div>
    <w:div w:id="574163887">
      <w:bodyDiv w:val="1"/>
      <w:marLeft w:val="0"/>
      <w:marRight w:val="0"/>
      <w:marTop w:val="0"/>
      <w:marBottom w:val="0"/>
      <w:divBdr>
        <w:top w:val="none" w:sz="0" w:space="0" w:color="auto"/>
        <w:left w:val="none" w:sz="0" w:space="0" w:color="auto"/>
        <w:bottom w:val="none" w:sz="0" w:space="0" w:color="auto"/>
        <w:right w:val="none" w:sz="0" w:space="0" w:color="auto"/>
      </w:divBdr>
    </w:div>
    <w:div w:id="591165610">
      <w:bodyDiv w:val="1"/>
      <w:marLeft w:val="0"/>
      <w:marRight w:val="0"/>
      <w:marTop w:val="0"/>
      <w:marBottom w:val="0"/>
      <w:divBdr>
        <w:top w:val="none" w:sz="0" w:space="0" w:color="auto"/>
        <w:left w:val="none" w:sz="0" w:space="0" w:color="auto"/>
        <w:bottom w:val="none" w:sz="0" w:space="0" w:color="auto"/>
        <w:right w:val="none" w:sz="0" w:space="0" w:color="auto"/>
      </w:divBdr>
    </w:div>
    <w:div w:id="661086736">
      <w:bodyDiv w:val="1"/>
      <w:marLeft w:val="0"/>
      <w:marRight w:val="0"/>
      <w:marTop w:val="0"/>
      <w:marBottom w:val="0"/>
      <w:divBdr>
        <w:top w:val="none" w:sz="0" w:space="0" w:color="auto"/>
        <w:left w:val="none" w:sz="0" w:space="0" w:color="auto"/>
        <w:bottom w:val="none" w:sz="0" w:space="0" w:color="auto"/>
        <w:right w:val="none" w:sz="0" w:space="0" w:color="auto"/>
      </w:divBdr>
    </w:div>
    <w:div w:id="799423796">
      <w:bodyDiv w:val="1"/>
      <w:marLeft w:val="0"/>
      <w:marRight w:val="0"/>
      <w:marTop w:val="0"/>
      <w:marBottom w:val="0"/>
      <w:divBdr>
        <w:top w:val="none" w:sz="0" w:space="0" w:color="auto"/>
        <w:left w:val="none" w:sz="0" w:space="0" w:color="auto"/>
        <w:bottom w:val="none" w:sz="0" w:space="0" w:color="auto"/>
        <w:right w:val="none" w:sz="0" w:space="0" w:color="auto"/>
      </w:divBdr>
    </w:div>
    <w:div w:id="859464607">
      <w:bodyDiv w:val="1"/>
      <w:marLeft w:val="0"/>
      <w:marRight w:val="0"/>
      <w:marTop w:val="0"/>
      <w:marBottom w:val="0"/>
      <w:divBdr>
        <w:top w:val="none" w:sz="0" w:space="0" w:color="auto"/>
        <w:left w:val="none" w:sz="0" w:space="0" w:color="auto"/>
        <w:bottom w:val="none" w:sz="0" w:space="0" w:color="auto"/>
        <w:right w:val="none" w:sz="0" w:space="0" w:color="auto"/>
      </w:divBdr>
    </w:div>
    <w:div w:id="1040208533">
      <w:bodyDiv w:val="1"/>
      <w:marLeft w:val="0"/>
      <w:marRight w:val="0"/>
      <w:marTop w:val="0"/>
      <w:marBottom w:val="0"/>
      <w:divBdr>
        <w:top w:val="none" w:sz="0" w:space="0" w:color="auto"/>
        <w:left w:val="none" w:sz="0" w:space="0" w:color="auto"/>
        <w:bottom w:val="none" w:sz="0" w:space="0" w:color="auto"/>
        <w:right w:val="none" w:sz="0" w:space="0" w:color="auto"/>
      </w:divBdr>
    </w:div>
    <w:div w:id="1070425342">
      <w:bodyDiv w:val="1"/>
      <w:marLeft w:val="0"/>
      <w:marRight w:val="0"/>
      <w:marTop w:val="0"/>
      <w:marBottom w:val="0"/>
      <w:divBdr>
        <w:top w:val="none" w:sz="0" w:space="0" w:color="auto"/>
        <w:left w:val="none" w:sz="0" w:space="0" w:color="auto"/>
        <w:bottom w:val="none" w:sz="0" w:space="0" w:color="auto"/>
        <w:right w:val="none" w:sz="0" w:space="0" w:color="auto"/>
      </w:divBdr>
    </w:div>
    <w:div w:id="1129084510">
      <w:bodyDiv w:val="1"/>
      <w:marLeft w:val="0"/>
      <w:marRight w:val="0"/>
      <w:marTop w:val="0"/>
      <w:marBottom w:val="0"/>
      <w:divBdr>
        <w:top w:val="none" w:sz="0" w:space="0" w:color="auto"/>
        <w:left w:val="none" w:sz="0" w:space="0" w:color="auto"/>
        <w:bottom w:val="none" w:sz="0" w:space="0" w:color="auto"/>
        <w:right w:val="none" w:sz="0" w:space="0" w:color="auto"/>
      </w:divBdr>
    </w:div>
    <w:div w:id="1266378149">
      <w:bodyDiv w:val="1"/>
      <w:marLeft w:val="0"/>
      <w:marRight w:val="0"/>
      <w:marTop w:val="0"/>
      <w:marBottom w:val="0"/>
      <w:divBdr>
        <w:top w:val="none" w:sz="0" w:space="0" w:color="auto"/>
        <w:left w:val="none" w:sz="0" w:space="0" w:color="auto"/>
        <w:bottom w:val="none" w:sz="0" w:space="0" w:color="auto"/>
        <w:right w:val="none" w:sz="0" w:space="0" w:color="auto"/>
      </w:divBdr>
    </w:div>
    <w:div w:id="1295480119">
      <w:bodyDiv w:val="1"/>
      <w:marLeft w:val="0"/>
      <w:marRight w:val="0"/>
      <w:marTop w:val="0"/>
      <w:marBottom w:val="0"/>
      <w:divBdr>
        <w:top w:val="none" w:sz="0" w:space="0" w:color="auto"/>
        <w:left w:val="none" w:sz="0" w:space="0" w:color="auto"/>
        <w:bottom w:val="none" w:sz="0" w:space="0" w:color="auto"/>
        <w:right w:val="none" w:sz="0" w:space="0" w:color="auto"/>
      </w:divBdr>
    </w:div>
    <w:div w:id="1315187212">
      <w:bodyDiv w:val="1"/>
      <w:marLeft w:val="0"/>
      <w:marRight w:val="0"/>
      <w:marTop w:val="0"/>
      <w:marBottom w:val="0"/>
      <w:divBdr>
        <w:top w:val="none" w:sz="0" w:space="0" w:color="auto"/>
        <w:left w:val="none" w:sz="0" w:space="0" w:color="auto"/>
        <w:bottom w:val="none" w:sz="0" w:space="0" w:color="auto"/>
        <w:right w:val="none" w:sz="0" w:space="0" w:color="auto"/>
      </w:divBdr>
    </w:div>
    <w:div w:id="1351680226">
      <w:bodyDiv w:val="1"/>
      <w:marLeft w:val="0"/>
      <w:marRight w:val="0"/>
      <w:marTop w:val="0"/>
      <w:marBottom w:val="0"/>
      <w:divBdr>
        <w:top w:val="none" w:sz="0" w:space="0" w:color="auto"/>
        <w:left w:val="none" w:sz="0" w:space="0" w:color="auto"/>
        <w:bottom w:val="none" w:sz="0" w:space="0" w:color="auto"/>
        <w:right w:val="none" w:sz="0" w:space="0" w:color="auto"/>
      </w:divBdr>
    </w:div>
    <w:div w:id="1487089753">
      <w:bodyDiv w:val="1"/>
      <w:marLeft w:val="0"/>
      <w:marRight w:val="0"/>
      <w:marTop w:val="0"/>
      <w:marBottom w:val="0"/>
      <w:divBdr>
        <w:top w:val="none" w:sz="0" w:space="0" w:color="auto"/>
        <w:left w:val="none" w:sz="0" w:space="0" w:color="auto"/>
        <w:bottom w:val="none" w:sz="0" w:space="0" w:color="auto"/>
        <w:right w:val="none" w:sz="0" w:space="0" w:color="auto"/>
      </w:divBdr>
    </w:div>
    <w:div w:id="1488782834">
      <w:bodyDiv w:val="1"/>
      <w:marLeft w:val="0"/>
      <w:marRight w:val="0"/>
      <w:marTop w:val="0"/>
      <w:marBottom w:val="0"/>
      <w:divBdr>
        <w:top w:val="none" w:sz="0" w:space="0" w:color="auto"/>
        <w:left w:val="none" w:sz="0" w:space="0" w:color="auto"/>
        <w:bottom w:val="none" w:sz="0" w:space="0" w:color="auto"/>
        <w:right w:val="none" w:sz="0" w:space="0" w:color="auto"/>
      </w:divBdr>
    </w:div>
    <w:div w:id="1506745224">
      <w:bodyDiv w:val="1"/>
      <w:marLeft w:val="0"/>
      <w:marRight w:val="0"/>
      <w:marTop w:val="0"/>
      <w:marBottom w:val="0"/>
      <w:divBdr>
        <w:top w:val="none" w:sz="0" w:space="0" w:color="auto"/>
        <w:left w:val="none" w:sz="0" w:space="0" w:color="auto"/>
        <w:bottom w:val="none" w:sz="0" w:space="0" w:color="auto"/>
        <w:right w:val="none" w:sz="0" w:space="0" w:color="auto"/>
      </w:divBdr>
    </w:div>
    <w:div w:id="1624574365">
      <w:bodyDiv w:val="1"/>
      <w:marLeft w:val="0"/>
      <w:marRight w:val="0"/>
      <w:marTop w:val="0"/>
      <w:marBottom w:val="0"/>
      <w:divBdr>
        <w:top w:val="none" w:sz="0" w:space="0" w:color="auto"/>
        <w:left w:val="none" w:sz="0" w:space="0" w:color="auto"/>
        <w:bottom w:val="none" w:sz="0" w:space="0" w:color="auto"/>
        <w:right w:val="none" w:sz="0" w:space="0" w:color="auto"/>
      </w:divBdr>
    </w:div>
    <w:div w:id="1653562664">
      <w:bodyDiv w:val="1"/>
      <w:marLeft w:val="0"/>
      <w:marRight w:val="0"/>
      <w:marTop w:val="0"/>
      <w:marBottom w:val="0"/>
      <w:divBdr>
        <w:top w:val="none" w:sz="0" w:space="0" w:color="auto"/>
        <w:left w:val="none" w:sz="0" w:space="0" w:color="auto"/>
        <w:bottom w:val="none" w:sz="0" w:space="0" w:color="auto"/>
        <w:right w:val="none" w:sz="0" w:space="0" w:color="auto"/>
      </w:divBdr>
    </w:div>
    <w:div w:id="1716195693">
      <w:bodyDiv w:val="1"/>
      <w:marLeft w:val="0"/>
      <w:marRight w:val="0"/>
      <w:marTop w:val="0"/>
      <w:marBottom w:val="0"/>
      <w:divBdr>
        <w:top w:val="none" w:sz="0" w:space="0" w:color="auto"/>
        <w:left w:val="none" w:sz="0" w:space="0" w:color="auto"/>
        <w:bottom w:val="none" w:sz="0" w:space="0" w:color="auto"/>
        <w:right w:val="none" w:sz="0" w:space="0" w:color="auto"/>
      </w:divBdr>
    </w:div>
    <w:div w:id="1741244053">
      <w:bodyDiv w:val="1"/>
      <w:marLeft w:val="0"/>
      <w:marRight w:val="0"/>
      <w:marTop w:val="0"/>
      <w:marBottom w:val="0"/>
      <w:divBdr>
        <w:top w:val="none" w:sz="0" w:space="0" w:color="auto"/>
        <w:left w:val="none" w:sz="0" w:space="0" w:color="auto"/>
        <w:bottom w:val="none" w:sz="0" w:space="0" w:color="auto"/>
        <w:right w:val="none" w:sz="0" w:space="0" w:color="auto"/>
      </w:divBdr>
    </w:div>
    <w:div w:id="1756397135">
      <w:bodyDiv w:val="1"/>
      <w:marLeft w:val="0"/>
      <w:marRight w:val="0"/>
      <w:marTop w:val="0"/>
      <w:marBottom w:val="0"/>
      <w:divBdr>
        <w:top w:val="none" w:sz="0" w:space="0" w:color="auto"/>
        <w:left w:val="none" w:sz="0" w:space="0" w:color="auto"/>
        <w:bottom w:val="none" w:sz="0" w:space="0" w:color="auto"/>
        <w:right w:val="none" w:sz="0" w:space="0" w:color="auto"/>
      </w:divBdr>
    </w:div>
    <w:div w:id="1772512202">
      <w:bodyDiv w:val="1"/>
      <w:marLeft w:val="0"/>
      <w:marRight w:val="0"/>
      <w:marTop w:val="0"/>
      <w:marBottom w:val="0"/>
      <w:divBdr>
        <w:top w:val="none" w:sz="0" w:space="0" w:color="auto"/>
        <w:left w:val="none" w:sz="0" w:space="0" w:color="auto"/>
        <w:bottom w:val="none" w:sz="0" w:space="0" w:color="auto"/>
        <w:right w:val="none" w:sz="0" w:space="0" w:color="auto"/>
      </w:divBdr>
    </w:div>
    <w:div w:id="1873150725">
      <w:bodyDiv w:val="1"/>
      <w:marLeft w:val="0"/>
      <w:marRight w:val="0"/>
      <w:marTop w:val="0"/>
      <w:marBottom w:val="0"/>
      <w:divBdr>
        <w:top w:val="none" w:sz="0" w:space="0" w:color="auto"/>
        <w:left w:val="none" w:sz="0" w:space="0" w:color="auto"/>
        <w:bottom w:val="none" w:sz="0" w:space="0" w:color="auto"/>
        <w:right w:val="none" w:sz="0" w:space="0" w:color="auto"/>
      </w:divBdr>
    </w:div>
    <w:div w:id="2079353201">
      <w:bodyDiv w:val="1"/>
      <w:marLeft w:val="0"/>
      <w:marRight w:val="0"/>
      <w:marTop w:val="0"/>
      <w:marBottom w:val="0"/>
      <w:divBdr>
        <w:top w:val="none" w:sz="0" w:space="0" w:color="auto"/>
        <w:left w:val="none" w:sz="0" w:space="0" w:color="auto"/>
        <w:bottom w:val="none" w:sz="0" w:space="0" w:color="auto"/>
        <w:right w:val="none" w:sz="0" w:space="0" w:color="auto"/>
      </w:divBdr>
    </w:div>
    <w:div w:id="21003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D77A-E40C-4540-892F-B009CC49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10</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Atinafu</dc:creator>
  <cp:lastModifiedBy>SDI 1084</cp:lastModifiedBy>
  <cp:revision>97</cp:revision>
  <dcterms:created xsi:type="dcterms:W3CDTF">2025-07-09T07:35:00Z</dcterms:created>
  <dcterms:modified xsi:type="dcterms:W3CDTF">2025-09-10T08:40:00Z</dcterms:modified>
</cp:coreProperties>
</file>