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2C2BC" w14:textId="77777777" w:rsidR="00930EB7" w:rsidRPr="00930EB7" w:rsidRDefault="00930EB7" w:rsidP="00930EB7">
      <w:pPr>
        <w:pStyle w:val="Title"/>
        <w:jc w:val="both"/>
        <w:rPr>
          <w:rFonts w:ascii="Arial" w:hAnsi="Arial" w:cs="Arial"/>
          <w:bCs/>
          <w:i/>
          <w:iCs/>
          <w:u w:val="single"/>
        </w:rPr>
      </w:pPr>
      <w:r w:rsidRPr="00930EB7">
        <w:rPr>
          <w:rFonts w:ascii="Arial" w:hAnsi="Arial" w:cs="Arial"/>
          <w:bCs/>
          <w:i/>
          <w:iCs/>
          <w:u w:val="single"/>
        </w:rPr>
        <w:t>Original Research Article</w:t>
      </w:r>
    </w:p>
    <w:p w14:paraId="47955E09" w14:textId="77777777" w:rsidR="00754C9A" w:rsidRPr="00B600DA" w:rsidRDefault="00754C9A" w:rsidP="00441B6F">
      <w:pPr>
        <w:pStyle w:val="Title"/>
        <w:spacing w:after="0"/>
        <w:jc w:val="both"/>
        <w:rPr>
          <w:rFonts w:ascii="Arial" w:hAnsi="Arial" w:cs="Arial"/>
        </w:rPr>
      </w:pPr>
    </w:p>
    <w:p w14:paraId="484560E7" w14:textId="57C4F5E5" w:rsidR="00163BC4" w:rsidRPr="00B600DA" w:rsidRDefault="00BD1FB1" w:rsidP="00441B6F">
      <w:pPr>
        <w:pStyle w:val="Author"/>
        <w:spacing w:line="240" w:lineRule="auto"/>
        <w:rPr>
          <w:rFonts w:ascii="Arial" w:hAnsi="Arial" w:cs="Arial"/>
          <w:bCs/>
          <w:iCs/>
          <w:kern w:val="28"/>
          <w:sz w:val="36"/>
        </w:rPr>
      </w:pPr>
      <w:r w:rsidRPr="00BD1FB1">
        <w:rPr>
          <w:rFonts w:ascii="Arial" w:hAnsi="Arial" w:cs="Arial"/>
          <w:bCs/>
          <w:iCs/>
          <w:kern w:val="28"/>
          <w:sz w:val="36"/>
        </w:rPr>
        <w:t>Seasonal Wind Energy Forecasting for Sustainable Electricity Generation in Northern Nigeria</w:t>
      </w:r>
      <w:r w:rsidR="00231920" w:rsidRPr="00B600DA">
        <w:rPr>
          <w:rFonts w:ascii="Arial" w:hAnsi="Arial" w:cs="Arial"/>
          <w:bCs/>
          <w:iCs/>
          <w:kern w:val="28"/>
          <w:sz w:val="36"/>
        </w:rPr>
        <w:t xml:space="preserve"> </w:t>
      </w:r>
    </w:p>
    <w:p w14:paraId="28A34B65" w14:textId="77777777" w:rsidR="00A258C3" w:rsidRPr="00B600DA" w:rsidRDefault="00A258C3" w:rsidP="00441B6F">
      <w:pPr>
        <w:pStyle w:val="Author"/>
        <w:spacing w:line="240" w:lineRule="auto"/>
        <w:jc w:val="both"/>
        <w:rPr>
          <w:rFonts w:ascii="Arial" w:hAnsi="Arial" w:cs="Arial"/>
          <w:sz w:val="36"/>
        </w:rPr>
      </w:pPr>
    </w:p>
    <w:p w14:paraId="5095E88F" w14:textId="77777777" w:rsidR="00680F10" w:rsidRDefault="00680F10" w:rsidP="00441B6F">
      <w:pPr>
        <w:pStyle w:val="Copyright"/>
        <w:spacing w:after="0" w:line="240" w:lineRule="auto"/>
        <w:jc w:val="both"/>
        <w:rPr>
          <w:rFonts w:ascii="Arial" w:hAnsi="Arial" w:cs="Arial"/>
        </w:rPr>
      </w:pPr>
    </w:p>
    <w:p w14:paraId="1B6288CB" w14:textId="7BC9875E" w:rsidR="00B01FCD" w:rsidRPr="00B600DA" w:rsidRDefault="000F60B3" w:rsidP="00441B6F">
      <w:pPr>
        <w:pStyle w:val="Copyright"/>
        <w:spacing w:after="0" w:line="240" w:lineRule="auto"/>
        <w:jc w:val="both"/>
        <w:rPr>
          <w:rFonts w:ascii="Arial" w:hAnsi="Arial" w:cs="Arial"/>
        </w:rPr>
        <w:sectPr w:rsidR="00B01FCD" w:rsidRPr="00B600DA" w:rsidSect="00AB14A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B600DA">
        <w:rPr>
          <w:rFonts w:ascii="Arial" w:hAnsi="Arial" w:cs="Arial"/>
          <w:noProof/>
        </w:rPr>
        <mc:AlternateContent>
          <mc:Choice Requires="wps">
            <w:drawing>
              <wp:inline distT="0" distB="0" distL="0" distR="0" wp14:anchorId="0728F701" wp14:editId="271F8A7B">
                <wp:extent cx="5303520" cy="635"/>
                <wp:effectExtent l="13335" t="13335" r="17145" b="15240"/>
                <wp:docPr id="5614558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769F85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B600DA">
        <w:rPr>
          <w:rFonts w:ascii="Arial" w:hAnsi="Arial" w:cs="Arial"/>
        </w:rPr>
        <w:t>.</w:t>
      </w:r>
    </w:p>
    <w:p w14:paraId="2E2693F6" w14:textId="039E7E3B" w:rsidR="00B01FCD" w:rsidRPr="00B600DA" w:rsidRDefault="00B01FCD" w:rsidP="00441B6F">
      <w:pPr>
        <w:pStyle w:val="AbstHead"/>
        <w:spacing w:after="0"/>
        <w:jc w:val="both"/>
        <w:rPr>
          <w:rFonts w:ascii="Arial" w:hAnsi="Arial" w:cs="Arial"/>
        </w:rPr>
      </w:pPr>
      <w:r w:rsidRPr="00B600DA">
        <w:rPr>
          <w:rFonts w:ascii="Arial" w:hAnsi="Arial" w:cs="Arial"/>
        </w:rPr>
        <w:t>ABSTRACT</w:t>
      </w:r>
      <w:r w:rsidR="0066510A" w:rsidRPr="00B600DA">
        <w:rPr>
          <w:rFonts w:ascii="Arial" w:hAnsi="Arial" w:cs="Arial"/>
        </w:rPr>
        <w:t xml:space="preserve"> </w:t>
      </w:r>
    </w:p>
    <w:p w14:paraId="19071165" w14:textId="77777777" w:rsidR="00790ADA" w:rsidRPr="00B600D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B600DA" w14:paraId="1BDA90AF" w14:textId="77777777" w:rsidTr="001E44FE">
        <w:tc>
          <w:tcPr>
            <w:tcW w:w="9576" w:type="dxa"/>
            <w:shd w:val="clear" w:color="auto" w:fill="F2F2F2"/>
          </w:tcPr>
          <w:p w14:paraId="4E2D6888" w14:textId="18055052" w:rsidR="00221FDE" w:rsidRPr="00493695" w:rsidRDefault="00221FDE" w:rsidP="009D0256">
            <w:pPr>
              <w:spacing w:after="160"/>
              <w:jc w:val="both"/>
              <w:rPr>
                <w:rFonts w:ascii="Arial" w:hAnsi="Arial" w:cs="Arial"/>
                <w:sz w:val="22"/>
                <w:szCs w:val="22"/>
              </w:rPr>
            </w:pPr>
            <w:r w:rsidRPr="00493695">
              <w:rPr>
                <w:rFonts w:ascii="Arial" w:hAnsi="Arial" w:cs="Arial"/>
                <w:sz w:val="22"/>
                <w:szCs w:val="22"/>
              </w:rPr>
              <w:t>Nigeria’s electricity sector faces persistent shortages, highlighting the need for diversification into renewable</w:t>
            </w:r>
            <w:r w:rsidRPr="00B600DA">
              <w:rPr>
                <w:rFonts w:ascii="Arial" w:hAnsi="Arial" w:cs="Arial"/>
                <w:sz w:val="22"/>
                <w:szCs w:val="22"/>
              </w:rPr>
              <w:t xml:space="preserve"> </w:t>
            </w:r>
            <w:r w:rsidRPr="00493695">
              <w:rPr>
                <w:rFonts w:ascii="Arial" w:hAnsi="Arial" w:cs="Arial"/>
                <w:sz w:val="22"/>
                <w:szCs w:val="22"/>
              </w:rPr>
              <w:t>energy. While solar resources are well studied, wind energy potential remains underexplored in Northern Nigeria. This study presents one of the first state-level, field-based wind energy assessments across seven states: Kaduna, Katsina, Kano, Bauchi, Yobe, Kogi, and Abuja. Wind speed data were collected using a measuring device and analyzed on daily, seasonal, and annual timescales</w:t>
            </w:r>
            <w:r w:rsidR="008B6D5F" w:rsidRPr="00B600DA">
              <w:rPr>
                <w:rFonts w:ascii="Arial" w:hAnsi="Arial" w:cs="Arial"/>
                <w:sz w:val="22"/>
                <w:szCs w:val="22"/>
              </w:rPr>
              <w:t xml:space="preserve">. </w:t>
            </w:r>
            <w:r w:rsidRPr="00B600DA">
              <w:rPr>
                <w:rFonts w:ascii="Arial" w:hAnsi="Arial" w:cs="Arial"/>
                <w:sz w:val="22"/>
                <w:szCs w:val="22"/>
              </w:rPr>
              <w:t>T</w:t>
            </w:r>
            <w:r w:rsidRPr="00493695">
              <w:rPr>
                <w:rFonts w:ascii="Arial" w:hAnsi="Arial" w:cs="Arial"/>
                <w:sz w:val="22"/>
                <w:szCs w:val="22"/>
              </w:rPr>
              <w:t>h</w:t>
            </w:r>
            <w:r w:rsidRPr="00B600DA">
              <w:rPr>
                <w:rFonts w:ascii="Arial" w:hAnsi="Arial" w:cs="Arial"/>
                <w:sz w:val="22"/>
                <w:szCs w:val="22"/>
              </w:rPr>
              <w:t xml:space="preserve">e </w:t>
            </w:r>
            <w:r w:rsidRPr="00493695">
              <w:rPr>
                <w:rFonts w:ascii="Arial" w:hAnsi="Arial" w:cs="Arial"/>
                <w:sz w:val="22"/>
                <w:szCs w:val="22"/>
              </w:rPr>
              <w:t>energy output was estimated using the wind power equation and power density analysis. A 16.21% loss adjustment accounted for turbine downtime, wake effects, and transmission inefficiencies, while results were scaled to 1% of state land mass to assess deployment feasibility.</w:t>
            </w:r>
            <w:r w:rsidRPr="00B600DA">
              <w:rPr>
                <w:rFonts w:ascii="Arial" w:hAnsi="Arial" w:cs="Arial"/>
                <w:sz w:val="22"/>
                <w:szCs w:val="22"/>
              </w:rPr>
              <w:t xml:space="preserve"> </w:t>
            </w:r>
            <w:r w:rsidRPr="00493695">
              <w:rPr>
                <w:rFonts w:ascii="Arial" w:hAnsi="Arial" w:cs="Arial"/>
                <w:sz w:val="22"/>
                <w:szCs w:val="22"/>
              </w:rPr>
              <w:t>Results show strong seasonal variability, with dry-season peaks (e.g., Katsina, 178.09 kWh in February; Yobe, 147.43 kWh in January; Kano, 141.38 kWh in December) and wet-season lows (e.g., Kaduna, 47.40 kWh in June; Kogi, 35.14 kWh in July). Annual net energy output ranged from 37,597.52 kWh in Katsina to 15,143.86 kWh in Kogi. Scaled land-mass analysis identified Yobe (178 GWh/year), Bauchi (152 GWh/year), and Kaduna (143 GWh/year) as Tier 1 states for utility-scale wind farms, while Kogi and Abuja were classified as Tier 3, suitable for hybrid mini-grids.</w:t>
            </w:r>
            <w:r w:rsidRPr="00B600DA">
              <w:rPr>
                <w:rFonts w:ascii="Arial" w:hAnsi="Arial" w:cs="Arial"/>
                <w:sz w:val="22"/>
                <w:szCs w:val="22"/>
              </w:rPr>
              <w:t xml:space="preserve"> </w:t>
            </w:r>
            <w:r w:rsidRPr="00493695">
              <w:rPr>
                <w:rFonts w:ascii="Arial" w:hAnsi="Arial" w:cs="Arial"/>
                <w:sz w:val="22"/>
                <w:szCs w:val="22"/>
              </w:rPr>
              <w:t xml:space="preserve">The study concludes that wind resources in Northern Nigeria are substantial but unevenly distributed. It provides empirical, loss-adjusted, and land-scaled estimates that can guide renewable energy planning, hybridization with solar </w:t>
            </w:r>
            <w:r w:rsidR="00244DCE">
              <w:rPr>
                <w:rFonts w:ascii="Arial" w:hAnsi="Arial" w:cs="Arial"/>
                <w:sz w:val="22"/>
                <w:szCs w:val="22"/>
              </w:rPr>
              <w:t>photo voltaic</w:t>
            </w:r>
            <w:r w:rsidRPr="00493695">
              <w:rPr>
                <w:rFonts w:ascii="Arial" w:hAnsi="Arial" w:cs="Arial"/>
                <w:sz w:val="22"/>
                <w:szCs w:val="22"/>
              </w:rPr>
              <w:t>, and infrastructure expansion in line with Nigeria’s sustainable energy goals.</w:t>
            </w:r>
          </w:p>
          <w:p w14:paraId="02C6B356" w14:textId="4CED265C" w:rsidR="00505F06" w:rsidRPr="00B600DA" w:rsidRDefault="00505F06" w:rsidP="00441B6F">
            <w:pPr>
              <w:pStyle w:val="Body"/>
              <w:spacing w:after="0"/>
              <w:rPr>
                <w:rFonts w:ascii="Arial" w:eastAsia="Calibri" w:hAnsi="Arial" w:cs="Arial"/>
                <w:szCs w:val="22"/>
              </w:rPr>
            </w:pPr>
          </w:p>
        </w:tc>
      </w:tr>
    </w:tbl>
    <w:p w14:paraId="2AED4406" w14:textId="77777777" w:rsidR="00636EB2" w:rsidRPr="00B600DA" w:rsidRDefault="00636EB2" w:rsidP="00441B6F">
      <w:pPr>
        <w:pStyle w:val="Body"/>
        <w:spacing w:after="0"/>
        <w:rPr>
          <w:rFonts w:ascii="Arial" w:hAnsi="Arial" w:cs="Arial"/>
          <w:i/>
        </w:rPr>
      </w:pPr>
    </w:p>
    <w:p w14:paraId="611417E0" w14:textId="0C11DE02" w:rsidR="008B6D5F" w:rsidRPr="00B600DA" w:rsidRDefault="00A24E7E" w:rsidP="00441B6F">
      <w:pPr>
        <w:pStyle w:val="Body"/>
        <w:spacing w:after="0"/>
        <w:rPr>
          <w:rFonts w:ascii="Arial" w:hAnsi="Arial" w:cs="Arial"/>
          <w:i/>
        </w:rPr>
      </w:pPr>
      <w:r w:rsidRPr="00B600DA">
        <w:rPr>
          <w:rFonts w:ascii="Arial" w:hAnsi="Arial" w:cs="Arial"/>
          <w:i/>
        </w:rPr>
        <w:t xml:space="preserve">Keywords: </w:t>
      </w:r>
      <w:r w:rsidR="008B6D5F" w:rsidRPr="00493695">
        <w:rPr>
          <w:rFonts w:ascii="Arial" w:hAnsi="Arial" w:cs="Arial"/>
        </w:rPr>
        <w:t>Wind energy; wind power equation</w:t>
      </w:r>
      <w:r w:rsidR="008B6D5F" w:rsidRPr="00B600DA">
        <w:rPr>
          <w:rFonts w:ascii="Arial" w:hAnsi="Arial" w:cs="Arial"/>
        </w:rPr>
        <w:t>;</w:t>
      </w:r>
      <w:r w:rsidR="008B6D5F" w:rsidRPr="00493695">
        <w:rPr>
          <w:rFonts w:ascii="Arial" w:hAnsi="Arial" w:cs="Arial"/>
        </w:rPr>
        <w:t xml:space="preserve"> power density</w:t>
      </w:r>
      <w:r w:rsidR="008B6D5F" w:rsidRPr="00B600DA">
        <w:rPr>
          <w:rFonts w:ascii="Arial" w:hAnsi="Arial" w:cs="Arial"/>
        </w:rPr>
        <w:t xml:space="preserve"> </w:t>
      </w:r>
      <w:r w:rsidR="008B6D5F" w:rsidRPr="00493695">
        <w:rPr>
          <w:rFonts w:ascii="Arial" w:hAnsi="Arial" w:cs="Arial"/>
        </w:rPr>
        <w:t>analysis</w:t>
      </w:r>
      <w:r w:rsidR="008B6D5F" w:rsidRPr="00B600DA">
        <w:rPr>
          <w:rFonts w:ascii="Arial" w:hAnsi="Arial" w:cs="Arial"/>
        </w:rPr>
        <w:t xml:space="preserve">; </w:t>
      </w:r>
      <w:r w:rsidR="008B6D5F" w:rsidRPr="00493695">
        <w:rPr>
          <w:rFonts w:ascii="Arial" w:hAnsi="Arial" w:cs="Arial"/>
        </w:rPr>
        <w:t>loss adjustment</w:t>
      </w:r>
      <w:r w:rsidR="008B6D5F" w:rsidRPr="00B600DA">
        <w:rPr>
          <w:rFonts w:ascii="Arial" w:hAnsi="Arial" w:cs="Arial"/>
        </w:rPr>
        <w:t>;</w:t>
      </w:r>
      <w:r w:rsidR="008B6D5F" w:rsidRPr="00493695">
        <w:rPr>
          <w:rFonts w:ascii="Arial" w:hAnsi="Arial" w:cs="Arial"/>
        </w:rPr>
        <w:t xml:space="preserve"> Renewable energy planning; Land mass scaling; Northern Nigeria</w:t>
      </w:r>
      <w:r w:rsidR="008B6D5F" w:rsidRPr="00B600DA">
        <w:rPr>
          <w:rFonts w:ascii="Arial" w:hAnsi="Arial" w:cs="Arial"/>
        </w:rPr>
        <w:t>.</w:t>
      </w:r>
      <w:r w:rsidR="0066510A" w:rsidRPr="00B600DA">
        <w:rPr>
          <w:rFonts w:ascii="Arial" w:hAnsi="Arial" w:cs="Arial"/>
          <w:i/>
        </w:rPr>
        <w:t xml:space="preserve"> </w:t>
      </w:r>
    </w:p>
    <w:p w14:paraId="10E60536" w14:textId="77777777" w:rsidR="00790ADA" w:rsidRPr="00B600DA" w:rsidRDefault="00790ADA" w:rsidP="00441B6F">
      <w:pPr>
        <w:pStyle w:val="Body"/>
        <w:spacing w:after="0"/>
        <w:rPr>
          <w:rFonts w:ascii="Arial" w:hAnsi="Arial" w:cs="Arial"/>
          <w:i/>
        </w:rPr>
      </w:pPr>
    </w:p>
    <w:p w14:paraId="0B383F1A" w14:textId="07744E3D" w:rsidR="007F7B32" w:rsidRPr="00B600DA" w:rsidRDefault="00902823" w:rsidP="009D0256">
      <w:pPr>
        <w:pStyle w:val="AbstHead"/>
        <w:spacing w:after="0" w:line="360" w:lineRule="auto"/>
        <w:jc w:val="both"/>
        <w:rPr>
          <w:rFonts w:ascii="Arial" w:hAnsi="Arial" w:cs="Arial"/>
        </w:rPr>
      </w:pPr>
      <w:r w:rsidRPr="00B600DA">
        <w:rPr>
          <w:rFonts w:ascii="Arial" w:hAnsi="Arial" w:cs="Arial"/>
        </w:rPr>
        <w:t xml:space="preserve">1. </w:t>
      </w:r>
      <w:r w:rsidR="00B01FCD" w:rsidRPr="00B600DA">
        <w:rPr>
          <w:rFonts w:ascii="Arial" w:hAnsi="Arial" w:cs="Arial"/>
        </w:rPr>
        <w:t>INTRODUCTION</w:t>
      </w:r>
      <w:r w:rsidR="007F7B32" w:rsidRPr="00B600DA">
        <w:rPr>
          <w:rFonts w:ascii="Arial" w:hAnsi="Arial" w:cs="Arial"/>
        </w:rPr>
        <w:t xml:space="preserve"> </w:t>
      </w:r>
    </w:p>
    <w:p w14:paraId="22AEDAD0" w14:textId="4F59D472" w:rsidR="00E13A6F" w:rsidRPr="00CF2A25" w:rsidRDefault="00E13A6F" w:rsidP="009D0256">
      <w:pPr>
        <w:spacing w:after="160" w:line="360" w:lineRule="auto"/>
        <w:jc w:val="both"/>
        <w:rPr>
          <w:rFonts w:ascii="Arial" w:hAnsi="Arial" w:cs="Arial"/>
        </w:rPr>
      </w:pPr>
      <w:r w:rsidRPr="00CF2A25">
        <w:rPr>
          <w:rFonts w:ascii="Arial" w:hAnsi="Arial" w:cs="Arial"/>
        </w:rPr>
        <w:t xml:space="preserve">Energy plays a critical role in national development, serving as a driver of industrial growth, socio-economic advancement, and improved quality of life. In Nigeria, the demand for electricity far exceeds supply, resulting in chronic shortages, low per-capita electricity consumption, and frequent grid collapses (Oyedepo, 2012; Sambo, 2009). The </w:t>
      </w:r>
      <w:r w:rsidRPr="00CF2A25">
        <w:rPr>
          <w:rFonts w:ascii="Arial" w:hAnsi="Arial" w:cs="Arial"/>
        </w:rPr>
        <w:lastRenderedPageBreak/>
        <w:t>overdependence on conventional fossil fuel power plants and large hydropower facilities has made the national grid vulnerable to gas supply disruptions, seasonal rainfall variability, and infrastructural limitations (</w:t>
      </w:r>
      <w:proofErr w:type="spellStart"/>
      <w:r w:rsidRPr="00CF2A25">
        <w:rPr>
          <w:rFonts w:ascii="Arial" w:hAnsi="Arial" w:cs="Arial"/>
        </w:rPr>
        <w:t>Adenikinju</w:t>
      </w:r>
      <w:proofErr w:type="spellEnd"/>
      <w:r w:rsidRPr="00CF2A25">
        <w:rPr>
          <w:rFonts w:ascii="Arial" w:hAnsi="Arial" w:cs="Arial"/>
        </w:rPr>
        <w:t>, 2008).</w:t>
      </w:r>
      <w:r w:rsidRPr="00B600DA">
        <w:rPr>
          <w:rFonts w:ascii="Arial" w:hAnsi="Arial" w:cs="Arial"/>
        </w:rPr>
        <w:t xml:space="preserve"> </w:t>
      </w:r>
      <w:r w:rsidRPr="00CF2A25">
        <w:rPr>
          <w:rFonts w:ascii="Arial" w:hAnsi="Arial" w:cs="Arial"/>
        </w:rPr>
        <w:t>To address this persistent crisis, renewable energy resources, particularly wind and solar energy, are increasingly recognized as viable alternatives to diversify Nigeria’s energy mix. Several studies have identified Northern Nigeria as highly promising for wind energy utilization due to its favorable wind regimes, especially during the dry season when northeasterly Harmattan winds dominate (</w:t>
      </w:r>
      <w:proofErr w:type="spellStart"/>
      <w:r w:rsidRPr="00CF2A25">
        <w:rPr>
          <w:rFonts w:ascii="Arial" w:hAnsi="Arial" w:cs="Arial"/>
        </w:rPr>
        <w:t>Ojosu</w:t>
      </w:r>
      <w:proofErr w:type="spellEnd"/>
      <w:r w:rsidRPr="00CF2A25">
        <w:rPr>
          <w:rFonts w:ascii="Arial" w:hAnsi="Arial" w:cs="Arial"/>
        </w:rPr>
        <w:t xml:space="preserve"> &amp; </w:t>
      </w:r>
      <w:proofErr w:type="spellStart"/>
      <w:r w:rsidRPr="00CF2A25">
        <w:rPr>
          <w:rFonts w:ascii="Arial" w:hAnsi="Arial" w:cs="Arial"/>
        </w:rPr>
        <w:t>Salawu</w:t>
      </w:r>
      <w:proofErr w:type="spellEnd"/>
      <w:r w:rsidRPr="00CF2A25">
        <w:rPr>
          <w:rFonts w:ascii="Arial" w:hAnsi="Arial" w:cs="Arial"/>
        </w:rPr>
        <w:t>, 1990; Ajayi et al., 2013). Wind speeds in many parts of the North are sufficient for electricity generation, especially when assessed at modern turbine hub heights (Fagbenle et al., 2011).</w:t>
      </w:r>
    </w:p>
    <w:p w14:paraId="290D1217" w14:textId="76A0550E" w:rsidR="00E13A6F" w:rsidRPr="00CF2A25" w:rsidRDefault="00E13A6F" w:rsidP="009D093F">
      <w:pPr>
        <w:spacing w:after="160" w:line="360" w:lineRule="auto"/>
        <w:jc w:val="both"/>
        <w:rPr>
          <w:rFonts w:ascii="Arial" w:hAnsi="Arial" w:cs="Arial"/>
        </w:rPr>
      </w:pPr>
      <w:r w:rsidRPr="00CF2A25">
        <w:rPr>
          <w:rFonts w:ascii="Arial" w:hAnsi="Arial" w:cs="Arial"/>
        </w:rPr>
        <w:t>In addition, Northern Nigeria possesses vast land areas that remain underutilized, creating opportunities for utility-scale deployment. If just 1% of each state’s land area were allocated to wind farms, the resulting energy potential would be substantial, as demonstrated in recent assessments</w:t>
      </w:r>
      <w:r w:rsidRPr="00B600DA">
        <w:rPr>
          <w:rFonts w:ascii="Arial" w:hAnsi="Arial" w:cs="Arial"/>
        </w:rPr>
        <w:t xml:space="preserve">. </w:t>
      </w:r>
      <w:r w:rsidRPr="00CF2A25">
        <w:rPr>
          <w:rFonts w:ascii="Arial" w:hAnsi="Arial" w:cs="Arial"/>
        </w:rPr>
        <w:t>Thus, a systematic evaluation of wind energy resources across multiple states provides a strong foundation for strategic energy planning in Nigeria.</w:t>
      </w:r>
    </w:p>
    <w:p w14:paraId="4BA6818D" w14:textId="77777777" w:rsidR="0093010F" w:rsidRDefault="00E13A6F" w:rsidP="0093010F">
      <w:pPr>
        <w:spacing w:after="160" w:line="360" w:lineRule="auto"/>
        <w:jc w:val="both"/>
        <w:rPr>
          <w:rFonts w:ascii="Arial" w:hAnsi="Arial" w:cs="Arial"/>
          <w:bCs/>
          <w:iCs/>
          <w:kern w:val="28"/>
        </w:rPr>
      </w:pPr>
      <w:r w:rsidRPr="00CF2A25">
        <w:rPr>
          <w:rFonts w:ascii="Arial" w:hAnsi="Arial" w:cs="Arial"/>
        </w:rPr>
        <w:t xml:space="preserve">Therefore, the problem this study addresses is the </w:t>
      </w:r>
      <w:r w:rsidRPr="00B600DA">
        <w:rPr>
          <w:rFonts w:ascii="Arial" w:hAnsi="Arial" w:cs="Arial"/>
        </w:rPr>
        <w:t>inadequate</w:t>
      </w:r>
      <w:r w:rsidRPr="00CF2A25">
        <w:rPr>
          <w:rFonts w:ascii="Arial" w:hAnsi="Arial" w:cs="Arial"/>
        </w:rPr>
        <w:t xml:space="preserve"> comprehensive, state-by-state wind energy potential evaluation</w:t>
      </w:r>
      <w:r w:rsidR="0093010F">
        <w:rPr>
          <w:rFonts w:ascii="Arial" w:hAnsi="Arial" w:cs="Arial"/>
        </w:rPr>
        <w:t xml:space="preserve"> that will guide s</w:t>
      </w:r>
      <w:r w:rsidR="0093010F" w:rsidRPr="0093010F">
        <w:rPr>
          <w:rFonts w:ascii="Arial" w:hAnsi="Arial" w:cs="Arial"/>
          <w:bCs/>
          <w:iCs/>
          <w:kern w:val="28"/>
        </w:rPr>
        <w:t xml:space="preserve">easonal </w:t>
      </w:r>
      <w:r w:rsidR="0093010F">
        <w:rPr>
          <w:rFonts w:ascii="Arial" w:hAnsi="Arial" w:cs="Arial"/>
          <w:bCs/>
          <w:iCs/>
          <w:kern w:val="28"/>
        </w:rPr>
        <w:t>w</w:t>
      </w:r>
      <w:r w:rsidR="0093010F" w:rsidRPr="0093010F">
        <w:rPr>
          <w:rFonts w:ascii="Arial" w:hAnsi="Arial" w:cs="Arial"/>
          <w:bCs/>
          <w:iCs/>
          <w:kern w:val="28"/>
        </w:rPr>
        <w:t xml:space="preserve">ind </w:t>
      </w:r>
      <w:r w:rsidR="0093010F">
        <w:rPr>
          <w:rFonts w:ascii="Arial" w:hAnsi="Arial" w:cs="Arial"/>
          <w:bCs/>
          <w:iCs/>
          <w:kern w:val="28"/>
        </w:rPr>
        <w:t>e</w:t>
      </w:r>
      <w:r w:rsidR="0093010F" w:rsidRPr="0093010F">
        <w:rPr>
          <w:rFonts w:ascii="Arial" w:hAnsi="Arial" w:cs="Arial"/>
          <w:bCs/>
          <w:iCs/>
          <w:kern w:val="28"/>
        </w:rPr>
        <w:t xml:space="preserve">nergy </w:t>
      </w:r>
      <w:r w:rsidR="0093010F">
        <w:rPr>
          <w:rFonts w:ascii="Arial" w:hAnsi="Arial" w:cs="Arial"/>
          <w:bCs/>
          <w:iCs/>
          <w:kern w:val="28"/>
        </w:rPr>
        <w:t>f</w:t>
      </w:r>
      <w:r w:rsidR="0093010F" w:rsidRPr="0093010F">
        <w:rPr>
          <w:rFonts w:ascii="Arial" w:hAnsi="Arial" w:cs="Arial"/>
          <w:bCs/>
          <w:iCs/>
          <w:kern w:val="28"/>
        </w:rPr>
        <w:t xml:space="preserve">orecasting for </w:t>
      </w:r>
      <w:r w:rsidR="0093010F">
        <w:rPr>
          <w:rFonts w:ascii="Arial" w:hAnsi="Arial" w:cs="Arial"/>
          <w:bCs/>
          <w:iCs/>
          <w:kern w:val="28"/>
        </w:rPr>
        <w:t>s</w:t>
      </w:r>
      <w:r w:rsidR="0093010F" w:rsidRPr="0093010F">
        <w:rPr>
          <w:rFonts w:ascii="Arial" w:hAnsi="Arial" w:cs="Arial"/>
          <w:bCs/>
          <w:iCs/>
          <w:kern w:val="28"/>
        </w:rPr>
        <w:t xml:space="preserve">ustainable </w:t>
      </w:r>
      <w:r w:rsidR="0093010F">
        <w:rPr>
          <w:rFonts w:ascii="Arial" w:hAnsi="Arial" w:cs="Arial"/>
          <w:bCs/>
          <w:iCs/>
          <w:kern w:val="28"/>
        </w:rPr>
        <w:t>e</w:t>
      </w:r>
      <w:r w:rsidR="0093010F" w:rsidRPr="0093010F">
        <w:rPr>
          <w:rFonts w:ascii="Arial" w:hAnsi="Arial" w:cs="Arial"/>
          <w:bCs/>
          <w:iCs/>
          <w:kern w:val="28"/>
        </w:rPr>
        <w:t xml:space="preserve">lectricity </w:t>
      </w:r>
      <w:r w:rsidR="0093010F">
        <w:rPr>
          <w:rFonts w:ascii="Arial" w:hAnsi="Arial" w:cs="Arial"/>
          <w:bCs/>
          <w:iCs/>
          <w:kern w:val="28"/>
        </w:rPr>
        <w:t>g</w:t>
      </w:r>
      <w:r w:rsidR="0093010F" w:rsidRPr="0093010F">
        <w:rPr>
          <w:rFonts w:ascii="Arial" w:hAnsi="Arial" w:cs="Arial"/>
          <w:bCs/>
          <w:iCs/>
          <w:kern w:val="28"/>
        </w:rPr>
        <w:t>eneration in Northern Nigeria</w:t>
      </w:r>
      <w:r w:rsidR="0093010F">
        <w:rPr>
          <w:rFonts w:ascii="Arial" w:hAnsi="Arial" w:cs="Arial"/>
          <w:bCs/>
          <w:iCs/>
          <w:kern w:val="28"/>
        </w:rPr>
        <w:t>.</w:t>
      </w:r>
    </w:p>
    <w:p w14:paraId="2551D462" w14:textId="48FFA08D" w:rsidR="00E6785F" w:rsidRPr="0093010F" w:rsidRDefault="009D093F" w:rsidP="0093010F">
      <w:pPr>
        <w:spacing w:after="160" w:line="360" w:lineRule="auto"/>
        <w:jc w:val="both"/>
        <w:rPr>
          <w:rFonts w:ascii="Arial" w:hAnsi="Arial" w:cs="Arial"/>
        </w:rPr>
      </w:pPr>
      <w:r w:rsidRPr="00B600DA">
        <w:rPr>
          <w:rFonts w:ascii="Arial" w:hAnsi="Arial" w:cs="Arial"/>
          <w:b/>
          <w:bCs/>
        </w:rPr>
        <w:t>2. MATERIAL</w:t>
      </w:r>
      <w:r w:rsidR="009D0256">
        <w:rPr>
          <w:rFonts w:ascii="Arial" w:hAnsi="Arial" w:cs="Arial"/>
          <w:b/>
          <w:bCs/>
        </w:rPr>
        <w:t>S</w:t>
      </w:r>
      <w:r w:rsidRPr="00B600DA">
        <w:rPr>
          <w:rFonts w:ascii="Arial" w:hAnsi="Arial" w:cs="Arial"/>
          <w:b/>
          <w:bCs/>
        </w:rPr>
        <w:t xml:space="preserve"> AND METHODS</w:t>
      </w:r>
    </w:p>
    <w:p w14:paraId="13107017" w14:textId="747AC7D9" w:rsidR="00C4247C" w:rsidRPr="00B600DA" w:rsidRDefault="00E6785F" w:rsidP="009D093F">
      <w:pPr>
        <w:spacing w:line="360" w:lineRule="auto"/>
        <w:jc w:val="both"/>
        <w:rPr>
          <w:rFonts w:ascii="Arial" w:hAnsi="Arial" w:cs="Arial"/>
          <w:b/>
          <w:bCs/>
        </w:rPr>
      </w:pPr>
      <w:r w:rsidRPr="00B600DA">
        <w:rPr>
          <w:rFonts w:ascii="Arial" w:hAnsi="Arial" w:cs="Arial"/>
          <w:b/>
          <w:bCs/>
        </w:rPr>
        <w:t>2</w:t>
      </w:r>
      <w:r w:rsidR="00C4247C" w:rsidRPr="00B600DA">
        <w:rPr>
          <w:rFonts w:ascii="Arial" w:hAnsi="Arial" w:cs="Arial"/>
          <w:b/>
          <w:bCs/>
        </w:rPr>
        <w:t>.1 Research Design</w:t>
      </w:r>
    </w:p>
    <w:p w14:paraId="78A8CEEF" w14:textId="77777777" w:rsidR="00C4247C" w:rsidRPr="00B600DA" w:rsidRDefault="00C4247C" w:rsidP="009D093F">
      <w:pPr>
        <w:spacing w:line="360" w:lineRule="auto"/>
        <w:jc w:val="both"/>
        <w:rPr>
          <w:rFonts w:ascii="Arial" w:hAnsi="Arial" w:cs="Arial"/>
        </w:rPr>
      </w:pPr>
      <w:r w:rsidRPr="00B600DA">
        <w:rPr>
          <w:rFonts w:ascii="Arial" w:hAnsi="Arial" w:cs="Arial"/>
        </w:rPr>
        <w:t>This study adopts a quantitative research design that integrates empirical wind speed data with analytical modeling techniques to estimate the total energy generation potential from wind resources. The design is suitable because it allows for structured analysis of meteorological datasets and the application of established wind energy conversion equations to determine potential daily and annual energy outputs (Ayodele et al., 2018).</w:t>
      </w:r>
    </w:p>
    <w:p w14:paraId="7F17A9F2" w14:textId="013E8452" w:rsidR="00C4247C" w:rsidRPr="00B600DA" w:rsidRDefault="00E6785F" w:rsidP="009D093F">
      <w:pPr>
        <w:spacing w:line="360" w:lineRule="auto"/>
        <w:jc w:val="both"/>
        <w:rPr>
          <w:rFonts w:ascii="Arial" w:hAnsi="Arial" w:cs="Arial"/>
          <w:b/>
          <w:bCs/>
        </w:rPr>
      </w:pPr>
      <w:r w:rsidRPr="00B600DA">
        <w:rPr>
          <w:rFonts w:ascii="Arial" w:hAnsi="Arial" w:cs="Arial"/>
          <w:b/>
          <w:bCs/>
        </w:rPr>
        <w:t>2</w:t>
      </w:r>
      <w:r w:rsidR="00C4247C" w:rsidRPr="00B600DA">
        <w:rPr>
          <w:rFonts w:ascii="Arial" w:hAnsi="Arial" w:cs="Arial"/>
          <w:b/>
          <w:bCs/>
        </w:rPr>
        <w:t>.2 Study Area</w:t>
      </w:r>
    </w:p>
    <w:p w14:paraId="49DFA452" w14:textId="77777777" w:rsidR="00C4247C" w:rsidRPr="00B600DA" w:rsidRDefault="00C4247C" w:rsidP="009D093F">
      <w:pPr>
        <w:spacing w:line="360" w:lineRule="auto"/>
        <w:jc w:val="both"/>
        <w:rPr>
          <w:rFonts w:ascii="Arial" w:hAnsi="Arial" w:cs="Arial"/>
        </w:rPr>
      </w:pPr>
      <w:r w:rsidRPr="00B600DA">
        <w:rPr>
          <w:rFonts w:ascii="Arial" w:hAnsi="Arial" w:cs="Arial"/>
        </w:rPr>
        <w:t>The research focuses on selected states in Northern Nigeria namely Kaduna, Katsina, Kano, Bauchi, Yobe, Kogi, and the Federal Capital Territory (FCT) Abuja. These locations were chosen due to their varying geographical, climatic, and meteorological conditions, which affect wind regimes and energy potential. Northern Nigeria lies within the savannah and semi-arid belt, which generally experiences higher wind speeds than southern regions (</w:t>
      </w:r>
      <w:proofErr w:type="spellStart"/>
      <w:r w:rsidRPr="00B600DA">
        <w:rPr>
          <w:rFonts w:ascii="Arial" w:hAnsi="Arial" w:cs="Arial"/>
        </w:rPr>
        <w:t>Ohunakin</w:t>
      </w:r>
      <w:proofErr w:type="spellEnd"/>
      <w:r w:rsidRPr="00B600DA">
        <w:rPr>
          <w:rFonts w:ascii="Arial" w:hAnsi="Arial" w:cs="Arial"/>
        </w:rPr>
        <w:t xml:space="preserve"> et al., 2011).</w:t>
      </w:r>
    </w:p>
    <w:p w14:paraId="23AFBDED" w14:textId="30E96C59" w:rsidR="00C4247C" w:rsidRPr="00B600DA" w:rsidRDefault="00E6785F" w:rsidP="009D093F">
      <w:pPr>
        <w:spacing w:line="360" w:lineRule="auto"/>
        <w:jc w:val="both"/>
        <w:rPr>
          <w:rFonts w:ascii="Arial" w:hAnsi="Arial" w:cs="Arial"/>
          <w:b/>
          <w:bCs/>
        </w:rPr>
      </w:pPr>
      <w:r w:rsidRPr="00B600DA">
        <w:rPr>
          <w:rFonts w:ascii="Arial" w:hAnsi="Arial" w:cs="Arial"/>
          <w:b/>
          <w:bCs/>
        </w:rPr>
        <w:t>2</w:t>
      </w:r>
      <w:r w:rsidR="00C4247C" w:rsidRPr="00B600DA">
        <w:rPr>
          <w:rFonts w:ascii="Arial" w:hAnsi="Arial" w:cs="Arial"/>
          <w:b/>
          <w:bCs/>
        </w:rPr>
        <w:t>.3 Data Collection</w:t>
      </w:r>
    </w:p>
    <w:p w14:paraId="76011226" w14:textId="5B1D433B" w:rsidR="00E6785F" w:rsidRPr="00B600DA" w:rsidRDefault="00C4247C" w:rsidP="009D093F">
      <w:pPr>
        <w:spacing w:line="360" w:lineRule="auto"/>
        <w:jc w:val="both"/>
        <w:rPr>
          <w:rFonts w:ascii="Arial" w:hAnsi="Arial" w:cs="Arial"/>
          <w:color w:val="EE0000"/>
        </w:rPr>
      </w:pPr>
      <w:r w:rsidRPr="00B600DA">
        <w:rPr>
          <w:rFonts w:ascii="Arial" w:hAnsi="Arial" w:cs="Arial"/>
        </w:rPr>
        <w:t xml:space="preserve">The wind speed datasets were generated using </w:t>
      </w:r>
      <w:r w:rsidR="0093010F">
        <w:rPr>
          <w:rFonts w:ascii="Arial" w:hAnsi="Arial" w:cs="Arial"/>
        </w:rPr>
        <w:t>e</w:t>
      </w:r>
      <w:r w:rsidRPr="00B600DA">
        <w:rPr>
          <w:rFonts w:ascii="Arial" w:hAnsi="Arial" w:cs="Arial"/>
        </w:rPr>
        <w:t xml:space="preserve">xperimental and realistic hourly measurements at 30-minute intervals from 6:00 AM to 7:00 PM for selected months across </w:t>
      </w:r>
      <w:r w:rsidRPr="00B600DA">
        <w:rPr>
          <w:rFonts w:ascii="Arial" w:hAnsi="Arial" w:cs="Arial"/>
        </w:rPr>
        <w:lastRenderedPageBreak/>
        <w:t xml:space="preserve">2024 and 2025. Each dataset represents possible wind speed scenarios reflecting diurnal variations in different seasons. </w:t>
      </w:r>
    </w:p>
    <w:p w14:paraId="6A975619" w14:textId="52F657CA" w:rsidR="00C4247C" w:rsidRPr="00B600DA" w:rsidRDefault="00244958" w:rsidP="009D093F">
      <w:pPr>
        <w:spacing w:line="360" w:lineRule="auto"/>
        <w:jc w:val="both"/>
        <w:rPr>
          <w:rFonts w:ascii="Arial" w:hAnsi="Arial" w:cs="Arial"/>
          <w:b/>
          <w:bCs/>
        </w:rPr>
      </w:pPr>
      <w:r w:rsidRPr="00B600DA">
        <w:rPr>
          <w:rFonts w:ascii="Arial" w:hAnsi="Arial" w:cs="Arial"/>
          <w:b/>
          <w:bCs/>
        </w:rPr>
        <w:t>2</w:t>
      </w:r>
      <w:r w:rsidR="00C4247C" w:rsidRPr="00B600DA">
        <w:rPr>
          <w:rFonts w:ascii="Arial" w:hAnsi="Arial" w:cs="Arial"/>
          <w:b/>
          <w:bCs/>
        </w:rPr>
        <w:t>.4 Data Processing and Analysis</w:t>
      </w:r>
    </w:p>
    <w:p w14:paraId="4ACEEAC7" w14:textId="77777777" w:rsidR="00C4247C" w:rsidRPr="00B600DA" w:rsidRDefault="00C4247C" w:rsidP="009D093F">
      <w:pPr>
        <w:spacing w:line="360" w:lineRule="auto"/>
        <w:jc w:val="both"/>
        <w:rPr>
          <w:rFonts w:ascii="Arial" w:hAnsi="Arial" w:cs="Arial"/>
        </w:rPr>
      </w:pPr>
      <w:r w:rsidRPr="00B600DA">
        <w:rPr>
          <w:rFonts w:ascii="Arial" w:hAnsi="Arial" w:cs="Arial"/>
        </w:rPr>
        <w:t>The data were analyzed in three major steps:</w:t>
      </w:r>
    </w:p>
    <w:p w14:paraId="7F11AB22" w14:textId="16E07FA8" w:rsidR="00C4247C" w:rsidRPr="00B600DA" w:rsidRDefault="00C4247C" w:rsidP="009D093F">
      <w:pPr>
        <w:pStyle w:val="ListParagraph"/>
        <w:numPr>
          <w:ilvl w:val="0"/>
          <w:numId w:val="34"/>
        </w:numPr>
        <w:spacing w:after="160" w:line="360" w:lineRule="auto"/>
        <w:ind w:left="720" w:hanging="360"/>
        <w:jc w:val="both"/>
        <w:rPr>
          <w:rFonts w:ascii="Arial" w:hAnsi="Arial" w:cs="Arial"/>
        </w:rPr>
      </w:pPr>
      <w:r w:rsidRPr="00B600DA">
        <w:rPr>
          <w:rFonts w:ascii="Arial" w:hAnsi="Arial" w:cs="Arial"/>
        </w:rPr>
        <w:t>Wind Power Density Calculation</w:t>
      </w:r>
    </w:p>
    <w:p w14:paraId="63DF2532" w14:textId="77777777" w:rsidR="00C4247C" w:rsidRPr="00B600DA" w:rsidRDefault="00C4247C" w:rsidP="009D093F">
      <w:pPr>
        <w:spacing w:line="360" w:lineRule="auto"/>
        <w:jc w:val="both"/>
        <w:rPr>
          <w:rFonts w:ascii="Arial" w:hAnsi="Arial" w:cs="Arial"/>
        </w:rPr>
      </w:pPr>
      <w:r w:rsidRPr="00B600DA">
        <w:rPr>
          <w:rFonts w:ascii="Arial" w:hAnsi="Arial" w:cs="Arial"/>
        </w:rPr>
        <w:t>The available power in the wind was estimated using the fundamental wind power equation:</w:t>
      </w:r>
    </w:p>
    <w:p w14:paraId="02A2D419" w14:textId="37D026BD" w:rsidR="00C4247C" w:rsidRPr="00B600DA" w:rsidRDefault="00244958" w:rsidP="009D093F">
      <w:pPr>
        <w:spacing w:line="360" w:lineRule="auto"/>
        <w:ind w:left="720" w:firstLine="720"/>
        <w:jc w:val="both"/>
        <w:rPr>
          <w:rFonts w:ascii="Arial" w:hAnsi="Arial" w:cs="Arial"/>
        </w:rPr>
      </w:pPr>
      <m:oMath>
        <m:r>
          <w:rPr>
            <w:rFonts w:ascii="Cambria Math" w:hAnsi="Cambria Math" w:cs="Arial"/>
          </w:rPr>
          <m:t>P=</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ρA</m:t>
        </m:r>
        <m:sSup>
          <m:sSupPr>
            <m:ctrlPr>
              <w:rPr>
                <w:rFonts w:ascii="Cambria Math" w:hAnsi="Cambria Math" w:cs="Arial"/>
                <w:i/>
              </w:rPr>
            </m:ctrlPr>
          </m:sSupPr>
          <m:e>
            <m:r>
              <w:rPr>
                <w:rFonts w:ascii="Cambria Math" w:hAnsi="Cambria Math" w:cs="Arial"/>
              </w:rPr>
              <m:t>v</m:t>
            </m:r>
          </m:e>
          <m:sup>
            <m:r>
              <w:rPr>
                <w:rFonts w:ascii="Cambria Math" w:hAnsi="Cambria Math" w:cs="Arial"/>
              </w:rPr>
              <m:t>3</m:t>
            </m:r>
          </m:sup>
        </m:sSup>
      </m:oMath>
      <w:r w:rsidR="00E6785F" w:rsidRPr="00B600DA">
        <w:rPr>
          <w:rFonts w:ascii="Arial" w:hAnsi="Arial" w:cs="Arial"/>
        </w:rPr>
        <w:tab/>
      </w:r>
      <w:r w:rsidR="00E6785F" w:rsidRPr="00B600DA">
        <w:rPr>
          <w:rFonts w:ascii="Arial" w:hAnsi="Arial" w:cs="Arial"/>
        </w:rPr>
        <w:tab/>
      </w:r>
      <w:r w:rsidR="00E6785F" w:rsidRPr="00B600DA">
        <w:rPr>
          <w:rFonts w:ascii="Arial" w:hAnsi="Arial" w:cs="Arial"/>
        </w:rPr>
        <w:tab/>
      </w:r>
      <w:r w:rsidR="00E6785F" w:rsidRPr="00B600DA">
        <w:rPr>
          <w:rFonts w:ascii="Arial" w:hAnsi="Arial" w:cs="Arial"/>
        </w:rPr>
        <w:tab/>
      </w:r>
      <w:r w:rsidR="00E6785F" w:rsidRPr="00B600DA">
        <w:rPr>
          <w:rFonts w:ascii="Arial" w:hAnsi="Arial" w:cs="Arial"/>
        </w:rPr>
        <w:tab/>
      </w:r>
      <w:r w:rsidR="0093010F">
        <w:rPr>
          <w:rFonts w:ascii="Arial" w:hAnsi="Arial" w:cs="Arial"/>
        </w:rPr>
        <w:t xml:space="preserve">            </w:t>
      </w:r>
      <w:r w:rsidR="00E6785F" w:rsidRPr="00B600DA">
        <w:rPr>
          <w:rFonts w:ascii="Arial" w:hAnsi="Arial" w:cs="Arial"/>
        </w:rPr>
        <w:t>(1)</w:t>
      </w:r>
    </w:p>
    <w:p w14:paraId="3BAF69E5" w14:textId="42CDD7B5" w:rsidR="00C4247C" w:rsidRPr="00B600DA" w:rsidRDefault="00C4247C" w:rsidP="009D093F">
      <w:pPr>
        <w:tabs>
          <w:tab w:val="num" w:pos="1440"/>
        </w:tabs>
        <w:spacing w:line="360" w:lineRule="auto"/>
        <w:jc w:val="both"/>
        <w:rPr>
          <w:rFonts w:ascii="Arial" w:hAnsi="Arial" w:cs="Arial"/>
        </w:rPr>
      </w:pPr>
      <w:r w:rsidRPr="00B600DA">
        <w:rPr>
          <w:rFonts w:ascii="Arial" w:hAnsi="Arial" w:cs="Arial"/>
        </w:rPr>
        <w:t>where: P = power (W), ρ = air density (1.225 kg/m³ assumed at standard conditions), A = swept area of the turbine (m²)</w:t>
      </w:r>
      <w:r w:rsidR="00AC7CCF">
        <w:rPr>
          <w:rFonts w:ascii="Arial" w:hAnsi="Arial" w:cs="Arial"/>
        </w:rPr>
        <w:t xml:space="preserve"> and </w:t>
      </w:r>
      <w:r w:rsidRPr="00B600DA">
        <w:rPr>
          <w:rFonts w:ascii="Arial" w:hAnsi="Arial" w:cs="Arial"/>
        </w:rPr>
        <w:t>v = wind speed (m/s).</w:t>
      </w:r>
    </w:p>
    <w:p w14:paraId="537E537B" w14:textId="46121536" w:rsidR="00C4247C" w:rsidRPr="00B600DA" w:rsidRDefault="00E6785F" w:rsidP="009D093F">
      <w:pPr>
        <w:tabs>
          <w:tab w:val="num" w:pos="1440"/>
        </w:tabs>
        <w:spacing w:line="360" w:lineRule="auto"/>
        <w:jc w:val="both"/>
        <w:rPr>
          <w:rFonts w:ascii="Arial" w:eastAsiaTheme="minorEastAsia" w:hAnsi="Arial" w:cs="Arial"/>
        </w:rPr>
      </w:pPr>
      <w:r w:rsidRPr="00B600DA">
        <w:rPr>
          <w:rFonts w:ascii="Arial" w:hAnsi="Arial" w:cs="Arial"/>
        </w:rPr>
        <w:tab/>
      </w:r>
      <m:oMath>
        <m:r>
          <w:rPr>
            <w:rFonts w:ascii="Cambria Math" w:hAnsi="Cambria Math" w:cs="Arial"/>
          </w:rPr>
          <m:t>A=π(</m:t>
        </m:r>
        <m:f>
          <m:fPr>
            <m:ctrlPr>
              <w:rPr>
                <w:rFonts w:ascii="Cambria Math" w:hAnsi="Cambria Math" w:cs="Arial"/>
                <w:i/>
              </w:rPr>
            </m:ctrlPr>
          </m:fPr>
          <m:num>
            <m:r>
              <w:rPr>
                <w:rFonts w:ascii="Cambria Math" w:hAnsi="Cambria Math" w:cs="Arial"/>
              </w:rPr>
              <m:t>D</m:t>
            </m:r>
          </m:num>
          <m:den>
            <m:r>
              <w:rPr>
                <w:rFonts w:ascii="Cambria Math" w:hAnsi="Cambria Math" w:cs="Arial"/>
              </w:rPr>
              <m:t>2</m:t>
            </m:r>
          </m:den>
        </m:f>
        <m:sSup>
          <m:sSupPr>
            <m:ctrlPr>
              <w:rPr>
                <w:rFonts w:ascii="Cambria Math" w:hAnsi="Cambria Math" w:cs="Arial"/>
                <w:i/>
              </w:rPr>
            </m:ctrlPr>
          </m:sSupPr>
          <m:e>
            <m:r>
              <w:rPr>
                <w:rFonts w:ascii="Cambria Math" w:hAnsi="Cambria Math" w:cs="Arial"/>
              </w:rPr>
              <m:t>)</m:t>
            </m:r>
          </m:e>
          <m:sup>
            <m:r>
              <w:rPr>
                <w:rFonts w:ascii="Cambria Math" w:hAnsi="Cambria Math" w:cs="Arial"/>
              </w:rPr>
              <m:t>2</m:t>
            </m:r>
          </m:sup>
        </m:sSup>
        <m:r>
          <w:rPr>
            <w:rFonts w:ascii="Cambria Math" w:hAnsi="Cambria Math" w:cs="Arial"/>
          </w:rPr>
          <m:t xml:space="preserve"> (m</m:t>
        </m:r>
        <m:sSup>
          <m:sSupPr>
            <m:ctrlPr>
              <w:rPr>
                <w:rFonts w:ascii="Cambria Math" w:hAnsi="Cambria Math" w:cs="Arial"/>
                <w:i/>
              </w:rPr>
            </m:ctrlPr>
          </m:sSupPr>
          <m:e>
            <m:r>
              <w:rPr>
                <w:rFonts w:ascii="Cambria Math" w:hAnsi="Cambria Math" w:cs="Arial"/>
              </w:rPr>
              <m:t>)</m:t>
            </m:r>
          </m:e>
          <m:sup>
            <m:r>
              <w:rPr>
                <w:rFonts w:ascii="Cambria Math" w:hAnsi="Cambria Math" w:cs="Arial"/>
              </w:rPr>
              <m:t>2</m:t>
            </m:r>
          </m:sup>
        </m:sSup>
      </m:oMath>
      <w:r w:rsidRPr="00B600DA">
        <w:rPr>
          <w:rFonts w:ascii="Arial" w:eastAsiaTheme="minorEastAsia" w:hAnsi="Arial" w:cs="Arial"/>
        </w:rPr>
        <w:t xml:space="preserve"> </w:t>
      </w:r>
      <w:r w:rsidRPr="00B600DA">
        <w:rPr>
          <w:rFonts w:ascii="Arial" w:eastAsiaTheme="minorEastAsia" w:hAnsi="Arial" w:cs="Arial"/>
        </w:rPr>
        <w:tab/>
      </w:r>
      <w:r w:rsidRPr="00B600DA">
        <w:rPr>
          <w:rFonts w:ascii="Arial" w:eastAsiaTheme="minorEastAsia" w:hAnsi="Arial" w:cs="Arial"/>
        </w:rPr>
        <w:tab/>
      </w:r>
      <w:r w:rsidRPr="00B600DA">
        <w:rPr>
          <w:rFonts w:ascii="Arial" w:eastAsiaTheme="minorEastAsia" w:hAnsi="Arial" w:cs="Arial"/>
        </w:rPr>
        <w:tab/>
      </w:r>
      <w:r w:rsidRPr="00B600DA">
        <w:rPr>
          <w:rFonts w:ascii="Arial" w:eastAsiaTheme="minorEastAsia" w:hAnsi="Arial" w:cs="Arial"/>
        </w:rPr>
        <w:tab/>
      </w:r>
      <w:r w:rsidRPr="00B600DA">
        <w:rPr>
          <w:rFonts w:ascii="Arial" w:eastAsiaTheme="minorEastAsia" w:hAnsi="Arial" w:cs="Arial"/>
        </w:rPr>
        <w:tab/>
      </w:r>
      <w:r w:rsidRPr="00B600DA">
        <w:rPr>
          <w:rFonts w:ascii="Arial" w:eastAsiaTheme="minorEastAsia" w:hAnsi="Arial" w:cs="Arial"/>
        </w:rPr>
        <w:tab/>
        <w:t>(2)</w:t>
      </w:r>
    </w:p>
    <w:p w14:paraId="6F599EDA" w14:textId="44F8660C" w:rsidR="00E6785F" w:rsidRPr="00B600DA" w:rsidRDefault="00C4247C" w:rsidP="009D093F">
      <w:pPr>
        <w:tabs>
          <w:tab w:val="num" w:pos="1440"/>
        </w:tabs>
        <w:spacing w:line="360" w:lineRule="auto"/>
        <w:jc w:val="both"/>
        <w:rPr>
          <w:rFonts w:ascii="Arial" w:eastAsiaTheme="minorEastAsia" w:hAnsi="Arial" w:cs="Arial"/>
        </w:rPr>
      </w:pPr>
      <w:r w:rsidRPr="00B600DA">
        <w:rPr>
          <w:rFonts w:ascii="Arial" w:eastAsiaTheme="minorEastAsia" w:hAnsi="Arial" w:cs="Arial"/>
        </w:rPr>
        <w:t>Power fro</w:t>
      </w:r>
      <w:r w:rsidR="00E6785F" w:rsidRPr="00B600DA">
        <w:rPr>
          <w:rFonts w:ascii="Arial" w:eastAsiaTheme="minorEastAsia" w:hAnsi="Arial" w:cs="Arial"/>
        </w:rPr>
        <w:t>m</w:t>
      </w:r>
      <w:r w:rsidRPr="00B600DA">
        <w:rPr>
          <w:rFonts w:ascii="Arial" w:eastAsiaTheme="minorEastAsia" w:hAnsi="Arial" w:cs="Arial"/>
        </w:rPr>
        <w:t xml:space="preserve"> wind (watts) before rating limit (amount of power generated </w:t>
      </w:r>
      <w:r w:rsidR="00E6785F" w:rsidRPr="00B600DA">
        <w:rPr>
          <w:rFonts w:ascii="Arial" w:eastAsiaTheme="minorEastAsia" w:hAnsi="Arial" w:cs="Arial"/>
        </w:rPr>
        <w:t xml:space="preserve">from </w:t>
      </w:r>
      <w:r w:rsidRPr="00B600DA">
        <w:rPr>
          <w:rFonts w:ascii="Arial" w:eastAsiaTheme="minorEastAsia" w:hAnsi="Arial" w:cs="Arial"/>
        </w:rPr>
        <w:t>a wind turbine before reaching its rated capacity or max power output)</w:t>
      </w:r>
    </w:p>
    <w:p w14:paraId="5728CA6C" w14:textId="49E0CC45" w:rsidR="00C4247C" w:rsidRPr="00B600DA" w:rsidRDefault="00E6785F" w:rsidP="009D093F">
      <w:pPr>
        <w:tabs>
          <w:tab w:val="num" w:pos="1440"/>
        </w:tabs>
        <w:spacing w:line="360" w:lineRule="auto"/>
        <w:jc w:val="both"/>
        <w:rPr>
          <w:rFonts w:ascii="Arial" w:eastAsiaTheme="minorEastAsia" w:hAnsi="Arial" w:cs="Arial"/>
        </w:rPr>
      </w:pPr>
      <w:r w:rsidRPr="00B600DA">
        <w:rPr>
          <w:rFonts w:ascii="Arial" w:eastAsiaTheme="minorEastAsia" w:hAnsi="Arial" w:cs="Arial"/>
        </w:rPr>
        <w:tab/>
      </w:r>
      <m:oMath>
        <m:r>
          <w:rPr>
            <w:rFonts w:ascii="Cambria Math" w:eastAsiaTheme="minorEastAsia" w:hAnsi="Cambria Math" w:cs="Arial"/>
          </w:rPr>
          <m:t>P</m:t>
        </m:r>
        <m:d>
          <m:dPr>
            <m:ctrlPr>
              <w:rPr>
                <w:rFonts w:ascii="Cambria Math" w:eastAsiaTheme="minorEastAsia" w:hAnsi="Cambria Math" w:cs="Arial"/>
                <w:i/>
              </w:rPr>
            </m:ctrlPr>
          </m:dPr>
          <m:e>
            <m:r>
              <w:rPr>
                <w:rFonts w:ascii="Cambria Math" w:eastAsiaTheme="minorEastAsia" w:hAnsi="Cambria Math" w:cs="Arial"/>
              </w:rPr>
              <m:t>v</m:t>
            </m:r>
          </m:e>
        </m:d>
        <m:d>
          <m:dPr>
            <m:ctrlPr>
              <w:rPr>
                <w:rFonts w:ascii="Cambria Math" w:eastAsiaTheme="minorEastAsia" w:hAnsi="Cambria Math" w:cs="Arial"/>
                <w:i/>
              </w:rPr>
            </m:ctrlPr>
          </m:dPr>
          <m:e>
            <m:r>
              <w:rPr>
                <w:rFonts w:ascii="Cambria Math" w:eastAsiaTheme="minorEastAsia" w:hAnsi="Cambria Math" w:cs="Arial"/>
              </w:rPr>
              <m:t>W</m:t>
            </m:r>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2</m:t>
            </m:r>
          </m:den>
        </m:f>
        <m:sSub>
          <m:sSubPr>
            <m:ctrlPr>
              <w:rPr>
                <w:rFonts w:ascii="Cambria Math" w:eastAsiaTheme="minorEastAsia" w:hAnsi="Cambria Math" w:cs="Arial"/>
                <w:i/>
              </w:rPr>
            </m:ctrlPr>
          </m:sSubPr>
          <m:e>
            <m:r>
              <w:rPr>
                <w:rFonts w:ascii="Cambria Math" w:eastAsiaTheme="minorEastAsia" w:hAnsi="Cambria Math" w:cs="Arial"/>
              </w:rPr>
              <m:t>ρAη</m:t>
            </m:r>
          </m:e>
          <m:sub>
            <m:r>
              <w:rPr>
                <w:rFonts w:ascii="Cambria Math" w:eastAsiaTheme="minorEastAsia" w:hAnsi="Cambria Math" w:cs="Arial"/>
              </w:rPr>
              <m:t>tot</m:t>
            </m:r>
          </m:sub>
        </m:sSub>
        <m:sSup>
          <m:sSupPr>
            <m:ctrlPr>
              <w:rPr>
                <w:rFonts w:ascii="Cambria Math" w:eastAsiaTheme="minorEastAsia" w:hAnsi="Cambria Math" w:cs="Arial"/>
                <w:i/>
              </w:rPr>
            </m:ctrlPr>
          </m:sSupPr>
          <m:e>
            <m:r>
              <w:rPr>
                <w:rFonts w:ascii="Cambria Math" w:eastAsiaTheme="minorEastAsia" w:hAnsi="Cambria Math" w:cs="Arial"/>
              </w:rPr>
              <m:t>v</m:t>
            </m:r>
          </m:e>
          <m:sup>
            <m:r>
              <w:rPr>
                <w:rFonts w:ascii="Cambria Math" w:eastAsiaTheme="minorEastAsia" w:hAnsi="Cambria Math" w:cs="Arial"/>
              </w:rPr>
              <m:t>3</m:t>
            </m:r>
          </m:sup>
        </m:sSup>
      </m:oMath>
      <w:r w:rsidRPr="00B600DA">
        <w:rPr>
          <w:rFonts w:ascii="Arial" w:eastAsiaTheme="minorEastAsia" w:hAnsi="Arial" w:cs="Arial"/>
        </w:rPr>
        <w:t xml:space="preserve"> </w:t>
      </w:r>
      <w:r w:rsidRPr="00B600DA">
        <w:rPr>
          <w:rFonts w:ascii="Arial" w:eastAsiaTheme="minorEastAsia" w:hAnsi="Arial" w:cs="Arial"/>
        </w:rPr>
        <w:tab/>
      </w:r>
      <w:r w:rsidRPr="00B600DA">
        <w:rPr>
          <w:rFonts w:ascii="Arial" w:eastAsiaTheme="minorEastAsia" w:hAnsi="Arial" w:cs="Arial"/>
        </w:rPr>
        <w:tab/>
      </w:r>
      <w:r w:rsidRPr="00B600DA">
        <w:rPr>
          <w:rFonts w:ascii="Arial" w:eastAsiaTheme="minorEastAsia" w:hAnsi="Arial" w:cs="Arial"/>
        </w:rPr>
        <w:tab/>
      </w:r>
      <w:r w:rsidRPr="00B600DA">
        <w:rPr>
          <w:rFonts w:ascii="Arial" w:eastAsiaTheme="minorEastAsia" w:hAnsi="Arial" w:cs="Arial"/>
        </w:rPr>
        <w:tab/>
      </w:r>
      <w:r w:rsidRPr="00B600DA">
        <w:rPr>
          <w:rFonts w:ascii="Arial" w:eastAsiaTheme="minorEastAsia" w:hAnsi="Arial" w:cs="Arial"/>
        </w:rPr>
        <w:tab/>
        <w:t>(3)</w:t>
      </w:r>
    </w:p>
    <w:p w14:paraId="52EA7184" w14:textId="743E6F19" w:rsidR="00C4247C" w:rsidRPr="00B600DA" w:rsidRDefault="00C4247C" w:rsidP="009D093F">
      <w:pPr>
        <w:pStyle w:val="ListParagraph"/>
        <w:numPr>
          <w:ilvl w:val="0"/>
          <w:numId w:val="34"/>
        </w:numPr>
        <w:spacing w:after="160" w:line="360" w:lineRule="auto"/>
        <w:ind w:left="720" w:hanging="360"/>
        <w:jc w:val="both"/>
        <w:rPr>
          <w:rFonts w:ascii="Arial" w:hAnsi="Arial" w:cs="Arial"/>
        </w:rPr>
      </w:pPr>
      <w:r w:rsidRPr="00B600DA">
        <w:rPr>
          <w:rFonts w:ascii="Arial" w:hAnsi="Arial" w:cs="Arial"/>
        </w:rPr>
        <w:t>Energy Conversion to kWh</w:t>
      </w:r>
    </w:p>
    <w:p w14:paraId="0711BE75" w14:textId="77777777" w:rsidR="00C4247C" w:rsidRPr="00B600DA" w:rsidRDefault="00C4247C" w:rsidP="009D093F">
      <w:pPr>
        <w:spacing w:line="360" w:lineRule="auto"/>
        <w:jc w:val="both"/>
        <w:rPr>
          <w:rFonts w:ascii="Arial" w:hAnsi="Arial" w:cs="Arial"/>
        </w:rPr>
      </w:pPr>
      <w:r w:rsidRPr="00B600DA">
        <w:rPr>
          <w:rFonts w:ascii="Arial" w:hAnsi="Arial" w:cs="Arial"/>
        </w:rPr>
        <w:t xml:space="preserve">Daily energy output was calculated by integrating the available power over the measurement period (0.5 hours for energy per interval), then converted to kilowatt-hours (kWh). The yearly output was estimated by multiplying daily averages by 365 days. </w:t>
      </w:r>
    </w:p>
    <w:p w14:paraId="4EC43863" w14:textId="5AD1CA8E" w:rsidR="00C4247C" w:rsidRPr="00B600DA" w:rsidRDefault="0068348F" w:rsidP="009D093F">
      <w:pPr>
        <w:spacing w:line="360" w:lineRule="auto"/>
        <w:ind w:left="1080" w:firstLine="360"/>
        <w:jc w:val="both"/>
        <w:rPr>
          <w:rFonts w:ascii="Arial" w:eastAsiaTheme="minorEastAsia" w:hAnsi="Arial" w:cs="Arial"/>
        </w:rPr>
      </w:pPr>
      <m:oMath>
        <m:sSub>
          <m:sSubPr>
            <m:ctrlPr>
              <w:rPr>
                <w:rFonts w:ascii="Cambria Math" w:hAnsi="Cambria Math" w:cs="Arial"/>
                <w:i/>
              </w:rPr>
            </m:ctrlPr>
          </m:sSubPr>
          <m:e>
            <m:r>
              <w:rPr>
                <w:rFonts w:ascii="Cambria Math" w:hAnsi="Cambria Math" w:cs="Arial"/>
              </w:rPr>
              <m:t>P</m:t>
            </m:r>
          </m:e>
          <m:sub>
            <m:r>
              <w:rPr>
                <w:rFonts w:ascii="Cambria Math" w:hAnsi="Cambria Math" w:cs="Arial"/>
              </w:rPr>
              <m:t>kw</m:t>
            </m:r>
          </m:sub>
        </m:sSub>
        <m:r>
          <w:rPr>
            <w:rFonts w:ascii="Cambria Math" w:hAnsi="Cambria Math" w:cs="Arial"/>
          </w:rPr>
          <m:t>=</m:t>
        </m:r>
        <m:f>
          <m:fPr>
            <m:ctrlPr>
              <w:rPr>
                <w:rFonts w:ascii="Cambria Math" w:hAnsi="Cambria Math" w:cs="Arial"/>
                <w:i/>
              </w:rPr>
            </m:ctrlPr>
          </m:fPr>
          <m:num>
            <m:r>
              <w:rPr>
                <w:rFonts w:ascii="Cambria Math" w:hAnsi="Cambria Math" w:cs="Arial"/>
              </w:rPr>
              <m:t>P</m:t>
            </m:r>
            <m:r>
              <w:rPr>
                <w:rFonts w:ascii="Cambria Math" w:hAnsi="Cambria Math" w:cs="Arial"/>
              </w:rPr>
              <m:t>(</m:t>
            </m:r>
            <m:r>
              <w:rPr>
                <w:rFonts w:ascii="Cambria Math" w:hAnsi="Cambria Math" w:cs="Arial"/>
              </w:rPr>
              <m:t>w</m:t>
            </m:r>
            <m:r>
              <w:rPr>
                <w:rFonts w:ascii="Cambria Math" w:hAnsi="Cambria Math" w:cs="Arial"/>
              </w:rPr>
              <m:t>)</m:t>
            </m:r>
          </m:num>
          <m:den>
            <m:r>
              <w:rPr>
                <w:rFonts w:ascii="Cambria Math" w:hAnsi="Cambria Math" w:cs="Arial"/>
              </w:rPr>
              <m:t>1000</m:t>
            </m:r>
          </m:den>
        </m:f>
      </m:oMath>
      <w:r w:rsidR="00E6785F" w:rsidRPr="00B600DA">
        <w:rPr>
          <w:rFonts w:ascii="Arial" w:eastAsiaTheme="minorEastAsia" w:hAnsi="Arial" w:cs="Arial"/>
        </w:rPr>
        <w:t xml:space="preserve"> </w:t>
      </w:r>
      <w:r w:rsidR="00E6785F" w:rsidRPr="00B600DA">
        <w:rPr>
          <w:rFonts w:ascii="Arial" w:eastAsiaTheme="minorEastAsia" w:hAnsi="Arial" w:cs="Arial"/>
        </w:rPr>
        <w:tab/>
      </w:r>
      <w:r w:rsidR="00E6785F" w:rsidRPr="00B600DA">
        <w:rPr>
          <w:rFonts w:ascii="Arial" w:eastAsiaTheme="minorEastAsia" w:hAnsi="Arial" w:cs="Arial"/>
        </w:rPr>
        <w:tab/>
      </w:r>
      <w:r w:rsidR="00E6785F" w:rsidRPr="00B600DA">
        <w:rPr>
          <w:rFonts w:ascii="Arial" w:eastAsiaTheme="minorEastAsia" w:hAnsi="Arial" w:cs="Arial"/>
        </w:rPr>
        <w:tab/>
      </w:r>
      <w:r w:rsidR="00E6785F" w:rsidRPr="00B600DA">
        <w:rPr>
          <w:rFonts w:ascii="Arial" w:eastAsiaTheme="minorEastAsia" w:hAnsi="Arial" w:cs="Arial"/>
        </w:rPr>
        <w:tab/>
      </w:r>
      <w:r w:rsidR="00E6785F" w:rsidRPr="00B600DA">
        <w:rPr>
          <w:rFonts w:ascii="Arial" w:eastAsiaTheme="minorEastAsia" w:hAnsi="Arial" w:cs="Arial"/>
        </w:rPr>
        <w:tab/>
      </w:r>
      <w:r w:rsidR="00E6785F" w:rsidRPr="00B600DA">
        <w:rPr>
          <w:rFonts w:ascii="Arial" w:eastAsiaTheme="minorEastAsia" w:hAnsi="Arial" w:cs="Arial"/>
        </w:rPr>
        <w:tab/>
        <w:t>(4)</w:t>
      </w:r>
    </w:p>
    <w:p w14:paraId="2E48E8EB" w14:textId="77777777" w:rsidR="00E6785F" w:rsidRPr="00B600DA" w:rsidRDefault="00E6785F" w:rsidP="009D093F">
      <w:pPr>
        <w:spacing w:line="360" w:lineRule="auto"/>
        <w:ind w:left="1080" w:firstLine="360"/>
        <w:jc w:val="both"/>
        <w:rPr>
          <w:rFonts w:ascii="Arial" w:eastAsiaTheme="minorEastAsia" w:hAnsi="Arial" w:cs="Arial"/>
        </w:rPr>
      </w:pPr>
    </w:p>
    <w:p w14:paraId="58B41C68" w14:textId="5CD3C0D0" w:rsidR="00C4247C" w:rsidRPr="00B600DA" w:rsidRDefault="0068348F" w:rsidP="009D093F">
      <w:pPr>
        <w:spacing w:line="360" w:lineRule="auto"/>
        <w:ind w:left="720" w:firstLine="720"/>
        <w:jc w:val="both"/>
        <w:rPr>
          <w:rFonts w:ascii="Arial" w:hAnsi="Arial" w:cs="Arial"/>
        </w:rPr>
      </w:pPr>
      <m:oMath>
        <m:sSub>
          <m:sSubPr>
            <m:ctrlPr>
              <w:rPr>
                <w:rFonts w:ascii="Cambria Math" w:hAnsi="Cambria Math" w:cs="Arial"/>
                <w:i/>
              </w:rPr>
            </m:ctrlPr>
          </m:sSubPr>
          <m:e>
            <m:r>
              <w:rPr>
                <w:rFonts w:ascii="Cambria Math" w:hAnsi="Cambria Math" w:cs="Arial"/>
              </w:rPr>
              <m:t>E</m:t>
            </m:r>
          </m:e>
          <m:sub>
            <m:r>
              <w:rPr>
                <w:rFonts w:ascii="Cambria Math" w:hAnsi="Cambria Math" w:cs="Arial"/>
              </w:rPr>
              <m:t>kw</m:t>
            </m:r>
            <m:r>
              <w:rPr>
                <w:rFonts w:ascii="Cambria Math" w:hAnsi="Cambria Math" w:cs="Arial"/>
              </w:rPr>
              <m:t>h</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kw</m:t>
            </m:r>
          </m:sub>
        </m:sSub>
        <m:r>
          <w:rPr>
            <w:rFonts w:ascii="Cambria Math" w:hAnsi="Cambria Math" w:cs="Arial"/>
          </w:rPr>
          <m:t>×0.5</m:t>
        </m:r>
      </m:oMath>
      <w:r w:rsidR="00E6785F" w:rsidRPr="00B600DA">
        <w:rPr>
          <w:rFonts w:ascii="Arial" w:hAnsi="Arial" w:cs="Arial"/>
        </w:rPr>
        <w:t xml:space="preserve"> </w:t>
      </w:r>
      <w:r w:rsidR="00E6785F" w:rsidRPr="00B600DA">
        <w:rPr>
          <w:rFonts w:ascii="Arial" w:hAnsi="Arial" w:cs="Arial"/>
        </w:rPr>
        <w:tab/>
      </w:r>
      <w:r w:rsidR="00E6785F" w:rsidRPr="00B600DA">
        <w:rPr>
          <w:rFonts w:ascii="Arial" w:hAnsi="Arial" w:cs="Arial"/>
        </w:rPr>
        <w:tab/>
      </w:r>
      <w:r w:rsidR="00E6785F" w:rsidRPr="00B600DA">
        <w:rPr>
          <w:rFonts w:ascii="Arial" w:hAnsi="Arial" w:cs="Arial"/>
        </w:rPr>
        <w:tab/>
      </w:r>
      <w:r w:rsidR="00E6785F" w:rsidRPr="00B600DA">
        <w:rPr>
          <w:rFonts w:ascii="Arial" w:hAnsi="Arial" w:cs="Arial"/>
        </w:rPr>
        <w:tab/>
      </w:r>
      <w:r w:rsidR="00E6785F" w:rsidRPr="00B600DA">
        <w:rPr>
          <w:rFonts w:ascii="Arial" w:hAnsi="Arial" w:cs="Arial"/>
        </w:rPr>
        <w:tab/>
        <w:t>(5)</w:t>
      </w:r>
    </w:p>
    <w:p w14:paraId="2FB2384B" w14:textId="77777777" w:rsidR="00E6785F" w:rsidRPr="00B600DA" w:rsidRDefault="00E6785F" w:rsidP="009D093F">
      <w:pPr>
        <w:spacing w:line="360" w:lineRule="auto"/>
        <w:jc w:val="both"/>
        <w:rPr>
          <w:rFonts w:ascii="Arial" w:hAnsi="Arial" w:cs="Arial"/>
        </w:rPr>
      </w:pPr>
    </w:p>
    <w:p w14:paraId="10B2B7F2" w14:textId="57EF7EDD" w:rsidR="00C4247C" w:rsidRPr="00B600DA" w:rsidRDefault="00244958" w:rsidP="009D093F">
      <w:pPr>
        <w:spacing w:line="360" w:lineRule="auto"/>
        <w:ind w:left="720" w:firstLine="720"/>
        <w:jc w:val="both"/>
        <w:rPr>
          <w:rFonts w:ascii="Arial" w:hAnsi="Arial" w:cs="Arial"/>
        </w:rPr>
      </w:pPr>
      <m:oMath>
        <m:r>
          <w:rPr>
            <w:rFonts w:ascii="Cambria Math" w:hAnsi="Cambria Math" w:cs="Arial"/>
          </w:rPr>
          <m:t>Annual Energy=Daily Energy ×365 days / year</m:t>
        </m:r>
      </m:oMath>
      <w:r w:rsidR="00E6785F" w:rsidRPr="00B600DA">
        <w:rPr>
          <w:rFonts w:ascii="Arial" w:hAnsi="Arial" w:cs="Arial"/>
        </w:rPr>
        <w:t xml:space="preserve"> </w:t>
      </w:r>
      <w:r w:rsidR="00E6785F" w:rsidRPr="00B600DA">
        <w:rPr>
          <w:rFonts w:ascii="Arial" w:hAnsi="Arial" w:cs="Arial"/>
        </w:rPr>
        <w:tab/>
        <w:t>(</w:t>
      </w:r>
      <m:oMath>
        <m:r>
          <w:rPr>
            <w:rFonts w:ascii="Cambria Math" w:hAnsi="Cambria Math" w:cs="Arial"/>
          </w:rPr>
          <m:t>6</m:t>
        </m:r>
      </m:oMath>
      <w:r w:rsidR="00E6785F" w:rsidRPr="00B600DA">
        <w:rPr>
          <w:rFonts w:ascii="Arial" w:hAnsi="Arial" w:cs="Arial"/>
        </w:rPr>
        <w:t>)</w:t>
      </w:r>
    </w:p>
    <w:p w14:paraId="3347838D" w14:textId="77777777" w:rsidR="00C4247C" w:rsidRPr="00B600DA" w:rsidRDefault="00C4247C" w:rsidP="009D093F">
      <w:pPr>
        <w:numPr>
          <w:ilvl w:val="0"/>
          <w:numId w:val="34"/>
        </w:numPr>
        <w:spacing w:after="160" w:line="360" w:lineRule="auto"/>
        <w:ind w:left="720" w:hanging="360"/>
        <w:jc w:val="both"/>
        <w:rPr>
          <w:rFonts w:ascii="Arial" w:hAnsi="Arial" w:cs="Arial"/>
        </w:rPr>
      </w:pPr>
      <w:r w:rsidRPr="00B600DA">
        <w:rPr>
          <w:rFonts w:ascii="Arial" w:hAnsi="Arial" w:cs="Arial"/>
        </w:rPr>
        <w:t>Scaling with Land Area</w:t>
      </w:r>
    </w:p>
    <w:p w14:paraId="598E7A62" w14:textId="77777777" w:rsidR="00C4247C" w:rsidRPr="00B600DA" w:rsidRDefault="00C4247C" w:rsidP="009D093F">
      <w:pPr>
        <w:spacing w:line="360" w:lineRule="auto"/>
        <w:jc w:val="both"/>
        <w:rPr>
          <w:rFonts w:ascii="Arial" w:hAnsi="Arial" w:cs="Arial"/>
        </w:rPr>
      </w:pPr>
      <w:r w:rsidRPr="00B600DA">
        <w:rPr>
          <w:rFonts w:ascii="Arial" w:hAnsi="Arial" w:cs="Arial"/>
        </w:rPr>
        <w:t xml:space="preserve">Since large-scale deployment was considered, the potential was estimated using 1% of each state’s land mass, assuming uniform distribution of turbines within the allocated land (Shaaban &amp; </w:t>
      </w:r>
      <w:proofErr w:type="spellStart"/>
      <w:r w:rsidRPr="00B600DA">
        <w:rPr>
          <w:rFonts w:ascii="Arial" w:hAnsi="Arial" w:cs="Arial"/>
        </w:rPr>
        <w:t>Petinrin</w:t>
      </w:r>
      <w:proofErr w:type="spellEnd"/>
      <w:r w:rsidRPr="00B600DA">
        <w:rPr>
          <w:rFonts w:ascii="Arial" w:hAnsi="Arial" w:cs="Arial"/>
        </w:rPr>
        <w:t xml:space="preserve">, 2014). </w:t>
      </w:r>
    </w:p>
    <w:p w14:paraId="72425761" w14:textId="1144B631" w:rsidR="00C4247C" w:rsidRPr="00B600DA" w:rsidRDefault="00C4247C" w:rsidP="009D093F">
      <w:pPr>
        <w:spacing w:line="360" w:lineRule="auto"/>
        <w:jc w:val="both"/>
        <w:rPr>
          <w:rFonts w:ascii="Arial" w:hAnsi="Arial" w:cs="Arial"/>
        </w:rPr>
      </w:pPr>
      <w:r w:rsidRPr="00B600DA">
        <w:rPr>
          <w:rFonts w:ascii="Arial" w:hAnsi="Arial" w:cs="Arial"/>
        </w:rPr>
        <w:t xml:space="preserve">The installed power density = </w:t>
      </w:r>
      <w:r w:rsidRPr="00B600DA">
        <w:rPr>
          <w:rStyle w:val="Strong"/>
          <w:rFonts w:ascii="Arial" w:hAnsi="Arial" w:cs="Arial"/>
          <w:b w:val="0"/>
          <w:bCs w:val="0"/>
        </w:rPr>
        <w:t>3.0 MW per km²</w:t>
      </w:r>
      <w:r w:rsidRPr="00B600DA">
        <w:rPr>
          <w:rFonts w:ascii="Arial" w:hAnsi="Arial" w:cs="Arial"/>
        </w:rPr>
        <w:t xml:space="preserve"> (i.e., 3000 kW/km²) a reasonable onshore wind-farm density accounting for spacing.</w:t>
      </w:r>
      <w:r w:rsidR="00423C7A" w:rsidRPr="00B600DA">
        <w:rPr>
          <w:rFonts w:ascii="Arial" w:hAnsi="Arial" w:cs="Arial"/>
        </w:rPr>
        <w:t xml:space="preserve"> </w:t>
      </w:r>
      <w:r w:rsidRPr="00B600DA">
        <w:rPr>
          <w:rFonts w:ascii="Arial" w:hAnsi="Arial" w:cs="Arial"/>
        </w:rPr>
        <w:t xml:space="preserve">Turbine rated capacity = </w:t>
      </w:r>
      <w:r w:rsidRPr="00B600DA">
        <w:rPr>
          <w:rStyle w:val="Strong"/>
          <w:rFonts w:ascii="Arial" w:eastAsiaTheme="majorEastAsia" w:hAnsi="Arial" w:cs="Arial"/>
          <w:b w:val="0"/>
          <w:bCs w:val="0"/>
        </w:rPr>
        <w:t>250 kW</w:t>
      </w:r>
      <w:r w:rsidRPr="00B600DA">
        <w:rPr>
          <w:rFonts w:ascii="Arial" w:hAnsi="Arial" w:cs="Arial"/>
        </w:rPr>
        <w:t xml:space="preserve"> (same turbine used in our interval calculations).</w:t>
      </w:r>
      <w:r w:rsidR="00423C7A" w:rsidRPr="00B600DA">
        <w:rPr>
          <w:rFonts w:ascii="Arial" w:hAnsi="Arial" w:cs="Arial"/>
        </w:rPr>
        <w:t xml:space="preserve"> The </w:t>
      </w:r>
      <w:r w:rsidRPr="00B600DA">
        <w:rPr>
          <w:rFonts w:ascii="Arial" w:hAnsi="Arial" w:cs="Arial"/>
        </w:rPr>
        <w:t xml:space="preserve">turbines per km² = 3000 / 250 = </w:t>
      </w:r>
      <w:r w:rsidRPr="00B600DA">
        <w:rPr>
          <w:rStyle w:val="Strong"/>
          <w:rFonts w:ascii="Arial" w:eastAsiaTheme="majorEastAsia" w:hAnsi="Arial" w:cs="Arial"/>
          <w:b w:val="0"/>
          <w:bCs w:val="0"/>
        </w:rPr>
        <w:t>12 turbines/km²</w:t>
      </w:r>
      <w:r w:rsidRPr="00B600DA">
        <w:rPr>
          <w:rFonts w:ascii="Arial" w:hAnsi="Arial" w:cs="Arial"/>
        </w:rPr>
        <w:t>.</w:t>
      </w:r>
      <w:r w:rsidR="00423C7A" w:rsidRPr="00B600DA">
        <w:rPr>
          <w:rFonts w:ascii="Arial" w:hAnsi="Arial" w:cs="Arial"/>
        </w:rPr>
        <w:t xml:space="preserve"> </w:t>
      </w:r>
      <w:r w:rsidRPr="00B600DA">
        <w:rPr>
          <w:rFonts w:ascii="Arial" w:hAnsi="Arial" w:cs="Arial"/>
        </w:rPr>
        <w:t>Daily total on 1% land = (1% area in km²) × (12 turbines/km²) × (avg daily kWh per turbine)</w:t>
      </w:r>
      <w:r w:rsidR="00423C7A" w:rsidRPr="00B600DA">
        <w:rPr>
          <w:rFonts w:ascii="Arial" w:hAnsi="Arial" w:cs="Arial"/>
        </w:rPr>
        <w:t xml:space="preserve"> and </w:t>
      </w:r>
      <w:r w:rsidRPr="00B600DA">
        <w:rPr>
          <w:rFonts w:ascii="Arial" w:hAnsi="Arial" w:cs="Arial"/>
        </w:rPr>
        <w:t>Yearly total = daily × 365.</w:t>
      </w:r>
    </w:p>
    <w:p w14:paraId="761F1AFF" w14:textId="77777777" w:rsidR="00C4247C" w:rsidRPr="00B600DA" w:rsidRDefault="00C4247C" w:rsidP="009D093F">
      <w:pPr>
        <w:numPr>
          <w:ilvl w:val="0"/>
          <w:numId w:val="34"/>
        </w:numPr>
        <w:spacing w:after="160" w:line="360" w:lineRule="auto"/>
        <w:ind w:left="720" w:hanging="360"/>
        <w:jc w:val="both"/>
        <w:rPr>
          <w:rFonts w:ascii="Arial" w:hAnsi="Arial" w:cs="Arial"/>
        </w:rPr>
      </w:pPr>
      <w:r w:rsidRPr="00B600DA">
        <w:rPr>
          <w:rFonts w:ascii="Arial" w:hAnsi="Arial" w:cs="Arial"/>
        </w:rPr>
        <w:t>Loss and Availability Factors</w:t>
      </w:r>
    </w:p>
    <w:p w14:paraId="225BA518" w14:textId="77777777" w:rsidR="00C4247C" w:rsidRPr="00B600DA" w:rsidRDefault="00C4247C" w:rsidP="009D093F">
      <w:pPr>
        <w:spacing w:line="360" w:lineRule="auto"/>
        <w:jc w:val="both"/>
        <w:rPr>
          <w:rFonts w:ascii="Arial" w:hAnsi="Arial" w:cs="Arial"/>
        </w:rPr>
      </w:pPr>
      <w:r w:rsidRPr="00B600DA">
        <w:rPr>
          <w:rFonts w:ascii="Arial" w:hAnsi="Arial" w:cs="Arial"/>
        </w:rPr>
        <w:t>To account for practical limitations, the following correction factors were applied:</w:t>
      </w:r>
    </w:p>
    <w:p w14:paraId="5CA5BF19" w14:textId="77777777" w:rsidR="00423C7A" w:rsidRPr="00B600DA" w:rsidRDefault="00C4247C" w:rsidP="009D093F">
      <w:pPr>
        <w:pStyle w:val="ListParagraph"/>
        <w:numPr>
          <w:ilvl w:val="0"/>
          <w:numId w:val="35"/>
        </w:numPr>
        <w:spacing w:after="160" w:line="360" w:lineRule="auto"/>
        <w:jc w:val="both"/>
        <w:rPr>
          <w:rFonts w:ascii="Arial" w:hAnsi="Arial" w:cs="Arial"/>
        </w:rPr>
      </w:pPr>
      <w:r w:rsidRPr="00B600DA">
        <w:rPr>
          <w:rFonts w:ascii="Arial" w:hAnsi="Arial" w:cs="Arial"/>
        </w:rPr>
        <w:lastRenderedPageBreak/>
        <w:t>Turbine availability: 98%</w:t>
      </w:r>
    </w:p>
    <w:p w14:paraId="4114DD0B" w14:textId="77777777" w:rsidR="00423C7A" w:rsidRPr="00B600DA" w:rsidRDefault="00C4247C" w:rsidP="009D093F">
      <w:pPr>
        <w:pStyle w:val="ListParagraph"/>
        <w:numPr>
          <w:ilvl w:val="0"/>
          <w:numId w:val="35"/>
        </w:numPr>
        <w:spacing w:after="160" w:line="360" w:lineRule="auto"/>
        <w:jc w:val="both"/>
        <w:rPr>
          <w:rFonts w:ascii="Arial" w:hAnsi="Arial" w:cs="Arial"/>
        </w:rPr>
      </w:pPr>
      <w:r w:rsidRPr="00B600DA">
        <w:rPr>
          <w:rFonts w:ascii="Arial" w:hAnsi="Arial" w:cs="Arial"/>
        </w:rPr>
        <w:t>Electrical losses: 95%</w:t>
      </w:r>
    </w:p>
    <w:p w14:paraId="3571BF07" w14:textId="77777777" w:rsidR="00423C7A" w:rsidRPr="00B600DA" w:rsidRDefault="00C4247C" w:rsidP="009D093F">
      <w:pPr>
        <w:pStyle w:val="ListParagraph"/>
        <w:numPr>
          <w:ilvl w:val="0"/>
          <w:numId w:val="35"/>
        </w:numPr>
        <w:spacing w:after="160" w:line="360" w:lineRule="auto"/>
        <w:jc w:val="both"/>
        <w:rPr>
          <w:rFonts w:ascii="Arial" w:hAnsi="Arial" w:cs="Arial"/>
        </w:rPr>
      </w:pPr>
      <w:r w:rsidRPr="00B600DA">
        <w:rPr>
          <w:rFonts w:ascii="Arial" w:hAnsi="Arial" w:cs="Arial"/>
        </w:rPr>
        <w:t>Wake and array effects: 90%</w:t>
      </w:r>
    </w:p>
    <w:p w14:paraId="7459E6FA" w14:textId="52056EA0" w:rsidR="00C4247C" w:rsidRPr="00B600DA" w:rsidRDefault="00C4247C" w:rsidP="009D093F">
      <w:pPr>
        <w:spacing w:after="160" w:line="360" w:lineRule="auto"/>
        <w:jc w:val="both"/>
        <w:rPr>
          <w:rFonts w:ascii="Arial" w:hAnsi="Arial" w:cs="Arial"/>
        </w:rPr>
      </w:pPr>
      <w:r w:rsidRPr="00B600DA">
        <w:rPr>
          <w:rFonts w:ascii="Arial" w:hAnsi="Arial" w:cs="Arial"/>
        </w:rPr>
        <w:t>The combined multiplier was:</w:t>
      </w:r>
    </w:p>
    <w:p w14:paraId="37FEEE18" w14:textId="57C06DB7" w:rsidR="00C4247C" w:rsidRPr="00B600DA" w:rsidRDefault="00244958" w:rsidP="009D093F">
      <w:pPr>
        <w:spacing w:line="360" w:lineRule="auto"/>
        <w:ind w:left="720" w:firstLine="720"/>
        <w:jc w:val="both"/>
        <w:rPr>
          <w:rFonts w:ascii="Arial" w:hAnsi="Arial" w:cs="Arial"/>
        </w:rPr>
      </w:pPr>
      <m:oMath>
        <m:r>
          <m:rPr>
            <m:sty m:val="p"/>
          </m:rPr>
          <w:rPr>
            <w:rFonts w:ascii="Cambria Math" w:hAnsi="Cambria Math" w:cs="Arial"/>
          </w:rPr>
          <m:t>Net Output=Gross Output×</m:t>
        </m:r>
        <m:d>
          <m:dPr>
            <m:ctrlPr>
              <w:rPr>
                <w:rFonts w:ascii="Cambria Math" w:hAnsi="Cambria Math" w:cs="Arial"/>
              </w:rPr>
            </m:ctrlPr>
          </m:dPr>
          <m:e>
            <m:r>
              <m:rPr>
                <m:sty m:val="p"/>
              </m:rPr>
              <w:rPr>
                <w:rFonts w:ascii="Cambria Math" w:hAnsi="Cambria Math" w:cs="Arial"/>
              </w:rPr>
              <m:t>0.98×0.95×0.90</m:t>
            </m:r>
            <m:ctrlPr>
              <w:rPr>
                <w:rFonts w:ascii="Cambria Math" w:hAnsi="Cambria Math" w:cs="Arial"/>
                <w:i/>
              </w:rPr>
            </m:ctrlPr>
          </m:e>
        </m:d>
      </m:oMath>
      <w:r w:rsidR="00706D68" w:rsidRPr="00B600DA">
        <w:rPr>
          <w:rFonts w:ascii="Arial" w:hAnsi="Arial" w:cs="Arial"/>
        </w:rPr>
        <w:tab/>
      </w:r>
      <w:r w:rsidR="00706D68" w:rsidRPr="00B600DA">
        <w:rPr>
          <w:rFonts w:ascii="Arial" w:hAnsi="Arial" w:cs="Arial"/>
        </w:rPr>
        <w:tab/>
        <w:t xml:space="preserve">(7) </w:t>
      </w:r>
    </w:p>
    <w:p w14:paraId="4A00F080" w14:textId="01C0CEDA" w:rsidR="00C4247C" w:rsidRPr="00B600DA" w:rsidRDefault="00C4247C" w:rsidP="009D093F">
      <w:pPr>
        <w:spacing w:line="360" w:lineRule="auto"/>
        <w:jc w:val="both"/>
        <w:rPr>
          <w:rFonts w:ascii="Arial" w:hAnsi="Arial" w:cs="Arial"/>
        </w:rPr>
      </w:pPr>
      <w:r w:rsidRPr="00B600DA">
        <w:rPr>
          <w:rFonts w:ascii="Arial" w:hAnsi="Arial" w:cs="Arial"/>
        </w:rPr>
        <w:t>Thus, all final results represent realistic net energy potentials.</w:t>
      </w:r>
    </w:p>
    <w:p w14:paraId="211739EA" w14:textId="5F76C334" w:rsidR="00C4247C" w:rsidRPr="00B600DA" w:rsidRDefault="00244958" w:rsidP="009D093F">
      <w:pPr>
        <w:spacing w:line="360" w:lineRule="auto"/>
        <w:jc w:val="both"/>
        <w:rPr>
          <w:rFonts w:ascii="Arial" w:hAnsi="Arial" w:cs="Arial"/>
          <w:b/>
          <w:bCs/>
        </w:rPr>
      </w:pPr>
      <w:r w:rsidRPr="00B600DA">
        <w:rPr>
          <w:rFonts w:ascii="Arial" w:hAnsi="Arial" w:cs="Arial"/>
          <w:b/>
          <w:bCs/>
        </w:rPr>
        <w:t>2</w:t>
      </w:r>
      <w:r w:rsidR="00C4247C" w:rsidRPr="00B600DA">
        <w:rPr>
          <w:rFonts w:ascii="Arial" w:hAnsi="Arial" w:cs="Arial"/>
          <w:b/>
          <w:bCs/>
        </w:rPr>
        <w:t>.5 Tools and Software</w:t>
      </w:r>
    </w:p>
    <w:p w14:paraId="13159091" w14:textId="3B73F3AB" w:rsidR="00C4247C" w:rsidRPr="00B600DA" w:rsidRDefault="00C4247C" w:rsidP="009D093F">
      <w:pPr>
        <w:spacing w:line="360" w:lineRule="auto"/>
        <w:jc w:val="both"/>
        <w:rPr>
          <w:rFonts w:ascii="Arial" w:hAnsi="Arial" w:cs="Arial"/>
        </w:rPr>
      </w:pPr>
      <w:r w:rsidRPr="00B600DA">
        <w:rPr>
          <w:rFonts w:ascii="Arial" w:hAnsi="Arial" w:cs="Arial"/>
        </w:rPr>
        <w:t>Microsoft Excel and Python (NumPy, Pandas, Matplotlib) were used for dataset processing, calculations, and visualization.</w:t>
      </w:r>
      <w:r w:rsidR="00AC7CCF">
        <w:rPr>
          <w:rFonts w:ascii="Arial" w:hAnsi="Arial" w:cs="Arial"/>
        </w:rPr>
        <w:t xml:space="preserve"> T</w:t>
      </w:r>
      <w:r w:rsidRPr="00B600DA">
        <w:rPr>
          <w:rFonts w:ascii="Arial" w:hAnsi="Arial" w:cs="Arial"/>
        </w:rPr>
        <w:t>ables and graphical plots (daily vs yearly energy) were generated for better interpretation of the results.</w:t>
      </w:r>
    </w:p>
    <w:p w14:paraId="798B6F4A" w14:textId="77777777" w:rsidR="00902823" w:rsidRPr="00B600DA" w:rsidRDefault="00000F8F" w:rsidP="009D093F">
      <w:pPr>
        <w:pStyle w:val="Head1"/>
        <w:spacing w:after="0" w:line="360" w:lineRule="auto"/>
        <w:jc w:val="both"/>
        <w:rPr>
          <w:rFonts w:ascii="Arial" w:hAnsi="Arial" w:cs="Arial"/>
        </w:rPr>
      </w:pPr>
      <w:r w:rsidRPr="00B600DA">
        <w:rPr>
          <w:rFonts w:ascii="Arial" w:hAnsi="Arial" w:cs="Arial"/>
        </w:rPr>
        <w:t>3</w:t>
      </w:r>
      <w:r w:rsidR="00902823" w:rsidRPr="00B600DA">
        <w:rPr>
          <w:rFonts w:ascii="Arial" w:hAnsi="Arial" w:cs="Arial"/>
        </w:rPr>
        <w:t xml:space="preserve">. </w:t>
      </w:r>
      <w:r w:rsidRPr="00B600DA">
        <w:rPr>
          <w:rFonts w:ascii="Arial" w:hAnsi="Arial" w:cs="Arial"/>
        </w:rPr>
        <w:t>results and discussion</w:t>
      </w:r>
    </w:p>
    <w:p w14:paraId="41E1A1F5" w14:textId="6DC26271" w:rsidR="001600A3" w:rsidRPr="00CF2A25" w:rsidRDefault="001600A3" w:rsidP="009D093F">
      <w:pPr>
        <w:spacing w:after="160" w:line="360" w:lineRule="auto"/>
        <w:jc w:val="both"/>
        <w:rPr>
          <w:rFonts w:ascii="Arial" w:hAnsi="Arial" w:cs="Arial"/>
        </w:rPr>
      </w:pPr>
      <w:r w:rsidRPr="00CF2A25">
        <w:rPr>
          <w:rFonts w:ascii="Arial" w:hAnsi="Arial" w:cs="Arial"/>
        </w:rPr>
        <w:t>This presents the results of the wind energy potential assessment conducted in selected states of Northern Nigeria.</w:t>
      </w:r>
    </w:p>
    <w:p w14:paraId="080EF9C4" w14:textId="011747D1" w:rsidR="001600A3" w:rsidRPr="00B600DA" w:rsidRDefault="009D093F" w:rsidP="009D093F">
      <w:pPr>
        <w:spacing w:line="360" w:lineRule="auto"/>
        <w:jc w:val="both"/>
        <w:rPr>
          <w:rFonts w:ascii="Arial" w:hAnsi="Arial" w:cs="Arial"/>
          <w:b/>
          <w:bCs/>
        </w:rPr>
      </w:pPr>
      <w:r w:rsidRPr="00B600DA">
        <w:rPr>
          <w:rFonts w:ascii="Arial" w:hAnsi="Arial" w:cs="Arial"/>
          <w:b/>
          <w:bCs/>
        </w:rPr>
        <w:t>3.1 Daily and Seasonal Wind Energy Generation</w:t>
      </w:r>
    </w:p>
    <w:p w14:paraId="0547627B" w14:textId="2F22516F" w:rsidR="001600A3" w:rsidRPr="00CF2A25" w:rsidRDefault="009D093F" w:rsidP="009D093F">
      <w:pPr>
        <w:spacing w:line="360" w:lineRule="auto"/>
        <w:jc w:val="both"/>
        <w:rPr>
          <w:rFonts w:ascii="Arial" w:hAnsi="Arial" w:cs="Arial"/>
        </w:rPr>
      </w:pPr>
      <w:r w:rsidRPr="00B600DA">
        <w:rPr>
          <w:rFonts w:ascii="Arial" w:hAnsi="Arial" w:cs="Arial"/>
        </w:rPr>
        <w:t xml:space="preserve">Table 1, </w:t>
      </w:r>
      <w:r w:rsidR="001600A3" w:rsidRPr="00CF2A25">
        <w:rPr>
          <w:rFonts w:ascii="Arial" w:hAnsi="Arial" w:cs="Arial"/>
        </w:rPr>
        <w:t>show</w:t>
      </w:r>
      <w:r w:rsidRPr="00B600DA">
        <w:rPr>
          <w:rFonts w:ascii="Arial" w:hAnsi="Arial" w:cs="Arial"/>
        </w:rPr>
        <w:t>s</w:t>
      </w:r>
      <w:r w:rsidR="001600A3" w:rsidRPr="00CF2A25">
        <w:rPr>
          <w:rFonts w:ascii="Arial" w:hAnsi="Arial" w:cs="Arial"/>
        </w:rPr>
        <w:t xml:space="preserve"> a clear seasonal dependence of wind energy generation across the studied states.</w:t>
      </w:r>
      <w:r w:rsidR="001600A3" w:rsidRPr="00B600DA">
        <w:rPr>
          <w:rFonts w:ascii="Arial" w:hAnsi="Arial" w:cs="Arial"/>
        </w:rPr>
        <w:t xml:space="preserve"> </w:t>
      </w:r>
      <w:r w:rsidR="001600A3" w:rsidRPr="00CF2A25">
        <w:rPr>
          <w:rFonts w:ascii="Arial" w:hAnsi="Arial" w:cs="Arial"/>
        </w:rPr>
        <w:t>Dry season months (January</w:t>
      </w:r>
      <w:r w:rsidR="00AC7CCF">
        <w:rPr>
          <w:rFonts w:ascii="Arial" w:hAnsi="Arial" w:cs="Arial"/>
        </w:rPr>
        <w:t xml:space="preserve"> </w:t>
      </w:r>
      <w:r w:rsidR="001600A3" w:rsidRPr="00CF2A25">
        <w:rPr>
          <w:rFonts w:ascii="Arial" w:hAnsi="Arial" w:cs="Arial"/>
        </w:rPr>
        <w:t>–</w:t>
      </w:r>
      <w:r w:rsidR="00AC7CCF">
        <w:rPr>
          <w:rFonts w:ascii="Arial" w:hAnsi="Arial" w:cs="Arial"/>
        </w:rPr>
        <w:t xml:space="preserve"> </w:t>
      </w:r>
      <w:r w:rsidR="001600A3" w:rsidRPr="00CF2A25">
        <w:rPr>
          <w:rFonts w:ascii="Arial" w:hAnsi="Arial" w:cs="Arial"/>
        </w:rPr>
        <w:t>February, December) consistently record higher average daily energy outputs, e.g., Katsina (178.09 kWh in February), Yobe (147.43 kWh in January), Kano (141.38 kWh in December).</w:t>
      </w:r>
      <w:r w:rsidR="001600A3" w:rsidRPr="00B600DA">
        <w:rPr>
          <w:rFonts w:ascii="Arial" w:hAnsi="Arial" w:cs="Arial"/>
        </w:rPr>
        <w:t xml:space="preserve"> </w:t>
      </w:r>
      <w:r w:rsidR="001600A3" w:rsidRPr="00CF2A25">
        <w:rPr>
          <w:rFonts w:ascii="Arial" w:hAnsi="Arial" w:cs="Arial"/>
        </w:rPr>
        <w:t>In contrast, wet season months (June</w:t>
      </w:r>
      <w:r w:rsidR="00AC7CCF">
        <w:rPr>
          <w:rFonts w:ascii="Arial" w:hAnsi="Arial" w:cs="Arial"/>
        </w:rPr>
        <w:t xml:space="preserve"> </w:t>
      </w:r>
      <w:r w:rsidR="001600A3" w:rsidRPr="00CF2A25">
        <w:rPr>
          <w:rFonts w:ascii="Arial" w:hAnsi="Arial" w:cs="Arial"/>
        </w:rPr>
        <w:t>–</w:t>
      </w:r>
      <w:r w:rsidR="00AC7CCF">
        <w:rPr>
          <w:rFonts w:ascii="Arial" w:hAnsi="Arial" w:cs="Arial"/>
        </w:rPr>
        <w:t xml:space="preserve"> </w:t>
      </w:r>
      <w:r w:rsidR="001600A3" w:rsidRPr="00CF2A25">
        <w:rPr>
          <w:rFonts w:ascii="Arial" w:hAnsi="Arial" w:cs="Arial"/>
        </w:rPr>
        <w:t>August, October) exhibit significant reductions: Katsina (67.74 kWh in October), Kaduna (47.40 kWh in June), Kogi (35.14 kWh in July).</w:t>
      </w:r>
      <w:r w:rsidR="00341B11" w:rsidRPr="00B600DA">
        <w:rPr>
          <w:rFonts w:ascii="Arial" w:hAnsi="Arial" w:cs="Arial"/>
        </w:rPr>
        <w:t xml:space="preserve"> </w:t>
      </w:r>
      <w:r w:rsidR="001600A3" w:rsidRPr="00CF2A25">
        <w:rPr>
          <w:rFonts w:ascii="Arial" w:hAnsi="Arial" w:cs="Arial"/>
        </w:rPr>
        <w:t>This pattern aligns with the climatological characteristics of Northern Nigeria, where the dry season is dominated by Harmattan winds driven by the northeasterly trade winds, while the wet season is characterized by humid, lower-velocity southwesterlies.</w:t>
      </w:r>
    </w:p>
    <w:p w14:paraId="1E99CC7F" w14:textId="15977294" w:rsidR="001600A3" w:rsidRPr="00CF2A25" w:rsidRDefault="001600A3" w:rsidP="00341B11">
      <w:pPr>
        <w:spacing w:after="160" w:line="360" w:lineRule="auto"/>
        <w:jc w:val="both"/>
        <w:rPr>
          <w:rFonts w:ascii="Arial" w:hAnsi="Arial" w:cs="Arial"/>
        </w:rPr>
      </w:pPr>
      <w:r w:rsidRPr="00CF2A25">
        <w:rPr>
          <w:rFonts w:ascii="Arial" w:hAnsi="Arial" w:cs="Arial"/>
        </w:rPr>
        <w:t>Importantly, intra-seasonal variability is observed: for example, Kaduna records moderate generation in April (121.32 kWh) but drops sharply in June (47.40 kWh), reflecting transitional wind regimes.</w:t>
      </w:r>
      <w:r w:rsidR="00EB2659">
        <w:rPr>
          <w:rFonts w:ascii="Arial" w:hAnsi="Arial" w:cs="Arial"/>
        </w:rPr>
        <w:t xml:space="preserve"> Fig.1. Shows the winds alone, which favors Katsina, Yobe and Kano</w:t>
      </w:r>
    </w:p>
    <w:p w14:paraId="092971D7" w14:textId="4683F29F" w:rsidR="001600A3" w:rsidRPr="00CF2A25" w:rsidRDefault="001600A3" w:rsidP="001600A3">
      <w:pPr>
        <w:spacing w:after="160" w:line="278" w:lineRule="auto"/>
        <w:jc w:val="both"/>
        <w:rPr>
          <w:rFonts w:ascii="Arial" w:hAnsi="Arial" w:cs="Arial"/>
        </w:rPr>
      </w:pPr>
      <w:r w:rsidRPr="00CF2A25">
        <w:rPr>
          <w:rFonts w:ascii="Arial" w:hAnsi="Arial" w:cs="Arial"/>
        </w:rPr>
        <w:t>Table1</w:t>
      </w:r>
      <w:r w:rsidR="00341B11" w:rsidRPr="00B600DA">
        <w:rPr>
          <w:rFonts w:ascii="Arial" w:hAnsi="Arial" w:cs="Arial"/>
        </w:rPr>
        <w:t>.</w:t>
      </w:r>
      <w:r w:rsidRPr="00CF2A25">
        <w:rPr>
          <w:rFonts w:ascii="Arial" w:hAnsi="Arial" w:cs="Arial"/>
        </w:rPr>
        <w:t xml:space="preserve"> </w:t>
      </w:r>
      <w:r w:rsidR="00341B11" w:rsidRPr="00B600DA">
        <w:rPr>
          <w:rFonts w:ascii="Arial" w:hAnsi="Arial" w:cs="Arial"/>
        </w:rPr>
        <w:t>P</w:t>
      </w:r>
      <w:r w:rsidRPr="00CF2A25">
        <w:rPr>
          <w:rFonts w:ascii="Arial" w:hAnsi="Arial" w:cs="Arial"/>
        </w:rPr>
        <w:t>resents the representative daily wind energy outputs for selected states across dry, wet, and transitional seasons.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975"/>
        <w:gridCol w:w="1548"/>
        <w:gridCol w:w="1244"/>
        <w:gridCol w:w="1244"/>
        <w:gridCol w:w="1244"/>
        <w:gridCol w:w="1953"/>
      </w:tblGrid>
      <w:tr w:rsidR="001600A3" w:rsidRPr="00B600DA" w14:paraId="15DE47BD" w14:textId="77777777" w:rsidTr="0003212D">
        <w:trPr>
          <w:tblHeader/>
          <w:tblCellSpacing w:w="15" w:type="dxa"/>
        </w:trPr>
        <w:tc>
          <w:tcPr>
            <w:tcW w:w="997" w:type="dxa"/>
            <w:tcBorders>
              <w:top w:val="nil"/>
              <w:bottom w:val="single" w:sz="4" w:space="0" w:color="auto"/>
            </w:tcBorders>
            <w:vAlign w:val="center"/>
            <w:hideMark/>
          </w:tcPr>
          <w:p w14:paraId="566D4A7A" w14:textId="77777777" w:rsidR="001600A3" w:rsidRPr="00B600DA" w:rsidRDefault="001600A3" w:rsidP="001600A3">
            <w:pPr>
              <w:spacing w:line="276" w:lineRule="auto"/>
              <w:rPr>
                <w:rFonts w:ascii="Arial" w:hAnsi="Arial" w:cs="Arial"/>
              </w:rPr>
            </w:pPr>
            <w:r w:rsidRPr="00B600DA">
              <w:rPr>
                <w:rFonts w:ascii="Arial" w:hAnsi="Arial" w:cs="Arial"/>
              </w:rPr>
              <w:t>State</w:t>
            </w:r>
          </w:p>
        </w:tc>
        <w:tc>
          <w:tcPr>
            <w:tcW w:w="1673" w:type="dxa"/>
            <w:tcBorders>
              <w:top w:val="nil"/>
              <w:bottom w:val="single" w:sz="4" w:space="0" w:color="auto"/>
            </w:tcBorders>
            <w:vAlign w:val="center"/>
            <w:hideMark/>
          </w:tcPr>
          <w:p w14:paraId="39CF0D27" w14:textId="77777777" w:rsidR="001600A3" w:rsidRPr="00B600DA" w:rsidRDefault="001600A3" w:rsidP="001600A3">
            <w:pPr>
              <w:spacing w:line="276" w:lineRule="auto"/>
              <w:rPr>
                <w:rFonts w:ascii="Arial" w:hAnsi="Arial" w:cs="Arial"/>
              </w:rPr>
            </w:pPr>
            <w:r w:rsidRPr="00B600DA">
              <w:rPr>
                <w:rFonts w:ascii="Arial" w:hAnsi="Arial" w:cs="Arial"/>
              </w:rPr>
              <w:t>Season (Month)</w:t>
            </w:r>
          </w:p>
        </w:tc>
        <w:tc>
          <w:tcPr>
            <w:tcW w:w="1401" w:type="dxa"/>
            <w:tcBorders>
              <w:top w:val="nil"/>
              <w:bottom w:val="single" w:sz="4" w:space="0" w:color="auto"/>
            </w:tcBorders>
            <w:vAlign w:val="center"/>
            <w:hideMark/>
          </w:tcPr>
          <w:p w14:paraId="57385B0C" w14:textId="77777777" w:rsidR="001600A3" w:rsidRPr="00B600DA" w:rsidRDefault="001600A3" w:rsidP="001600A3">
            <w:pPr>
              <w:spacing w:line="276" w:lineRule="auto"/>
              <w:rPr>
                <w:rFonts w:ascii="Arial" w:hAnsi="Arial" w:cs="Arial"/>
              </w:rPr>
            </w:pPr>
            <w:r w:rsidRPr="00B600DA">
              <w:rPr>
                <w:rFonts w:ascii="Arial" w:hAnsi="Arial" w:cs="Arial"/>
              </w:rPr>
              <w:t>Day 1 (kWh)</w:t>
            </w:r>
          </w:p>
        </w:tc>
        <w:tc>
          <w:tcPr>
            <w:tcW w:w="1401" w:type="dxa"/>
            <w:tcBorders>
              <w:top w:val="nil"/>
              <w:bottom w:val="single" w:sz="4" w:space="0" w:color="auto"/>
            </w:tcBorders>
            <w:vAlign w:val="center"/>
            <w:hideMark/>
          </w:tcPr>
          <w:p w14:paraId="2809B8F2" w14:textId="77777777" w:rsidR="001600A3" w:rsidRPr="00B600DA" w:rsidRDefault="001600A3" w:rsidP="001600A3">
            <w:pPr>
              <w:spacing w:line="276" w:lineRule="auto"/>
              <w:rPr>
                <w:rFonts w:ascii="Arial" w:hAnsi="Arial" w:cs="Arial"/>
              </w:rPr>
            </w:pPr>
            <w:r w:rsidRPr="00B600DA">
              <w:rPr>
                <w:rFonts w:ascii="Arial" w:hAnsi="Arial" w:cs="Arial"/>
              </w:rPr>
              <w:t>Day 2 (kWh)</w:t>
            </w:r>
          </w:p>
        </w:tc>
        <w:tc>
          <w:tcPr>
            <w:tcW w:w="1401" w:type="dxa"/>
            <w:tcBorders>
              <w:top w:val="nil"/>
              <w:bottom w:val="single" w:sz="4" w:space="0" w:color="auto"/>
            </w:tcBorders>
          </w:tcPr>
          <w:p w14:paraId="1808F0BC" w14:textId="77777777" w:rsidR="001600A3" w:rsidRPr="00B600DA" w:rsidRDefault="001600A3" w:rsidP="001600A3">
            <w:pPr>
              <w:spacing w:line="276" w:lineRule="auto"/>
              <w:rPr>
                <w:rFonts w:ascii="Arial" w:hAnsi="Arial" w:cs="Arial"/>
              </w:rPr>
            </w:pPr>
            <w:r w:rsidRPr="00B600DA">
              <w:rPr>
                <w:rFonts w:ascii="Arial" w:hAnsi="Arial" w:cs="Arial"/>
              </w:rPr>
              <w:t>Day 3 (kWh)</w:t>
            </w:r>
          </w:p>
        </w:tc>
        <w:tc>
          <w:tcPr>
            <w:tcW w:w="2277" w:type="dxa"/>
            <w:tcBorders>
              <w:top w:val="nil"/>
              <w:bottom w:val="single" w:sz="4" w:space="0" w:color="auto"/>
            </w:tcBorders>
            <w:vAlign w:val="center"/>
            <w:hideMark/>
          </w:tcPr>
          <w:p w14:paraId="2A082774" w14:textId="77777777" w:rsidR="001600A3" w:rsidRPr="00B600DA" w:rsidRDefault="001600A3" w:rsidP="001600A3">
            <w:pPr>
              <w:spacing w:line="276" w:lineRule="auto"/>
              <w:rPr>
                <w:rFonts w:ascii="Arial" w:hAnsi="Arial" w:cs="Arial"/>
              </w:rPr>
            </w:pPr>
            <w:r w:rsidRPr="00B600DA">
              <w:rPr>
                <w:rFonts w:ascii="Arial" w:hAnsi="Arial" w:cs="Arial"/>
              </w:rPr>
              <w:t>Average Daily (kWh)</w:t>
            </w:r>
          </w:p>
        </w:tc>
      </w:tr>
      <w:tr w:rsidR="001600A3" w:rsidRPr="00B600DA" w14:paraId="32ED6810" w14:textId="77777777" w:rsidTr="0003212D">
        <w:trPr>
          <w:tblCellSpacing w:w="15" w:type="dxa"/>
        </w:trPr>
        <w:tc>
          <w:tcPr>
            <w:tcW w:w="997" w:type="dxa"/>
            <w:vAlign w:val="center"/>
            <w:hideMark/>
          </w:tcPr>
          <w:p w14:paraId="0B72D2CA" w14:textId="77777777" w:rsidR="001600A3" w:rsidRPr="00B600DA" w:rsidRDefault="001600A3" w:rsidP="001600A3">
            <w:pPr>
              <w:spacing w:line="276" w:lineRule="auto"/>
              <w:rPr>
                <w:rFonts w:ascii="Arial" w:hAnsi="Arial" w:cs="Arial"/>
              </w:rPr>
            </w:pPr>
            <w:r w:rsidRPr="00B600DA">
              <w:rPr>
                <w:rFonts w:ascii="Arial" w:hAnsi="Arial" w:cs="Arial"/>
              </w:rPr>
              <w:t>Katsina</w:t>
            </w:r>
          </w:p>
        </w:tc>
        <w:tc>
          <w:tcPr>
            <w:tcW w:w="1673" w:type="dxa"/>
            <w:vAlign w:val="center"/>
            <w:hideMark/>
          </w:tcPr>
          <w:p w14:paraId="4F0D3A8A" w14:textId="77777777" w:rsidR="001600A3" w:rsidRPr="00B600DA" w:rsidRDefault="001600A3" w:rsidP="001600A3">
            <w:pPr>
              <w:spacing w:line="276" w:lineRule="auto"/>
              <w:rPr>
                <w:rFonts w:ascii="Arial" w:hAnsi="Arial" w:cs="Arial"/>
              </w:rPr>
            </w:pPr>
            <w:r w:rsidRPr="00B600DA">
              <w:rPr>
                <w:rFonts w:ascii="Arial" w:hAnsi="Arial" w:cs="Arial"/>
              </w:rPr>
              <w:t>Feb (Dry)</w:t>
            </w:r>
          </w:p>
        </w:tc>
        <w:tc>
          <w:tcPr>
            <w:tcW w:w="1401" w:type="dxa"/>
            <w:vAlign w:val="center"/>
            <w:hideMark/>
          </w:tcPr>
          <w:p w14:paraId="498BB1F3" w14:textId="77777777" w:rsidR="001600A3" w:rsidRPr="00B600DA" w:rsidRDefault="001600A3" w:rsidP="001600A3">
            <w:pPr>
              <w:spacing w:line="276" w:lineRule="auto"/>
              <w:rPr>
                <w:rFonts w:ascii="Arial" w:hAnsi="Arial" w:cs="Arial"/>
              </w:rPr>
            </w:pPr>
            <w:r w:rsidRPr="00B600DA">
              <w:rPr>
                <w:rFonts w:ascii="Arial" w:hAnsi="Arial" w:cs="Arial"/>
              </w:rPr>
              <w:t>193.86</w:t>
            </w:r>
          </w:p>
        </w:tc>
        <w:tc>
          <w:tcPr>
            <w:tcW w:w="1401" w:type="dxa"/>
            <w:vAlign w:val="center"/>
            <w:hideMark/>
          </w:tcPr>
          <w:p w14:paraId="0F368DBF" w14:textId="77777777" w:rsidR="001600A3" w:rsidRPr="00B600DA" w:rsidRDefault="001600A3" w:rsidP="001600A3">
            <w:pPr>
              <w:spacing w:line="276" w:lineRule="auto"/>
              <w:rPr>
                <w:rFonts w:ascii="Arial" w:hAnsi="Arial" w:cs="Arial"/>
              </w:rPr>
            </w:pPr>
            <w:r w:rsidRPr="00B600DA">
              <w:rPr>
                <w:rFonts w:ascii="Arial" w:hAnsi="Arial" w:cs="Arial"/>
              </w:rPr>
              <w:t>170.56</w:t>
            </w:r>
          </w:p>
        </w:tc>
        <w:tc>
          <w:tcPr>
            <w:tcW w:w="1401" w:type="dxa"/>
          </w:tcPr>
          <w:p w14:paraId="3AE8A364" w14:textId="77777777" w:rsidR="001600A3" w:rsidRPr="00B600DA" w:rsidRDefault="001600A3" w:rsidP="001600A3">
            <w:pPr>
              <w:spacing w:line="276" w:lineRule="auto"/>
              <w:rPr>
                <w:rFonts w:ascii="Arial" w:hAnsi="Arial" w:cs="Arial"/>
              </w:rPr>
            </w:pPr>
            <w:r w:rsidRPr="00B600DA">
              <w:rPr>
                <w:rFonts w:ascii="Arial" w:hAnsi="Arial" w:cs="Arial"/>
              </w:rPr>
              <w:t>169.85</w:t>
            </w:r>
          </w:p>
        </w:tc>
        <w:tc>
          <w:tcPr>
            <w:tcW w:w="2277" w:type="dxa"/>
            <w:tcBorders>
              <w:top w:val="nil"/>
              <w:left w:val="nil"/>
              <w:bottom w:val="nil"/>
              <w:right w:val="nil"/>
            </w:tcBorders>
            <w:vAlign w:val="bottom"/>
            <w:hideMark/>
          </w:tcPr>
          <w:p w14:paraId="09D1065A" w14:textId="77777777" w:rsidR="001600A3" w:rsidRPr="00B600DA" w:rsidRDefault="001600A3" w:rsidP="001600A3">
            <w:pPr>
              <w:spacing w:line="276" w:lineRule="auto"/>
              <w:rPr>
                <w:rFonts w:ascii="Arial" w:hAnsi="Arial" w:cs="Arial"/>
                <w:color w:val="FF0000"/>
              </w:rPr>
            </w:pPr>
            <w:r w:rsidRPr="00B600DA">
              <w:rPr>
                <w:rFonts w:ascii="Arial" w:hAnsi="Arial" w:cs="Arial"/>
                <w:color w:val="000000"/>
              </w:rPr>
              <w:t>178.09</w:t>
            </w:r>
          </w:p>
        </w:tc>
      </w:tr>
      <w:tr w:rsidR="001600A3" w:rsidRPr="00B600DA" w14:paraId="1D8DA4DE" w14:textId="77777777" w:rsidTr="0003212D">
        <w:trPr>
          <w:tblCellSpacing w:w="15" w:type="dxa"/>
        </w:trPr>
        <w:tc>
          <w:tcPr>
            <w:tcW w:w="997" w:type="dxa"/>
            <w:vAlign w:val="center"/>
            <w:hideMark/>
          </w:tcPr>
          <w:p w14:paraId="58BDFE96" w14:textId="77777777" w:rsidR="001600A3" w:rsidRPr="00B600DA" w:rsidRDefault="001600A3" w:rsidP="001600A3">
            <w:pPr>
              <w:spacing w:line="276" w:lineRule="auto"/>
              <w:rPr>
                <w:rFonts w:ascii="Arial" w:hAnsi="Arial" w:cs="Arial"/>
              </w:rPr>
            </w:pPr>
            <w:r w:rsidRPr="00B600DA">
              <w:rPr>
                <w:rFonts w:ascii="Arial" w:hAnsi="Arial" w:cs="Arial"/>
              </w:rPr>
              <w:t>Katsina</w:t>
            </w:r>
          </w:p>
        </w:tc>
        <w:tc>
          <w:tcPr>
            <w:tcW w:w="1673" w:type="dxa"/>
            <w:vAlign w:val="center"/>
            <w:hideMark/>
          </w:tcPr>
          <w:p w14:paraId="0BDC92FE" w14:textId="77777777" w:rsidR="001600A3" w:rsidRPr="00B600DA" w:rsidRDefault="001600A3" w:rsidP="001600A3">
            <w:pPr>
              <w:spacing w:line="276" w:lineRule="auto"/>
              <w:rPr>
                <w:rFonts w:ascii="Arial" w:hAnsi="Arial" w:cs="Arial"/>
              </w:rPr>
            </w:pPr>
            <w:r w:rsidRPr="00B600DA">
              <w:rPr>
                <w:rFonts w:ascii="Arial" w:hAnsi="Arial" w:cs="Arial"/>
              </w:rPr>
              <w:t>Oct (Wet)</w:t>
            </w:r>
          </w:p>
        </w:tc>
        <w:tc>
          <w:tcPr>
            <w:tcW w:w="1401" w:type="dxa"/>
            <w:vAlign w:val="center"/>
            <w:hideMark/>
          </w:tcPr>
          <w:p w14:paraId="27FFCD3A" w14:textId="77777777" w:rsidR="001600A3" w:rsidRPr="00B600DA" w:rsidRDefault="001600A3" w:rsidP="001600A3">
            <w:pPr>
              <w:spacing w:line="276" w:lineRule="auto"/>
              <w:rPr>
                <w:rFonts w:ascii="Arial" w:hAnsi="Arial" w:cs="Arial"/>
              </w:rPr>
            </w:pPr>
            <w:r w:rsidRPr="00B600DA">
              <w:rPr>
                <w:rFonts w:ascii="Arial" w:hAnsi="Arial" w:cs="Arial"/>
              </w:rPr>
              <w:t>66.72</w:t>
            </w:r>
          </w:p>
        </w:tc>
        <w:tc>
          <w:tcPr>
            <w:tcW w:w="1401" w:type="dxa"/>
            <w:vAlign w:val="center"/>
            <w:hideMark/>
          </w:tcPr>
          <w:p w14:paraId="1B70F154" w14:textId="77777777" w:rsidR="001600A3" w:rsidRPr="00B600DA" w:rsidRDefault="001600A3" w:rsidP="001600A3">
            <w:pPr>
              <w:spacing w:line="276" w:lineRule="auto"/>
              <w:rPr>
                <w:rFonts w:ascii="Arial" w:hAnsi="Arial" w:cs="Arial"/>
              </w:rPr>
            </w:pPr>
            <w:r w:rsidRPr="00B600DA">
              <w:rPr>
                <w:rFonts w:ascii="Arial" w:hAnsi="Arial" w:cs="Arial"/>
              </w:rPr>
              <w:t>65.84</w:t>
            </w:r>
          </w:p>
        </w:tc>
        <w:tc>
          <w:tcPr>
            <w:tcW w:w="1401" w:type="dxa"/>
          </w:tcPr>
          <w:p w14:paraId="56E6F363" w14:textId="77777777" w:rsidR="001600A3" w:rsidRPr="00B600DA" w:rsidRDefault="001600A3" w:rsidP="001600A3">
            <w:pPr>
              <w:spacing w:line="276" w:lineRule="auto"/>
              <w:rPr>
                <w:rFonts w:ascii="Arial" w:hAnsi="Arial" w:cs="Arial"/>
              </w:rPr>
            </w:pPr>
            <w:r w:rsidRPr="00B600DA">
              <w:rPr>
                <w:rFonts w:ascii="Arial" w:hAnsi="Arial" w:cs="Arial"/>
              </w:rPr>
              <w:t>70.66</w:t>
            </w:r>
          </w:p>
        </w:tc>
        <w:tc>
          <w:tcPr>
            <w:tcW w:w="2277" w:type="dxa"/>
            <w:tcBorders>
              <w:top w:val="nil"/>
              <w:left w:val="nil"/>
              <w:bottom w:val="nil"/>
              <w:right w:val="nil"/>
            </w:tcBorders>
            <w:vAlign w:val="bottom"/>
            <w:hideMark/>
          </w:tcPr>
          <w:p w14:paraId="75140EEE" w14:textId="77777777" w:rsidR="001600A3" w:rsidRPr="00B600DA" w:rsidRDefault="001600A3" w:rsidP="001600A3">
            <w:pPr>
              <w:spacing w:line="276" w:lineRule="auto"/>
              <w:rPr>
                <w:rFonts w:ascii="Arial" w:hAnsi="Arial" w:cs="Arial"/>
                <w:color w:val="FF0000"/>
              </w:rPr>
            </w:pPr>
            <w:r w:rsidRPr="00B600DA">
              <w:rPr>
                <w:rFonts w:ascii="Arial" w:hAnsi="Arial" w:cs="Arial"/>
                <w:color w:val="000000"/>
              </w:rPr>
              <w:t>67.74</w:t>
            </w:r>
          </w:p>
        </w:tc>
      </w:tr>
      <w:tr w:rsidR="001600A3" w:rsidRPr="00B600DA" w14:paraId="4F9A2715" w14:textId="77777777" w:rsidTr="0003212D">
        <w:trPr>
          <w:tblCellSpacing w:w="15" w:type="dxa"/>
        </w:trPr>
        <w:tc>
          <w:tcPr>
            <w:tcW w:w="997" w:type="dxa"/>
            <w:vAlign w:val="center"/>
            <w:hideMark/>
          </w:tcPr>
          <w:p w14:paraId="5DFA9B68" w14:textId="77777777" w:rsidR="001600A3" w:rsidRPr="00B600DA" w:rsidRDefault="001600A3" w:rsidP="001600A3">
            <w:pPr>
              <w:spacing w:line="276" w:lineRule="auto"/>
              <w:rPr>
                <w:rFonts w:ascii="Arial" w:hAnsi="Arial" w:cs="Arial"/>
              </w:rPr>
            </w:pPr>
            <w:r w:rsidRPr="00B600DA">
              <w:rPr>
                <w:rFonts w:ascii="Arial" w:hAnsi="Arial" w:cs="Arial"/>
              </w:rPr>
              <w:t>Kano</w:t>
            </w:r>
          </w:p>
        </w:tc>
        <w:tc>
          <w:tcPr>
            <w:tcW w:w="1673" w:type="dxa"/>
            <w:vAlign w:val="center"/>
            <w:hideMark/>
          </w:tcPr>
          <w:p w14:paraId="7228DEE9" w14:textId="77777777" w:rsidR="001600A3" w:rsidRPr="00B600DA" w:rsidRDefault="001600A3" w:rsidP="001600A3">
            <w:pPr>
              <w:spacing w:line="276" w:lineRule="auto"/>
              <w:rPr>
                <w:rFonts w:ascii="Arial" w:hAnsi="Arial" w:cs="Arial"/>
              </w:rPr>
            </w:pPr>
            <w:r w:rsidRPr="00B600DA">
              <w:rPr>
                <w:rFonts w:ascii="Arial" w:hAnsi="Arial" w:cs="Arial"/>
              </w:rPr>
              <w:t>Aug (Wet)</w:t>
            </w:r>
          </w:p>
        </w:tc>
        <w:tc>
          <w:tcPr>
            <w:tcW w:w="1401" w:type="dxa"/>
            <w:vAlign w:val="center"/>
            <w:hideMark/>
          </w:tcPr>
          <w:p w14:paraId="24FC93B2" w14:textId="77777777" w:rsidR="001600A3" w:rsidRPr="00B600DA" w:rsidRDefault="001600A3" w:rsidP="001600A3">
            <w:pPr>
              <w:spacing w:line="276" w:lineRule="auto"/>
              <w:rPr>
                <w:rFonts w:ascii="Arial" w:hAnsi="Arial" w:cs="Arial"/>
              </w:rPr>
            </w:pPr>
            <w:r w:rsidRPr="00B600DA">
              <w:rPr>
                <w:rFonts w:ascii="Arial" w:hAnsi="Arial" w:cs="Arial"/>
              </w:rPr>
              <w:t>72.19</w:t>
            </w:r>
          </w:p>
        </w:tc>
        <w:tc>
          <w:tcPr>
            <w:tcW w:w="1401" w:type="dxa"/>
            <w:vAlign w:val="center"/>
            <w:hideMark/>
          </w:tcPr>
          <w:p w14:paraId="08BAE1AB" w14:textId="77777777" w:rsidR="001600A3" w:rsidRPr="00B600DA" w:rsidRDefault="001600A3" w:rsidP="001600A3">
            <w:pPr>
              <w:spacing w:line="276" w:lineRule="auto"/>
              <w:rPr>
                <w:rFonts w:ascii="Arial" w:hAnsi="Arial" w:cs="Arial"/>
              </w:rPr>
            </w:pPr>
            <w:r w:rsidRPr="00B600DA">
              <w:rPr>
                <w:rFonts w:ascii="Arial" w:hAnsi="Arial" w:cs="Arial"/>
              </w:rPr>
              <w:t>70.87</w:t>
            </w:r>
          </w:p>
        </w:tc>
        <w:tc>
          <w:tcPr>
            <w:tcW w:w="1401" w:type="dxa"/>
          </w:tcPr>
          <w:p w14:paraId="047013F9" w14:textId="77777777" w:rsidR="001600A3" w:rsidRPr="00B600DA" w:rsidRDefault="001600A3" w:rsidP="001600A3">
            <w:pPr>
              <w:spacing w:line="276" w:lineRule="auto"/>
              <w:rPr>
                <w:rFonts w:ascii="Arial" w:hAnsi="Arial" w:cs="Arial"/>
              </w:rPr>
            </w:pPr>
            <w:r w:rsidRPr="00B600DA">
              <w:rPr>
                <w:rFonts w:ascii="Arial" w:hAnsi="Arial" w:cs="Arial"/>
              </w:rPr>
              <w:t>66.41</w:t>
            </w:r>
          </w:p>
        </w:tc>
        <w:tc>
          <w:tcPr>
            <w:tcW w:w="2277" w:type="dxa"/>
            <w:tcBorders>
              <w:top w:val="nil"/>
              <w:left w:val="nil"/>
              <w:bottom w:val="nil"/>
              <w:right w:val="nil"/>
            </w:tcBorders>
            <w:vAlign w:val="bottom"/>
            <w:hideMark/>
          </w:tcPr>
          <w:p w14:paraId="5ABAE96F" w14:textId="77777777" w:rsidR="001600A3" w:rsidRPr="00B600DA" w:rsidRDefault="001600A3" w:rsidP="001600A3">
            <w:pPr>
              <w:spacing w:line="276" w:lineRule="auto"/>
              <w:rPr>
                <w:rFonts w:ascii="Arial" w:hAnsi="Arial" w:cs="Arial"/>
                <w:color w:val="FF0000"/>
              </w:rPr>
            </w:pPr>
            <w:r w:rsidRPr="00B600DA">
              <w:rPr>
                <w:rFonts w:ascii="Arial" w:hAnsi="Arial" w:cs="Arial"/>
                <w:color w:val="000000"/>
              </w:rPr>
              <w:t>69.82</w:t>
            </w:r>
          </w:p>
        </w:tc>
      </w:tr>
      <w:tr w:rsidR="001600A3" w:rsidRPr="00B600DA" w14:paraId="6AA738C6" w14:textId="77777777" w:rsidTr="0003212D">
        <w:trPr>
          <w:tblCellSpacing w:w="15" w:type="dxa"/>
        </w:trPr>
        <w:tc>
          <w:tcPr>
            <w:tcW w:w="997" w:type="dxa"/>
            <w:vAlign w:val="center"/>
            <w:hideMark/>
          </w:tcPr>
          <w:p w14:paraId="67DA2FB6" w14:textId="77777777" w:rsidR="001600A3" w:rsidRPr="00B600DA" w:rsidRDefault="001600A3" w:rsidP="001600A3">
            <w:pPr>
              <w:spacing w:line="276" w:lineRule="auto"/>
              <w:rPr>
                <w:rFonts w:ascii="Arial" w:hAnsi="Arial" w:cs="Arial"/>
              </w:rPr>
            </w:pPr>
            <w:r w:rsidRPr="00B600DA">
              <w:rPr>
                <w:rFonts w:ascii="Arial" w:hAnsi="Arial" w:cs="Arial"/>
              </w:rPr>
              <w:t>Kano</w:t>
            </w:r>
          </w:p>
        </w:tc>
        <w:tc>
          <w:tcPr>
            <w:tcW w:w="1673" w:type="dxa"/>
            <w:vAlign w:val="center"/>
            <w:hideMark/>
          </w:tcPr>
          <w:p w14:paraId="38654637" w14:textId="77777777" w:rsidR="001600A3" w:rsidRPr="00B600DA" w:rsidRDefault="001600A3" w:rsidP="001600A3">
            <w:pPr>
              <w:spacing w:line="276" w:lineRule="auto"/>
              <w:rPr>
                <w:rFonts w:ascii="Arial" w:hAnsi="Arial" w:cs="Arial"/>
              </w:rPr>
            </w:pPr>
            <w:r w:rsidRPr="00B600DA">
              <w:rPr>
                <w:rFonts w:ascii="Arial" w:hAnsi="Arial" w:cs="Arial"/>
              </w:rPr>
              <w:t>Dec (Dry)</w:t>
            </w:r>
          </w:p>
        </w:tc>
        <w:tc>
          <w:tcPr>
            <w:tcW w:w="1401" w:type="dxa"/>
            <w:vAlign w:val="center"/>
            <w:hideMark/>
          </w:tcPr>
          <w:p w14:paraId="20437171" w14:textId="77777777" w:rsidR="001600A3" w:rsidRPr="00B600DA" w:rsidRDefault="001600A3" w:rsidP="001600A3">
            <w:pPr>
              <w:spacing w:line="276" w:lineRule="auto"/>
              <w:rPr>
                <w:rFonts w:ascii="Arial" w:hAnsi="Arial" w:cs="Arial"/>
              </w:rPr>
            </w:pPr>
            <w:r w:rsidRPr="00B600DA">
              <w:rPr>
                <w:rFonts w:ascii="Arial" w:hAnsi="Arial" w:cs="Arial"/>
              </w:rPr>
              <w:t>143.86</w:t>
            </w:r>
          </w:p>
        </w:tc>
        <w:tc>
          <w:tcPr>
            <w:tcW w:w="1401" w:type="dxa"/>
            <w:vAlign w:val="center"/>
            <w:hideMark/>
          </w:tcPr>
          <w:p w14:paraId="5663BE23" w14:textId="77777777" w:rsidR="001600A3" w:rsidRPr="00B600DA" w:rsidRDefault="001600A3" w:rsidP="001600A3">
            <w:pPr>
              <w:spacing w:line="276" w:lineRule="auto"/>
              <w:rPr>
                <w:rFonts w:ascii="Arial" w:hAnsi="Arial" w:cs="Arial"/>
              </w:rPr>
            </w:pPr>
            <w:r w:rsidRPr="00B600DA">
              <w:rPr>
                <w:rFonts w:ascii="Arial" w:hAnsi="Arial" w:cs="Arial"/>
              </w:rPr>
              <w:t>134.07</w:t>
            </w:r>
          </w:p>
        </w:tc>
        <w:tc>
          <w:tcPr>
            <w:tcW w:w="1401" w:type="dxa"/>
          </w:tcPr>
          <w:p w14:paraId="4B82267F" w14:textId="77777777" w:rsidR="001600A3" w:rsidRPr="00B600DA" w:rsidRDefault="001600A3" w:rsidP="001600A3">
            <w:pPr>
              <w:spacing w:line="276" w:lineRule="auto"/>
              <w:rPr>
                <w:rFonts w:ascii="Arial" w:hAnsi="Arial" w:cs="Arial"/>
              </w:rPr>
            </w:pPr>
            <w:r w:rsidRPr="00B600DA">
              <w:rPr>
                <w:rFonts w:ascii="Arial" w:hAnsi="Arial" w:cs="Arial"/>
              </w:rPr>
              <w:t>146.22</w:t>
            </w:r>
          </w:p>
        </w:tc>
        <w:tc>
          <w:tcPr>
            <w:tcW w:w="2277" w:type="dxa"/>
            <w:tcBorders>
              <w:top w:val="nil"/>
              <w:left w:val="nil"/>
              <w:bottom w:val="nil"/>
              <w:right w:val="nil"/>
            </w:tcBorders>
            <w:vAlign w:val="bottom"/>
            <w:hideMark/>
          </w:tcPr>
          <w:p w14:paraId="5B0BB18C" w14:textId="77777777" w:rsidR="001600A3" w:rsidRPr="00B600DA" w:rsidRDefault="001600A3" w:rsidP="001600A3">
            <w:pPr>
              <w:spacing w:line="276" w:lineRule="auto"/>
              <w:rPr>
                <w:rFonts w:ascii="Arial" w:hAnsi="Arial" w:cs="Arial"/>
                <w:color w:val="FF0000"/>
              </w:rPr>
            </w:pPr>
            <w:r w:rsidRPr="00B600DA">
              <w:rPr>
                <w:rFonts w:ascii="Arial" w:hAnsi="Arial" w:cs="Arial"/>
                <w:color w:val="000000"/>
              </w:rPr>
              <w:t>141.38</w:t>
            </w:r>
          </w:p>
        </w:tc>
      </w:tr>
      <w:tr w:rsidR="001600A3" w:rsidRPr="00B600DA" w14:paraId="00683A69" w14:textId="77777777" w:rsidTr="0003212D">
        <w:trPr>
          <w:tblCellSpacing w:w="15" w:type="dxa"/>
        </w:trPr>
        <w:tc>
          <w:tcPr>
            <w:tcW w:w="997" w:type="dxa"/>
            <w:vAlign w:val="center"/>
            <w:hideMark/>
          </w:tcPr>
          <w:p w14:paraId="2C39F9DE" w14:textId="77777777" w:rsidR="001600A3" w:rsidRPr="00B600DA" w:rsidRDefault="001600A3" w:rsidP="001600A3">
            <w:pPr>
              <w:spacing w:line="276" w:lineRule="auto"/>
              <w:rPr>
                <w:rFonts w:ascii="Arial" w:hAnsi="Arial" w:cs="Arial"/>
              </w:rPr>
            </w:pPr>
            <w:r w:rsidRPr="00B600DA">
              <w:rPr>
                <w:rFonts w:ascii="Arial" w:hAnsi="Arial" w:cs="Arial"/>
              </w:rPr>
              <w:t>Kaduna</w:t>
            </w:r>
          </w:p>
        </w:tc>
        <w:tc>
          <w:tcPr>
            <w:tcW w:w="1673" w:type="dxa"/>
            <w:vAlign w:val="center"/>
            <w:hideMark/>
          </w:tcPr>
          <w:p w14:paraId="47338FBE" w14:textId="77777777" w:rsidR="001600A3" w:rsidRPr="00B600DA" w:rsidRDefault="001600A3" w:rsidP="001600A3">
            <w:pPr>
              <w:spacing w:line="276" w:lineRule="auto"/>
              <w:rPr>
                <w:rFonts w:ascii="Arial" w:hAnsi="Arial" w:cs="Arial"/>
              </w:rPr>
            </w:pPr>
            <w:r w:rsidRPr="00B600DA">
              <w:rPr>
                <w:rFonts w:ascii="Arial" w:hAnsi="Arial" w:cs="Arial"/>
              </w:rPr>
              <w:t>Apr (Transition)</w:t>
            </w:r>
          </w:p>
        </w:tc>
        <w:tc>
          <w:tcPr>
            <w:tcW w:w="1401" w:type="dxa"/>
            <w:vAlign w:val="center"/>
            <w:hideMark/>
          </w:tcPr>
          <w:p w14:paraId="201E3A8D" w14:textId="77777777" w:rsidR="001600A3" w:rsidRPr="00B600DA" w:rsidRDefault="001600A3" w:rsidP="001600A3">
            <w:pPr>
              <w:spacing w:line="276" w:lineRule="auto"/>
              <w:rPr>
                <w:rFonts w:ascii="Arial" w:hAnsi="Arial" w:cs="Arial"/>
              </w:rPr>
            </w:pPr>
            <w:r w:rsidRPr="00B600DA">
              <w:rPr>
                <w:rFonts w:ascii="Arial" w:hAnsi="Arial" w:cs="Arial"/>
              </w:rPr>
              <w:t>131.97</w:t>
            </w:r>
          </w:p>
        </w:tc>
        <w:tc>
          <w:tcPr>
            <w:tcW w:w="1401" w:type="dxa"/>
            <w:vAlign w:val="center"/>
            <w:hideMark/>
          </w:tcPr>
          <w:p w14:paraId="42B8F47C" w14:textId="77777777" w:rsidR="001600A3" w:rsidRPr="00B600DA" w:rsidRDefault="001600A3" w:rsidP="001600A3">
            <w:pPr>
              <w:spacing w:line="276" w:lineRule="auto"/>
              <w:rPr>
                <w:rFonts w:ascii="Arial" w:hAnsi="Arial" w:cs="Arial"/>
              </w:rPr>
            </w:pPr>
            <w:r w:rsidRPr="00B600DA">
              <w:rPr>
                <w:rFonts w:ascii="Arial" w:hAnsi="Arial" w:cs="Arial"/>
              </w:rPr>
              <w:t>109.45</w:t>
            </w:r>
          </w:p>
        </w:tc>
        <w:tc>
          <w:tcPr>
            <w:tcW w:w="1401" w:type="dxa"/>
          </w:tcPr>
          <w:p w14:paraId="4C881AE7" w14:textId="77777777" w:rsidR="001600A3" w:rsidRPr="00B600DA" w:rsidRDefault="001600A3" w:rsidP="001600A3">
            <w:pPr>
              <w:spacing w:line="276" w:lineRule="auto"/>
              <w:rPr>
                <w:rFonts w:ascii="Arial" w:hAnsi="Arial" w:cs="Arial"/>
              </w:rPr>
            </w:pPr>
            <w:r w:rsidRPr="00B600DA">
              <w:rPr>
                <w:rFonts w:ascii="Arial" w:hAnsi="Arial" w:cs="Arial"/>
              </w:rPr>
              <w:t>122.53</w:t>
            </w:r>
          </w:p>
        </w:tc>
        <w:tc>
          <w:tcPr>
            <w:tcW w:w="2277" w:type="dxa"/>
            <w:tcBorders>
              <w:top w:val="nil"/>
              <w:left w:val="nil"/>
              <w:bottom w:val="nil"/>
              <w:right w:val="nil"/>
            </w:tcBorders>
            <w:vAlign w:val="bottom"/>
            <w:hideMark/>
          </w:tcPr>
          <w:p w14:paraId="1C7CF24D" w14:textId="77777777" w:rsidR="001600A3" w:rsidRPr="00B600DA" w:rsidRDefault="001600A3" w:rsidP="001600A3">
            <w:pPr>
              <w:spacing w:line="276" w:lineRule="auto"/>
              <w:rPr>
                <w:rFonts w:ascii="Arial" w:hAnsi="Arial" w:cs="Arial"/>
                <w:color w:val="FF0000"/>
              </w:rPr>
            </w:pPr>
            <w:r w:rsidRPr="00B600DA">
              <w:rPr>
                <w:rFonts w:ascii="Arial" w:hAnsi="Arial" w:cs="Arial"/>
                <w:color w:val="000000"/>
              </w:rPr>
              <w:t>121.32</w:t>
            </w:r>
          </w:p>
        </w:tc>
      </w:tr>
      <w:tr w:rsidR="001600A3" w:rsidRPr="00B600DA" w14:paraId="52475361" w14:textId="77777777" w:rsidTr="0003212D">
        <w:trPr>
          <w:tblCellSpacing w:w="15" w:type="dxa"/>
        </w:trPr>
        <w:tc>
          <w:tcPr>
            <w:tcW w:w="997" w:type="dxa"/>
            <w:vAlign w:val="center"/>
            <w:hideMark/>
          </w:tcPr>
          <w:p w14:paraId="399577BB" w14:textId="77777777" w:rsidR="001600A3" w:rsidRPr="00B600DA" w:rsidRDefault="001600A3" w:rsidP="001600A3">
            <w:pPr>
              <w:spacing w:line="276" w:lineRule="auto"/>
              <w:rPr>
                <w:rFonts w:ascii="Arial" w:hAnsi="Arial" w:cs="Arial"/>
              </w:rPr>
            </w:pPr>
            <w:r w:rsidRPr="00B600DA">
              <w:rPr>
                <w:rFonts w:ascii="Arial" w:hAnsi="Arial" w:cs="Arial"/>
              </w:rPr>
              <w:lastRenderedPageBreak/>
              <w:t>Kaduna</w:t>
            </w:r>
          </w:p>
        </w:tc>
        <w:tc>
          <w:tcPr>
            <w:tcW w:w="1673" w:type="dxa"/>
            <w:vAlign w:val="center"/>
            <w:hideMark/>
          </w:tcPr>
          <w:p w14:paraId="361F1382" w14:textId="77777777" w:rsidR="001600A3" w:rsidRPr="00B600DA" w:rsidRDefault="001600A3" w:rsidP="001600A3">
            <w:pPr>
              <w:spacing w:line="276" w:lineRule="auto"/>
              <w:rPr>
                <w:rFonts w:ascii="Arial" w:hAnsi="Arial" w:cs="Arial"/>
              </w:rPr>
            </w:pPr>
            <w:r w:rsidRPr="00B600DA">
              <w:rPr>
                <w:rFonts w:ascii="Arial" w:hAnsi="Arial" w:cs="Arial"/>
              </w:rPr>
              <w:t>Jun (Wet)</w:t>
            </w:r>
          </w:p>
        </w:tc>
        <w:tc>
          <w:tcPr>
            <w:tcW w:w="1401" w:type="dxa"/>
            <w:vAlign w:val="center"/>
            <w:hideMark/>
          </w:tcPr>
          <w:p w14:paraId="613C2A88" w14:textId="77777777" w:rsidR="001600A3" w:rsidRPr="00B600DA" w:rsidRDefault="001600A3" w:rsidP="001600A3">
            <w:pPr>
              <w:spacing w:line="276" w:lineRule="auto"/>
              <w:rPr>
                <w:rFonts w:ascii="Arial" w:hAnsi="Arial" w:cs="Arial"/>
              </w:rPr>
            </w:pPr>
            <w:r w:rsidRPr="00B600DA">
              <w:rPr>
                <w:rFonts w:ascii="Arial" w:hAnsi="Arial" w:cs="Arial"/>
              </w:rPr>
              <w:t>57.15</w:t>
            </w:r>
          </w:p>
        </w:tc>
        <w:tc>
          <w:tcPr>
            <w:tcW w:w="1401" w:type="dxa"/>
            <w:vAlign w:val="center"/>
            <w:hideMark/>
          </w:tcPr>
          <w:p w14:paraId="5C38881C" w14:textId="77777777" w:rsidR="001600A3" w:rsidRPr="00B600DA" w:rsidRDefault="001600A3" w:rsidP="001600A3">
            <w:pPr>
              <w:spacing w:line="276" w:lineRule="auto"/>
              <w:rPr>
                <w:rFonts w:ascii="Arial" w:hAnsi="Arial" w:cs="Arial"/>
              </w:rPr>
            </w:pPr>
            <w:r w:rsidRPr="00B600DA">
              <w:rPr>
                <w:rFonts w:ascii="Arial" w:hAnsi="Arial" w:cs="Arial"/>
              </w:rPr>
              <w:t>38.97</w:t>
            </w:r>
          </w:p>
        </w:tc>
        <w:tc>
          <w:tcPr>
            <w:tcW w:w="1401" w:type="dxa"/>
          </w:tcPr>
          <w:p w14:paraId="7FCA78CE" w14:textId="77777777" w:rsidR="001600A3" w:rsidRPr="00B600DA" w:rsidRDefault="001600A3" w:rsidP="001600A3">
            <w:pPr>
              <w:spacing w:line="276" w:lineRule="auto"/>
              <w:rPr>
                <w:rFonts w:ascii="Arial" w:hAnsi="Arial" w:cs="Arial"/>
              </w:rPr>
            </w:pPr>
            <w:r w:rsidRPr="00B600DA">
              <w:rPr>
                <w:rFonts w:ascii="Arial" w:hAnsi="Arial" w:cs="Arial"/>
              </w:rPr>
              <w:t>46.08</w:t>
            </w:r>
          </w:p>
        </w:tc>
        <w:tc>
          <w:tcPr>
            <w:tcW w:w="2277" w:type="dxa"/>
            <w:tcBorders>
              <w:top w:val="nil"/>
              <w:left w:val="nil"/>
              <w:bottom w:val="nil"/>
              <w:right w:val="nil"/>
            </w:tcBorders>
            <w:vAlign w:val="bottom"/>
            <w:hideMark/>
          </w:tcPr>
          <w:p w14:paraId="1589607D" w14:textId="77777777" w:rsidR="001600A3" w:rsidRPr="00B600DA" w:rsidRDefault="001600A3" w:rsidP="001600A3">
            <w:pPr>
              <w:spacing w:line="276" w:lineRule="auto"/>
              <w:rPr>
                <w:rFonts w:ascii="Arial" w:hAnsi="Arial" w:cs="Arial"/>
                <w:color w:val="FF0000"/>
              </w:rPr>
            </w:pPr>
            <w:r w:rsidRPr="00B600DA">
              <w:rPr>
                <w:rFonts w:ascii="Arial" w:hAnsi="Arial" w:cs="Arial"/>
                <w:color w:val="000000"/>
              </w:rPr>
              <w:t>47.40</w:t>
            </w:r>
          </w:p>
        </w:tc>
      </w:tr>
      <w:tr w:rsidR="001600A3" w:rsidRPr="00B600DA" w14:paraId="7F4E3A69" w14:textId="77777777" w:rsidTr="0003212D">
        <w:trPr>
          <w:tblCellSpacing w:w="15" w:type="dxa"/>
        </w:trPr>
        <w:tc>
          <w:tcPr>
            <w:tcW w:w="997" w:type="dxa"/>
            <w:vAlign w:val="center"/>
            <w:hideMark/>
          </w:tcPr>
          <w:p w14:paraId="1556A461" w14:textId="77777777" w:rsidR="001600A3" w:rsidRPr="00B600DA" w:rsidRDefault="001600A3" w:rsidP="001600A3">
            <w:pPr>
              <w:spacing w:line="276" w:lineRule="auto"/>
              <w:rPr>
                <w:rFonts w:ascii="Arial" w:hAnsi="Arial" w:cs="Arial"/>
              </w:rPr>
            </w:pPr>
            <w:r w:rsidRPr="00B600DA">
              <w:rPr>
                <w:rFonts w:ascii="Arial" w:hAnsi="Arial" w:cs="Arial"/>
              </w:rPr>
              <w:t>Bauchi</w:t>
            </w:r>
          </w:p>
        </w:tc>
        <w:tc>
          <w:tcPr>
            <w:tcW w:w="1673" w:type="dxa"/>
            <w:vAlign w:val="center"/>
            <w:hideMark/>
          </w:tcPr>
          <w:p w14:paraId="37ECE58B" w14:textId="77777777" w:rsidR="001600A3" w:rsidRPr="00B600DA" w:rsidRDefault="001600A3" w:rsidP="001600A3">
            <w:pPr>
              <w:spacing w:line="276" w:lineRule="auto"/>
              <w:rPr>
                <w:rFonts w:ascii="Arial" w:hAnsi="Arial" w:cs="Arial"/>
              </w:rPr>
            </w:pPr>
            <w:r w:rsidRPr="00B600DA">
              <w:rPr>
                <w:rFonts w:ascii="Arial" w:hAnsi="Arial" w:cs="Arial"/>
              </w:rPr>
              <w:t>Jan (Dry)</w:t>
            </w:r>
          </w:p>
        </w:tc>
        <w:tc>
          <w:tcPr>
            <w:tcW w:w="1401" w:type="dxa"/>
            <w:vAlign w:val="center"/>
            <w:hideMark/>
          </w:tcPr>
          <w:p w14:paraId="162EEA34" w14:textId="77777777" w:rsidR="001600A3" w:rsidRPr="00B600DA" w:rsidRDefault="001600A3" w:rsidP="001600A3">
            <w:pPr>
              <w:spacing w:line="276" w:lineRule="auto"/>
              <w:rPr>
                <w:rFonts w:ascii="Arial" w:hAnsi="Arial" w:cs="Arial"/>
              </w:rPr>
            </w:pPr>
            <w:r w:rsidRPr="00B600DA">
              <w:rPr>
                <w:rFonts w:ascii="Arial" w:hAnsi="Arial" w:cs="Arial"/>
              </w:rPr>
              <w:t>117.29</w:t>
            </w:r>
          </w:p>
        </w:tc>
        <w:tc>
          <w:tcPr>
            <w:tcW w:w="1401" w:type="dxa"/>
            <w:vAlign w:val="center"/>
            <w:hideMark/>
          </w:tcPr>
          <w:p w14:paraId="20DB852A" w14:textId="77777777" w:rsidR="001600A3" w:rsidRPr="00B600DA" w:rsidRDefault="001600A3" w:rsidP="001600A3">
            <w:pPr>
              <w:spacing w:line="276" w:lineRule="auto"/>
              <w:rPr>
                <w:rFonts w:ascii="Arial" w:hAnsi="Arial" w:cs="Arial"/>
              </w:rPr>
            </w:pPr>
            <w:r w:rsidRPr="00B600DA">
              <w:rPr>
                <w:rFonts w:ascii="Arial" w:hAnsi="Arial" w:cs="Arial"/>
              </w:rPr>
              <w:t>107.86</w:t>
            </w:r>
          </w:p>
        </w:tc>
        <w:tc>
          <w:tcPr>
            <w:tcW w:w="1401" w:type="dxa"/>
          </w:tcPr>
          <w:p w14:paraId="20905F8C" w14:textId="77777777" w:rsidR="001600A3" w:rsidRPr="00B600DA" w:rsidRDefault="001600A3" w:rsidP="001600A3">
            <w:pPr>
              <w:spacing w:line="276" w:lineRule="auto"/>
              <w:rPr>
                <w:rFonts w:ascii="Arial" w:hAnsi="Arial" w:cs="Arial"/>
              </w:rPr>
            </w:pPr>
            <w:r w:rsidRPr="00B600DA">
              <w:rPr>
                <w:rFonts w:ascii="Arial" w:hAnsi="Arial" w:cs="Arial"/>
              </w:rPr>
              <w:t>115.97</w:t>
            </w:r>
          </w:p>
        </w:tc>
        <w:tc>
          <w:tcPr>
            <w:tcW w:w="2277" w:type="dxa"/>
            <w:tcBorders>
              <w:top w:val="nil"/>
              <w:left w:val="nil"/>
              <w:bottom w:val="nil"/>
              <w:right w:val="nil"/>
            </w:tcBorders>
            <w:vAlign w:val="bottom"/>
            <w:hideMark/>
          </w:tcPr>
          <w:p w14:paraId="5DAE35AE" w14:textId="77777777" w:rsidR="001600A3" w:rsidRPr="00B600DA" w:rsidRDefault="001600A3" w:rsidP="001600A3">
            <w:pPr>
              <w:spacing w:line="276" w:lineRule="auto"/>
              <w:rPr>
                <w:rFonts w:ascii="Arial" w:hAnsi="Arial" w:cs="Arial"/>
                <w:color w:val="FF0000"/>
              </w:rPr>
            </w:pPr>
            <w:r w:rsidRPr="00B600DA">
              <w:rPr>
                <w:rFonts w:ascii="Arial" w:hAnsi="Arial" w:cs="Arial"/>
                <w:color w:val="000000"/>
              </w:rPr>
              <w:t>113.71</w:t>
            </w:r>
          </w:p>
        </w:tc>
      </w:tr>
      <w:tr w:rsidR="001600A3" w:rsidRPr="00B600DA" w14:paraId="37318610" w14:textId="77777777" w:rsidTr="0003212D">
        <w:trPr>
          <w:tblCellSpacing w:w="15" w:type="dxa"/>
        </w:trPr>
        <w:tc>
          <w:tcPr>
            <w:tcW w:w="997" w:type="dxa"/>
            <w:vAlign w:val="center"/>
            <w:hideMark/>
          </w:tcPr>
          <w:p w14:paraId="7723C50D" w14:textId="77777777" w:rsidR="001600A3" w:rsidRPr="00B600DA" w:rsidRDefault="001600A3" w:rsidP="001600A3">
            <w:pPr>
              <w:spacing w:line="276" w:lineRule="auto"/>
              <w:rPr>
                <w:rFonts w:ascii="Arial" w:hAnsi="Arial" w:cs="Arial"/>
              </w:rPr>
            </w:pPr>
            <w:r w:rsidRPr="00B600DA">
              <w:rPr>
                <w:rFonts w:ascii="Arial" w:hAnsi="Arial" w:cs="Arial"/>
              </w:rPr>
              <w:t>Bauchi</w:t>
            </w:r>
          </w:p>
        </w:tc>
        <w:tc>
          <w:tcPr>
            <w:tcW w:w="1673" w:type="dxa"/>
            <w:vAlign w:val="center"/>
            <w:hideMark/>
          </w:tcPr>
          <w:p w14:paraId="324B8E1E" w14:textId="77777777" w:rsidR="001600A3" w:rsidRPr="00B600DA" w:rsidRDefault="001600A3" w:rsidP="001600A3">
            <w:pPr>
              <w:spacing w:line="276" w:lineRule="auto"/>
              <w:rPr>
                <w:rFonts w:ascii="Arial" w:hAnsi="Arial" w:cs="Arial"/>
              </w:rPr>
            </w:pPr>
            <w:r w:rsidRPr="00B600DA">
              <w:rPr>
                <w:rFonts w:ascii="Arial" w:hAnsi="Arial" w:cs="Arial"/>
              </w:rPr>
              <w:t>Aug (Wet)</w:t>
            </w:r>
          </w:p>
        </w:tc>
        <w:tc>
          <w:tcPr>
            <w:tcW w:w="1401" w:type="dxa"/>
            <w:vAlign w:val="center"/>
            <w:hideMark/>
          </w:tcPr>
          <w:p w14:paraId="1797DB42" w14:textId="77777777" w:rsidR="001600A3" w:rsidRPr="00B600DA" w:rsidRDefault="001600A3" w:rsidP="001600A3">
            <w:pPr>
              <w:spacing w:line="276" w:lineRule="auto"/>
              <w:rPr>
                <w:rFonts w:ascii="Arial" w:hAnsi="Arial" w:cs="Arial"/>
              </w:rPr>
            </w:pPr>
            <w:r w:rsidRPr="00B600DA">
              <w:rPr>
                <w:rFonts w:ascii="Arial" w:hAnsi="Arial" w:cs="Arial"/>
              </w:rPr>
              <w:t>65.49</w:t>
            </w:r>
          </w:p>
        </w:tc>
        <w:tc>
          <w:tcPr>
            <w:tcW w:w="1401" w:type="dxa"/>
            <w:vAlign w:val="center"/>
            <w:hideMark/>
          </w:tcPr>
          <w:p w14:paraId="37C33BF5" w14:textId="77777777" w:rsidR="001600A3" w:rsidRPr="00B600DA" w:rsidRDefault="001600A3" w:rsidP="001600A3">
            <w:pPr>
              <w:spacing w:line="276" w:lineRule="auto"/>
              <w:rPr>
                <w:rFonts w:ascii="Arial" w:hAnsi="Arial" w:cs="Arial"/>
              </w:rPr>
            </w:pPr>
            <w:r w:rsidRPr="00B600DA">
              <w:rPr>
                <w:rFonts w:ascii="Arial" w:hAnsi="Arial" w:cs="Arial"/>
              </w:rPr>
              <w:t>66.52</w:t>
            </w:r>
          </w:p>
        </w:tc>
        <w:tc>
          <w:tcPr>
            <w:tcW w:w="1401" w:type="dxa"/>
          </w:tcPr>
          <w:p w14:paraId="57DFFCB2" w14:textId="77777777" w:rsidR="001600A3" w:rsidRPr="00B600DA" w:rsidRDefault="001600A3" w:rsidP="001600A3">
            <w:pPr>
              <w:spacing w:line="276" w:lineRule="auto"/>
              <w:rPr>
                <w:rFonts w:ascii="Arial" w:hAnsi="Arial" w:cs="Arial"/>
              </w:rPr>
            </w:pPr>
            <w:r w:rsidRPr="00B600DA">
              <w:rPr>
                <w:rFonts w:ascii="Arial" w:hAnsi="Arial" w:cs="Arial"/>
              </w:rPr>
              <w:t>69.53</w:t>
            </w:r>
          </w:p>
        </w:tc>
        <w:tc>
          <w:tcPr>
            <w:tcW w:w="2277" w:type="dxa"/>
            <w:tcBorders>
              <w:top w:val="nil"/>
              <w:left w:val="nil"/>
              <w:bottom w:val="nil"/>
              <w:right w:val="nil"/>
            </w:tcBorders>
            <w:vAlign w:val="bottom"/>
            <w:hideMark/>
          </w:tcPr>
          <w:p w14:paraId="46EE1892" w14:textId="77777777" w:rsidR="001600A3" w:rsidRPr="00B600DA" w:rsidRDefault="001600A3" w:rsidP="001600A3">
            <w:pPr>
              <w:spacing w:line="276" w:lineRule="auto"/>
              <w:rPr>
                <w:rFonts w:ascii="Arial" w:hAnsi="Arial" w:cs="Arial"/>
                <w:color w:val="FF0000"/>
              </w:rPr>
            </w:pPr>
            <w:r w:rsidRPr="00B600DA">
              <w:rPr>
                <w:rFonts w:ascii="Arial" w:hAnsi="Arial" w:cs="Arial"/>
                <w:color w:val="000000"/>
              </w:rPr>
              <w:t>67.18</w:t>
            </w:r>
          </w:p>
        </w:tc>
      </w:tr>
      <w:tr w:rsidR="001600A3" w:rsidRPr="00B600DA" w14:paraId="2123236E" w14:textId="77777777" w:rsidTr="0003212D">
        <w:trPr>
          <w:tblCellSpacing w:w="15" w:type="dxa"/>
        </w:trPr>
        <w:tc>
          <w:tcPr>
            <w:tcW w:w="997" w:type="dxa"/>
            <w:vAlign w:val="center"/>
            <w:hideMark/>
          </w:tcPr>
          <w:p w14:paraId="01F0D24F" w14:textId="77777777" w:rsidR="001600A3" w:rsidRPr="00B600DA" w:rsidRDefault="001600A3" w:rsidP="001600A3">
            <w:pPr>
              <w:spacing w:line="276" w:lineRule="auto"/>
              <w:rPr>
                <w:rFonts w:ascii="Arial" w:hAnsi="Arial" w:cs="Arial"/>
              </w:rPr>
            </w:pPr>
            <w:r w:rsidRPr="00B600DA">
              <w:rPr>
                <w:rFonts w:ascii="Arial" w:hAnsi="Arial" w:cs="Arial"/>
              </w:rPr>
              <w:t>Yobe</w:t>
            </w:r>
          </w:p>
        </w:tc>
        <w:tc>
          <w:tcPr>
            <w:tcW w:w="1673" w:type="dxa"/>
            <w:vAlign w:val="center"/>
            <w:hideMark/>
          </w:tcPr>
          <w:p w14:paraId="0EC0C08C" w14:textId="77777777" w:rsidR="001600A3" w:rsidRPr="00B600DA" w:rsidRDefault="001600A3" w:rsidP="001600A3">
            <w:pPr>
              <w:spacing w:line="276" w:lineRule="auto"/>
              <w:rPr>
                <w:rFonts w:ascii="Arial" w:hAnsi="Arial" w:cs="Arial"/>
              </w:rPr>
            </w:pPr>
            <w:r w:rsidRPr="00B600DA">
              <w:rPr>
                <w:rFonts w:ascii="Arial" w:hAnsi="Arial" w:cs="Arial"/>
              </w:rPr>
              <w:t>Jan (Dry)</w:t>
            </w:r>
          </w:p>
        </w:tc>
        <w:tc>
          <w:tcPr>
            <w:tcW w:w="1401" w:type="dxa"/>
            <w:vAlign w:val="center"/>
            <w:hideMark/>
          </w:tcPr>
          <w:p w14:paraId="13A775E9" w14:textId="77777777" w:rsidR="001600A3" w:rsidRPr="00B600DA" w:rsidRDefault="001600A3" w:rsidP="001600A3">
            <w:pPr>
              <w:spacing w:line="276" w:lineRule="auto"/>
              <w:rPr>
                <w:rFonts w:ascii="Arial" w:hAnsi="Arial" w:cs="Arial"/>
              </w:rPr>
            </w:pPr>
            <w:r w:rsidRPr="00B600DA">
              <w:rPr>
                <w:rFonts w:ascii="Arial" w:hAnsi="Arial" w:cs="Arial"/>
              </w:rPr>
              <w:t>150.94</w:t>
            </w:r>
          </w:p>
        </w:tc>
        <w:tc>
          <w:tcPr>
            <w:tcW w:w="1401" w:type="dxa"/>
            <w:vAlign w:val="center"/>
            <w:hideMark/>
          </w:tcPr>
          <w:p w14:paraId="1A6314DC" w14:textId="77777777" w:rsidR="001600A3" w:rsidRPr="00B600DA" w:rsidRDefault="001600A3" w:rsidP="001600A3">
            <w:pPr>
              <w:spacing w:line="276" w:lineRule="auto"/>
              <w:rPr>
                <w:rFonts w:ascii="Arial" w:hAnsi="Arial" w:cs="Arial"/>
              </w:rPr>
            </w:pPr>
            <w:r w:rsidRPr="00B600DA">
              <w:rPr>
                <w:rFonts w:ascii="Arial" w:hAnsi="Arial" w:cs="Arial"/>
              </w:rPr>
              <w:t>143.19</w:t>
            </w:r>
          </w:p>
        </w:tc>
        <w:tc>
          <w:tcPr>
            <w:tcW w:w="1401" w:type="dxa"/>
          </w:tcPr>
          <w:p w14:paraId="6623EBA6" w14:textId="77777777" w:rsidR="001600A3" w:rsidRPr="00B600DA" w:rsidRDefault="001600A3" w:rsidP="001600A3">
            <w:pPr>
              <w:spacing w:line="276" w:lineRule="auto"/>
              <w:rPr>
                <w:rFonts w:ascii="Arial" w:hAnsi="Arial" w:cs="Arial"/>
              </w:rPr>
            </w:pPr>
            <w:r w:rsidRPr="00B600DA">
              <w:rPr>
                <w:rFonts w:ascii="Arial" w:hAnsi="Arial" w:cs="Arial"/>
              </w:rPr>
              <w:t>148.17</w:t>
            </w:r>
          </w:p>
        </w:tc>
        <w:tc>
          <w:tcPr>
            <w:tcW w:w="2277" w:type="dxa"/>
            <w:tcBorders>
              <w:top w:val="nil"/>
              <w:left w:val="nil"/>
              <w:bottom w:val="nil"/>
              <w:right w:val="nil"/>
            </w:tcBorders>
            <w:vAlign w:val="bottom"/>
            <w:hideMark/>
          </w:tcPr>
          <w:p w14:paraId="0B143432" w14:textId="77777777" w:rsidR="001600A3" w:rsidRPr="00B600DA" w:rsidRDefault="001600A3" w:rsidP="001600A3">
            <w:pPr>
              <w:spacing w:line="276" w:lineRule="auto"/>
              <w:rPr>
                <w:rFonts w:ascii="Arial" w:hAnsi="Arial" w:cs="Arial"/>
                <w:color w:val="FF0000"/>
              </w:rPr>
            </w:pPr>
            <w:r w:rsidRPr="00B600DA">
              <w:rPr>
                <w:rFonts w:ascii="Arial" w:hAnsi="Arial" w:cs="Arial"/>
                <w:color w:val="000000"/>
              </w:rPr>
              <w:t>147.43</w:t>
            </w:r>
          </w:p>
        </w:tc>
      </w:tr>
      <w:tr w:rsidR="001600A3" w:rsidRPr="00B600DA" w14:paraId="6EC89973" w14:textId="77777777" w:rsidTr="0003212D">
        <w:trPr>
          <w:tblCellSpacing w:w="15" w:type="dxa"/>
        </w:trPr>
        <w:tc>
          <w:tcPr>
            <w:tcW w:w="997" w:type="dxa"/>
            <w:vAlign w:val="center"/>
            <w:hideMark/>
          </w:tcPr>
          <w:p w14:paraId="5C12EE74" w14:textId="77777777" w:rsidR="001600A3" w:rsidRPr="00B600DA" w:rsidRDefault="001600A3" w:rsidP="001600A3">
            <w:pPr>
              <w:spacing w:line="276" w:lineRule="auto"/>
              <w:rPr>
                <w:rFonts w:ascii="Arial" w:hAnsi="Arial" w:cs="Arial"/>
              </w:rPr>
            </w:pPr>
            <w:r w:rsidRPr="00B600DA">
              <w:rPr>
                <w:rFonts w:ascii="Arial" w:hAnsi="Arial" w:cs="Arial"/>
              </w:rPr>
              <w:t>Yobe</w:t>
            </w:r>
          </w:p>
        </w:tc>
        <w:tc>
          <w:tcPr>
            <w:tcW w:w="1673" w:type="dxa"/>
            <w:vAlign w:val="center"/>
            <w:hideMark/>
          </w:tcPr>
          <w:p w14:paraId="5D52BA85" w14:textId="77777777" w:rsidR="001600A3" w:rsidRPr="00B600DA" w:rsidRDefault="001600A3" w:rsidP="001600A3">
            <w:pPr>
              <w:spacing w:line="276" w:lineRule="auto"/>
              <w:rPr>
                <w:rFonts w:ascii="Arial" w:hAnsi="Arial" w:cs="Arial"/>
              </w:rPr>
            </w:pPr>
            <w:r w:rsidRPr="00B600DA">
              <w:rPr>
                <w:rFonts w:ascii="Arial" w:hAnsi="Arial" w:cs="Arial"/>
              </w:rPr>
              <w:t>Aug (Wet)</w:t>
            </w:r>
          </w:p>
        </w:tc>
        <w:tc>
          <w:tcPr>
            <w:tcW w:w="1401" w:type="dxa"/>
            <w:vAlign w:val="center"/>
            <w:hideMark/>
          </w:tcPr>
          <w:p w14:paraId="49CA6D1D" w14:textId="77777777" w:rsidR="001600A3" w:rsidRPr="00B600DA" w:rsidRDefault="001600A3" w:rsidP="001600A3">
            <w:pPr>
              <w:spacing w:line="276" w:lineRule="auto"/>
              <w:rPr>
                <w:rFonts w:ascii="Arial" w:hAnsi="Arial" w:cs="Arial"/>
              </w:rPr>
            </w:pPr>
            <w:r w:rsidRPr="00B600DA">
              <w:rPr>
                <w:rFonts w:ascii="Arial" w:hAnsi="Arial" w:cs="Arial"/>
              </w:rPr>
              <w:t>65.00</w:t>
            </w:r>
          </w:p>
        </w:tc>
        <w:tc>
          <w:tcPr>
            <w:tcW w:w="1401" w:type="dxa"/>
            <w:vAlign w:val="center"/>
            <w:hideMark/>
          </w:tcPr>
          <w:p w14:paraId="75C8C17B" w14:textId="77777777" w:rsidR="001600A3" w:rsidRPr="00B600DA" w:rsidRDefault="001600A3" w:rsidP="001600A3">
            <w:pPr>
              <w:spacing w:line="276" w:lineRule="auto"/>
              <w:rPr>
                <w:rFonts w:ascii="Arial" w:hAnsi="Arial" w:cs="Arial"/>
              </w:rPr>
            </w:pPr>
            <w:r w:rsidRPr="00B600DA">
              <w:rPr>
                <w:rFonts w:ascii="Arial" w:hAnsi="Arial" w:cs="Arial"/>
              </w:rPr>
              <w:t>68.10</w:t>
            </w:r>
          </w:p>
        </w:tc>
        <w:tc>
          <w:tcPr>
            <w:tcW w:w="1401" w:type="dxa"/>
          </w:tcPr>
          <w:p w14:paraId="31B3849E" w14:textId="77777777" w:rsidR="001600A3" w:rsidRPr="00B600DA" w:rsidRDefault="001600A3" w:rsidP="001600A3">
            <w:pPr>
              <w:spacing w:line="276" w:lineRule="auto"/>
              <w:rPr>
                <w:rFonts w:ascii="Arial" w:hAnsi="Arial" w:cs="Arial"/>
              </w:rPr>
            </w:pPr>
            <w:r w:rsidRPr="00B600DA">
              <w:rPr>
                <w:rFonts w:ascii="Arial" w:hAnsi="Arial" w:cs="Arial"/>
              </w:rPr>
              <w:t>62.78</w:t>
            </w:r>
          </w:p>
        </w:tc>
        <w:tc>
          <w:tcPr>
            <w:tcW w:w="2277" w:type="dxa"/>
            <w:tcBorders>
              <w:top w:val="nil"/>
              <w:left w:val="nil"/>
              <w:bottom w:val="nil"/>
              <w:right w:val="nil"/>
            </w:tcBorders>
            <w:vAlign w:val="bottom"/>
            <w:hideMark/>
          </w:tcPr>
          <w:p w14:paraId="4EF381D5" w14:textId="77777777" w:rsidR="001600A3" w:rsidRPr="00B600DA" w:rsidRDefault="001600A3" w:rsidP="001600A3">
            <w:pPr>
              <w:spacing w:line="276" w:lineRule="auto"/>
              <w:rPr>
                <w:rFonts w:ascii="Arial" w:hAnsi="Arial" w:cs="Arial"/>
                <w:color w:val="FF0000"/>
              </w:rPr>
            </w:pPr>
            <w:r w:rsidRPr="00B600DA">
              <w:rPr>
                <w:rFonts w:ascii="Arial" w:hAnsi="Arial" w:cs="Arial"/>
                <w:color w:val="000000"/>
              </w:rPr>
              <w:t>65.29</w:t>
            </w:r>
          </w:p>
        </w:tc>
      </w:tr>
      <w:tr w:rsidR="001600A3" w:rsidRPr="00B600DA" w14:paraId="68B0FEE7" w14:textId="77777777" w:rsidTr="0003212D">
        <w:trPr>
          <w:tblCellSpacing w:w="15" w:type="dxa"/>
        </w:trPr>
        <w:tc>
          <w:tcPr>
            <w:tcW w:w="997" w:type="dxa"/>
            <w:vAlign w:val="center"/>
            <w:hideMark/>
          </w:tcPr>
          <w:p w14:paraId="20B3BF26" w14:textId="77777777" w:rsidR="001600A3" w:rsidRPr="00B600DA" w:rsidRDefault="001600A3" w:rsidP="001600A3">
            <w:pPr>
              <w:spacing w:line="276" w:lineRule="auto"/>
              <w:rPr>
                <w:rFonts w:ascii="Arial" w:hAnsi="Arial" w:cs="Arial"/>
              </w:rPr>
            </w:pPr>
            <w:r w:rsidRPr="00B600DA">
              <w:rPr>
                <w:rFonts w:ascii="Arial" w:hAnsi="Arial" w:cs="Arial"/>
              </w:rPr>
              <w:t>Kogi</w:t>
            </w:r>
          </w:p>
        </w:tc>
        <w:tc>
          <w:tcPr>
            <w:tcW w:w="1673" w:type="dxa"/>
            <w:vAlign w:val="center"/>
            <w:hideMark/>
          </w:tcPr>
          <w:p w14:paraId="2AB8DDB6" w14:textId="77777777" w:rsidR="001600A3" w:rsidRPr="00B600DA" w:rsidRDefault="001600A3" w:rsidP="001600A3">
            <w:pPr>
              <w:spacing w:line="276" w:lineRule="auto"/>
              <w:rPr>
                <w:rFonts w:ascii="Arial" w:hAnsi="Arial" w:cs="Arial"/>
              </w:rPr>
            </w:pPr>
            <w:r w:rsidRPr="00B600DA">
              <w:rPr>
                <w:rFonts w:ascii="Arial" w:hAnsi="Arial" w:cs="Arial"/>
              </w:rPr>
              <w:t>Mar (Transition)</w:t>
            </w:r>
          </w:p>
        </w:tc>
        <w:tc>
          <w:tcPr>
            <w:tcW w:w="1401" w:type="dxa"/>
            <w:vAlign w:val="center"/>
            <w:hideMark/>
          </w:tcPr>
          <w:p w14:paraId="111E5ED8" w14:textId="77777777" w:rsidR="001600A3" w:rsidRPr="00B600DA" w:rsidRDefault="001600A3" w:rsidP="001600A3">
            <w:pPr>
              <w:spacing w:line="276" w:lineRule="auto"/>
              <w:rPr>
                <w:rFonts w:ascii="Arial" w:hAnsi="Arial" w:cs="Arial"/>
              </w:rPr>
            </w:pPr>
            <w:r w:rsidRPr="00B600DA">
              <w:rPr>
                <w:rFonts w:ascii="Arial" w:hAnsi="Arial" w:cs="Arial"/>
              </w:rPr>
              <w:t>73.50</w:t>
            </w:r>
          </w:p>
        </w:tc>
        <w:tc>
          <w:tcPr>
            <w:tcW w:w="1401" w:type="dxa"/>
            <w:vAlign w:val="center"/>
            <w:hideMark/>
          </w:tcPr>
          <w:p w14:paraId="55294222" w14:textId="77777777" w:rsidR="001600A3" w:rsidRPr="00B600DA" w:rsidRDefault="001600A3" w:rsidP="001600A3">
            <w:pPr>
              <w:spacing w:line="276" w:lineRule="auto"/>
              <w:rPr>
                <w:rFonts w:ascii="Arial" w:hAnsi="Arial" w:cs="Arial"/>
              </w:rPr>
            </w:pPr>
            <w:r w:rsidRPr="00B600DA">
              <w:rPr>
                <w:rFonts w:ascii="Arial" w:hAnsi="Arial" w:cs="Arial"/>
              </w:rPr>
              <w:t>57.46</w:t>
            </w:r>
          </w:p>
        </w:tc>
        <w:tc>
          <w:tcPr>
            <w:tcW w:w="1401" w:type="dxa"/>
          </w:tcPr>
          <w:p w14:paraId="2ADAFF00" w14:textId="77777777" w:rsidR="001600A3" w:rsidRPr="00B600DA" w:rsidRDefault="001600A3" w:rsidP="001600A3">
            <w:pPr>
              <w:spacing w:line="276" w:lineRule="auto"/>
              <w:rPr>
                <w:rFonts w:ascii="Arial" w:hAnsi="Arial" w:cs="Arial"/>
              </w:rPr>
            </w:pPr>
            <w:r w:rsidRPr="00B600DA">
              <w:rPr>
                <w:rFonts w:ascii="Arial" w:hAnsi="Arial" w:cs="Arial"/>
              </w:rPr>
              <w:t>60.72</w:t>
            </w:r>
          </w:p>
        </w:tc>
        <w:tc>
          <w:tcPr>
            <w:tcW w:w="2277" w:type="dxa"/>
            <w:tcBorders>
              <w:top w:val="nil"/>
              <w:left w:val="nil"/>
              <w:bottom w:val="nil"/>
              <w:right w:val="nil"/>
            </w:tcBorders>
            <w:vAlign w:val="bottom"/>
            <w:hideMark/>
          </w:tcPr>
          <w:p w14:paraId="2E756503" w14:textId="77777777" w:rsidR="001600A3" w:rsidRPr="00B600DA" w:rsidRDefault="001600A3" w:rsidP="001600A3">
            <w:pPr>
              <w:spacing w:line="276" w:lineRule="auto"/>
              <w:rPr>
                <w:rFonts w:ascii="Arial" w:hAnsi="Arial" w:cs="Arial"/>
                <w:color w:val="FF0000"/>
              </w:rPr>
            </w:pPr>
            <w:r w:rsidRPr="00B600DA">
              <w:rPr>
                <w:rFonts w:ascii="Arial" w:hAnsi="Arial" w:cs="Arial"/>
                <w:color w:val="000000"/>
              </w:rPr>
              <w:t>63.89</w:t>
            </w:r>
          </w:p>
        </w:tc>
      </w:tr>
      <w:tr w:rsidR="001600A3" w:rsidRPr="00B600DA" w14:paraId="739D3C14" w14:textId="77777777" w:rsidTr="0003212D">
        <w:trPr>
          <w:tblCellSpacing w:w="15" w:type="dxa"/>
        </w:trPr>
        <w:tc>
          <w:tcPr>
            <w:tcW w:w="997" w:type="dxa"/>
            <w:vAlign w:val="center"/>
            <w:hideMark/>
          </w:tcPr>
          <w:p w14:paraId="692FC373" w14:textId="77777777" w:rsidR="001600A3" w:rsidRPr="00B600DA" w:rsidRDefault="001600A3" w:rsidP="001600A3">
            <w:pPr>
              <w:spacing w:line="276" w:lineRule="auto"/>
              <w:rPr>
                <w:rFonts w:ascii="Arial" w:hAnsi="Arial" w:cs="Arial"/>
              </w:rPr>
            </w:pPr>
            <w:r w:rsidRPr="00B600DA">
              <w:rPr>
                <w:rFonts w:ascii="Arial" w:hAnsi="Arial" w:cs="Arial"/>
              </w:rPr>
              <w:t>Kogi</w:t>
            </w:r>
          </w:p>
        </w:tc>
        <w:tc>
          <w:tcPr>
            <w:tcW w:w="1673" w:type="dxa"/>
            <w:vAlign w:val="center"/>
            <w:hideMark/>
          </w:tcPr>
          <w:p w14:paraId="686A0351" w14:textId="77777777" w:rsidR="001600A3" w:rsidRPr="00B600DA" w:rsidRDefault="001600A3" w:rsidP="001600A3">
            <w:pPr>
              <w:spacing w:line="276" w:lineRule="auto"/>
              <w:rPr>
                <w:rFonts w:ascii="Arial" w:hAnsi="Arial" w:cs="Arial"/>
              </w:rPr>
            </w:pPr>
            <w:r w:rsidRPr="00B600DA">
              <w:rPr>
                <w:rFonts w:ascii="Arial" w:hAnsi="Arial" w:cs="Arial"/>
              </w:rPr>
              <w:t>Jul (Wet)</w:t>
            </w:r>
          </w:p>
        </w:tc>
        <w:tc>
          <w:tcPr>
            <w:tcW w:w="1401" w:type="dxa"/>
            <w:vAlign w:val="center"/>
            <w:hideMark/>
          </w:tcPr>
          <w:p w14:paraId="460E33E2" w14:textId="77777777" w:rsidR="001600A3" w:rsidRPr="00B600DA" w:rsidRDefault="001600A3" w:rsidP="001600A3">
            <w:pPr>
              <w:spacing w:line="276" w:lineRule="auto"/>
              <w:rPr>
                <w:rFonts w:ascii="Arial" w:hAnsi="Arial" w:cs="Arial"/>
              </w:rPr>
            </w:pPr>
            <w:r w:rsidRPr="00B600DA">
              <w:rPr>
                <w:rFonts w:ascii="Arial" w:hAnsi="Arial" w:cs="Arial"/>
              </w:rPr>
              <w:t>33.39</w:t>
            </w:r>
          </w:p>
        </w:tc>
        <w:tc>
          <w:tcPr>
            <w:tcW w:w="1401" w:type="dxa"/>
            <w:vAlign w:val="center"/>
            <w:hideMark/>
          </w:tcPr>
          <w:p w14:paraId="29E94FCD" w14:textId="77777777" w:rsidR="001600A3" w:rsidRPr="00B600DA" w:rsidRDefault="001600A3" w:rsidP="001600A3">
            <w:pPr>
              <w:spacing w:line="276" w:lineRule="auto"/>
              <w:rPr>
                <w:rFonts w:ascii="Arial" w:hAnsi="Arial" w:cs="Arial"/>
              </w:rPr>
            </w:pPr>
            <w:r w:rsidRPr="00B600DA">
              <w:rPr>
                <w:rFonts w:ascii="Arial" w:hAnsi="Arial" w:cs="Arial"/>
              </w:rPr>
              <w:t>24.85</w:t>
            </w:r>
          </w:p>
        </w:tc>
        <w:tc>
          <w:tcPr>
            <w:tcW w:w="1401" w:type="dxa"/>
          </w:tcPr>
          <w:p w14:paraId="76A7381F" w14:textId="77777777" w:rsidR="001600A3" w:rsidRPr="00B600DA" w:rsidRDefault="001600A3" w:rsidP="001600A3">
            <w:pPr>
              <w:spacing w:line="276" w:lineRule="auto"/>
              <w:rPr>
                <w:rFonts w:ascii="Arial" w:hAnsi="Arial" w:cs="Arial"/>
              </w:rPr>
            </w:pPr>
            <w:r w:rsidRPr="00B600DA">
              <w:rPr>
                <w:rFonts w:ascii="Arial" w:hAnsi="Arial" w:cs="Arial"/>
              </w:rPr>
              <w:t>47.18</w:t>
            </w:r>
          </w:p>
        </w:tc>
        <w:tc>
          <w:tcPr>
            <w:tcW w:w="2277" w:type="dxa"/>
            <w:tcBorders>
              <w:top w:val="nil"/>
              <w:left w:val="nil"/>
              <w:bottom w:val="nil"/>
              <w:right w:val="nil"/>
            </w:tcBorders>
            <w:vAlign w:val="bottom"/>
            <w:hideMark/>
          </w:tcPr>
          <w:p w14:paraId="0820F680" w14:textId="77777777" w:rsidR="001600A3" w:rsidRPr="00B600DA" w:rsidRDefault="001600A3" w:rsidP="001600A3">
            <w:pPr>
              <w:spacing w:line="276" w:lineRule="auto"/>
              <w:rPr>
                <w:rFonts w:ascii="Arial" w:hAnsi="Arial" w:cs="Arial"/>
                <w:color w:val="FF0000"/>
              </w:rPr>
            </w:pPr>
            <w:r w:rsidRPr="00B600DA">
              <w:rPr>
                <w:rFonts w:ascii="Arial" w:hAnsi="Arial" w:cs="Arial"/>
                <w:color w:val="000000"/>
              </w:rPr>
              <w:t>35.14</w:t>
            </w:r>
          </w:p>
        </w:tc>
      </w:tr>
      <w:tr w:rsidR="001600A3" w:rsidRPr="00B600DA" w14:paraId="3F1F204C" w14:textId="77777777" w:rsidTr="0003212D">
        <w:trPr>
          <w:tblCellSpacing w:w="15" w:type="dxa"/>
        </w:trPr>
        <w:tc>
          <w:tcPr>
            <w:tcW w:w="997" w:type="dxa"/>
            <w:vAlign w:val="center"/>
            <w:hideMark/>
          </w:tcPr>
          <w:p w14:paraId="7216B237" w14:textId="77777777" w:rsidR="001600A3" w:rsidRPr="00B600DA" w:rsidRDefault="001600A3" w:rsidP="001600A3">
            <w:pPr>
              <w:spacing w:line="276" w:lineRule="auto"/>
              <w:rPr>
                <w:rFonts w:ascii="Arial" w:hAnsi="Arial" w:cs="Arial"/>
              </w:rPr>
            </w:pPr>
            <w:r w:rsidRPr="00B600DA">
              <w:rPr>
                <w:rFonts w:ascii="Arial" w:hAnsi="Arial" w:cs="Arial"/>
              </w:rPr>
              <w:t>Abuja</w:t>
            </w:r>
          </w:p>
        </w:tc>
        <w:tc>
          <w:tcPr>
            <w:tcW w:w="1673" w:type="dxa"/>
            <w:vAlign w:val="center"/>
            <w:hideMark/>
          </w:tcPr>
          <w:p w14:paraId="6BBFD7FF" w14:textId="77777777" w:rsidR="001600A3" w:rsidRPr="00B600DA" w:rsidRDefault="001600A3" w:rsidP="001600A3">
            <w:pPr>
              <w:spacing w:line="276" w:lineRule="auto"/>
              <w:rPr>
                <w:rFonts w:ascii="Arial" w:hAnsi="Arial" w:cs="Arial"/>
              </w:rPr>
            </w:pPr>
            <w:r w:rsidRPr="00B600DA">
              <w:rPr>
                <w:rFonts w:ascii="Arial" w:hAnsi="Arial" w:cs="Arial"/>
              </w:rPr>
              <w:t>Mar (Transition)</w:t>
            </w:r>
          </w:p>
        </w:tc>
        <w:tc>
          <w:tcPr>
            <w:tcW w:w="1401" w:type="dxa"/>
            <w:vAlign w:val="center"/>
            <w:hideMark/>
          </w:tcPr>
          <w:p w14:paraId="39CE40C2" w14:textId="77777777" w:rsidR="001600A3" w:rsidRPr="00B600DA" w:rsidRDefault="001600A3" w:rsidP="001600A3">
            <w:pPr>
              <w:spacing w:line="276" w:lineRule="auto"/>
              <w:rPr>
                <w:rFonts w:ascii="Arial" w:hAnsi="Arial" w:cs="Arial"/>
              </w:rPr>
            </w:pPr>
            <w:r w:rsidRPr="00B600DA">
              <w:rPr>
                <w:rFonts w:ascii="Arial" w:hAnsi="Arial" w:cs="Arial"/>
              </w:rPr>
              <w:t>83.10</w:t>
            </w:r>
          </w:p>
        </w:tc>
        <w:tc>
          <w:tcPr>
            <w:tcW w:w="1401" w:type="dxa"/>
            <w:vAlign w:val="center"/>
            <w:hideMark/>
          </w:tcPr>
          <w:p w14:paraId="38971457" w14:textId="77777777" w:rsidR="001600A3" w:rsidRPr="00B600DA" w:rsidRDefault="001600A3" w:rsidP="001600A3">
            <w:pPr>
              <w:spacing w:line="276" w:lineRule="auto"/>
              <w:rPr>
                <w:rFonts w:ascii="Arial" w:hAnsi="Arial" w:cs="Arial"/>
              </w:rPr>
            </w:pPr>
            <w:r w:rsidRPr="00B600DA">
              <w:rPr>
                <w:rFonts w:ascii="Arial" w:hAnsi="Arial" w:cs="Arial"/>
              </w:rPr>
              <w:t>88.60</w:t>
            </w:r>
          </w:p>
        </w:tc>
        <w:tc>
          <w:tcPr>
            <w:tcW w:w="1401" w:type="dxa"/>
          </w:tcPr>
          <w:p w14:paraId="16F41A7C" w14:textId="77777777" w:rsidR="001600A3" w:rsidRPr="00B600DA" w:rsidRDefault="001600A3" w:rsidP="001600A3">
            <w:pPr>
              <w:spacing w:line="276" w:lineRule="auto"/>
              <w:rPr>
                <w:rFonts w:ascii="Arial" w:hAnsi="Arial" w:cs="Arial"/>
              </w:rPr>
            </w:pPr>
            <w:r w:rsidRPr="00B600DA">
              <w:rPr>
                <w:rFonts w:ascii="Arial" w:hAnsi="Arial" w:cs="Arial"/>
              </w:rPr>
              <w:t>85.80</w:t>
            </w:r>
          </w:p>
        </w:tc>
        <w:tc>
          <w:tcPr>
            <w:tcW w:w="2277" w:type="dxa"/>
            <w:tcBorders>
              <w:top w:val="nil"/>
              <w:left w:val="nil"/>
              <w:bottom w:val="nil"/>
              <w:right w:val="nil"/>
            </w:tcBorders>
            <w:vAlign w:val="bottom"/>
            <w:hideMark/>
          </w:tcPr>
          <w:p w14:paraId="2DA8C876" w14:textId="77777777" w:rsidR="001600A3" w:rsidRPr="00B600DA" w:rsidRDefault="001600A3" w:rsidP="001600A3">
            <w:pPr>
              <w:spacing w:line="276" w:lineRule="auto"/>
              <w:rPr>
                <w:rFonts w:ascii="Arial" w:hAnsi="Arial" w:cs="Arial"/>
                <w:color w:val="FF0000"/>
              </w:rPr>
            </w:pPr>
            <w:r w:rsidRPr="00B600DA">
              <w:rPr>
                <w:rFonts w:ascii="Arial" w:hAnsi="Arial" w:cs="Arial"/>
                <w:color w:val="000000"/>
              </w:rPr>
              <w:t>85.83</w:t>
            </w:r>
          </w:p>
        </w:tc>
      </w:tr>
      <w:tr w:rsidR="001600A3" w:rsidRPr="00B600DA" w14:paraId="4BEA694C" w14:textId="77777777" w:rsidTr="0003212D">
        <w:trPr>
          <w:tblCellSpacing w:w="15" w:type="dxa"/>
        </w:trPr>
        <w:tc>
          <w:tcPr>
            <w:tcW w:w="997" w:type="dxa"/>
            <w:vAlign w:val="center"/>
            <w:hideMark/>
          </w:tcPr>
          <w:p w14:paraId="2826DDC0" w14:textId="77777777" w:rsidR="001600A3" w:rsidRPr="00B600DA" w:rsidRDefault="001600A3" w:rsidP="001600A3">
            <w:pPr>
              <w:spacing w:line="276" w:lineRule="auto"/>
              <w:rPr>
                <w:rFonts w:ascii="Arial" w:hAnsi="Arial" w:cs="Arial"/>
              </w:rPr>
            </w:pPr>
            <w:r w:rsidRPr="00B600DA">
              <w:rPr>
                <w:rFonts w:ascii="Arial" w:hAnsi="Arial" w:cs="Arial"/>
              </w:rPr>
              <w:t xml:space="preserve">Abuja </w:t>
            </w:r>
          </w:p>
        </w:tc>
        <w:tc>
          <w:tcPr>
            <w:tcW w:w="1673" w:type="dxa"/>
            <w:vAlign w:val="center"/>
            <w:hideMark/>
          </w:tcPr>
          <w:p w14:paraId="7615D5EE" w14:textId="77777777" w:rsidR="001600A3" w:rsidRPr="00B600DA" w:rsidRDefault="001600A3" w:rsidP="001600A3">
            <w:pPr>
              <w:spacing w:line="276" w:lineRule="auto"/>
              <w:rPr>
                <w:rFonts w:ascii="Arial" w:hAnsi="Arial" w:cs="Arial"/>
              </w:rPr>
            </w:pPr>
            <w:r w:rsidRPr="00B600DA">
              <w:rPr>
                <w:rFonts w:ascii="Arial" w:hAnsi="Arial" w:cs="Arial"/>
              </w:rPr>
              <w:t>Jul (Wet)</w:t>
            </w:r>
          </w:p>
        </w:tc>
        <w:tc>
          <w:tcPr>
            <w:tcW w:w="1401" w:type="dxa"/>
            <w:vAlign w:val="center"/>
            <w:hideMark/>
          </w:tcPr>
          <w:p w14:paraId="3EBCFABB" w14:textId="77777777" w:rsidR="001600A3" w:rsidRPr="00B600DA" w:rsidRDefault="001600A3" w:rsidP="001600A3">
            <w:pPr>
              <w:spacing w:line="276" w:lineRule="auto"/>
              <w:rPr>
                <w:rFonts w:ascii="Arial" w:hAnsi="Arial" w:cs="Arial"/>
              </w:rPr>
            </w:pPr>
            <w:r w:rsidRPr="00B600DA">
              <w:rPr>
                <w:rFonts w:ascii="Arial" w:hAnsi="Arial" w:cs="Arial"/>
              </w:rPr>
              <w:t>65.90</w:t>
            </w:r>
          </w:p>
        </w:tc>
        <w:tc>
          <w:tcPr>
            <w:tcW w:w="1401" w:type="dxa"/>
            <w:vAlign w:val="center"/>
            <w:hideMark/>
          </w:tcPr>
          <w:p w14:paraId="72EBA7BB" w14:textId="77777777" w:rsidR="001600A3" w:rsidRPr="00B600DA" w:rsidRDefault="001600A3" w:rsidP="001600A3">
            <w:pPr>
              <w:spacing w:line="276" w:lineRule="auto"/>
              <w:rPr>
                <w:rFonts w:ascii="Arial" w:hAnsi="Arial" w:cs="Arial"/>
              </w:rPr>
            </w:pPr>
            <w:r w:rsidRPr="00B600DA">
              <w:rPr>
                <w:rFonts w:ascii="Arial" w:hAnsi="Arial" w:cs="Arial"/>
              </w:rPr>
              <w:t>62.58</w:t>
            </w:r>
          </w:p>
        </w:tc>
        <w:tc>
          <w:tcPr>
            <w:tcW w:w="1401" w:type="dxa"/>
          </w:tcPr>
          <w:p w14:paraId="558E9BEE" w14:textId="77777777" w:rsidR="001600A3" w:rsidRPr="00B600DA" w:rsidRDefault="001600A3" w:rsidP="001600A3">
            <w:pPr>
              <w:spacing w:line="276" w:lineRule="auto"/>
              <w:rPr>
                <w:rFonts w:ascii="Arial" w:hAnsi="Arial" w:cs="Arial"/>
              </w:rPr>
            </w:pPr>
            <w:r w:rsidRPr="00B600DA">
              <w:rPr>
                <w:rFonts w:ascii="Arial" w:hAnsi="Arial" w:cs="Arial"/>
              </w:rPr>
              <w:t>66.54</w:t>
            </w:r>
          </w:p>
        </w:tc>
        <w:tc>
          <w:tcPr>
            <w:tcW w:w="2277" w:type="dxa"/>
            <w:tcBorders>
              <w:top w:val="nil"/>
              <w:left w:val="nil"/>
              <w:bottom w:val="nil"/>
              <w:right w:val="nil"/>
            </w:tcBorders>
            <w:vAlign w:val="bottom"/>
            <w:hideMark/>
          </w:tcPr>
          <w:p w14:paraId="5B00E1FC" w14:textId="77777777" w:rsidR="001600A3" w:rsidRPr="00B600DA" w:rsidRDefault="001600A3" w:rsidP="001600A3">
            <w:pPr>
              <w:spacing w:line="276" w:lineRule="auto"/>
              <w:rPr>
                <w:rFonts w:ascii="Arial" w:hAnsi="Arial" w:cs="Arial"/>
                <w:color w:val="FF0000"/>
              </w:rPr>
            </w:pPr>
            <w:r w:rsidRPr="00B600DA">
              <w:rPr>
                <w:rFonts w:ascii="Arial" w:hAnsi="Arial" w:cs="Arial"/>
                <w:color w:val="000000"/>
              </w:rPr>
              <w:t>65.01</w:t>
            </w:r>
          </w:p>
        </w:tc>
      </w:tr>
    </w:tbl>
    <w:p w14:paraId="7AD65FE6" w14:textId="77777777" w:rsidR="001600A3" w:rsidRPr="00B600DA" w:rsidRDefault="001600A3" w:rsidP="001600A3">
      <w:pPr>
        <w:jc w:val="both"/>
        <w:rPr>
          <w:rFonts w:ascii="Arial" w:hAnsi="Arial" w:cs="Arial"/>
        </w:rPr>
      </w:pPr>
    </w:p>
    <w:p w14:paraId="07572898" w14:textId="522B02F9" w:rsidR="003833A8" w:rsidRDefault="003833A8" w:rsidP="003833A8">
      <w:pPr>
        <w:spacing w:after="160" w:line="360" w:lineRule="auto"/>
        <w:jc w:val="center"/>
        <w:rPr>
          <w:rFonts w:ascii="Arial" w:hAnsi="Arial" w:cs="Arial"/>
        </w:rPr>
      </w:pPr>
      <w:r>
        <w:rPr>
          <w:noProof/>
        </w:rPr>
        <w:drawing>
          <wp:inline distT="0" distB="0" distL="0" distR="0" wp14:anchorId="79DE7509" wp14:editId="220EBD50">
            <wp:extent cx="5212080" cy="2428875"/>
            <wp:effectExtent l="0" t="0" r="7620" b="9525"/>
            <wp:docPr id="279841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2428875"/>
                    </a:xfrm>
                    <a:prstGeom prst="rect">
                      <a:avLst/>
                    </a:prstGeom>
                    <a:noFill/>
                    <a:ln>
                      <a:noFill/>
                    </a:ln>
                  </pic:spPr>
                </pic:pic>
              </a:graphicData>
            </a:graphic>
          </wp:inline>
        </w:drawing>
      </w:r>
      <w:r>
        <w:rPr>
          <w:rFonts w:ascii="Arial" w:hAnsi="Arial" w:cs="Arial"/>
        </w:rPr>
        <w:t>Fig.1. P</w:t>
      </w:r>
      <w:r w:rsidRPr="003833A8">
        <w:rPr>
          <w:rFonts w:ascii="Arial" w:hAnsi="Arial" w:cs="Arial"/>
        </w:rPr>
        <w:t>eak daily wind energy output</w:t>
      </w:r>
    </w:p>
    <w:p w14:paraId="4BBD9039" w14:textId="57F8A681" w:rsidR="001600A3" w:rsidRPr="00CF2A25" w:rsidRDefault="00B600DA" w:rsidP="00B600DA">
      <w:pPr>
        <w:spacing w:after="160" w:line="360" w:lineRule="auto"/>
        <w:jc w:val="both"/>
        <w:rPr>
          <w:rFonts w:ascii="Arial" w:hAnsi="Arial" w:cs="Arial"/>
        </w:rPr>
      </w:pPr>
      <w:r w:rsidRPr="00B600DA">
        <w:rPr>
          <w:rFonts w:ascii="Arial" w:hAnsi="Arial" w:cs="Arial"/>
        </w:rPr>
        <w:t>The above (Tab</w:t>
      </w:r>
      <w:r w:rsidR="0073102F">
        <w:rPr>
          <w:rFonts w:ascii="Arial" w:hAnsi="Arial" w:cs="Arial"/>
        </w:rPr>
        <w:t>le</w:t>
      </w:r>
      <w:r w:rsidRPr="00B600DA">
        <w:rPr>
          <w:rFonts w:ascii="Arial" w:hAnsi="Arial" w:cs="Arial"/>
        </w:rPr>
        <w:t xml:space="preserve"> 1) implies</w:t>
      </w:r>
      <w:r w:rsidR="00341B11" w:rsidRPr="00B600DA">
        <w:rPr>
          <w:rFonts w:ascii="Arial" w:hAnsi="Arial" w:cs="Arial"/>
        </w:rPr>
        <w:t xml:space="preserve"> that</w:t>
      </w:r>
      <w:r w:rsidR="001600A3" w:rsidRPr="00CF2A25">
        <w:rPr>
          <w:rFonts w:ascii="Arial" w:hAnsi="Arial" w:cs="Arial"/>
        </w:rPr>
        <w:t xml:space="preserve"> </w:t>
      </w:r>
      <w:r w:rsidR="00341B11" w:rsidRPr="00B600DA">
        <w:rPr>
          <w:rFonts w:ascii="Arial" w:hAnsi="Arial" w:cs="Arial"/>
        </w:rPr>
        <w:t>e</w:t>
      </w:r>
      <w:r w:rsidR="001600A3" w:rsidRPr="00CF2A25">
        <w:rPr>
          <w:rFonts w:ascii="Arial" w:hAnsi="Arial" w:cs="Arial"/>
        </w:rPr>
        <w:t>nergy planners must account for seasonal intermittency when integrating wind into hybrid systems, possibly requiring storage or complementary solar P</w:t>
      </w:r>
      <w:r w:rsidRPr="00B600DA">
        <w:rPr>
          <w:rFonts w:ascii="Arial" w:hAnsi="Arial" w:cs="Arial"/>
        </w:rPr>
        <w:t xml:space="preserve">hoto </w:t>
      </w:r>
      <w:r w:rsidR="001600A3" w:rsidRPr="00CF2A25">
        <w:rPr>
          <w:rFonts w:ascii="Arial" w:hAnsi="Arial" w:cs="Arial"/>
        </w:rPr>
        <w:t>V</w:t>
      </w:r>
      <w:r w:rsidRPr="00B600DA">
        <w:rPr>
          <w:rFonts w:ascii="Arial" w:hAnsi="Arial" w:cs="Arial"/>
        </w:rPr>
        <w:t xml:space="preserve">oltaic (PV) </w:t>
      </w:r>
      <w:r w:rsidR="001600A3" w:rsidRPr="00CF2A25">
        <w:rPr>
          <w:rFonts w:ascii="Arial" w:hAnsi="Arial" w:cs="Arial"/>
        </w:rPr>
        <w:t>during wet months.</w:t>
      </w:r>
    </w:p>
    <w:p w14:paraId="480065E8" w14:textId="4E738226" w:rsidR="00341B11" w:rsidRPr="00B600DA" w:rsidRDefault="00341B11" w:rsidP="00B600DA">
      <w:pPr>
        <w:spacing w:after="160" w:line="360" w:lineRule="auto"/>
        <w:jc w:val="both"/>
        <w:rPr>
          <w:rFonts w:ascii="Arial" w:hAnsi="Arial" w:cs="Arial"/>
          <w:b/>
          <w:bCs/>
        </w:rPr>
      </w:pPr>
      <w:r w:rsidRPr="00B600DA">
        <w:rPr>
          <w:rFonts w:ascii="Arial" w:hAnsi="Arial" w:cs="Arial"/>
          <w:b/>
          <w:bCs/>
        </w:rPr>
        <w:t>3</w:t>
      </w:r>
      <w:r w:rsidRPr="00CF2A25">
        <w:rPr>
          <w:rFonts w:ascii="Arial" w:hAnsi="Arial" w:cs="Arial"/>
          <w:b/>
          <w:bCs/>
        </w:rPr>
        <w:t>.3 Annual Energy Potential and Loss Adjustment</w:t>
      </w:r>
    </w:p>
    <w:p w14:paraId="3184C17D" w14:textId="67A17913" w:rsidR="00341B11" w:rsidRPr="00CF2A25" w:rsidRDefault="00341B11" w:rsidP="00B600DA">
      <w:pPr>
        <w:spacing w:after="160" w:line="360" w:lineRule="auto"/>
        <w:jc w:val="both"/>
        <w:rPr>
          <w:rFonts w:ascii="Arial" w:hAnsi="Arial" w:cs="Arial"/>
        </w:rPr>
      </w:pPr>
      <w:r w:rsidRPr="00B600DA">
        <w:rPr>
          <w:rFonts w:ascii="Arial" w:hAnsi="Arial" w:cs="Arial"/>
        </w:rPr>
        <w:t>Table 2</w:t>
      </w:r>
      <w:r w:rsidR="00B600DA" w:rsidRPr="00B600DA">
        <w:rPr>
          <w:rFonts w:ascii="Arial" w:hAnsi="Arial" w:cs="Arial"/>
        </w:rPr>
        <w:t xml:space="preserve">, </w:t>
      </w:r>
      <w:r w:rsidRPr="00CF2A25">
        <w:rPr>
          <w:rFonts w:ascii="Arial" w:hAnsi="Arial" w:cs="Arial"/>
        </w:rPr>
        <w:t>estimate</w:t>
      </w:r>
      <w:r w:rsidR="00B600DA" w:rsidRPr="00B600DA">
        <w:rPr>
          <w:rFonts w:ascii="Arial" w:hAnsi="Arial" w:cs="Arial"/>
        </w:rPr>
        <w:t xml:space="preserve">s the </w:t>
      </w:r>
      <w:r w:rsidRPr="00CF2A25">
        <w:rPr>
          <w:rFonts w:ascii="Arial" w:hAnsi="Arial" w:cs="Arial"/>
        </w:rPr>
        <w:t>annual gross energy output ranges from 18,073.58 kWh (Kogi) to 44,863.98 kWh (Katsina).</w:t>
      </w:r>
      <w:r w:rsidRPr="00B600DA">
        <w:rPr>
          <w:rFonts w:ascii="Arial" w:hAnsi="Arial" w:cs="Arial"/>
        </w:rPr>
        <w:t xml:space="preserve"> </w:t>
      </w:r>
      <w:r w:rsidRPr="00CF2A25">
        <w:rPr>
          <w:rFonts w:ascii="Arial" w:hAnsi="Arial" w:cs="Arial"/>
        </w:rPr>
        <w:t>After accounting for the 16.21% loss factor (availability, downtime, and transmission losses), effective annual output reduces by ~6,000–7,000 kWh for high-performing states, and ~3,000 kWh for low-performing states.</w:t>
      </w:r>
    </w:p>
    <w:p w14:paraId="4CFF9C25" w14:textId="77777777" w:rsidR="00341B11" w:rsidRPr="00B600DA" w:rsidRDefault="00341B11" w:rsidP="00B600DA">
      <w:pPr>
        <w:pStyle w:val="ListParagraph"/>
        <w:numPr>
          <w:ilvl w:val="0"/>
          <w:numId w:val="39"/>
        </w:numPr>
        <w:spacing w:after="160" w:line="360" w:lineRule="auto"/>
        <w:ind w:left="720" w:hanging="360"/>
        <w:jc w:val="both"/>
        <w:rPr>
          <w:rFonts w:ascii="Arial" w:hAnsi="Arial" w:cs="Arial"/>
        </w:rPr>
      </w:pPr>
      <w:r w:rsidRPr="00B600DA">
        <w:rPr>
          <w:rFonts w:ascii="Arial" w:hAnsi="Arial" w:cs="Arial"/>
        </w:rPr>
        <w:t>Top performers: Katsina (37,597.52 kWh), Yobe (32,528.96 kWh), Kano (32,297.04 kWh).</w:t>
      </w:r>
    </w:p>
    <w:p w14:paraId="05161914" w14:textId="77777777" w:rsidR="00341B11" w:rsidRPr="00B600DA" w:rsidRDefault="00341B11" w:rsidP="00B600DA">
      <w:pPr>
        <w:pStyle w:val="ListParagraph"/>
        <w:numPr>
          <w:ilvl w:val="0"/>
          <w:numId w:val="39"/>
        </w:numPr>
        <w:spacing w:after="160" w:line="360" w:lineRule="auto"/>
        <w:ind w:left="720" w:hanging="360"/>
        <w:jc w:val="both"/>
        <w:rPr>
          <w:rFonts w:ascii="Arial" w:hAnsi="Arial" w:cs="Arial"/>
        </w:rPr>
      </w:pPr>
      <w:r w:rsidRPr="00B600DA">
        <w:rPr>
          <w:rFonts w:ascii="Arial" w:hAnsi="Arial" w:cs="Arial"/>
        </w:rPr>
        <w:t>Lowest performers: Kogi (15,143.86 kWh), Abuja (23,065.96 kWh).</w:t>
      </w:r>
    </w:p>
    <w:p w14:paraId="3BCCBB61" w14:textId="42B1430C" w:rsidR="00341B11" w:rsidRPr="00CF2A25" w:rsidRDefault="00EB2659" w:rsidP="00B600DA">
      <w:pPr>
        <w:spacing w:after="160" w:line="360" w:lineRule="auto"/>
        <w:jc w:val="both"/>
        <w:rPr>
          <w:rFonts w:ascii="Arial" w:hAnsi="Arial" w:cs="Arial"/>
        </w:rPr>
      </w:pPr>
      <w:r>
        <w:rPr>
          <w:rFonts w:ascii="Arial" w:hAnsi="Arial" w:cs="Arial"/>
        </w:rPr>
        <w:lastRenderedPageBreak/>
        <w:t xml:space="preserve">Fig.2. </w:t>
      </w:r>
      <w:r w:rsidR="00341B11" w:rsidRPr="00CF2A25">
        <w:rPr>
          <w:rFonts w:ascii="Arial" w:hAnsi="Arial" w:cs="Arial"/>
        </w:rPr>
        <w:t>This confirms that northeastern</w:t>
      </w:r>
      <w:r w:rsidR="00341B11" w:rsidRPr="00B600DA">
        <w:rPr>
          <w:rFonts w:ascii="Arial" w:hAnsi="Arial" w:cs="Arial"/>
        </w:rPr>
        <w:t xml:space="preserve"> and northwestern </w:t>
      </w:r>
      <w:r w:rsidR="00341B11" w:rsidRPr="00CF2A25">
        <w:rPr>
          <w:rFonts w:ascii="Arial" w:hAnsi="Arial" w:cs="Arial"/>
        </w:rPr>
        <w:t xml:space="preserve">states (Katsina, Yobe, Kano) have superior long-term wind resources compared to the </w:t>
      </w:r>
      <w:r w:rsidRPr="00B600DA">
        <w:rPr>
          <w:rFonts w:ascii="Arial" w:hAnsi="Arial" w:cs="Arial"/>
        </w:rPr>
        <w:t>north</w:t>
      </w:r>
      <w:r w:rsidR="00341B11" w:rsidRPr="00CF2A25">
        <w:rPr>
          <w:rFonts w:ascii="Arial" w:hAnsi="Arial" w:cs="Arial"/>
        </w:rPr>
        <w:t>-central corridor (Kogi, Abuja).</w:t>
      </w:r>
      <w:r>
        <w:rPr>
          <w:rFonts w:ascii="Arial" w:hAnsi="Arial" w:cs="Arial"/>
        </w:rPr>
        <w:t xml:space="preserve"> </w:t>
      </w:r>
    </w:p>
    <w:p w14:paraId="5252453B" w14:textId="7C81206F" w:rsidR="00341B11" w:rsidRPr="00CF2A25" w:rsidRDefault="00341B11" w:rsidP="00B600DA">
      <w:pPr>
        <w:spacing w:after="160" w:line="360" w:lineRule="auto"/>
        <w:jc w:val="both"/>
        <w:rPr>
          <w:rFonts w:ascii="Arial" w:hAnsi="Arial" w:cs="Arial"/>
        </w:rPr>
      </w:pPr>
      <w:r w:rsidRPr="00CF2A25">
        <w:rPr>
          <w:rFonts w:ascii="Arial" w:hAnsi="Arial" w:cs="Arial"/>
        </w:rPr>
        <w:t>Table</w:t>
      </w:r>
      <w:r w:rsidRPr="00B600DA">
        <w:rPr>
          <w:rFonts w:ascii="Arial" w:hAnsi="Arial" w:cs="Arial"/>
        </w:rPr>
        <w:t xml:space="preserve"> </w:t>
      </w:r>
      <w:r w:rsidRPr="00CF2A25">
        <w:rPr>
          <w:rFonts w:ascii="Arial" w:hAnsi="Arial" w:cs="Arial"/>
        </w:rPr>
        <w:t>2</w:t>
      </w:r>
      <w:r w:rsidRPr="00B600DA">
        <w:rPr>
          <w:rFonts w:ascii="Arial" w:hAnsi="Arial" w:cs="Arial"/>
        </w:rPr>
        <w:t>.</w:t>
      </w:r>
      <w:r w:rsidRPr="00CF2A25">
        <w:rPr>
          <w:rFonts w:ascii="Arial" w:hAnsi="Arial" w:cs="Arial"/>
        </w:rPr>
        <w:t xml:space="preserve"> </w:t>
      </w:r>
      <w:r w:rsidRPr="00B600DA">
        <w:rPr>
          <w:rFonts w:ascii="Arial" w:hAnsi="Arial" w:cs="Arial"/>
        </w:rPr>
        <w:t>S</w:t>
      </w:r>
      <w:r w:rsidRPr="00CF2A25">
        <w:rPr>
          <w:rFonts w:ascii="Arial" w:hAnsi="Arial" w:cs="Arial"/>
        </w:rPr>
        <w:t>ummarizes the average daily and annual wind energy generation, including the impact of the 16.21% system loss factor.</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65"/>
        <w:gridCol w:w="2235"/>
        <w:gridCol w:w="1272"/>
        <w:gridCol w:w="2221"/>
      </w:tblGrid>
      <w:tr w:rsidR="00341B11" w:rsidRPr="00B600DA" w14:paraId="6E8DDDE2" w14:textId="77777777" w:rsidTr="0003212D">
        <w:trPr>
          <w:tblHeader/>
          <w:tblCellSpacing w:w="15" w:type="dxa"/>
        </w:trPr>
        <w:tc>
          <w:tcPr>
            <w:tcW w:w="0" w:type="auto"/>
            <w:tcBorders>
              <w:top w:val="nil"/>
              <w:bottom w:val="single" w:sz="4" w:space="0" w:color="auto"/>
            </w:tcBorders>
            <w:vAlign w:val="center"/>
            <w:hideMark/>
          </w:tcPr>
          <w:p w14:paraId="03B0F5A6"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State</w:t>
            </w:r>
          </w:p>
        </w:tc>
        <w:tc>
          <w:tcPr>
            <w:tcW w:w="0" w:type="auto"/>
            <w:tcBorders>
              <w:top w:val="nil"/>
              <w:bottom w:val="single" w:sz="4" w:space="0" w:color="auto"/>
            </w:tcBorders>
            <w:vAlign w:val="center"/>
            <w:hideMark/>
          </w:tcPr>
          <w:p w14:paraId="36CCA471"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Avg. Daily Energy (kWh)</w:t>
            </w:r>
          </w:p>
        </w:tc>
        <w:tc>
          <w:tcPr>
            <w:tcW w:w="0" w:type="auto"/>
            <w:tcBorders>
              <w:top w:val="nil"/>
              <w:bottom w:val="single" w:sz="4" w:space="0" w:color="auto"/>
            </w:tcBorders>
            <w:vAlign w:val="center"/>
            <w:hideMark/>
          </w:tcPr>
          <w:p w14:paraId="63CD534C"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Annual (kWh)</w:t>
            </w:r>
          </w:p>
        </w:tc>
        <w:tc>
          <w:tcPr>
            <w:tcW w:w="0" w:type="auto"/>
            <w:tcBorders>
              <w:top w:val="nil"/>
              <w:bottom w:val="single" w:sz="4" w:space="0" w:color="auto"/>
            </w:tcBorders>
            <w:vAlign w:val="center"/>
            <w:hideMark/>
          </w:tcPr>
          <w:p w14:paraId="5701790D"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Annual after Loss (kWh)</w:t>
            </w:r>
          </w:p>
        </w:tc>
      </w:tr>
      <w:tr w:rsidR="00341B11" w:rsidRPr="00B600DA" w14:paraId="579CB1F3" w14:textId="77777777" w:rsidTr="0003212D">
        <w:trPr>
          <w:tblCellSpacing w:w="15" w:type="dxa"/>
        </w:trPr>
        <w:tc>
          <w:tcPr>
            <w:tcW w:w="0" w:type="auto"/>
            <w:vAlign w:val="center"/>
            <w:hideMark/>
          </w:tcPr>
          <w:p w14:paraId="53861219"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Katsina</w:t>
            </w:r>
          </w:p>
        </w:tc>
        <w:tc>
          <w:tcPr>
            <w:tcW w:w="0" w:type="auto"/>
            <w:vAlign w:val="center"/>
          </w:tcPr>
          <w:p w14:paraId="5971319B"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122.92</w:t>
            </w:r>
          </w:p>
        </w:tc>
        <w:tc>
          <w:tcPr>
            <w:tcW w:w="0" w:type="auto"/>
            <w:vAlign w:val="center"/>
          </w:tcPr>
          <w:p w14:paraId="6688F00E"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44,863.98</w:t>
            </w:r>
          </w:p>
        </w:tc>
        <w:tc>
          <w:tcPr>
            <w:tcW w:w="0" w:type="auto"/>
            <w:vAlign w:val="center"/>
          </w:tcPr>
          <w:p w14:paraId="2E6E46BE"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37,597.52</w:t>
            </w:r>
          </w:p>
        </w:tc>
      </w:tr>
      <w:tr w:rsidR="00341B11" w:rsidRPr="00B600DA" w14:paraId="02D4CB3A" w14:textId="77777777" w:rsidTr="0003212D">
        <w:trPr>
          <w:tblCellSpacing w:w="15" w:type="dxa"/>
        </w:trPr>
        <w:tc>
          <w:tcPr>
            <w:tcW w:w="0" w:type="auto"/>
            <w:vAlign w:val="center"/>
            <w:hideMark/>
          </w:tcPr>
          <w:p w14:paraId="3163A9B2"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Kano</w:t>
            </w:r>
          </w:p>
        </w:tc>
        <w:tc>
          <w:tcPr>
            <w:tcW w:w="0" w:type="auto"/>
            <w:vAlign w:val="center"/>
          </w:tcPr>
          <w:p w14:paraId="5771D326"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105.60</w:t>
            </w:r>
          </w:p>
        </w:tc>
        <w:tc>
          <w:tcPr>
            <w:tcW w:w="0" w:type="auto"/>
            <w:vAlign w:val="center"/>
          </w:tcPr>
          <w:p w14:paraId="44BE4F91"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38,545.22</w:t>
            </w:r>
          </w:p>
        </w:tc>
        <w:tc>
          <w:tcPr>
            <w:tcW w:w="0" w:type="auto"/>
            <w:vAlign w:val="center"/>
          </w:tcPr>
          <w:p w14:paraId="53FF43B1"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32,297.04</w:t>
            </w:r>
          </w:p>
        </w:tc>
      </w:tr>
      <w:tr w:rsidR="00341B11" w:rsidRPr="00B600DA" w14:paraId="5ABEF8B1" w14:textId="77777777" w:rsidTr="0003212D">
        <w:trPr>
          <w:tblCellSpacing w:w="15" w:type="dxa"/>
        </w:trPr>
        <w:tc>
          <w:tcPr>
            <w:tcW w:w="0" w:type="auto"/>
            <w:vAlign w:val="center"/>
            <w:hideMark/>
          </w:tcPr>
          <w:p w14:paraId="38850F17"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Kaduna</w:t>
            </w:r>
          </w:p>
        </w:tc>
        <w:tc>
          <w:tcPr>
            <w:tcW w:w="0" w:type="auto"/>
            <w:vAlign w:val="center"/>
          </w:tcPr>
          <w:p w14:paraId="63A0C6D6"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84.36</w:t>
            </w:r>
          </w:p>
        </w:tc>
        <w:tc>
          <w:tcPr>
            <w:tcW w:w="0" w:type="auto"/>
            <w:vAlign w:val="center"/>
          </w:tcPr>
          <w:p w14:paraId="29F8FCA6"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30,790.79</w:t>
            </w:r>
          </w:p>
        </w:tc>
        <w:tc>
          <w:tcPr>
            <w:tcW w:w="0" w:type="auto"/>
            <w:vAlign w:val="center"/>
          </w:tcPr>
          <w:p w14:paraId="50013E47"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25,799. 60</w:t>
            </w:r>
          </w:p>
        </w:tc>
      </w:tr>
      <w:tr w:rsidR="00341B11" w:rsidRPr="00B600DA" w14:paraId="64ED8B88" w14:textId="77777777" w:rsidTr="0003212D">
        <w:trPr>
          <w:tblCellSpacing w:w="15" w:type="dxa"/>
        </w:trPr>
        <w:tc>
          <w:tcPr>
            <w:tcW w:w="0" w:type="auto"/>
            <w:vAlign w:val="center"/>
            <w:hideMark/>
          </w:tcPr>
          <w:p w14:paraId="6B578267"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Bauchi</w:t>
            </w:r>
          </w:p>
        </w:tc>
        <w:tc>
          <w:tcPr>
            <w:tcW w:w="0" w:type="auto"/>
            <w:vAlign w:val="center"/>
          </w:tcPr>
          <w:p w14:paraId="17329D09"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90.44</w:t>
            </w:r>
          </w:p>
        </w:tc>
        <w:tc>
          <w:tcPr>
            <w:tcW w:w="0" w:type="auto"/>
            <w:vAlign w:val="center"/>
          </w:tcPr>
          <w:p w14:paraId="0BBF203D"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33,011.82</w:t>
            </w:r>
          </w:p>
        </w:tc>
        <w:tc>
          <w:tcPr>
            <w:tcW w:w="0" w:type="auto"/>
            <w:vAlign w:val="center"/>
          </w:tcPr>
          <w:p w14:paraId="3E447FF4"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27,660. 60</w:t>
            </w:r>
          </w:p>
        </w:tc>
      </w:tr>
      <w:tr w:rsidR="00341B11" w:rsidRPr="00B600DA" w14:paraId="4B657862" w14:textId="77777777" w:rsidTr="0003212D">
        <w:trPr>
          <w:tblCellSpacing w:w="15" w:type="dxa"/>
        </w:trPr>
        <w:tc>
          <w:tcPr>
            <w:tcW w:w="0" w:type="auto"/>
            <w:vAlign w:val="center"/>
            <w:hideMark/>
          </w:tcPr>
          <w:p w14:paraId="080EBCB9"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Yobe</w:t>
            </w:r>
          </w:p>
        </w:tc>
        <w:tc>
          <w:tcPr>
            <w:tcW w:w="0" w:type="auto"/>
            <w:vAlign w:val="center"/>
          </w:tcPr>
          <w:p w14:paraId="386AB04B"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106.36</w:t>
            </w:r>
          </w:p>
        </w:tc>
        <w:tc>
          <w:tcPr>
            <w:tcW w:w="0" w:type="auto"/>
            <w:vAlign w:val="center"/>
          </w:tcPr>
          <w:p w14:paraId="6FF9F1BA"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38,822.01</w:t>
            </w:r>
          </w:p>
        </w:tc>
        <w:tc>
          <w:tcPr>
            <w:tcW w:w="0" w:type="auto"/>
            <w:vAlign w:val="center"/>
          </w:tcPr>
          <w:p w14:paraId="62BB6D85"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32,528.96</w:t>
            </w:r>
          </w:p>
        </w:tc>
      </w:tr>
      <w:tr w:rsidR="00341B11" w:rsidRPr="00B600DA" w14:paraId="7A954C1B" w14:textId="77777777" w:rsidTr="0003212D">
        <w:trPr>
          <w:tblCellSpacing w:w="15" w:type="dxa"/>
        </w:trPr>
        <w:tc>
          <w:tcPr>
            <w:tcW w:w="0" w:type="auto"/>
            <w:vAlign w:val="center"/>
            <w:hideMark/>
          </w:tcPr>
          <w:p w14:paraId="0EC8251E"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Kogi</w:t>
            </w:r>
          </w:p>
        </w:tc>
        <w:tc>
          <w:tcPr>
            <w:tcW w:w="0" w:type="auto"/>
            <w:vAlign w:val="center"/>
          </w:tcPr>
          <w:p w14:paraId="2F449763"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49.52</w:t>
            </w:r>
          </w:p>
        </w:tc>
        <w:tc>
          <w:tcPr>
            <w:tcW w:w="0" w:type="auto"/>
            <w:vAlign w:val="center"/>
          </w:tcPr>
          <w:p w14:paraId="7570803C"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18,073.58</w:t>
            </w:r>
          </w:p>
        </w:tc>
        <w:tc>
          <w:tcPr>
            <w:tcW w:w="0" w:type="auto"/>
            <w:vAlign w:val="center"/>
          </w:tcPr>
          <w:p w14:paraId="77F484BD"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15,143.86</w:t>
            </w:r>
          </w:p>
        </w:tc>
      </w:tr>
      <w:tr w:rsidR="00341B11" w:rsidRPr="00B600DA" w14:paraId="16B24EB4" w14:textId="77777777" w:rsidTr="0003212D">
        <w:trPr>
          <w:tblCellSpacing w:w="15" w:type="dxa"/>
        </w:trPr>
        <w:tc>
          <w:tcPr>
            <w:tcW w:w="0" w:type="auto"/>
            <w:vAlign w:val="center"/>
            <w:hideMark/>
          </w:tcPr>
          <w:p w14:paraId="4C9594FB"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Abuja (FCT)</w:t>
            </w:r>
          </w:p>
        </w:tc>
        <w:tc>
          <w:tcPr>
            <w:tcW w:w="0" w:type="auto"/>
            <w:vAlign w:val="center"/>
          </w:tcPr>
          <w:p w14:paraId="21812DB0"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75.42</w:t>
            </w:r>
          </w:p>
        </w:tc>
        <w:tc>
          <w:tcPr>
            <w:tcW w:w="0" w:type="auto"/>
            <w:vAlign w:val="center"/>
          </w:tcPr>
          <w:p w14:paraId="73C27DDE"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27,528.30</w:t>
            </w:r>
          </w:p>
        </w:tc>
        <w:tc>
          <w:tcPr>
            <w:tcW w:w="0" w:type="auto"/>
            <w:vAlign w:val="center"/>
          </w:tcPr>
          <w:p w14:paraId="0763B20D"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23,065.96</w:t>
            </w:r>
          </w:p>
        </w:tc>
      </w:tr>
    </w:tbl>
    <w:p w14:paraId="560257BF" w14:textId="77777777" w:rsidR="00341B11" w:rsidRPr="00B600DA" w:rsidRDefault="00341B11" w:rsidP="00341B11">
      <w:pPr>
        <w:jc w:val="both"/>
        <w:rPr>
          <w:rFonts w:ascii="Arial" w:hAnsi="Arial" w:cs="Arial"/>
          <w:i/>
          <w:iCs/>
          <w:color w:val="1F497D" w:themeColor="text2"/>
        </w:rPr>
      </w:pPr>
    </w:p>
    <w:p w14:paraId="6E3CC1FE" w14:textId="0C80449B" w:rsidR="00341B11" w:rsidRDefault="00341B11" w:rsidP="00B600DA">
      <w:pPr>
        <w:spacing w:after="160" w:line="360" w:lineRule="auto"/>
        <w:jc w:val="both"/>
        <w:rPr>
          <w:rFonts w:ascii="Arial" w:hAnsi="Arial" w:cs="Arial"/>
        </w:rPr>
      </w:pPr>
      <w:r w:rsidRPr="00B600DA">
        <w:rPr>
          <w:rFonts w:ascii="Arial" w:hAnsi="Arial" w:cs="Arial"/>
        </w:rPr>
        <w:t>This implies that</w:t>
      </w:r>
      <w:r w:rsidRPr="00CF2A25">
        <w:rPr>
          <w:rFonts w:ascii="Arial" w:hAnsi="Arial" w:cs="Arial"/>
        </w:rPr>
        <w:t xml:space="preserve"> Large-scale wind farms should be strategically located in the </w:t>
      </w:r>
      <w:r w:rsidRPr="00B600DA">
        <w:rPr>
          <w:rFonts w:ascii="Arial" w:hAnsi="Arial" w:cs="Arial"/>
        </w:rPr>
        <w:t>northeast and northwest</w:t>
      </w:r>
      <w:r w:rsidRPr="00CF2A25">
        <w:rPr>
          <w:rFonts w:ascii="Arial" w:hAnsi="Arial" w:cs="Arial"/>
        </w:rPr>
        <w:t xml:space="preserve"> axis, while central states may only support small-scale, localized wind projects.</w:t>
      </w:r>
    </w:p>
    <w:p w14:paraId="7C0FC26C" w14:textId="097F1E21" w:rsidR="008F0D8F" w:rsidRDefault="008F0D8F" w:rsidP="00B600DA">
      <w:pPr>
        <w:spacing w:after="160" w:line="360" w:lineRule="auto"/>
        <w:jc w:val="both"/>
        <w:rPr>
          <w:rFonts w:ascii="Arial" w:hAnsi="Arial" w:cs="Arial"/>
        </w:rPr>
      </w:pPr>
      <w:r>
        <w:rPr>
          <w:noProof/>
        </w:rPr>
        <w:drawing>
          <wp:inline distT="0" distB="0" distL="0" distR="0" wp14:anchorId="5CE7F6E5" wp14:editId="1DA019E9">
            <wp:extent cx="5212080" cy="2590800"/>
            <wp:effectExtent l="0" t="0" r="7620" b="0"/>
            <wp:docPr id="7251074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2590800"/>
                    </a:xfrm>
                    <a:prstGeom prst="rect">
                      <a:avLst/>
                    </a:prstGeom>
                    <a:noFill/>
                    <a:ln>
                      <a:noFill/>
                    </a:ln>
                  </pic:spPr>
                </pic:pic>
              </a:graphicData>
            </a:graphic>
          </wp:inline>
        </w:drawing>
      </w:r>
    </w:p>
    <w:p w14:paraId="67024693" w14:textId="6E6EDB19" w:rsidR="008F0D8F" w:rsidRPr="00CF2A25" w:rsidRDefault="008F0D8F" w:rsidP="008F0D8F">
      <w:pPr>
        <w:spacing w:after="160" w:line="360" w:lineRule="auto"/>
        <w:jc w:val="center"/>
        <w:rPr>
          <w:rFonts w:ascii="Arial" w:hAnsi="Arial" w:cs="Arial"/>
        </w:rPr>
      </w:pPr>
      <w:r>
        <w:rPr>
          <w:rFonts w:ascii="Arial" w:hAnsi="Arial" w:cs="Arial"/>
        </w:rPr>
        <w:t>Fig. 2. A</w:t>
      </w:r>
      <w:r w:rsidRPr="008F0D8F">
        <w:rPr>
          <w:rFonts w:ascii="Arial" w:hAnsi="Arial" w:cs="Arial"/>
        </w:rPr>
        <w:t>nnual wind energy potential against after loss</w:t>
      </w:r>
    </w:p>
    <w:p w14:paraId="77259FAF" w14:textId="134ED7D5" w:rsidR="00341B11" w:rsidRPr="00B600DA" w:rsidRDefault="00341B11" w:rsidP="00B600DA">
      <w:pPr>
        <w:spacing w:after="160" w:line="360" w:lineRule="auto"/>
        <w:jc w:val="both"/>
        <w:rPr>
          <w:rFonts w:ascii="Arial" w:hAnsi="Arial" w:cs="Arial"/>
          <w:b/>
          <w:bCs/>
        </w:rPr>
      </w:pPr>
      <w:r w:rsidRPr="00B600DA">
        <w:rPr>
          <w:rFonts w:ascii="Arial" w:hAnsi="Arial" w:cs="Arial"/>
          <w:b/>
          <w:bCs/>
        </w:rPr>
        <w:t>3</w:t>
      </w:r>
      <w:r w:rsidRPr="00CF2A25">
        <w:rPr>
          <w:rFonts w:ascii="Arial" w:hAnsi="Arial" w:cs="Arial"/>
          <w:b/>
          <w:bCs/>
        </w:rPr>
        <w:t>.4 Wind Energy Scaling by Land Mass</w:t>
      </w:r>
    </w:p>
    <w:p w14:paraId="7FAB0ECC" w14:textId="6553FE35" w:rsidR="00341B11" w:rsidRDefault="00B600DA" w:rsidP="00B600DA">
      <w:pPr>
        <w:spacing w:after="160" w:line="360" w:lineRule="auto"/>
        <w:jc w:val="both"/>
        <w:rPr>
          <w:rFonts w:ascii="Arial" w:hAnsi="Arial" w:cs="Arial"/>
        </w:rPr>
      </w:pPr>
      <w:r w:rsidRPr="00B600DA">
        <w:rPr>
          <w:rFonts w:ascii="Arial" w:hAnsi="Arial" w:cs="Arial"/>
        </w:rPr>
        <w:t xml:space="preserve">Tab 3, shows the </w:t>
      </w:r>
      <w:r w:rsidR="00341B11" w:rsidRPr="00CF2A25">
        <w:rPr>
          <w:rFonts w:ascii="Arial" w:hAnsi="Arial" w:cs="Arial"/>
        </w:rPr>
        <w:t xml:space="preserve">scaling </w:t>
      </w:r>
      <w:r w:rsidRPr="00B600DA">
        <w:rPr>
          <w:rFonts w:ascii="Arial" w:hAnsi="Arial" w:cs="Arial"/>
        </w:rPr>
        <w:t>of</w:t>
      </w:r>
      <w:r w:rsidR="00341B11" w:rsidRPr="00CF2A25">
        <w:rPr>
          <w:rFonts w:ascii="Arial" w:hAnsi="Arial" w:cs="Arial"/>
        </w:rPr>
        <w:t xml:space="preserve"> 1% of each state’s land mass</w:t>
      </w:r>
      <w:r w:rsidRPr="00B600DA">
        <w:rPr>
          <w:rFonts w:ascii="Arial" w:hAnsi="Arial" w:cs="Arial"/>
        </w:rPr>
        <w:t xml:space="preserve"> with a</w:t>
      </w:r>
      <w:r w:rsidR="00341B11" w:rsidRPr="00CF2A25">
        <w:rPr>
          <w:rFonts w:ascii="Arial" w:hAnsi="Arial" w:cs="Arial"/>
        </w:rPr>
        <w:t xml:space="preserve"> </w:t>
      </w:r>
      <w:r w:rsidRPr="00B600DA">
        <w:rPr>
          <w:rFonts w:ascii="Arial" w:hAnsi="Arial" w:cs="Arial"/>
        </w:rPr>
        <w:t>substantial difference</w:t>
      </w:r>
      <w:r w:rsidR="00341B11" w:rsidRPr="00CF2A25">
        <w:rPr>
          <w:rFonts w:ascii="Arial" w:hAnsi="Arial" w:cs="Arial"/>
        </w:rPr>
        <w:t xml:space="preserve"> in daily net outputs emerge.</w:t>
      </w:r>
      <w:r w:rsidR="00341B11" w:rsidRPr="00B600DA">
        <w:rPr>
          <w:rFonts w:ascii="Arial" w:hAnsi="Arial" w:cs="Arial"/>
        </w:rPr>
        <w:t xml:space="preserve"> </w:t>
      </w:r>
      <w:r w:rsidR="00341B11" w:rsidRPr="00CF2A25">
        <w:rPr>
          <w:rFonts w:ascii="Arial" w:hAnsi="Arial" w:cs="Arial"/>
        </w:rPr>
        <w:t>Yobe (486,590 kWh/day) and Bauchi (417,394.5 kWh/day) lead the group due to their large land mass coupled with high wind speeds.</w:t>
      </w:r>
      <w:r w:rsidR="00341B11" w:rsidRPr="00B600DA">
        <w:rPr>
          <w:rFonts w:ascii="Arial" w:hAnsi="Arial" w:cs="Arial"/>
        </w:rPr>
        <w:t xml:space="preserve"> </w:t>
      </w:r>
      <w:r w:rsidR="00341B11" w:rsidRPr="00CF2A25">
        <w:rPr>
          <w:rFonts w:ascii="Arial" w:hAnsi="Arial" w:cs="Arial"/>
        </w:rPr>
        <w:t xml:space="preserve">Kaduna (391,030.8 kWh/day) also shows high potential, despite having relatively moderate average wind speeds, due to its </w:t>
      </w:r>
      <w:r w:rsidR="00341B11" w:rsidRPr="00CF2A25">
        <w:rPr>
          <w:rFonts w:ascii="Arial" w:hAnsi="Arial" w:cs="Arial"/>
        </w:rPr>
        <w:lastRenderedPageBreak/>
        <w:t>large geographical extent.</w:t>
      </w:r>
      <w:r w:rsidR="00341B11" w:rsidRPr="00B600DA">
        <w:rPr>
          <w:rFonts w:ascii="Arial" w:hAnsi="Arial" w:cs="Arial"/>
        </w:rPr>
        <w:t xml:space="preserve"> </w:t>
      </w:r>
      <w:r w:rsidR="00341B11" w:rsidRPr="00CF2A25">
        <w:rPr>
          <w:rFonts w:ascii="Arial" w:hAnsi="Arial" w:cs="Arial"/>
        </w:rPr>
        <w:t>In contrast, Abuja (55,358.31 kWh/day) produces the least, constrained by its small land mass (73 km² at 1%).</w:t>
      </w:r>
    </w:p>
    <w:p w14:paraId="3297996B" w14:textId="6CFBBE39" w:rsidR="00EB2659" w:rsidRPr="00CF2A25" w:rsidRDefault="00EB2659" w:rsidP="00B600DA">
      <w:pPr>
        <w:spacing w:after="160" w:line="360" w:lineRule="auto"/>
        <w:jc w:val="both"/>
        <w:rPr>
          <w:rFonts w:ascii="Arial" w:hAnsi="Arial" w:cs="Arial"/>
        </w:rPr>
      </w:pPr>
      <w:r>
        <w:rPr>
          <w:rFonts w:ascii="Arial" w:hAnsi="Arial" w:cs="Arial"/>
        </w:rPr>
        <w:t xml:space="preserve">Fig.3. shows emphasizes on wind energy planning, must go beyond raw wind speed and </w:t>
      </w:r>
      <w:r w:rsidR="00856DFA">
        <w:rPr>
          <w:rFonts w:ascii="Arial" w:hAnsi="Arial" w:cs="Arial"/>
        </w:rPr>
        <w:t>consider territorial scalability.</w:t>
      </w:r>
      <w:r>
        <w:rPr>
          <w:rFonts w:ascii="Arial" w:hAnsi="Arial" w:cs="Arial"/>
        </w:rPr>
        <w:t xml:space="preserve"> </w:t>
      </w:r>
    </w:p>
    <w:p w14:paraId="796BF402" w14:textId="6498F767" w:rsidR="00341B11" w:rsidRPr="00CF2A25" w:rsidRDefault="00341B11" w:rsidP="00B600DA">
      <w:pPr>
        <w:spacing w:line="360" w:lineRule="auto"/>
        <w:jc w:val="both"/>
        <w:rPr>
          <w:rFonts w:ascii="Arial" w:hAnsi="Arial" w:cs="Arial"/>
        </w:rPr>
      </w:pPr>
      <w:r w:rsidRPr="00B600DA">
        <w:rPr>
          <w:rFonts w:ascii="Arial" w:hAnsi="Arial" w:cs="Arial"/>
        </w:rPr>
        <w:t xml:space="preserve">Table 3. </w:t>
      </w:r>
      <w:r w:rsidR="00103C01" w:rsidRPr="00B600DA">
        <w:rPr>
          <w:rFonts w:ascii="Arial" w:hAnsi="Arial" w:cs="Arial"/>
        </w:rPr>
        <w:t>Estimated Daily Wind Energy Output for 1% Land Mass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17"/>
        <w:gridCol w:w="1561"/>
        <w:gridCol w:w="1905"/>
        <w:gridCol w:w="2543"/>
      </w:tblGrid>
      <w:tr w:rsidR="00341B11" w:rsidRPr="00B600DA" w14:paraId="5FA1C692" w14:textId="77777777" w:rsidTr="0003212D">
        <w:trPr>
          <w:tblHeader/>
          <w:tblCellSpacing w:w="15" w:type="dxa"/>
        </w:trPr>
        <w:tc>
          <w:tcPr>
            <w:tcW w:w="0" w:type="auto"/>
            <w:tcBorders>
              <w:top w:val="nil"/>
              <w:bottom w:val="single" w:sz="4" w:space="0" w:color="auto"/>
            </w:tcBorders>
            <w:vAlign w:val="center"/>
            <w:hideMark/>
          </w:tcPr>
          <w:p w14:paraId="7A8D4ABA"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State</w:t>
            </w:r>
          </w:p>
        </w:tc>
        <w:tc>
          <w:tcPr>
            <w:tcW w:w="0" w:type="auto"/>
            <w:tcBorders>
              <w:top w:val="nil"/>
              <w:bottom w:val="single" w:sz="4" w:space="0" w:color="auto"/>
            </w:tcBorders>
            <w:vAlign w:val="center"/>
            <w:hideMark/>
          </w:tcPr>
          <w:p w14:paraId="1978AF6B"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Land Mass (km²)</w:t>
            </w:r>
          </w:p>
        </w:tc>
        <w:tc>
          <w:tcPr>
            <w:tcW w:w="0" w:type="auto"/>
            <w:tcBorders>
              <w:top w:val="nil"/>
              <w:bottom w:val="single" w:sz="4" w:space="0" w:color="auto"/>
            </w:tcBorders>
            <w:vAlign w:val="center"/>
            <w:hideMark/>
          </w:tcPr>
          <w:p w14:paraId="45EE5A70"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1% Land Mass (km²)</w:t>
            </w:r>
          </w:p>
        </w:tc>
        <w:tc>
          <w:tcPr>
            <w:tcW w:w="0" w:type="auto"/>
            <w:tcBorders>
              <w:top w:val="nil"/>
              <w:bottom w:val="single" w:sz="4" w:space="0" w:color="auto"/>
            </w:tcBorders>
            <w:vAlign w:val="center"/>
            <w:hideMark/>
          </w:tcPr>
          <w:p w14:paraId="641047DD"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Daily Net Energy (kWh/day)</w:t>
            </w:r>
          </w:p>
        </w:tc>
      </w:tr>
      <w:tr w:rsidR="00341B11" w:rsidRPr="00B600DA" w14:paraId="73891F66" w14:textId="77777777" w:rsidTr="0003212D">
        <w:trPr>
          <w:tblCellSpacing w:w="15" w:type="dxa"/>
        </w:trPr>
        <w:tc>
          <w:tcPr>
            <w:tcW w:w="0" w:type="auto"/>
            <w:vAlign w:val="center"/>
            <w:hideMark/>
          </w:tcPr>
          <w:p w14:paraId="5C4BAE59"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Katsina</w:t>
            </w:r>
          </w:p>
        </w:tc>
        <w:tc>
          <w:tcPr>
            <w:tcW w:w="0" w:type="auto"/>
            <w:vAlign w:val="center"/>
            <w:hideMark/>
          </w:tcPr>
          <w:p w14:paraId="5E6C67F8"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24,192</w:t>
            </w:r>
          </w:p>
        </w:tc>
        <w:tc>
          <w:tcPr>
            <w:tcW w:w="0" w:type="auto"/>
            <w:vAlign w:val="center"/>
            <w:hideMark/>
          </w:tcPr>
          <w:p w14:paraId="7FDD748C"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242</w:t>
            </w:r>
          </w:p>
        </w:tc>
        <w:tc>
          <w:tcPr>
            <w:tcW w:w="0" w:type="auto"/>
            <w:tcBorders>
              <w:top w:val="nil"/>
              <w:left w:val="nil"/>
              <w:bottom w:val="nil"/>
              <w:right w:val="nil"/>
            </w:tcBorders>
            <w:vAlign w:val="bottom"/>
          </w:tcPr>
          <w:p w14:paraId="6DCD2ECB"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299096.5</w:t>
            </w:r>
          </w:p>
        </w:tc>
      </w:tr>
      <w:tr w:rsidR="00341B11" w:rsidRPr="00B600DA" w14:paraId="2907859D" w14:textId="77777777" w:rsidTr="0003212D">
        <w:trPr>
          <w:tblCellSpacing w:w="15" w:type="dxa"/>
        </w:trPr>
        <w:tc>
          <w:tcPr>
            <w:tcW w:w="0" w:type="auto"/>
            <w:vAlign w:val="center"/>
            <w:hideMark/>
          </w:tcPr>
          <w:p w14:paraId="6E867D6B"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Kano</w:t>
            </w:r>
          </w:p>
        </w:tc>
        <w:tc>
          <w:tcPr>
            <w:tcW w:w="0" w:type="auto"/>
            <w:vAlign w:val="center"/>
            <w:hideMark/>
          </w:tcPr>
          <w:p w14:paraId="38866B55"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20,131</w:t>
            </w:r>
          </w:p>
        </w:tc>
        <w:tc>
          <w:tcPr>
            <w:tcW w:w="0" w:type="auto"/>
            <w:vAlign w:val="center"/>
            <w:hideMark/>
          </w:tcPr>
          <w:p w14:paraId="17D0604B"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201</w:t>
            </w:r>
          </w:p>
        </w:tc>
        <w:tc>
          <w:tcPr>
            <w:tcW w:w="0" w:type="auto"/>
            <w:tcBorders>
              <w:top w:val="nil"/>
              <w:left w:val="nil"/>
              <w:bottom w:val="nil"/>
              <w:right w:val="nil"/>
            </w:tcBorders>
            <w:vAlign w:val="bottom"/>
          </w:tcPr>
          <w:p w14:paraId="300ACA81"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213419.2</w:t>
            </w:r>
          </w:p>
        </w:tc>
      </w:tr>
      <w:tr w:rsidR="00341B11" w:rsidRPr="00B600DA" w14:paraId="1ADA6D7F" w14:textId="77777777" w:rsidTr="0003212D">
        <w:trPr>
          <w:tblCellSpacing w:w="15" w:type="dxa"/>
        </w:trPr>
        <w:tc>
          <w:tcPr>
            <w:tcW w:w="0" w:type="auto"/>
            <w:vAlign w:val="center"/>
            <w:hideMark/>
          </w:tcPr>
          <w:p w14:paraId="209DAE34"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Bauchi</w:t>
            </w:r>
          </w:p>
        </w:tc>
        <w:tc>
          <w:tcPr>
            <w:tcW w:w="0" w:type="auto"/>
            <w:vAlign w:val="center"/>
            <w:hideMark/>
          </w:tcPr>
          <w:p w14:paraId="5C30D662"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45,893</w:t>
            </w:r>
          </w:p>
        </w:tc>
        <w:tc>
          <w:tcPr>
            <w:tcW w:w="0" w:type="auto"/>
            <w:vAlign w:val="center"/>
            <w:hideMark/>
          </w:tcPr>
          <w:p w14:paraId="589D511B"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459</w:t>
            </w:r>
          </w:p>
        </w:tc>
        <w:tc>
          <w:tcPr>
            <w:tcW w:w="0" w:type="auto"/>
            <w:tcBorders>
              <w:top w:val="nil"/>
              <w:left w:val="nil"/>
              <w:bottom w:val="nil"/>
              <w:right w:val="nil"/>
            </w:tcBorders>
            <w:vAlign w:val="bottom"/>
          </w:tcPr>
          <w:p w14:paraId="263D5B0B"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417394.5</w:t>
            </w:r>
          </w:p>
        </w:tc>
      </w:tr>
      <w:tr w:rsidR="00341B11" w:rsidRPr="00B600DA" w14:paraId="4C490BC1" w14:textId="77777777" w:rsidTr="0003212D">
        <w:trPr>
          <w:tblCellSpacing w:w="15" w:type="dxa"/>
        </w:trPr>
        <w:tc>
          <w:tcPr>
            <w:tcW w:w="0" w:type="auto"/>
            <w:vAlign w:val="center"/>
            <w:hideMark/>
          </w:tcPr>
          <w:p w14:paraId="48A752F7"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Yobe</w:t>
            </w:r>
          </w:p>
        </w:tc>
        <w:tc>
          <w:tcPr>
            <w:tcW w:w="0" w:type="auto"/>
            <w:vAlign w:val="center"/>
            <w:hideMark/>
          </w:tcPr>
          <w:p w14:paraId="56269F8D"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45,502</w:t>
            </w:r>
          </w:p>
        </w:tc>
        <w:tc>
          <w:tcPr>
            <w:tcW w:w="0" w:type="auto"/>
            <w:vAlign w:val="center"/>
            <w:hideMark/>
          </w:tcPr>
          <w:p w14:paraId="22C3CB8D"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455</w:t>
            </w:r>
          </w:p>
        </w:tc>
        <w:tc>
          <w:tcPr>
            <w:tcW w:w="0" w:type="auto"/>
            <w:tcBorders>
              <w:top w:val="nil"/>
              <w:left w:val="nil"/>
              <w:bottom w:val="nil"/>
              <w:right w:val="nil"/>
            </w:tcBorders>
            <w:vAlign w:val="bottom"/>
          </w:tcPr>
          <w:p w14:paraId="4C64A635"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486590</w:t>
            </w:r>
          </w:p>
        </w:tc>
      </w:tr>
      <w:tr w:rsidR="00341B11" w:rsidRPr="00B600DA" w14:paraId="7AAB4AF3" w14:textId="77777777" w:rsidTr="0003212D">
        <w:trPr>
          <w:tblCellSpacing w:w="15" w:type="dxa"/>
        </w:trPr>
        <w:tc>
          <w:tcPr>
            <w:tcW w:w="0" w:type="auto"/>
            <w:vAlign w:val="center"/>
            <w:hideMark/>
          </w:tcPr>
          <w:p w14:paraId="2954D66A"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Kogi</w:t>
            </w:r>
          </w:p>
        </w:tc>
        <w:tc>
          <w:tcPr>
            <w:tcW w:w="0" w:type="auto"/>
            <w:vAlign w:val="center"/>
            <w:hideMark/>
          </w:tcPr>
          <w:p w14:paraId="36B2582E"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29,833</w:t>
            </w:r>
          </w:p>
        </w:tc>
        <w:tc>
          <w:tcPr>
            <w:tcW w:w="0" w:type="auto"/>
            <w:vAlign w:val="center"/>
            <w:hideMark/>
          </w:tcPr>
          <w:p w14:paraId="72EDB4F9"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298</w:t>
            </w:r>
          </w:p>
        </w:tc>
        <w:tc>
          <w:tcPr>
            <w:tcW w:w="0" w:type="auto"/>
            <w:tcBorders>
              <w:top w:val="nil"/>
              <w:left w:val="nil"/>
              <w:bottom w:val="nil"/>
              <w:right w:val="nil"/>
            </w:tcBorders>
            <w:vAlign w:val="bottom"/>
          </w:tcPr>
          <w:p w14:paraId="2444B39D"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148378.3</w:t>
            </w:r>
          </w:p>
        </w:tc>
      </w:tr>
      <w:tr w:rsidR="00341B11" w:rsidRPr="00B600DA" w14:paraId="1E62BD7F" w14:textId="77777777" w:rsidTr="0003212D">
        <w:trPr>
          <w:tblCellSpacing w:w="15" w:type="dxa"/>
        </w:trPr>
        <w:tc>
          <w:tcPr>
            <w:tcW w:w="0" w:type="auto"/>
            <w:vAlign w:val="center"/>
            <w:hideMark/>
          </w:tcPr>
          <w:p w14:paraId="18673FF8"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Kaduna</w:t>
            </w:r>
          </w:p>
        </w:tc>
        <w:tc>
          <w:tcPr>
            <w:tcW w:w="0" w:type="auto"/>
            <w:vAlign w:val="center"/>
            <w:hideMark/>
          </w:tcPr>
          <w:p w14:paraId="4C0DD1F4"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46,053</w:t>
            </w:r>
          </w:p>
        </w:tc>
        <w:tc>
          <w:tcPr>
            <w:tcW w:w="0" w:type="auto"/>
            <w:vAlign w:val="center"/>
            <w:hideMark/>
          </w:tcPr>
          <w:p w14:paraId="493C54B5"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461</w:t>
            </w:r>
          </w:p>
        </w:tc>
        <w:tc>
          <w:tcPr>
            <w:tcW w:w="0" w:type="auto"/>
            <w:tcBorders>
              <w:top w:val="nil"/>
              <w:left w:val="nil"/>
              <w:bottom w:val="nil"/>
              <w:right w:val="nil"/>
            </w:tcBorders>
            <w:vAlign w:val="bottom"/>
          </w:tcPr>
          <w:p w14:paraId="2A8A8024"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391030.8</w:t>
            </w:r>
          </w:p>
        </w:tc>
      </w:tr>
      <w:tr w:rsidR="00341B11" w:rsidRPr="00B600DA" w14:paraId="12213137" w14:textId="77777777" w:rsidTr="0003212D">
        <w:trPr>
          <w:tblCellSpacing w:w="15" w:type="dxa"/>
        </w:trPr>
        <w:tc>
          <w:tcPr>
            <w:tcW w:w="0" w:type="auto"/>
            <w:vAlign w:val="center"/>
            <w:hideMark/>
          </w:tcPr>
          <w:p w14:paraId="4D0C7180"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FCT Abuja</w:t>
            </w:r>
          </w:p>
        </w:tc>
        <w:tc>
          <w:tcPr>
            <w:tcW w:w="0" w:type="auto"/>
            <w:vAlign w:val="center"/>
            <w:hideMark/>
          </w:tcPr>
          <w:p w14:paraId="716B1676"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7,315</w:t>
            </w:r>
          </w:p>
        </w:tc>
        <w:tc>
          <w:tcPr>
            <w:tcW w:w="0" w:type="auto"/>
            <w:vAlign w:val="center"/>
            <w:hideMark/>
          </w:tcPr>
          <w:p w14:paraId="34499A57"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73</w:t>
            </w:r>
          </w:p>
        </w:tc>
        <w:tc>
          <w:tcPr>
            <w:tcW w:w="0" w:type="auto"/>
            <w:tcBorders>
              <w:top w:val="nil"/>
              <w:left w:val="nil"/>
              <w:bottom w:val="nil"/>
              <w:right w:val="nil"/>
            </w:tcBorders>
            <w:vAlign w:val="bottom"/>
          </w:tcPr>
          <w:p w14:paraId="06B2BD9F"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55358.31</w:t>
            </w:r>
          </w:p>
        </w:tc>
      </w:tr>
    </w:tbl>
    <w:p w14:paraId="1E69C427" w14:textId="77777777" w:rsidR="00341B11" w:rsidRPr="00B600DA" w:rsidRDefault="00341B11" w:rsidP="00B600DA">
      <w:pPr>
        <w:spacing w:line="360" w:lineRule="auto"/>
        <w:jc w:val="both"/>
        <w:rPr>
          <w:rFonts w:ascii="Arial" w:hAnsi="Arial" w:cs="Arial"/>
        </w:rPr>
      </w:pPr>
      <w:r w:rsidRPr="00B600DA">
        <w:rPr>
          <w:rFonts w:ascii="Arial" w:hAnsi="Arial" w:cs="Arial"/>
          <w:i/>
          <w:iCs/>
        </w:rPr>
        <w:t>(Note: Figures represent net output after applying availability and loss factor = 0.8379).</w:t>
      </w:r>
    </w:p>
    <w:p w14:paraId="6088FE91" w14:textId="05159296" w:rsidR="00341B11" w:rsidRDefault="00B600DA" w:rsidP="00B600DA">
      <w:pPr>
        <w:spacing w:after="160" w:line="360" w:lineRule="auto"/>
        <w:jc w:val="both"/>
        <w:rPr>
          <w:rFonts w:ascii="Arial" w:hAnsi="Arial" w:cs="Arial"/>
        </w:rPr>
      </w:pPr>
      <w:r w:rsidRPr="00B600DA">
        <w:rPr>
          <w:rFonts w:ascii="Arial" w:hAnsi="Arial" w:cs="Arial"/>
        </w:rPr>
        <w:t>The above table</w:t>
      </w:r>
      <w:r w:rsidR="00103C01" w:rsidRPr="00B600DA">
        <w:rPr>
          <w:rFonts w:ascii="Arial" w:hAnsi="Arial" w:cs="Arial"/>
        </w:rPr>
        <w:t xml:space="preserve"> implies that the</w:t>
      </w:r>
      <w:r w:rsidR="00341B11" w:rsidRPr="00CF2A25">
        <w:rPr>
          <w:rFonts w:ascii="Arial" w:hAnsi="Arial" w:cs="Arial"/>
        </w:rPr>
        <w:t xml:space="preserve"> Land availability is a critical scaling factor. Even if a state like Kano has decent wind potential, its smaller land area limits total capacity compared to Bauchi or Yobe.</w:t>
      </w:r>
    </w:p>
    <w:p w14:paraId="0E097B15" w14:textId="5E06AD72" w:rsidR="00F55904" w:rsidRDefault="00F55904" w:rsidP="00B600DA">
      <w:pPr>
        <w:spacing w:after="160" w:line="360" w:lineRule="auto"/>
        <w:jc w:val="both"/>
        <w:rPr>
          <w:rFonts w:ascii="Arial" w:hAnsi="Arial" w:cs="Arial"/>
        </w:rPr>
      </w:pPr>
      <w:r>
        <w:rPr>
          <w:noProof/>
        </w:rPr>
        <w:drawing>
          <wp:inline distT="0" distB="0" distL="0" distR="0" wp14:anchorId="476B7364" wp14:editId="6B25A10B">
            <wp:extent cx="5212080" cy="2924175"/>
            <wp:effectExtent l="0" t="0" r="7620" b="9525"/>
            <wp:docPr id="18164682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12080" cy="2924175"/>
                    </a:xfrm>
                    <a:prstGeom prst="rect">
                      <a:avLst/>
                    </a:prstGeom>
                    <a:noFill/>
                    <a:ln>
                      <a:noFill/>
                    </a:ln>
                  </pic:spPr>
                </pic:pic>
              </a:graphicData>
            </a:graphic>
          </wp:inline>
        </w:drawing>
      </w:r>
    </w:p>
    <w:p w14:paraId="154E2598" w14:textId="5C25F5C7" w:rsidR="00F55904" w:rsidRPr="00CF2A25" w:rsidRDefault="00F55904" w:rsidP="00F55904">
      <w:pPr>
        <w:spacing w:after="160" w:line="360" w:lineRule="auto"/>
        <w:jc w:val="center"/>
        <w:rPr>
          <w:rFonts w:ascii="Arial" w:hAnsi="Arial" w:cs="Arial"/>
        </w:rPr>
      </w:pPr>
      <w:r>
        <w:rPr>
          <w:rFonts w:ascii="Arial" w:hAnsi="Arial" w:cs="Arial"/>
        </w:rPr>
        <w:t>Fig. 3. Darly Net Energy Output for 1% land mass</w:t>
      </w:r>
    </w:p>
    <w:p w14:paraId="0AA0E169" w14:textId="29EDFE0D" w:rsidR="00341B11" w:rsidRPr="00B600DA" w:rsidRDefault="00103C01" w:rsidP="00B600DA">
      <w:pPr>
        <w:spacing w:after="160" w:line="360" w:lineRule="auto"/>
        <w:jc w:val="both"/>
        <w:rPr>
          <w:rFonts w:ascii="Arial" w:hAnsi="Arial" w:cs="Arial"/>
          <w:b/>
          <w:bCs/>
        </w:rPr>
      </w:pPr>
      <w:r w:rsidRPr="00B600DA">
        <w:rPr>
          <w:rFonts w:ascii="Arial" w:hAnsi="Arial" w:cs="Arial"/>
          <w:b/>
          <w:bCs/>
        </w:rPr>
        <w:lastRenderedPageBreak/>
        <w:t>3</w:t>
      </w:r>
      <w:r w:rsidR="00341B11" w:rsidRPr="00CF2A25">
        <w:rPr>
          <w:rFonts w:ascii="Arial" w:hAnsi="Arial" w:cs="Arial"/>
          <w:b/>
          <w:bCs/>
        </w:rPr>
        <w:t>.5 Yearly Net Energy Potential for 1% Land Mass</w:t>
      </w:r>
    </w:p>
    <w:p w14:paraId="4AB4C0F4" w14:textId="419FECBF" w:rsidR="00103C01" w:rsidRPr="00CF2A25" w:rsidRDefault="00103C01" w:rsidP="00B600DA">
      <w:pPr>
        <w:spacing w:after="160" w:line="360" w:lineRule="auto"/>
        <w:jc w:val="both"/>
        <w:rPr>
          <w:rFonts w:ascii="Arial" w:hAnsi="Arial" w:cs="Arial"/>
        </w:rPr>
      </w:pPr>
      <w:r w:rsidRPr="00CF2A25">
        <w:rPr>
          <w:rFonts w:ascii="Arial" w:hAnsi="Arial" w:cs="Arial"/>
        </w:rPr>
        <w:t>Extrapolation to yearly output shows massive differences across states:</w:t>
      </w:r>
    </w:p>
    <w:p w14:paraId="135B3F17" w14:textId="6DAC6051" w:rsidR="00103C01" w:rsidRPr="00B600DA" w:rsidRDefault="00103C01" w:rsidP="00B600DA">
      <w:pPr>
        <w:pStyle w:val="ListParagraph"/>
        <w:numPr>
          <w:ilvl w:val="1"/>
          <w:numId w:val="36"/>
        </w:numPr>
        <w:spacing w:after="160" w:line="360" w:lineRule="auto"/>
        <w:jc w:val="both"/>
        <w:rPr>
          <w:rFonts w:ascii="Arial" w:hAnsi="Arial" w:cs="Arial"/>
        </w:rPr>
      </w:pPr>
      <w:r w:rsidRPr="00B600DA">
        <w:rPr>
          <w:rFonts w:ascii="Arial" w:hAnsi="Arial" w:cs="Arial"/>
        </w:rPr>
        <w:t>Yobe: 177,605,342.8 kWh/year (≈178 GWh/year)</w:t>
      </w:r>
    </w:p>
    <w:p w14:paraId="2E8FFECB" w14:textId="77777777" w:rsidR="00103C01" w:rsidRPr="00CF2A25" w:rsidRDefault="00103C01" w:rsidP="00B600DA">
      <w:pPr>
        <w:numPr>
          <w:ilvl w:val="1"/>
          <w:numId w:val="36"/>
        </w:numPr>
        <w:spacing w:after="160" w:line="360" w:lineRule="auto"/>
        <w:jc w:val="both"/>
        <w:rPr>
          <w:rFonts w:ascii="Arial" w:hAnsi="Arial" w:cs="Arial"/>
        </w:rPr>
      </w:pPr>
      <w:r w:rsidRPr="00CF2A25">
        <w:rPr>
          <w:rFonts w:ascii="Arial" w:hAnsi="Arial" w:cs="Arial"/>
        </w:rPr>
        <w:t>Bauchi: 152,348,976.2 kWh/year (≈152 GWh/year)</w:t>
      </w:r>
    </w:p>
    <w:p w14:paraId="652E7661" w14:textId="77777777" w:rsidR="00103C01" w:rsidRPr="00CF2A25" w:rsidRDefault="00103C01" w:rsidP="00B600DA">
      <w:pPr>
        <w:numPr>
          <w:ilvl w:val="1"/>
          <w:numId w:val="36"/>
        </w:numPr>
        <w:spacing w:after="160" w:line="360" w:lineRule="auto"/>
        <w:jc w:val="both"/>
        <w:rPr>
          <w:rFonts w:ascii="Arial" w:hAnsi="Arial" w:cs="Arial"/>
        </w:rPr>
      </w:pPr>
      <w:r w:rsidRPr="00CF2A25">
        <w:rPr>
          <w:rFonts w:ascii="Arial" w:hAnsi="Arial" w:cs="Arial"/>
        </w:rPr>
        <w:t>Kaduna: 142,726,231 kWh/year (≈143 GWh/year)</w:t>
      </w:r>
    </w:p>
    <w:p w14:paraId="42804FC3" w14:textId="77777777" w:rsidR="00103C01" w:rsidRPr="00CF2A25" w:rsidRDefault="00103C01" w:rsidP="00B600DA">
      <w:pPr>
        <w:numPr>
          <w:ilvl w:val="1"/>
          <w:numId w:val="36"/>
        </w:numPr>
        <w:spacing w:after="160" w:line="360" w:lineRule="auto"/>
        <w:jc w:val="both"/>
        <w:rPr>
          <w:rFonts w:ascii="Arial" w:hAnsi="Arial" w:cs="Arial"/>
        </w:rPr>
      </w:pPr>
      <w:r w:rsidRPr="00CF2A25">
        <w:rPr>
          <w:rFonts w:ascii="Arial" w:hAnsi="Arial" w:cs="Arial"/>
        </w:rPr>
        <w:t>Kogi &amp; Abuja: &lt;55 GWh/year</w:t>
      </w:r>
    </w:p>
    <w:p w14:paraId="1C687C26" w14:textId="25EEE1D4" w:rsidR="00103C01" w:rsidRDefault="00B600DA" w:rsidP="00B600DA">
      <w:pPr>
        <w:spacing w:after="160" w:line="360" w:lineRule="auto"/>
        <w:jc w:val="both"/>
        <w:rPr>
          <w:rFonts w:ascii="Arial" w:hAnsi="Arial" w:cs="Arial"/>
        </w:rPr>
      </w:pPr>
      <w:r w:rsidRPr="00B600DA">
        <w:rPr>
          <w:rFonts w:ascii="Arial" w:hAnsi="Arial" w:cs="Arial"/>
        </w:rPr>
        <w:t xml:space="preserve">Tab 4, shows that </w:t>
      </w:r>
      <w:r w:rsidR="00103C01" w:rsidRPr="00CF2A25">
        <w:rPr>
          <w:rFonts w:ascii="Arial" w:hAnsi="Arial" w:cs="Arial"/>
        </w:rPr>
        <w:t>Yobe alone could generate 3</w:t>
      </w:r>
      <w:r w:rsidR="00DC4147">
        <w:rPr>
          <w:rFonts w:ascii="Arial" w:hAnsi="Arial" w:cs="Arial"/>
        </w:rPr>
        <w:t xml:space="preserve"> </w:t>
      </w:r>
      <w:r w:rsidR="00103C01" w:rsidRPr="00CF2A25">
        <w:rPr>
          <w:rFonts w:ascii="Arial" w:hAnsi="Arial" w:cs="Arial"/>
        </w:rPr>
        <w:t>–</w:t>
      </w:r>
      <w:r w:rsidR="00DC4147">
        <w:rPr>
          <w:rFonts w:ascii="Arial" w:hAnsi="Arial" w:cs="Arial"/>
        </w:rPr>
        <w:t xml:space="preserve"> </w:t>
      </w:r>
      <w:r w:rsidR="00103C01" w:rsidRPr="00CF2A25">
        <w:rPr>
          <w:rFonts w:ascii="Arial" w:hAnsi="Arial" w:cs="Arial"/>
        </w:rPr>
        <w:t>4× more annual wind energy than Abuja with the same percentage of land utilization.</w:t>
      </w:r>
      <w:r w:rsidR="00103C01" w:rsidRPr="00B600DA">
        <w:rPr>
          <w:rFonts w:ascii="Arial" w:hAnsi="Arial" w:cs="Arial"/>
        </w:rPr>
        <w:t xml:space="preserve"> </w:t>
      </w:r>
      <w:r w:rsidR="00103C01" w:rsidRPr="00CF2A25">
        <w:rPr>
          <w:rFonts w:ascii="Arial" w:hAnsi="Arial" w:cs="Arial"/>
        </w:rPr>
        <w:t>These findings highlight regional wind energy dominance in northeastern and northwestern states, driven by both meteorological and geographical advantages.</w:t>
      </w:r>
      <w:r w:rsidR="00856DFA">
        <w:rPr>
          <w:rFonts w:ascii="Arial" w:hAnsi="Arial" w:cs="Arial"/>
        </w:rPr>
        <w:t xml:space="preserve"> Fig.4. makes emphasis on spatial temporal synergy of these factors that Nigerian’s wind energy priority states such as Yobe, Bauchi and Kaduna, with Katsina and Kano as strategic supplements</w:t>
      </w:r>
      <w:r w:rsidR="00DC4147">
        <w:rPr>
          <w:rFonts w:ascii="Arial" w:hAnsi="Arial" w:cs="Arial"/>
        </w:rPr>
        <w:t>.</w:t>
      </w:r>
    </w:p>
    <w:p w14:paraId="2D437731" w14:textId="2AE44EE4" w:rsidR="00341B11" w:rsidRPr="00B600DA" w:rsidRDefault="00341B11" w:rsidP="00B600DA">
      <w:pPr>
        <w:spacing w:line="360" w:lineRule="auto"/>
        <w:jc w:val="both"/>
        <w:rPr>
          <w:rFonts w:ascii="Arial" w:hAnsi="Arial" w:cs="Arial"/>
        </w:rPr>
      </w:pPr>
      <w:r w:rsidRPr="00B600DA">
        <w:rPr>
          <w:rFonts w:ascii="Arial" w:hAnsi="Arial" w:cs="Arial"/>
        </w:rPr>
        <w:t xml:space="preserve">Table 4: Estimated Yearly Wind Energy Output </w:t>
      </w:r>
      <w:r w:rsidRPr="00CF2A25">
        <w:rPr>
          <w:rFonts w:ascii="Arial" w:hAnsi="Arial" w:cs="Arial"/>
        </w:rPr>
        <w:t xml:space="preserve">for 1% land utilization are presented </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17"/>
        <w:gridCol w:w="2661"/>
        <w:gridCol w:w="2854"/>
      </w:tblGrid>
      <w:tr w:rsidR="00341B11" w:rsidRPr="00B600DA" w14:paraId="0ABAC072" w14:textId="77777777" w:rsidTr="0003212D">
        <w:trPr>
          <w:tblHeader/>
          <w:tblCellSpacing w:w="15" w:type="dxa"/>
        </w:trPr>
        <w:tc>
          <w:tcPr>
            <w:tcW w:w="0" w:type="auto"/>
            <w:tcBorders>
              <w:top w:val="nil"/>
              <w:bottom w:val="single" w:sz="4" w:space="0" w:color="auto"/>
            </w:tcBorders>
            <w:vAlign w:val="center"/>
            <w:hideMark/>
          </w:tcPr>
          <w:p w14:paraId="104062E7" w14:textId="77777777" w:rsidR="00341B11" w:rsidRPr="00B600DA" w:rsidRDefault="00341B11" w:rsidP="00B600DA">
            <w:pPr>
              <w:pStyle w:val="NoSpacing"/>
              <w:spacing w:line="360" w:lineRule="auto"/>
              <w:jc w:val="both"/>
              <w:rPr>
                <w:rFonts w:ascii="Arial" w:hAnsi="Arial" w:cs="Arial"/>
                <w:b/>
                <w:bCs/>
                <w:sz w:val="20"/>
                <w:szCs w:val="20"/>
              </w:rPr>
            </w:pPr>
            <w:r w:rsidRPr="00B600DA">
              <w:rPr>
                <w:rFonts w:ascii="Arial" w:hAnsi="Arial" w:cs="Arial"/>
                <w:b/>
                <w:bCs/>
                <w:sz w:val="20"/>
                <w:szCs w:val="20"/>
              </w:rPr>
              <w:t>State</w:t>
            </w:r>
          </w:p>
        </w:tc>
        <w:tc>
          <w:tcPr>
            <w:tcW w:w="0" w:type="auto"/>
            <w:tcBorders>
              <w:top w:val="nil"/>
              <w:bottom w:val="single" w:sz="4" w:space="0" w:color="auto"/>
            </w:tcBorders>
            <w:vAlign w:val="center"/>
            <w:hideMark/>
          </w:tcPr>
          <w:p w14:paraId="111EF211" w14:textId="77777777" w:rsidR="00341B11" w:rsidRPr="00B600DA" w:rsidRDefault="00341B11" w:rsidP="00B600DA">
            <w:pPr>
              <w:pStyle w:val="NoSpacing"/>
              <w:spacing w:line="360" w:lineRule="auto"/>
              <w:jc w:val="both"/>
              <w:rPr>
                <w:rFonts w:ascii="Arial" w:hAnsi="Arial" w:cs="Arial"/>
                <w:b/>
                <w:bCs/>
                <w:sz w:val="20"/>
                <w:szCs w:val="20"/>
              </w:rPr>
            </w:pPr>
            <w:r w:rsidRPr="00B600DA">
              <w:rPr>
                <w:rFonts w:ascii="Arial" w:hAnsi="Arial" w:cs="Arial"/>
                <w:b/>
                <w:bCs/>
                <w:sz w:val="20"/>
                <w:szCs w:val="20"/>
              </w:rPr>
              <w:t>Daily Net Energy (kWh/day)</w:t>
            </w:r>
          </w:p>
        </w:tc>
        <w:tc>
          <w:tcPr>
            <w:tcW w:w="0" w:type="auto"/>
            <w:tcBorders>
              <w:top w:val="nil"/>
              <w:bottom w:val="single" w:sz="4" w:space="0" w:color="auto"/>
            </w:tcBorders>
            <w:vAlign w:val="center"/>
            <w:hideMark/>
          </w:tcPr>
          <w:p w14:paraId="6B3927DA" w14:textId="77777777" w:rsidR="00341B11" w:rsidRPr="00B600DA" w:rsidRDefault="00341B11" w:rsidP="00B600DA">
            <w:pPr>
              <w:pStyle w:val="NoSpacing"/>
              <w:spacing w:line="360" w:lineRule="auto"/>
              <w:jc w:val="both"/>
              <w:rPr>
                <w:rFonts w:ascii="Arial" w:hAnsi="Arial" w:cs="Arial"/>
                <w:b/>
                <w:bCs/>
                <w:sz w:val="20"/>
                <w:szCs w:val="20"/>
              </w:rPr>
            </w:pPr>
            <w:r w:rsidRPr="00B600DA">
              <w:rPr>
                <w:rFonts w:ascii="Arial" w:hAnsi="Arial" w:cs="Arial"/>
                <w:b/>
                <w:bCs/>
                <w:sz w:val="20"/>
                <w:szCs w:val="20"/>
              </w:rPr>
              <w:t>Yearly Net Energy (kWh/year)</w:t>
            </w:r>
          </w:p>
        </w:tc>
      </w:tr>
      <w:tr w:rsidR="00341B11" w:rsidRPr="00B600DA" w14:paraId="0F628357" w14:textId="77777777" w:rsidTr="0003212D">
        <w:trPr>
          <w:tblCellSpacing w:w="15" w:type="dxa"/>
        </w:trPr>
        <w:tc>
          <w:tcPr>
            <w:tcW w:w="0" w:type="auto"/>
            <w:vAlign w:val="center"/>
            <w:hideMark/>
          </w:tcPr>
          <w:p w14:paraId="39759EC5"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Katsina</w:t>
            </w:r>
          </w:p>
        </w:tc>
        <w:tc>
          <w:tcPr>
            <w:tcW w:w="0" w:type="auto"/>
            <w:vAlign w:val="bottom"/>
          </w:tcPr>
          <w:p w14:paraId="7058BEBC"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299096.5</w:t>
            </w:r>
          </w:p>
        </w:tc>
        <w:tc>
          <w:tcPr>
            <w:tcW w:w="0" w:type="auto"/>
            <w:vAlign w:val="bottom"/>
          </w:tcPr>
          <w:p w14:paraId="179A23F7"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109170228.3</w:t>
            </w:r>
          </w:p>
        </w:tc>
      </w:tr>
      <w:tr w:rsidR="00341B11" w:rsidRPr="00B600DA" w14:paraId="7054D906" w14:textId="77777777" w:rsidTr="0003212D">
        <w:trPr>
          <w:tblCellSpacing w:w="15" w:type="dxa"/>
        </w:trPr>
        <w:tc>
          <w:tcPr>
            <w:tcW w:w="0" w:type="auto"/>
            <w:vAlign w:val="center"/>
            <w:hideMark/>
          </w:tcPr>
          <w:p w14:paraId="51555475"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Kano</w:t>
            </w:r>
          </w:p>
        </w:tc>
        <w:tc>
          <w:tcPr>
            <w:tcW w:w="0" w:type="auto"/>
            <w:vAlign w:val="bottom"/>
          </w:tcPr>
          <w:p w14:paraId="5195DAA7"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213419.2</w:t>
            </w:r>
          </w:p>
        </w:tc>
        <w:tc>
          <w:tcPr>
            <w:tcW w:w="0" w:type="auto"/>
            <w:vAlign w:val="bottom"/>
          </w:tcPr>
          <w:p w14:paraId="7CF223D0"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77897994.45</w:t>
            </w:r>
          </w:p>
        </w:tc>
      </w:tr>
      <w:tr w:rsidR="00341B11" w:rsidRPr="00B600DA" w14:paraId="2B43BFD8" w14:textId="77777777" w:rsidTr="0003212D">
        <w:trPr>
          <w:tblCellSpacing w:w="15" w:type="dxa"/>
        </w:trPr>
        <w:tc>
          <w:tcPr>
            <w:tcW w:w="0" w:type="auto"/>
            <w:vAlign w:val="center"/>
            <w:hideMark/>
          </w:tcPr>
          <w:p w14:paraId="02169BC4"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Bauchi</w:t>
            </w:r>
          </w:p>
        </w:tc>
        <w:tc>
          <w:tcPr>
            <w:tcW w:w="0" w:type="auto"/>
            <w:vAlign w:val="bottom"/>
          </w:tcPr>
          <w:p w14:paraId="386266ED"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417394.5</w:t>
            </w:r>
          </w:p>
        </w:tc>
        <w:tc>
          <w:tcPr>
            <w:tcW w:w="0" w:type="auto"/>
            <w:vAlign w:val="bottom"/>
          </w:tcPr>
          <w:p w14:paraId="321358D5"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152348976.2</w:t>
            </w:r>
          </w:p>
        </w:tc>
      </w:tr>
      <w:tr w:rsidR="00341B11" w:rsidRPr="00B600DA" w14:paraId="1EC0C355" w14:textId="77777777" w:rsidTr="0003212D">
        <w:trPr>
          <w:tblCellSpacing w:w="15" w:type="dxa"/>
        </w:trPr>
        <w:tc>
          <w:tcPr>
            <w:tcW w:w="0" w:type="auto"/>
            <w:vAlign w:val="center"/>
            <w:hideMark/>
          </w:tcPr>
          <w:p w14:paraId="61237A7D"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Yobe</w:t>
            </w:r>
          </w:p>
        </w:tc>
        <w:tc>
          <w:tcPr>
            <w:tcW w:w="0" w:type="auto"/>
            <w:vAlign w:val="bottom"/>
          </w:tcPr>
          <w:p w14:paraId="291EF004"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486590</w:t>
            </w:r>
          </w:p>
        </w:tc>
        <w:tc>
          <w:tcPr>
            <w:tcW w:w="0" w:type="auto"/>
            <w:vAlign w:val="bottom"/>
          </w:tcPr>
          <w:p w14:paraId="22EAA4CB"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177605342.8</w:t>
            </w:r>
          </w:p>
        </w:tc>
      </w:tr>
      <w:tr w:rsidR="00341B11" w:rsidRPr="00B600DA" w14:paraId="30776F91" w14:textId="77777777" w:rsidTr="0003212D">
        <w:trPr>
          <w:tblCellSpacing w:w="15" w:type="dxa"/>
        </w:trPr>
        <w:tc>
          <w:tcPr>
            <w:tcW w:w="0" w:type="auto"/>
            <w:vAlign w:val="center"/>
            <w:hideMark/>
          </w:tcPr>
          <w:p w14:paraId="64126792"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Kogi</w:t>
            </w:r>
          </w:p>
        </w:tc>
        <w:tc>
          <w:tcPr>
            <w:tcW w:w="0" w:type="auto"/>
            <w:vAlign w:val="bottom"/>
          </w:tcPr>
          <w:p w14:paraId="311C481F"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148378.3</w:t>
            </w:r>
          </w:p>
        </w:tc>
        <w:tc>
          <w:tcPr>
            <w:tcW w:w="0" w:type="auto"/>
            <w:vAlign w:val="bottom"/>
          </w:tcPr>
          <w:p w14:paraId="25079F4F"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54158072.71</w:t>
            </w:r>
          </w:p>
        </w:tc>
      </w:tr>
      <w:tr w:rsidR="00341B11" w:rsidRPr="00B600DA" w14:paraId="084991CF" w14:textId="77777777" w:rsidTr="0003212D">
        <w:trPr>
          <w:tblCellSpacing w:w="15" w:type="dxa"/>
        </w:trPr>
        <w:tc>
          <w:tcPr>
            <w:tcW w:w="0" w:type="auto"/>
            <w:vAlign w:val="center"/>
            <w:hideMark/>
          </w:tcPr>
          <w:p w14:paraId="70FFEDA8"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Kaduna</w:t>
            </w:r>
          </w:p>
        </w:tc>
        <w:tc>
          <w:tcPr>
            <w:tcW w:w="0" w:type="auto"/>
            <w:vAlign w:val="bottom"/>
          </w:tcPr>
          <w:p w14:paraId="254D3A06"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391030.8</w:t>
            </w:r>
          </w:p>
        </w:tc>
        <w:tc>
          <w:tcPr>
            <w:tcW w:w="0" w:type="auto"/>
            <w:vAlign w:val="bottom"/>
          </w:tcPr>
          <w:p w14:paraId="1EB7B28D"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142726231</w:t>
            </w:r>
          </w:p>
        </w:tc>
      </w:tr>
      <w:tr w:rsidR="00341B11" w:rsidRPr="00B600DA" w14:paraId="08654B02" w14:textId="77777777" w:rsidTr="0003212D">
        <w:trPr>
          <w:tblCellSpacing w:w="15" w:type="dxa"/>
        </w:trPr>
        <w:tc>
          <w:tcPr>
            <w:tcW w:w="0" w:type="auto"/>
            <w:vAlign w:val="center"/>
            <w:hideMark/>
          </w:tcPr>
          <w:p w14:paraId="096B69BA"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FCT Abuja</w:t>
            </w:r>
          </w:p>
        </w:tc>
        <w:tc>
          <w:tcPr>
            <w:tcW w:w="0" w:type="auto"/>
            <w:vAlign w:val="bottom"/>
          </w:tcPr>
          <w:p w14:paraId="78C3A888" w14:textId="77777777" w:rsidR="00341B11" w:rsidRPr="00B600DA" w:rsidRDefault="00341B11" w:rsidP="00B600DA">
            <w:pPr>
              <w:pStyle w:val="NoSpacing"/>
              <w:spacing w:line="360" w:lineRule="auto"/>
              <w:jc w:val="both"/>
              <w:rPr>
                <w:rFonts w:ascii="Arial" w:hAnsi="Arial" w:cs="Arial"/>
                <w:strike/>
                <w:color w:val="EE0000"/>
                <w:sz w:val="20"/>
                <w:szCs w:val="20"/>
              </w:rPr>
            </w:pPr>
            <w:r w:rsidRPr="00B600DA">
              <w:rPr>
                <w:rFonts w:ascii="Arial" w:hAnsi="Arial" w:cs="Arial"/>
                <w:color w:val="000000"/>
                <w:sz w:val="20"/>
                <w:szCs w:val="20"/>
              </w:rPr>
              <w:t>55358.31</w:t>
            </w:r>
          </w:p>
        </w:tc>
        <w:tc>
          <w:tcPr>
            <w:tcW w:w="0" w:type="auto"/>
            <w:vAlign w:val="bottom"/>
          </w:tcPr>
          <w:p w14:paraId="052570CE" w14:textId="77777777" w:rsidR="00341B11" w:rsidRPr="00B600DA" w:rsidRDefault="00341B11" w:rsidP="00B600DA">
            <w:pPr>
              <w:pStyle w:val="NoSpacing"/>
              <w:spacing w:line="360" w:lineRule="auto"/>
              <w:jc w:val="both"/>
              <w:rPr>
                <w:rFonts w:ascii="Arial" w:hAnsi="Arial" w:cs="Arial"/>
                <w:strike/>
                <w:color w:val="EE0000"/>
                <w:sz w:val="20"/>
                <w:szCs w:val="20"/>
              </w:rPr>
            </w:pPr>
            <w:r w:rsidRPr="00B600DA">
              <w:rPr>
                <w:rFonts w:ascii="Arial" w:hAnsi="Arial" w:cs="Arial"/>
                <w:color w:val="000000"/>
                <w:sz w:val="20"/>
                <w:szCs w:val="20"/>
              </w:rPr>
              <w:t>20205783.21</w:t>
            </w:r>
          </w:p>
        </w:tc>
      </w:tr>
    </w:tbl>
    <w:p w14:paraId="30FB39BC" w14:textId="77777777" w:rsidR="00341B11" w:rsidRPr="00B600DA" w:rsidRDefault="00341B11" w:rsidP="00B600DA">
      <w:pPr>
        <w:spacing w:line="360" w:lineRule="auto"/>
        <w:jc w:val="both"/>
        <w:rPr>
          <w:rFonts w:ascii="Arial" w:hAnsi="Arial" w:cs="Arial"/>
          <w:strike/>
        </w:rPr>
      </w:pPr>
    </w:p>
    <w:p w14:paraId="5B44C1FE" w14:textId="1C1CC408" w:rsidR="00103C01" w:rsidRDefault="00B600DA" w:rsidP="00B600DA">
      <w:pPr>
        <w:spacing w:line="360" w:lineRule="auto"/>
        <w:jc w:val="both"/>
        <w:rPr>
          <w:rFonts w:ascii="Arial" w:hAnsi="Arial" w:cs="Arial"/>
        </w:rPr>
      </w:pPr>
      <w:r w:rsidRPr="00B600DA">
        <w:rPr>
          <w:rFonts w:ascii="Arial" w:hAnsi="Arial" w:cs="Arial"/>
        </w:rPr>
        <w:t xml:space="preserve">The above table </w:t>
      </w:r>
      <w:r w:rsidR="00103C01" w:rsidRPr="00B600DA">
        <w:rPr>
          <w:rFonts w:ascii="Arial" w:hAnsi="Arial" w:cs="Arial"/>
        </w:rPr>
        <w:t>implies that i</w:t>
      </w:r>
      <w:r w:rsidR="00341B11" w:rsidRPr="00CF2A25">
        <w:rPr>
          <w:rFonts w:ascii="Arial" w:hAnsi="Arial" w:cs="Arial"/>
        </w:rPr>
        <w:t>n designing a national or regional energy policy, Yobe, Bauchi, and Katsina should be prioritized as wind energy hubs, while other states can be integrated into distributed hybrid networks (solar + wind + grid + S</w:t>
      </w:r>
      <w:r w:rsidRPr="00B600DA">
        <w:rPr>
          <w:rFonts w:ascii="Arial" w:hAnsi="Arial" w:cs="Arial"/>
        </w:rPr>
        <w:t>mall Modular Reactor S</w:t>
      </w:r>
      <w:r w:rsidR="00341B11" w:rsidRPr="00CF2A25">
        <w:rPr>
          <w:rFonts w:ascii="Arial" w:hAnsi="Arial" w:cs="Arial"/>
        </w:rPr>
        <w:t>MR).</w:t>
      </w:r>
    </w:p>
    <w:p w14:paraId="12476114" w14:textId="25691B8A" w:rsidR="00F55904" w:rsidRDefault="00F55904" w:rsidP="00B600DA">
      <w:pPr>
        <w:spacing w:line="360" w:lineRule="auto"/>
        <w:jc w:val="both"/>
        <w:rPr>
          <w:rFonts w:ascii="Arial" w:hAnsi="Arial" w:cs="Arial"/>
        </w:rPr>
      </w:pPr>
      <w:r>
        <w:rPr>
          <w:noProof/>
        </w:rPr>
        <w:lastRenderedPageBreak/>
        <w:drawing>
          <wp:inline distT="0" distB="0" distL="0" distR="0" wp14:anchorId="173C044A" wp14:editId="7A7B66DA">
            <wp:extent cx="5212080" cy="2994025"/>
            <wp:effectExtent l="0" t="0" r="7620" b="0"/>
            <wp:docPr id="9333172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12080" cy="2994025"/>
                    </a:xfrm>
                    <a:prstGeom prst="rect">
                      <a:avLst/>
                    </a:prstGeom>
                    <a:noFill/>
                    <a:ln>
                      <a:noFill/>
                    </a:ln>
                  </pic:spPr>
                </pic:pic>
              </a:graphicData>
            </a:graphic>
          </wp:inline>
        </w:drawing>
      </w:r>
    </w:p>
    <w:p w14:paraId="54C36462" w14:textId="4AD168A0" w:rsidR="00F55904" w:rsidRPr="00B600DA" w:rsidRDefault="00F55904" w:rsidP="00F55904">
      <w:pPr>
        <w:spacing w:line="360" w:lineRule="auto"/>
        <w:jc w:val="center"/>
        <w:rPr>
          <w:rFonts w:ascii="Arial" w:hAnsi="Arial" w:cs="Arial"/>
        </w:rPr>
      </w:pPr>
      <w:r>
        <w:rPr>
          <w:rFonts w:ascii="Arial" w:hAnsi="Arial" w:cs="Arial"/>
        </w:rPr>
        <w:t>Fig.4. Yearly net Wind Energy Output for 1% Land Mass</w:t>
      </w:r>
    </w:p>
    <w:p w14:paraId="474F6D50" w14:textId="1AEBFD7E" w:rsidR="00103C01" w:rsidRPr="00B600DA" w:rsidRDefault="00341B11" w:rsidP="00B600DA">
      <w:pPr>
        <w:pStyle w:val="ListParagraph"/>
        <w:numPr>
          <w:ilvl w:val="1"/>
          <w:numId w:val="40"/>
        </w:numPr>
        <w:spacing w:after="160" w:line="360" w:lineRule="auto"/>
        <w:jc w:val="both"/>
        <w:rPr>
          <w:rFonts w:ascii="Arial" w:hAnsi="Arial" w:cs="Arial"/>
          <w:b/>
          <w:bCs/>
        </w:rPr>
      </w:pPr>
      <w:r w:rsidRPr="00B600DA">
        <w:rPr>
          <w:rFonts w:ascii="Arial" w:hAnsi="Arial" w:cs="Arial"/>
          <w:b/>
          <w:bCs/>
        </w:rPr>
        <w:t>Comparative Discussion of States</w:t>
      </w:r>
    </w:p>
    <w:p w14:paraId="041C34D1" w14:textId="77777777" w:rsidR="00341B11" w:rsidRPr="00B600DA" w:rsidRDefault="00341B11" w:rsidP="00B600DA">
      <w:pPr>
        <w:pStyle w:val="ListParagraph"/>
        <w:numPr>
          <w:ilvl w:val="0"/>
          <w:numId w:val="37"/>
        </w:numPr>
        <w:spacing w:after="160" w:line="360" w:lineRule="auto"/>
        <w:jc w:val="both"/>
        <w:rPr>
          <w:rFonts w:ascii="Arial" w:hAnsi="Arial" w:cs="Arial"/>
        </w:rPr>
      </w:pPr>
      <w:r w:rsidRPr="00B600DA">
        <w:rPr>
          <w:rFonts w:ascii="Arial" w:hAnsi="Arial" w:cs="Arial"/>
        </w:rPr>
        <w:t>High Potential States (Tier 1): Yobe, Bauchi, Kaduna → Suitable for utility-scale wind farms.</w:t>
      </w:r>
    </w:p>
    <w:p w14:paraId="4922D937" w14:textId="77777777" w:rsidR="00341B11" w:rsidRPr="00CF2A25" w:rsidRDefault="00341B11" w:rsidP="00B600DA">
      <w:pPr>
        <w:numPr>
          <w:ilvl w:val="0"/>
          <w:numId w:val="37"/>
        </w:numPr>
        <w:spacing w:after="160" w:line="360" w:lineRule="auto"/>
        <w:jc w:val="both"/>
        <w:rPr>
          <w:rFonts w:ascii="Arial" w:hAnsi="Arial" w:cs="Arial"/>
        </w:rPr>
      </w:pPr>
      <w:r w:rsidRPr="00CF2A25">
        <w:rPr>
          <w:rFonts w:ascii="Arial" w:hAnsi="Arial" w:cs="Arial"/>
        </w:rPr>
        <w:t>Moderate Potential States (Tier 2): Katsina, Kano → Suitable for medium-scale grid-connected wind projects.</w:t>
      </w:r>
    </w:p>
    <w:p w14:paraId="58F40206" w14:textId="77777777" w:rsidR="00341B11" w:rsidRPr="00CF2A25" w:rsidRDefault="00341B11" w:rsidP="00B600DA">
      <w:pPr>
        <w:numPr>
          <w:ilvl w:val="0"/>
          <w:numId w:val="37"/>
        </w:numPr>
        <w:spacing w:after="160" w:line="360" w:lineRule="auto"/>
        <w:jc w:val="both"/>
        <w:rPr>
          <w:rFonts w:ascii="Arial" w:hAnsi="Arial" w:cs="Arial"/>
        </w:rPr>
      </w:pPr>
      <w:r w:rsidRPr="00CF2A25">
        <w:rPr>
          <w:rFonts w:ascii="Arial" w:hAnsi="Arial" w:cs="Arial"/>
        </w:rPr>
        <w:t>Low Potential States (Tier 3): Kogi, Abuja → Suitable for localized, hybrid microgrids.</w:t>
      </w:r>
    </w:p>
    <w:p w14:paraId="23FE815D" w14:textId="77777777" w:rsidR="00341B11" w:rsidRPr="00CF2A25" w:rsidRDefault="00341B11" w:rsidP="00B600DA">
      <w:pPr>
        <w:spacing w:after="160" w:line="360" w:lineRule="auto"/>
        <w:jc w:val="both"/>
        <w:rPr>
          <w:rFonts w:ascii="Arial" w:hAnsi="Arial" w:cs="Arial"/>
        </w:rPr>
      </w:pPr>
      <w:r w:rsidRPr="00CF2A25">
        <w:rPr>
          <w:rFonts w:ascii="Arial" w:hAnsi="Arial" w:cs="Arial"/>
        </w:rPr>
        <w:t>This classification provides a strategic roadmap for staged wind development, consistent with recommendations by the Energy Commission of Nigeria (Sambo, 2009).</w:t>
      </w:r>
    </w:p>
    <w:p w14:paraId="67102158" w14:textId="5D879CC6" w:rsidR="00742DBB" w:rsidRPr="00CF173C" w:rsidRDefault="00B600DA" w:rsidP="00B600DA">
      <w:pPr>
        <w:spacing w:after="160" w:line="360" w:lineRule="auto"/>
        <w:jc w:val="both"/>
        <w:rPr>
          <w:rFonts w:ascii="Arial" w:hAnsi="Arial" w:cs="Arial"/>
          <w:b/>
          <w:bCs/>
        </w:rPr>
      </w:pPr>
      <w:r w:rsidRPr="00B600DA">
        <w:rPr>
          <w:rFonts w:ascii="Arial" w:hAnsi="Arial" w:cs="Arial"/>
          <w:b/>
          <w:bCs/>
        </w:rPr>
        <w:t>4</w:t>
      </w:r>
      <w:r>
        <w:rPr>
          <w:rFonts w:ascii="Arial" w:hAnsi="Arial" w:cs="Arial"/>
          <w:b/>
          <w:bCs/>
        </w:rPr>
        <w:t xml:space="preserve">. </w:t>
      </w:r>
      <w:r w:rsidRPr="00B600DA">
        <w:rPr>
          <w:rFonts w:ascii="Arial" w:hAnsi="Arial" w:cs="Arial"/>
          <w:b/>
          <w:bCs/>
        </w:rPr>
        <w:t>CONCLUSION</w:t>
      </w:r>
    </w:p>
    <w:p w14:paraId="70DC2DC5" w14:textId="62FB203C" w:rsidR="00742DBB" w:rsidRPr="00CF173C" w:rsidRDefault="00742DBB" w:rsidP="00B600DA">
      <w:pPr>
        <w:spacing w:after="160" w:line="360" w:lineRule="auto"/>
        <w:jc w:val="both"/>
        <w:rPr>
          <w:rFonts w:ascii="Arial" w:hAnsi="Arial" w:cs="Arial"/>
        </w:rPr>
      </w:pPr>
      <w:r w:rsidRPr="00CF173C">
        <w:rPr>
          <w:rFonts w:ascii="Arial" w:hAnsi="Arial" w:cs="Arial"/>
        </w:rPr>
        <w:t xml:space="preserve">This study concludes that Northern Nigeria possesses substantial wind energy potential, but its exploitation requires state-specific and season-sensitive strategies. </w:t>
      </w:r>
      <w:r w:rsidR="003833A8">
        <w:rPr>
          <w:rFonts w:ascii="Arial" w:hAnsi="Arial" w:cs="Arial"/>
        </w:rPr>
        <w:t xml:space="preserve">Key </w:t>
      </w:r>
      <w:r w:rsidRPr="00CF173C">
        <w:rPr>
          <w:rFonts w:ascii="Arial" w:hAnsi="Arial" w:cs="Arial"/>
        </w:rPr>
        <w:t>conclusions include:</w:t>
      </w:r>
    </w:p>
    <w:p w14:paraId="49D4C19F" w14:textId="43287EEF" w:rsidR="00742DBB" w:rsidRPr="00B600DA" w:rsidRDefault="00742DBB" w:rsidP="00B600DA">
      <w:pPr>
        <w:pStyle w:val="ListParagraph"/>
        <w:numPr>
          <w:ilvl w:val="0"/>
          <w:numId w:val="41"/>
        </w:numPr>
        <w:spacing w:after="160" w:line="360" w:lineRule="auto"/>
        <w:jc w:val="both"/>
        <w:rPr>
          <w:rFonts w:ascii="Arial" w:hAnsi="Arial" w:cs="Arial"/>
        </w:rPr>
      </w:pPr>
      <w:r w:rsidRPr="00B600DA">
        <w:rPr>
          <w:rFonts w:ascii="Arial" w:hAnsi="Arial" w:cs="Arial"/>
        </w:rPr>
        <w:t>Seasonal Dependence: Wind resources are stronger in the dry Harmattan season and weaker during the wet season, highlighting the importance of hybridization with solar PV to balance seasonal intermittency.</w:t>
      </w:r>
    </w:p>
    <w:p w14:paraId="0214CFB3" w14:textId="77777777" w:rsidR="00742DBB" w:rsidRPr="00CF173C" w:rsidRDefault="00742DBB" w:rsidP="00B600DA">
      <w:pPr>
        <w:numPr>
          <w:ilvl w:val="0"/>
          <w:numId w:val="41"/>
        </w:numPr>
        <w:spacing w:after="160" w:line="360" w:lineRule="auto"/>
        <w:jc w:val="both"/>
        <w:rPr>
          <w:rFonts w:ascii="Arial" w:hAnsi="Arial" w:cs="Arial"/>
        </w:rPr>
      </w:pPr>
      <w:r w:rsidRPr="00CF173C">
        <w:rPr>
          <w:rFonts w:ascii="Arial" w:hAnsi="Arial" w:cs="Arial"/>
        </w:rPr>
        <w:lastRenderedPageBreak/>
        <w:t>Geographic Disparities: Wind potential varies significantly across states. Yobe, Bauchi, and Kaduna represent the strongest candidates for large-scale wind farms, while Kogi and Abuja are better suited for microgrid or hybrid applications.</w:t>
      </w:r>
    </w:p>
    <w:p w14:paraId="7370BED2" w14:textId="77777777" w:rsidR="00742DBB" w:rsidRPr="00CF173C" w:rsidRDefault="00742DBB" w:rsidP="00B600DA">
      <w:pPr>
        <w:numPr>
          <w:ilvl w:val="0"/>
          <w:numId w:val="41"/>
        </w:numPr>
        <w:spacing w:after="160" w:line="360" w:lineRule="auto"/>
        <w:jc w:val="both"/>
        <w:rPr>
          <w:rFonts w:ascii="Arial" w:hAnsi="Arial" w:cs="Arial"/>
        </w:rPr>
      </w:pPr>
      <w:r w:rsidRPr="00CF173C">
        <w:rPr>
          <w:rFonts w:ascii="Arial" w:hAnsi="Arial" w:cs="Arial"/>
        </w:rPr>
        <w:t>Land Mass as a Scaling Factor: Larger states such as Bauchi and Yobe generate far more cumulative energy than smaller states like Abuja, even when wind speeds are comparable.</w:t>
      </w:r>
    </w:p>
    <w:p w14:paraId="4755725B" w14:textId="77777777" w:rsidR="00742DBB" w:rsidRPr="00CF173C" w:rsidRDefault="00742DBB" w:rsidP="00B600DA">
      <w:pPr>
        <w:numPr>
          <w:ilvl w:val="0"/>
          <w:numId w:val="41"/>
        </w:numPr>
        <w:spacing w:after="160" w:line="360" w:lineRule="auto"/>
        <w:jc w:val="both"/>
        <w:rPr>
          <w:rFonts w:ascii="Arial" w:hAnsi="Arial" w:cs="Arial"/>
        </w:rPr>
      </w:pPr>
      <w:r w:rsidRPr="00CF173C">
        <w:rPr>
          <w:rFonts w:ascii="Arial" w:hAnsi="Arial" w:cs="Arial"/>
        </w:rPr>
        <w:t>Realistic Energy Estimates: By incorporating a 16.21% loss factor, the study provides realistic projections that account for turbine downtime, wake effects, and transmission inefficiencies.</w:t>
      </w:r>
    </w:p>
    <w:p w14:paraId="3410E566" w14:textId="77777777" w:rsidR="00742DBB" w:rsidRPr="00CF173C" w:rsidRDefault="00742DBB" w:rsidP="00B600DA">
      <w:pPr>
        <w:numPr>
          <w:ilvl w:val="0"/>
          <w:numId w:val="41"/>
        </w:numPr>
        <w:spacing w:after="160" w:line="360" w:lineRule="auto"/>
        <w:jc w:val="both"/>
        <w:rPr>
          <w:rFonts w:ascii="Arial" w:hAnsi="Arial" w:cs="Arial"/>
        </w:rPr>
      </w:pPr>
      <w:r w:rsidRPr="00CF173C">
        <w:rPr>
          <w:rFonts w:ascii="Arial" w:hAnsi="Arial" w:cs="Arial"/>
        </w:rPr>
        <w:t>Energy Planning Implications: Wind energy can play a transformational role in diversifying Nigeria’s energy mix, enhancing energy security, and supporting sustainable development, particularly when integrated into hybrid systems with solar PV and, in the longer term, nuclear SMRs.</w:t>
      </w:r>
    </w:p>
    <w:p w14:paraId="01EF105D" w14:textId="0560D9DB" w:rsidR="00742DBB" w:rsidRPr="00493695" w:rsidRDefault="003833A8" w:rsidP="00B600DA">
      <w:pPr>
        <w:spacing w:after="160" w:line="360" w:lineRule="auto"/>
        <w:jc w:val="both"/>
        <w:rPr>
          <w:rFonts w:ascii="Arial" w:hAnsi="Arial" w:cs="Arial"/>
          <w:b/>
          <w:bCs/>
        </w:rPr>
      </w:pPr>
      <w:r>
        <w:rPr>
          <w:rFonts w:ascii="Arial" w:hAnsi="Arial" w:cs="Arial"/>
          <w:b/>
          <w:bCs/>
        </w:rPr>
        <w:t>4</w:t>
      </w:r>
      <w:r w:rsidR="00742DBB" w:rsidRPr="00493695">
        <w:rPr>
          <w:rFonts w:ascii="Arial" w:hAnsi="Arial" w:cs="Arial"/>
          <w:b/>
          <w:bCs/>
        </w:rPr>
        <w:t>.</w:t>
      </w:r>
      <w:r w:rsidR="00D003C6">
        <w:rPr>
          <w:rFonts w:ascii="Arial" w:hAnsi="Arial" w:cs="Arial"/>
          <w:b/>
          <w:bCs/>
        </w:rPr>
        <w:t>1</w:t>
      </w:r>
      <w:r w:rsidR="00742DBB" w:rsidRPr="00493695">
        <w:rPr>
          <w:rFonts w:ascii="Arial" w:hAnsi="Arial" w:cs="Arial"/>
          <w:b/>
          <w:bCs/>
        </w:rPr>
        <w:t xml:space="preserve"> Contribution to Knowledge</w:t>
      </w:r>
    </w:p>
    <w:p w14:paraId="4B536819" w14:textId="77777777" w:rsidR="00742DBB" w:rsidRPr="00493695" w:rsidRDefault="00742DBB" w:rsidP="00B600DA">
      <w:pPr>
        <w:spacing w:after="160" w:line="360" w:lineRule="auto"/>
        <w:jc w:val="both"/>
        <w:rPr>
          <w:rFonts w:ascii="Arial" w:hAnsi="Arial" w:cs="Arial"/>
        </w:rPr>
      </w:pPr>
      <w:r w:rsidRPr="00493695">
        <w:rPr>
          <w:rFonts w:ascii="Arial" w:hAnsi="Arial" w:cs="Arial"/>
        </w:rPr>
        <w:t>This research makes the following contributions:</w:t>
      </w:r>
    </w:p>
    <w:p w14:paraId="59CD5648" w14:textId="48FD2638" w:rsidR="00742DBB" w:rsidRPr="00B600DA" w:rsidRDefault="00742DBB" w:rsidP="00B600DA">
      <w:pPr>
        <w:pStyle w:val="ListParagraph"/>
        <w:numPr>
          <w:ilvl w:val="0"/>
          <w:numId w:val="43"/>
        </w:numPr>
        <w:spacing w:after="160" w:line="360" w:lineRule="auto"/>
        <w:jc w:val="both"/>
        <w:rPr>
          <w:rFonts w:ascii="Arial" w:hAnsi="Arial" w:cs="Arial"/>
        </w:rPr>
      </w:pPr>
      <w:r w:rsidRPr="00B600DA">
        <w:rPr>
          <w:rFonts w:ascii="Arial" w:hAnsi="Arial" w:cs="Arial"/>
        </w:rPr>
        <w:t>Provides one of the first state-level, field-based wind energy assessments in Northern Nigeria.</w:t>
      </w:r>
    </w:p>
    <w:p w14:paraId="3573F8C6" w14:textId="77777777" w:rsidR="00742DBB" w:rsidRPr="00493695" w:rsidRDefault="00742DBB" w:rsidP="00B600DA">
      <w:pPr>
        <w:numPr>
          <w:ilvl w:val="0"/>
          <w:numId w:val="43"/>
        </w:numPr>
        <w:spacing w:after="160" w:line="360" w:lineRule="auto"/>
        <w:jc w:val="both"/>
        <w:rPr>
          <w:rFonts w:ascii="Arial" w:hAnsi="Arial" w:cs="Arial"/>
        </w:rPr>
      </w:pPr>
      <w:r w:rsidRPr="00493695">
        <w:rPr>
          <w:rFonts w:ascii="Arial" w:hAnsi="Arial" w:cs="Arial"/>
        </w:rPr>
        <w:t>Introduces 1% land mass scaling methodology, demonstrating how land availability dramatically affects cumulative energy potential.</w:t>
      </w:r>
    </w:p>
    <w:p w14:paraId="3D1B9DFE" w14:textId="77777777" w:rsidR="00742DBB" w:rsidRPr="00493695" w:rsidRDefault="00742DBB" w:rsidP="00B600DA">
      <w:pPr>
        <w:numPr>
          <w:ilvl w:val="0"/>
          <w:numId w:val="43"/>
        </w:numPr>
        <w:spacing w:after="160" w:line="360" w:lineRule="auto"/>
        <w:jc w:val="both"/>
        <w:rPr>
          <w:rFonts w:ascii="Arial" w:hAnsi="Arial" w:cs="Arial"/>
        </w:rPr>
      </w:pPr>
      <w:r w:rsidRPr="00493695">
        <w:rPr>
          <w:rFonts w:ascii="Arial" w:hAnsi="Arial" w:cs="Arial"/>
        </w:rPr>
        <w:t>Establishes a tiered framework for state prioritization, offering policymakers a clear roadmap for wind energy deployment.</w:t>
      </w:r>
    </w:p>
    <w:p w14:paraId="6788FFD9" w14:textId="77777777" w:rsidR="00742DBB" w:rsidRDefault="00742DBB" w:rsidP="00B600DA">
      <w:pPr>
        <w:numPr>
          <w:ilvl w:val="0"/>
          <w:numId w:val="43"/>
        </w:numPr>
        <w:spacing w:after="160" w:line="360" w:lineRule="auto"/>
        <w:jc w:val="both"/>
        <w:rPr>
          <w:rFonts w:ascii="Arial" w:hAnsi="Arial" w:cs="Arial"/>
        </w:rPr>
      </w:pPr>
      <w:r w:rsidRPr="00493695">
        <w:rPr>
          <w:rFonts w:ascii="Arial" w:hAnsi="Arial" w:cs="Arial"/>
        </w:rPr>
        <w:t>Validates the importance of seasonal analysis in renewable energy planning, underscoring the necessity of hybrid system integration.</w:t>
      </w:r>
    </w:p>
    <w:p w14:paraId="34F16075" w14:textId="77777777" w:rsidR="00AB14AC" w:rsidRDefault="00AB14AC" w:rsidP="003B326E">
      <w:pPr>
        <w:pStyle w:val="Body"/>
        <w:spacing w:after="0"/>
        <w:rPr>
          <w:rFonts w:ascii="Arial" w:hAnsi="Arial" w:cs="Arial"/>
          <w:b/>
        </w:rPr>
      </w:pPr>
    </w:p>
    <w:p w14:paraId="4E4EE502" w14:textId="3CAF8796" w:rsidR="000D689F" w:rsidRPr="00B600DA" w:rsidRDefault="003B326E" w:rsidP="003B326E">
      <w:pPr>
        <w:pStyle w:val="Body"/>
        <w:spacing w:after="0"/>
        <w:rPr>
          <w:rFonts w:ascii="Arial" w:hAnsi="Arial" w:cs="Arial"/>
        </w:rPr>
      </w:pPr>
      <w:bookmarkStart w:id="0" w:name="_GoBack"/>
      <w:bookmarkEnd w:id="0"/>
      <w:r w:rsidRPr="00B600DA">
        <w:rPr>
          <w:rFonts w:ascii="Arial" w:hAnsi="Arial" w:cs="Arial"/>
          <w:b/>
        </w:rPr>
        <w:t>REFERENCE</w:t>
      </w:r>
      <w:r>
        <w:rPr>
          <w:rFonts w:ascii="Arial" w:hAnsi="Arial" w:cs="Arial"/>
          <w:b/>
        </w:rPr>
        <w:t>S</w:t>
      </w:r>
    </w:p>
    <w:p w14:paraId="1D2A786E" w14:textId="77777777" w:rsidR="00244DCE" w:rsidRDefault="00244DCE" w:rsidP="00244DCE">
      <w:pPr>
        <w:pStyle w:val="Reference"/>
        <w:numPr>
          <w:ilvl w:val="0"/>
          <w:numId w:val="0"/>
        </w:numPr>
        <w:ind w:left="720"/>
        <w:rPr>
          <w:rFonts w:ascii="Arial" w:hAnsi="Arial" w:cs="Arial"/>
        </w:rPr>
      </w:pPr>
    </w:p>
    <w:p w14:paraId="1CF92C28" w14:textId="40266CD8" w:rsidR="00244DCE" w:rsidRPr="00244DCE" w:rsidRDefault="00244DCE" w:rsidP="00244DCE">
      <w:pPr>
        <w:pStyle w:val="Reference"/>
        <w:numPr>
          <w:ilvl w:val="0"/>
          <w:numId w:val="0"/>
        </w:numPr>
        <w:ind w:left="360" w:hanging="360"/>
        <w:rPr>
          <w:rFonts w:ascii="Arial" w:hAnsi="Arial" w:cs="Arial"/>
        </w:rPr>
      </w:pPr>
      <w:proofErr w:type="spellStart"/>
      <w:r w:rsidRPr="00244DCE">
        <w:rPr>
          <w:rFonts w:ascii="Arial" w:hAnsi="Arial" w:cs="Arial"/>
        </w:rPr>
        <w:t>Adenikinju</w:t>
      </w:r>
      <w:proofErr w:type="spellEnd"/>
      <w:r w:rsidRPr="00244DCE">
        <w:rPr>
          <w:rFonts w:ascii="Arial" w:hAnsi="Arial" w:cs="Arial"/>
        </w:rPr>
        <w:t xml:space="preserve">, A. (2008). Efficiency of the energy sector and its impact on the competitiveness of the Nigerian economy. </w:t>
      </w:r>
      <w:r w:rsidRPr="00244DCE">
        <w:rPr>
          <w:rFonts w:ascii="Arial" w:hAnsi="Arial" w:cs="Arial"/>
          <w:i/>
          <w:iCs/>
        </w:rPr>
        <w:t>International Association for Energy Economics</w:t>
      </w:r>
      <w:r w:rsidRPr="00244DCE">
        <w:rPr>
          <w:rFonts w:ascii="Arial" w:hAnsi="Arial" w:cs="Arial"/>
        </w:rPr>
        <w:t>.</w:t>
      </w:r>
    </w:p>
    <w:p w14:paraId="1E1FC3AA" w14:textId="77777777" w:rsidR="00244DCE" w:rsidRPr="00244DCE" w:rsidRDefault="00244DCE" w:rsidP="00244DCE">
      <w:pPr>
        <w:pStyle w:val="Reference"/>
        <w:numPr>
          <w:ilvl w:val="0"/>
          <w:numId w:val="0"/>
        </w:numPr>
        <w:ind w:left="360" w:hanging="360"/>
        <w:rPr>
          <w:rFonts w:ascii="Arial" w:hAnsi="Arial" w:cs="Arial"/>
        </w:rPr>
      </w:pPr>
      <w:r w:rsidRPr="00244DCE">
        <w:rPr>
          <w:rFonts w:ascii="Arial" w:hAnsi="Arial" w:cs="Arial"/>
        </w:rPr>
        <w:t xml:space="preserve">Ajayi, O. O., Fagbenle, R. O., Katende, J., Aasa, S. A., &amp; </w:t>
      </w:r>
      <w:proofErr w:type="spellStart"/>
      <w:r w:rsidRPr="00244DCE">
        <w:rPr>
          <w:rFonts w:ascii="Arial" w:hAnsi="Arial" w:cs="Arial"/>
        </w:rPr>
        <w:t>Okeniyi</w:t>
      </w:r>
      <w:proofErr w:type="spellEnd"/>
      <w:r w:rsidRPr="00244DCE">
        <w:rPr>
          <w:rFonts w:ascii="Arial" w:hAnsi="Arial" w:cs="Arial"/>
        </w:rPr>
        <w:t xml:space="preserve">, J. O. (2013). Wind profile characteristics and turbine performance analysis in Kano, north-western Nigeria. </w:t>
      </w:r>
      <w:r w:rsidRPr="00244DCE">
        <w:rPr>
          <w:rFonts w:ascii="Arial" w:hAnsi="Arial" w:cs="Arial"/>
          <w:i/>
          <w:iCs/>
        </w:rPr>
        <w:t>International Journal of Energy and Environmental Engineering, 4</w:t>
      </w:r>
      <w:r w:rsidRPr="00244DCE">
        <w:rPr>
          <w:rFonts w:ascii="Arial" w:hAnsi="Arial" w:cs="Arial"/>
        </w:rPr>
        <w:t>(1), 1–15.</w:t>
      </w:r>
    </w:p>
    <w:p w14:paraId="43A20F06" w14:textId="77777777" w:rsidR="00244DCE" w:rsidRPr="00244DCE" w:rsidRDefault="00244DCE" w:rsidP="00244DCE">
      <w:pPr>
        <w:pStyle w:val="Reference"/>
        <w:numPr>
          <w:ilvl w:val="0"/>
          <w:numId w:val="0"/>
        </w:numPr>
        <w:ind w:left="360" w:hanging="360"/>
        <w:rPr>
          <w:rFonts w:ascii="Arial" w:hAnsi="Arial" w:cs="Arial"/>
        </w:rPr>
      </w:pPr>
      <w:r w:rsidRPr="00244DCE">
        <w:rPr>
          <w:rFonts w:ascii="Arial" w:hAnsi="Arial" w:cs="Arial"/>
        </w:rPr>
        <w:t xml:space="preserve">Ayodele, T. R., </w:t>
      </w:r>
      <w:proofErr w:type="spellStart"/>
      <w:r w:rsidRPr="00244DCE">
        <w:rPr>
          <w:rFonts w:ascii="Arial" w:hAnsi="Arial" w:cs="Arial"/>
        </w:rPr>
        <w:t>Ogunjuyigbe</w:t>
      </w:r>
      <w:proofErr w:type="spellEnd"/>
      <w:r w:rsidRPr="00244DCE">
        <w:rPr>
          <w:rFonts w:ascii="Arial" w:hAnsi="Arial" w:cs="Arial"/>
        </w:rPr>
        <w:t xml:space="preserve">, A. S., &amp; </w:t>
      </w:r>
      <w:proofErr w:type="spellStart"/>
      <w:r w:rsidRPr="00244DCE">
        <w:rPr>
          <w:rFonts w:ascii="Arial" w:hAnsi="Arial" w:cs="Arial"/>
        </w:rPr>
        <w:t>Odigwe</w:t>
      </w:r>
      <w:proofErr w:type="spellEnd"/>
      <w:r w:rsidRPr="00244DCE">
        <w:rPr>
          <w:rFonts w:ascii="Arial" w:hAnsi="Arial" w:cs="Arial"/>
        </w:rPr>
        <w:t xml:space="preserve">, I. A. (2018). Wind energy resource assessment in Northwestern Nigeria: Lessons from </w:t>
      </w:r>
      <w:proofErr w:type="spellStart"/>
      <w:r w:rsidRPr="00244DCE">
        <w:rPr>
          <w:rFonts w:ascii="Arial" w:hAnsi="Arial" w:cs="Arial"/>
        </w:rPr>
        <w:t>meteosat</w:t>
      </w:r>
      <w:proofErr w:type="spellEnd"/>
      <w:r w:rsidRPr="00244DCE">
        <w:rPr>
          <w:rFonts w:ascii="Arial" w:hAnsi="Arial" w:cs="Arial"/>
        </w:rPr>
        <w:t xml:space="preserve"> satellite data. </w:t>
      </w:r>
      <w:r w:rsidRPr="00244DCE">
        <w:rPr>
          <w:rFonts w:ascii="Arial" w:hAnsi="Arial" w:cs="Arial"/>
          <w:i/>
          <w:iCs/>
        </w:rPr>
        <w:t>Renewable Energy, 123,</w:t>
      </w:r>
      <w:r w:rsidRPr="00244DCE">
        <w:rPr>
          <w:rFonts w:ascii="Arial" w:hAnsi="Arial" w:cs="Arial"/>
        </w:rPr>
        <w:t xml:space="preserve"> 428–440. </w:t>
      </w:r>
      <w:hyperlink r:id="rId18" w:tgtFrame="_new" w:history="1">
        <w:r w:rsidRPr="00244DCE">
          <w:rPr>
            <w:rStyle w:val="Hyperlink"/>
            <w:rFonts w:ascii="Arial" w:hAnsi="Arial" w:cs="Arial"/>
          </w:rPr>
          <w:t>https://doi.org/10.1016/j.renene.2018.02.053</w:t>
        </w:r>
      </w:hyperlink>
    </w:p>
    <w:p w14:paraId="3B2730D9" w14:textId="77777777" w:rsidR="00244DCE" w:rsidRPr="00244DCE" w:rsidRDefault="00244DCE" w:rsidP="00244DCE">
      <w:pPr>
        <w:pStyle w:val="Reference"/>
        <w:numPr>
          <w:ilvl w:val="0"/>
          <w:numId w:val="0"/>
        </w:numPr>
        <w:ind w:left="360" w:hanging="360"/>
        <w:rPr>
          <w:rFonts w:ascii="Arial" w:hAnsi="Arial" w:cs="Arial"/>
        </w:rPr>
      </w:pPr>
      <w:r w:rsidRPr="00244DCE">
        <w:rPr>
          <w:rFonts w:ascii="Arial" w:hAnsi="Arial" w:cs="Arial"/>
        </w:rPr>
        <w:lastRenderedPageBreak/>
        <w:t xml:space="preserve">Fagbenle, R. O., Katende, J., Ajayi, O. O., &amp; </w:t>
      </w:r>
      <w:proofErr w:type="spellStart"/>
      <w:r w:rsidRPr="00244DCE">
        <w:rPr>
          <w:rFonts w:ascii="Arial" w:hAnsi="Arial" w:cs="Arial"/>
        </w:rPr>
        <w:t>Okeniyi</w:t>
      </w:r>
      <w:proofErr w:type="spellEnd"/>
      <w:r w:rsidRPr="00244DCE">
        <w:rPr>
          <w:rFonts w:ascii="Arial" w:hAnsi="Arial" w:cs="Arial"/>
        </w:rPr>
        <w:t xml:space="preserve">, J. O. (2011). Assessment of wind energy potential of two sites in North-East, Nigeria. </w:t>
      </w:r>
      <w:r w:rsidRPr="00244DCE">
        <w:rPr>
          <w:rFonts w:ascii="Arial" w:hAnsi="Arial" w:cs="Arial"/>
          <w:i/>
          <w:iCs/>
        </w:rPr>
        <w:t>Renewable Energy, 36</w:t>
      </w:r>
      <w:r w:rsidRPr="00244DCE">
        <w:rPr>
          <w:rFonts w:ascii="Arial" w:hAnsi="Arial" w:cs="Arial"/>
        </w:rPr>
        <w:t>(4), 1277–1283.</w:t>
      </w:r>
    </w:p>
    <w:p w14:paraId="6989BC3D" w14:textId="77777777" w:rsidR="00244DCE" w:rsidRPr="00244DCE" w:rsidRDefault="00244DCE" w:rsidP="00244DCE">
      <w:pPr>
        <w:pStyle w:val="Reference"/>
        <w:numPr>
          <w:ilvl w:val="0"/>
          <w:numId w:val="0"/>
        </w:numPr>
        <w:ind w:left="360" w:hanging="360"/>
        <w:rPr>
          <w:rFonts w:ascii="Arial" w:hAnsi="Arial" w:cs="Arial"/>
        </w:rPr>
      </w:pPr>
      <w:proofErr w:type="spellStart"/>
      <w:r w:rsidRPr="00244DCE">
        <w:rPr>
          <w:rFonts w:ascii="Arial" w:hAnsi="Arial" w:cs="Arial"/>
        </w:rPr>
        <w:t>Ohunakin</w:t>
      </w:r>
      <w:proofErr w:type="spellEnd"/>
      <w:r w:rsidRPr="00244DCE">
        <w:rPr>
          <w:rFonts w:ascii="Arial" w:hAnsi="Arial" w:cs="Arial"/>
        </w:rPr>
        <w:t xml:space="preserve">, O. S., Adaramola, M. S., </w:t>
      </w:r>
      <w:proofErr w:type="spellStart"/>
      <w:r w:rsidRPr="00244DCE">
        <w:rPr>
          <w:rFonts w:ascii="Arial" w:hAnsi="Arial" w:cs="Arial"/>
        </w:rPr>
        <w:t>Oyewola</w:t>
      </w:r>
      <w:proofErr w:type="spellEnd"/>
      <w:r w:rsidRPr="00244DCE">
        <w:rPr>
          <w:rFonts w:ascii="Arial" w:hAnsi="Arial" w:cs="Arial"/>
        </w:rPr>
        <w:t xml:space="preserve">, O. M., &amp; Fagbenle, R. O. (2011). Hybrid renewable energy systems for rural electrification in Nigeria: An approach to the UN millennium development goals. </w:t>
      </w:r>
      <w:r w:rsidRPr="00244DCE">
        <w:rPr>
          <w:rFonts w:ascii="Arial" w:hAnsi="Arial" w:cs="Arial"/>
          <w:i/>
          <w:iCs/>
        </w:rPr>
        <w:t>Renewable and Sustainable Energy Reviews, 15</w:t>
      </w:r>
      <w:r w:rsidRPr="00244DCE">
        <w:rPr>
          <w:rFonts w:ascii="Arial" w:hAnsi="Arial" w:cs="Arial"/>
        </w:rPr>
        <w:t>(9), 4501–4511.</w:t>
      </w:r>
    </w:p>
    <w:p w14:paraId="64074DF8" w14:textId="77777777" w:rsidR="00244DCE" w:rsidRPr="00244DCE" w:rsidRDefault="00244DCE" w:rsidP="00244DCE">
      <w:pPr>
        <w:pStyle w:val="Reference"/>
        <w:numPr>
          <w:ilvl w:val="0"/>
          <w:numId w:val="0"/>
        </w:numPr>
        <w:ind w:left="360" w:hanging="360"/>
        <w:rPr>
          <w:rFonts w:ascii="Arial" w:hAnsi="Arial" w:cs="Arial"/>
        </w:rPr>
      </w:pPr>
      <w:proofErr w:type="spellStart"/>
      <w:r w:rsidRPr="00244DCE">
        <w:rPr>
          <w:rFonts w:ascii="Arial" w:hAnsi="Arial" w:cs="Arial"/>
        </w:rPr>
        <w:t>Ohunakin</w:t>
      </w:r>
      <w:proofErr w:type="spellEnd"/>
      <w:r w:rsidRPr="00244DCE">
        <w:rPr>
          <w:rFonts w:ascii="Arial" w:hAnsi="Arial" w:cs="Arial"/>
        </w:rPr>
        <w:t xml:space="preserve">, O. S., </w:t>
      </w:r>
      <w:proofErr w:type="spellStart"/>
      <w:r w:rsidRPr="00244DCE">
        <w:rPr>
          <w:rFonts w:ascii="Arial" w:hAnsi="Arial" w:cs="Arial"/>
        </w:rPr>
        <w:t>Ojolo</w:t>
      </w:r>
      <w:proofErr w:type="spellEnd"/>
      <w:r w:rsidRPr="00244DCE">
        <w:rPr>
          <w:rFonts w:ascii="Arial" w:hAnsi="Arial" w:cs="Arial"/>
        </w:rPr>
        <w:t xml:space="preserve">, S. J., &amp; Ajayi, O. O. (2014). Small hydropower (SHP) development in Nigeria: An assessment. </w:t>
      </w:r>
      <w:r w:rsidRPr="00244DCE">
        <w:rPr>
          <w:rFonts w:ascii="Arial" w:hAnsi="Arial" w:cs="Arial"/>
          <w:i/>
          <w:iCs/>
        </w:rPr>
        <w:t>Renewable and Sustainable Energy Reviews, 30,</w:t>
      </w:r>
      <w:r w:rsidRPr="00244DCE">
        <w:rPr>
          <w:rFonts w:ascii="Arial" w:hAnsi="Arial" w:cs="Arial"/>
        </w:rPr>
        <w:t xml:space="preserve"> 123–138.</w:t>
      </w:r>
    </w:p>
    <w:p w14:paraId="07470CD2" w14:textId="77777777" w:rsidR="00244DCE" w:rsidRPr="00244DCE" w:rsidRDefault="00244DCE" w:rsidP="00244DCE">
      <w:pPr>
        <w:pStyle w:val="Reference"/>
        <w:numPr>
          <w:ilvl w:val="0"/>
          <w:numId w:val="0"/>
        </w:numPr>
        <w:ind w:left="360" w:hanging="360"/>
        <w:rPr>
          <w:rFonts w:ascii="Arial" w:hAnsi="Arial" w:cs="Arial"/>
        </w:rPr>
      </w:pPr>
      <w:proofErr w:type="spellStart"/>
      <w:r w:rsidRPr="00244DCE">
        <w:rPr>
          <w:rFonts w:ascii="Arial" w:hAnsi="Arial" w:cs="Arial"/>
        </w:rPr>
        <w:t>Ojosu</w:t>
      </w:r>
      <w:proofErr w:type="spellEnd"/>
      <w:r w:rsidRPr="00244DCE">
        <w:rPr>
          <w:rFonts w:ascii="Arial" w:hAnsi="Arial" w:cs="Arial"/>
        </w:rPr>
        <w:t xml:space="preserve">, J. O., &amp; Salawu, R. I. (1990). A survey of wind energy potential in Nigeria. </w:t>
      </w:r>
      <w:r w:rsidRPr="00244DCE">
        <w:rPr>
          <w:rFonts w:ascii="Arial" w:hAnsi="Arial" w:cs="Arial"/>
          <w:i/>
          <w:iCs/>
        </w:rPr>
        <w:t>Solar &amp; Wind Technology, 7</w:t>
      </w:r>
      <w:r w:rsidRPr="00244DCE">
        <w:rPr>
          <w:rFonts w:ascii="Arial" w:hAnsi="Arial" w:cs="Arial"/>
        </w:rPr>
        <w:t>(2–3), 155–167.</w:t>
      </w:r>
    </w:p>
    <w:p w14:paraId="4BC39314" w14:textId="77777777" w:rsidR="00244DCE" w:rsidRPr="00244DCE" w:rsidRDefault="00244DCE" w:rsidP="00244DCE">
      <w:pPr>
        <w:pStyle w:val="Reference"/>
        <w:numPr>
          <w:ilvl w:val="0"/>
          <w:numId w:val="0"/>
        </w:numPr>
        <w:ind w:left="360" w:hanging="360"/>
        <w:rPr>
          <w:rFonts w:ascii="Arial" w:hAnsi="Arial" w:cs="Arial"/>
        </w:rPr>
      </w:pPr>
      <w:r w:rsidRPr="00244DCE">
        <w:rPr>
          <w:rFonts w:ascii="Arial" w:hAnsi="Arial" w:cs="Arial"/>
        </w:rPr>
        <w:t xml:space="preserve">Oyedepo, S. O. (2012). Energy and sustainable development in Nigeria: the way forward. </w:t>
      </w:r>
      <w:r w:rsidRPr="00244DCE">
        <w:rPr>
          <w:rFonts w:ascii="Arial" w:hAnsi="Arial" w:cs="Arial"/>
          <w:i/>
          <w:iCs/>
        </w:rPr>
        <w:t>Energy, Sustainability and Society, 2</w:t>
      </w:r>
      <w:r w:rsidRPr="00244DCE">
        <w:rPr>
          <w:rFonts w:ascii="Arial" w:hAnsi="Arial" w:cs="Arial"/>
        </w:rPr>
        <w:t>(1), 15.</w:t>
      </w:r>
    </w:p>
    <w:p w14:paraId="28EE4859" w14:textId="77777777" w:rsidR="00244DCE" w:rsidRPr="00244DCE" w:rsidRDefault="00244DCE" w:rsidP="00244DCE">
      <w:pPr>
        <w:pStyle w:val="Reference"/>
        <w:numPr>
          <w:ilvl w:val="0"/>
          <w:numId w:val="0"/>
        </w:numPr>
        <w:ind w:left="360" w:hanging="360"/>
        <w:rPr>
          <w:rFonts w:ascii="Arial" w:hAnsi="Arial" w:cs="Arial"/>
        </w:rPr>
      </w:pPr>
      <w:r w:rsidRPr="00244DCE">
        <w:rPr>
          <w:rFonts w:ascii="Arial" w:hAnsi="Arial" w:cs="Arial"/>
        </w:rPr>
        <w:t xml:space="preserve">Sambo, A. S. (2009). Strategic developments in renewable energy in Nigeria. </w:t>
      </w:r>
      <w:r w:rsidRPr="00244DCE">
        <w:rPr>
          <w:rFonts w:ascii="Arial" w:hAnsi="Arial" w:cs="Arial"/>
          <w:i/>
          <w:iCs/>
        </w:rPr>
        <w:t>International Association for Energy Economics, 16</w:t>
      </w:r>
      <w:r w:rsidRPr="00244DCE">
        <w:rPr>
          <w:rFonts w:ascii="Arial" w:hAnsi="Arial" w:cs="Arial"/>
        </w:rPr>
        <w:t>(4), 15–19.</w:t>
      </w:r>
    </w:p>
    <w:p w14:paraId="585A4F41" w14:textId="77777777" w:rsidR="00244DCE" w:rsidRPr="00244DCE" w:rsidRDefault="00244DCE" w:rsidP="00244DCE">
      <w:pPr>
        <w:pStyle w:val="Reference"/>
        <w:numPr>
          <w:ilvl w:val="0"/>
          <w:numId w:val="0"/>
        </w:numPr>
        <w:ind w:left="360" w:hanging="360"/>
        <w:rPr>
          <w:rFonts w:ascii="Arial" w:hAnsi="Arial" w:cs="Arial"/>
        </w:rPr>
      </w:pPr>
      <w:r w:rsidRPr="00244DCE">
        <w:rPr>
          <w:rFonts w:ascii="Arial" w:hAnsi="Arial" w:cs="Arial"/>
        </w:rPr>
        <w:t xml:space="preserve">Shaaban, M., &amp; </w:t>
      </w:r>
      <w:proofErr w:type="spellStart"/>
      <w:r w:rsidRPr="00244DCE">
        <w:rPr>
          <w:rFonts w:ascii="Arial" w:hAnsi="Arial" w:cs="Arial"/>
        </w:rPr>
        <w:t>Petinrin</w:t>
      </w:r>
      <w:proofErr w:type="spellEnd"/>
      <w:r w:rsidRPr="00244DCE">
        <w:rPr>
          <w:rFonts w:ascii="Arial" w:hAnsi="Arial" w:cs="Arial"/>
        </w:rPr>
        <w:t xml:space="preserve">, J. O. (2014). Renewable energy potentials in Nigeria: Meeting rural energy needs. </w:t>
      </w:r>
      <w:r w:rsidRPr="00244DCE">
        <w:rPr>
          <w:rFonts w:ascii="Arial" w:hAnsi="Arial" w:cs="Arial"/>
          <w:i/>
          <w:iCs/>
        </w:rPr>
        <w:t>Renewable and Sustainable Energy Reviews, 29,</w:t>
      </w:r>
      <w:r w:rsidRPr="00244DCE">
        <w:rPr>
          <w:rFonts w:ascii="Arial" w:hAnsi="Arial" w:cs="Arial"/>
        </w:rPr>
        <w:t xml:space="preserve"> 72–84. </w:t>
      </w:r>
      <w:hyperlink r:id="rId19" w:tgtFrame="_new" w:history="1">
        <w:r w:rsidRPr="00244DCE">
          <w:rPr>
            <w:rStyle w:val="Hyperlink"/>
            <w:rFonts w:ascii="Arial" w:hAnsi="Arial" w:cs="Arial"/>
          </w:rPr>
          <w:t>https://doi.org/10.1016/j.rser.2013.08.078</w:t>
        </w:r>
      </w:hyperlink>
    </w:p>
    <w:p w14:paraId="62349BE3" w14:textId="11C7087D" w:rsidR="004D4277" w:rsidRPr="00B600DA" w:rsidRDefault="004D4277" w:rsidP="00441B6F">
      <w:pPr>
        <w:pStyle w:val="Appendix"/>
        <w:spacing w:after="0"/>
        <w:jc w:val="both"/>
        <w:rPr>
          <w:rFonts w:ascii="Arial" w:hAnsi="Arial" w:cs="Arial"/>
          <w:b w:val="0"/>
        </w:rPr>
        <w:sectPr w:rsidR="004D4277" w:rsidRPr="00B600DA" w:rsidSect="00AB14AC">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174D2FA1" w14:textId="77777777" w:rsidR="00B01FCD" w:rsidRPr="00B600DA" w:rsidRDefault="00B01FCD" w:rsidP="00441B6F">
      <w:pPr>
        <w:pStyle w:val="Appendix"/>
        <w:spacing w:after="0"/>
        <w:jc w:val="both"/>
        <w:rPr>
          <w:rFonts w:ascii="Arial" w:hAnsi="Arial" w:cs="Arial"/>
          <w:b w:val="0"/>
        </w:rPr>
      </w:pPr>
    </w:p>
    <w:sectPr w:rsidR="00B01FCD" w:rsidRPr="00B600DA" w:rsidSect="00AB14A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3E8B0" w14:textId="77777777" w:rsidR="0068348F" w:rsidRDefault="0068348F" w:rsidP="00C37E61">
      <w:r>
        <w:separator/>
      </w:r>
    </w:p>
  </w:endnote>
  <w:endnote w:type="continuationSeparator" w:id="0">
    <w:p w14:paraId="626D08B9" w14:textId="77777777" w:rsidR="0068348F" w:rsidRDefault="0068348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FFB01" w14:textId="77777777" w:rsidR="00AB14AC" w:rsidRDefault="00AB1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5EEF9" w14:textId="77777777" w:rsidR="00AB14AC" w:rsidRDefault="00AB14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A106E" w14:textId="77777777" w:rsidR="009E048A" w:rsidRDefault="009E048A">
    <w:pPr>
      <w:pStyle w:val="Footer"/>
      <w:rPr>
        <w:rFonts w:ascii="Arial" w:hAnsi="Arial" w:cs="Arial"/>
        <w:sz w:val="16"/>
      </w:rPr>
    </w:pPr>
  </w:p>
  <w:p w14:paraId="61D504E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42A13EB" w14:textId="77777777" w:rsidR="009E048A" w:rsidRDefault="009E048A">
    <w:pPr>
      <w:pStyle w:val="Footer"/>
      <w:rPr>
        <w:rFonts w:ascii="Arial" w:hAnsi="Arial" w:cs="Arial"/>
        <w:sz w:val="16"/>
      </w:rPr>
    </w:pPr>
  </w:p>
  <w:p w14:paraId="1D4AFDD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C531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D3335" w14:textId="77777777" w:rsidR="0068348F" w:rsidRDefault="0068348F" w:rsidP="00C37E61">
      <w:r>
        <w:separator/>
      </w:r>
    </w:p>
  </w:footnote>
  <w:footnote w:type="continuationSeparator" w:id="0">
    <w:p w14:paraId="726A25CA" w14:textId="77777777" w:rsidR="0068348F" w:rsidRDefault="0068348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5990D" w14:textId="72944EF7" w:rsidR="00AB14AC" w:rsidRDefault="00AB14AC">
    <w:pPr>
      <w:pStyle w:val="Header"/>
    </w:pPr>
    <w:r>
      <w:rPr>
        <w:noProof/>
      </w:rPr>
      <w:pict w14:anchorId="133EF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797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E6B1D" w14:textId="5958C502" w:rsidR="00AB14AC" w:rsidRDefault="00AB14AC">
    <w:pPr>
      <w:pStyle w:val="Header"/>
    </w:pPr>
    <w:r>
      <w:rPr>
        <w:noProof/>
      </w:rPr>
      <w:pict w14:anchorId="53DCD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797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CF180" w14:textId="5F9C6470" w:rsidR="00296529" w:rsidRPr="00296529" w:rsidRDefault="00AB14AC" w:rsidP="00296529">
    <w:pPr>
      <w:ind w:left="2160"/>
      <w:jc w:val="center"/>
      <w:rPr>
        <w:rFonts w:ascii="Times New Roman" w:eastAsia="Calibri" w:hAnsi="Times New Roman"/>
        <w:i/>
        <w:sz w:val="18"/>
        <w:szCs w:val="22"/>
      </w:rPr>
    </w:pPr>
    <w:r>
      <w:rPr>
        <w:noProof/>
      </w:rPr>
      <w:pict w14:anchorId="395DD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7977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49981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0179DE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117D9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B0CA99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FD27FC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7D26F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77CDC" w14:textId="494C2621" w:rsidR="00AB14AC" w:rsidRDefault="00AB14AC">
    <w:pPr>
      <w:pStyle w:val="Header"/>
    </w:pPr>
    <w:r>
      <w:rPr>
        <w:noProof/>
      </w:rPr>
      <w:pict w14:anchorId="61EFD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7977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7DDEC" w14:textId="3C94F511" w:rsidR="00AB14AC" w:rsidRDefault="00AB14AC">
    <w:pPr>
      <w:pStyle w:val="Header"/>
    </w:pPr>
    <w:r>
      <w:rPr>
        <w:noProof/>
      </w:rPr>
      <w:pict w14:anchorId="3F1FA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7977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F7B82" w14:textId="6CE2D3A3" w:rsidR="00AB14AC" w:rsidRDefault="00AB14AC">
    <w:pPr>
      <w:pStyle w:val="Header"/>
    </w:pPr>
    <w:r>
      <w:rPr>
        <w:noProof/>
      </w:rPr>
      <w:pict w14:anchorId="5097DC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7977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2F11F3"/>
    <w:multiLevelType w:val="multilevel"/>
    <w:tmpl w:val="76AE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FED1BEB"/>
    <w:multiLevelType w:val="multilevel"/>
    <w:tmpl w:val="6EF2BF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144CCD"/>
    <w:multiLevelType w:val="hybridMultilevel"/>
    <w:tmpl w:val="0C94DC38"/>
    <w:lvl w:ilvl="0" w:tplc="00B21A72">
      <w:start w:val="1"/>
      <w:numFmt w:val="low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04D51D7"/>
    <w:multiLevelType w:val="multilevel"/>
    <w:tmpl w:val="7B6A200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1440"/>
        </w:tabs>
        <w:ind w:left="1440" w:hanging="360"/>
      </w:pPr>
      <w:rPr>
        <w:rFonts w:ascii="Helvetica" w:eastAsia="Times New Roman" w:hAnsi="Helvetica"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F6AAD"/>
    <w:multiLevelType w:val="multilevel"/>
    <w:tmpl w:val="892A7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A8323A"/>
    <w:multiLevelType w:val="multilevel"/>
    <w:tmpl w:val="38C42EEE"/>
    <w:lvl w:ilvl="0">
      <w:start w:val="1"/>
      <w:numFmt w:val="lowerRoman"/>
      <w:lvlText w:val="%1."/>
      <w:lvlJc w:val="left"/>
      <w:pPr>
        <w:tabs>
          <w:tab w:val="num" w:pos="720"/>
        </w:tabs>
        <w:ind w:left="720" w:hanging="360"/>
      </w:pPr>
      <w:rPr>
        <w:rFonts w:ascii="Helvetica" w:eastAsia="Times New Roman" w:hAnsi="Helvetic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6551D9"/>
    <w:multiLevelType w:val="multilevel"/>
    <w:tmpl w:val="79D6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BC358E5"/>
    <w:multiLevelType w:val="multilevel"/>
    <w:tmpl w:val="23F4A340"/>
    <w:lvl w:ilvl="0">
      <w:start w:val="1"/>
      <w:numFmt w:val="lowerRoman"/>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6F1BEC"/>
    <w:multiLevelType w:val="multilevel"/>
    <w:tmpl w:val="D966ADC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AA532A"/>
    <w:multiLevelType w:val="multilevel"/>
    <w:tmpl w:val="7DDA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3300B8"/>
    <w:multiLevelType w:val="multilevel"/>
    <w:tmpl w:val="8204791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4C2B4E98"/>
    <w:multiLevelType w:val="multilevel"/>
    <w:tmpl w:val="D65C25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107552"/>
    <w:multiLevelType w:val="hybridMultilevel"/>
    <w:tmpl w:val="5F860648"/>
    <w:lvl w:ilvl="0" w:tplc="423C8560">
      <w:start w:val="1"/>
      <w:numFmt w:val="lowerRoman"/>
      <w:lvlText w:val="%1."/>
      <w:lvlJc w:val="left"/>
      <w:pPr>
        <w:ind w:left="1080" w:hanging="720"/>
      </w:pPr>
      <w:rPr>
        <w:rFonts w:ascii="Arial" w:hAnsi="Arial" w:cs="Arial"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A592F13"/>
    <w:multiLevelType w:val="hybridMultilevel"/>
    <w:tmpl w:val="6916028C"/>
    <w:lvl w:ilvl="0" w:tplc="C58C44BC">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1E6A61"/>
    <w:multiLevelType w:val="multilevel"/>
    <w:tmpl w:val="A6C4492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9" w15:restartNumberingAfterBreak="0">
    <w:nsid w:val="75A643DF"/>
    <w:multiLevelType w:val="multilevel"/>
    <w:tmpl w:val="DC4AB112"/>
    <w:lvl w:ilvl="0">
      <w:start w:val="1"/>
      <w:numFmt w:val="lowerRoman"/>
      <w:lvlText w:val="%1."/>
      <w:lvlJc w:val="left"/>
      <w:pPr>
        <w:tabs>
          <w:tab w:val="num" w:pos="720"/>
        </w:tabs>
        <w:ind w:left="720" w:hanging="360"/>
      </w:pPr>
      <w:rPr>
        <w:rFonts w:ascii="Candara" w:eastAsiaTheme="minorHAnsi" w:hAnsi="Candar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2038FB"/>
    <w:multiLevelType w:val="multilevel"/>
    <w:tmpl w:val="F2BE0814"/>
    <w:lvl w:ilvl="0">
      <w:start w:val="1"/>
      <w:numFmt w:val="lowerRoman"/>
      <w:lvlText w:val="%1."/>
      <w:lvlJc w:val="left"/>
      <w:pPr>
        <w:tabs>
          <w:tab w:val="num" w:pos="720"/>
        </w:tabs>
        <w:ind w:left="720" w:hanging="360"/>
      </w:pPr>
      <w:rPr>
        <w:rFonts w:ascii="Helvetica" w:eastAsia="Times New Roman" w:hAnsi="Helvetic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F04557"/>
    <w:multiLevelType w:val="multilevel"/>
    <w:tmpl w:val="4A5E7AEC"/>
    <w:lvl w:ilvl="0">
      <w:start w:val="1"/>
      <w:numFmt w:val="lowerRoman"/>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6"/>
  </w:num>
  <w:num w:numId="3">
    <w:abstractNumId w:val="3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7"/>
  </w:num>
  <w:num w:numId="7">
    <w:abstractNumId w:val="1"/>
  </w:num>
  <w:num w:numId="8">
    <w:abstractNumId w:val="19"/>
  </w:num>
  <w:num w:numId="9">
    <w:abstractNumId w:val="41"/>
  </w:num>
  <w:num w:numId="10">
    <w:abstractNumId w:val="2"/>
  </w:num>
  <w:num w:numId="11">
    <w:abstractNumId w:val="31"/>
  </w:num>
  <w:num w:numId="12">
    <w:abstractNumId w:val="3"/>
  </w:num>
  <w:num w:numId="13">
    <w:abstractNumId w:val="30"/>
  </w:num>
  <w:num w:numId="14">
    <w:abstractNumId w:val="11"/>
  </w:num>
  <w:num w:numId="15">
    <w:abstractNumId w:val="36"/>
  </w:num>
  <w:num w:numId="16">
    <w:abstractNumId w:val="5"/>
  </w:num>
  <w:num w:numId="17">
    <w:abstractNumId w:val="37"/>
  </w:num>
  <w:num w:numId="18">
    <w:abstractNumId w:val="21"/>
  </w:num>
  <w:num w:numId="19">
    <w:abstractNumId w:val="46"/>
  </w:num>
  <w:num w:numId="20">
    <w:abstractNumId w:val="18"/>
  </w:num>
  <w:num w:numId="21">
    <w:abstractNumId w:val="14"/>
  </w:num>
  <w:num w:numId="22">
    <w:abstractNumId w:val="20"/>
  </w:num>
  <w:num w:numId="23">
    <w:abstractNumId w:val="34"/>
  </w:num>
  <w:num w:numId="24">
    <w:abstractNumId w:val="42"/>
  </w:num>
  <w:num w:numId="25">
    <w:abstractNumId w:val="4"/>
  </w:num>
  <w:num w:numId="26">
    <w:abstractNumId w:val="29"/>
  </w:num>
  <w:num w:numId="27">
    <w:abstractNumId w:val="35"/>
  </w:num>
  <w:num w:numId="28">
    <w:abstractNumId w:val="43"/>
  </w:num>
  <w:num w:numId="29">
    <w:abstractNumId w:val="40"/>
  </w:num>
  <w:num w:numId="30">
    <w:abstractNumId w:val="16"/>
  </w:num>
  <w:num w:numId="31">
    <w:abstractNumId w:val="45"/>
  </w:num>
  <w:num w:numId="32">
    <w:abstractNumId w:val="22"/>
  </w:num>
  <w:num w:numId="33">
    <w:abstractNumId w:val="8"/>
  </w:num>
  <w:num w:numId="34">
    <w:abstractNumId w:val="28"/>
  </w:num>
  <w:num w:numId="35">
    <w:abstractNumId w:val="32"/>
  </w:num>
  <w:num w:numId="36">
    <w:abstractNumId w:val="12"/>
  </w:num>
  <w:num w:numId="37">
    <w:abstractNumId w:val="39"/>
  </w:num>
  <w:num w:numId="38">
    <w:abstractNumId w:val="25"/>
  </w:num>
  <w:num w:numId="39">
    <w:abstractNumId w:val="9"/>
  </w:num>
  <w:num w:numId="40">
    <w:abstractNumId w:val="33"/>
  </w:num>
  <w:num w:numId="41">
    <w:abstractNumId w:val="15"/>
  </w:num>
  <w:num w:numId="42">
    <w:abstractNumId w:val="27"/>
  </w:num>
  <w:num w:numId="43">
    <w:abstractNumId w:val="44"/>
  </w:num>
  <w:num w:numId="44">
    <w:abstractNumId w:val="13"/>
  </w:num>
  <w:num w:numId="45">
    <w:abstractNumId w:val="23"/>
  </w:num>
  <w:num w:numId="46">
    <w:abstractNumId w:val="24"/>
  </w:num>
  <w:num w:numId="47">
    <w:abstractNumId w:val="17"/>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584"/>
    <w:rsid w:val="00000F8F"/>
    <w:rsid w:val="00030174"/>
    <w:rsid w:val="0004579C"/>
    <w:rsid w:val="000A47FA"/>
    <w:rsid w:val="000A65D3"/>
    <w:rsid w:val="000B1E33"/>
    <w:rsid w:val="000D689F"/>
    <w:rsid w:val="000E7B7B"/>
    <w:rsid w:val="000E7D62"/>
    <w:rsid w:val="000F60B3"/>
    <w:rsid w:val="00103357"/>
    <w:rsid w:val="00103C01"/>
    <w:rsid w:val="00123C9F"/>
    <w:rsid w:val="00126190"/>
    <w:rsid w:val="00130F17"/>
    <w:rsid w:val="001320BF"/>
    <w:rsid w:val="001600A3"/>
    <w:rsid w:val="00163BC4"/>
    <w:rsid w:val="00180D26"/>
    <w:rsid w:val="00191062"/>
    <w:rsid w:val="00192B72"/>
    <w:rsid w:val="001A29D8"/>
    <w:rsid w:val="001A5CAA"/>
    <w:rsid w:val="001B0427"/>
    <w:rsid w:val="001D3A51"/>
    <w:rsid w:val="001E10D2"/>
    <w:rsid w:val="001E25B4"/>
    <w:rsid w:val="001E44FE"/>
    <w:rsid w:val="00200595"/>
    <w:rsid w:val="00204835"/>
    <w:rsid w:val="00221FDE"/>
    <w:rsid w:val="00231920"/>
    <w:rsid w:val="0023195C"/>
    <w:rsid w:val="0024282C"/>
    <w:rsid w:val="00244958"/>
    <w:rsid w:val="00244DCE"/>
    <w:rsid w:val="002460DC"/>
    <w:rsid w:val="00250985"/>
    <w:rsid w:val="002556F6"/>
    <w:rsid w:val="00283105"/>
    <w:rsid w:val="00284C4C"/>
    <w:rsid w:val="00287E68"/>
    <w:rsid w:val="00296529"/>
    <w:rsid w:val="002B27FB"/>
    <w:rsid w:val="002B685A"/>
    <w:rsid w:val="002C57D2"/>
    <w:rsid w:val="002E0D56"/>
    <w:rsid w:val="003137F1"/>
    <w:rsid w:val="00315186"/>
    <w:rsid w:val="0033343E"/>
    <w:rsid w:val="00341B11"/>
    <w:rsid w:val="003512C2"/>
    <w:rsid w:val="00371FB6"/>
    <w:rsid w:val="003763C1"/>
    <w:rsid w:val="00376BBE"/>
    <w:rsid w:val="003833A8"/>
    <w:rsid w:val="0039224F"/>
    <w:rsid w:val="003A43A4"/>
    <w:rsid w:val="003A7E18"/>
    <w:rsid w:val="003B326E"/>
    <w:rsid w:val="003C4C86"/>
    <w:rsid w:val="003C6258"/>
    <w:rsid w:val="003E2904"/>
    <w:rsid w:val="00401927"/>
    <w:rsid w:val="0041027F"/>
    <w:rsid w:val="00412475"/>
    <w:rsid w:val="00423789"/>
    <w:rsid w:val="00423C7A"/>
    <w:rsid w:val="00440F43"/>
    <w:rsid w:val="00441B6F"/>
    <w:rsid w:val="00446221"/>
    <w:rsid w:val="00450E62"/>
    <w:rsid w:val="004539DB"/>
    <w:rsid w:val="00464692"/>
    <w:rsid w:val="00471A80"/>
    <w:rsid w:val="004D305E"/>
    <w:rsid w:val="004D4277"/>
    <w:rsid w:val="004F06DF"/>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0F10"/>
    <w:rsid w:val="0068348F"/>
    <w:rsid w:val="00686953"/>
    <w:rsid w:val="00687DEA"/>
    <w:rsid w:val="00687E67"/>
    <w:rsid w:val="006967F7"/>
    <w:rsid w:val="006A250C"/>
    <w:rsid w:val="006B21D3"/>
    <w:rsid w:val="006B57D0"/>
    <w:rsid w:val="006D30FF"/>
    <w:rsid w:val="006D6940"/>
    <w:rsid w:val="006F11EC"/>
    <w:rsid w:val="0070082C"/>
    <w:rsid w:val="00700C1B"/>
    <w:rsid w:val="00706D68"/>
    <w:rsid w:val="0073102F"/>
    <w:rsid w:val="007369E6"/>
    <w:rsid w:val="00742DBB"/>
    <w:rsid w:val="00746E59"/>
    <w:rsid w:val="00754C9A"/>
    <w:rsid w:val="0075599A"/>
    <w:rsid w:val="00761D52"/>
    <w:rsid w:val="0077749E"/>
    <w:rsid w:val="00790ADA"/>
    <w:rsid w:val="007D2288"/>
    <w:rsid w:val="007E088F"/>
    <w:rsid w:val="007F7B32"/>
    <w:rsid w:val="00804BC2"/>
    <w:rsid w:val="0081431A"/>
    <w:rsid w:val="0083216F"/>
    <w:rsid w:val="00856DFA"/>
    <w:rsid w:val="00860000"/>
    <w:rsid w:val="00863BD3"/>
    <w:rsid w:val="008641ED"/>
    <w:rsid w:val="00866D66"/>
    <w:rsid w:val="008671C6"/>
    <w:rsid w:val="00875803"/>
    <w:rsid w:val="008B459E"/>
    <w:rsid w:val="008B6D5F"/>
    <w:rsid w:val="008E13AE"/>
    <w:rsid w:val="008E1506"/>
    <w:rsid w:val="008E710C"/>
    <w:rsid w:val="008F0D8F"/>
    <w:rsid w:val="008F69D6"/>
    <w:rsid w:val="00902823"/>
    <w:rsid w:val="00915CA6"/>
    <w:rsid w:val="00927834"/>
    <w:rsid w:val="0093010F"/>
    <w:rsid w:val="00930EB7"/>
    <w:rsid w:val="009500A6"/>
    <w:rsid w:val="00957C18"/>
    <w:rsid w:val="009659BA"/>
    <w:rsid w:val="00983040"/>
    <w:rsid w:val="009B3FB9"/>
    <w:rsid w:val="009C212A"/>
    <w:rsid w:val="009C2465"/>
    <w:rsid w:val="009D0256"/>
    <w:rsid w:val="009D093F"/>
    <w:rsid w:val="009D35A0"/>
    <w:rsid w:val="009D7EB7"/>
    <w:rsid w:val="009E048A"/>
    <w:rsid w:val="009E08E9"/>
    <w:rsid w:val="009E3DB9"/>
    <w:rsid w:val="009E6E35"/>
    <w:rsid w:val="009F0EDA"/>
    <w:rsid w:val="00A03B96"/>
    <w:rsid w:val="00A05B19"/>
    <w:rsid w:val="00A1134E"/>
    <w:rsid w:val="00A24E7E"/>
    <w:rsid w:val="00A258C3"/>
    <w:rsid w:val="00A347C0"/>
    <w:rsid w:val="00A44B9C"/>
    <w:rsid w:val="00A51431"/>
    <w:rsid w:val="00A539AD"/>
    <w:rsid w:val="00A94063"/>
    <w:rsid w:val="00AA6219"/>
    <w:rsid w:val="00AA74E0"/>
    <w:rsid w:val="00AB14AC"/>
    <w:rsid w:val="00AB703F"/>
    <w:rsid w:val="00AC6BB8"/>
    <w:rsid w:val="00AC7CCF"/>
    <w:rsid w:val="00AE008F"/>
    <w:rsid w:val="00B01FCD"/>
    <w:rsid w:val="00B06351"/>
    <w:rsid w:val="00B14338"/>
    <w:rsid w:val="00B1776C"/>
    <w:rsid w:val="00B4313F"/>
    <w:rsid w:val="00B52583"/>
    <w:rsid w:val="00B52896"/>
    <w:rsid w:val="00B600DA"/>
    <w:rsid w:val="00B95236"/>
    <w:rsid w:val="00B96BD9"/>
    <w:rsid w:val="00BA1B01"/>
    <w:rsid w:val="00BA2641"/>
    <w:rsid w:val="00BB37AA"/>
    <w:rsid w:val="00BC53A0"/>
    <w:rsid w:val="00BD1FB1"/>
    <w:rsid w:val="00BE62AD"/>
    <w:rsid w:val="00BF121F"/>
    <w:rsid w:val="00BF1F80"/>
    <w:rsid w:val="00C166EF"/>
    <w:rsid w:val="00C17EB0"/>
    <w:rsid w:val="00C27F5F"/>
    <w:rsid w:val="00C30A0F"/>
    <w:rsid w:val="00C37E61"/>
    <w:rsid w:val="00C4247C"/>
    <w:rsid w:val="00C70F1B"/>
    <w:rsid w:val="00C71A47"/>
    <w:rsid w:val="00C7464C"/>
    <w:rsid w:val="00C85588"/>
    <w:rsid w:val="00CA20F4"/>
    <w:rsid w:val="00CD6755"/>
    <w:rsid w:val="00CD6856"/>
    <w:rsid w:val="00CE0089"/>
    <w:rsid w:val="00CE793C"/>
    <w:rsid w:val="00CF193C"/>
    <w:rsid w:val="00D003C6"/>
    <w:rsid w:val="00D173F1"/>
    <w:rsid w:val="00D74CB0"/>
    <w:rsid w:val="00D8295D"/>
    <w:rsid w:val="00DC2A65"/>
    <w:rsid w:val="00DC4147"/>
    <w:rsid w:val="00DE15F0"/>
    <w:rsid w:val="00DE5663"/>
    <w:rsid w:val="00DE78AA"/>
    <w:rsid w:val="00E053D0"/>
    <w:rsid w:val="00E13A6F"/>
    <w:rsid w:val="00E15994"/>
    <w:rsid w:val="00E3114E"/>
    <w:rsid w:val="00E31A70"/>
    <w:rsid w:val="00E35B02"/>
    <w:rsid w:val="00E66496"/>
    <w:rsid w:val="00E66B35"/>
    <w:rsid w:val="00E66E10"/>
    <w:rsid w:val="00E6785F"/>
    <w:rsid w:val="00E769F6"/>
    <w:rsid w:val="00E8407C"/>
    <w:rsid w:val="00E84F3C"/>
    <w:rsid w:val="00EA012C"/>
    <w:rsid w:val="00EB2659"/>
    <w:rsid w:val="00EC6A55"/>
    <w:rsid w:val="00ED0288"/>
    <w:rsid w:val="00EE52CB"/>
    <w:rsid w:val="00EF581D"/>
    <w:rsid w:val="00EF7FD8"/>
    <w:rsid w:val="00F06F59"/>
    <w:rsid w:val="00F17988"/>
    <w:rsid w:val="00F469F0"/>
    <w:rsid w:val="00F53273"/>
    <w:rsid w:val="00F55904"/>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CF3711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D1FB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13A6F"/>
    <w:pPr>
      <w:ind w:left="720"/>
      <w:contextualSpacing/>
    </w:pPr>
  </w:style>
  <w:style w:type="paragraph" w:styleId="NormalWeb">
    <w:name w:val="Normal (Web)"/>
    <w:basedOn w:val="Normal"/>
    <w:uiPriority w:val="99"/>
    <w:semiHidden/>
    <w:unhideWhenUsed/>
    <w:rsid w:val="00C4247C"/>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C4247C"/>
    <w:rPr>
      <w:b/>
      <w:bCs/>
    </w:rPr>
  </w:style>
  <w:style w:type="paragraph" w:styleId="NoSpacing">
    <w:name w:val="No Spacing"/>
    <w:uiPriority w:val="1"/>
    <w:qFormat/>
    <w:rsid w:val="001600A3"/>
    <w:rPr>
      <w:rFonts w:asciiTheme="minorHAnsi" w:eastAsiaTheme="minorHAnsi" w:hAnsiTheme="minorHAnsi" w:cstheme="minorBidi"/>
      <w:kern w:val="2"/>
      <w:sz w:val="24"/>
      <w:szCs w:val="24"/>
      <w14:ligatures w14:val="standardContextual"/>
    </w:rPr>
  </w:style>
  <w:style w:type="character" w:customStyle="1" w:styleId="Heading2Char">
    <w:name w:val="Heading 2 Char"/>
    <w:basedOn w:val="DefaultParagraphFont"/>
    <w:link w:val="Heading2"/>
    <w:semiHidden/>
    <w:rsid w:val="00BD1FB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renene.2018.02.053"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16/j.rser.2013.08.07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66F7C-F30C-4255-8980-1E9458CB7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TotalTime>
  <Pages>11</Pages>
  <Words>2705</Words>
  <Characters>15420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18089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2025-08-24T09:01:00Z</dcterms:created>
  <dcterms:modified xsi:type="dcterms:W3CDTF">2025-08-25T11:19:00Z</dcterms:modified>
</cp:coreProperties>
</file>