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E5361" w14:textId="77777777" w:rsidR="0065366B" w:rsidRPr="00A01B76" w:rsidRDefault="0065366B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A01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Case report </w:t>
      </w:r>
    </w:p>
    <w:p w14:paraId="5D267907" w14:textId="3AB07C2C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EVANS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syndrome: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case report</w:t>
      </w:r>
    </w:p>
    <w:p w14:paraId="2381CAD0" w14:textId="77777777" w:rsidR="0065366B" w:rsidRDefault="0065366B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77E800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Abstract</w:t>
      </w:r>
    </w:p>
    <w:p w14:paraId="3F0C1148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Introduction:</w:t>
      </w:r>
      <w:proofErr w:type="gram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(LCH)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and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heterogeneous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affect one or more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organs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association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Evans syndrome, an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defined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combination of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haemolytic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anaemia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immune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thrombocytopenia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exceptional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CFFC35C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Observation:</w:t>
      </w:r>
      <w:proofErr w:type="gram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the case of a 16-month-old girl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bicytopenia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Evans syndrome. The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histology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immunohistochemistry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(CD1a, PS100) and the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detection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activating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 in the MAPK/ERK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chemotherapy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vinblastine and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systemic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favourable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AF66FD9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Conclusion:</w:t>
      </w:r>
      <w:proofErr w:type="gram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This case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illustrates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rarity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HL-Evans association and highlights the importance of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considering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cases of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HL.</w:t>
      </w:r>
    </w:p>
    <w:p w14:paraId="2B2D9FFD" w14:textId="77777777" w:rsidR="00227E80" w:rsidRPr="0090223A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Keywords:</w:t>
      </w:r>
      <w:proofErr w:type="gram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Evans syndrome,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cytopenias</w:t>
      </w:r>
      <w:proofErr w:type="spellEnd"/>
      <w:r w:rsidRPr="0090223A">
        <w:rPr>
          <w:rFonts w:ascii="Times New Roman" w:eastAsia="Times New Roman" w:hAnsi="Times New Roman" w:cs="Times New Roman"/>
          <w:sz w:val="24"/>
          <w:szCs w:val="24"/>
          <w:lang w:eastAsia="fr-FR"/>
        </w:rPr>
        <w:t>, Infant</w:t>
      </w:r>
    </w:p>
    <w:p w14:paraId="105F83AE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Introduction</w:t>
      </w:r>
    </w:p>
    <w:p w14:paraId="3B4B6ABA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(LCH)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accumulation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dendritic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CD1a and CD207.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incidence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5 cases per million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[1].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expression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polymorphic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ranging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isolated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74A241B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defined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association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haemolytic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anaemia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immune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sometimes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accompanied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neutropenia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[2].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occurrence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unusual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2580509" w14:textId="77777777" w:rsidR="00227E80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association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entities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extremely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rare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rarely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[3–5].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observation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Evans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yndrome in a 16-month-old girl.</w:t>
      </w:r>
    </w:p>
    <w:p w14:paraId="7804B196" w14:textId="3DAF44CB" w:rsidR="00DB5931" w:rsidRDefault="00DB5931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</w:p>
    <w:p w14:paraId="15C61352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Observation</w:t>
      </w:r>
    </w:p>
    <w:p w14:paraId="6ADFFD97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16-month-old girl,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born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non-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consanguineous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parents,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monitored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pregnancy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carried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caesarean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section. Normal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psychomotor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E106AAA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admitted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investigation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pale skin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mucous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membranes, a rash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pink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erythematous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macules and papules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measuring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to 3 mm,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arranged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sleeveless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shirt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pattern,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papular-squamous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crusty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erythema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scalp, as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cervical intertrigo.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Splenomegaly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abdominal palpation.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examination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normal.</w:t>
      </w:r>
    </w:p>
    <w:p w14:paraId="46D8C94F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Laboratory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normochromic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normocytic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regenerative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anaemia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positive direct Coombs test,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collapsed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haptoglobin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elevated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LDH and total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bilirubin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search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agglutinins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workup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Viral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serology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(HBV, HCV, HIV, EBV, CMV, Parvovirus B19)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5AFB578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Thoracoabdominal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computed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tomography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thymic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hypertrophy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calcifications, large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homogeneous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splenomegaly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S1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vertebral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compression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paravertebral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tissue infiltration.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Skull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radiography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fronto-parietal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spinal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radi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ography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flat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vertebra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D1613B">
        <w:t xml:space="preserve"> 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skin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biopsy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infiltration by CD1a+ and PS100+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testing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activating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 in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0D160EF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patient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placed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 high-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chemotherapy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protocol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combining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vinblastine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favourable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B808E56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Discussion</w:t>
      </w:r>
    </w:p>
    <w:p w14:paraId="4DE14718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(LCH)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condition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incidence of 5 cases per million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under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15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2.7 cases per million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[1].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distribution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asymmetrical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slight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predominance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Etiological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hypotheses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viral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ones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(EBV [3], HHV6 [4], CMV [5]), have been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no causal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relationship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case-control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To date,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established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factor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active smoking,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lung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damage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[6].</w:t>
      </w:r>
    </w:p>
    <w:p w14:paraId="567132FE" w14:textId="77777777" w:rsidR="00227E80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extremely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heterogeneous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can range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benign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localised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[7,8]. Bone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50 to 80% of cases,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defects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mainly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skull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jaw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vertebrae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pelvis.</w:t>
      </w:r>
    </w:p>
    <w:p w14:paraId="4FBE1ADB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Skin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30%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polymorphic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appearances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papulosquamous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crusty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erythematous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predominantly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scalp and in skin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folds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children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organs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more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guarded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prognosis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liver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spleen 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haematopoietic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marrow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Letterer-Siwe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syndrome). Endocrine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pituitary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stalk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diabetes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insipidus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25% of cases,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neurological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rarer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tumoral 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neurodegenerative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B192291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biopsy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showing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infiltrate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CD1a+ and CD207+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PS100+.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discovery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activating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mutations in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BRAFV600E, has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profoundly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changed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clonal nature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paving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therapies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[9].</w:t>
      </w:r>
    </w:p>
    <w:p w14:paraId="1E4FFACE" w14:textId="77777777" w:rsidR="00227E80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Management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variable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multidisciplinary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Unifocal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sometimes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regress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spontaneously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locally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(curettage,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intralesional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first-line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chemotherapy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vinblastine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weeks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[7,10]. In cases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resistance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cladribine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cytarabine, and BRAF and MEK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inhibitors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shown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effective [11].</w:t>
      </w:r>
    </w:p>
    <w:p w14:paraId="7D557A69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In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association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and Evans syndrome has been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rare cases [12–14].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observations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link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clonal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proliferation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immune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tolerance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dysregulation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3461C95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observation, HL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manifested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itself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skin,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spleen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origin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a positive Coombs test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biological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markers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haemolysis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major contribution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lies in the identification of 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activating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 in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discovery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constitutive activation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limited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proliferation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breakdown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tolerance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autoimmunity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3C36582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pathophysiological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mechanisms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therefore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plausible: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secretion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pro-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inflammatory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cytokines by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(TNF-α, IL-1β, IL-17)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polyclonal lymphocyte activation, and the aberrant activation of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clonal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survival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immune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dysregulation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A19FCDA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therapeutic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standpoint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distinguish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bone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marrow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infiltration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autoimmune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strategy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case, the combination of vinblastine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simultaneous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HL and Evans syndrome,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consistent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Tsuji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 [13].</w:t>
      </w:r>
      <w:r w:rsidRPr="00D1613B"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given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recurrent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nature of Evans syndrome,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the use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immunomodulatory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therapies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event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relapse.</w:t>
      </w:r>
    </w:p>
    <w:p w14:paraId="1205FBC2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97FCAC" w14:textId="77777777" w:rsidR="00227E80" w:rsidRPr="00D1613B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Conclusion</w:t>
      </w:r>
    </w:p>
    <w:p w14:paraId="03C518FF" w14:textId="77777777" w:rsidR="00227E80" w:rsidRDefault="00227E80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association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rare and highlights the importance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comprehensive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immunological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testing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all patients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HL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cytopenias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identification of a mutation in the MAPK/ERK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supports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hypothesis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immune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dysregulation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Management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conventional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chemotherapy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prolonged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follow-up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due to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relapse</w:t>
      </w:r>
    </w:p>
    <w:p w14:paraId="79D4D77B" w14:textId="77777777" w:rsidR="004964DE" w:rsidRDefault="004964DE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2C0FB8" w14:textId="77777777" w:rsidR="004964DE" w:rsidRPr="004964DE" w:rsidRDefault="004964DE" w:rsidP="004964DE">
      <w:pPr>
        <w:spacing w:after="200" w:line="276" w:lineRule="auto"/>
        <w:jc w:val="both"/>
        <w:outlineLvl w:val="0"/>
        <w:rPr>
          <w:rFonts w:ascii="Arial" w:eastAsia="Times New Roman" w:hAnsi="Arial" w:cs="Arial"/>
          <w:lang w:val="en-GB" w:eastAsia="en-GB"/>
        </w:rPr>
      </w:pPr>
      <w:r w:rsidRPr="004964DE">
        <w:rPr>
          <w:rFonts w:ascii="Arial" w:eastAsia="Times New Roman" w:hAnsi="Arial" w:cs="Arial"/>
          <w:b/>
          <w:bCs/>
          <w:lang w:val="en-GB" w:eastAsia="en-GB"/>
        </w:rPr>
        <w:t>COMPETING INTERESTS DISCLAIMER:</w:t>
      </w:r>
    </w:p>
    <w:p w14:paraId="4863CADA" w14:textId="77777777" w:rsidR="004964DE" w:rsidRPr="004964DE" w:rsidRDefault="004964DE" w:rsidP="004964DE">
      <w:pPr>
        <w:spacing w:after="200" w:line="276" w:lineRule="auto"/>
        <w:rPr>
          <w:rFonts w:ascii="Calibri" w:eastAsia="Times New Roman" w:hAnsi="Calibri" w:cs="Times New Roman"/>
          <w:lang w:val="en-GB" w:eastAsia="en-GB"/>
        </w:rPr>
      </w:pPr>
      <w:r w:rsidRPr="004964DE">
        <w:rPr>
          <w:rFonts w:ascii="Calibri" w:eastAsia="Times New Roman" w:hAnsi="Calibri" w:cs="Times New Roman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53893E00" w14:textId="77777777" w:rsidR="004964DE" w:rsidRDefault="004964DE" w:rsidP="0022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5C9F31" w14:textId="77777777" w:rsidR="00227E80" w:rsidRPr="00D1613B" w:rsidRDefault="00227E80" w:rsidP="00227E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References</w:t>
      </w:r>
      <w:proofErr w:type="spellEnd"/>
    </w:p>
    <w:p w14:paraId="6B53E940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Guyot-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Goubin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Donadieu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Barkaoui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et al. Descriptive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epidemiology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childhood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France, 2000–2004.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Blood Cancer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2008;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51:71–5.</w:t>
      </w:r>
    </w:p>
    <w:p w14:paraId="0D281CE9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Evans RS, Takahashi K, Duane RT, et al.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Primary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thrombocytopenic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purpura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acquired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hemolytic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anemia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etiology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Blood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1951;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6(11):1196–1213.</w:t>
      </w:r>
    </w:p>
    <w:p w14:paraId="56E9D668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Shimakage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Sasagawa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Kimura M, et al. Expression of Epstein-Barr virus in Langerhans’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Hum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Pathol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2004;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35:862–8.</w:t>
      </w:r>
    </w:p>
    <w:p w14:paraId="63D343B9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Leahy MA,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Krejci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Friednash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et al. Human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herpesvirus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 Invest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Dermatol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1993;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101:642–5.</w:t>
      </w:r>
    </w:p>
    <w:p w14:paraId="3AD9F848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Kawakubo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Kishimoto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H, Sato Y, et al. Human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cytomegalovirus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infection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foci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Virchows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Arch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1999;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434:109–15.</w:t>
      </w:r>
    </w:p>
    <w:p w14:paraId="5716C775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Hance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AJ, Basset F, Saumon G, et al. Smoking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interstitial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lung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Ann </w:t>
      </w:r>
      <w:proofErr w:type="gram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 Y</w:t>
      </w:r>
      <w:proofErr w:type="gram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Acad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Sci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1986;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465:643–56.</w:t>
      </w:r>
    </w:p>
    <w:p w14:paraId="1FEEC386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Haupt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Minkov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Astigarraga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et al.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(LCH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):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guidelines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-up, and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patients till the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18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Blood Cancer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2013;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60(2):175–184.</w:t>
      </w:r>
    </w:p>
    <w:p w14:paraId="25CFB45D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Lorillon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Meignin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V, Tazi A.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Pulmonary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Presse Med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. 2016.</w:t>
      </w:r>
    </w:p>
    <w:p w14:paraId="2C470E9B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Badalian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-Very G,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Vergilio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Degar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BA, et al.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Recurrent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BRAF mutations in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Blood</w:t>
      </w: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2010;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116(11):1919–1923.</w:t>
      </w:r>
    </w:p>
    <w:p w14:paraId="3D081A57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Gadner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Grois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Arico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et al. A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randomized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trial of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multisystem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Langerhans'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2001;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138:728–734.</w:t>
      </w:r>
    </w:p>
    <w:p w14:paraId="7AE740C3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Heritier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S, Jehanne M,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Leverger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et al.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Vemurafenib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in an infant for high-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JAMA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Oncol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2015;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1(6):836–838.</w:t>
      </w:r>
    </w:p>
    <w:p w14:paraId="14AC6BC8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Cseh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et al. Association of 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report.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Hematol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Oncol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2006;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23:335–339.</w:t>
      </w:r>
    </w:p>
    <w:p w14:paraId="35AFA3B6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Tsuji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Y, et al. 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coexisting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Int J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Hematol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2008;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87:86–89.</w:t>
      </w:r>
    </w:p>
    <w:p w14:paraId="2E283E9B" w14:textId="77777777" w:rsidR="00227E80" w:rsidRPr="00D1613B" w:rsidRDefault="00227E80" w:rsidP="00227E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Chen RL, et al. Evans syndrome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cord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blood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transplantation for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disseminated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Langerhans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histiocytosis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Pediatr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Hematol</w:t>
      </w:r>
      <w:proofErr w:type="spellEnd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D1613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Oncol</w:t>
      </w:r>
      <w:proofErr w:type="spell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2007;</w:t>
      </w:r>
      <w:proofErr w:type="gramEnd"/>
      <w:r w:rsidRPr="00D1613B">
        <w:rPr>
          <w:rFonts w:ascii="Times New Roman" w:eastAsia="Times New Roman" w:hAnsi="Times New Roman" w:cs="Times New Roman"/>
          <w:sz w:val="24"/>
          <w:szCs w:val="24"/>
          <w:lang w:eastAsia="fr-FR"/>
        </w:rPr>
        <w:t>29:489–492.</w:t>
      </w:r>
    </w:p>
    <w:p w14:paraId="58F690B5" w14:textId="77777777" w:rsidR="003D48C9" w:rsidRDefault="003D48C9"/>
    <w:sectPr w:rsidR="003D48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08F82" w14:textId="77777777" w:rsidR="008A4422" w:rsidRDefault="008A4422" w:rsidP="003B27B5">
      <w:pPr>
        <w:spacing w:after="0" w:line="240" w:lineRule="auto"/>
      </w:pPr>
      <w:r>
        <w:separator/>
      </w:r>
    </w:p>
  </w:endnote>
  <w:endnote w:type="continuationSeparator" w:id="0">
    <w:p w14:paraId="20FDCA3F" w14:textId="77777777" w:rsidR="008A4422" w:rsidRDefault="008A4422" w:rsidP="003B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385E" w14:textId="77777777" w:rsidR="003B27B5" w:rsidRDefault="003B2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8C4D5" w14:textId="77777777" w:rsidR="003B27B5" w:rsidRDefault="003B27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4ED03" w14:textId="77777777" w:rsidR="003B27B5" w:rsidRDefault="003B2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4BE86" w14:textId="77777777" w:rsidR="008A4422" w:rsidRDefault="008A4422" w:rsidP="003B27B5">
      <w:pPr>
        <w:spacing w:after="0" w:line="240" w:lineRule="auto"/>
      </w:pPr>
      <w:r>
        <w:separator/>
      </w:r>
    </w:p>
  </w:footnote>
  <w:footnote w:type="continuationSeparator" w:id="0">
    <w:p w14:paraId="701EF50F" w14:textId="77777777" w:rsidR="008A4422" w:rsidRDefault="008A4422" w:rsidP="003B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B874" w14:textId="27654137" w:rsidR="003B27B5" w:rsidRDefault="003B27B5">
    <w:pPr>
      <w:pStyle w:val="Header"/>
    </w:pPr>
    <w:r>
      <w:rPr>
        <w:noProof/>
      </w:rPr>
      <w:pict w14:anchorId="72EA73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6557891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F16B0" w14:textId="05EFF6DB" w:rsidR="003B27B5" w:rsidRDefault="003B27B5">
    <w:pPr>
      <w:pStyle w:val="Header"/>
    </w:pPr>
    <w:r>
      <w:rPr>
        <w:noProof/>
      </w:rPr>
      <w:pict w14:anchorId="1082D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6557892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7F057" w14:textId="08AD4AB5" w:rsidR="003B27B5" w:rsidRDefault="003B27B5">
    <w:pPr>
      <w:pStyle w:val="Header"/>
    </w:pPr>
    <w:r>
      <w:rPr>
        <w:noProof/>
      </w:rPr>
      <w:pict w14:anchorId="51997F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6557890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3455C"/>
    <w:multiLevelType w:val="multilevel"/>
    <w:tmpl w:val="6868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80"/>
    <w:rsid w:val="00227E80"/>
    <w:rsid w:val="003B27B5"/>
    <w:rsid w:val="003D48C9"/>
    <w:rsid w:val="004964DE"/>
    <w:rsid w:val="0065366B"/>
    <w:rsid w:val="00847AE1"/>
    <w:rsid w:val="008A4422"/>
    <w:rsid w:val="00A01B76"/>
    <w:rsid w:val="00DB5931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43713B"/>
  <w15:chartTrackingRefBased/>
  <w15:docId w15:val="{6851E35A-71F8-4F9C-90BE-7471AF64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A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B5"/>
  </w:style>
  <w:style w:type="paragraph" w:styleId="Footer">
    <w:name w:val="footer"/>
    <w:basedOn w:val="Normal"/>
    <w:link w:val="FooterChar"/>
    <w:uiPriority w:val="99"/>
    <w:unhideWhenUsed/>
    <w:rsid w:val="003B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asmae</dc:creator>
  <cp:keywords/>
  <dc:description/>
  <cp:lastModifiedBy>SDI 1084</cp:lastModifiedBy>
  <cp:revision>11</cp:revision>
  <dcterms:created xsi:type="dcterms:W3CDTF">2025-09-09T11:19:00Z</dcterms:created>
  <dcterms:modified xsi:type="dcterms:W3CDTF">2025-09-10T07:25:00Z</dcterms:modified>
</cp:coreProperties>
</file>