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1779" w14:textId="77777777" w:rsidR="00FB44D9" w:rsidRDefault="00FB44D9" w:rsidP="00A11071">
      <w:pPr>
        <w:pStyle w:val="Author"/>
        <w:spacing w:line="240" w:lineRule="auto"/>
        <w:rPr>
          <w:rFonts w:ascii="Arial" w:hAnsi="Arial" w:cs="Arial"/>
          <w:bCs/>
          <w:iCs/>
          <w:kern w:val="28"/>
          <w:sz w:val="36"/>
        </w:rPr>
      </w:pPr>
      <w:r w:rsidRPr="00FB44D9">
        <w:rPr>
          <w:rFonts w:ascii="Arial" w:hAnsi="Arial" w:cs="Arial"/>
          <w:bCs/>
          <w:iCs/>
          <w:kern w:val="28"/>
          <w:sz w:val="36"/>
        </w:rPr>
        <w:t xml:space="preserve">Original Research Article </w:t>
      </w:r>
    </w:p>
    <w:p w14:paraId="76504F7D" w14:textId="77777777" w:rsidR="00FB44D9" w:rsidRDefault="00FB44D9" w:rsidP="00A11071">
      <w:pPr>
        <w:pStyle w:val="Author"/>
        <w:spacing w:line="240" w:lineRule="auto"/>
        <w:rPr>
          <w:rFonts w:ascii="Arial" w:hAnsi="Arial" w:cs="Arial"/>
          <w:bCs/>
          <w:iCs/>
          <w:kern w:val="28"/>
          <w:sz w:val="36"/>
        </w:rPr>
      </w:pPr>
    </w:p>
    <w:p w14:paraId="047DECB9" w14:textId="6E19FEC9" w:rsidR="00A11071" w:rsidRPr="00163BC4" w:rsidRDefault="00A11071" w:rsidP="00A11071">
      <w:pPr>
        <w:pStyle w:val="Author"/>
        <w:spacing w:line="240" w:lineRule="auto"/>
        <w:rPr>
          <w:rFonts w:ascii="Arial" w:hAnsi="Arial" w:cs="Arial"/>
          <w:bCs/>
          <w:iCs/>
          <w:kern w:val="28"/>
          <w:sz w:val="36"/>
        </w:rPr>
      </w:pPr>
      <w:r>
        <w:rPr>
          <w:rFonts w:ascii="Arial" w:hAnsi="Arial" w:cs="Arial"/>
          <w:bCs/>
          <w:iCs/>
          <w:kern w:val="28"/>
          <w:sz w:val="36"/>
        </w:rPr>
        <w:t xml:space="preserve">A LONGITUDINAL STUDY ON SERUM CALCIUM AND VITAMIN D LEVELS IN CHILDREN WITH EPILEPSY ON LEVETIRACETAM MONOTHERAPY  </w:t>
      </w:r>
    </w:p>
    <w:p w14:paraId="40982CC2" w14:textId="77777777" w:rsidR="009541EB" w:rsidRPr="009541EB" w:rsidRDefault="009541EB" w:rsidP="00A11071">
      <w:pPr>
        <w:ind w:right="285"/>
        <w:jc w:val="right"/>
        <w:rPr>
          <w:rFonts w:ascii="Cambria" w:hAnsi="Cambria"/>
          <w:b/>
          <w:sz w:val="28"/>
          <w:szCs w:val="28"/>
          <w:lang w:bidi="en-US"/>
        </w:rPr>
      </w:pPr>
    </w:p>
    <w:p w14:paraId="6E0A2FEC" w14:textId="478D821C" w:rsidR="009541EB" w:rsidRDefault="009541EB" w:rsidP="00441B6F">
      <w:pPr>
        <w:pStyle w:val="AbstHead"/>
        <w:spacing w:after="0"/>
        <w:jc w:val="both"/>
        <w:rPr>
          <w:rFonts w:ascii="Arial" w:hAnsi="Arial" w:cs="Arial"/>
        </w:rPr>
      </w:pPr>
    </w:p>
    <w:p w14:paraId="1AC5341B" w14:textId="1A6CB1AC" w:rsidR="001064B7" w:rsidRDefault="001064B7" w:rsidP="00441B6F">
      <w:pPr>
        <w:pStyle w:val="AbstHead"/>
        <w:spacing w:after="0"/>
        <w:jc w:val="both"/>
        <w:rPr>
          <w:rFonts w:ascii="Arial" w:hAnsi="Arial" w:cs="Arial"/>
        </w:rPr>
      </w:pPr>
    </w:p>
    <w:p w14:paraId="56E8E05C" w14:textId="3EF41133" w:rsidR="001064B7" w:rsidRDefault="001064B7" w:rsidP="00441B6F">
      <w:pPr>
        <w:pStyle w:val="AbstHead"/>
        <w:spacing w:after="0"/>
        <w:jc w:val="both"/>
        <w:rPr>
          <w:rFonts w:ascii="Arial" w:hAnsi="Arial" w:cs="Arial"/>
        </w:rPr>
      </w:pPr>
    </w:p>
    <w:p w14:paraId="34449AF5" w14:textId="46F98324" w:rsidR="001064B7" w:rsidRDefault="001064B7" w:rsidP="00441B6F">
      <w:pPr>
        <w:pStyle w:val="AbstHead"/>
        <w:spacing w:after="0"/>
        <w:jc w:val="both"/>
        <w:rPr>
          <w:rFonts w:ascii="Arial" w:hAnsi="Arial" w:cs="Arial"/>
        </w:rPr>
      </w:pPr>
    </w:p>
    <w:p w14:paraId="6D28E99F" w14:textId="55976807" w:rsidR="001064B7" w:rsidRDefault="001064B7" w:rsidP="00441B6F">
      <w:pPr>
        <w:pStyle w:val="AbstHead"/>
        <w:spacing w:after="0"/>
        <w:jc w:val="both"/>
        <w:rPr>
          <w:rFonts w:ascii="Arial" w:hAnsi="Arial" w:cs="Arial"/>
        </w:rPr>
      </w:pPr>
    </w:p>
    <w:p w14:paraId="2C7ECAB5" w14:textId="17334664" w:rsidR="001064B7" w:rsidRDefault="001064B7" w:rsidP="00441B6F">
      <w:pPr>
        <w:pStyle w:val="AbstHead"/>
        <w:spacing w:after="0"/>
        <w:jc w:val="both"/>
        <w:rPr>
          <w:rFonts w:ascii="Arial" w:hAnsi="Arial" w:cs="Arial"/>
        </w:rPr>
      </w:pPr>
    </w:p>
    <w:p w14:paraId="25202C7E" w14:textId="77777777" w:rsidR="001064B7" w:rsidRDefault="001064B7" w:rsidP="00441B6F">
      <w:pPr>
        <w:pStyle w:val="AbstHead"/>
        <w:spacing w:after="0"/>
        <w:jc w:val="both"/>
        <w:rPr>
          <w:rFonts w:ascii="Arial" w:hAnsi="Arial" w:cs="Arial"/>
        </w:rPr>
      </w:pPr>
    </w:p>
    <w:p w14:paraId="45EC91B8" w14:textId="63F5F6CE" w:rsidR="00B01FCD" w:rsidRDefault="00B01FCD" w:rsidP="00441B6F">
      <w:pPr>
        <w:pStyle w:val="AbstHead"/>
        <w:spacing w:after="0"/>
        <w:jc w:val="both"/>
        <w:rPr>
          <w:rFonts w:ascii="Arial" w:hAnsi="Arial" w:cs="Arial"/>
        </w:rPr>
      </w:pPr>
      <w:r w:rsidRPr="00FB3A86">
        <w:rPr>
          <w:rFonts w:ascii="Arial" w:hAnsi="Arial" w:cs="Arial"/>
        </w:rPr>
        <w:t>ABSTRACT</w:t>
      </w:r>
    </w:p>
    <w:p w14:paraId="1F9F2C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9"/>
      </w:tblGrid>
      <w:tr w:rsidR="00296529" w:rsidRPr="001E44FE" w14:paraId="495FAE85" w14:textId="77777777" w:rsidTr="00285CE7">
        <w:trPr>
          <w:trHeight w:val="6563"/>
        </w:trPr>
        <w:tc>
          <w:tcPr>
            <w:tcW w:w="10799" w:type="dxa"/>
            <w:shd w:val="clear" w:color="auto" w:fill="F2F2F2"/>
          </w:tcPr>
          <w:p w14:paraId="422D3C3E" w14:textId="2B04CD9A" w:rsidR="00447E8F" w:rsidRPr="00A1122D" w:rsidRDefault="007C7064"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Aims:</w:t>
            </w:r>
            <w:r w:rsidRPr="00A1122D">
              <w:rPr>
                <w:rFonts w:ascii="Arial" w:eastAsia="Calibri" w:hAnsi="Arial" w:cs="Arial"/>
                <w:sz w:val="22"/>
                <w:szCs w:val="22"/>
                <w:lang w:val="en-IN"/>
              </w:rPr>
              <w:t xml:space="preserve"> To</w:t>
            </w:r>
            <w:r w:rsidR="00A1122D" w:rsidRPr="00A1122D">
              <w:rPr>
                <w:rFonts w:ascii="Arial" w:eastAsia="Calibri" w:hAnsi="Arial" w:cs="Arial"/>
                <w:sz w:val="22"/>
                <w:szCs w:val="22"/>
                <w:lang w:val="en-IN"/>
              </w:rPr>
              <w:t xml:space="preserve"> evaluate the effect of levetiracetam monotherapy on serum calcium and vitamin D levels in children with epilepsy, and to assess seizure control, well-being, and associated side effects.</w:t>
            </w:r>
          </w:p>
          <w:p w14:paraId="1D65A907" w14:textId="10ADCC90"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Study Design:</w:t>
            </w:r>
            <w:r w:rsidRPr="00A1122D">
              <w:rPr>
                <w:rFonts w:ascii="Arial" w:eastAsia="Calibri" w:hAnsi="Arial" w:cs="Arial"/>
                <w:sz w:val="22"/>
                <w:szCs w:val="22"/>
                <w:lang w:val="en-IN"/>
              </w:rPr>
              <w:t xml:space="preserve"> Longitudinal observational study.</w:t>
            </w:r>
          </w:p>
          <w:p w14:paraId="4BB61699" w14:textId="752F6330"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Place and Duration of Study:</w:t>
            </w:r>
            <w:r w:rsidRPr="00A1122D">
              <w:rPr>
                <w:rFonts w:ascii="Arial" w:eastAsia="Calibri" w:hAnsi="Arial" w:cs="Arial"/>
                <w:sz w:val="22"/>
                <w:szCs w:val="22"/>
                <w:lang w:val="en-IN"/>
              </w:rPr>
              <w:t xml:space="preserve"> Department of Paediatric Medicine, Dr. B. C. Roy Post Graduate Institute of Paediatric Sciences, Kolkata, from December 2022 to May 2024.</w:t>
            </w:r>
          </w:p>
          <w:p w14:paraId="1DE8FDA0" w14:textId="7129E2DD"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Methodology:</w:t>
            </w:r>
            <w:r w:rsidRPr="00A1122D">
              <w:rPr>
                <w:rFonts w:ascii="Arial" w:eastAsia="Calibri" w:hAnsi="Arial" w:cs="Arial"/>
                <w:sz w:val="22"/>
                <w:szCs w:val="22"/>
                <w:lang w:val="en-IN"/>
              </w:rPr>
              <w:t xml:space="preserve"> </w:t>
            </w:r>
            <w:r w:rsidR="009541EB">
              <w:rPr>
                <w:rFonts w:ascii="Arial" w:eastAsia="Calibri" w:hAnsi="Arial" w:cs="Arial"/>
                <w:sz w:val="22"/>
                <w:szCs w:val="22"/>
                <w:lang w:val="en-IN"/>
              </w:rPr>
              <w:t>79</w:t>
            </w:r>
            <w:r w:rsidRPr="00A1122D">
              <w:rPr>
                <w:rFonts w:ascii="Arial" w:eastAsia="Calibri" w:hAnsi="Arial" w:cs="Arial"/>
                <w:sz w:val="22"/>
                <w:szCs w:val="22"/>
                <w:lang w:val="en-IN"/>
              </w:rPr>
              <w:t xml:space="preserve"> children (44 males, 35 females; 6 months–12 years) with epilepsy on levetiracetam monotherapy were enrolled. Baseline and 6-month follow-up clinical and laboratory evaluations included serum calcium, vitamin D, phosphate, hemogram, renal and liver function tests. Seizure frequency, duration, and side effects were documented. Vitamin D &lt;20 ng/ml was defined as deficiency,</w:t>
            </w:r>
            <w:r w:rsidR="009541EB">
              <w:rPr>
                <w:rFonts w:ascii="Arial" w:eastAsia="Calibri" w:hAnsi="Arial" w:cs="Arial"/>
                <w:sz w:val="22"/>
                <w:szCs w:val="22"/>
                <w:lang w:val="en-IN"/>
              </w:rPr>
              <w:t>20-40 ng/ml as insufficiency</w:t>
            </w:r>
            <w:r w:rsidRPr="00A1122D">
              <w:rPr>
                <w:rFonts w:ascii="Arial" w:eastAsia="Calibri" w:hAnsi="Arial" w:cs="Arial"/>
                <w:sz w:val="22"/>
                <w:szCs w:val="22"/>
                <w:lang w:val="en-IN"/>
              </w:rPr>
              <w:t xml:space="preserve"> and calcium 8.5–10.5 mg/dl as normal. Data were analysed using paired t-test/Wilcoxon signed rank test with significance at </w:t>
            </w:r>
            <w:r w:rsidR="001F2518" w:rsidRPr="001F2518">
              <w:rPr>
                <w:rFonts w:ascii="Arial" w:eastAsia="Calibri" w:hAnsi="Arial" w:cs="Arial"/>
                <w:i/>
                <w:iCs/>
                <w:sz w:val="22"/>
                <w:szCs w:val="22"/>
                <w:lang w:val="en-IN"/>
              </w:rPr>
              <w:t>P</w:t>
            </w:r>
            <w:r w:rsidRPr="00A1122D">
              <w:rPr>
                <w:rFonts w:ascii="Arial" w:eastAsia="Calibri" w:hAnsi="Arial" w:cs="Arial"/>
                <w:sz w:val="22"/>
                <w:szCs w:val="22"/>
                <w:lang w:val="en-IN"/>
              </w:rPr>
              <w:t>&lt;0.05.</w:t>
            </w:r>
          </w:p>
          <w:p w14:paraId="49E5EFD2" w14:textId="5608AE6D"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Results:</w:t>
            </w:r>
            <w:r w:rsidRPr="00A1122D">
              <w:rPr>
                <w:rFonts w:ascii="Arial" w:eastAsia="Calibri" w:hAnsi="Arial" w:cs="Arial"/>
                <w:sz w:val="22"/>
                <w:szCs w:val="22"/>
                <w:lang w:val="en-IN"/>
              </w:rPr>
              <w:t xml:space="preserve"> Generalized seizures were most common (81%), followed by focal (13.9%) and unclassified (5.1%). After 6 months, 64.5% were seizure-free, with mean seizure duration decreasing from 8.92 ± 6.63 to 7.51 ± 5.73 minutes (</w:t>
            </w:r>
            <w:r w:rsidR="001F2518" w:rsidRPr="001F2518">
              <w:rPr>
                <w:rFonts w:ascii="Arial" w:eastAsia="Calibri" w:hAnsi="Arial" w:cs="Arial"/>
                <w:i/>
                <w:iCs/>
                <w:sz w:val="22"/>
                <w:szCs w:val="22"/>
                <w:lang w:val="en-IN"/>
              </w:rPr>
              <w:t>P</w:t>
            </w:r>
            <w:r w:rsidR="001F2518">
              <w:rPr>
                <w:rFonts w:ascii="Arial" w:eastAsia="Calibri" w:hAnsi="Arial" w:cs="Arial"/>
                <w:i/>
                <w:iCs/>
                <w:sz w:val="22"/>
                <w:szCs w:val="22"/>
                <w:lang w:val="en-IN"/>
              </w:rPr>
              <w:t xml:space="preserve"> =</w:t>
            </w:r>
            <w:r w:rsidR="001F2518">
              <w:rPr>
                <w:rFonts w:ascii="Arial" w:eastAsia="Calibri" w:hAnsi="Arial" w:cs="Arial"/>
                <w:sz w:val="22"/>
                <w:szCs w:val="22"/>
                <w:lang w:val="en-IN"/>
              </w:rPr>
              <w:t xml:space="preserve"> </w:t>
            </w:r>
            <w:r w:rsidRPr="00A1122D">
              <w:rPr>
                <w:rFonts w:ascii="Arial" w:eastAsia="Calibri" w:hAnsi="Arial" w:cs="Arial"/>
                <w:sz w:val="22"/>
                <w:szCs w:val="22"/>
                <w:lang w:val="en-IN"/>
              </w:rPr>
              <w:t>.01). Serum calcium declined from 9.18 ± 0.61 to 9.01 ± 0.63 mg/dl (</w:t>
            </w:r>
            <w:r w:rsidR="001F2518" w:rsidRPr="001F2518">
              <w:rPr>
                <w:rFonts w:ascii="Arial" w:eastAsia="Calibri" w:hAnsi="Arial" w:cs="Arial"/>
                <w:i/>
                <w:iCs/>
                <w:sz w:val="22"/>
                <w:szCs w:val="22"/>
                <w:lang w:val="en-IN"/>
              </w:rPr>
              <w:t>P</w:t>
            </w:r>
            <w:r w:rsidR="001F2518">
              <w:rPr>
                <w:rFonts w:ascii="Arial" w:eastAsia="Calibri" w:hAnsi="Arial" w:cs="Arial"/>
                <w:sz w:val="22"/>
                <w:szCs w:val="22"/>
                <w:lang w:val="en-IN"/>
              </w:rPr>
              <w:t xml:space="preserve"> </w:t>
            </w:r>
            <w:r w:rsidRPr="00A1122D">
              <w:rPr>
                <w:rFonts w:ascii="Arial" w:eastAsia="Calibri" w:hAnsi="Arial" w:cs="Arial"/>
                <w:sz w:val="22"/>
                <w:szCs w:val="22"/>
                <w:lang w:val="en-IN"/>
              </w:rPr>
              <w:t>=.02), and vitamin D from 26.04 ± 6.76 to 25.09 ± 6.34 ng/ml (</w:t>
            </w:r>
            <w:r w:rsidR="001F2518" w:rsidRPr="001F2518">
              <w:rPr>
                <w:rFonts w:ascii="Arial" w:eastAsia="Calibri" w:hAnsi="Arial" w:cs="Arial"/>
                <w:i/>
                <w:iCs/>
                <w:sz w:val="22"/>
                <w:szCs w:val="22"/>
                <w:lang w:val="en-IN"/>
              </w:rPr>
              <w:t>P</w:t>
            </w:r>
            <w:r w:rsidR="001F2518">
              <w:rPr>
                <w:rFonts w:ascii="Arial" w:eastAsia="Calibri" w:hAnsi="Arial" w:cs="Arial"/>
                <w:i/>
                <w:iCs/>
                <w:sz w:val="22"/>
                <w:szCs w:val="22"/>
                <w:lang w:val="en-IN"/>
              </w:rPr>
              <w:t xml:space="preserve"> </w:t>
            </w:r>
            <w:r w:rsidRPr="00A1122D">
              <w:rPr>
                <w:rFonts w:ascii="Arial" w:eastAsia="Calibri" w:hAnsi="Arial" w:cs="Arial"/>
                <w:sz w:val="22"/>
                <w:szCs w:val="22"/>
                <w:lang w:val="en-IN"/>
              </w:rPr>
              <w:t xml:space="preserve">=.04). Vitamin D deficiency was present in 19% at baseline and 20.3% at follow-up, while insufficiency rose from 39.2% to 48.1%. Neuropsychiatric side effects occurred in 44% (notably behavioural abnormalities 16.5%, anxiety 10.1%), and musculoskeletal symptoms included bone pain (16.5%) and cramps (10.1%). No significant association was found between vitamin D </w:t>
            </w:r>
            <w:r w:rsidRPr="00A1122D">
              <w:rPr>
                <w:rFonts w:ascii="Arial" w:eastAsia="Calibri" w:hAnsi="Arial" w:cs="Arial"/>
                <w:sz w:val="22"/>
                <w:szCs w:val="22"/>
                <w:lang w:val="en-IN"/>
              </w:rPr>
              <w:lastRenderedPageBreak/>
              <w:t>levels and side effects.</w:t>
            </w:r>
          </w:p>
          <w:p w14:paraId="498F44FC" w14:textId="217BB5C8" w:rsidR="00A1122D"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Conclusion:</w:t>
            </w:r>
            <w:r w:rsidRPr="00A1122D">
              <w:rPr>
                <w:rFonts w:ascii="Arial" w:eastAsia="Calibri" w:hAnsi="Arial" w:cs="Arial"/>
                <w:sz w:val="22"/>
                <w:szCs w:val="22"/>
                <w:lang w:val="en-IN"/>
              </w:rPr>
              <w:t xml:space="preserve"> Levetiracetam monotherapy is effective for seizure control in children but is associated with a small, significant decline in serum calcium and vitamin D over 6 months. Regular biochemical monitoring and longer follow-up, including bone mineral density and parathyroid hormone assessment, are recommended.</w:t>
            </w:r>
          </w:p>
          <w:p w14:paraId="5ABABFDF" w14:textId="3026458D" w:rsidR="00505F06" w:rsidRPr="00BA1B01" w:rsidRDefault="004D4277" w:rsidP="005E17D5">
            <w:pPr>
              <w:pStyle w:val="Body"/>
              <w:spacing w:after="0"/>
              <w:jc w:val="left"/>
              <w:rPr>
                <w:rFonts w:ascii="Arial" w:eastAsia="Calibri" w:hAnsi="Arial" w:cs="Arial"/>
                <w:szCs w:val="22"/>
              </w:rPr>
            </w:pPr>
            <w:r>
              <w:rPr>
                <w:rFonts w:ascii="Arial" w:eastAsia="Calibri" w:hAnsi="Arial" w:cs="Arial"/>
                <w:color w:val="FF0000"/>
                <w:szCs w:val="22"/>
              </w:rPr>
              <w:t>.</w:t>
            </w:r>
          </w:p>
        </w:tc>
      </w:tr>
    </w:tbl>
    <w:p w14:paraId="76B6FC5B" w14:textId="77777777" w:rsidR="00636EB2" w:rsidRDefault="00636EB2" w:rsidP="00441B6F">
      <w:pPr>
        <w:pStyle w:val="Body"/>
        <w:spacing w:after="0"/>
        <w:rPr>
          <w:rFonts w:ascii="Arial" w:hAnsi="Arial" w:cs="Arial"/>
          <w:i/>
        </w:rPr>
      </w:pPr>
    </w:p>
    <w:p w14:paraId="64FC194E" w14:textId="613C1383" w:rsidR="00A24E7E" w:rsidRDefault="00A24E7E" w:rsidP="00441B6F">
      <w:pPr>
        <w:pStyle w:val="Body"/>
        <w:spacing w:after="0"/>
        <w:rPr>
          <w:rFonts w:ascii="Arial" w:hAnsi="Arial" w:cs="Arial"/>
          <w:i/>
        </w:rPr>
      </w:pPr>
      <w:r>
        <w:rPr>
          <w:rFonts w:ascii="Arial" w:hAnsi="Arial" w:cs="Arial"/>
          <w:i/>
        </w:rPr>
        <w:t>Keywords</w:t>
      </w:r>
      <w:r w:rsidR="00341DD5" w:rsidRPr="00341DD5">
        <w:t xml:space="preserve"> </w:t>
      </w:r>
      <w:r w:rsidR="00341DD5" w:rsidRPr="00341DD5">
        <w:rPr>
          <w:rFonts w:ascii="Arial" w:hAnsi="Arial" w:cs="Arial"/>
          <w:i/>
        </w:rPr>
        <w:t>Epilepsy, Levetiracetam, Calcium, Vitamin D</w:t>
      </w:r>
    </w:p>
    <w:p w14:paraId="12B5C55A" w14:textId="77777777" w:rsidR="00505F06" w:rsidRDefault="00505F06" w:rsidP="00441B6F">
      <w:pPr>
        <w:pStyle w:val="Body"/>
        <w:spacing w:after="0"/>
        <w:rPr>
          <w:rFonts w:ascii="Arial" w:hAnsi="Arial" w:cs="Arial"/>
          <w:i/>
        </w:rPr>
      </w:pPr>
    </w:p>
    <w:p w14:paraId="45BFA3A9" w14:textId="77777777" w:rsidR="00285CE7" w:rsidRDefault="00285CE7" w:rsidP="00441B6F">
      <w:pPr>
        <w:pStyle w:val="Body"/>
        <w:spacing w:after="0"/>
        <w:rPr>
          <w:rFonts w:ascii="Arial" w:hAnsi="Arial" w:cs="Arial"/>
          <w:i/>
        </w:rPr>
      </w:pPr>
    </w:p>
    <w:p w14:paraId="255D51AA" w14:textId="77777777" w:rsidR="0059137C" w:rsidRDefault="0059137C" w:rsidP="00441B6F">
      <w:pPr>
        <w:pStyle w:val="Body"/>
        <w:spacing w:after="0"/>
        <w:rPr>
          <w:rFonts w:ascii="Arial" w:hAnsi="Arial" w:cs="Arial"/>
          <w:i/>
        </w:rPr>
      </w:pPr>
    </w:p>
    <w:p w14:paraId="5AD84B3D" w14:textId="77777777" w:rsidR="0059137C" w:rsidRDefault="0059137C" w:rsidP="00441B6F">
      <w:pPr>
        <w:pStyle w:val="Body"/>
        <w:spacing w:after="0"/>
        <w:rPr>
          <w:rFonts w:ascii="Arial" w:hAnsi="Arial" w:cs="Arial"/>
          <w:i/>
        </w:rPr>
      </w:pPr>
    </w:p>
    <w:p w14:paraId="7BF4EC5A" w14:textId="77777777" w:rsidR="0059137C" w:rsidRDefault="0059137C" w:rsidP="00441B6F">
      <w:pPr>
        <w:pStyle w:val="Body"/>
        <w:spacing w:after="0"/>
        <w:rPr>
          <w:rFonts w:ascii="Arial" w:hAnsi="Arial" w:cs="Arial"/>
          <w:i/>
        </w:rPr>
      </w:pPr>
    </w:p>
    <w:p w14:paraId="55FB06C9" w14:textId="77777777" w:rsidR="0059137C" w:rsidRPr="00A24E7E" w:rsidRDefault="0059137C" w:rsidP="00441B6F">
      <w:pPr>
        <w:pStyle w:val="Body"/>
        <w:spacing w:after="0"/>
        <w:rPr>
          <w:rFonts w:ascii="Arial" w:hAnsi="Arial" w:cs="Arial"/>
          <w:i/>
        </w:rPr>
      </w:pPr>
    </w:p>
    <w:p w14:paraId="6260C909" w14:textId="37ED015C" w:rsidR="007F7B32" w:rsidRDefault="00902823" w:rsidP="0059137C">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0D5914" w14:textId="77777777" w:rsidR="00790ADA" w:rsidRPr="00FB3A86" w:rsidRDefault="00790ADA" w:rsidP="0059137C">
      <w:pPr>
        <w:pStyle w:val="AbstHead"/>
        <w:spacing w:after="0" w:line="480" w:lineRule="auto"/>
        <w:jc w:val="both"/>
        <w:rPr>
          <w:rFonts w:ascii="Arial" w:hAnsi="Arial" w:cs="Arial"/>
        </w:rPr>
      </w:pPr>
    </w:p>
    <w:p w14:paraId="1CFDFACD" w14:textId="414437DA"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Epilepsy is a chronic neurological disorder characterized by recurrent, unprovoked seizures, affecting approximately 0.5–1% of children worldwide (1). The clinical spectrum is diverse, as epilepsy represents not a single disease but a heterogeneous group of disorders with variable causes and manifestations. In the pediatric population, epilepsy </w:t>
      </w:r>
      <w:r w:rsidR="009D6DA6">
        <w:rPr>
          <w:rFonts w:ascii="Arial" w:hAnsi="Arial" w:cs="Arial"/>
          <w:lang w:val="en-IN"/>
        </w:rPr>
        <w:t>demands</w:t>
      </w:r>
      <w:r w:rsidRPr="00FC7173">
        <w:rPr>
          <w:rFonts w:ascii="Arial" w:hAnsi="Arial" w:cs="Arial"/>
          <w:lang w:val="en-IN"/>
        </w:rPr>
        <w:t xml:space="preserve"> particular importance because recurrent seizures and long-term drug therapy may adversely influence growth, development, and quality of life (2).</w:t>
      </w:r>
    </w:p>
    <w:p w14:paraId="6137241B" w14:textId="77777777" w:rsidR="006117C3" w:rsidRPr="00FC7173" w:rsidRDefault="006117C3" w:rsidP="0059137C">
      <w:pPr>
        <w:pStyle w:val="Body"/>
        <w:spacing w:after="0" w:line="480" w:lineRule="auto"/>
        <w:rPr>
          <w:rFonts w:ascii="Arial" w:hAnsi="Arial" w:cs="Arial"/>
          <w:lang w:val="en-IN"/>
        </w:rPr>
      </w:pPr>
    </w:p>
    <w:p w14:paraId="568B4D62" w14:textId="77777777"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Management typically requires prolonged use of antiepileptic drugs (AEDs). Early treatment improves seizure control and prognosis; however, AED therapy is frequently associated with systemic side effects (3). One of the important yet often under-recognized complications is the effect of AEDs on bone metabolism. Several studies have demonstrated increased </w:t>
      </w:r>
      <w:r w:rsidRPr="00FC7173">
        <w:rPr>
          <w:rFonts w:ascii="Arial" w:hAnsi="Arial" w:cs="Arial"/>
          <w:lang w:val="en-IN"/>
        </w:rPr>
        <w:lastRenderedPageBreak/>
        <w:t>risk of abnormal bone mineralization, hypocalcemia, reduced vitamin D levels, and consequent fracture risk among children receiving long-term AED therapy (4,5).</w:t>
      </w:r>
    </w:p>
    <w:p w14:paraId="3C593B29" w14:textId="77777777" w:rsidR="006117C3" w:rsidRPr="00FC7173" w:rsidRDefault="006117C3" w:rsidP="0059137C">
      <w:pPr>
        <w:pStyle w:val="Body"/>
        <w:spacing w:after="0" w:line="480" w:lineRule="auto"/>
        <w:rPr>
          <w:rFonts w:ascii="Arial" w:hAnsi="Arial" w:cs="Arial"/>
          <w:lang w:val="en-IN"/>
        </w:rPr>
      </w:pPr>
    </w:p>
    <w:p w14:paraId="39248A4F" w14:textId="354D3806"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The mechanisms underlying AED-induced bone changes are multifactorial. Conventional enzyme-inducing </w:t>
      </w:r>
      <w:r w:rsidR="00E12B01">
        <w:rPr>
          <w:rFonts w:ascii="Arial" w:hAnsi="Arial" w:cs="Arial"/>
          <w:lang w:val="en-IN"/>
        </w:rPr>
        <w:t>antiepileptic drug</w:t>
      </w:r>
      <w:r w:rsidR="00E01516">
        <w:rPr>
          <w:rFonts w:ascii="Arial" w:hAnsi="Arial" w:cs="Arial"/>
          <w:lang w:val="en-IN"/>
        </w:rPr>
        <w:t>s</w:t>
      </w:r>
      <w:r w:rsidR="001F2518">
        <w:rPr>
          <w:rFonts w:ascii="Arial" w:hAnsi="Arial" w:cs="Arial"/>
          <w:lang w:val="en-IN"/>
        </w:rPr>
        <w:t xml:space="preserve"> (</w:t>
      </w:r>
      <w:r w:rsidR="001F2518" w:rsidRPr="00FC7173">
        <w:rPr>
          <w:rFonts w:ascii="Arial" w:hAnsi="Arial" w:cs="Arial"/>
          <w:lang w:val="en-IN"/>
        </w:rPr>
        <w:t>EIAED</w:t>
      </w:r>
      <w:r w:rsidR="00E01516">
        <w:rPr>
          <w:rFonts w:ascii="Arial" w:hAnsi="Arial" w:cs="Arial"/>
          <w:lang w:val="en-IN"/>
        </w:rPr>
        <w:t>s</w:t>
      </w:r>
      <w:r w:rsidR="001F2518">
        <w:rPr>
          <w:rFonts w:ascii="Arial" w:hAnsi="Arial" w:cs="Arial"/>
          <w:lang w:val="en-IN"/>
        </w:rPr>
        <w:t>)</w:t>
      </w:r>
      <w:r w:rsidR="009D6DA6">
        <w:rPr>
          <w:rFonts w:ascii="Arial" w:hAnsi="Arial" w:cs="Arial"/>
          <w:lang w:val="en-IN"/>
        </w:rPr>
        <w:t>;</w:t>
      </w:r>
      <w:r w:rsidRPr="00FC7173">
        <w:rPr>
          <w:rFonts w:ascii="Arial" w:hAnsi="Arial" w:cs="Arial"/>
          <w:lang w:val="en-IN"/>
        </w:rPr>
        <w:t xml:space="preserve"> such as phenytoin, carbamazepine, phenobarbitone, primidone, and benzodiazepines</w:t>
      </w:r>
      <w:r w:rsidR="009D6DA6">
        <w:rPr>
          <w:rFonts w:ascii="Arial" w:hAnsi="Arial" w:cs="Arial"/>
          <w:lang w:val="en-IN"/>
        </w:rPr>
        <w:t>,</w:t>
      </w:r>
      <w:r w:rsidRPr="00FC7173">
        <w:rPr>
          <w:rFonts w:ascii="Arial" w:hAnsi="Arial" w:cs="Arial"/>
          <w:lang w:val="en-IN"/>
        </w:rPr>
        <w:t xml:space="preserve"> increase hepatic cytochrome P450 activity</w:t>
      </w:r>
      <w:r w:rsidR="009D6DA6">
        <w:rPr>
          <w:rFonts w:ascii="Arial" w:hAnsi="Arial" w:cs="Arial"/>
          <w:lang w:val="en-IN"/>
        </w:rPr>
        <w:t xml:space="preserve">, </w:t>
      </w:r>
      <w:r w:rsidRPr="00FC7173">
        <w:rPr>
          <w:rFonts w:ascii="Arial" w:hAnsi="Arial" w:cs="Arial"/>
          <w:lang w:val="en-IN"/>
        </w:rPr>
        <w:t>accelerating catabolism of 25-hydroxy vitamin D, thereby reducing calcium absorption and producing secondary hyperparathyroidism (6,7). Other proposed mechanisms include direct toxic effects on osteoblasts, impaired calcitonin secretion, and resistance to parathyroid hormone (8). Clinically, this results in hypocalcemia, hypophosphatemia, elevated alkaline phosphatase, and low vitamin D metabolites (9).</w:t>
      </w:r>
    </w:p>
    <w:p w14:paraId="27AD7B56" w14:textId="77777777" w:rsidR="006117C3" w:rsidRPr="00FC7173" w:rsidRDefault="006117C3" w:rsidP="0059137C">
      <w:pPr>
        <w:pStyle w:val="Body"/>
        <w:spacing w:after="0" w:line="480" w:lineRule="auto"/>
        <w:rPr>
          <w:rFonts w:ascii="Arial" w:hAnsi="Arial" w:cs="Arial"/>
          <w:lang w:val="en-IN"/>
        </w:rPr>
      </w:pPr>
    </w:p>
    <w:p w14:paraId="49DACD25" w14:textId="0D5E996F" w:rsidR="00FC7173" w:rsidRDefault="00FC7173" w:rsidP="0059137C">
      <w:pPr>
        <w:pStyle w:val="Body"/>
        <w:spacing w:after="0" w:line="480" w:lineRule="auto"/>
        <w:rPr>
          <w:rFonts w:ascii="Arial" w:hAnsi="Arial" w:cs="Arial"/>
          <w:lang w:val="en-IN"/>
        </w:rPr>
      </w:pPr>
      <w:r w:rsidRPr="00FC7173">
        <w:rPr>
          <w:rFonts w:ascii="Arial" w:hAnsi="Arial" w:cs="Arial"/>
          <w:lang w:val="en-IN"/>
        </w:rPr>
        <w:t>Levetiracetam is a relatively newer, broad-spectrum AED with unique pharmacodynamics. Chemically, it is an S-enantiomer of an ethyl analogue of piracetam ((S)-2-(2-oxopyrrolidin-1-yl) butanamide), with</w:t>
      </w:r>
      <w:r w:rsidR="009D6DA6">
        <w:rPr>
          <w:rFonts w:ascii="Arial" w:hAnsi="Arial" w:cs="Arial"/>
          <w:lang w:val="en-IN"/>
        </w:rPr>
        <w:t xml:space="preserve"> </w:t>
      </w:r>
      <w:r w:rsidRPr="00FC7173">
        <w:rPr>
          <w:rFonts w:ascii="Arial" w:hAnsi="Arial" w:cs="Arial"/>
          <w:lang w:val="en-IN"/>
        </w:rPr>
        <w:t xml:space="preserve">its principal binding site identified as synaptic vesicle protein 2A (SV2A), which modulates calcium-dependent neurotransmitter release (10,11). Unlike older AEDs, </w:t>
      </w:r>
      <w:r w:rsidR="001F2518">
        <w:rPr>
          <w:rFonts w:ascii="Arial" w:hAnsi="Arial" w:cs="Arial"/>
          <w:lang w:val="en-IN"/>
        </w:rPr>
        <w:t>l</w:t>
      </w:r>
      <w:r w:rsidR="001F2518" w:rsidRPr="00FC7173">
        <w:rPr>
          <w:rFonts w:ascii="Arial" w:hAnsi="Arial" w:cs="Arial"/>
          <w:lang w:val="en-IN"/>
        </w:rPr>
        <w:t>evetiracetam</w:t>
      </w:r>
      <w:r w:rsidRPr="00FC7173">
        <w:rPr>
          <w:rFonts w:ascii="Arial" w:hAnsi="Arial" w:cs="Arial"/>
          <w:lang w:val="en-IN"/>
        </w:rPr>
        <w:t xml:space="preserve"> is not a hepatic enzyme inducer and is associated with minimal drug–drug interactions, a favourable tolerability profile, and broad efficacy across generalized and focal epilepsies (12).</w:t>
      </w:r>
    </w:p>
    <w:p w14:paraId="3C95BDC9" w14:textId="77777777" w:rsidR="006117C3" w:rsidRPr="00FC7173" w:rsidRDefault="006117C3" w:rsidP="0059137C">
      <w:pPr>
        <w:pStyle w:val="Body"/>
        <w:spacing w:after="0" w:line="480" w:lineRule="auto"/>
        <w:rPr>
          <w:rFonts w:ascii="Arial" w:hAnsi="Arial" w:cs="Arial"/>
          <w:lang w:val="en-IN"/>
        </w:rPr>
      </w:pPr>
    </w:p>
    <w:p w14:paraId="69FCD31D" w14:textId="036A9E6B"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Although the safety profile of </w:t>
      </w:r>
      <w:r w:rsidR="00E01516">
        <w:rPr>
          <w:rFonts w:ascii="Arial" w:hAnsi="Arial" w:cs="Arial"/>
          <w:lang w:val="en-IN"/>
        </w:rPr>
        <w:t>l</w:t>
      </w:r>
      <w:r w:rsidR="00E01516" w:rsidRPr="00FC7173">
        <w:rPr>
          <w:rFonts w:ascii="Arial" w:hAnsi="Arial" w:cs="Arial"/>
          <w:lang w:val="en-IN"/>
        </w:rPr>
        <w:t>evetiracetam</w:t>
      </w:r>
      <w:r w:rsidRPr="00FC7173">
        <w:rPr>
          <w:rFonts w:ascii="Arial" w:hAnsi="Arial" w:cs="Arial"/>
          <w:lang w:val="en-IN"/>
        </w:rPr>
        <w:t xml:space="preserve"> is well established, its effects on bone health remain uncertain. Some reports suggest that </w:t>
      </w:r>
      <w:r w:rsidR="001F2518">
        <w:rPr>
          <w:rFonts w:ascii="Arial" w:hAnsi="Arial" w:cs="Arial"/>
          <w:lang w:val="en-IN"/>
        </w:rPr>
        <w:t>l</w:t>
      </w:r>
      <w:r w:rsidR="001F2518" w:rsidRPr="00FC7173">
        <w:rPr>
          <w:rFonts w:ascii="Arial" w:hAnsi="Arial" w:cs="Arial"/>
          <w:lang w:val="en-IN"/>
        </w:rPr>
        <w:t>evetiracetam</w:t>
      </w:r>
      <w:r w:rsidRPr="00FC7173">
        <w:rPr>
          <w:rFonts w:ascii="Arial" w:hAnsi="Arial" w:cs="Arial"/>
          <w:lang w:val="en-IN"/>
        </w:rPr>
        <w:t xml:space="preserve">, unlike EIAEDs, may not significantly alter calcium or vitamin D levels (13), while others have described mild but significant reductions over time (14,15). Jeyakumar et al. demonstrated a statistically significant fall in calcium and phosphorus over 6 months of </w:t>
      </w:r>
      <w:r w:rsidR="00E01516">
        <w:rPr>
          <w:rFonts w:ascii="Arial" w:hAnsi="Arial" w:cs="Arial"/>
          <w:lang w:val="en-IN"/>
        </w:rPr>
        <w:t>l</w:t>
      </w:r>
      <w:r w:rsidR="00E01516" w:rsidRPr="00FC7173">
        <w:rPr>
          <w:rFonts w:ascii="Arial" w:hAnsi="Arial" w:cs="Arial"/>
          <w:lang w:val="en-IN"/>
        </w:rPr>
        <w:t>evetiracetam</w:t>
      </w:r>
      <w:r w:rsidRPr="00FC7173">
        <w:rPr>
          <w:rFonts w:ascii="Arial" w:hAnsi="Arial" w:cs="Arial"/>
          <w:lang w:val="en-IN"/>
        </w:rPr>
        <w:t xml:space="preserve"> therapy (</w:t>
      </w:r>
      <w:r w:rsidR="002C5B62">
        <w:rPr>
          <w:rFonts w:ascii="Arial" w:hAnsi="Arial" w:cs="Arial"/>
          <w:lang w:val="en-IN"/>
        </w:rPr>
        <w:t>16</w:t>
      </w:r>
      <w:r w:rsidRPr="00FC7173">
        <w:rPr>
          <w:rFonts w:ascii="Arial" w:hAnsi="Arial" w:cs="Arial"/>
          <w:lang w:val="en-IN"/>
        </w:rPr>
        <w:t xml:space="preserve">), </w:t>
      </w:r>
      <w:r w:rsidR="00E12B01">
        <w:rPr>
          <w:rFonts w:ascii="Arial" w:hAnsi="Arial" w:cs="Arial"/>
          <w:lang w:val="en-IN"/>
        </w:rPr>
        <w:t>in contrast</w:t>
      </w:r>
      <w:r w:rsidRPr="00FC7173">
        <w:rPr>
          <w:rFonts w:ascii="Arial" w:hAnsi="Arial" w:cs="Arial"/>
          <w:lang w:val="en-IN"/>
        </w:rPr>
        <w:t xml:space="preserve"> Garg et al. reported no significant change in serum calcium or vitamin D after 1 year of </w:t>
      </w:r>
      <w:r w:rsidR="00E01516">
        <w:rPr>
          <w:rFonts w:ascii="Arial" w:hAnsi="Arial" w:cs="Arial"/>
          <w:lang w:val="en-IN"/>
        </w:rPr>
        <w:t>l</w:t>
      </w:r>
      <w:r w:rsidR="00E01516" w:rsidRPr="00FC7173">
        <w:rPr>
          <w:rFonts w:ascii="Arial" w:hAnsi="Arial" w:cs="Arial"/>
          <w:lang w:val="en-IN"/>
        </w:rPr>
        <w:t>evetiracetam</w:t>
      </w:r>
      <w:r w:rsidRPr="00FC7173">
        <w:rPr>
          <w:rFonts w:ascii="Arial" w:hAnsi="Arial" w:cs="Arial"/>
          <w:lang w:val="en-IN"/>
        </w:rPr>
        <w:t xml:space="preserve"> monotherapy, except for a rise in vitamin D among males (</w:t>
      </w:r>
      <w:r w:rsidR="002C5B62">
        <w:rPr>
          <w:rFonts w:ascii="Arial" w:hAnsi="Arial" w:cs="Arial"/>
          <w:lang w:val="en-IN"/>
        </w:rPr>
        <w:t>17</w:t>
      </w:r>
      <w:r w:rsidRPr="00FC7173">
        <w:rPr>
          <w:rFonts w:ascii="Arial" w:hAnsi="Arial" w:cs="Arial"/>
          <w:lang w:val="en-IN"/>
        </w:rPr>
        <w:t>). Similar variability has been reported in international studies (</w:t>
      </w:r>
      <w:r w:rsidR="002C5B62">
        <w:rPr>
          <w:rFonts w:ascii="Arial" w:hAnsi="Arial" w:cs="Arial"/>
          <w:lang w:val="en-IN"/>
        </w:rPr>
        <w:t>18-20</w:t>
      </w:r>
      <w:r w:rsidRPr="00FC7173">
        <w:rPr>
          <w:rFonts w:ascii="Arial" w:hAnsi="Arial" w:cs="Arial"/>
          <w:lang w:val="en-IN"/>
        </w:rPr>
        <w:t>).</w:t>
      </w:r>
    </w:p>
    <w:p w14:paraId="6DD6BD7E" w14:textId="77777777" w:rsidR="006117C3" w:rsidRPr="00FC7173" w:rsidRDefault="006117C3" w:rsidP="0059137C">
      <w:pPr>
        <w:pStyle w:val="Body"/>
        <w:spacing w:after="0" w:line="480" w:lineRule="auto"/>
        <w:rPr>
          <w:rFonts w:ascii="Arial" w:hAnsi="Arial" w:cs="Arial"/>
          <w:lang w:val="en-IN"/>
        </w:rPr>
      </w:pPr>
    </w:p>
    <w:p w14:paraId="233BF51A" w14:textId="2306F6F4" w:rsidR="00FC7173" w:rsidRDefault="00FC7173" w:rsidP="0059137C">
      <w:pPr>
        <w:pStyle w:val="Body"/>
        <w:spacing w:after="0" w:line="480" w:lineRule="auto"/>
        <w:rPr>
          <w:rFonts w:ascii="Arial" w:hAnsi="Arial" w:cs="Arial"/>
          <w:lang w:val="en-IN"/>
        </w:rPr>
      </w:pPr>
      <w:r w:rsidRPr="00FC7173">
        <w:rPr>
          <w:rFonts w:ascii="Arial" w:hAnsi="Arial" w:cs="Arial"/>
          <w:lang w:val="en-IN"/>
        </w:rPr>
        <w:t>In India, studies remain limited. Jyotirmoy Sen et al. found high rates of hypovitaminosis D among children on both sodium valproate and levetiracetam monotherapy (</w:t>
      </w:r>
      <w:r w:rsidR="002C5B62">
        <w:rPr>
          <w:rFonts w:ascii="Arial" w:hAnsi="Arial" w:cs="Arial"/>
          <w:lang w:val="en-IN"/>
        </w:rPr>
        <w:t>21</w:t>
      </w:r>
      <w:r w:rsidRPr="00FC7173">
        <w:rPr>
          <w:rFonts w:ascii="Arial" w:hAnsi="Arial" w:cs="Arial"/>
          <w:lang w:val="en-IN"/>
        </w:rPr>
        <w:t>). Considering that bone growth and mineralization are most active during childhood, and vitamin D deficiency is already prevalent in Indian children, it becomes imperative to investigate whether levetiracetam contributes to metabolic derangements in this population.</w:t>
      </w:r>
    </w:p>
    <w:p w14:paraId="7F78A217" w14:textId="77777777" w:rsidR="006117C3" w:rsidRPr="00FC7173" w:rsidRDefault="006117C3" w:rsidP="0059137C">
      <w:pPr>
        <w:pStyle w:val="Body"/>
        <w:spacing w:after="0" w:line="480" w:lineRule="auto"/>
        <w:rPr>
          <w:rFonts w:ascii="Arial" w:hAnsi="Arial" w:cs="Arial"/>
          <w:lang w:val="en-IN"/>
        </w:rPr>
      </w:pPr>
    </w:p>
    <w:p w14:paraId="4E3699B2" w14:textId="476BC880" w:rsidR="00FC7173" w:rsidRPr="00FC7173" w:rsidRDefault="00FC7173" w:rsidP="0059137C">
      <w:pPr>
        <w:pStyle w:val="Body"/>
        <w:spacing w:after="0" w:line="480" w:lineRule="auto"/>
        <w:rPr>
          <w:rFonts w:ascii="Arial" w:hAnsi="Arial" w:cs="Arial"/>
          <w:lang w:val="en-IN"/>
        </w:rPr>
      </w:pPr>
      <w:r w:rsidRPr="00FC7173">
        <w:rPr>
          <w:rFonts w:ascii="Arial" w:hAnsi="Arial" w:cs="Arial"/>
          <w:lang w:val="en-IN"/>
        </w:rPr>
        <w:lastRenderedPageBreak/>
        <w:t>Therefore, the present study was undertaken to evaluate the impact of levetiracetam monotherapy on serum calcium and vitamin D levels in children with epilepsy. In addition, the study sought to assess seizure control, well-being, and side effects, thereby generating evidence that may guide safer long-term management in this vulnerable group</w:t>
      </w:r>
      <w:r>
        <w:rPr>
          <w:rFonts w:ascii="Arial" w:hAnsi="Arial" w:cs="Arial"/>
          <w:lang w:val="en-IN"/>
        </w:rPr>
        <w:t>.</w:t>
      </w:r>
    </w:p>
    <w:p w14:paraId="28A48BEB" w14:textId="77777777" w:rsidR="00790ADA" w:rsidRPr="00FB3A86" w:rsidRDefault="00790ADA" w:rsidP="0059137C">
      <w:pPr>
        <w:pStyle w:val="Body"/>
        <w:spacing w:after="0" w:line="480" w:lineRule="auto"/>
        <w:rPr>
          <w:rFonts w:ascii="Arial" w:hAnsi="Arial" w:cs="Arial"/>
        </w:rPr>
      </w:pPr>
    </w:p>
    <w:p w14:paraId="34729CA8" w14:textId="5650183B" w:rsidR="00E66E10" w:rsidRDefault="00902823" w:rsidP="0059137C">
      <w:pPr>
        <w:pStyle w:val="AbstHead"/>
        <w:spacing w:after="0" w:line="480" w:lineRule="auto"/>
        <w:jc w:val="both"/>
        <w:rPr>
          <w:rFonts w:ascii="Arial" w:hAnsi="Arial" w:cs="Arial"/>
        </w:rPr>
      </w:pPr>
      <w:r>
        <w:rPr>
          <w:rFonts w:ascii="Arial" w:hAnsi="Arial" w:cs="Arial"/>
        </w:rPr>
        <w:t>2.</w:t>
      </w:r>
      <w:r w:rsidR="006B57D0">
        <w:rPr>
          <w:rFonts w:ascii="Arial" w:hAnsi="Arial" w:cs="Arial"/>
        </w:rPr>
        <w:t>methodology</w:t>
      </w:r>
    </w:p>
    <w:p w14:paraId="2BF0AC21" w14:textId="77777777" w:rsidR="00790ADA" w:rsidRPr="00FB3A86" w:rsidRDefault="00790ADA" w:rsidP="0059137C">
      <w:pPr>
        <w:pStyle w:val="Body"/>
        <w:spacing w:after="0" w:line="480" w:lineRule="auto"/>
        <w:rPr>
          <w:rFonts w:ascii="Arial" w:hAnsi="Arial" w:cs="Arial"/>
        </w:rPr>
      </w:pPr>
    </w:p>
    <w:p w14:paraId="4749A709" w14:textId="77B1CC50" w:rsidR="002C0D36" w:rsidRPr="002C0D36" w:rsidRDefault="00AA74E0" w:rsidP="0059137C">
      <w:pPr>
        <w:pStyle w:val="Body"/>
        <w:spacing w:after="0" w:line="480" w:lineRule="auto"/>
        <w:rPr>
          <w:rFonts w:ascii="Arial" w:hAnsi="Arial" w:cs="Arial"/>
          <w:b/>
          <w:sz w:val="22"/>
        </w:rPr>
      </w:pPr>
      <w:r w:rsidRPr="00C30A0F">
        <w:rPr>
          <w:rFonts w:ascii="Arial" w:hAnsi="Arial" w:cs="Arial"/>
          <w:b/>
          <w:caps/>
          <w:sz w:val="22"/>
        </w:rPr>
        <w:t xml:space="preserve">2.1 </w:t>
      </w:r>
      <w:r w:rsidR="00113775" w:rsidRPr="00113775">
        <w:rPr>
          <w:rFonts w:ascii="Arial" w:hAnsi="Arial" w:cs="Arial"/>
          <w:b/>
          <w:sz w:val="22"/>
        </w:rPr>
        <w:t xml:space="preserve">Study Design </w:t>
      </w:r>
    </w:p>
    <w:p w14:paraId="7F7C9BAF" w14:textId="4B9E0833" w:rsidR="00113775" w:rsidRDefault="00113775" w:rsidP="0059137C">
      <w:pPr>
        <w:pStyle w:val="Body"/>
        <w:spacing w:after="0" w:line="480" w:lineRule="auto"/>
        <w:rPr>
          <w:rFonts w:ascii="Arial" w:hAnsi="Arial" w:cs="Arial"/>
        </w:rPr>
      </w:pPr>
      <w:r w:rsidRPr="00113775">
        <w:rPr>
          <w:rFonts w:ascii="Arial" w:hAnsi="Arial" w:cs="Arial"/>
        </w:rPr>
        <w:t>This was a longitudinal observational study designed to assess the effect of levetiracetam monotherapy on serum calcium and vitamin D levels in children with epilepsy.</w:t>
      </w:r>
    </w:p>
    <w:p w14:paraId="44AD1A64" w14:textId="77777777" w:rsidR="002C0D36" w:rsidRDefault="002C0D36" w:rsidP="0059137C">
      <w:pPr>
        <w:pStyle w:val="Body"/>
        <w:spacing w:after="0" w:line="480" w:lineRule="auto"/>
        <w:rPr>
          <w:rFonts w:ascii="Arial" w:hAnsi="Arial" w:cs="Arial"/>
        </w:rPr>
      </w:pPr>
    </w:p>
    <w:p w14:paraId="5219BF4E" w14:textId="77777777" w:rsidR="002C0D36" w:rsidRDefault="00113775"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13775">
        <w:rPr>
          <w:rFonts w:ascii="Arial" w:hAnsi="Arial" w:cs="Arial"/>
          <w:b/>
          <w:sz w:val="22"/>
        </w:rPr>
        <w:t>S</w:t>
      </w:r>
      <w:r>
        <w:rPr>
          <w:rFonts w:ascii="Arial" w:hAnsi="Arial" w:cs="Arial"/>
          <w:b/>
          <w:sz w:val="22"/>
        </w:rPr>
        <w:t>etting</w:t>
      </w:r>
    </w:p>
    <w:p w14:paraId="3B74BFC5" w14:textId="77777777" w:rsidR="002C0D36" w:rsidRDefault="002C0D36" w:rsidP="0059137C">
      <w:pPr>
        <w:pStyle w:val="Body"/>
        <w:spacing w:after="0" w:line="480" w:lineRule="auto"/>
        <w:rPr>
          <w:rFonts w:ascii="Arial" w:hAnsi="Arial" w:cs="Arial"/>
          <w:b/>
          <w:sz w:val="22"/>
        </w:rPr>
      </w:pPr>
    </w:p>
    <w:p w14:paraId="147F66CF" w14:textId="3A25A601" w:rsidR="00505F06" w:rsidRDefault="00113775" w:rsidP="0059137C">
      <w:pPr>
        <w:pStyle w:val="Body"/>
        <w:spacing w:after="0" w:line="480" w:lineRule="auto"/>
        <w:rPr>
          <w:rFonts w:ascii="Arial" w:hAnsi="Arial" w:cs="Arial"/>
          <w:bCs/>
        </w:rPr>
      </w:pPr>
      <w:r w:rsidRPr="00113775">
        <w:rPr>
          <w:rFonts w:ascii="Arial" w:hAnsi="Arial" w:cs="Arial"/>
          <w:bCs/>
        </w:rPr>
        <w:t>The study was conducted at the Department of Pediatric Medicine, Dr. B. C. Roy Post Graduate Institute of Pediatric Sciences, Kolkata</w:t>
      </w:r>
      <w:r w:rsidR="00E01516">
        <w:rPr>
          <w:rFonts w:ascii="Arial" w:hAnsi="Arial" w:cs="Arial"/>
          <w:bCs/>
        </w:rPr>
        <w:t xml:space="preserve">, </w:t>
      </w:r>
      <w:r w:rsidRPr="00113775">
        <w:rPr>
          <w:rFonts w:ascii="Arial" w:hAnsi="Arial" w:cs="Arial"/>
          <w:bCs/>
        </w:rPr>
        <w:t>between December 2022 and May 2024 (18 months).</w:t>
      </w:r>
    </w:p>
    <w:p w14:paraId="528B1D6D" w14:textId="77777777" w:rsidR="002C0D36" w:rsidRPr="00113775" w:rsidRDefault="002C0D36" w:rsidP="0059137C">
      <w:pPr>
        <w:pStyle w:val="Body"/>
        <w:spacing w:after="0" w:line="480" w:lineRule="auto"/>
        <w:rPr>
          <w:rFonts w:ascii="Arial" w:hAnsi="Arial" w:cs="Arial"/>
          <w:bCs/>
        </w:rPr>
      </w:pPr>
    </w:p>
    <w:p w14:paraId="5847C051" w14:textId="77777777" w:rsidR="002C0D36" w:rsidRDefault="00AA74E0"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sidR="00113775">
        <w:rPr>
          <w:rFonts w:ascii="Arial" w:hAnsi="Arial" w:cs="Arial"/>
          <w:b/>
          <w:u w:val="single"/>
        </w:rPr>
        <w:t>2</w:t>
      </w:r>
      <w:r w:rsidRPr="00902823">
        <w:rPr>
          <w:rFonts w:ascii="Arial" w:hAnsi="Arial" w:cs="Arial"/>
          <w:b/>
          <w:u w:val="single"/>
        </w:rPr>
        <w:t xml:space="preserve">.1 </w:t>
      </w:r>
      <w:r w:rsidR="00113775">
        <w:rPr>
          <w:rFonts w:ascii="Arial" w:hAnsi="Arial" w:cs="Arial"/>
          <w:b/>
          <w:u w:val="single"/>
        </w:rPr>
        <w:t>clinical setting</w:t>
      </w:r>
    </w:p>
    <w:p w14:paraId="7697BFB4" w14:textId="62602C76" w:rsidR="00AA74E0" w:rsidRDefault="00E01516" w:rsidP="0059137C">
      <w:pPr>
        <w:pStyle w:val="Body"/>
        <w:spacing w:after="0" w:line="480" w:lineRule="auto"/>
        <w:rPr>
          <w:rFonts w:ascii="Arial" w:hAnsi="Arial" w:cs="Arial"/>
        </w:rPr>
      </w:pPr>
      <w:r>
        <w:rPr>
          <w:rFonts w:ascii="Arial" w:hAnsi="Arial" w:cs="Arial"/>
        </w:rPr>
        <w:t>IPD</w:t>
      </w:r>
      <w:r w:rsidR="00113775" w:rsidRPr="00113775">
        <w:rPr>
          <w:rFonts w:ascii="Arial" w:hAnsi="Arial" w:cs="Arial"/>
        </w:rPr>
        <w:t>, HDU, PICU, and</w:t>
      </w:r>
      <w:r w:rsidR="009E1A37">
        <w:rPr>
          <w:rFonts w:ascii="Arial" w:hAnsi="Arial" w:cs="Arial"/>
        </w:rPr>
        <w:t xml:space="preserve"> </w:t>
      </w:r>
      <w:r>
        <w:rPr>
          <w:rFonts w:ascii="Arial" w:hAnsi="Arial" w:cs="Arial"/>
        </w:rPr>
        <w:t>OPD</w:t>
      </w:r>
      <w:r w:rsidR="00113775" w:rsidRPr="00113775">
        <w:rPr>
          <w:rFonts w:ascii="Arial" w:hAnsi="Arial" w:cs="Arial"/>
        </w:rPr>
        <w:t>.</w:t>
      </w:r>
    </w:p>
    <w:p w14:paraId="2396C861" w14:textId="77777777" w:rsidR="002C0D36" w:rsidRDefault="002C0D36" w:rsidP="0059137C">
      <w:pPr>
        <w:pStyle w:val="Body"/>
        <w:spacing w:after="0" w:line="480" w:lineRule="auto"/>
        <w:rPr>
          <w:rFonts w:ascii="Arial" w:hAnsi="Arial" w:cs="Arial"/>
        </w:rPr>
      </w:pPr>
    </w:p>
    <w:p w14:paraId="3C93C12F" w14:textId="77777777" w:rsidR="002C0D36" w:rsidRDefault="00113775"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laboratory setting</w:t>
      </w:r>
    </w:p>
    <w:p w14:paraId="36D0E3C6" w14:textId="508F1488" w:rsidR="00113775" w:rsidRDefault="00113775" w:rsidP="0059137C">
      <w:pPr>
        <w:pStyle w:val="Body"/>
        <w:spacing w:after="0" w:line="480" w:lineRule="auto"/>
        <w:rPr>
          <w:rFonts w:ascii="Arial" w:hAnsi="Arial" w:cs="Arial"/>
        </w:rPr>
      </w:pPr>
      <w:r w:rsidRPr="00113775">
        <w:rPr>
          <w:rFonts w:ascii="Arial" w:hAnsi="Arial" w:cs="Arial"/>
        </w:rPr>
        <w:t>Institutional diagnostic laboratory for routine blood investigations (CBC, LFT, RFT, serum calcium, serum phosphate), and serum vitamin D measurement using DIA</w:t>
      </w:r>
      <w:r>
        <w:rPr>
          <w:rFonts w:ascii="Arial" w:hAnsi="Arial" w:cs="Arial"/>
        </w:rPr>
        <w:t xml:space="preserve"> </w:t>
      </w:r>
      <w:r w:rsidRPr="00113775">
        <w:rPr>
          <w:rFonts w:ascii="Arial" w:hAnsi="Arial" w:cs="Arial"/>
        </w:rPr>
        <w:t>source 25</w:t>
      </w:r>
      <w:r w:rsidR="00B048D3">
        <w:rPr>
          <w:rFonts w:ascii="Arial" w:hAnsi="Arial" w:cs="Arial"/>
        </w:rPr>
        <w:t>-</w:t>
      </w:r>
      <w:r w:rsidRPr="00113775">
        <w:rPr>
          <w:rFonts w:ascii="Arial" w:hAnsi="Arial" w:cs="Arial"/>
        </w:rPr>
        <w:t>OH Vitamin D ELISA kit.</w:t>
      </w:r>
    </w:p>
    <w:p w14:paraId="6E148CCE" w14:textId="77777777" w:rsidR="002C0D36" w:rsidRDefault="002C0D36" w:rsidP="0059137C">
      <w:pPr>
        <w:pStyle w:val="Body"/>
        <w:spacing w:after="0" w:line="480" w:lineRule="auto"/>
        <w:rPr>
          <w:rFonts w:ascii="Arial" w:hAnsi="Arial" w:cs="Arial"/>
        </w:rPr>
      </w:pPr>
    </w:p>
    <w:p w14:paraId="3285B1B6" w14:textId="77777777" w:rsidR="002C0D36" w:rsidRDefault="00B048D3" w:rsidP="0059137C">
      <w:pPr>
        <w:pStyle w:val="Body"/>
        <w:spacing w:after="0" w:line="480" w:lineRule="auto"/>
        <w:rPr>
          <w:rFonts w:ascii="Arial" w:hAnsi="Arial" w:cs="Arial"/>
          <w:b/>
          <w:sz w:val="22"/>
        </w:rPr>
      </w:pPr>
      <w:r w:rsidRPr="00C30A0F">
        <w:rPr>
          <w:rFonts w:ascii="Arial" w:hAnsi="Arial" w:cs="Arial"/>
          <w:b/>
          <w:caps/>
          <w:sz w:val="22"/>
        </w:rPr>
        <w:t>2.</w:t>
      </w:r>
      <w:r w:rsidR="00580714">
        <w:rPr>
          <w:rFonts w:ascii="Arial" w:hAnsi="Arial" w:cs="Arial"/>
          <w:b/>
          <w:caps/>
          <w:sz w:val="22"/>
        </w:rPr>
        <w:t>3</w:t>
      </w:r>
      <w:r w:rsidRPr="00C30A0F">
        <w:rPr>
          <w:rFonts w:ascii="Arial" w:hAnsi="Arial" w:cs="Arial"/>
          <w:b/>
          <w:caps/>
          <w:sz w:val="22"/>
        </w:rPr>
        <w:t xml:space="preserve"> </w:t>
      </w:r>
      <w:r>
        <w:rPr>
          <w:rFonts w:ascii="Arial" w:hAnsi="Arial" w:cs="Arial"/>
          <w:b/>
          <w:sz w:val="22"/>
        </w:rPr>
        <w:t>Participants</w:t>
      </w:r>
    </w:p>
    <w:p w14:paraId="43CC3A22" w14:textId="77777777" w:rsidR="002C0D36" w:rsidRDefault="002C0D36" w:rsidP="0059137C">
      <w:pPr>
        <w:pStyle w:val="Body"/>
        <w:spacing w:after="0" w:line="480" w:lineRule="auto"/>
        <w:rPr>
          <w:rFonts w:ascii="Arial" w:hAnsi="Arial" w:cs="Arial"/>
          <w:b/>
          <w:sz w:val="22"/>
        </w:rPr>
      </w:pPr>
    </w:p>
    <w:p w14:paraId="07DE9E6F" w14:textId="6D640E4E" w:rsidR="00113775" w:rsidRDefault="00B048D3" w:rsidP="0059137C">
      <w:pPr>
        <w:pStyle w:val="Body"/>
        <w:spacing w:after="0" w:line="480" w:lineRule="auto"/>
        <w:rPr>
          <w:rFonts w:ascii="Arial" w:hAnsi="Arial" w:cs="Arial"/>
          <w:bCs/>
          <w:szCs w:val="18"/>
        </w:rPr>
      </w:pPr>
      <w:r>
        <w:rPr>
          <w:rFonts w:ascii="Arial" w:hAnsi="Arial" w:cs="Arial"/>
          <w:b/>
          <w:sz w:val="22"/>
        </w:rPr>
        <w:t xml:space="preserve"> </w:t>
      </w:r>
      <w:r w:rsidRPr="00B048D3">
        <w:rPr>
          <w:rFonts w:ascii="Arial" w:hAnsi="Arial" w:cs="Arial"/>
          <w:bCs/>
          <w:szCs w:val="18"/>
        </w:rPr>
        <w:t>Eligible participants were children aged 6 months–12 years with a clinical diagnosis of epilepsy, on levetiracetam monotherapy, attending either OPD or IPD.</w:t>
      </w:r>
    </w:p>
    <w:p w14:paraId="4DFE64CC" w14:textId="77777777" w:rsidR="002C0D36" w:rsidRPr="00B048D3" w:rsidRDefault="002C0D36" w:rsidP="0059137C">
      <w:pPr>
        <w:pStyle w:val="Body"/>
        <w:spacing w:after="0" w:line="480" w:lineRule="auto"/>
        <w:rPr>
          <w:rFonts w:ascii="Arial" w:hAnsi="Arial" w:cs="Arial"/>
          <w:bCs/>
        </w:rPr>
      </w:pPr>
    </w:p>
    <w:p w14:paraId="7727DC81" w14:textId="77777777" w:rsidR="002C0D36" w:rsidRDefault="00580714" w:rsidP="0059137C">
      <w:pPr>
        <w:pStyle w:val="Body"/>
        <w:spacing w:after="0" w:line="480" w:lineRule="auto"/>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Pr="00580714">
        <w:rPr>
          <w:rFonts w:ascii="Arial" w:hAnsi="Arial" w:cs="Arial"/>
          <w:b/>
          <w:u w:val="single"/>
        </w:rPr>
        <w:t>Inclusion criteria</w:t>
      </w:r>
    </w:p>
    <w:p w14:paraId="36A2588C" w14:textId="7E5DFFB6" w:rsidR="00505F06" w:rsidRDefault="00580714" w:rsidP="0059137C">
      <w:pPr>
        <w:pStyle w:val="Body"/>
        <w:spacing w:after="0" w:line="480" w:lineRule="auto"/>
        <w:rPr>
          <w:rFonts w:ascii="Arial" w:hAnsi="Arial" w:cs="Arial"/>
          <w:bCs/>
        </w:rPr>
      </w:pPr>
      <w:r w:rsidRPr="00580714">
        <w:rPr>
          <w:rFonts w:ascii="Arial" w:hAnsi="Arial" w:cs="Arial"/>
          <w:bCs/>
        </w:rPr>
        <w:t>Children diagnosed with epilepsy (as per ILAE criteria) based on history and clinical examination, maintained on levetiracetam monotherapy.</w:t>
      </w:r>
    </w:p>
    <w:p w14:paraId="33755CD8" w14:textId="77777777" w:rsidR="002C0D36" w:rsidRDefault="002C0D36" w:rsidP="0059137C">
      <w:pPr>
        <w:pStyle w:val="Body"/>
        <w:spacing w:after="0" w:line="480" w:lineRule="auto"/>
        <w:rPr>
          <w:rFonts w:ascii="Arial" w:hAnsi="Arial" w:cs="Arial"/>
          <w:bCs/>
        </w:rPr>
      </w:pPr>
    </w:p>
    <w:p w14:paraId="369CE6EA" w14:textId="77777777" w:rsidR="002C0D36" w:rsidRDefault="00580714" w:rsidP="0059137C">
      <w:pPr>
        <w:pStyle w:val="Body"/>
        <w:spacing w:after="0" w:line="480" w:lineRule="auto"/>
        <w:rPr>
          <w:rFonts w:ascii="Arial" w:hAnsi="Arial" w:cs="Arial"/>
          <w:b/>
          <w:bCs/>
          <w:i/>
        </w:rPr>
      </w:pPr>
      <w:r w:rsidRPr="00580714">
        <w:rPr>
          <w:rFonts w:ascii="Arial" w:hAnsi="Arial" w:cs="Arial"/>
          <w:b/>
          <w:bCs/>
          <w:i/>
        </w:rPr>
        <w:t>2.</w:t>
      </w:r>
      <w:r>
        <w:rPr>
          <w:rFonts w:ascii="Arial" w:hAnsi="Arial" w:cs="Arial"/>
          <w:b/>
          <w:bCs/>
          <w:i/>
        </w:rPr>
        <w:t>3</w:t>
      </w:r>
      <w:r w:rsidRPr="00580714">
        <w:rPr>
          <w:rFonts w:ascii="Arial" w:hAnsi="Arial" w:cs="Arial"/>
          <w:b/>
          <w:bCs/>
          <w:i/>
        </w:rPr>
        <w:t>.1.1 Case definition of epilepsy followed ILAE criteria</w:t>
      </w:r>
    </w:p>
    <w:p w14:paraId="53585AF1" w14:textId="77D161AB" w:rsidR="00580714" w:rsidRDefault="00580714" w:rsidP="0059137C">
      <w:pPr>
        <w:pStyle w:val="Body"/>
        <w:spacing w:after="0" w:line="480" w:lineRule="auto"/>
        <w:rPr>
          <w:rFonts w:ascii="Arial" w:hAnsi="Arial" w:cs="Arial"/>
          <w:iCs/>
        </w:rPr>
      </w:pPr>
      <w:r w:rsidRPr="00580714">
        <w:rPr>
          <w:rFonts w:ascii="Arial" w:hAnsi="Arial" w:cs="Arial"/>
          <w:iCs/>
        </w:rPr>
        <w:t xml:space="preserve"> ≥2 unprovoked seizures &gt;24h apart; one unprovoked seizure with ≥</w:t>
      </w:r>
      <w:r>
        <w:rPr>
          <w:rFonts w:ascii="Arial" w:hAnsi="Arial" w:cs="Arial"/>
          <w:iCs/>
        </w:rPr>
        <w:t xml:space="preserve"> </w:t>
      </w:r>
      <w:r w:rsidRPr="00580714">
        <w:rPr>
          <w:rFonts w:ascii="Arial" w:hAnsi="Arial" w:cs="Arial"/>
          <w:iCs/>
        </w:rPr>
        <w:t>60% recurrence risk over 10 years; or epilepsy syndrome diagnosis.</w:t>
      </w:r>
    </w:p>
    <w:p w14:paraId="3CA33543" w14:textId="77777777" w:rsidR="002C0D36" w:rsidRPr="00580714" w:rsidRDefault="002C0D36" w:rsidP="0059137C">
      <w:pPr>
        <w:pStyle w:val="Body"/>
        <w:spacing w:after="0" w:line="480" w:lineRule="auto"/>
        <w:rPr>
          <w:rFonts w:ascii="Arial" w:hAnsi="Arial" w:cs="Arial"/>
          <w:iCs/>
        </w:rPr>
      </w:pPr>
    </w:p>
    <w:p w14:paraId="2AE959D0" w14:textId="77777777" w:rsidR="002C0D36" w:rsidRDefault="00580714" w:rsidP="0059137C">
      <w:pPr>
        <w:pStyle w:val="Body"/>
        <w:spacing w:after="0" w:line="480" w:lineRule="auto"/>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exc</w:t>
      </w:r>
      <w:r w:rsidRPr="00580714">
        <w:rPr>
          <w:rFonts w:ascii="Arial" w:hAnsi="Arial" w:cs="Arial"/>
          <w:b/>
          <w:u w:val="single"/>
        </w:rPr>
        <w:t>lusion criteria</w:t>
      </w:r>
    </w:p>
    <w:p w14:paraId="547A634E" w14:textId="00EF9CAF" w:rsidR="00580714" w:rsidRDefault="00580714" w:rsidP="0059137C">
      <w:pPr>
        <w:pStyle w:val="Body"/>
        <w:spacing w:after="0" w:line="480" w:lineRule="auto"/>
        <w:rPr>
          <w:rFonts w:ascii="Arial" w:hAnsi="Arial" w:cs="Arial"/>
          <w:bCs/>
        </w:rPr>
      </w:pPr>
      <w:r w:rsidRPr="00580714">
        <w:rPr>
          <w:rFonts w:ascii="Arial" w:hAnsi="Arial" w:cs="Arial"/>
          <w:bCs/>
        </w:rPr>
        <w:t>Children requiring add-on/change to another antiepileptic drug, wheelchair-bound children, prior multivitamin intake before blood sampling, those on steroids, diuretics, calcium or vitamin D supplementation, or with pre-existing renal disease.</w:t>
      </w:r>
    </w:p>
    <w:p w14:paraId="4567939E" w14:textId="77777777" w:rsidR="002C0D36" w:rsidRDefault="002C0D36" w:rsidP="0059137C">
      <w:pPr>
        <w:pStyle w:val="Body"/>
        <w:spacing w:after="0" w:line="480" w:lineRule="auto"/>
        <w:rPr>
          <w:rFonts w:ascii="Arial" w:hAnsi="Arial" w:cs="Arial"/>
          <w:bCs/>
        </w:rPr>
      </w:pPr>
    </w:p>
    <w:p w14:paraId="31A83CD7" w14:textId="4E4DA8B7" w:rsidR="002C0D36" w:rsidRDefault="002C0D36"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2C0D36">
        <w:rPr>
          <w:rFonts w:ascii="Arial" w:hAnsi="Arial" w:cs="Arial"/>
          <w:b/>
          <w:sz w:val="22"/>
        </w:rPr>
        <w:t>Study Size</w:t>
      </w:r>
    </w:p>
    <w:p w14:paraId="1864BB2E" w14:textId="77777777" w:rsidR="00B75E56" w:rsidRDefault="00B75E56" w:rsidP="0059137C">
      <w:pPr>
        <w:pStyle w:val="Body"/>
        <w:spacing w:after="0" w:line="480" w:lineRule="auto"/>
        <w:rPr>
          <w:rFonts w:ascii="Arial" w:hAnsi="Arial" w:cs="Arial"/>
          <w:b/>
          <w:sz w:val="22"/>
        </w:rPr>
      </w:pPr>
    </w:p>
    <w:p w14:paraId="6C017419" w14:textId="538111AB" w:rsidR="002C0D36" w:rsidRPr="002C0D36" w:rsidRDefault="002C0D36" w:rsidP="0059137C">
      <w:pPr>
        <w:pStyle w:val="Body"/>
        <w:spacing w:after="0" w:line="480" w:lineRule="auto"/>
        <w:jc w:val="left"/>
        <w:rPr>
          <w:rFonts w:ascii="Arial" w:hAnsi="Arial" w:cs="Arial"/>
          <w:bCs/>
        </w:rPr>
      </w:pPr>
      <w:r w:rsidRPr="002C0D36">
        <w:rPr>
          <w:rFonts w:ascii="Arial" w:hAnsi="Arial" w:cs="Arial"/>
          <w:bCs/>
        </w:rPr>
        <w:t>Sample size was calculated using the formula:</w:t>
      </w:r>
      <w:r w:rsidRPr="002C0D36">
        <w:rPr>
          <w:rFonts w:ascii="Arial" w:hAnsi="Arial" w:cs="Arial"/>
          <w:bCs/>
        </w:rPr>
        <w:br/>
      </w:r>
      <w:r w:rsidRPr="002C0D36">
        <w:rPr>
          <w:rFonts w:ascii="Arial" w:hAnsi="Arial" w:cs="Arial"/>
          <w:bCs/>
          <w:i/>
          <w:iCs/>
        </w:rPr>
        <w:t>n = [Z(1-α/2</w:t>
      </w:r>
      <w:r w:rsidR="002D15CA" w:rsidRPr="002C0D36">
        <w:rPr>
          <w:rFonts w:ascii="Arial" w:hAnsi="Arial" w:cs="Arial"/>
          <w:bCs/>
          <w:i/>
          <w:iCs/>
        </w:rPr>
        <w:t>)] ²</w:t>
      </w:r>
      <w:r w:rsidRPr="002C0D36">
        <w:rPr>
          <w:rFonts w:ascii="Arial" w:hAnsi="Arial" w:cs="Arial"/>
          <w:bCs/>
          <w:i/>
          <w:iCs/>
        </w:rPr>
        <w:t xml:space="preserve"> (S</w:t>
      </w:r>
      <w:r w:rsidRPr="002C0D36">
        <w:rPr>
          <w:rFonts w:ascii="Cambria Math" w:hAnsi="Cambria Math" w:cs="Cambria Math"/>
          <w:bCs/>
          <w:i/>
          <w:iCs/>
        </w:rPr>
        <w:t>₁</w:t>
      </w:r>
      <w:r w:rsidRPr="002C0D36">
        <w:rPr>
          <w:rFonts w:ascii="Arial" w:hAnsi="Arial" w:cs="Arial"/>
          <w:bCs/>
          <w:i/>
          <w:iCs/>
        </w:rPr>
        <w:t>² + S</w:t>
      </w:r>
      <w:r w:rsidRPr="002C0D36">
        <w:rPr>
          <w:rFonts w:ascii="Cambria Math" w:hAnsi="Cambria Math" w:cs="Cambria Math"/>
          <w:bCs/>
          <w:i/>
          <w:iCs/>
        </w:rPr>
        <w:t>₂</w:t>
      </w:r>
      <w:r w:rsidRPr="002C0D36">
        <w:rPr>
          <w:rFonts w:ascii="Arial" w:hAnsi="Arial" w:cs="Arial"/>
          <w:bCs/>
          <w:i/>
          <w:iCs/>
        </w:rPr>
        <w:t>²)/d²</w:t>
      </w:r>
      <w:r w:rsidRPr="002C0D36">
        <w:rPr>
          <w:rFonts w:ascii="Arial" w:hAnsi="Arial" w:cs="Arial"/>
          <w:bCs/>
        </w:rPr>
        <w:br/>
        <w:t>where Z(1-α/2) = 1.96, S</w:t>
      </w:r>
      <w:r w:rsidRPr="002C0D36">
        <w:rPr>
          <w:rFonts w:ascii="Cambria Math" w:hAnsi="Cambria Math" w:cs="Cambria Math"/>
          <w:bCs/>
        </w:rPr>
        <w:t>₁</w:t>
      </w:r>
      <w:r w:rsidRPr="002C0D36">
        <w:rPr>
          <w:rFonts w:ascii="Arial" w:hAnsi="Arial" w:cs="Arial"/>
          <w:bCs/>
        </w:rPr>
        <w:t>=0.48, S</w:t>
      </w:r>
      <w:r w:rsidRPr="002C0D36">
        <w:rPr>
          <w:rFonts w:ascii="Cambria Math" w:hAnsi="Cambria Math" w:cs="Cambria Math"/>
          <w:bCs/>
        </w:rPr>
        <w:t>₂</w:t>
      </w:r>
      <w:r w:rsidRPr="002C0D36">
        <w:rPr>
          <w:rFonts w:ascii="Arial" w:hAnsi="Arial" w:cs="Arial"/>
          <w:bCs/>
        </w:rPr>
        <w:t>=0.5, and d=0.16. The estimated sample size was 72.06, rounded to 72. Assuming 10% attrition, the final sample size was 79 participants.</w:t>
      </w:r>
    </w:p>
    <w:p w14:paraId="017D5DF6" w14:textId="77777777" w:rsidR="002C0D36" w:rsidRDefault="002C0D36" w:rsidP="0059137C">
      <w:pPr>
        <w:pStyle w:val="Body"/>
        <w:spacing w:after="0" w:line="480" w:lineRule="auto"/>
        <w:rPr>
          <w:rFonts w:ascii="Arial" w:hAnsi="Arial" w:cs="Arial"/>
          <w:bCs/>
        </w:rPr>
      </w:pPr>
    </w:p>
    <w:p w14:paraId="2A780833" w14:textId="2D15F2B7" w:rsidR="002C0D36" w:rsidRDefault="002C0D36"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2C0D36">
        <w:rPr>
          <w:rFonts w:ascii="Arial" w:hAnsi="Arial" w:cs="Arial"/>
          <w:b/>
          <w:sz w:val="22"/>
        </w:rPr>
        <w:t>Variables</w:t>
      </w:r>
    </w:p>
    <w:p w14:paraId="78E3F06F" w14:textId="77777777" w:rsidR="00B75E56" w:rsidRDefault="00B75E56" w:rsidP="0059137C">
      <w:pPr>
        <w:pStyle w:val="Body"/>
        <w:spacing w:after="0" w:line="480" w:lineRule="auto"/>
        <w:rPr>
          <w:rFonts w:ascii="Arial" w:hAnsi="Arial" w:cs="Arial"/>
          <w:b/>
          <w:sz w:val="22"/>
        </w:rPr>
      </w:pPr>
    </w:p>
    <w:p w14:paraId="7E44A661" w14:textId="431BC74B" w:rsidR="002C0D36" w:rsidRDefault="002C0D36" w:rsidP="0059137C">
      <w:pPr>
        <w:pStyle w:val="Body"/>
        <w:spacing w:after="0" w:line="480" w:lineRule="auto"/>
        <w:rPr>
          <w:rFonts w:ascii="Arial" w:hAnsi="Arial" w:cs="Arial"/>
          <w:bCs/>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00B75E56" w:rsidRPr="00B75E56">
        <w:rPr>
          <w:rFonts w:ascii="Arial" w:hAnsi="Arial" w:cs="Arial"/>
          <w:b/>
          <w:bCs/>
          <w:u w:val="single"/>
        </w:rPr>
        <w:t>Demographics:</w:t>
      </w:r>
      <w:r w:rsidR="00B75E56" w:rsidRPr="00B75E56">
        <w:rPr>
          <w:rFonts w:ascii="Arial" w:hAnsi="Arial" w:cs="Arial"/>
          <w:b/>
          <w:u w:val="single"/>
        </w:rPr>
        <w:t xml:space="preserve"> </w:t>
      </w:r>
      <w:r w:rsidR="00B75E56" w:rsidRPr="00B75E56">
        <w:rPr>
          <w:rFonts w:ascii="Arial" w:hAnsi="Arial" w:cs="Arial"/>
          <w:bCs/>
        </w:rPr>
        <w:t>Age, sex.</w:t>
      </w:r>
    </w:p>
    <w:p w14:paraId="38176240" w14:textId="77777777" w:rsidR="00B75E56" w:rsidRPr="00580714" w:rsidRDefault="00B75E56" w:rsidP="0059137C">
      <w:pPr>
        <w:pStyle w:val="Body"/>
        <w:spacing w:after="0" w:line="480" w:lineRule="auto"/>
        <w:rPr>
          <w:rFonts w:ascii="Arial" w:hAnsi="Arial" w:cs="Arial"/>
          <w:bCs/>
        </w:rPr>
      </w:pPr>
    </w:p>
    <w:p w14:paraId="643C01FE" w14:textId="363433F8" w:rsidR="00790ADA"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75E56">
        <w:rPr>
          <w:rFonts w:ascii="Arial" w:hAnsi="Arial" w:cs="Arial"/>
          <w:b/>
          <w:bCs/>
          <w:u w:val="single"/>
        </w:rPr>
        <w:t xml:space="preserve">Clinical: </w:t>
      </w:r>
      <w:r w:rsidRPr="00B75E56">
        <w:rPr>
          <w:rFonts w:ascii="Arial" w:hAnsi="Arial" w:cs="Arial"/>
        </w:rPr>
        <w:t>Type and subtype of epilepsy, seizure frequency in the preceding 6 months, seizure-free period (months).</w:t>
      </w:r>
    </w:p>
    <w:p w14:paraId="0A2DDBD0" w14:textId="77777777" w:rsidR="00B75E56" w:rsidRDefault="00B75E56" w:rsidP="0059137C">
      <w:pPr>
        <w:pStyle w:val="Body"/>
        <w:spacing w:after="0" w:line="480" w:lineRule="auto"/>
        <w:rPr>
          <w:rFonts w:ascii="Arial" w:hAnsi="Arial" w:cs="Arial"/>
          <w:b/>
          <w:bCs/>
          <w:u w:val="single"/>
        </w:rPr>
      </w:pPr>
    </w:p>
    <w:p w14:paraId="7B5BC02E" w14:textId="02432792" w:rsidR="00B75E56"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B75E56">
        <w:rPr>
          <w:rFonts w:ascii="Arial" w:hAnsi="Arial" w:cs="Arial"/>
          <w:b/>
          <w:bCs/>
          <w:u w:val="single"/>
        </w:rPr>
        <w:t>Laboratory:</w:t>
      </w:r>
      <w:r w:rsidRPr="00B75E56">
        <w:rPr>
          <w:rFonts w:ascii="Arial" w:hAnsi="Arial" w:cs="Arial"/>
        </w:rPr>
        <w:t xml:space="preserve"> Hemoglobin, TLC, platelet count, urea, creatinine, alkaline phosphatase, AST, ALT, serum albumin, serum calcium, vitamin D, phosphate.</w:t>
      </w:r>
    </w:p>
    <w:p w14:paraId="09892162" w14:textId="77777777" w:rsidR="00B75E56" w:rsidRPr="00B75E56" w:rsidRDefault="00B75E56" w:rsidP="0059137C">
      <w:pPr>
        <w:pStyle w:val="Body"/>
        <w:spacing w:after="0" w:line="480" w:lineRule="auto"/>
        <w:rPr>
          <w:rFonts w:ascii="Arial" w:hAnsi="Arial" w:cs="Arial"/>
        </w:rPr>
      </w:pPr>
    </w:p>
    <w:p w14:paraId="01AAD11B" w14:textId="1BC63100" w:rsidR="00B75E56"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B75E56">
        <w:rPr>
          <w:rFonts w:ascii="Arial" w:hAnsi="Arial" w:cs="Arial"/>
          <w:b/>
          <w:bCs/>
          <w:u w:val="single"/>
        </w:rPr>
        <w:t xml:space="preserve">Outcomes: </w:t>
      </w:r>
      <w:r w:rsidRPr="00B75E56">
        <w:rPr>
          <w:rFonts w:ascii="Arial" w:hAnsi="Arial" w:cs="Arial"/>
        </w:rPr>
        <w:t>Change in serum calcium and vitamin D at baseline vs 6 months</w:t>
      </w:r>
      <w:r>
        <w:rPr>
          <w:rFonts w:ascii="Arial" w:hAnsi="Arial" w:cs="Arial"/>
        </w:rPr>
        <w:t>.</w:t>
      </w:r>
    </w:p>
    <w:p w14:paraId="7F112AC7" w14:textId="77777777" w:rsidR="00B75E56" w:rsidRPr="00B75E56" w:rsidRDefault="00B75E56" w:rsidP="0059137C">
      <w:pPr>
        <w:pStyle w:val="Body"/>
        <w:spacing w:after="0" w:line="480" w:lineRule="auto"/>
        <w:rPr>
          <w:rFonts w:ascii="Arial" w:hAnsi="Arial" w:cs="Arial"/>
        </w:rPr>
      </w:pPr>
    </w:p>
    <w:p w14:paraId="77622F76" w14:textId="0DEACE53" w:rsidR="00B75E56"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5</w:t>
      </w:r>
      <w:r w:rsidR="00E01516">
        <w:rPr>
          <w:rFonts w:ascii="Arial" w:hAnsi="Arial" w:cs="Arial"/>
          <w:b/>
          <w:u w:val="single"/>
        </w:rPr>
        <w:t xml:space="preserve"> </w:t>
      </w:r>
      <w:r>
        <w:rPr>
          <w:rFonts w:ascii="Arial" w:hAnsi="Arial" w:cs="Arial"/>
          <w:b/>
          <w:u w:val="single"/>
        </w:rPr>
        <w:t>a</w:t>
      </w:r>
      <w:r w:rsidRPr="00B75E56">
        <w:rPr>
          <w:rFonts w:ascii="Arial" w:hAnsi="Arial" w:cs="Arial"/>
          <w:b/>
          <w:bCs/>
          <w:u w:val="single"/>
        </w:rPr>
        <w:t>dverse effects:</w:t>
      </w:r>
      <w:r w:rsidRPr="00B75E56">
        <w:rPr>
          <w:rFonts w:ascii="Arial" w:hAnsi="Arial" w:cs="Arial"/>
        </w:rPr>
        <w:t xml:space="preserve"> Neuropsychiatric (headache, irritability, anxiety, confusion, fatigability, sleepiness, dizziness, behavior abnormality) and musculoskeletal (muscle cramps, numbness, brittle nails, fractures, bone pain)</w:t>
      </w:r>
      <w:r>
        <w:rPr>
          <w:rFonts w:ascii="Arial" w:hAnsi="Arial" w:cs="Arial"/>
        </w:rPr>
        <w:t>.</w:t>
      </w:r>
    </w:p>
    <w:p w14:paraId="14690DCF" w14:textId="77777777" w:rsidR="00B75E56" w:rsidRDefault="00B75E56" w:rsidP="0059137C">
      <w:pPr>
        <w:pStyle w:val="Body"/>
        <w:spacing w:after="0" w:line="480" w:lineRule="auto"/>
        <w:rPr>
          <w:rFonts w:ascii="Arial" w:hAnsi="Arial" w:cs="Arial"/>
        </w:rPr>
      </w:pPr>
    </w:p>
    <w:p w14:paraId="1B34175C" w14:textId="732DE99F" w:rsidR="00B75E56" w:rsidRDefault="00B75E56" w:rsidP="0059137C">
      <w:pPr>
        <w:pStyle w:val="Body"/>
        <w:spacing w:after="0" w:line="480" w:lineRule="auto"/>
        <w:rPr>
          <w:rFonts w:ascii="Arial" w:hAnsi="Arial" w:cs="Arial"/>
          <w:b/>
          <w:sz w:val="22"/>
        </w:rPr>
      </w:pPr>
      <w:r w:rsidRPr="00C30A0F">
        <w:rPr>
          <w:rFonts w:ascii="Arial" w:hAnsi="Arial" w:cs="Arial"/>
          <w:b/>
          <w:caps/>
          <w:sz w:val="22"/>
        </w:rPr>
        <w:lastRenderedPageBreak/>
        <w:t>2.</w:t>
      </w:r>
      <w:r w:rsidR="00A009B0">
        <w:rPr>
          <w:rFonts w:ascii="Arial" w:hAnsi="Arial" w:cs="Arial"/>
          <w:b/>
          <w:caps/>
          <w:sz w:val="22"/>
        </w:rPr>
        <w:t>6</w:t>
      </w:r>
      <w:r w:rsidRPr="00C30A0F">
        <w:rPr>
          <w:rFonts w:ascii="Arial" w:hAnsi="Arial" w:cs="Arial"/>
          <w:b/>
          <w:caps/>
          <w:sz w:val="22"/>
        </w:rPr>
        <w:t xml:space="preserve"> </w:t>
      </w:r>
      <w:r w:rsidR="00733B07">
        <w:rPr>
          <w:rFonts w:ascii="Arial" w:hAnsi="Arial" w:cs="Arial"/>
          <w:b/>
          <w:sz w:val="22"/>
        </w:rPr>
        <w:t>Data</w:t>
      </w:r>
      <w:r w:rsidR="00733B07">
        <w:rPr>
          <w:rFonts w:ascii="Arial" w:hAnsi="Arial" w:cs="Arial"/>
          <w:b/>
          <w:caps/>
          <w:sz w:val="22"/>
        </w:rPr>
        <w:t xml:space="preserve"> </w:t>
      </w:r>
      <w:r w:rsidR="00733B07">
        <w:rPr>
          <w:rFonts w:ascii="Arial" w:hAnsi="Arial" w:cs="Arial"/>
          <w:b/>
          <w:sz w:val="22"/>
        </w:rPr>
        <w:t>collection</w:t>
      </w:r>
      <w:r w:rsidR="00733B07">
        <w:rPr>
          <w:rFonts w:ascii="Arial" w:hAnsi="Arial" w:cs="Arial"/>
          <w:b/>
          <w:caps/>
          <w:sz w:val="22"/>
        </w:rPr>
        <w:t xml:space="preserve"> </w:t>
      </w:r>
      <w:r w:rsidR="00733B07">
        <w:rPr>
          <w:rFonts w:ascii="Arial" w:hAnsi="Arial" w:cs="Arial"/>
          <w:b/>
          <w:sz w:val="22"/>
        </w:rPr>
        <w:t>and</w:t>
      </w:r>
      <w:r w:rsidR="00733B07">
        <w:rPr>
          <w:rFonts w:ascii="Arial" w:hAnsi="Arial" w:cs="Arial"/>
          <w:b/>
          <w:caps/>
          <w:sz w:val="22"/>
        </w:rPr>
        <w:t xml:space="preserve"> </w:t>
      </w:r>
      <w:r w:rsidR="00A009B0" w:rsidRPr="00A009B0">
        <w:rPr>
          <w:rFonts w:ascii="Arial" w:hAnsi="Arial" w:cs="Arial"/>
          <w:b/>
          <w:sz w:val="22"/>
        </w:rPr>
        <w:t>Measurements</w:t>
      </w:r>
    </w:p>
    <w:p w14:paraId="2189738B" w14:textId="77777777" w:rsidR="00733B07" w:rsidRDefault="00733B07" w:rsidP="0059137C">
      <w:pPr>
        <w:pStyle w:val="Body"/>
        <w:spacing w:after="0" w:line="480" w:lineRule="auto"/>
        <w:rPr>
          <w:rFonts w:ascii="Arial" w:hAnsi="Arial" w:cs="Arial"/>
          <w:b/>
          <w:sz w:val="22"/>
        </w:rPr>
      </w:pPr>
    </w:p>
    <w:p w14:paraId="52457574" w14:textId="649AA71B" w:rsidR="00A009B0" w:rsidRDefault="00A009B0" w:rsidP="0059137C">
      <w:pPr>
        <w:pStyle w:val="Body"/>
        <w:spacing w:after="0" w:line="480" w:lineRule="auto"/>
        <w:rPr>
          <w:rFonts w:ascii="Arial" w:hAnsi="Arial" w:cs="Arial"/>
          <w:bCs/>
          <w:szCs w:val="18"/>
        </w:rPr>
      </w:pPr>
      <w:r w:rsidRPr="00A009B0">
        <w:rPr>
          <w:rFonts w:ascii="Arial" w:hAnsi="Arial" w:cs="Arial"/>
          <w:bCs/>
          <w:szCs w:val="18"/>
        </w:rPr>
        <w:t>All data were collected prospectively using a structured proforma, WHO growth charts, case sheets, and laboratory results. Laboratory assays followed standardized institutional protocols.</w:t>
      </w:r>
      <w:r w:rsidR="00733B07" w:rsidRPr="00733B07">
        <w:t xml:space="preserve"> </w:t>
      </w:r>
      <w:r w:rsidR="00733B07" w:rsidRPr="00733B07">
        <w:rPr>
          <w:rFonts w:ascii="Arial" w:hAnsi="Arial" w:cs="Arial"/>
          <w:bCs/>
          <w:szCs w:val="18"/>
        </w:rPr>
        <w:t>Baseline clinical examination and laboratory tests (</w:t>
      </w:r>
      <w:r w:rsidR="009E1A37">
        <w:rPr>
          <w:rFonts w:ascii="Arial" w:hAnsi="Arial" w:cs="Arial"/>
          <w:bCs/>
          <w:szCs w:val="18"/>
        </w:rPr>
        <w:t>hemoglobin</w:t>
      </w:r>
      <w:r w:rsidR="00733B07" w:rsidRPr="00733B07">
        <w:rPr>
          <w:rFonts w:ascii="Arial" w:hAnsi="Arial" w:cs="Arial"/>
          <w:bCs/>
          <w:szCs w:val="18"/>
        </w:rPr>
        <w:t>, urea, creatinine, ALP, bilirubin, albumin, calcium, phosphate, 25-OH vitamin D) were done. Vitamin D deficiency was defined as &lt;20 ng/ml</w:t>
      </w:r>
      <w:r w:rsidR="00B64406">
        <w:rPr>
          <w:rFonts w:ascii="Arial" w:hAnsi="Arial" w:cs="Arial"/>
          <w:bCs/>
          <w:szCs w:val="18"/>
        </w:rPr>
        <w:t xml:space="preserve">, </w:t>
      </w:r>
      <w:r w:rsidR="00190E84">
        <w:rPr>
          <w:rFonts w:ascii="Arial" w:hAnsi="Arial" w:cs="Arial"/>
          <w:bCs/>
          <w:szCs w:val="18"/>
        </w:rPr>
        <w:t xml:space="preserve">vitamin D </w:t>
      </w:r>
      <w:r w:rsidR="00B64406">
        <w:rPr>
          <w:rFonts w:ascii="Arial" w:hAnsi="Arial" w:cs="Arial"/>
          <w:bCs/>
          <w:szCs w:val="18"/>
        </w:rPr>
        <w:t>insufficiency 20-40 ng/ml</w:t>
      </w:r>
      <w:r w:rsidR="00733B07" w:rsidRPr="00733B07">
        <w:rPr>
          <w:rFonts w:ascii="Arial" w:hAnsi="Arial" w:cs="Arial"/>
          <w:bCs/>
          <w:szCs w:val="18"/>
        </w:rPr>
        <w:t xml:space="preserve"> and normal calcium as 8.5–10.5 mg/dl. All patients received levetiracetam, titrated to response. Follow-up at 6 months assessed seizure frequency and side effects using a questionnaire, and data were analyzed for outcomes.</w:t>
      </w:r>
    </w:p>
    <w:p w14:paraId="496ABD72" w14:textId="77777777" w:rsidR="00A009B0" w:rsidRDefault="00A009B0" w:rsidP="0059137C">
      <w:pPr>
        <w:pStyle w:val="Body"/>
        <w:spacing w:after="0" w:line="480" w:lineRule="auto"/>
        <w:rPr>
          <w:rFonts w:ascii="Arial" w:hAnsi="Arial" w:cs="Arial"/>
          <w:bCs/>
          <w:szCs w:val="18"/>
        </w:rPr>
      </w:pPr>
    </w:p>
    <w:p w14:paraId="0879065B" w14:textId="0451C2B8" w:rsidR="00A009B0" w:rsidRDefault="00A009B0"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A009B0">
        <w:rPr>
          <w:rFonts w:ascii="Arial" w:hAnsi="Arial" w:cs="Arial"/>
          <w:b/>
          <w:sz w:val="22"/>
        </w:rPr>
        <w:t>Bias</w:t>
      </w:r>
    </w:p>
    <w:p w14:paraId="30215A8A" w14:textId="77777777" w:rsidR="00A009B0" w:rsidRDefault="00A009B0" w:rsidP="0059137C">
      <w:pPr>
        <w:pStyle w:val="Body"/>
        <w:spacing w:after="0" w:line="480" w:lineRule="auto"/>
        <w:rPr>
          <w:rFonts w:ascii="Arial" w:hAnsi="Arial" w:cs="Arial"/>
          <w:b/>
          <w:sz w:val="22"/>
        </w:rPr>
      </w:pPr>
    </w:p>
    <w:p w14:paraId="065C6790" w14:textId="4D7C817D" w:rsidR="00A009B0" w:rsidRDefault="00A009B0" w:rsidP="0059137C">
      <w:pPr>
        <w:pStyle w:val="Body"/>
        <w:spacing w:after="0" w:line="480" w:lineRule="auto"/>
        <w:rPr>
          <w:rFonts w:ascii="Arial" w:hAnsi="Arial" w:cs="Arial"/>
          <w:bCs/>
          <w:szCs w:val="18"/>
        </w:rPr>
      </w:pPr>
      <w:r w:rsidRPr="00A009B0">
        <w:rPr>
          <w:rFonts w:ascii="Arial" w:hAnsi="Arial" w:cs="Arial"/>
          <w:bCs/>
          <w:szCs w:val="18"/>
        </w:rPr>
        <w:t>Selection bias was minimized by including consecutive eligible cases. Recall bias regarding seizure frequency was reduced by corroborating parental reports with clinical notes. Laboratory assays were conducted using standardized kits to reduce measurement bias.</w:t>
      </w:r>
    </w:p>
    <w:p w14:paraId="06031699" w14:textId="77777777" w:rsidR="00A009B0" w:rsidRDefault="00A009B0" w:rsidP="0059137C">
      <w:pPr>
        <w:pStyle w:val="Body"/>
        <w:spacing w:after="0" w:line="480" w:lineRule="auto"/>
        <w:rPr>
          <w:rFonts w:ascii="Arial" w:hAnsi="Arial" w:cs="Arial"/>
          <w:bCs/>
          <w:szCs w:val="18"/>
        </w:rPr>
      </w:pPr>
    </w:p>
    <w:p w14:paraId="6C64F0FB" w14:textId="13E75F90" w:rsidR="00A009B0" w:rsidRDefault="00A009B0"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Pr="00A009B0">
        <w:rPr>
          <w:rFonts w:ascii="Arial" w:hAnsi="Arial" w:cs="Arial"/>
          <w:b/>
          <w:sz w:val="22"/>
        </w:rPr>
        <w:t>Statistical Methods</w:t>
      </w:r>
    </w:p>
    <w:p w14:paraId="6216E21C" w14:textId="77777777" w:rsidR="00A009B0" w:rsidRDefault="00A009B0" w:rsidP="0059137C">
      <w:pPr>
        <w:pStyle w:val="Body"/>
        <w:spacing w:after="0" w:line="480" w:lineRule="auto"/>
        <w:rPr>
          <w:rFonts w:ascii="Arial" w:hAnsi="Arial" w:cs="Arial"/>
          <w:b/>
          <w:sz w:val="22"/>
        </w:rPr>
      </w:pPr>
    </w:p>
    <w:p w14:paraId="275D9925" w14:textId="3A07082B" w:rsidR="00B75E56" w:rsidRPr="00EE7333" w:rsidRDefault="00A009B0" w:rsidP="0059137C">
      <w:pPr>
        <w:pStyle w:val="Body"/>
        <w:spacing w:after="0" w:line="480" w:lineRule="auto"/>
        <w:rPr>
          <w:rFonts w:ascii="Arial" w:hAnsi="Arial" w:cs="Arial"/>
          <w:bCs/>
          <w:szCs w:val="18"/>
        </w:rPr>
      </w:pPr>
      <w:r w:rsidRPr="00A009B0">
        <w:rPr>
          <w:rFonts w:ascii="Arial" w:hAnsi="Arial" w:cs="Arial"/>
          <w:bCs/>
          <w:szCs w:val="18"/>
        </w:rPr>
        <w:t xml:space="preserve">Data were entered into Microsoft Excel and analyzed with SPSS v27. Continuous variables were summarized as mean ± SD or median (IQR). Baseline and 6-month values were compared using the Wilcoxon signed rank test. A </w:t>
      </w:r>
      <w:r w:rsidR="00141A70" w:rsidRPr="00141A70">
        <w:rPr>
          <w:rFonts w:ascii="Arial" w:hAnsi="Arial" w:cs="Arial"/>
          <w:bCs/>
          <w:i/>
          <w:iCs/>
          <w:szCs w:val="18"/>
        </w:rPr>
        <w:t>P</w:t>
      </w:r>
      <w:r w:rsidRPr="00A009B0">
        <w:rPr>
          <w:rFonts w:ascii="Arial" w:hAnsi="Arial" w:cs="Arial"/>
          <w:bCs/>
          <w:szCs w:val="18"/>
        </w:rPr>
        <w:t>-value &lt;.05 was considered statistically significant.</w:t>
      </w:r>
    </w:p>
    <w:p w14:paraId="3B3F0EFE" w14:textId="77777777" w:rsidR="00B75E56" w:rsidRPr="00FB3A86" w:rsidRDefault="00B75E56" w:rsidP="0059137C">
      <w:pPr>
        <w:pStyle w:val="Body"/>
        <w:spacing w:after="0" w:line="480" w:lineRule="auto"/>
        <w:rPr>
          <w:rFonts w:ascii="Arial" w:hAnsi="Arial" w:cs="Arial"/>
        </w:rPr>
      </w:pPr>
    </w:p>
    <w:p w14:paraId="6D254982" w14:textId="77777777" w:rsidR="00902823" w:rsidRDefault="00000F8F" w:rsidP="0059137C">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81F111" w14:textId="77777777" w:rsidR="00790ADA" w:rsidRPr="00FB3A86" w:rsidRDefault="00790ADA" w:rsidP="0059137C">
      <w:pPr>
        <w:pStyle w:val="Head1"/>
        <w:spacing w:after="0" w:line="480" w:lineRule="auto"/>
        <w:jc w:val="both"/>
        <w:rPr>
          <w:rFonts w:ascii="Arial" w:hAnsi="Arial" w:cs="Arial"/>
        </w:rPr>
      </w:pPr>
    </w:p>
    <w:p w14:paraId="6EC9BB63" w14:textId="5EF55AEC" w:rsidR="006117C3" w:rsidRDefault="00E01080" w:rsidP="0059137C">
      <w:pPr>
        <w:tabs>
          <w:tab w:val="left" w:pos="1080"/>
        </w:tabs>
        <w:spacing w:line="480" w:lineRule="auto"/>
        <w:jc w:val="both"/>
        <w:rPr>
          <w:rFonts w:ascii="Arial" w:hAnsi="Arial" w:cs="Arial"/>
          <w:lang w:val="en-IN"/>
        </w:rPr>
      </w:pPr>
      <w:r>
        <w:rPr>
          <w:rFonts w:ascii="Arial" w:hAnsi="Arial" w:cs="Arial"/>
          <w:lang w:val="en-IN"/>
        </w:rPr>
        <w:t xml:space="preserve">79 </w:t>
      </w:r>
      <w:r w:rsidRPr="006117C3">
        <w:rPr>
          <w:rFonts w:ascii="Arial" w:hAnsi="Arial" w:cs="Arial"/>
          <w:lang w:val="en-IN"/>
        </w:rPr>
        <w:t>children</w:t>
      </w:r>
      <w:r w:rsidR="006117C3" w:rsidRPr="006117C3">
        <w:rPr>
          <w:rFonts w:ascii="Arial" w:hAnsi="Arial" w:cs="Arial"/>
          <w:lang w:val="en-IN"/>
        </w:rPr>
        <w:t xml:space="preserve"> aged 6 months–12 years were enrolled, with a male predominance (55.7%). The majority (62%) were between 13 months–5 years. Generalised epilepsy was the most common type (81%), particularly generalised tonic-</w:t>
      </w:r>
      <w:proofErr w:type="spellStart"/>
      <w:r w:rsidR="006117C3" w:rsidRPr="006117C3">
        <w:rPr>
          <w:rFonts w:ascii="Arial" w:hAnsi="Arial" w:cs="Arial"/>
          <w:lang w:val="en-IN"/>
        </w:rPr>
        <w:t>clonic</w:t>
      </w:r>
      <w:proofErr w:type="spellEnd"/>
      <w:r w:rsidR="006117C3" w:rsidRPr="006117C3">
        <w:rPr>
          <w:rFonts w:ascii="Arial" w:hAnsi="Arial" w:cs="Arial"/>
          <w:lang w:val="en-IN"/>
        </w:rPr>
        <w:t xml:space="preserve"> seizures (65.8%), while focal seizures accounted for 13.9%. At baseline, 55.7% had no prior seizure episodes, and 44.3% reported a definite history.</w:t>
      </w:r>
    </w:p>
    <w:p w14:paraId="5C4AC742" w14:textId="77777777" w:rsidR="009A287C" w:rsidRPr="006117C3" w:rsidRDefault="009A287C" w:rsidP="0059137C">
      <w:pPr>
        <w:tabs>
          <w:tab w:val="left" w:pos="1080"/>
        </w:tabs>
        <w:spacing w:line="480" w:lineRule="auto"/>
        <w:jc w:val="both"/>
        <w:rPr>
          <w:rFonts w:ascii="Arial" w:hAnsi="Arial" w:cs="Arial"/>
          <w:lang w:val="en-IN"/>
        </w:rPr>
      </w:pPr>
    </w:p>
    <w:p w14:paraId="4C26A968" w14:textId="2C3426B9" w:rsid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Seizure control improved markedly with levetiracetam. At follow-up, 64.5% of children were seizure-free, while the proportion experiencing ≥2 seizures declined from 12.7% to 7.6%. Mean seizure duration reduced significantly from </w:t>
      </w:r>
      <w:r w:rsidRPr="006117C3">
        <w:rPr>
          <w:rFonts w:ascii="Arial" w:hAnsi="Arial" w:cs="Arial"/>
          <w:lang w:val="en-IN"/>
        </w:rPr>
        <w:lastRenderedPageBreak/>
        <w:t>8.92±6.63 to 7.51±5.73 minutes (</w:t>
      </w:r>
      <w:r w:rsidR="00E01080" w:rsidRPr="00E01080">
        <w:rPr>
          <w:rFonts w:ascii="Arial" w:hAnsi="Arial" w:cs="Arial"/>
          <w:i/>
          <w:iCs/>
          <w:lang w:val="en-IN"/>
        </w:rPr>
        <w:t>P</w:t>
      </w:r>
      <w:r w:rsidR="00E01080">
        <w:rPr>
          <w:rFonts w:ascii="Arial" w:hAnsi="Arial" w:cs="Arial"/>
          <w:i/>
          <w:iCs/>
          <w:lang w:val="en-IN"/>
        </w:rPr>
        <w:t xml:space="preserve"> </w:t>
      </w:r>
      <w:r w:rsidR="00E01080">
        <w:rPr>
          <w:rFonts w:ascii="Arial" w:hAnsi="Arial" w:cs="Arial"/>
          <w:lang w:val="en-IN"/>
        </w:rPr>
        <w:t>=</w:t>
      </w:r>
      <w:r w:rsidRPr="006117C3">
        <w:rPr>
          <w:rFonts w:ascii="Arial" w:hAnsi="Arial" w:cs="Arial"/>
          <w:lang w:val="en-IN"/>
        </w:rPr>
        <w:t xml:space="preserve">.01). These findings are consistent with Garg et al. </w:t>
      </w:r>
      <w:r w:rsidR="002C5B62">
        <w:rPr>
          <w:rFonts w:ascii="Arial" w:hAnsi="Arial" w:cs="Arial"/>
          <w:lang w:val="en-IN"/>
        </w:rPr>
        <w:t>(17)</w:t>
      </w:r>
      <w:r w:rsidRPr="006117C3">
        <w:rPr>
          <w:rFonts w:ascii="Arial" w:hAnsi="Arial" w:cs="Arial"/>
          <w:lang w:val="en-IN"/>
        </w:rPr>
        <w:t xml:space="preserve">, who observed a majority of children achieving adequate seizure control on levetiracetam monotherapy. Similarly, Cormier et al. </w:t>
      </w:r>
      <w:r w:rsidR="00E12B01">
        <w:rPr>
          <w:rFonts w:ascii="Arial" w:hAnsi="Arial" w:cs="Arial"/>
          <w:lang w:val="en-IN"/>
        </w:rPr>
        <w:t>(20)</w:t>
      </w:r>
      <w:r w:rsidRPr="006117C3">
        <w:rPr>
          <w:rFonts w:ascii="Arial" w:hAnsi="Arial" w:cs="Arial"/>
          <w:lang w:val="en-IN"/>
        </w:rPr>
        <w:t xml:space="preserve"> demonstrated its efficacy and tolerability across paediatric age groups.</w:t>
      </w:r>
    </w:p>
    <w:p w14:paraId="2D53EB4A" w14:textId="77777777" w:rsidR="009A287C" w:rsidRPr="006117C3" w:rsidRDefault="009A287C" w:rsidP="0059137C">
      <w:pPr>
        <w:tabs>
          <w:tab w:val="left" w:pos="1080"/>
        </w:tabs>
        <w:spacing w:line="480" w:lineRule="auto"/>
        <w:jc w:val="both"/>
        <w:rPr>
          <w:rFonts w:ascii="Arial" w:hAnsi="Arial" w:cs="Arial"/>
          <w:lang w:val="en-IN"/>
        </w:rPr>
      </w:pPr>
    </w:p>
    <w:p w14:paraId="023DD453" w14:textId="7E55D2F9" w:rsid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Routine haematological, renal, and hepatic parameters remained stable, with no significant change from baseline to 6 months. This aligns with findings by Garg et al. </w:t>
      </w:r>
      <w:r w:rsidR="00CA1F13">
        <w:rPr>
          <w:rFonts w:ascii="Arial" w:hAnsi="Arial" w:cs="Arial"/>
          <w:lang w:val="en-IN"/>
        </w:rPr>
        <w:t>(17)</w:t>
      </w:r>
      <w:r w:rsidRPr="006117C3">
        <w:rPr>
          <w:rFonts w:ascii="Arial" w:hAnsi="Arial" w:cs="Arial"/>
          <w:lang w:val="en-IN"/>
        </w:rPr>
        <w:t>, who also noted no clinically relevant biochemical alterations with levetiracetam.</w:t>
      </w:r>
    </w:p>
    <w:p w14:paraId="1EF7FFA2" w14:textId="77777777" w:rsidR="009A287C" w:rsidRPr="006117C3" w:rsidRDefault="009A287C" w:rsidP="0059137C">
      <w:pPr>
        <w:tabs>
          <w:tab w:val="left" w:pos="1080"/>
        </w:tabs>
        <w:spacing w:line="480" w:lineRule="auto"/>
        <w:jc w:val="both"/>
        <w:rPr>
          <w:rFonts w:ascii="Arial" w:hAnsi="Arial" w:cs="Arial"/>
          <w:lang w:val="en-IN"/>
        </w:rPr>
      </w:pPr>
    </w:p>
    <w:p w14:paraId="30485BDE" w14:textId="4946A62F" w:rsidR="009A287C"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In contrast, biochemical bone markers showed </w:t>
      </w:r>
      <w:r w:rsidR="00E12B01">
        <w:rPr>
          <w:rFonts w:ascii="Arial" w:hAnsi="Arial" w:cs="Arial"/>
          <w:lang w:val="en-IN"/>
        </w:rPr>
        <w:t xml:space="preserve">a </w:t>
      </w:r>
      <w:r w:rsidRPr="006117C3">
        <w:rPr>
          <w:rFonts w:ascii="Arial" w:hAnsi="Arial" w:cs="Arial"/>
          <w:lang w:val="en-IN"/>
        </w:rPr>
        <w:t>significant change.</w:t>
      </w:r>
      <w:r w:rsidR="009A287C">
        <w:rPr>
          <w:rFonts w:ascii="Arial" w:hAnsi="Arial" w:cs="Arial"/>
          <w:lang w:val="en-IN"/>
        </w:rPr>
        <w:t xml:space="preserve"> Table 1 showed that  </w:t>
      </w:r>
      <w:r w:rsidRPr="006117C3">
        <w:rPr>
          <w:rFonts w:ascii="Arial" w:hAnsi="Arial" w:cs="Arial"/>
          <w:lang w:val="en-IN"/>
        </w:rPr>
        <w:t xml:space="preserve"> Serum calcium decreased from 9.18±0.61 to 9.01±0.63 mg/dl (</w:t>
      </w:r>
      <w:r w:rsidR="00E01080" w:rsidRPr="00E01080">
        <w:rPr>
          <w:rFonts w:ascii="Arial" w:hAnsi="Arial" w:cs="Arial"/>
          <w:i/>
          <w:iCs/>
          <w:lang w:val="en-IN"/>
        </w:rPr>
        <w:t>P</w:t>
      </w:r>
      <w:r w:rsidR="00E01080">
        <w:rPr>
          <w:rFonts w:ascii="Arial" w:hAnsi="Arial" w:cs="Arial"/>
          <w:i/>
          <w:iCs/>
          <w:lang w:val="en-IN"/>
        </w:rPr>
        <w:t xml:space="preserve"> </w:t>
      </w:r>
      <w:r w:rsidRPr="006117C3">
        <w:rPr>
          <w:rFonts w:ascii="Arial" w:hAnsi="Arial" w:cs="Arial"/>
          <w:lang w:val="en-IN"/>
        </w:rPr>
        <w:t>=.02), and vitamin D declined from 26.04±6.76 to 25.09±6.34 ng/ml (</w:t>
      </w:r>
      <w:r w:rsidR="00E01080" w:rsidRPr="00E01080">
        <w:rPr>
          <w:rFonts w:ascii="Arial" w:hAnsi="Arial" w:cs="Arial"/>
          <w:i/>
          <w:iCs/>
          <w:lang w:val="en-IN"/>
        </w:rPr>
        <w:t>P</w:t>
      </w:r>
      <w:r w:rsidR="00E01080" w:rsidRPr="006117C3">
        <w:rPr>
          <w:rFonts w:ascii="Arial" w:hAnsi="Arial" w:cs="Arial"/>
          <w:lang w:val="en-IN"/>
        </w:rPr>
        <w:t xml:space="preserve"> </w:t>
      </w:r>
      <w:r w:rsidRPr="006117C3">
        <w:rPr>
          <w:rFonts w:ascii="Arial" w:hAnsi="Arial" w:cs="Arial"/>
          <w:lang w:val="en-IN"/>
        </w:rPr>
        <w:t>=.04)</w:t>
      </w:r>
      <w:r w:rsidR="00E12B01">
        <w:rPr>
          <w:rFonts w:ascii="Arial" w:hAnsi="Arial" w:cs="Arial"/>
          <w:lang w:val="en-IN"/>
        </w:rPr>
        <w:t xml:space="preserve">, </w:t>
      </w:r>
      <w:r w:rsidR="009A287C">
        <w:rPr>
          <w:rFonts w:ascii="Arial" w:hAnsi="Arial" w:cs="Arial"/>
          <w:lang w:val="en-IN"/>
        </w:rPr>
        <w:t>which is statistically significant.</w:t>
      </w:r>
      <w:r w:rsidRPr="006117C3">
        <w:rPr>
          <w:rFonts w:ascii="Arial" w:hAnsi="Arial" w:cs="Arial"/>
          <w:lang w:val="en-IN"/>
        </w:rPr>
        <w:t xml:space="preserve"> </w:t>
      </w:r>
    </w:p>
    <w:p w14:paraId="514F4778" w14:textId="77777777" w:rsidR="009A287C" w:rsidRDefault="009A287C" w:rsidP="0059137C">
      <w:pPr>
        <w:tabs>
          <w:tab w:val="left" w:pos="1080"/>
        </w:tabs>
        <w:spacing w:line="480" w:lineRule="auto"/>
        <w:jc w:val="both"/>
        <w:rPr>
          <w:rFonts w:ascii="Arial" w:hAnsi="Arial" w:cs="Arial"/>
          <w:lang w:val="en-IN"/>
        </w:rPr>
      </w:pPr>
    </w:p>
    <w:p w14:paraId="08FF1151" w14:textId="77777777" w:rsidR="009A287C" w:rsidRPr="00414530" w:rsidRDefault="009A287C" w:rsidP="0059137C">
      <w:pPr>
        <w:spacing w:line="480" w:lineRule="auto"/>
        <w:jc w:val="center"/>
        <w:rPr>
          <w:rFonts w:ascii="Arial" w:hAnsi="Arial" w:cs="Arial"/>
          <w:b/>
          <w:bCs/>
        </w:rPr>
      </w:pPr>
      <w:r w:rsidRPr="00414530">
        <w:rPr>
          <w:rFonts w:ascii="Arial" w:hAnsi="Arial" w:cs="Arial"/>
          <w:b/>
          <w:bCs/>
        </w:rPr>
        <w:t>Table 1: Comparison of calcium and vitamin D level between baseline and 6 months</w:t>
      </w:r>
    </w:p>
    <w:tbl>
      <w:tblPr>
        <w:tblStyle w:val="TableGrid"/>
        <w:tblW w:w="8847" w:type="dxa"/>
        <w:tblInd w:w="1272" w:type="dxa"/>
        <w:tblLook w:val="04A0" w:firstRow="1" w:lastRow="0" w:firstColumn="1" w:lastColumn="0" w:noHBand="0" w:noVBand="1"/>
      </w:tblPr>
      <w:tblGrid>
        <w:gridCol w:w="3350"/>
        <w:gridCol w:w="2248"/>
        <w:gridCol w:w="1973"/>
        <w:gridCol w:w="1276"/>
      </w:tblGrid>
      <w:tr w:rsidR="009A287C" w:rsidRPr="00414530" w14:paraId="288C3335" w14:textId="77777777" w:rsidTr="00EE7333">
        <w:trPr>
          <w:trHeight w:val="623"/>
        </w:trPr>
        <w:tc>
          <w:tcPr>
            <w:tcW w:w="3350" w:type="dxa"/>
          </w:tcPr>
          <w:p w14:paraId="3C481489"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Investigations</w:t>
            </w:r>
          </w:p>
        </w:tc>
        <w:tc>
          <w:tcPr>
            <w:tcW w:w="2248" w:type="dxa"/>
          </w:tcPr>
          <w:p w14:paraId="3448A9E1"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Baseline</w:t>
            </w:r>
          </w:p>
        </w:tc>
        <w:tc>
          <w:tcPr>
            <w:tcW w:w="1973" w:type="dxa"/>
          </w:tcPr>
          <w:p w14:paraId="62A9FBF8"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6 months</w:t>
            </w:r>
          </w:p>
        </w:tc>
        <w:tc>
          <w:tcPr>
            <w:tcW w:w="1276" w:type="dxa"/>
          </w:tcPr>
          <w:p w14:paraId="2E345421" w14:textId="7BF0CCFD" w:rsidR="009A287C" w:rsidRPr="00414530" w:rsidRDefault="00E01080" w:rsidP="0059137C">
            <w:pPr>
              <w:spacing w:line="480" w:lineRule="auto"/>
              <w:jc w:val="center"/>
              <w:rPr>
                <w:rFonts w:ascii="Arial" w:hAnsi="Arial" w:cs="Arial"/>
                <w:b/>
                <w:bCs/>
                <w:sz w:val="20"/>
                <w:szCs w:val="20"/>
              </w:rPr>
            </w:pPr>
            <w:r w:rsidRPr="00E01080">
              <w:rPr>
                <w:rFonts w:ascii="Arial" w:hAnsi="Arial" w:cs="Arial"/>
                <w:b/>
                <w:bCs/>
                <w:i/>
                <w:iCs/>
                <w:sz w:val="20"/>
                <w:szCs w:val="20"/>
              </w:rPr>
              <w:t>P</w:t>
            </w:r>
            <w:r w:rsidR="009A287C" w:rsidRPr="00414530">
              <w:rPr>
                <w:rFonts w:ascii="Arial" w:hAnsi="Arial" w:cs="Arial"/>
                <w:b/>
                <w:bCs/>
                <w:sz w:val="20"/>
                <w:szCs w:val="20"/>
              </w:rPr>
              <w:t xml:space="preserve"> value</w:t>
            </w:r>
          </w:p>
        </w:tc>
      </w:tr>
      <w:tr w:rsidR="009A287C" w:rsidRPr="00414530" w14:paraId="7F61B602" w14:textId="77777777" w:rsidTr="00EE7333">
        <w:trPr>
          <w:trHeight w:val="623"/>
        </w:trPr>
        <w:tc>
          <w:tcPr>
            <w:tcW w:w="3350" w:type="dxa"/>
          </w:tcPr>
          <w:p w14:paraId="25953B18"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Serum Ca2+ (mg/dl)</w:t>
            </w:r>
          </w:p>
        </w:tc>
        <w:tc>
          <w:tcPr>
            <w:tcW w:w="2248" w:type="dxa"/>
          </w:tcPr>
          <w:p w14:paraId="6908BC17"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9.18±0.61</w:t>
            </w:r>
          </w:p>
        </w:tc>
        <w:tc>
          <w:tcPr>
            <w:tcW w:w="1973" w:type="dxa"/>
          </w:tcPr>
          <w:p w14:paraId="0F24BD4A"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9.01±0.63</w:t>
            </w:r>
          </w:p>
        </w:tc>
        <w:tc>
          <w:tcPr>
            <w:tcW w:w="1276" w:type="dxa"/>
          </w:tcPr>
          <w:p w14:paraId="0F7E67D3"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.02</w:t>
            </w:r>
          </w:p>
        </w:tc>
      </w:tr>
      <w:tr w:rsidR="009A287C" w:rsidRPr="00414530" w14:paraId="2483C4A6" w14:textId="77777777" w:rsidTr="00EE7333">
        <w:trPr>
          <w:trHeight w:val="623"/>
        </w:trPr>
        <w:tc>
          <w:tcPr>
            <w:tcW w:w="3350" w:type="dxa"/>
          </w:tcPr>
          <w:p w14:paraId="629058F2"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Serum vitamin D(ng/ml)</w:t>
            </w:r>
          </w:p>
        </w:tc>
        <w:tc>
          <w:tcPr>
            <w:tcW w:w="2248" w:type="dxa"/>
          </w:tcPr>
          <w:p w14:paraId="56B11D3F"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26.04±6.76</w:t>
            </w:r>
          </w:p>
        </w:tc>
        <w:tc>
          <w:tcPr>
            <w:tcW w:w="1973" w:type="dxa"/>
          </w:tcPr>
          <w:p w14:paraId="63BBD1DA"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25.09±6.34</w:t>
            </w:r>
          </w:p>
        </w:tc>
        <w:tc>
          <w:tcPr>
            <w:tcW w:w="1276" w:type="dxa"/>
          </w:tcPr>
          <w:p w14:paraId="376E7B7A"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.04</w:t>
            </w:r>
          </w:p>
        </w:tc>
      </w:tr>
    </w:tbl>
    <w:p w14:paraId="6E1BD929" w14:textId="77777777" w:rsidR="009A287C" w:rsidRDefault="009A287C" w:rsidP="0059137C">
      <w:pPr>
        <w:spacing w:line="480" w:lineRule="auto"/>
        <w:rPr>
          <w:rFonts w:ascii="Arial" w:hAnsi="Arial" w:cs="Arial"/>
          <w:i/>
          <w:iCs/>
          <w:sz w:val="18"/>
          <w:szCs w:val="18"/>
        </w:rPr>
      </w:pPr>
    </w:p>
    <w:p w14:paraId="3D66F753" w14:textId="77777777" w:rsidR="009A287C" w:rsidRPr="00414530" w:rsidRDefault="009A287C" w:rsidP="0059137C">
      <w:pPr>
        <w:spacing w:line="480" w:lineRule="auto"/>
        <w:rPr>
          <w:rFonts w:ascii="Arial" w:hAnsi="Arial" w:cs="Arial"/>
          <w:i/>
          <w:iCs/>
          <w:sz w:val="18"/>
          <w:szCs w:val="18"/>
        </w:rPr>
      </w:pPr>
      <w:r>
        <w:rPr>
          <w:rFonts w:ascii="Arial" w:hAnsi="Arial" w:cs="Arial"/>
          <w:i/>
          <w:iCs/>
          <w:sz w:val="18"/>
          <w:szCs w:val="18"/>
        </w:rPr>
        <w:t>*</w:t>
      </w:r>
      <w:r w:rsidRPr="00414530">
        <w:rPr>
          <w:rFonts w:ascii="Arial" w:hAnsi="Arial" w:cs="Arial"/>
          <w:i/>
          <w:iCs/>
          <w:sz w:val="18"/>
          <w:szCs w:val="18"/>
        </w:rPr>
        <w:t>Paired t test or Wilcoxon signed rank test applied</w:t>
      </w:r>
    </w:p>
    <w:p w14:paraId="03428CD5" w14:textId="77777777" w:rsidR="009A287C" w:rsidRDefault="009A287C" w:rsidP="0059137C">
      <w:pPr>
        <w:tabs>
          <w:tab w:val="left" w:pos="1080"/>
        </w:tabs>
        <w:spacing w:line="480" w:lineRule="auto"/>
        <w:jc w:val="both"/>
        <w:rPr>
          <w:rFonts w:ascii="Arial" w:hAnsi="Arial" w:cs="Arial"/>
          <w:lang w:val="en-IN"/>
        </w:rPr>
      </w:pPr>
    </w:p>
    <w:p w14:paraId="190729F4" w14:textId="1A9815CE" w:rsid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19% of children were vitamin D deficient and 39.2% insufficient, rising to 20.3% and 48.1% respectively at 6 months. These results parallel those of Jeyakumar et al. </w:t>
      </w:r>
      <w:r w:rsidR="00CA1F13">
        <w:rPr>
          <w:rFonts w:ascii="Arial" w:hAnsi="Arial" w:cs="Arial"/>
          <w:lang w:val="en-IN"/>
        </w:rPr>
        <w:t>(16)</w:t>
      </w:r>
      <w:r w:rsidRPr="006117C3">
        <w:rPr>
          <w:rFonts w:ascii="Arial" w:hAnsi="Arial" w:cs="Arial"/>
          <w:lang w:val="en-IN"/>
        </w:rPr>
        <w:t xml:space="preserve">, who reported significant reductions in calcium and phosphorus with levetiracetam therapy, and Sen et al. </w:t>
      </w:r>
      <w:r w:rsidR="00CA1F13">
        <w:rPr>
          <w:rFonts w:ascii="Arial" w:hAnsi="Arial" w:cs="Arial"/>
          <w:lang w:val="en-IN"/>
        </w:rPr>
        <w:t>(21)</w:t>
      </w:r>
      <w:r w:rsidRPr="006117C3">
        <w:rPr>
          <w:rFonts w:ascii="Arial" w:hAnsi="Arial" w:cs="Arial"/>
          <w:lang w:val="en-IN"/>
        </w:rPr>
        <w:t xml:space="preserve">, who found </w:t>
      </w:r>
      <w:r w:rsidR="00E12B01">
        <w:rPr>
          <w:rFonts w:ascii="Arial" w:hAnsi="Arial" w:cs="Arial"/>
          <w:lang w:val="en-IN"/>
        </w:rPr>
        <w:t xml:space="preserve">a </w:t>
      </w:r>
      <w:r w:rsidRPr="006117C3">
        <w:rPr>
          <w:rFonts w:ascii="Arial" w:hAnsi="Arial" w:cs="Arial"/>
          <w:lang w:val="en-IN"/>
        </w:rPr>
        <w:t xml:space="preserve">high prevalence of hypovitaminosis D among children on levetiracetam or valproate. In contrast, Garg </w:t>
      </w:r>
      <w:r w:rsidR="00CA1F13" w:rsidRPr="006117C3">
        <w:rPr>
          <w:rFonts w:ascii="Arial" w:hAnsi="Arial" w:cs="Arial"/>
          <w:lang w:val="en-IN"/>
        </w:rPr>
        <w:t>et al.</w:t>
      </w:r>
      <w:r w:rsidR="00CA1F13">
        <w:rPr>
          <w:rFonts w:ascii="Arial" w:hAnsi="Arial" w:cs="Arial"/>
          <w:lang w:val="en-IN"/>
        </w:rPr>
        <w:t xml:space="preserve"> (17)</w:t>
      </w:r>
      <w:r w:rsidRPr="006117C3">
        <w:rPr>
          <w:rFonts w:ascii="Arial" w:hAnsi="Arial" w:cs="Arial"/>
          <w:lang w:val="en-IN"/>
        </w:rPr>
        <w:t xml:space="preserve"> reported non-significant changes in calcium and vitamin D, highlighting variability across populations.</w:t>
      </w:r>
    </w:p>
    <w:p w14:paraId="1B050CD6" w14:textId="77777777" w:rsidR="009A287C" w:rsidRPr="006117C3" w:rsidRDefault="009A287C" w:rsidP="0059137C">
      <w:pPr>
        <w:tabs>
          <w:tab w:val="left" w:pos="1080"/>
        </w:tabs>
        <w:spacing w:line="480" w:lineRule="auto"/>
        <w:jc w:val="both"/>
        <w:rPr>
          <w:rFonts w:ascii="Arial" w:hAnsi="Arial" w:cs="Arial"/>
          <w:lang w:val="en-IN"/>
        </w:rPr>
      </w:pPr>
    </w:p>
    <w:p w14:paraId="6D4045E0" w14:textId="1E9FF9DC" w:rsidR="00364257"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Adverse effects were noted in 44% of children. Neuropsychiatric manifestations were most common,</w:t>
      </w:r>
      <w:r w:rsidR="002755C0">
        <w:rPr>
          <w:rFonts w:ascii="Arial" w:hAnsi="Arial" w:cs="Arial"/>
          <w:lang w:val="en-IN"/>
        </w:rPr>
        <w:t xml:space="preserve"> shown in </w:t>
      </w:r>
      <w:r w:rsidR="00E12B01">
        <w:rPr>
          <w:rFonts w:ascii="Arial" w:hAnsi="Arial" w:cs="Arial"/>
          <w:lang w:val="en-IN"/>
        </w:rPr>
        <w:t>F</w:t>
      </w:r>
      <w:r w:rsidR="002755C0">
        <w:rPr>
          <w:rFonts w:ascii="Arial" w:hAnsi="Arial" w:cs="Arial"/>
          <w:lang w:val="en-IN"/>
        </w:rPr>
        <w:t xml:space="preserve">igure </w:t>
      </w:r>
      <w:r w:rsidR="00E01080">
        <w:rPr>
          <w:rFonts w:ascii="Arial" w:hAnsi="Arial" w:cs="Arial"/>
          <w:lang w:val="en-IN"/>
        </w:rPr>
        <w:t xml:space="preserve">1. Musculoskeletal side effects were shown in </w:t>
      </w:r>
      <w:r w:rsidR="00E12B01">
        <w:rPr>
          <w:rFonts w:ascii="Arial" w:hAnsi="Arial" w:cs="Arial"/>
          <w:lang w:val="en-IN"/>
        </w:rPr>
        <w:t>F</w:t>
      </w:r>
      <w:r w:rsidR="00E01080">
        <w:rPr>
          <w:rFonts w:ascii="Arial" w:hAnsi="Arial" w:cs="Arial"/>
          <w:lang w:val="en-IN"/>
        </w:rPr>
        <w:t>igure 2</w:t>
      </w:r>
      <w:r w:rsidR="00E12B01">
        <w:rPr>
          <w:rFonts w:ascii="Arial" w:hAnsi="Arial" w:cs="Arial"/>
          <w:lang w:val="en-IN"/>
        </w:rPr>
        <w:t>;</w:t>
      </w:r>
      <w:r w:rsidR="00E01080" w:rsidRPr="00E01080">
        <w:rPr>
          <w:rFonts w:ascii="Arial" w:hAnsi="Arial" w:cs="Arial"/>
          <w:lang w:val="en-IN"/>
        </w:rPr>
        <w:t xml:space="preserve"> </w:t>
      </w:r>
      <w:r w:rsidR="00E01080">
        <w:rPr>
          <w:rFonts w:ascii="Arial" w:hAnsi="Arial" w:cs="Arial"/>
          <w:lang w:val="en-IN"/>
        </w:rPr>
        <w:t>among th</w:t>
      </w:r>
      <w:r w:rsidR="00E12B01">
        <w:rPr>
          <w:rFonts w:ascii="Arial" w:hAnsi="Arial" w:cs="Arial"/>
          <w:lang w:val="en-IN"/>
        </w:rPr>
        <w:t>ese,</w:t>
      </w:r>
      <w:r w:rsidR="00E01080">
        <w:rPr>
          <w:rFonts w:ascii="Arial" w:hAnsi="Arial" w:cs="Arial"/>
          <w:lang w:val="en-IN"/>
        </w:rPr>
        <w:t xml:space="preserve"> </w:t>
      </w:r>
      <w:r w:rsidR="00E01080" w:rsidRPr="006117C3">
        <w:rPr>
          <w:rFonts w:ascii="Arial" w:hAnsi="Arial" w:cs="Arial"/>
          <w:lang w:val="en-IN"/>
        </w:rPr>
        <w:t xml:space="preserve">bone pain (16.5%) </w:t>
      </w:r>
      <w:r w:rsidR="00E01080">
        <w:rPr>
          <w:rFonts w:ascii="Arial" w:hAnsi="Arial" w:cs="Arial"/>
          <w:lang w:val="en-IN"/>
        </w:rPr>
        <w:t>was</w:t>
      </w:r>
      <w:r w:rsidR="00E12B01">
        <w:rPr>
          <w:rFonts w:ascii="Arial" w:hAnsi="Arial" w:cs="Arial"/>
          <w:lang w:val="en-IN"/>
        </w:rPr>
        <w:t xml:space="preserve"> the</w:t>
      </w:r>
      <w:r w:rsidR="00E01080">
        <w:rPr>
          <w:rFonts w:ascii="Arial" w:hAnsi="Arial" w:cs="Arial"/>
          <w:lang w:val="en-IN"/>
        </w:rPr>
        <w:t xml:space="preserve"> most common symptom. </w:t>
      </w:r>
    </w:p>
    <w:p w14:paraId="7B8019C2" w14:textId="77777777" w:rsidR="00364257" w:rsidRDefault="00364257" w:rsidP="0059137C">
      <w:pPr>
        <w:tabs>
          <w:tab w:val="left" w:pos="1080"/>
        </w:tabs>
        <w:spacing w:line="480" w:lineRule="auto"/>
        <w:jc w:val="both"/>
        <w:rPr>
          <w:rFonts w:ascii="Arial" w:hAnsi="Arial" w:cs="Arial"/>
          <w:lang w:val="en-IN"/>
        </w:rPr>
      </w:pPr>
    </w:p>
    <w:p w14:paraId="3C757487" w14:textId="77777777" w:rsidR="00364257"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lastRenderedPageBreak/>
        <w:t xml:space="preserve"> </w:t>
      </w:r>
      <w:r w:rsidR="00364257" w:rsidRPr="00A21D8C">
        <w:rPr>
          <w:rFonts w:ascii="Arial" w:hAnsi="Arial" w:cs="Arial"/>
          <w:noProof/>
        </w:rPr>
        <w:drawing>
          <wp:inline distT="0" distB="0" distL="0" distR="0" wp14:anchorId="147B730B" wp14:editId="64E5A4C7">
            <wp:extent cx="5158740" cy="341376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56FADB" w14:textId="3DAAB116" w:rsidR="00364257" w:rsidRDefault="00364257" w:rsidP="0059137C">
      <w:pPr>
        <w:spacing w:line="480" w:lineRule="auto"/>
        <w:jc w:val="both"/>
        <w:rPr>
          <w:rFonts w:ascii="Arial" w:hAnsi="Arial" w:cs="Arial"/>
          <w:b/>
          <w:bCs/>
        </w:rPr>
      </w:pPr>
      <w:r w:rsidRPr="004B75E3">
        <w:rPr>
          <w:rFonts w:ascii="Arial" w:hAnsi="Arial" w:cs="Arial"/>
          <w:b/>
          <w:bCs/>
        </w:rPr>
        <w:t>Figure 1: neuropsychiatric side effects of patients on leve</w:t>
      </w:r>
      <w:r w:rsidR="00285CE7">
        <w:rPr>
          <w:rFonts w:ascii="Arial" w:hAnsi="Arial" w:cs="Arial"/>
          <w:b/>
          <w:bCs/>
        </w:rPr>
        <w:t>tiracetam</w:t>
      </w:r>
      <w:r w:rsidRPr="004B75E3">
        <w:rPr>
          <w:rFonts w:ascii="Arial" w:hAnsi="Arial" w:cs="Arial"/>
          <w:b/>
          <w:bCs/>
        </w:rPr>
        <w:t xml:space="preserve"> monotherapy after 6 months follow up</w:t>
      </w:r>
      <w:r>
        <w:rPr>
          <w:rFonts w:ascii="Arial" w:hAnsi="Arial" w:cs="Arial"/>
          <w:b/>
          <w:bCs/>
        </w:rPr>
        <w:t>(n=79)</w:t>
      </w:r>
    </w:p>
    <w:p w14:paraId="2579F896" w14:textId="77777777" w:rsidR="00E01080" w:rsidRDefault="00E01080" w:rsidP="0059137C">
      <w:pPr>
        <w:spacing w:line="480" w:lineRule="auto"/>
        <w:jc w:val="both"/>
        <w:rPr>
          <w:rFonts w:ascii="Arial" w:hAnsi="Arial" w:cs="Arial"/>
          <w:b/>
          <w:bCs/>
        </w:rPr>
      </w:pPr>
    </w:p>
    <w:p w14:paraId="0D6710CF" w14:textId="77777777" w:rsidR="00E01080" w:rsidRDefault="00E01080" w:rsidP="0059137C">
      <w:pPr>
        <w:spacing w:line="480" w:lineRule="auto"/>
        <w:jc w:val="center"/>
        <w:rPr>
          <w:rFonts w:ascii="Times New Roman" w:hAnsi="Times New Roman"/>
          <w:b/>
          <w:bCs/>
        </w:rPr>
      </w:pPr>
      <w:r>
        <w:rPr>
          <w:rFonts w:ascii="Times New Roman" w:hAnsi="Times New Roman"/>
          <w:b/>
          <w:bCs/>
          <w:noProof/>
        </w:rPr>
        <w:drawing>
          <wp:inline distT="0" distB="0" distL="0" distR="0" wp14:anchorId="058F9574" wp14:editId="72E32974">
            <wp:extent cx="5600700" cy="37242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FC9291" w14:textId="513B47A2" w:rsidR="00E01080" w:rsidRPr="004B75E3" w:rsidRDefault="00E01080" w:rsidP="0059137C">
      <w:pPr>
        <w:spacing w:line="480" w:lineRule="auto"/>
        <w:jc w:val="both"/>
        <w:rPr>
          <w:rFonts w:ascii="Arial" w:hAnsi="Arial" w:cs="Arial"/>
          <w:b/>
          <w:bCs/>
        </w:rPr>
      </w:pPr>
      <w:r w:rsidRPr="004B75E3">
        <w:rPr>
          <w:rFonts w:ascii="Arial" w:hAnsi="Arial" w:cs="Arial"/>
          <w:b/>
          <w:bCs/>
        </w:rPr>
        <w:t xml:space="preserve">Figure </w:t>
      </w:r>
      <w:r>
        <w:rPr>
          <w:rFonts w:ascii="Arial" w:hAnsi="Arial" w:cs="Arial"/>
          <w:b/>
          <w:bCs/>
        </w:rPr>
        <w:t>2</w:t>
      </w:r>
      <w:r w:rsidRPr="004B75E3">
        <w:rPr>
          <w:rFonts w:ascii="Arial" w:hAnsi="Arial" w:cs="Arial"/>
          <w:b/>
          <w:bCs/>
        </w:rPr>
        <w:t xml:space="preserve">: </w:t>
      </w:r>
      <w:r>
        <w:rPr>
          <w:rFonts w:ascii="Arial" w:hAnsi="Arial" w:cs="Arial"/>
          <w:b/>
          <w:bCs/>
        </w:rPr>
        <w:t>musculoskeletal</w:t>
      </w:r>
      <w:r w:rsidRPr="004B75E3">
        <w:rPr>
          <w:rFonts w:ascii="Arial" w:hAnsi="Arial" w:cs="Arial"/>
          <w:b/>
          <w:bCs/>
        </w:rPr>
        <w:t xml:space="preserve"> side effects of patients on leve</w:t>
      </w:r>
      <w:r w:rsidR="00285CE7">
        <w:rPr>
          <w:rFonts w:ascii="Arial" w:hAnsi="Arial" w:cs="Arial"/>
          <w:b/>
          <w:bCs/>
        </w:rPr>
        <w:t>ti</w:t>
      </w:r>
      <w:r w:rsidRPr="004B75E3">
        <w:rPr>
          <w:rFonts w:ascii="Arial" w:hAnsi="Arial" w:cs="Arial"/>
          <w:b/>
          <w:bCs/>
        </w:rPr>
        <w:t>ra</w:t>
      </w:r>
      <w:r w:rsidR="00285CE7">
        <w:rPr>
          <w:rFonts w:ascii="Arial" w:hAnsi="Arial" w:cs="Arial"/>
          <w:b/>
          <w:bCs/>
        </w:rPr>
        <w:t>cetam</w:t>
      </w:r>
      <w:r w:rsidRPr="004B75E3">
        <w:rPr>
          <w:rFonts w:ascii="Arial" w:hAnsi="Arial" w:cs="Arial"/>
          <w:b/>
          <w:bCs/>
        </w:rPr>
        <w:t xml:space="preserve"> monotherapy after 6 months follow up</w:t>
      </w:r>
      <w:r>
        <w:rPr>
          <w:rFonts w:ascii="Arial" w:hAnsi="Arial" w:cs="Arial"/>
          <w:b/>
          <w:bCs/>
        </w:rPr>
        <w:t>(n=79)</w:t>
      </w:r>
    </w:p>
    <w:p w14:paraId="42E13927" w14:textId="0573F5BC" w:rsid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lastRenderedPageBreak/>
        <w:t>No significant correlation was found between vitamin D status and side effects.</w:t>
      </w:r>
      <w:r w:rsidR="00285CE7">
        <w:rPr>
          <w:rFonts w:ascii="Arial" w:hAnsi="Arial" w:cs="Arial"/>
          <w:lang w:val="en-IN"/>
        </w:rPr>
        <w:t xml:space="preserve"> </w:t>
      </w:r>
      <w:proofErr w:type="spellStart"/>
      <w:r w:rsidRPr="006117C3">
        <w:rPr>
          <w:rFonts w:ascii="Arial" w:hAnsi="Arial" w:cs="Arial"/>
          <w:lang w:val="en-IN"/>
        </w:rPr>
        <w:t>Incecik</w:t>
      </w:r>
      <w:proofErr w:type="spellEnd"/>
      <w:r w:rsidRPr="006117C3">
        <w:rPr>
          <w:rFonts w:ascii="Arial" w:hAnsi="Arial" w:cs="Arial"/>
          <w:lang w:val="en-IN"/>
        </w:rPr>
        <w:t xml:space="preserve"> et al. </w:t>
      </w:r>
      <w:r w:rsidR="00CA1F13">
        <w:rPr>
          <w:rFonts w:ascii="Arial" w:hAnsi="Arial" w:cs="Arial"/>
          <w:lang w:val="en-IN"/>
        </w:rPr>
        <w:t>(22)</w:t>
      </w:r>
      <w:r w:rsidRPr="006117C3">
        <w:rPr>
          <w:rFonts w:ascii="Arial" w:hAnsi="Arial" w:cs="Arial"/>
          <w:lang w:val="en-IN"/>
        </w:rPr>
        <w:t xml:space="preserve"> similarly observed behavioural disturbances as the predominant adverse events, though somnolence and fatigue were more common in their cohort.</w:t>
      </w:r>
    </w:p>
    <w:p w14:paraId="234E7A42" w14:textId="77777777" w:rsidR="009A287C" w:rsidRPr="006117C3" w:rsidRDefault="009A287C" w:rsidP="0059137C">
      <w:pPr>
        <w:tabs>
          <w:tab w:val="left" w:pos="1080"/>
        </w:tabs>
        <w:spacing w:line="480" w:lineRule="auto"/>
        <w:jc w:val="both"/>
        <w:rPr>
          <w:rFonts w:ascii="Arial" w:hAnsi="Arial" w:cs="Arial"/>
          <w:lang w:val="en-IN"/>
        </w:rPr>
      </w:pPr>
    </w:p>
    <w:p w14:paraId="555A70E6" w14:textId="6AB7EB71" w:rsidR="006117C3" w:rsidRP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Taken together, our study supports levetiracetam as an effective and generally safe option for paediatric epilepsy, with favourable seizure control and stable systemic parameters. However, the significant decline in calcium and vitamin D mirrors findings from Jeyakumar et al. </w:t>
      </w:r>
      <w:r w:rsidR="00CA1F13">
        <w:rPr>
          <w:rFonts w:ascii="Arial" w:hAnsi="Arial" w:cs="Arial"/>
          <w:lang w:val="en-IN"/>
        </w:rPr>
        <w:t>(16)</w:t>
      </w:r>
      <w:r w:rsidRPr="006117C3">
        <w:rPr>
          <w:rFonts w:ascii="Arial" w:hAnsi="Arial" w:cs="Arial"/>
          <w:lang w:val="en-IN"/>
        </w:rPr>
        <w:t xml:space="preserve"> and Sen et al. </w:t>
      </w:r>
      <w:r w:rsidR="00CA1F13">
        <w:rPr>
          <w:rFonts w:ascii="Arial" w:hAnsi="Arial" w:cs="Arial"/>
          <w:lang w:val="en-IN"/>
        </w:rPr>
        <w:t>(21)</w:t>
      </w:r>
      <w:r w:rsidRPr="006117C3">
        <w:rPr>
          <w:rFonts w:ascii="Arial" w:hAnsi="Arial" w:cs="Arial"/>
          <w:lang w:val="en-IN"/>
        </w:rPr>
        <w:t xml:space="preserve">, emphasising the need for regular monitoring of bone health during therapy. Compared with older enzyme-inducing antiepileptics such as phenytoin or carbamazepine, which cause profound vitamin D metabolism abnormalities </w:t>
      </w:r>
      <w:r w:rsidR="00CA1F13">
        <w:rPr>
          <w:rFonts w:ascii="Arial" w:hAnsi="Arial" w:cs="Arial"/>
          <w:lang w:val="en-IN"/>
        </w:rPr>
        <w:t>(</w:t>
      </w:r>
      <w:r w:rsidRPr="006117C3">
        <w:rPr>
          <w:rFonts w:ascii="Arial" w:hAnsi="Arial" w:cs="Arial"/>
          <w:lang w:val="en-IN"/>
        </w:rPr>
        <w:t>2,</w:t>
      </w:r>
      <w:r w:rsidR="00CA1F13">
        <w:rPr>
          <w:rFonts w:ascii="Arial" w:hAnsi="Arial" w:cs="Arial"/>
          <w:lang w:val="en-IN"/>
        </w:rPr>
        <w:t>23</w:t>
      </w:r>
      <w:r w:rsidRPr="006117C3">
        <w:rPr>
          <w:rFonts w:ascii="Arial" w:hAnsi="Arial" w:cs="Arial"/>
          <w:lang w:val="en-IN"/>
        </w:rPr>
        <w:t>–</w:t>
      </w:r>
      <w:r w:rsidR="00CA1F13">
        <w:rPr>
          <w:rFonts w:ascii="Arial" w:hAnsi="Arial" w:cs="Arial"/>
          <w:lang w:val="en-IN"/>
        </w:rPr>
        <w:t>25)</w:t>
      </w:r>
      <w:r w:rsidRPr="006117C3">
        <w:rPr>
          <w:rFonts w:ascii="Arial" w:hAnsi="Arial" w:cs="Arial"/>
          <w:lang w:val="en-IN"/>
        </w:rPr>
        <w:t>, levetiracetam appears safer, but vigilance regarding bone mineral status remains warranted.</w:t>
      </w:r>
    </w:p>
    <w:p w14:paraId="3CC55DD7" w14:textId="77777777" w:rsidR="00790ADA" w:rsidRPr="00FB3A86" w:rsidRDefault="00790ADA" w:rsidP="0059137C">
      <w:pPr>
        <w:pStyle w:val="Body"/>
        <w:spacing w:after="0" w:line="480" w:lineRule="auto"/>
        <w:rPr>
          <w:rFonts w:ascii="Arial" w:hAnsi="Arial" w:cs="Arial"/>
        </w:rPr>
      </w:pPr>
    </w:p>
    <w:p w14:paraId="7AADE85A" w14:textId="77777777" w:rsidR="00B01FCD" w:rsidRDefault="00000F8F" w:rsidP="0059137C">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7CB7D06F" w14:textId="77777777" w:rsidR="00790ADA" w:rsidRPr="00FB3A86" w:rsidRDefault="00790ADA" w:rsidP="0059137C">
      <w:pPr>
        <w:pStyle w:val="ConcHead"/>
        <w:spacing w:after="0" w:line="480" w:lineRule="auto"/>
        <w:jc w:val="both"/>
        <w:rPr>
          <w:rFonts w:ascii="Arial" w:hAnsi="Arial" w:cs="Arial"/>
        </w:rPr>
      </w:pPr>
    </w:p>
    <w:p w14:paraId="2A748692" w14:textId="7F86D4BC" w:rsidR="00790ADA" w:rsidRDefault="001A3EE5" w:rsidP="0059137C">
      <w:pPr>
        <w:pStyle w:val="Body"/>
        <w:spacing w:after="0" w:line="480" w:lineRule="auto"/>
        <w:rPr>
          <w:rFonts w:ascii="Arial" w:hAnsi="Arial" w:cs="Arial"/>
        </w:rPr>
      </w:pPr>
      <w:r w:rsidRPr="001A3EE5">
        <w:rPr>
          <w:rFonts w:ascii="Arial" w:hAnsi="Arial" w:cs="Arial"/>
        </w:rPr>
        <w:t>Levetiracetam monotherapy in children with epilepsy was effective in reducing seizure frequency and duration, with 64.5% achieving seizure freedom at 6 months. However, it was associated with a modest but statistically significant decline in serum calcium and vitamin D levels, though values largely remained within normal range. Neuropsychiatric and musculoskeletal side effects were observed but not significantly linked to vitamin D status. Overall, levetiracetam appears effective and generally well tolerated, though monitoring of bone health parameters is advisable during long-term therapy.</w:t>
      </w:r>
    </w:p>
    <w:p w14:paraId="79D45C19" w14:textId="77777777" w:rsidR="001A3EE5" w:rsidRPr="00FB3A86" w:rsidRDefault="001A3EE5" w:rsidP="0059137C">
      <w:pPr>
        <w:pStyle w:val="Body"/>
        <w:spacing w:after="0" w:line="480" w:lineRule="auto"/>
        <w:rPr>
          <w:rFonts w:ascii="Arial" w:hAnsi="Arial" w:cs="Arial"/>
        </w:rPr>
      </w:pPr>
    </w:p>
    <w:p w14:paraId="7EB5173B" w14:textId="77777777" w:rsidR="00315186" w:rsidRPr="00315186" w:rsidRDefault="00315186" w:rsidP="0059137C">
      <w:pPr>
        <w:spacing w:line="480" w:lineRule="auto"/>
      </w:pPr>
      <w:bookmarkStart w:id="0" w:name="_GoBack"/>
      <w:bookmarkEnd w:id="0"/>
    </w:p>
    <w:p w14:paraId="05623D66" w14:textId="77777777" w:rsidR="00315186" w:rsidRPr="00315186" w:rsidRDefault="00315186" w:rsidP="0059137C">
      <w:pPr>
        <w:spacing w:line="480" w:lineRule="auto"/>
      </w:pPr>
    </w:p>
    <w:p w14:paraId="282ED927" w14:textId="77777777" w:rsidR="002B685A" w:rsidRDefault="002B685A" w:rsidP="0059137C">
      <w:pPr>
        <w:pStyle w:val="ReferHead"/>
        <w:spacing w:after="0" w:line="480" w:lineRule="auto"/>
        <w:jc w:val="both"/>
        <w:rPr>
          <w:rFonts w:ascii="Arial" w:hAnsi="Arial" w:cs="Arial"/>
          <w:b w:val="0"/>
          <w:caps w:val="0"/>
          <w:sz w:val="20"/>
        </w:rPr>
      </w:pPr>
    </w:p>
    <w:p w14:paraId="284D7D91" w14:textId="2970C132" w:rsidR="002B685A" w:rsidRDefault="002B685A" w:rsidP="0059137C">
      <w:pPr>
        <w:pStyle w:val="ReferHead"/>
        <w:spacing w:after="0" w:line="480" w:lineRule="auto"/>
        <w:jc w:val="both"/>
        <w:rPr>
          <w:rFonts w:ascii="Arial" w:hAnsi="Arial" w:cs="Arial"/>
          <w:bCs/>
        </w:rPr>
      </w:pPr>
      <w:r w:rsidRPr="002B685A">
        <w:rPr>
          <w:rFonts w:ascii="Arial" w:hAnsi="Arial" w:cs="Arial"/>
          <w:bCs/>
        </w:rPr>
        <w:t>Consent</w:t>
      </w:r>
    </w:p>
    <w:p w14:paraId="63FB925B" w14:textId="77777777" w:rsidR="001A29D8" w:rsidRDefault="001A29D8" w:rsidP="0059137C">
      <w:pPr>
        <w:pStyle w:val="ReferHead"/>
        <w:spacing w:after="0" w:line="480" w:lineRule="auto"/>
        <w:jc w:val="both"/>
        <w:rPr>
          <w:rFonts w:ascii="Arial" w:hAnsi="Arial" w:cs="Arial"/>
          <w:b w:val="0"/>
          <w:caps w:val="0"/>
          <w:sz w:val="20"/>
        </w:rPr>
      </w:pPr>
    </w:p>
    <w:p w14:paraId="452AA41F" w14:textId="7AE8AF94" w:rsidR="001A29D8" w:rsidRPr="0065439D" w:rsidRDefault="001A29D8" w:rsidP="0059137C">
      <w:pPr>
        <w:pStyle w:val="ReferHead"/>
        <w:spacing w:after="0" w:line="480" w:lineRule="auto"/>
        <w:jc w:val="both"/>
        <w:rPr>
          <w:rFonts w:ascii="Arial" w:hAnsi="Arial" w:cs="Arial"/>
          <w:b w:val="0"/>
          <w:caps w:val="0"/>
          <w:sz w:val="20"/>
        </w:rPr>
      </w:pPr>
      <w:r w:rsidRPr="0065439D">
        <w:rPr>
          <w:rFonts w:ascii="Arial" w:hAnsi="Arial" w:cs="Arial"/>
          <w:b w:val="0"/>
          <w:caps w:val="0"/>
          <w:sz w:val="20"/>
        </w:rPr>
        <w:t xml:space="preserve">All authors declare that written informed consent was obtained from the patient (or other approved parties) for publication of this </w:t>
      </w:r>
      <w:r w:rsidR="0065439D" w:rsidRPr="0065439D">
        <w:rPr>
          <w:rFonts w:ascii="Arial" w:hAnsi="Arial" w:cs="Arial"/>
          <w:b w:val="0"/>
          <w:caps w:val="0"/>
          <w:sz w:val="20"/>
        </w:rPr>
        <w:t>original research work.</w:t>
      </w:r>
      <w:r w:rsidRPr="0065439D">
        <w:rPr>
          <w:rFonts w:ascii="Arial" w:hAnsi="Arial" w:cs="Arial"/>
          <w:b w:val="0"/>
          <w:caps w:val="0"/>
          <w:sz w:val="20"/>
        </w:rPr>
        <w:t xml:space="preserve"> A copy of the written consent is available for review by the Editorial office/Chief Editor/Editorial Board members of this journal.</w:t>
      </w:r>
    </w:p>
    <w:p w14:paraId="2CAF96D2" w14:textId="77777777" w:rsidR="005C784C" w:rsidRDefault="005C784C" w:rsidP="0059137C">
      <w:pPr>
        <w:pStyle w:val="ReferHead"/>
        <w:spacing w:after="0" w:line="480" w:lineRule="auto"/>
        <w:jc w:val="both"/>
        <w:rPr>
          <w:rFonts w:ascii="Arial" w:hAnsi="Arial" w:cs="Arial"/>
          <w:b w:val="0"/>
          <w:caps w:val="0"/>
          <w:sz w:val="20"/>
        </w:rPr>
      </w:pPr>
    </w:p>
    <w:p w14:paraId="6739BD2B" w14:textId="014884C6" w:rsidR="005C784C" w:rsidRDefault="005C784C" w:rsidP="0059137C">
      <w:pPr>
        <w:pStyle w:val="ReferHead"/>
        <w:spacing w:after="0" w:line="480" w:lineRule="auto"/>
        <w:jc w:val="both"/>
        <w:rPr>
          <w:rFonts w:ascii="Arial" w:hAnsi="Arial" w:cs="Arial"/>
          <w:bCs/>
        </w:rPr>
      </w:pPr>
      <w:r>
        <w:rPr>
          <w:rFonts w:ascii="Arial" w:hAnsi="Arial" w:cs="Arial"/>
          <w:bCs/>
        </w:rPr>
        <w:t xml:space="preserve">Ethical approval </w:t>
      </w:r>
    </w:p>
    <w:p w14:paraId="2D1B1462" w14:textId="77777777" w:rsidR="005C784C" w:rsidRPr="002B685A" w:rsidRDefault="005C784C" w:rsidP="0059137C">
      <w:pPr>
        <w:pStyle w:val="ReferHead"/>
        <w:spacing w:after="0" w:line="480" w:lineRule="auto"/>
        <w:jc w:val="both"/>
        <w:rPr>
          <w:rFonts w:ascii="Arial" w:hAnsi="Arial" w:cs="Arial"/>
          <w:bCs/>
        </w:rPr>
      </w:pPr>
    </w:p>
    <w:p w14:paraId="02E9AD73" w14:textId="3CD789DA" w:rsidR="005C784C" w:rsidRDefault="00EE7333" w:rsidP="0059137C">
      <w:pPr>
        <w:pStyle w:val="ReferHead"/>
        <w:spacing w:after="0" w:line="480" w:lineRule="auto"/>
        <w:jc w:val="both"/>
        <w:rPr>
          <w:rFonts w:ascii="Arial" w:hAnsi="Arial" w:cs="Arial"/>
          <w:b w:val="0"/>
          <w:caps w:val="0"/>
          <w:sz w:val="20"/>
        </w:rPr>
      </w:pPr>
      <w:r w:rsidRPr="00EE7333">
        <w:rPr>
          <w:rFonts w:ascii="Arial" w:hAnsi="Arial" w:cs="Arial"/>
          <w:b w:val="0"/>
          <w:bCs/>
          <w:caps w:val="0"/>
          <w:sz w:val="20"/>
          <w:lang w:val="en-IN"/>
        </w:rPr>
        <w:t xml:space="preserve">This study was approved by the institutional ethics committee </w:t>
      </w:r>
      <w:r>
        <w:rPr>
          <w:rFonts w:ascii="Arial" w:hAnsi="Arial" w:cs="Arial"/>
          <w:b w:val="0"/>
          <w:bCs/>
          <w:caps w:val="0"/>
          <w:sz w:val="20"/>
          <w:lang w:val="en-IN"/>
        </w:rPr>
        <w:t>(IEC)</w:t>
      </w:r>
      <w:r w:rsidRPr="00EE7333">
        <w:rPr>
          <w:rFonts w:ascii="Arial" w:hAnsi="Arial" w:cs="Arial"/>
          <w:b w:val="0"/>
          <w:bCs/>
          <w:caps w:val="0"/>
          <w:sz w:val="20"/>
          <w:lang w:val="en-IN"/>
        </w:rPr>
        <w:t xml:space="preserve"> of </w:t>
      </w:r>
      <w:r>
        <w:rPr>
          <w:rFonts w:ascii="Arial" w:hAnsi="Arial" w:cs="Arial"/>
          <w:b w:val="0"/>
          <w:bCs/>
          <w:caps w:val="0"/>
          <w:sz w:val="20"/>
          <w:lang w:val="en-IN"/>
        </w:rPr>
        <w:t>D</w:t>
      </w:r>
      <w:r w:rsidRPr="00EE7333">
        <w:rPr>
          <w:rFonts w:ascii="Arial" w:hAnsi="Arial" w:cs="Arial"/>
          <w:b w:val="0"/>
          <w:bCs/>
          <w:caps w:val="0"/>
          <w:sz w:val="20"/>
          <w:lang w:val="en-IN"/>
        </w:rPr>
        <w:t>r. B. C. Roy post graduate institute of paediatric sciences, Kolkata. Written informed consent was obtained from the parents or legal guardians of all participants prior to enrolment. The study was conducted in accordance with the ethical principles of the declaration of Helsinki and applicable national guidelines. Patient confidentiality was strictly maintained throughout the study.</w:t>
      </w:r>
      <w:r>
        <w:rPr>
          <w:rFonts w:ascii="Arial" w:hAnsi="Arial" w:cs="Arial"/>
          <w:b w:val="0"/>
          <w:caps w:val="0"/>
          <w:sz w:val="20"/>
        </w:rPr>
        <w:t xml:space="preserve"> Author </w:t>
      </w:r>
      <w:r w:rsidR="005C784C" w:rsidRPr="005C784C">
        <w:rPr>
          <w:rFonts w:ascii="Arial" w:hAnsi="Arial" w:cs="Arial"/>
          <w:b w:val="0"/>
          <w:caps w:val="0"/>
          <w:sz w:val="20"/>
        </w:rPr>
        <w:t xml:space="preserve">confirms that </w:t>
      </w:r>
      <w:r w:rsidR="005C784C">
        <w:rPr>
          <w:rFonts w:ascii="Arial" w:hAnsi="Arial" w:cs="Arial"/>
          <w:b w:val="0"/>
          <w:caps w:val="0"/>
          <w:sz w:val="20"/>
        </w:rPr>
        <w:t xml:space="preserve">this </w:t>
      </w:r>
      <w:r w:rsidR="005C784C" w:rsidRPr="005C784C">
        <w:rPr>
          <w:rFonts w:ascii="Arial" w:hAnsi="Arial" w:cs="Arial"/>
          <w:b w:val="0"/>
          <w:caps w:val="0"/>
          <w:sz w:val="20"/>
        </w:rPr>
        <w:t xml:space="preserve">study is not against the public interest, </w:t>
      </w:r>
      <w:r>
        <w:rPr>
          <w:rFonts w:ascii="Arial" w:hAnsi="Arial" w:cs="Arial"/>
          <w:b w:val="0"/>
          <w:caps w:val="0"/>
          <w:sz w:val="20"/>
        </w:rPr>
        <w:t>and</w:t>
      </w:r>
      <w:r w:rsidR="005C784C" w:rsidRPr="005C784C">
        <w:rPr>
          <w:rFonts w:ascii="Arial" w:hAnsi="Arial" w:cs="Arial"/>
          <w:b w:val="0"/>
          <w:caps w:val="0"/>
          <w:sz w:val="20"/>
        </w:rPr>
        <w:t xml:space="preserve"> the release of information is allowed by legislation.</w:t>
      </w:r>
    </w:p>
    <w:p w14:paraId="32306F42" w14:textId="77777777" w:rsidR="00130A88" w:rsidRDefault="00130A88" w:rsidP="0059137C">
      <w:pPr>
        <w:pStyle w:val="ReferHead"/>
        <w:spacing w:after="0" w:line="480" w:lineRule="auto"/>
        <w:jc w:val="both"/>
        <w:rPr>
          <w:rFonts w:ascii="Arial" w:hAnsi="Arial" w:cs="Arial"/>
          <w:b w:val="0"/>
          <w:caps w:val="0"/>
          <w:sz w:val="20"/>
        </w:rPr>
      </w:pPr>
    </w:p>
    <w:p w14:paraId="2A205334" w14:textId="77777777" w:rsidR="00130A88" w:rsidRDefault="00130A88" w:rsidP="0059137C">
      <w:pPr>
        <w:pStyle w:val="ReferHead"/>
        <w:spacing w:after="0" w:line="480" w:lineRule="auto"/>
        <w:jc w:val="both"/>
        <w:rPr>
          <w:rFonts w:ascii="Arial" w:hAnsi="Arial" w:cs="Arial"/>
          <w:b w:val="0"/>
          <w:caps w:val="0"/>
          <w:sz w:val="20"/>
        </w:rPr>
      </w:pPr>
    </w:p>
    <w:p w14:paraId="6D61E972" w14:textId="77777777" w:rsidR="00130A88" w:rsidRPr="00130A88" w:rsidRDefault="00130A88" w:rsidP="00130A88">
      <w:pPr>
        <w:spacing w:after="200" w:line="276" w:lineRule="auto"/>
        <w:jc w:val="both"/>
        <w:outlineLvl w:val="0"/>
        <w:rPr>
          <w:rFonts w:ascii="Arial" w:eastAsiaTheme="minorEastAsia" w:hAnsi="Arial" w:cs="Arial"/>
          <w:sz w:val="22"/>
          <w:szCs w:val="22"/>
          <w:lang w:val="en-GB" w:eastAsia="en-GB"/>
        </w:rPr>
      </w:pPr>
      <w:r w:rsidRPr="00130A88">
        <w:rPr>
          <w:rFonts w:ascii="Arial" w:eastAsiaTheme="minorEastAsia" w:hAnsi="Arial" w:cs="Arial"/>
          <w:b/>
          <w:bCs/>
          <w:sz w:val="22"/>
          <w:szCs w:val="22"/>
          <w:lang w:val="en-GB" w:eastAsia="en-GB"/>
        </w:rPr>
        <w:t>COMPETING INTERESTS DISCLAIMER:</w:t>
      </w:r>
    </w:p>
    <w:p w14:paraId="6045A7BC" w14:textId="77777777" w:rsidR="00130A88" w:rsidRPr="00130A88" w:rsidRDefault="00130A88" w:rsidP="00130A88">
      <w:pPr>
        <w:spacing w:after="200" w:line="276" w:lineRule="auto"/>
        <w:rPr>
          <w:rFonts w:asciiTheme="minorHAnsi" w:eastAsiaTheme="minorEastAsia" w:hAnsiTheme="minorHAnsi" w:cstheme="minorBidi"/>
          <w:sz w:val="22"/>
          <w:szCs w:val="22"/>
          <w:lang w:val="en-GB" w:eastAsia="en-GB"/>
        </w:rPr>
      </w:pPr>
      <w:r w:rsidRPr="00130A88">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B40B1BC" w14:textId="77777777" w:rsidR="00130A88" w:rsidRPr="00130A88" w:rsidRDefault="00130A88" w:rsidP="00130A88">
      <w:pPr>
        <w:spacing w:after="200" w:line="276" w:lineRule="auto"/>
        <w:rPr>
          <w:rFonts w:asciiTheme="minorHAnsi" w:eastAsiaTheme="minorEastAsia" w:hAnsiTheme="minorHAnsi" w:cstheme="minorBidi"/>
          <w:sz w:val="22"/>
          <w:szCs w:val="22"/>
          <w:lang w:val="en-GB" w:eastAsia="en-GB"/>
        </w:rPr>
      </w:pPr>
    </w:p>
    <w:p w14:paraId="2BEF5C5B" w14:textId="77777777" w:rsidR="00130A88" w:rsidRPr="00130A88" w:rsidRDefault="00130A88" w:rsidP="00130A88">
      <w:pPr>
        <w:spacing w:after="200" w:line="276" w:lineRule="auto"/>
        <w:rPr>
          <w:rFonts w:asciiTheme="minorHAnsi" w:eastAsiaTheme="minorEastAsia" w:hAnsiTheme="minorHAnsi" w:cstheme="minorBidi"/>
          <w:sz w:val="22"/>
          <w:szCs w:val="22"/>
          <w:lang w:val="en-GB" w:eastAsia="en-GB"/>
        </w:rPr>
      </w:pPr>
    </w:p>
    <w:p w14:paraId="5E6B9EE8" w14:textId="77777777" w:rsidR="00130A88" w:rsidRDefault="00130A88" w:rsidP="0059137C">
      <w:pPr>
        <w:pStyle w:val="ReferHead"/>
        <w:spacing w:after="0" w:line="480" w:lineRule="auto"/>
        <w:jc w:val="both"/>
        <w:rPr>
          <w:rFonts w:ascii="Arial" w:hAnsi="Arial" w:cs="Arial"/>
          <w:b w:val="0"/>
          <w:caps w:val="0"/>
          <w:sz w:val="20"/>
        </w:rPr>
      </w:pPr>
    </w:p>
    <w:p w14:paraId="166EA93F" w14:textId="77777777" w:rsidR="009B57FA" w:rsidRPr="00FB3A86" w:rsidRDefault="009B57FA" w:rsidP="009B57FA">
      <w:pPr>
        <w:pStyle w:val="Reference"/>
        <w:numPr>
          <w:ilvl w:val="0"/>
          <w:numId w:val="0"/>
        </w:numPr>
        <w:spacing w:line="480" w:lineRule="auto"/>
        <w:rPr>
          <w:rFonts w:ascii="Arial" w:hAnsi="Arial" w:cs="Arial"/>
        </w:rPr>
      </w:pPr>
    </w:p>
    <w:p w14:paraId="2E5F8B9D" w14:textId="77777777" w:rsidR="009B57FA" w:rsidRDefault="009B57FA" w:rsidP="009B57FA">
      <w:pPr>
        <w:pStyle w:val="DefAcrHead"/>
        <w:spacing w:after="0" w:line="480" w:lineRule="auto"/>
        <w:jc w:val="both"/>
        <w:rPr>
          <w:rFonts w:ascii="Arial" w:hAnsi="Arial" w:cs="Arial"/>
        </w:rPr>
      </w:pPr>
      <w:r w:rsidRPr="00FB3A86">
        <w:rPr>
          <w:rFonts w:ascii="Arial" w:hAnsi="Arial" w:cs="Arial"/>
        </w:rPr>
        <w:t>Definitions, Acronyms, Abbreviations</w:t>
      </w:r>
    </w:p>
    <w:p w14:paraId="227BC294" w14:textId="77777777" w:rsidR="009B57FA" w:rsidRDefault="009B57FA" w:rsidP="009B57FA">
      <w:pPr>
        <w:pStyle w:val="DefAcrHead"/>
        <w:spacing w:after="0" w:line="480" w:lineRule="auto"/>
        <w:jc w:val="both"/>
        <w:rPr>
          <w:rFonts w:ascii="Arial" w:hAnsi="Arial" w:cs="Arial"/>
        </w:rPr>
      </w:pPr>
    </w:p>
    <w:p w14:paraId="00E4789E" w14:textId="77777777" w:rsidR="009B57FA" w:rsidRDefault="009B57FA" w:rsidP="009B57FA">
      <w:pPr>
        <w:pStyle w:val="Body"/>
        <w:spacing w:after="0" w:line="480" w:lineRule="auto"/>
        <w:rPr>
          <w:rFonts w:ascii="Arial" w:hAnsi="Arial" w:cs="Arial"/>
          <w:lang w:val="en-IN"/>
        </w:rPr>
      </w:pPr>
      <w:r w:rsidRPr="00FC7173">
        <w:rPr>
          <w:rFonts w:ascii="Arial" w:hAnsi="Arial" w:cs="Arial"/>
          <w:lang w:val="en-IN"/>
        </w:rPr>
        <w:t>AEDs.</w:t>
      </w:r>
      <w:r>
        <w:rPr>
          <w:rFonts w:ascii="Arial" w:hAnsi="Arial" w:cs="Arial"/>
          <w:lang w:val="en-IN"/>
        </w:rPr>
        <w:t xml:space="preserve"> -</w:t>
      </w:r>
      <w:r w:rsidRPr="00FC7173">
        <w:rPr>
          <w:rFonts w:ascii="Arial" w:hAnsi="Arial" w:cs="Arial"/>
          <w:lang w:val="en-IN"/>
        </w:rPr>
        <w:t xml:space="preserve">antiepileptic drugs </w:t>
      </w:r>
    </w:p>
    <w:p w14:paraId="57F3F880" w14:textId="77777777" w:rsidR="009B57FA" w:rsidRDefault="009B57FA" w:rsidP="009B57FA">
      <w:pPr>
        <w:pStyle w:val="Body"/>
        <w:spacing w:after="0" w:line="480" w:lineRule="auto"/>
        <w:rPr>
          <w:rFonts w:ascii="Arial" w:hAnsi="Arial" w:cs="Arial"/>
          <w:lang w:val="en-IN"/>
        </w:rPr>
      </w:pPr>
      <w:r w:rsidRPr="00FC7173">
        <w:rPr>
          <w:rFonts w:ascii="Arial" w:hAnsi="Arial" w:cs="Arial"/>
          <w:lang w:val="en-IN"/>
        </w:rPr>
        <w:t>EIAED</w:t>
      </w:r>
      <w:r>
        <w:rPr>
          <w:rFonts w:ascii="Arial" w:hAnsi="Arial" w:cs="Arial"/>
          <w:lang w:val="en-IN"/>
        </w:rPr>
        <w:t>s-</w:t>
      </w:r>
      <w:r w:rsidRPr="00FC7173">
        <w:rPr>
          <w:rFonts w:ascii="Arial" w:hAnsi="Arial" w:cs="Arial"/>
          <w:lang w:val="en-IN"/>
        </w:rPr>
        <w:t>enzyme-inducing AED</w:t>
      </w:r>
      <w:r>
        <w:rPr>
          <w:rFonts w:ascii="Arial" w:hAnsi="Arial" w:cs="Arial"/>
          <w:lang w:val="en-IN"/>
        </w:rPr>
        <w:t xml:space="preserve">s </w:t>
      </w:r>
    </w:p>
    <w:p w14:paraId="45911BB2" w14:textId="77777777" w:rsidR="009B57FA" w:rsidRDefault="009B57FA" w:rsidP="009B57FA">
      <w:pPr>
        <w:pStyle w:val="Body"/>
        <w:spacing w:after="0" w:line="480" w:lineRule="auto"/>
        <w:rPr>
          <w:rFonts w:ascii="Arial" w:hAnsi="Arial" w:cs="Arial"/>
        </w:rPr>
      </w:pPr>
      <w:r w:rsidRPr="00113775">
        <w:rPr>
          <w:rFonts w:ascii="Arial" w:hAnsi="Arial" w:cs="Arial"/>
        </w:rPr>
        <w:t>HDU</w:t>
      </w:r>
      <w:r>
        <w:rPr>
          <w:rFonts w:ascii="Arial" w:hAnsi="Arial" w:cs="Arial"/>
        </w:rPr>
        <w:t>-</w:t>
      </w:r>
      <w:r w:rsidRPr="00113775">
        <w:rPr>
          <w:rFonts w:ascii="Arial" w:hAnsi="Arial" w:cs="Arial"/>
        </w:rPr>
        <w:t xml:space="preserve">High Dependency Unit </w:t>
      </w:r>
    </w:p>
    <w:p w14:paraId="6AE04EC2" w14:textId="77777777" w:rsidR="009B57FA" w:rsidRDefault="009B57FA" w:rsidP="009B57FA">
      <w:pPr>
        <w:pStyle w:val="Body"/>
        <w:spacing w:after="0" w:line="480" w:lineRule="auto"/>
        <w:rPr>
          <w:rFonts w:ascii="Arial" w:hAnsi="Arial" w:cs="Arial"/>
        </w:rPr>
      </w:pPr>
      <w:r w:rsidRPr="00113775">
        <w:rPr>
          <w:rFonts w:ascii="Arial" w:hAnsi="Arial" w:cs="Arial"/>
        </w:rPr>
        <w:t>PICU</w:t>
      </w:r>
      <w:r>
        <w:rPr>
          <w:rFonts w:ascii="Arial" w:hAnsi="Arial" w:cs="Arial"/>
        </w:rPr>
        <w:t>-</w:t>
      </w:r>
      <w:r w:rsidRPr="00113775">
        <w:rPr>
          <w:rFonts w:ascii="Arial" w:hAnsi="Arial" w:cs="Arial"/>
        </w:rPr>
        <w:t xml:space="preserve">Pediatric Intensive Care Unit </w:t>
      </w:r>
    </w:p>
    <w:p w14:paraId="3A3A532D" w14:textId="77777777" w:rsidR="009B57FA" w:rsidRDefault="009B57FA" w:rsidP="009B57FA">
      <w:pPr>
        <w:pStyle w:val="Body"/>
        <w:spacing w:after="0" w:line="480" w:lineRule="auto"/>
        <w:rPr>
          <w:rFonts w:ascii="Arial" w:hAnsi="Arial" w:cs="Arial"/>
        </w:rPr>
      </w:pPr>
      <w:r>
        <w:rPr>
          <w:rFonts w:ascii="Arial" w:hAnsi="Arial" w:cs="Arial"/>
        </w:rPr>
        <w:t>OPD-</w:t>
      </w:r>
      <w:r w:rsidRPr="00113775">
        <w:rPr>
          <w:rFonts w:ascii="Arial" w:hAnsi="Arial" w:cs="Arial"/>
        </w:rPr>
        <w:t xml:space="preserve"> outpatient department</w:t>
      </w:r>
      <w:r>
        <w:rPr>
          <w:rFonts w:ascii="Arial" w:hAnsi="Arial" w:cs="Arial"/>
        </w:rPr>
        <w:t xml:space="preserve"> </w:t>
      </w:r>
    </w:p>
    <w:p w14:paraId="6A95B1FF" w14:textId="77777777" w:rsidR="009B57FA" w:rsidRDefault="009B57FA" w:rsidP="009B57FA">
      <w:pPr>
        <w:pStyle w:val="Body"/>
        <w:spacing w:after="0" w:line="480" w:lineRule="auto"/>
        <w:rPr>
          <w:rFonts w:ascii="Arial" w:hAnsi="Arial" w:cs="Arial"/>
        </w:rPr>
      </w:pPr>
      <w:r>
        <w:rPr>
          <w:rFonts w:ascii="Arial" w:hAnsi="Arial" w:cs="Arial"/>
        </w:rPr>
        <w:lastRenderedPageBreak/>
        <w:t>IPD-</w:t>
      </w:r>
      <w:r w:rsidRPr="00113775">
        <w:rPr>
          <w:rFonts w:ascii="Arial" w:hAnsi="Arial" w:cs="Arial"/>
        </w:rPr>
        <w:t xml:space="preserve">Inpatient </w:t>
      </w:r>
      <w:r>
        <w:rPr>
          <w:rFonts w:ascii="Arial" w:hAnsi="Arial" w:cs="Arial"/>
        </w:rPr>
        <w:t xml:space="preserve">department </w:t>
      </w:r>
    </w:p>
    <w:p w14:paraId="0BDA7CE0" w14:textId="77777777" w:rsidR="009B57FA" w:rsidRDefault="009B57FA" w:rsidP="009B57FA">
      <w:pPr>
        <w:pStyle w:val="Body"/>
        <w:spacing w:after="0" w:line="480" w:lineRule="auto"/>
        <w:rPr>
          <w:rFonts w:ascii="Arial" w:hAnsi="Arial" w:cs="Arial"/>
        </w:rPr>
      </w:pPr>
      <w:r>
        <w:rPr>
          <w:rFonts w:ascii="Arial" w:hAnsi="Arial" w:cs="Arial"/>
        </w:rPr>
        <w:t>CBC- complete blood count</w:t>
      </w:r>
    </w:p>
    <w:p w14:paraId="57F54CCE" w14:textId="77777777" w:rsidR="009B57FA" w:rsidRDefault="009B57FA" w:rsidP="009B57FA">
      <w:pPr>
        <w:pStyle w:val="Body"/>
        <w:spacing w:after="0" w:line="480" w:lineRule="auto"/>
        <w:rPr>
          <w:rFonts w:ascii="Arial" w:hAnsi="Arial" w:cs="Arial"/>
        </w:rPr>
      </w:pPr>
      <w:r>
        <w:rPr>
          <w:rFonts w:ascii="Arial" w:hAnsi="Arial" w:cs="Arial"/>
        </w:rPr>
        <w:t>LFT- liver function test</w:t>
      </w:r>
    </w:p>
    <w:p w14:paraId="789053D9" w14:textId="77777777" w:rsidR="009B57FA" w:rsidRDefault="009B57FA" w:rsidP="009B57FA">
      <w:pPr>
        <w:pStyle w:val="Body"/>
        <w:spacing w:after="0" w:line="480" w:lineRule="auto"/>
        <w:rPr>
          <w:rFonts w:ascii="Arial" w:hAnsi="Arial" w:cs="Arial"/>
        </w:rPr>
      </w:pPr>
      <w:r>
        <w:rPr>
          <w:rFonts w:ascii="Arial" w:hAnsi="Arial" w:cs="Arial"/>
        </w:rPr>
        <w:t>RFT- renal function test</w:t>
      </w:r>
    </w:p>
    <w:p w14:paraId="53EDA3F1" w14:textId="77777777" w:rsidR="009B57FA" w:rsidRDefault="009B57FA" w:rsidP="009B57FA">
      <w:pPr>
        <w:pStyle w:val="Body"/>
        <w:spacing w:after="0" w:line="480" w:lineRule="auto"/>
        <w:rPr>
          <w:rFonts w:ascii="Arial" w:hAnsi="Arial" w:cs="Arial"/>
        </w:rPr>
      </w:pPr>
      <w:r>
        <w:rPr>
          <w:rFonts w:ascii="Arial" w:hAnsi="Arial" w:cs="Arial"/>
        </w:rPr>
        <w:t>DIA- direct immunosorbent assay</w:t>
      </w:r>
    </w:p>
    <w:p w14:paraId="5EB734FB" w14:textId="77777777" w:rsidR="009B57FA" w:rsidRDefault="009B57FA" w:rsidP="009B57FA">
      <w:pPr>
        <w:pStyle w:val="Body"/>
        <w:spacing w:after="0" w:line="480" w:lineRule="auto"/>
        <w:rPr>
          <w:rFonts w:ascii="Arial" w:hAnsi="Arial" w:cs="Arial"/>
        </w:rPr>
      </w:pPr>
      <w:r>
        <w:rPr>
          <w:rFonts w:ascii="Arial" w:hAnsi="Arial" w:cs="Arial"/>
        </w:rPr>
        <w:t>ELISA- enzyme linked immunosorbent assay</w:t>
      </w:r>
    </w:p>
    <w:p w14:paraId="3578789F" w14:textId="77777777" w:rsidR="009B57FA" w:rsidRDefault="009B57FA" w:rsidP="009B57FA">
      <w:pPr>
        <w:pStyle w:val="Body"/>
        <w:spacing w:after="0" w:line="480" w:lineRule="auto"/>
        <w:rPr>
          <w:rFonts w:ascii="Arial" w:hAnsi="Arial" w:cs="Arial"/>
        </w:rPr>
      </w:pPr>
      <w:r>
        <w:rPr>
          <w:rFonts w:ascii="Arial" w:hAnsi="Arial" w:cs="Arial"/>
        </w:rPr>
        <w:t>ILAE- international league against epilepsy</w:t>
      </w:r>
    </w:p>
    <w:p w14:paraId="69B833C4" w14:textId="77777777" w:rsidR="009B57FA" w:rsidRDefault="009B57FA" w:rsidP="009B57FA">
      <w:pPr>
        <w:pStyle w:val="Body"/>
        <w:spacing w:after="0" w:line="480" w:lineRule="auto"/>
        <w:rPr>
          <w:rFonts w:ascii="Arial" w:hAnsi="Arial" w:cs="Arial"/>
        </w:rPr>
      </w:pPr>
      <w:r>
        <w:rPr>
          <w:rFonts w:ascii="Arial" w:hAnsi="Arial" w:cs="Arial"/>
        </w:rPr>
        <w:t>TLC-total leukocyte count</w:t>
      </w:r>
    </w:p>
    <w:p w14:paraId="5AA6D565" w14:textId="77777777" w:rsidR="009B57FA" w:rsidRDefault="009B57FA" w:rsidP="009B57FA">
      <w:pPr>
        <w:pStyle w:val="Body"/>
        <w:spacing w:after="0" w:line="480" w:lineRule="auto"/>
        <w:rPr>
          <w:rFonts w:ascii="Arial" w:hAnsi="Arial" w:cs="Arial"/>
        </w:rPr>
      </w:pPr>
      <w:r>
        <w:rPr>
          <w:rFonts w:ascii="Arial" w:hAnsi="Arial" w:cs="Arial"/>
        </w:rPr>
        <w:t>ALP- alkaline phosphate</w:t>
      </w:r>
    </w:p>
    <w:p w14:paraId="4D5572CF" w14:textId="77777777" w:rsidR="009B57FA" w:rsidRDefault="009B57FA" w:rsidP="009B57FA">
      <w:pPr>
        <w:pStyle w:val="Body"/>
        <w:spacing w:after="0" w:line="480" w:lineRule="auto"/>
        <w:rPr>
          <w:rFonts w:ascii="Arial" w:hAnsi="Arial" w:cs="Arial"/>
        </w:rPr>
      </w:pPr>
      <w:r>
        <w:rPr>
          <w:rFonts w:ascii="Arial" w:hAnsi="Arial" w:cs="Arial"/>
        </w:rPr>
        <w:t>AST –aspirate aminotransferase</w:t>
      </w:r>
    </w:p>
    <w:p w14:paraId="62225759" w14:textId="77777777" w:rsidR="009B57FA" w:rsidRDefault="009B57FA" w:rsidP="009B57FA">
      <w:pPr>
        <w:pStyle w:val="Body"/>
        <w:spacing w:after="0" w:line="480" w:lineRule="auto"/>
        <w:rPr>
          <w:rFonts w:ascii="Arial" w:hAnsi="Arial" w:cs="Arial"/>
        </w:rPr>
      </w:pPr>
      <w:r>
        <w:rPr>
          <w:rFonts w:ascii="Arial" w:hAnsi="Arial" w:cs="Arial"/>
        </w:rPr>
        <w:t>ALT- alanine aminotransferase</w:t>
      </w:r>
    </w:p>
    <w:p w14:paraId="5A7DDD9A" w14:textId="77777777" w:rsidR="009B57FA" w:rsidRDefault="009B57FA" w:rsidP="009B57FA">
      <w:pPr>
        <w:pStyle w:val="Body"/>
        <w:spacing w:after="0" w:line="480" w:lineRule="auto"/>
        <w:rPr>
          <w:rFonts w:ascii="Arial" w:hAnsi="Arial" w:cs="Arial"/>
        </w:rPr>
      </w:pPr>
      <w:r>
        <w:rPr>
          <w:rFonts w:ascii="Arial" w:hAnsi="Arial" w:cs="Arial"/>
        </w:rPr>
        <w:t>WHO- world health organization</w:t>
      </w:r>
    </w:p>
    <w:p w14:paraId="5E03CF44" w14:textId="77777777" w:rsidR="00130A88" w:rsidRDefault="00130A88" w:rsidP="009B57FA">
      <w:pPr>
        <w:pStyle w:val="Body"/>
        <w:spacing w:after="0" w:line="480" w:lineRule="auto"/>
        <w:rPr>
          <w:rFonts w:ascii="Arial" w:hAnsi="Arial" w:cs="Arial"/>
        </w:rPr>
      </w:pPr>
    </w:p>
    <w:p w14:paraId="6D280166" w14:textId="77777777" w:rsidR="009B57FA" w:rsidRPr="00EE7333" w:rsidRDefault="009B57FA" w:rsidP="0059137C">
      <w:pPr>
        <w:pStyle w:val="ReferHead"/>
        <w:spacing w:after="0" w:line="480" w:lineRule="auto"/>
        <w:jc w:val="both"/>
        <w:rPr>
          <w:rFonts w:ascii="Arial" w:hAnsi="Arial" w:cs="Arial"/>
          <w:b w:val="0"/>
          <w:bCs/>
          <w:sz w:val="20"/>
          <w:lang w:val="en-IN"/>
        </w:rPr>
      </w:pPr>
    </w:p>
    <w:p w14:paraId="48221D45" w14:textId="77777777" w:rsidR="00860000" w:rsidRDefault="00860000" w:rsidP="0059137C">
      <w:pPr>
        <w:pStyle w:val="ReferHead"/>
        <w:spacing w:after="0" w:line="480" w:lineRule="auto"/>
        <w:jc w:val="both"/>
        <w:rPr>
          <w:rFonts w:ascii="Arial" w:hAnsi="Arial" w:cs="Arial"/>
        </w:rPr>
      </w:pPr>
    </w:p>
    <w:p w14:paraId="5FC9BAF4" w14:textId="77777777" w:rsidR="00B01FCD" w:rsidRDefault="00B01FCD" w:rsidP="0059137C">
      <w:pPr>
        <w:pStyle w:val="ReferHead"/>
        <w:spacing w:after="0" w:line="480" w:lineRule="auto"/>
        <w:jc w:val="both"/>
        <w:rPr>
          <w:rFonts w:ascii="Arial" w:hAnsi="Arial" w:cs="Arial"/>
        </w:rPr>
      </w:pPr>
      <w:r w:rsidRPr="00FB3A86">
        <w:rPr>
          <w:rFonts w:ascii="Arial" w:hAnsi="Arial" w:cs="Arial"/>
        </w:rPr>
        <w:t>References</w:t>
      </w:r>
    </w:p>
    <w:p w14:paraId="59160924" w14:textId="77777777" w:rsidR="00790ADA" w:rsidRPr="00FB3A86" w:rsidRDefault="00790ADA" w:rsidP="0059137C">
      <w:pPr>
        <w:pStyle w:val="ReferHead"/>
        <w:spacing w:after="0" w:line="480" w:lineRule="auto"/>
        <w:jc w:val="both"/>
        <w:rPr>
          <w:rFonts w:ascii="Arial" w:hAnsi="Arial" w:cs="Arial"/>
        </w:rPr>
      </w:pPr>
    </w:p>
    <w:p w14:paraId="6BFCEC06" w14:textId="1E7D626E" w:rsidR="00391A24" w:rsidRDefault="002A740A" w:rsidP="0059137C">
      <w:pPr>
        <w:spacing w:line="480" w:lineRule="auto"/>
        <w:jc w:val="both"/>
        <w:rPr>
          <w:rFonts w:ascii="Arial" w:hAnsi="Arial" w:cs="Arial"/>
          <w:color w:val="222222"/>
          <w:shd w:val="clear" w:color="auto" w:fill="FFFFFF"/>
        </w:rPr>
      </w:pPr>
      <w:r>
        <w:rPr>
          <w:rFonts w:ascii="Arial" w:hAnsi="Arial" w:cs="Arial"/>
          <w:color w:val="222222"/>
          <w:shd w:val="clear" w:color="auto" w:fill="FFFFFF"/>
        </w:rPr>
        <w:t xml:space="preserve">1. </w:t>
      </w:r>
      <w:r w:rsidR="00391A24" w:rsidRPr="001C3FE6">
        <w:rPr>
          <w:rFonts w:ascii="Arial" w:hAnsi="Arial" w:cs="Arial"/>
          <w:color w:val="222222"/>
          <w:shd w:val="clear" w:color="auto" w:fill="FFFFFF"/>
        </w:rPr>
        <w:t>Hauser WA. Epidemiology of epilepsy in children. (1995). Neurosurgery clinics of North America. Jul 1;6(3):419-30.</w:t>
      </w:r>
    </w:p>
    <w:p w14:paraId="1943A11A" w14:textId="77777777" w:rsidR="002A740A" w:rsidRDefault="002A740A" w:rsidP="0059137C">
      <w:pPr>
        <w:spacing w:line="480" w:lineRule="auto"/>
        <w:jc w:val="both"/>
        <w:rPr>
          <w:rFonts w:ascii="Arial" w:hAnsi="Arial" w:cs="Arial"/>
          <w:color w:val="222222"/>
          <w:shd w:val="clear" w:color="auto" w:fill="FFFFFF"/>
        </w:rPr>
      </w:pPr>
    </w:p>
    <w:p w14:paraId="60F789CE" w14:textId="1CE86F03" w:rsidR="00391A24" w:rsidRDefault="002A740A" w:rsidP="0059137C">
      <w:pPr>
        <w:spacing w:line="480" w:lineRule="auto"/>
        <w:jc w:val="both"/>
        <w:rPr>
          <w:rFonts w:ascii="Arial" w:hAnsi="Arial" w:cs="Arial"/>
        </w:rPr>
      </w:pPr>
      <w:r>
        <w:rPr>
          <w:rFonts w:ascii="Arial" w:hAnsi="Arial" w:cs="Arial"/>
          <w:color w:val="222222"/>
          <w:shd w:val="clear" w:color="auto" w:fill="FFFFFF"/>
        </w:rPr>
        <w:t xml:space="preserve">2. </w:t>
      </w:r>
      <w:r w:rsidR="00391A24" w:rsidRPr="001C3FE6">
        <w:rPr>
          <w:rFonts w:ascii="Arial" w:hAnsi="Arial" w:cs="Arial"/>
        </w:rPr>
        <w:t>Kim SH, Lee JW, Choi KG, Chung HW, Lee HW. (2007). A 6-month longitudinal study of bone mineral density with antiepileptic drug monotherapy. Epilepsy Behav;10(2):291-5.</w:t>
      </w:r>
    </w:p>
    <w:p w14:paraId="4ADCF03E" w14:textId="77777777" w:rsidR="002A740A" w:rsidRPr="001C3FE6" w:rsidRDefault="002A740A" w:rsidP="0059137C">
      <w:pPr>
        <w:spacing w:line="480" w:lineRule="auto"/>
        <w:jc w:val="both"/>
        <w:rPr>
          <w:rFonts w:ascii="Arial" w:hAnsi="Arial" w:cs="Arial"/>
        </w:rPr>
      </w:pPr>
    </w:p>
    <w:p w14:paraId="136E85C5" w14:textId="150C364F" w:rsidR="00391A24" w:rsidRPr="001C3FE6" w:rsidRDefault="002A740A" w:rsidP="0059137C">
      <w:pPr>
        <w:spacing w:line="480" w:lineRule="auto"/>
        <w:jc w:val="both"/>
        <w:rPr>
          <w:rFonts w:ascii="Arial" w:hAnsi="Arial" w:cs="Arial"/>
        </w:rPr>
      </w:pPr>
      <w:r>
        <w:rPr>
          <w:rFonts w:ascii="Arial" w:hAnsi="Arial" w:cs="Arial"/>
        </w:rPr>
        <w:t xml:space="preserve">3. </w:t>
      </w:r>
      <w:r w:rsidR="00391A24" w:rsidRPr="001C3FE6">
        <w:rPr>
          <w:rFonts w:ascii="Arial" w:hAnsi="Arial" w:cs="Arial"/>
        </w:rPr>
        <w:t>Abou K, Paula H, Privitera MD. (2003). An open-label study of levetiracetam at individualized doses between 1000 and 3000 mg/</w:t>
      </w:r>
      <w:proofErr w:type="spellStart"/>
      <w:r w:rsidR="00391A24" w:rsidRPr="001C3FE6">
        <w:rPr>
          <w:rFonts w:ascii="Arial" w:hAnsi="Arial" w:cs="Arial"/>
        </w:rPr>
        <w:t>dayin</w:t>
      </w:r>
      <w:proofErr w:type="spellEnd"/>
      <w:r w:rsidR="00391A24" w:rsidRPr="001C3FE6">
        <w:rPr>
          <w:rFonts w:ascii="Arial" w:hAnsi="Arial" w:cs="Arial"/>
        </w:rPr>
        <w:t xml:space="preserve"> adult patients with refractory epilepsy. Seizure;12(3):141-9.</w:t>
      </w:r>
    </w:p>
    <w:p w14:paraId="120E998E" w14:textId="3F3056A1"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4. </w:t>
      </w:r>
      <w:r w:rsidR="00391A24" w:rsidRPr="001C3FE6">
        <w:rPr>
          <w:rFonts w:ascii="Arial" w:hAnsi="Arial" w:cs="Arial"/>
          <w:lang w:eastAsia="en-IN"/>
        </w:rPr>
        <w:t xml:space="preserve">Fisher RS, Acevedo C, </w:t>
      </w:r>
      <w:proofErr w:type="spellStart"/>
      <w:r w:rsidR="00391A24" w:rsidRPr="001C3FE6">
        <w:rPr>
          <w:rFonts w:ascii="Arial" w:hAnsi="Arial" w:cs="Arial"/>
          <w:lang w:eastAsia="en-IN"/>
        </w:rPr>
        <w:t>Arzimanoglou</w:t>
      </w:r>
      <w:proofErr w:type="spellEnd"/>
      <w:r w:rsidR="00391A24" w:rsidRPr="001C3FE6">
        <w:rPr>
          <w:rFonts w:ascii="Arial" w:hAnsi="Arial" w:cs="Arial"/>
          <w:lang w:eastAsia="en-IN"/>
        </w:rPr>
        <w:t xml:space="preserve"> A, et al. (2014). ILAE official report: a practical clinical definition of epilepsy. Epilepsia; 55 (4): 475 – 482.</w:t>
      </w:r>
    </w:p>
    <w:p w14:paraId="55259EE6" w14:textId="68E6BB85"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5. </w:t>
      </w:r>
      <w:r w:rsidR="00391A24" w:rsidRPr="001C3FE6">
        <w:rPr>
          <w:rFonts w:ascii="Arial" w:hAnsi="Arial" w:cs="Arial"/>
          <w:lang w:eastAsia="en-IN"/>
        </w:rPr>
        <w:t>Berg AT, Berkovic SF, Brodie MJ, et al. (2010). Revised terminology and concepts for organization of seizures and epilepsies: report of the ILAE Commission on classification and terminology, 2005–2009. Epilepsia; 51 (4): 676 – 685</w:t>
      </w:r>
    </w:p>
    <w:p w14:paraId="1F4DADE1" w14:textId="6031E251"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lastRenderedPageBreak/>
        <w:t xml:space="preserve">6. </w:t>
      </w:r>
      <w:r w:rsidR="00391A24" w:rsidRPr="001C3FE6">
        <w:rPr>
          <w:rFonts w:ascii="Arial" w:hAnsi="Arial" w:cs="Arial"/>
          <w:lang w:eastAsia="en-IN"/>
        </w:rPr>
        <w:t>Baca CB, Vickrey BG, Caplan R, et al. (2011). Psychiatric and medical comorbidity and quality of life outcomes in childhood-onset epilepsy. Pediatrics.128 (6): E1532 – E1543.</w:t>
      </w:r>
    </w:p>
    <w:p w14:paraId="02145FCB" w14:textId="17F9DD7B"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7. </w:t>
      </w:r>
      <w:r w:rsidR="00391A24" w:rsidRPr="001C3FE6">
        <w:rPr>
          <w:rFonts w:ascii="Arial" w:hAnsi="Arial" w:cs="Arial"/>
          <w:lang w:eastAsia="en-IN"/>
        </w:rPr>
        <w:t xml:space="preserve">Fisher RS, Acevedo C, </w:t>
      </w:r>
      <w:proofErr w:type="spellStart"/>
      <w:r w:rsidR="00391A24" w:rsidRPr="001C3FE6">
        <w:rPr>
          <w:rFonts w:ascii="Arial" w:hAnsi="Arial" w:cs="Arial"/>
          <w:lang w:eastAsia="en-IN"/>
        </w:rPr>
        <w:t>Arzimanoglou</w:t>
      </w:r>
      <w:proofErr w:type="spellEnd"/>
      <w:r w:rsidR="00391A24" w:rsidRPr="001C3FE6">
        <w:rPr>
          <w:rFonts w:ascii="Arial" w:hAnsi="Arial" w:cs="Arial"/>
          <w:lang w:eastAsia="en-IN"/>
        </w:rPr>
        <w:t xml:space="preserve"> A, </w:t>
      </w:r>
      <w:proofErr w:type="spellStart"/>
      <w:r w:rsidR="00391A24" w:rsidRPr="001C3FE6">
        <w:rPr>
          <w:rFonts w:ascii="Arial" w:hAnsi="Arial" w:cs="Arial"/>
          <w:lang w:eastAsia="en-IN"/>
        </w:rPr>
        <w:t>Bogacz</w:t>
      </w:r>
      <w:proofErr w:type="spellEnd"/>
      <w:r w:rsidR="00391A24" w:rsidRPr="001C3FE6">
        <w:rPr>
          <w:rFonts w:ascii="Arial" w:hAnsi="Arial" w:cs="Arial"/>
          <w:lang w:eastAsia="en-IN"/>
        </w:rPr>
        <w:t xml:space="preserve"> A, Cross JH, Elger CE, et al. (2014). ILAE official report: a practical clinical definition of epilepsy. Epilepsia. Apr;55(4):475–82.</w:t>
      </w:r>
    </w:p>
    <w:p w14:paraId="62AB940F" w14:textId="49F2B4C7"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8. </w:t>
      </w:r>
      <w:r w:rsidR="00391A24" w:rsidRPr="001C3FE6">
        <w:rPr>
          <w:rFonts w:ascii="Arial" w:hAnsi="Arial" w:cs="Arial"/>
          <w:lang w:eastAsia="en-IN"/>
        </w:rPr>
        <w:t xml:space="preserve">Thurman DJ, </w:t>
      </w:r>
      <w:proofErr w:type="spellStart"/>
      <w:r w:rsidR="00391A24" w:rsidRPr="001C3FE6">
        <w:rPr>
          <w:rFonts w:ascii="Arial" w:hAnsi="Arial" w:cs="Arial"/>
          <w:lang w:eastAsia="en-IN"/>
        </w:rPr>
        <w:t>Beghi</w:t>
      </w:r>
      <w:proofErr w:type="spellEnd"/>
      <w:r w:rsidR="00391A24" w:rsidRPr="001C3FE6">
        <w:rPr>
          <w:rFonts w:ascii="Arial" w:hAnsi="Arial" w:cs="Arial"/>
          <w:lang w:eastAsia="en-IN"/>
        </w:rPr>
        <w:t xml:space="preserve"> E, Begley CE, Berg AT, Buchhalter JR, Ding D, et al. (2011). ILAE commission on Epidemiology. Standards for epidemiologic studies and surveillance of epilepsy. Epilepsia. Sep;52 Suppl 7:2–26.</w:t>
      </w:r>
    </w:p>
    <w:p w14:paraId="6B5BEED2" w14:textId="6693DD95"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9. </w:t>
      </w:r>
      <w:r w:rsidR="00391A24" w:rsidRPr="001C3FE6">
        <w:rPr>
          <w:rFonts w:ascii="Arial" w:hAnsi="Arial" w:cs="Arial"/>
          <w:lang w:eastAsia="en-IN"/>
        </w:rPr>
        <w:t xml:space="preserve">Fisher RS, Cross JH, French JA, </w:t>
      </w:r>
      <w:proofErr w:type="spellStart"/>
      <w:r w:rsidR="00391A24" w:rsidRPr="001C3FE6">
        <w:rPr>
          <w:rFonts w:ascii="Arial" w:hAnsi="Arial" w:cs="Arial"/>
          <w:lang w:eastAsia="en-IN"/>
        </w:rPr>
        <w:t>Higurashi</w:t>
      </w:r>
      <w:proofErr w:type="spellEnd"/>
      <w:r w:rsidR="00391A24" w:rsidRPr="001C3FE6">
        <w:rPr>
          <w:rFonts w:ascii="Arial" w:hAnsi="Arial" w:cs="Arial"/>
          <w:lang w:eastAsia="en-IN"/>
        </w:rPr>
        <w:t xml:space="preserve"> N, Hirsch E, Jansen FE, et al. (2017) Operational classification of seizure types by the International League Against Epilepsy: position paper of the ILAE Commission for Classification and Terminology. Epilepsia. Apr;58(4):522–30.</w:t>
      </w:r>
    </w:p>
    <w:p w14:paraId="40E5EA4C" w14:textId="2F77E819"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10. </w:t>
      </w:r>
      <w:r w:rsidR="00391A24" w:rsidRPr="001C3FE6">
        <w:rPr>
          <w:rFonts w:ascii="Arial" w:hAnsi="Arial" w:cs="Arial"/>
          <w:lang w:eastAsia="en-IN"/>
        </w:rPr>
        <w:t xml:space="preserve">Trinka E, Cock H, </w:t>
      </w:r>
      <w:proofErr w:type="spellStart"/>
      <w:r w:rsidR="00391A24" w:rsidRPr="001C3FE6">
        <w:rPr>
          <w:rFonts w:ascii="Arial" w:hAnsi="Arial" w:cs="Arial"/>
          <w:lang w:eastAsia="en-IN"/>
        </w:rPr>
        <w:t>Hesdorffer</w:t>
      </w:r>
      <w:proofErr w:type="spellEnd"/>
      <w:r w:rsidR="00391A24" w:rsidRPr="001C3FE6">
        <w:rPr>
          <w:rFonts w:ascii="Arial" w:hAnsi="Arial" w:cs="Arial"/>
          <w:lang w:eastAsia="en-IN"/>
        </w:rPr>
        <w:t xml:space="preserve"> D, Rossetti AO, </w:t>
      </w:r>
      <w:proofErr w:type="spellStart"/>
      <w:r w:rsidR="00391A24" w:rsidRPr="001C3FE6">
        <w:rPr>
          <w:rFonts w:ascii="Arial" w:hAnsi="Arial" w:cs="Arial"/>
          <w:lang w:eastAsia="en-IN"/>
        </w:rPr>
        <w:t>Scheffer</w:t>
      </w:r>
      <w:proofErr w:type="spellEnd"/>
      <w:r w:rsidR="00391A24" w:rsidRPr="001C3FE6">
        <w:rPr>
          <w:rFonts w:ascii="Arial" w:hAnsi="Arial" w:cs="Arial"/>
          <w:lang w:eastAsia="en-IN"/>
        </w:rPr>
        <w:t xml:space="preserve"> IE, </w:t>
      </w:r>
      <w:proofErr w:type="spellStart"/>
      <w:r w:rsidR="00391A24" w:rsidRPr="001C3FE6">
        <w:rPr>
          <w:rFonts w:ascii="Arial" w:hAnsi="Arial" w:cs="Arial"/>
          <w:lang w:eastAsia="en-IN"/>
        </w:rPr>
        <w:t>Shinnar</w:t>
      </w:r>
      <w:proofErr w:type="spellEnd"/>
      <w:r w:rsidR="00391A24" w:rsidRPr="001C3FE6">
        <w:rPr>
          <w:rFonts w:ascii="Arial" w:hAnsi="Arial" w:cs="Arial"/>
          <w:lang w:eastAsia="en-IN"/>
        </w:rPr>
        <w:t xml:space="preserve"> S, et al. (2015), A definition and classification of status epilepticus – Report of the ILAE Task Force on Classification of status Epilepticus. Epilepsia. Oct;56(10):1515–23.</w:t>
      </w:r>
    </w:p>
    <w:p w14:paraId="4F5A30C3" w14:textId="5A21F3F5"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11. </w:t>
      </w:r>
      <w:proofErr w:type="spellStart"/>
      <w:r w:rsidR="00391A24" w:rsidRPr="001C3FE6">
        <w:rPr>
          <w:rFonts w:ascii="Arial" w:hAnsi="Arial" w:cs="Arial"/>
          <w:lang w:eastAsia="en-IN"/>
        </w:rPr>
        <w:t>Nashef</w:t>
      </w:r>
      <w:proofErr w:type="spellEnd"/>
      <w:r w:rsidR="00391A24" w:rsidRPr="001C3FE6">
        <w:rPr>
          <w:rFonts w:ascii="Arial" w:hAnsi="Arial" w:cs="Arial"/>
          <w:lang w:eastAsia="en-IN"/>
        </w:rPr>
        <w:t xml:space="preserve"> L, So EL, </w:t>
      </w:r>
      <w:proofErr w:type="spellStart"/>
      <w:r w:rsidR="00391A24" w:rsidRPr="001C3FE6">
        <w:rPr>
          <w:rFonts w:ascii="Arial" w:hAnsi="Arial" w:cs="Arial"/>
          <w:lang w:eastAsia="en-IN"/>
        </w:rPr>
        <w:t>Ryvlin</w:t>
      </w:r>
      <w:proofErr w:type="spellEnd"/>
      <w:r w:rsidR="00391A24" w:rsidRPr="001C3FE6">
        <w:rPr>
          <w:rFonts w:ascii="Arial" w:hAnsi="Arial" w:cs="Arial"/>
          <w:lang w:eastAsia="en-IN"/>
        </w:rPr>
        <w:t xml:space="preserve"> P, Tomson T. (2012). Unifying the definitions of sudden unexpected death in epilepsy. Epilepsia.Feb;53(2):227–33.</w:t>
      </w:r>
    </w:p>
    <w:p w14:paraId="520D89CC" w14:textId="2111FC81"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12. </w:t>
      </w:r>
      <w:r w:rsidR="00391A24" w:rsidRPr="001C3FE6">
        <w:rPr>
          <w:rFonts w:ascii="Arial" w:hAnsi="Arial" w:cs="Arial"/>
          <w:lang w:eastAsia="en-IN"/>
        </w:rPr>
        <w:t xml:space="preserve">Whiting S, </w:t>
      </w:r>
      <w:proofErr w:type="spellStart"/>
      <w:r w:rsidR="00391A24" w:rsidRPr="001C3FE6">
        <w:rPr>
          <w:rFonts w:ascii="Arial" w:hAnsi="Arial" w:cs="Arial"/>
          <w:lang w:eastAsia="en-IN"/>
        </w:rPr>
        <w:t>Duchowny</w:t>
      </w:r>
      <w:proofErr w:type="spellEnd"/>
      <w:r w:rsidR="00391A24" w:rsidRPr="001C3FE6">
        <w:rPr>
          <w:rFonts w:ascii="Arial" w:hAnsi="Arial" w:cs="Arial"/>
          <w:lang w:eastAsia="en-IN"/>
        </w:rPr>
        <w:t xml:space="preserve"> M. (1999). Topical review: clinical spectrum of cortical dysplasia in childhood: diagnosis and treatment issues. Journal of Child Neurology. Dec;14(12):759-71.</w:t>
      </w:r>
    </w:p>
    <w:p w14:paraId="6C6C3298" w14:textId="6706965D"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13. </w:t>
      </w:r>
      <w:proofErr w:type="spellStart"/>
      <w:r w:rsidR="00391A24" w:rsidRPr="001C3FE6">
        <w:rPr>
          <w:rFonts w:ascii="Arial" w:hAnsi="Arial" w:cs="Arial"/>
          <w:lang w:eastAsia="en-IN"/>
        </w:rPr>
        <w:t>Kuzniecky</w:t>
      </w:r>
      <w:proofErr w:type="spellEnd"/>
      <w:r w:rsidR="00391A24" w:rsidRPr="001C3FE6">
        <w:rPr>
          <w:rFonts w:ascii="Arial" w:hAnsi="Arial" w:cs="Arial"/>
          <w:lang w:eastAsia="en-IN"/>
        </w:rPr>
        <w:t xml:space="preserve"> RI, </w:t>
      </w:r>
      <w:proofErr w:type="spellStart"/>
      <w:r w:rsidR="00391A24" w:rsidRPr="001C3FE6">
        <w:rPr>
          <w:rFonts w:ascii="Arial" w:hAnsi="Arial" w:cs="Arial"/>
          <w:lang w:eastAsia="en-IN"/>
        </w:rPr>
        <w:t>Barkovich</w:t>
      </w:r>
      <w:proofErr w:type="spellEnd"/>
      <w:r w:rsidR="00391A24" w:rsidRPr="001C3FE6">
        <w:rPr>
          <w:rFonts w:ascii="Arial" w:hAnsi="Arial" w:cs="Arial"/>
          <w:lang w:eastAsia="en-IN"/>
        </w:rPr>
        <w:t xml:space="preserve"> AJ. (1996). Pathogenesis and pathology of focal malformations of cortical development and epilepsy. Journal of Clinical Neurophysiology. Nov 1;13(6):468-80.</w:t>
      </w:r>
    </w:p>
    <w:p w14:paraId="0DDDE91B" w14:textId="03802217" w:rsidR="00391A24" w:rsidRPr="001C3FE6" w:rsidRDefault="002A740A" w:rsidP="0059137C">
      <w:pPr>
        <w:spacing w:before="100" w:beforeAutospacing="1" w:after="100" w:afterAutospacing="1" w:line="480" w:lineRule="auto"/>
        <w:jc w:val="both"/>
        <w:rPr>
          <w:rFonts w:ascii="Arial" w:hAnsi="Arial" w:cs="Arial"/>
          <w:lang w:eastAsia="en-IN"/>
        </w:rPr>
      </w:pPr>
      <w:r>
        <w:rPr>
          <w:rFonts w:ascii="Arial" w:hAnsi="Arial" w:cs="Arial"/>
          <w:lang w:eastAsia="en-IN"/>
        </w:rPr>
        <w:t>14.</w:t>
      </w:r>
      <w:r w:rsidR="00391A24" w:rsidRPr="001C3FE6">
        <w:rPr>
          <w:rFonts w:ascii="Arial" w:hAnsi="Arial" w:cs="Arial"/>
          <w:lang w:eastAsia="en-IN"/>
        </w:rPr>
        <w:t>Leventer RJ, Phelan EM, Coleman LT, Kean MJ, Jackson GD, Harvey AS. (1999). Clinical and imaging features of cortical malformations in childhood. Neurology. Sep 1;53(4):715-.</w:t>
      </w:r>
    </w:p>
    <w:p w14:paraId="15447C44" w14:textId="77777777" w:rsidR="00391A24" w:rsidRPr="005F4880" w:rsidRDefault="00391A24" w:rsidP="0059137C">
      <w:pPr>
        <w:spacing w:before="100" w:beforeAutospacing="1" w:after="100" w:afterAutospacing="1" w:line="480" w:lineRule="auto"/>
        <w:jc w:val="both"/>
        <w:rPr>
          <w:rFonts w:ascii="Arial" w:hAnsi="Arial" w:cs="Arial"/>
          <w:highlight w:val="yellow"/>
          <w:lang w:eastAsia="en-IN"/>
        </w:rPr>
      </w:pPr>
      <w:r w:rsidRPr="005F4880">
        <w:rPr>
          <w:rFonts w:ascii="Arial" w:hAnsi="Arial" w:cs="Arial"/>
          <w:lang w:eastAsia="en-IN"/>
        </w:rPr>
        <w:t xml:space="preserve">15. </w:t>
      </w:r>
      <w:proofErr w:type="spellStart"/>
      <w:r w:rsidRPr="005F4880">
        <w:rPr>
          <w:rFonts w:ascii="Arial" w:hAnsi="Arial" w:cs="Arial"/>
          <w:lang w:eastAsia="en-IN"/>
        </w:rPr>
        <w:t>Jamuar</w:t>
      </w:r>
      <w:proofErr w:type="spellEnd"/>
      <w:r w:rsidRPr="005F4880">
        <w:rPr>
          <w:rFonts w:ascii="Arial" w:hAnsi="Arial" w:cs="Arial"/>
          <w:lang w:eastAsia="en-IN"/>
        </w:rPr>
        <w:t xml:space="preserve"> SS, Lam AT, Kircher M, </w:t>
      </w:r>
      <w:proofErr w:type="spellStart"/>
      <w:r w:rsidRPr="005F4880">
        <w:rPr>
          <w:rFonts w:ascii="Arial" w:hAnsi="Arial" w:cs="Arial"/>
          <w:lang w:eastAsia="en-IN"/>
        </w:rPr>
        <w:t>D'Gama</w:t>
      </w:r>
      <w:proofErr w:type="spellEnd"/>
      <w:r w:rsidRPr="005F4880">
        <w:rPr>
          <w:rFonts w:ascii="Arial" w:hAnsi="Arial" w:cs="Arial"/>
          <w:lang w:eastAsia="en-IN"/>
        </w:rPr>
        <w:t xml:space="preserve"> AM, Wang J, Barry BJ, Zhang X, Hill RS, Partlow JN, </w:t>
      </w:r>
      <w:proofErr w:type="spellStart"/>
      <w:r w:rsidRPr="005F4880">
        <w:rPr>
          <w:rFonts w:ascii="Arial" w:hAnsi="Arial" w:cs="Arial"/>
          <w:lang w:eastAsia="en-IN"/>
        </w:rPr>
        <w:t>Rozzo</w:t>
      </w:r>
      <w:proofErr w:type="spellEnd"/>
      <w:r w:rsidRPr="005F4880">
        <w:rPr>
          <w:rFonts w:ascii="Arial" w:hAnsi="Arial" w:cs="Arial"/>
          <w:lang w:eastAsia="en-IN"/>
        </w:rPr>
        <w:t xml:space="preserve"> A, </w:t>
      </w:r>
      <w:proofErr w:type="spellStart"/>
      <w:r w:rsidRPr="005F4880">
        <w:rPr>
          <w:rFonts w:ascii="Arial" w:hAnsi="Arial" w:cs="Arial"/>
          <w:lang w:eastAsia="en-IN"/>
        </w:rPr>
        <w:t>Servattalab</w:t>
      </w:r>
      <w:proofErr w:type="spellEnd"/>
      <w:r w:rsidRPr="005F4880">
        <w:rPr>
          <w:rFonts w:ascii="Arial" w:hAnsi="Arial" w:cs="Arial"/>
          <w:lang w:eastAsia="en-IN"/>
        </w:rPr>
        <w:t xml:space="preserve"> S. (2014). Somatic mutations in cerebral cortical malformations. New England Journal of Medicine. Aug 21;371(8):733-43.</w:t>
      </w:r>
    </w:p>
    <w:p w14:paraId="7F5FECCE" w14:textId="77777777" w:rsidR="00391A24" w:rsidRPr="005F4880" w:rsidRDefault="00391A24" w:rsidP="0059137C">
      <w:pPr>
        <w:spacing w:line="480" w:lineRule="auto"/>
        <w:rPr>
          <w:rFonts w:ascii="Arial" w:hAnsi="Arial" w:cs="Arial"/>
          <w:color w:val="222222"/>
        </w:rPr>
      </w:pPr>
      <w:r w:rsidRPr="005F4880">
        <w:rPr>
          <w:rFonts w:ascii="Arial" w:hAnsi="Arial" w:cs="Arial"/>
          <w:color w:val="222222"/>
        </w:rPr>
        <w:t xml:space="preserve">16. Jeyakumar M, Guhan VN, Rao KP, </w:t>
      </w:r>
      <w:proofErr w:type="spellStart"/>
      <w:r w:rsidRPr="005F4880">
        <w:rPr>
          <w:rFonts w:ascii="Arial" w:hAnsi="Arial" w:cs="Arial"/>
          <w:color w:val="222222"/>
        </w:rPr>
        <w:t>Arulneyam</w:t>
      </w:r>
      <w:proofErr w:type="spellEnd"/>
      <w:r w:rsidRPr="005F4880">
        <w:rPr>
          <w:rFonts w:ascii="Arial" w:hAnsi="Arial" w:cs="Arial"/>
          <w:color w:val="222222"/>
        </w:rPr>
        <w:t xml:space="preserve"> J, </w:t>
      </w:r>
      <w:proofErr w:type="spellStart"/>
      <w:r w:rsidRPr="005F4880">
        <w:rPr>
          <w:rFonts w:ascii="Arial" w:hAnsi="Arial" w:cs="Arial"/>
          <w:color w:val="222222"/>
        </w:rPr>
        <w:t>Sivaa</w:t>
      </w:r>
      <w:proofErr w:type="spellEnd"/>
      <w:r w:rsidRPr="005F4880">
        <w:rPr>
          <w:rFonts w:ascii="Arial" w:hAnsi="Arial" w:cs="Arial"/>
          <w:color w:val="222222"/>
        </w:rPr>
        <w:t xml:space="preserve"> R, Anil KM. (2014). impact of levetiracetam on bone health-A descriptive study. Int. J. pharm. sci. Rev. Res.;26(1):152-4.</w:t>
      </w:r>
    </w:p>
    <w:p w14:paraId="1E0C8C34" w14:textId="5E4E6748" w:rsidR="00391A24" w:rsidRPr="005F4880" w:rsidRDefault="00391A24" w:rsidP="0059137C">
      <w:pPr>
        <w:spacing w:before="100" w:beforeAutospacing="1" w:after="100" w:afterAutospacing="1" w:line="480" w:lineRule="auto"/>
        <w:jc w:val="both"/>
        <w:rPr>
          <w:rFonts w:ascii="Arial" w:hAnsi="Arial" w:cs="Arial"/>
          <w:lang w:eastAsia="en-IN"/>
        </w:rPr>
      </w:pPr>
      <w:r w:rsidRPr="005F4880">
        <w:rPr>
          <w:rFonts w:ascii="Arial" w:hAnsi="Arial" w:cs="Arial"/>
        </w:rPr>
        <w:lastRenderedPageBreak/>
        <w:t>17.</w:t>
      </w:r>
      <w:r w:rsidR="002A740A">
        <w:rPr>
          <w:rFonts w:ascii="Arial" w:hAnsi="Arial" w:cs="Arial"/>
        </w:rPr>
        <w:t xml:space="preserve"> </w:t>
      </w:r>
      <w:r w:rsidRPr="005F4880">
        <w:rPr>
          <w:rFonts w:ascii="Arial" w:hAnsi="Arial" w:cs="Arial"/>
          <w:color w:val="222222"/>
        </w:rPr>
        <w:t xml:space="preserve">Garg A, </w:t>
      </w:r>
      <w:proofErr w:type="spellStart"/>
      <w:r w:rsidRPr="005F4880">
        <w:rPr>
          <w:rFonts w:ascii="Arial" w:hAnsi="Arial" w:cs="Arial"/>
          <w:color w:val="222222"/>
        </w:rPr>
        <w:t>Dabla</w:t>
      </w:r>
      <w:proofErr w:type="spellEnd"/>
      <w:r w:rsidRPr="005F4880">
        <w:rPr>
          <w:rFonts w:ascii="Arial" w:hAnsi="Arial" w:cs="Arial"/>
          <w:color w:val="222222"/>
        </w:rPr>
        <w:t xml:space="preserve"> S, </w:t>
      </w:r>
      <w:proofErr w:type="spellStart"/>
      <w:r w:rsidRPr="005F4880">
        <w:rPr>
          <w:rFonts w:ascii="Arial" w:hAnsi="Arial" w:cs="Arial"/>
          <w:color w:val="222222"/>
        </w:rPr>
        <w:t>Nagenhalli</w:t>
      </w:r>
      <w:proofErr w:type="spellEnd"/>
      <w:r w:rsidRPr="005F4880">
        <w:rPr>
          <w:rFonts w:ascii="Arial" w:hAnsi="Arial" w:cs="Arial"/>
          <w:color w:val="222222"/>
        </w:rPr>
        <w:t xml:space="preserve"> S, Fotedar S. (2017). Levetiracetam monotherapy effect on serum calcium and serum vitamin D in patient of epilepsy. International Journal of Research in Medical Sciences.Feb;5(2):503-8.</w:t>
      </w:r>
    </w:p>
    <w:p w14:paraId="626B79FC" w14:textId="77777777" w:rsidR="00391A24" w:rsidRDefault="00391A24" w:rsidP="0059137C">
      <w:pPr>
        <w:spacing w:line="480" w:lineRule="auto"/>
        <w:rPr>
          <w:rFonts w:ascii="Arial" w:hAnsi="Arial" w:cs="Arial"/>
          <w:color w:val="222222"/>
        </w:rPr>
      </w:pPr>
      <w:r w:rsidRPr="005F4880">
        <w:rPr>
          <w:rFonts w:ascii="Arial" w:hAnsi="Arial" w:cs="Arial"/>
          <w:color w:val="222222"/>
        </w:rPr>
        <w:t>18. Baek JH, Seo YH, Kim GH, Kim MK, Eun BL. (2014). Vitamin D levels in children and adolescents with antiepileptic drug treatment. Yonsei medical journal. Mar 1;55(2):417-21.</w:t>
      </w:r>
    </w:p>
    <w:p w14:paraId="79624CDD" w14:textId="77777777" w:rsidR="002A740A" w:rsidRPr="005F4880" w:rsidRDefault="002A740A" w:rsidP="0059137C">
      <w:pPr>
        <w:spacing w:line="480" w:lineRule="auto"/>
        <w:rPr>
          <w:rFonts w:ascii="Arial" w:hAnsi="Arial" w:cs="Arial"/>
        </w:rPr>
      </w:pPr>
    </w:p>
    <w:p w14:paraId="5033A33E" w14:textId="77777777" w:rsidR="00391A24" w:rsidRPr="005F4880" w:rsidRDefault="00391A24" w:rsidP="0059137C">
      <w:pPr>
        <w:spacing w:line="480" w:lineRule="auto"/>
        <w:rPr>
          <w:rFonts w:ascii="Arial" w:hAnsi="Arial" w:cs="Arial"/>
          <w:color w:val="222222"/>
        </w:rPr>
      </w:pPr>
      <w:r w:rsidRPr="005F4880">
        <w:rPr>
          <w:rFonts w:ascii="Arial" w:hAnsi="Arial" w:cs="Arial"/>
          <w:color w:val="222222"/>
        </w:rPr>
        <w:t xml:space="preserve">19. Aksoy D, </w:t>
      </w:r>
      <w:proofErr w:type="spellStart"/>
      <w:r w:rsidRPr="005F4880">
        <w:rPr>
          <w:rFonts w:ascii="Arial" w:hAnsi="Arial" w:cs="Arial"/>
          <w:color w:val="222222"/>
        </w:rPr>
        <w:t>Güveli</w:t>
      </w:r>
      <w:proofErr w:type="spellEnd"/>
      <w:r w:rsidRPr="005F4880">
        <w:rPr>
          <w:rFonts w:ascii="Arial" w:hAnsi="Arial" w:cs="Arial"/>
          <w:color w:val="222222"/>
        </w:rPr>
        <w:t xml:space="preserve"> BT, Ak PD, </w:t>
      </w:r>
      <w:proofErr w:type="spellStart"/>
      <w:r w:rsidRPr="005F4880">
        <w:rPr>
          <w:rFonts w:ascii="Arial" w:hAnsi="Arial" w:cs="Arial"/>
          <w:color w:val="222222"/>
        </w:rPr>
        <w:t>Sarı</w:t>
      </w:r>
      <w:proofErr w:type="spellEnd"/>
      <w:r w:rsidRPr="005F4880">
        <w:rPr>
          <w:rFonts w:ascii="Arial" w:hAnsi="Arial" w:cs="Arial"/>
          <w:color w:val="222222"/>
        </w:rPr>
        <w:t xml:space="preserve"> H, </w:t>
      </w:r>
      <w:proofErr w:type="spellStart"/>
      <w:r w:rsidRPr="005F4880">
        <w:rPr>
          <w:rFonts w:ascii="Arial" w:hAnsi="Arial" w:cs="Arial"/>
          <w:color w:val="222222"/>
        </w:rPr>
        <w:t>Ataklı</w:t>
      </w:r>
      <w:proofErr w:type="spellEnd"/>
      <w:r w:rsidRPr="005F4880">
        <w:rPr>
          <w:rFonts w:ascii="Arial" w:hAnsi="Arial" w:cs="Arial"/>
          <w:color w:val="222222"/>
        </w:rPr>
        <w:t xml:space="preserve"> D, </w:t>
      </w:r>
      <w:proofErr w:type="spellStart"/>
      <w:r w:rsidRPr="005F4880">
        <w:rPr>
          <w:rFonts w:ascii="Arial" w:hAnsi="Arial" w:cs="Arial"/>
          <w:color w:val="222222"/>
        </w:rPr>
        <w:t>Arpacı</w:t>
      </w:r>
      <w:proofErr w:type="spellEnd"/>
      <w:r w:rsidRPr="005F4880">
        <w:rPr>
          <w:rFonts w:ascii="Arial" w:hAnsi="Arial" w:cs="Arial"/>
          <w:color w:val="222222"/>
        </w:rPr>
        <w:t xml:space="preserve"> B. (2016). Effects of oxcarbazepine and levetiracetam on calcium, ionized calcium, and 25-OH vitamin-D3 levels in patients with epilepsy. Clinical psychopharmacology and neuroscience. Feb;14(1):74.</w:t>
      </w:r>
    </w:p>
    <w:p w14:paraId="680A7489" w14:textId="77777777" w:rsidR="00391A24" w:rsidRPr="005F4880" w:rsidRDefault="00391A24" w:rsidP="0059137C">
      <w:pPr>
        <w:spacing w:before="100" w:beforeAutospacing="1" w:after="100" w:afterAutospacing="1" w:line="480" w:lineRule="auto"/>
        <w:jc w:val="both"/>
        <w:rPr>
          <w:rFonts w:ascii="Arial" w:hAnsi="Arial" w:cs="Arial"/>
          <w:lang w:eastAsia="en-IN"/>
        </w:rPr>
      </w:pPr>
      <w:r w:rsidRPr="005F4880">
        <w:rPr>
          <w:rFonts w:ascii="Arial" w:hAnsi="Arial" w:cs="Arial"/>
          <w:color w:val="222222"/>
        </w:rPr>
        <w:t>20. Cormier J, Chu CJ. (2013) Safety and efficacy of levetiracetam for the treatment of partial onset seizures in children from one month of age. Neuropsychiatric Disease and Treatment; 9:295.</w:t>
      </w:r>
    </w:p>
    <w:p w14:paraId="7425A500" w14:textId="77777777" w:rsidR="00391A24" w:rsidRPr="005F4880" w:rsidRDefault="00391A24" w:rsidP="0059137C">
      <w:pPr>
        <w:spacing w:after="160" w:line="480" w:lineRule="auto"/>
        <w:rPr>
          <w:rFonts w:ascii="Arial" w:hAnsi="Arial" w:cs="Arial"/>
          <w:lang w:eastAsia="ja-JP"/>
        </w:rPr>
      </w:pPr>
      <w:r w:rsidRPr="005F4880">
        <w:rPr>
          <w:rFonts w:ascii="Arial" w:hAnsi="Arial" w:cs="Arial"/>
        </w:rPr>
        <w:t>21. Sen J, Datta S, Molla H, Gupta P, Basu S, Sarkar S. (2022). Effects of sodium valproate and levetiracetam monotherapy on vitamin D status in epileptic children: A study from Eastern India. Sri Lanka Journal of Child Health. Sep 5;51(3):364-8.</w:t>
      </w:r>
    </w:p>
    <w:p w14:paraId="6337ED28" w14:textId="77777777" w:rsidR="00391A24" w:rsidRPr="005F4880" w:rsidRDefault="00391A24" w:rsidP="0059137C">
      <w:pPr>
        <w:spacing w:before="100" w:beforeAutospacing="1" w:after="100" w:afterAutospacing="1" w:line="480" w:lineRule="auto"/>
        <w:jc w:val="both"/>
        <w:rPr>
          <w:rFonts w:ascii="Arial" w:hAnsi="Arial" w:cs="Arial"/>
          <w:lang w:eastAsia="en-IN"/>
        </w:rPr>
      </w:pPr>
      <w:r w:rsidRPr="005F4880">
        <w:rPr>
          <w:rFonts w:ascii="Arial" w:hAnsi="Arial" w:cs="Arial"/>
          <w:color w:val="222222"/>
          <w:shd w:val="clear" w:color="auto" w:fill="FFFFFF"/>
        </w:rPr>
        <w:t xml:space="preserve">22. </w:t>
      </w:r>
      <w:proofErr w:type="spellStart"/>
      <w:r w:rsidRPr="005F4880">
        <w:rPr>
          <w:rFonts w:ascii="Arial" w:hAnsi="Arial" w:cs="Arial"/>
          <w:color w:val="222222"/>
          <w:shd w:val="clear" w:color="auto" w:fill="FFFFFF"/>
        </w:rPr>
        <w:t>Incecik</w:t>
      </w:r>
      <w:proofErr w:type="spellEnd"/>
      <w:r w:rsidRPr="005F4880">
        <w:rPr>
          <w:rFonts w:ascii="Arial" w:hAnsi="Arial" w:cs="Arial"/>
          <w:color w:val="222222"/>
          <w:shd w:val="clear" w:color="auto" w:fill="FFFFFF"/>
        </w:rPr>
        <w:t xml:space="preserve"> F, </w:t>
      </w:r>
      <w:proofErr w:type="spellStart"/>
      <w:r w:rsidRPr="005F4880">
        <w:rPr>
          <w:rFonts w:ascii="Arial" w:hAnsi="Arial" w:cs="Arial"/>
          <w:color w:val="222222"/>
          <w:shd w:val="clear" w:color="auto" w:fill="FFFFFF"/>
        </w:rPr>
        <w:t>Hergüner</w:t>
      </w:r>
      <w:proofErr w:type="spellEnd"/>
      <w:r w:rsidRPr="005F4880">
        <w:rPr>
          <w:rFonts w:ascii="Arial" w:hAnsi="Arial" w:cs="Arial"/>
          <w:color w:val="222222"/>
          <w:shd w:val="clear" w:color="auto" w:fill="FFFFFF"/>
        </w:rPr>
        <w:t xml:space="preserve"> MO, </w:t>
      </w:r>
      <w:proofErr w:type="spellStart"/>
      <w:r w:rsidRPr="005F4880">
        <w:rPr>
          <w:rFonts w:ascii="Arial" w:hAnsi="Arial" w:cs="Arial"/>
          <w:color w:val="222222"/>
          <w:shd w:val="clear" w:color="auto" w:fill="FFFFFF"/>
        </w:rPr>
        <w:t>Altunbasak</w:t>
      </w:r>
      <w:proofErr w:type="spellEnd"/>
      <w:r w:rsidRPr="005F4880">
        <w:rPr>
          <w:rFonts w:ascii="Arial" w:hAnsi="Arial" w:cs="Arial"/>
          <w:color w:val="222222"/>
          <w:shd w:val="clear" w:color="auto" w:fill="FFFFFF"/>
        </w:rPr>
        <w:t xml:space="preserve"> S. (2012). The efficacy and side effects of levetiracetam on refractory epilepsy in children. Journal of pediatric neurosciences. Jan 1;7(1):19-22.</w:t>
      </w:r>
    </w:p>
    <w:p w14:paraId="7391F09E" w14:textId="77777777" w:rsidR="00391A24" w:rsidRPr="005F4880" w:rsidRDefault="00391A24" w:rsidP="0059137C">
      <w:pPr>
        <w:spacing w:before="100" w:beforeAutospacing="1" w:after="100" w:afterAutospacing="1" w:line="480" w:lineRule="auto"/>
        <w:jc w:val="both"/>
        <w:rPr>
          <w:rFonts w:ascii="Arial" w:hAnsi="Arial" w:cs="Arial"/>
          <w:lang w:eastAsia="en-IN"/>
        </w:rPr>
      </w:pPr>
      <w:r w:rsidRPr="005F4880">
        <w:rPr>
          <w:rFonts w:ascii="Arial" w:hAnsi="Arial" w:cs="Arial"/>
          <w:lang w:eastAsia="en-IN"/>
        </w:rPr>
        <w:t>23. Pack AM, Morrell MJ. (2001) Adverse effects of antiepileptic drugs on bone structure: epidemiology, mechanisms and therapeutic implications. CNS drugs. Aug; 15:633-42.</w:t>
      </w:r>
    </w:p>
    <w:p w14:paraId="40C8DC7A" w14:textId="77777777" w:rsidR="00391A24" w:rsidRPr="005F4880" w:rsidRDefault="00391A24" w:rsidP="0059137C">
      <w:pPr>
        <w:spacing w:before="100" w:beforeAutospacing="1" w:after="100" w:afterAutospacing="1" w:line="480" w:lineRule="auto"/>
        <w:jc w:val="both"/>
        <w:rPr>
          <w:rFonts w:ascii="Arial" w:hAnsi="Arial" w:cs="Arial"/>
          <w:lang w:eastAsia="en-IN"/>
        </w:rPr>
      </w:pPr>
      <w:r w:rsidRPr="005F4880">
        <w:rPr>
          <w:rFonts w:ascii="Arial" w:hAnsi="Arial" w:cs="Arial"/>
          <w:lang w:eastAsia="en-IN"/>
        </w:rPr>
        <w:t xml:space="preserve">24. Bell RD, Pak CY, </w:t>
      </w:r>
      <w:proofErr w:type="spellStart"/>
      <w:r w:rsidRPr="005F4880">
        <w:rPr>
          <w:rFonts w:ascii="Arial" w:hAnsi="Arial" w:cs="Arial"/>
          <w:lang w:eastAsia="en-IN"/>
        </w:rPr>
        <w:t>Zerwekh</w:t>
      </w:r>
      <w:proofErr w:type="spellEnd"/>
      <w:r w:rsidRPr="005F4880">
        <w:rPr>
          <w:rFonts w:ascii="Arial" w:hAnsi="Arial" w:cs="Arial"/>
          <w:lang w:eastAsia="en-IN"/>
        </w:rPr>
        <w:t xml:space="preserve"> J, Barilla DE, Vasko M. (1979) Effect of phenytoin on bone and vitamin D metabolism. Annals of Neurology: Official Journal of the American Neurological Association and the Child Neurology Society. Apr;5(4):374-8.</w:t>
      </w:r>
    </w:p>
    <w:p w14:paraId="38F40057" w14:textId="290C5025" w:rsidR="00441B6F" w:rsidRDefault="00391A24" w:rsidP="0059137C">
      <w:pPr>
        <w:spacing w:before="100" w:beforeAutospacing="1" w:after="100" w:afterAutospacing="1" w:line="480" w:lineRule="auto"/>
        <w:jc w:val="both"/>
        <w:rPr>
          <w:rFonts w:ascii="Arial" w:hAnsi="Arial" w:cs="Arial"/>
          <w:lang w:eastAsia="en-IN"/>
        </w:rPr>
      </w:pPr>
      <w:r w:rsidRPr="005F4880">
        <w:rPr>
          <w:rFonts w:ascii="Arial" w:hAnsi="Arial" w:cs="Arial"/>
          <w:lang w:eastAsia="en-IN"/>
        </w:rPr>
        <w:t>25. Mintzer S, Boppana P, Toguri J, DeSantis A. (2006). Vitamin D levels and bone turnover in epilepsy patients taking carbamazepine or oxcarbazepine. Epilepsia.Mar;47(3):510-5.</w:t>
      </w:r>
    </w:p>
    <w:p w14:paraId="2BDF1350" w14:textId="77777777" w:rsidR="00B01FCD" w:rsidRPr="00FB3A86" w:rsidRDefault="00B01FCD" w:rsidP="0059137C">
      <w:pPr>
        <w:pStyle w:val="Appendix"/>
        <w:spacing w:after="0" w:line="480" w:lineRule="auto"/>
        <w:jc w:val="both"/>
        <w:rPr>
          <w:rFonts w:ascii="Arial" w:hAnsi="Arial" w:cs="Arial"/>
          <w:b w:val="0"/>
        </w:rPr>
      </w:pPr>
    </w:p>
    <w:sectPr w:rsidR="00B01FCD" w:rsidRPr="00FB3A86" w:rsidSect="001064B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3340A" w14:textId="77777777" w:rsidR="00845D64" w:rsidRDefault="00845D64" w:rsidP="00C37E61">
      <w:r>
        <w:separator/>
      </w:r>
    </w:p>
  </w:endnote>
  <w:endnote w:type="continuationSeparator" w:id="0">
    <w:p w14:paraId="311979DC" w14:textId="77777777" w:rsidR="00845D64" w:rsidRDefault="00845D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6FA3" w14:textId="77777777" w:rsidR="001064B7" w:rsidRDefault="0010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6957"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3389" w14:textId="77777777" w:rsidR="001064B7" w:rsidRDefault="0010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71B31" w14:textId="77777777" w:rsidR="00845D64" w:rsidRDefault="00845D64" w:rsidP="00C37E61">
      <w:r>
        <w:separator/>
      </w:r>
    </w:p>
  </w:footnote>
  <w:footnote w:type="continuationSeparator" w:id="0">
    <w:p w14:paraId="4EFF7F0F" w14:textId="77777777" w:rsidR="00845D64" w:rsidRDefault="00845D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1C2F" w14:textId="15F452FE" w:rsidR="001064B7" w:rsidRDefault="001064B7">
    <w:pPr>
      <w:pStyle w:val="Header"/>
    </w:pPr>
    <w:r>
      <w:rPr>
        <w:noProof/>
      </w:rPr>
      <w:pict w14:anchorId="3294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2715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6A33" w14:textId="3F2621DA" w:rsidR="001064B7" w:rsidRDefault="001064B7">
    <w:pPr>
      <w:pStyle w:val="Header"/>
    </w:pPr>
    <w:r>
      <w:rPr>
        <w:noProof/>
      </w:rPr>
      <w:pict w14:anchorId="64E4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2715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435A" w14:textId="55704E31" w:rsidR="001064B7" w:rsidRDefault="001064B7">
    <w:pPr>
      <w:pStyle w:val="Header"/>
    </w:pPr>
    <w:r>
      <w:rPr>
        <w:noProof/>
      </w:rPr>
      <w:pict w14:anchorId="0D00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2715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0D55FD"/>
    <w:multiLevelType w:val="hybridMultilevel"/>
    <w:tmpl w:val="A73635EE"/>
    <w:lvl w:ilvl="0" w:tplc="94982542">
      <w:start w:val="1"/>
      <w:numFmt w:val="decimal"/>
      <w:lvlText w:val="%1."/>
      <w:lvlJc w:val="left"/>
      <w:pPr>
        <w:ind w:left="643" w:hanging="360"/>
      </w:pPr>
      <w:rPr>
        <w:rFonts w:ascii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0B4"/>
    <w:rsid w:val="000D689F"/>
    <w:rsid w:val="000E7B7B"/>
    <w:rsid w:val="000E7D62"/>
    <w:rsid w:val="00103357"/>
    <w:rsid w:val="001064B7"/>
    <w:rsid w:val="00113775"/>
    <w:rsid w:val="00122730"/>
    <w:rsid w:val="00123C9F"/>
    <w:rsid w:val="00126190"/>
    <w:rsid w:val="00130A88"/>
    <w:rsid w:val="00130F17"/>
    <w:rsid w:val="001320BF"/>
    <w:rsid w:val="00141A70"/>
    <w:rsid w:val="00163BC4"/>
    <w:rsid w:val="00164C11"/>
    <w:rsid w:val="0017431A"/>
    <w:rsid w:val="00182A3B"/>
    <w:rsid w:val="00190E84"/>
    <w:rsid w:val="00191062"/>
    <w:rsid w:val="00192B72"/>
    <w:rsid w:val="001A29D8"/>
    <w:rsid w:val="001A3EE5"/>
    <w:rsid w:val="001A5CAA"/>
    <w:rsid w:val="001B0427"/>
    <w:rsid w:val="001B5AC2"/>
    <w:rsid w:val="001C3FE6"/>
    <w:rsid w:val="001D3A51"/>
    <w:rsid w:val="001E10D2"/>
    <w:rsid w:val="001E25B4"/>
    <w:rsid w:val="001E44FE"/>
    <w:rsid w:val="001F195F"/>
    <w:rsid w:val="001F2518"/>
    <w:rsid w:val="00200595"/>
    <w:rsid w:val="00204835"/>
    <w:rsid w:val="00231920"/>
    <w:rsid w:val="0023195C"/>
    <w:rsid w:val="0024282C"/>
    <w:rsid w:val="002460DC"/>
    <w:rsid w:val="00250985"/>
    <w:rsid w:val="002556F6"/>
    <w:rsid w:val="002755C0"/>
    <w:rsid w:val="00283105"/>
    <w:rsid w:val="002842C4"/>
    <w:rsid w:val="00284C4C"/>
    <w:rsid w:val="00285CE7"/>
    <w:rsid w:val="00287E68"/>
    <w:rsid w:val="00296529"/>
    <w:rsid w:val="002A740A"/>
    <w:rsid w:val="002B27FB"/>
    <w:rsid w:val="002B685A"/>
    <w:rsid w:val="002C0D36"/>
    <w:rsid w:val="002C57D2"/>
    <w:rsid w:val="002C5B62"/>
    <w:rsid w:val="002D15CA"/>
    <w:rsid w:val="002E0D56"/>
    <w:rsid w:val="00315186"/>
    <w:rsid w:val="00330523"/>
    <w:rsid w:val="0033343E"/>
    <w:rsid w:val="00341DD5"/>
    <w:rsid w:val="00342F35"/>
    <w:rsid w:val="003512C2"/>
    <w:rsid w:val="00364257"/>
    <w:rsid w:val="00371FB6"/>
    <w:rsid w:val="003763C1"/>
    <w:rsid w:val="00376BBE"/>
    <w:rsid w:val="00391A24"/>
    <w:rsid w:val="0039224F"/>
    <w:rsid w:val="003A43A4"/>
    <w:rsid w:val="003A7E18"/>
    <w:rsid w:val="003B15AD"/>
    <w:rsid w:val="003B1A84"/>
    <w:rsid w:val="003C4C86"/>
    <w:rsid w:val="003C6258"/>
    <w:rsid w:val="003D3083"/>
    <w:rsid w:val="003E2904"/>
    <w:rsid w:val="00401927"/>
    <w:rsid w:val="0041027F"/>
    <w:rsid w:val="00412475"/>
    <w:rsid w:val="00423789"/>
    <w:rsid w:val="00440F43"/>
    <w:rsid w:val="00441B6F"/>
    <w:rsid w:val="00445465"/>
    <w:rsid w:val="00446221"/>
    <w:rsid w:val="00447E8F"/>
    <w:rsid w:val="00450E62"/>
    <w:rsid w:val="004539DB"/>
    <w:rsid w:val="00455F1D"/>
    <w:rsid w:val="00471A80"/>
    <w:rsid w:val="004D305E"/>
    <w:rsid w:val="004D4277"/>
    <w:rsid w:val="00502516"/>
    <w:rsid w:val="00505F06"/>
    <w:rsid w:val="00506828"/>
    <w:rsid w:val="0053056E"/>
    <w:rsid w:val="005360A7"/>
    <w:rsid w:val="00554FDA"/>
    <w:rsid w:val="00564406"/>
    <w:rsid w:val="00576FA2"/>
    <w:rsid w:val="00580714"/>
    <w:rsid w:val="0059137C"/>
    <w:rsid w:val="005C784C"/>
    <w:rsid w:val="005D17F6"/>
    <w:rsid w:val="005D42B9"/>
    <w:rsid w:val="005E08D5"/>
    <w:rsid w:val="005E17D5"/>
    <w:rsid w:val="005E5539"/>
    <w:rsid w:val="00602BF5"/>
    <w:rsid w:val="006117C3"/>
    <w:rsid w:val="00617FDD"/>
    <w:rsid w:val="00633614"/>
    <w:rsid w:val="00633F68"/>
    <w:rsid w:val="00636EB2"/>
    <w:rsid w:val="006375B8"/>
    <w:rsid w:val="0065439D"/>
    <w:rsid w:val="0066510A"/>
    <w:rsid w:val="00673F9F"/>
    <w:rsid w:val="00686953"/>
    <w:rsid w:val="00687DEA"/>
    <w:rsid w:val="00687E67"/>
    <w:rsid w:val="006967F7"/>
    <w:rsid w:val="006A250C"/>
    <w:rsid w:val="006B21D3"/>
    <w:rsid w:val="006B57D0"/>
    <w:rsid w:val="006D30FF"/>
    <w:rsid w:val="006D6940"/>
    <w:rsid w:val="006F11EC"/>
    <w:rsid w:val="0070082C"/>
    <w:rsid w:val="00733B07"/>
    <w:rsid w:val="007369E6"/>
    <w:rsid w:val="00746E59"/>
    <w:rsid w:val="00754C9A"/>
    <w:rsid w:val="0075599A"/>
    <w:rsid w:val="00761D52"/>
    <w:rsid w:val="00775277"/>
    <w:rsid w:val="0077749E"/>
    <w:rsid w:val="00790ADA"/>
    <w:rsid w:val="007C7064"/>
    <w:rsid w:val="007D2288"/>
    <w:rsid w:val="007E088F"/>
    <w:rsid w:val="007F7B32"/>
    <w:rsid w:val="00804BC2"/>
    <w:rsid w:val="0081431A"/>
    <w:rsid w:val="0083216F"/>
    <w:rsid w:val="00840669"/>
    <w:rsid w:val="00845D64"/>
    <w:rsid w:val="008523A6"/>
    <w:rsid w:val="00860000"/>
    <w:rsid w:val="00863BD3"/>
    <w:rsid w:val="008641ED"/>
    <w:rsid w:val="00866D66"/>
    <w:rsid w:val="008671C6"/>
    <w:rsid w:val="00875803"/>
    <w:rsid w:val="008828AD"/>
    <w:rsid w:val="008B459E"/>
    <w:rsid w:val="008B4744"/>
    <w:rsid w:val="008E13AE"/>
    <w:rsid w:val="008E1506"/>
    <w:rsid w:val="008E710C"/>
    <w:rsid w:val="008F69D6"/>
    <w:rsid w:val="00902823"/>
    <w:rsid w:val="00915CA6"/>
    <w:rsid w:val="00925897"/>
    <w:rsid w:val="00927834"/>
    <w:rsid w:val="009500A6"/>
    <w:rsid w:val="009541EB"/>
    <w:rsid w:val="00957C18"/>
    <w:rsid w:val="009659BA"/>
    <w:rsid w:val="00983040"/>
    <w:rsid w:val="00986F71"/>
    <w:rsid w:val="009A287C"/>
    <w:rsid w:val="009B3FB9"/>
    <w:rsid w:val="009B57FA"/>
    <w:rsid w:val="009B78D0"/>
    <w:rsid w:val="009C2465"/>
    <w:rsid w:val="009C50AC"/>
    <w:rsid w:val="009D35A0"/>
    <w:rsid w:val="009D6DA6"/>
    <w:rsid w:val="009D7EB7"/>
    <w:rsid w:val="009E048A"/>
    <w:rsid w:val="009E08E9"/>
    <w:rsid w:val="009E1A37"/>
    <w:rsid w:val="009E3DB9"/>
    <w:rsid w:val="009E6E35"/>
    <w:rsid w:val="009F0EDA"/>
    <w:rsid w:val="00A009B0"/>
    <w:rsid w:val="00A03B96"/>
    <w:rsid w:val="00A05B19"/>
    <w:rsid w:val="00A11071"/>
    <w:rsid w:val="00A1122D"/>
    <w:rsid w:val="00A1134E"/>
    <w:rsid w:val="00A24E7E"/>
    <w:rsid w:val="00A258C3"/>
    <w:rsid w:val="00A347C0"/>
    <w:rsid w:val="00A51431"/>
    <w:rsid w:val="00A539AD"/>
    <w:rsid w:val="00A94063"/>
    <w:rsid w:val="00AA6219"/>
    <w:rsid w:val="00AA74E0"/>
    <w:rsid w:val="00AB703F"/>
    <w:rsid w:val="00AC6BB8"/>
    <w:rsid w:val="00AD566A"/>
    <w:rsid w:val="00AE008F"/>
    <w:rsid w:val="00B01FCD"/>
    <w:rsid w:val="00B048D3"/>
    <w:rsid w:val="00B1776C"/>
    <w:rsid w:val="00B52583"/>
    <w:rsid w:val="00B52896"/>
    <w:rsid w:val="00B64406"/>
    <w:rsid w:val="00B75E56"/>
    <w:rsid w:val="00B95236"/>
    <w:rsid w:val="00B96BD9"/>
    <w:rsid w:val="00BA1B01"/>
    <w:rsid w:val="00BA2641"/>
    <w:rsid w:val="00BA60A4"/>
    <w:rsid w:val="00BB37AA"/>
    <w:rsid w:val="00BC53A0"/>
    <w:rsid w:val="00BD4EDB"/>
    <w:rsid w:val="00BE62AD"/>
    <w:rsid w:val="00BF121F"/>
    <w:rsid w:val="00BF1F80"/>
    <w:rsid w:val="00C1105D"/>
    <w:rsid w:val="00C139DA"/>
    <w:rsid w:val="00C166EF"/>
    <w:rsid w:val="00C17EB0"/>
    <w:rsid w:val="00C27F5F"/>
    <w:rsid w:val="00C30A0F"/>
    <w:rsid w:val="00C37E61"/>
    <w:rsid w:val="00C70F1B"/>
    <w:rsid w:val="00C71A47"/>
    <w:rsid w:val="00C7464C"/>
    <w:rsid w:val="00C85588"/>
    <w:rsid w:val="00CA1F13"/>
    <w:rsid w:val="00CA6A1E"/>
    <w:rsid w:val="00CC1467"/>
    <w:rsid w:val="00CD6755"/>
    <w:rsid w:val="00CD6856"/>
    <w:rsid w:val="00CE0089"/>
    <w:rsid w:val="00CE793C"/>
    <w:rsid w:val="00CF193C"/>
    <w:rsid w:val="00D173F1"/>
    <w:rsid w:val="00D711AE"/>
    <w:rsid w:val="00D74CB0"/>
    <w:rsid w:val="00D8295D"/>
    <w:rsid w:val="00DC2A65"/>
    <w:rsid w:val="00DE15F0"/>
    <w:rsid w:val="00DE5663"/>
    <w:rsid w:val="00DE78AA"/>
    <w:rsid w:val="00DF2483"/>
    <w:rsid w:val="00E01080"/>
    <w:rsid w:val="00E01516"/>
    <w:rsid w:val="00E053D0"/>
    <w:rsid w:val="00E12B01"/>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333"/>
    <w:rsid w:val="00EF581D"/>
    <w:rsid w:val="00EF7FD8"/>
    <w:rsid w:val="00F06F59"/>
    <w:rsid w:val="00F17988"/>
    <w:rsid w:val="00F469F0"/>
    <w:rsid w:val="00F53273"/>
    <w:rsid w:val="00F755E4"/>
    <w:rsid w:val="00F77D02"/>
    <w:rsid w:val="00FA503C"/>
    <w:rsid w:val="00FB3A86"/>
    <w:rsid w:val="00FB44D9"/>
    <w:rsid w:val="00FC717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0008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391A24"/>
    <w:pPr>
      <w:spacing w:after="160" w:line="279" w:lineRule="auto"/>
      <w:ind w:left="720"/>
      <w:contextualSpacing/>
    </w:pPr>
    <w:rPr>
      <w:rFonts w:asciiTheme="minorHAnsi" w:eastAsiaTheme="minorEastAsia" w:hAnsiTheme="minorHAnsi" w:cstheme="minorBidi"/>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33854778492422"/>
          <c:y val="4.8683337021464927E-2"/>
          <c:w val="0.81719567181133379"/>
          <c:h val="0.52502665682414706"/>
        </c:manualLayout>
      </c:layout>
      <c:barChart>
        <c:barDir val="col"/>
        <c:grouping val="clustered"/>
        <c:varyColors val="0"/>
        <c:ser>
          <c:idx val="0"/>
          <c:order val="0"/>
          <c:tx>
            <c:strRef>
              <c:f>Sheet1!$B$1</c:f>
              <c:strCache>
                <c:ptCount val="1"/>
                <c:pt idx="0">
                  <c:v>Neuropsychiatric side effect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Headache</c:v>
                </c:pt>
                <c:pt idx="1">
                  <c:v>Irritability</c:v>
                </c:pt>
                <c:pt idx="2">
                  <c:v>Anxiety</c:v>
                </c:pt>
                <c:pt idx="3">
                  <c:v>Confusion</c:v>
                </c:pt>
                <c:pt idx="4">
                  <c:v>Fatiguability</c:v>
                </c:pt>
                <c:pt idx="5">
                  <c:v>Sleepiness</c:v>
                </c:pt>
                <c:pt idx="6">
                  <c:v>Dizziness</c:v>
                </c:pt>
                <c:pt idx="7">
                  <c:v>Behaviour abnormality</c:v>
                </c:pt>
              </c:strCache>
            </c:strRef>
          </c:cat>
          <c:val>
            <c:numRef>
              <c:f>Sheet1!$B$2:$B$9</c:f>
              <c:numCache>
                <c:formatCode>0.0%</c:formatCode>
                <c:ptCount val="8"/>
                <c:pt idx="0">
                  <c:v>8.8999999999999996E-2</c:v>
                </c:pt>
                <c:pt idx="1">
                  <c:v>2.5000000000000001E-2</c:v>
                </c:pt>
                <c:pt idx="2">
                  <c:v>0.10100000000000001</c:v>
                </c:pt>
                <c:pt idx="3">
                  <c:v>3.7999999999999999E-2</c:v>
                </c:pt>
                <c:pt idx="4">
                  <c:v>2.5000000000000001E-2</c:v>
                </c:pt>
                <c:pt idx="5">
                  <c:v>0</c:v>
                </c:pt>
                <c:pt idx="6">
                  <c:v>0</c:v>
                </c:pt>
                <c:pt idx="7">
                  <c:v>0.16500000000000001</c:v>
                </c:pt>
              </c:numCache>
            </c:numRef>
          </c:val>
          <c:extLst>
            <c:ext xmlns:c16="http://schemas.microsoft.com/office/drawing/2014/chart" uri="{C3380CC4-5D6E-409C-BE32-E72D297353CC}">
              <c16:uniqueId val="{00000000-A585-4D5C-ABD4-34A30E126CD5}"/>
            </c:ext>
          </c:extLst>
        </c:ser>
        <c:dLbls>
          <c:dLblPos val="outEnd"/>
          <c:showLegendKey val="0"/>
          <c:showVal val="1"/>
          <c:showCatName val="0"/>
          <c:showSerName val="0"/>
          <c:showPercent val="0"/>
          <c:showBubbleSize val="0"/>
        </c:dLbls>
        <c:gapWidth val="219"/>
        <c:overlap val="-27"/>
        <c:axId val="419898352"/>
        <c:axId val="419898744"/>
      </c:barChart>
      <c:catAx>
        <c:axId val="4198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Arial" panose="020B0604020202020204" pitchFamily="34" charset="0"/>
                    <a:cs typeface="Arial" panose="020B0604020202020204" pitchFamily="34" charset="0"/>
                  </a:rPr>
                  <a:t>types</a:t>
                </a:r>
                <a:r>
                  <a:rPr lang="en-IN" baseline="0">
                    <a:latin typeface="Arial" panose="020B0604020202020204" pitchFamily="34" charset="0"/>
                    <a:cs typeface="Arial" panose="020B0604020202020204" pitchFamily="34" charset="0"/>
                  </a:rPr>
                  <a:t> of neuropshyaitric side effects on levetiracetam therapy after 6 months</a:t>
                </a:r>
                <a:endParaRPr lang="en-IN">
                  <a:latin typeface="Arial" panose="020B0604020202020204" pitchFamily="34" charset="0"/>
                  <a:cs typeface="Arial" panose="020B0604020202020204" pitchFamily="34" charset="0"/>
                </a:endParaRPr>
              </a:p>
            </c:rich>
          </c:tx>
          <c:layout>
            <c:manualLayout>
              <c:xMode val="edge"/>
              <c:yMode val="edge"/>
              <c:x val="0.16527737393239436"/>
              <c:y val="0.8612843316460442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898744"/>
        <c:crosses val="autoZero"/>
        <c:auto val="1"/>
        <c:lblAlgn val="ctr"/>
        <c:lblOffset val="100"/>
        <c:noMultiLvlLbl val="0"/>
      </c:catAx>
      <c:valAx>
        <c:axId val="419898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percentage</a:t>
                </a:r>
                <a:r>
                  <a:rPr lang="en-IN" baseline="0">
                    <a:latin typeface="Arial" panose="020B0604020202020204" pitchFamily="34" charset="0"/>
                    <a:cs typeface="Arial" panose="020B0604020202020204" pitchFamily="34" charset="0"/>
                  </a:rPr>
                  <a:t> study population</a:t>
                </a:r>
                <a:endParaRPr lang="en-IN">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898352"/>
        <c:crosses val="autoZero"/>
        <c:crossBetween val="between"/>
      </c:valAx>
      <c:spPr>
        <a:noFill/>
        <a:ln>
          <a:noFill/>
        </a:ln>
        <a:effectLst/>
      </c:spPr>
    </c:plotArea>
    <c:legend>
      <c:legendPos val="b"/>
      <c:layout>
        <c:manualLayout>
          <c:xMode val="edge"/>
          <c:yMode val="edge"/>
          <c:x val="0.35050109135176416"/>
          <c:y val="0.925360013592051"/>
          <c:w val="0.39254779267805706"/>
          <c:h val="6.347927212223472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Musculo skeletal side effect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Muscle cramps</c:v>
                </c:pt>
                <c:pt idx="1">
                  <c:v>Numbness and tingling in the hands</c:v>
                </c:pt>
                <c:pt idx="2">
                  <c:v>Brittle nails</c:v>
                </c:pt>
                <c:pt idx="3">
                  <c:v>Any fracture on trivial trauma</c:v>
                </c:pt>
                <c:pt idx="4">
                  <c:v>Bone pain</c:v>
                </c:pt>
              </c:strCache>
            </c:strRef>
          </c:cat>
          <c:val>
            <c:numRef>
              <c:f>Sheet1!$B$2:$B$6</c:f>
              <c:numCache>
                <c:formatCode>0.0%</c:formatCode>
                <c:ptCount val="5"/>
                <c:pt idx="0">
                  <c:v>0.10100000000000001</c:v>
                </c:pt>
                <c:pt idx="1">
                  <c:v>0</c:v>
                </c:pt>
                <c:pt idx="2">
                  <c:v>1.2E-2</c:v>
                </c:pt>
                <c:pt idx="3">
                  <c:v>0</c:v>
                </c:pt>
                <c:pt idx="4">
                  <c:v>0.16500000000000001</c:v>
                </c:pt>
              </c:numCache>
            </c:numRef>
          </c:val>
          <c:extLst>
            <c:ext xmlns:c16="http://schemas.microsoft.com/office/drawing/2014/chart" uri="{C3380CC4-5D6E-409C-BE32-E72D297353CC}">
              <c16:uniqueId val="{00000000-9DEA-4D99-946E-A0BC460D443A}"/>
            </c:ext>
          </c:extLst>
        </c:ser>
        <c:dLbls>
          <c:dLblPos val="outEnd"/>
          <c:showLegendKey val="0"/>
          <c:showVal val="1"/>
          <c:showCatName val="0"/>
          <c:showSerName val="0"/>
          <c:showPercent val="0"/>
          <c:showBubbleSize val="0"/>
        </c:dLbls>
        <c:gapWidth val="219"/>
        <c:overlap val="-27"/>
        <c:axId val="419901096"/>
        <c:axId val="419901488"/>
      </c:barChart>
      <c:catAx>
        <c:axId val="419901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Arial" panose="020B0604020202020204" pitchFamily="34" charset="0"/>
                    <a:cs typeface="Arial" panose="020B0604020202020204" pitchFamily="34" charset="0"/>
                  </a:rPr>
                  <a:t>types</a:t>
                </a:r>
                <a:r>
                  <a:rPr lang="en-IN" baseline="0">
                    <a:latin typeface="Arial" panose="020B0604020202020204" pitchFamily="34" charset="0"/>
                    <a:cs typeface="Arial" panose="020B0604020202020204" pitchFamily="34" charset="0"/>
                  </a:rPr>
                  <a:t> of musculoskeletal side effects on levetiracetam montherapy after 6 months </a:t>
                </a:r>
                <a:endParaRPr lang="en-IN">
                  <a:latin typeface="Arial" panose="020B0604020202020204" pitchFamily="34" charset="0"/>
                  <a:cs typeface="Arial" panose="020B0604020202020204" pitchFamily="34" charset="0"/>
                </a:endParaRPr>
              </a:p>
            </c:rich>
          </c:tx>
          <c:layout>
            <c:manualLayout>
              <c:xMode val="edge"/>
              <c:yMode val="edge"/>
              <c:x val="0.17032317388897816"/>
              <c:y val="0.83579005309758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901488"/>
        <c:crosses val="autoZero"/>
        <c:auto val="1"/>
        <c:lblAlgn val="ctr"/>
        <c:lblOffset val="100"/>
        <c:noMultiLvlLbl val="0"/>
      </c:catAx>
      <c:valAx>
        <c:axId val="419901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r>
                  <a:rPr lang="en-IN" baseline="0"/>
                  <a:t> of study population</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90109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98DC-AC2C-4AC2-BE6B-7CA4F48D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1148</TotalTime>
  <Pages>13</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57</cp:revision>
  <cp:lastPrinted>1999-07-06T11:00:00Z</cp:lastPrinted>
  <dcterms:created xsi:type="dcterms:W3CDTF">2014-10-25T14:34:00Z</dcterms:created>
  <dcterms:modified xsi:type="dcterms:W3CDTF">2025-09-09T07:30:00Z</dcterms:modified>
</cp:coreProperties>
</file>