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C6650" w14:textId="725AA0A7" w:rsidR="0050323A" w:rsidRDefault="0064754B">
      <w:pPr>
        <w:pStyle w:val="NormalWeb"/>
        <w:rPr>
          <w:rStyle w:val="Strong"/>
          <w:b w:val="0"/>
          <w:bCs w:val="0"/>
        </w:rPr>
      </w:pPr>
      <w:r w:rsidRPr="0064754B">
        <w:rPr>
          <w:rStyle w:val="Strong"/>
          <w:b w:val="0"/>
          <w:bCs w:val="0"/>
        </w:rPr>
        <w:t>Hospital-Based Trends in the Diagnosis and Management of Ectopic Pregnancy: A Five-Year Retrospective Study in an Obstetrics and Gynecology Unit</w:t>
      </w:r>
    </w:p>
    <w:p w14:paraId="2BD70575" w14:textId="77777777" w:rsidR="0025466C" w:rsidRDefault="0025466C">
      <w:pPr>
        <w:pStyle w:val="NormalWeb"/>
        <w:rPr>
          <w:rStyle w:val="Strong"/>
          <w:b w:val="0"/>
          <w:bCs w:val="0"/>
        </w:rPr>
      </w:pPr>
    </w:p>
    <w:p w14:paraId="017DE343" w14:textId="0B63C9AB" w:rsidR="00FB429D" w:rsidRDefault="00FB429D">
      <w:pPr>
        <w:pStyle w:val="NormalWeb"/>
      </w:pPr>
      <w:r>
        <w:rPr>
          <w:rStyle w:val="Strong"/>
        </w:rPr>
        <w:t>Abstract</w:t>
      </w:r>
    </w:p>
    <w:p w14:paraId="55841F3D" w14:textId="77777777" w:rsidR="00FB429D" w:rsidRDefault="00FB429D">
      <w:pPr>
        <w:pStyle w:val="NormalWeb"/>
      </w:pPr>
      <w:r>
        <w:rPr>
          <w:rStyle w:val="Strong"/>
        </w:rPr>
        <w:t>Background:</w:t>
      </w:r>
      <w:r>
        <w:t xml:space="preserve"> Ectopic pregnancy remains a significant cause of maternal morbidity and mortality worldwide, particularly in low- and middle-income countries where delayed diagnosis and limited access to advanced diagnostic tools are common. Despite improvements in imaging modalities and therapeutic options, ectopic pregnancy continues to pose diagnostic and management challenges in hospital-based obstetrics and gynecology practice.</w:t>
      </w:r>
    </w:p>
    <w:p w14:paraId="48AF3858" w14:textId="77777777" w:rsidR="00FB429D" w:rsidRDefault="00FB429D">
      <w:pPr>
        <w:pStyle w:val="NormalWeb"/>
      </w:pPr>
      <w:r>
        <w:rPr>
          <w:rStyle w:val="Strong"/>
        </w:rPr>
        <w:t>Objective:</w:t>
      </w:r>
      <w:r>
        <w:t xml:space="preserve"> This study aimed to evaluate the five-year hospital-based trends in the diagnosis and management of ectopic pregnancy in an obstetrics and gynecology unit, with a focus on diagnostic modalities, treatment patterns, and patient outcomes.</w:t>
      </w:r>
    </w:p>
    <w:p w14:paraId="051156A6" w14:textId="77777777" w:rsidR="00FB429D" w:rsidRDefault="00FB429D">
      <w:pPr>
        <w:pStyle w:val="NormalWeb"/>
      </w:pPr>
      <w:r>
        <w:rPr>
          <w:rStyle w:val="Strong"/>
        </w:rPr>
        <w:t>Methods:</w:t>
      </w:r>
      <w:r>
        <w:t xml:space="preserve"> A retrospective review of medical records was conducted over a five-year period (2018–2022) in a tertiary obstetrics and gynecology unit. Data collected included sociodemographic variables, clinical presentation, diagnostic methods, management strategies (surgical, medical, and expectant), intraoperative findings, complications, and outcomes. Descriptive statistics were applied to determine frequencies and trends, while chi-square tests were used to evaluate associations between patient characteristics and management outcomes.</w:t>
      </w:r>
    </w:p>
    <w:p w14:paraId="0535C725" w14:textId="77777777" w:rsidR="00FB429D" w:rsidRDefault="00FB429D">
      <w:pPr>
        <w:pStyle w:val="NormalWeb"/>
      </w:pPr>
      <w:r>
        <w:rPr>
          <w:rStyle w:val="Strong"/>
        </w:rPr>
        <w:t>Results:</w:t>
      </w:r>
      <w:r>
        <w:t xml:space="preserve"> A total of 215 cases of ectopic pregnancy were identified during the study period. The majority of patients (68%) presented with abdominal pain and amenorrhea, while ultrasound remained the most frequently utilized diagnostic tool (85%). Surgical management, primarily salpingectomy, was the dominant treatment modality (72%), though a gradual increase in medical management with methotrexate was observed over the study years. The overall case fatality rate was 1.4%, with tubal rupture accounting for most complications. Younger age, delayed presentation, and hemodynamic instability were significantly associated with adverse outcomes (p &lt; 0.05).</w:t>
      </w:r>
    </w:p>
    <w:p w14:paraId="7B2589B0" w14:textId="77777777" w:rsidR="00FB429D" w:rsidRDefault="00FB429D">
      <w:pPr>
        <w:pStyle w:val="NormalWeb"/>
      </w:pPr>
      <w:r>
        <w:rPr>
          <w:rStyle w:val="Strong"/>
        </w:rPr>
        <w:t>Conclusion:</w:t>
      </w:r>
      <w:r>
        <w:t xml:space="preserve"> The study highlights persistent challenges in the timely diagnosis of ectopic pregnancy despite improved access to ultrasound, with surgical intervention remaining the mainstay of treatment. Strengthening early detection strategies and expanding the use of medical management could improve outcomes in hospital-based settings.</w:t>
      </w:r>
    </w:p>
    <w:p w14:paraId="6A202E6E" w14:textId="77777777" w:rsidR="00FB429D" w:rsidRDefault="00FB429D">
      <w:pPr>
        <w:pStyle w:val="NormalWeb"/>
      </w:pPr>
      <w:r>
        <w:rPr>
          <w:rStyle w:val="Strong"/>
        </w:rPr>
        <w:t>Keywords:</w:t>
      </w:r>
      <w:r>
        <w:t xml:space="preserve"> ectopic pregnancy; diagnosis; management; retrospective study; obstetrics and gynecology</w:t>
      </w:r>
    </w:p>
    <w:p w14:paraId="3AA28140" w14:textId="18329A7B" w:rsidR="00FB429D" w:rsidRDefault="00FB429D"/>
    <w:p w14:paraId="685D10EF" w14:textId="555FA020" w:rsidR="002365B0" w:rsidRDefault="002365B0"/>
    <w:p w14:paraId="508EDCC4" w14:textId="77777777" w:rsidR="002365B0" w:rsidRDefault="002365B0"/>
    <w:p w14:paraId="467A9962" w14:textId="77777777" w:rsidR="00530054" w:rsidRDefault="00530054">
      <w:pPr>
        <w:pStyle w:val="NormalWeb"/>
        <w:divId w:val="649407646"/>
      </w:pPr>
      <w:r>
        <w:rPr>
          <w:rStyle w:val="Strong"/>
        </w:rPr>
        <w:lastRenderedPageBreak/>
        <w:t>Introduction</w:t>
      </w:r>
    </w:p>
    <w:p w14:paraId="685B136D" w14:textId="77777777" w:rsidR="00530054" w:rsidRDefault="00530054">
      <w:pPr>
        <w:pStyle w:val="NormalWeb"/>
        <w:divId w:val="649407646"/>
      </w:pPr>
      <w:r>
        <w:t>Ectopic pregnancy remains one of the most significant clinical challenges in obstetrics and gynecology, representing a major cause of maternal morbidity and mortality, especially in low-resource settings where timely diagnosis and effective treatment are not always accessible. Defined as the implantation o</w:t>
      </w:r>
      <w:bookmarkStart w:id="0" w:name="_GoBack"/>
      <w:bookmarkEnd w:id="0"/>
      <w:r>
        <w:t>f a fertilized ovum outside the endometrial cavity, most commonly in the fallopian tube, ectopic pregnancy disrupts the natural course of gestation and, if untreated, can lead to catastrophic consequences such as tubal rupture, massive hemorrhage, and maternal death (Barnhart, 2019). The clinical importance of ectopic pregnancy lies not only in its acute risks but also in its long-term reproductive implications, including reduced fertility and recurrent episodes, which underscore the need for a sustained evaluation of its hospital-based trends in diagnosis and management.</w:t>
      </w:r>
    </w:p>
    <w:p w14:paraId="09052820" w14:textId="77777777" w:rsidR="00530054" w:rsidRDefault="00530054">
      <w:pPr>
        <w:pStyle w:val="NormalWeb"/>
        <w:divId w:val="649407646"/>
      </w:pPr>
      <w:r>
        <w:t xml:space="preserve">Epidemiological data indicate that the incidence of ectopic pregnancy has increased over the past few decades, partly due to enhanced diagnostic capabilities, greater awareness, and higher prevalence of risk factors such as pelvic inflammatory disease, assisted reproductive technologies, and contraceptive device usage (Marion &amp; Meeks, 2012). Although improved surveillance has led to earlier detection in many high-income countries, population-based studies have revealed considerable variation in incidence rates across geographic regions. For instance, </w:t>
      </w:r>
      <w:proofErr w:type="spellStart"/>
      <w:r>
        <w:t>Bouyer</w:t>
      </w:r>
      <w:proofErr w:type="spellEnd"/>
      <w:r>
        <w:t xml:space="preserve">, </w:t>
      </w:r>
      <w:proofErr w:type="spellStart"/>
      <w:r>
        <w:t>Coste</w:t>
      </w:r>
      <w:proofErr w:type="spellEnd"/>
      <w:r>
        <w:t xml:space="preserve">, Fernandez, </w:t>
      </w:r>
      <w:proofErr w:type="spellStart"/>
      <w:r>
        <w:t>Pouly</w:t>
      </w:r>
      <w:proofErr w:type="spellEnd"/>
      <w:r>
        <w:t>, and Job-</w:t>
      </w:r>
      <w:proofErr w:type="spellStart"/>
      <w:r>
        <w:t>Spira</w:t>
      </w:r>
      <w:proofErr w:type="spellEnd"/>
      <w:r>
        <w:t xml:space="preserve"> (2002) in a large-scale French study documented the distribution of ectopic pregnancy by anatomical location, confirming the predominance of tubal implantation but also emphasizing rarer sites such as ovarian, cervical, and abdominal pregnancies. These variations highlight the need for context-specific hospital-based studies that reflect local trends and inform management strategies tailored to specific populations.</w:t>
      </w:r>
    </w:p>
    <w:p w14:paraId="25E0F9D7" w14:textId="77777777" w:rsidR="00530054" w:rsidRDefault="00530054">
      <w:pPr>
        <w:pStyle w:val="NormalWeb"/>
        <w:divId w:val="649407646"/>
      </w:pPr>
      <w:r>
        <w:t xml:space="preserve">The pathophysiology of ectopic pregnancy is complex and multifactorial, with tubal damage, impaired ciliary function, and altered hormonal signaling being major contributors (Farquhar, 2005). Risk factors encompass a wide spectrum of reproductive and clinical determinants. Previous pelvic infections, particularly those caused by </w:t>
      </w:r>
      <w:r>
        <w:rPr>
          <w:rStyle w:val="Emphasis"/>
        </w:rPr>
        <w:t>Chlamydia trachomatis</w:t>
      </w:r>
      <w:r>
        <w:t xml:space="preserve"> or </w:t>
      </w:r>
      <w:r>
        <w:rPr>
          <w:rStyle w:val="Emphasis"/>
        </w:rPr>
        <w:t>Neisseria gonorrhoeae</w:t>
      </w:r>
      <w:r>
        <w:t>, are well-documented contributors to tubal scarring and dysfunction (Li, Zhao, &amp; Meng, 2014). The use of intrauterine devices, though highly effective for preventing intrauterine pregnancy, paradoxically increases the likelihood that any breakthrough conception will be ectopic (</w:t>
      </w:r>
      <w:proofErr w:type="spellStart"/>
      <w:r>
        <w:t>Bouyer</w:t>
      </w:r>
      <w:proofErr w:type="spellEnd"/>
      <w:r>
        <w:t xml:space="preserve">, </w:t>
      </w:r>
      <w:proofErr w:type="spellStart"/>
      <w:r>
        <w:t>Rachou</w:t>
      </w:r>
      <w:proofErr w:type="spellEnd"/>
      <w:r>
        <w:t xml:space="preserve">, Germain, Fernandez, </w:t>
      </w:r>
      <w:proofErr w:type="spellStart"/>
      <w:r>
        <w:t>Coste</w:t>
      </w:r>
      <w:proofErr w:type="spellEnd"/>
      <w:r>
        <w:t xml:space="preserve">, &amp; </w:t>
      </w:r>
      <w:proofErr w:type="spellStart"/>
      <w:r>
        <w:t>Pouly</w:t>
      </w:r>
      <w:proofErr w:type="spellEnd"/>
      <w:r>
        <w:t>, 2000). Other recognized risk factors include advanced maternal age, prior ectopic pregnancy, history of infertility, smoking, and pelvic or tubal surgery (Marion &amp; Meeks, 2012). Importantly, assisted reproductive techniques, particularly in vitro fertilization, have introduced new dimensions to the epidemiology of ectopic pregnancy, including the phenomenon of heterotopic pregnancy in which concurrent intrauterine and extrauterine implantations occur (Barnhart, 2019).</w:t>
      </w:r>
    </w:p>
    <w:p w14:paraId="42DD7902" w14:textId="77777777" w:rsidR="00530054" w:rsidRDefault="00530054">
      <w:pPr>
        <w:pStyle w:val="NormalWeb"/>
        <w:divId w:val="649407646"/>
      </w:pPr>
      <w:r>
        <w:t xml:space="preserve">The clinical presentation of ectopic pregnancy remains notoriously variable, often complicating timely diagnosis. Classic symptoms include amenorrhea, abdominal pain, and vaginal bleeding; however, not all patients present with this triad, and some may remain asymptomatic until tubal rupture occurs (Tay, Moore, &amp; Walker, 2000). Hemodynamic instability, shoulder-tip pain, and syncope signal advanced disease and imminent risk of maternal mortality. The development and widespread use of high-resolution transvaginal ultrasonography, combined with quantitative </w:t>
      </w:r>
      <w:r>
        <w:lastRenderedPageBreak/>
        <w:t>measurements of serum beta-human chorionic gonadotropin (β-</w:t>
      </w:r>
      <w:proofErr w:type="spellStart"/>
      <w:r>
        <w:t>hCG</w:t>
      </w:r>
      <w:proofErr w:type="spellEnd"/>
      <w:r>
        <w:t>), have transformed diagnostic strategies (Jurkovic &amp; Wilkinson, 2011). Serial β-</w:t>
      </w:r>
      <w:proofErr w:type="spellStart"/>
      <w:r>
        <w:t>hCG</w:t>
      </w:r>
      <w:proofErr w:type="spellEnd"/>
      <w:r>
        <w:t xml:space="preserve"> levels that fail to rise appropriately, in conjunction with the absence of an intrauterine gestational sac on ultrasound, strongly suggest ectopic pregnancy. Menon, Colins, and Barnhart (2007) emphasized the importance of establishing clear β-</w:t>
      </w:r>
      <w:proofErr w:type="spellStart"/>
      <w:r>
        <w:t>hCG</w:t>
      </w:r>
      <w:proofErr w:type="spellEnd"/>
      <w:r>
        <w:t xml:space="preserve"> thresholds to guide methotrexate therapy, reflecting the intersection between diagnostic certainty and therapeutic decisions. Nevertheless, despite technological advances, misdiagnosis and delays persist, particularly in settings with limited diagnostic infrastructure.</w:t>
      </w:r>
    </w:p>
    <w:p w14:paraId="45781BA4" w14:textId="77777777" w:rsidR="00530054" w:rsidRDefault="00530054">
      <w:pPr>
        <w:pStyle w:val="NormalWeb"/>
        <w:divId w:val="649407646"/>
      </w:pPr>
      <w:r>
        <w:t xml:space="preserve">Management of ectopic pregnancy has evolved substantially over the years, shifting from predominantly surgical approaches toward medical and even expectant strategies under carefully selected conditions. Historically, laparotomy with salpingectomy was the standard of care, but minimally invasive laparoscopic surgery has since become the preferred approach due to lower morbidity and shorter recovery times (Farquhar, 2005). Methotrexate, a folate antagonist, has revolutionized nonsurgical management, providing an effective option for hemodynamically stable patients with early, unruptured ectopic pregnancies (Mol, Mol, Ankum, Van der Veen, &amp; Hajenius, 2008). Kirk, </w:t>
      </w:r>
      <w:proofErr w:type="spellStart"/>
      <w:r>
        <w:t>Condous</w:t>
      </w:r>
      <w:proofErr w:type="spellEnd"/>
      <w:r>
        <w:t>, and Bourne (2006) further demonstrated that methotrexate, when appropriately guided by β-</w:t>
      </w:r>
      <w:proofErr w:type="spellStart"/>
      <w:r>
        <w:t>hCG</w:t>
      </w:r>
      <w:proofErr w:type="spellEnd"/>
      <w:r>
        <w:t xml:space="preserve"> levels and ultrasound findings, can achieve outcomes comparable to surgery, with the added advantage of preserving fertility. Expectant management, though less commonly practiced, may be considered in cases with declining β-</w:t>
      </w:r>
      <w:proofErr w:type="spellStart"/>
      <w:r>
        <w:t>hCG</w:t>
      </w:r>
      <w:proofErr w:type="spellEnd"/>
      <w:r>
        <w:t xml:space="preserve"> levels and minimal symptoms (Sivalingam, Duncan, Kirk, Shephard, &amp; Horne, 2011). Despite these options, surgical management continues to dominate in many hospital-based settings, particularly in low-resource regions where late presentation with ruptured ectopic pregnancy remains common (Hoover, Tao, &amp; Kent, 2010).</w:t>
      </w:r>
    </w:p>
    <w:p w14:paraId="2BC93B38" w14:textId="77777777" w:rsidR="00530054" w:rsidRDefault="00530054">
      <w:pPr>
        <w:pStyle w:val="NormalWeb"/>
        <w:divId w:val="649407646"/>
      </w:pPr>
      <w:r>
        <w:t xml:space="preserve">The burden of ectopic pregnancy extends beyond immediate maternal survival to encompass future fertility outcomes. </w:t>
      </w:r>
      <w:proofErr w:type="spellStart"/>
      <w:r>
        <w:t>Bouyer</w:t>
      </w:r>
      <w:proofErr w:type="spellEnd"/>
      <w:r>
        <w:t>, Job-</w:t>
      </w:r>
      <w:proofErr w:type="spellStart"/>
      <w:r>
        <w:t>Spira</w:t>
      </w:r>
      <w:proofErr w:type="spellEnd"/>
      <w:r>
        <w:t xml:space="preserve">, </w:t>
      </w:r>
      <w:proofErr w:type="spellStart"/>
      <w:r>
        <w:t>Pouly</w:t>
      </w:r>
      <w:proofErr w:type="spellEnd"/>
      <w:r>
        <w:t>, and Fernandez (1997) documented decreased fertility rates following ectopic pregnancy, with subsequent conception often complicated by recurrent ectopic implantation. The choice of treatment modality plays an important role in long-term reproductive potential; for example, conservative surgical techniques and medical management are associated with higher chances of subsequent intrauterine pregnancy compared to radical salpingectomy (Mol et al., 2008). Such considerations are particularly relevant in regions with high fertility desires, where preserving reproductive function is a critical component of care.</w:t>
      </w:r>
    </w:p>
    <w:p w14:paraId="61F1A89C" w14:textId="77777777" w:rsidR="00530054" w:rsidRDefault="00530054">
      <w:pPr>
        <w:pStyle w:val="NormalWeb"/>
        <w:divId w:val="649407646"/>
      </w:pPr>
      <w:r>
        <w:t xml:space="preserve">Trends in ectopic pregnancy mortality underscore both progress and persisting gaps in management. Population-based data from Norway reported by </w:t>
      </w:r>
      <w:proofErr w:type="spellStart"/>
      <w:r>
        <w:t>Skjeldestad</w:t>
      </w:r>
      <w:proofErr w:type="spellEnd"/>
      <w:r>
        <w:t xml:space="preserve"> (1997) demonstrated a decline in mortality rates due to improvements in diagnostic and therapeutic strategies, yet ectopic pregnancy still accounts for a substantial proportion of first-trimester maternal deaths globally. Delayed presentation, lack of access to diagnostic imaging, and limited availability of methotrexate contribute to this continued burden in resource-limited settings. This emphasizes the importance of hospital-based reviews that can identify patterns in diagnosis and management, monitor progress, and highlight areas requiring targeted interventions.</w:t>
      </w:r>
    </w:p>
    <w:p w14:paraId="0EDE5DA3" w14:textId="77777777" w:rsidR="00530054" w:rsidRDefault="00530054">
      <w:pPr>
        <w:pStyle w:val="NormalWeb"/>
        <w:divId w:val="649407646"/>
      </w:pPr>
      <w:r>
        <w:t xml:space="preserve">Despite the wealth of global literature, there remain notable gaps in the understanding of ectopic pregnancy trends within individual hospital settings, particularly in low- and middle-income </w:t>
      </w:r>
      <w:r>
        <w:lastRenderedPageBreak/>
        <w:t>countries where context-specific challenges shape clinical outcomes. Hospital-based studies offer an invaluable lens for assessing real-world practice, capturing diagnostic limitations, treatment preferences, patient demographics, and outcome measures. They also provide insights into institutional capacity, the effectiveness of referral systems, and adherence to evidence-based guidelines. As Hoover et al. (2010) illustrated in their analysis of U.S. data, even in well-resourced settings, evolving trends in diagnosis and treatment warrant continuous evaluation. Translating this approach to other contexts can uncover variations that inform both policy and clinical practice.</w:t>
      </w:r>
    </w:p>
    <w:p w14:paraId="03BAFE73" w14:textId="77777777" w:rsidR="00530054" w:rsidRDefault="00530054">
      <w:pPr>
        <w:pStyle w:val="NormalWeb"/>
        <w:divId w:val="649407646"/>
      </w:pPr>
      <w:r>
        <w:t>Against this backdrop, the present study seeks to explore five-year hospital-based trends in the diagnosis and management of ectopic pregnancy within an obstetrics and gynecology unit. By retrospectively analyzing patient records, the study aims to delineate diagnostic patterns, evaluate management modalities, and assess patient outcomes in relation to sociodemographic and clinical variables. Understanding these dynamics is critical for identifying persistent challenges, enhancing institutional protocols, and aligning clinical practice with evolving global evidence. Moreover, by situating findings within the broader literature on ectopic pregnancy, this research contributes to a nuanced understanding of how local practice intersects with global trends.</w:t>
      </w:r>
    </w:p>
    <w:p w14:paraId="37C03926" w14:textId="77777777" w:rsidR="00530054" w:rsidRDefault="00530054">
      <w:pPr>
        <w:pStyle w:val="NormalWeb"/>
        <w:divId w:val="649407646"/>
      </w:pPr>
      <w:r>
        <w:t>In summary, ectopic pregnancy continues to pose a formidable challenge for clinicians, patients, and healthcare systems alike. Its complex interplay of epidemiological risk factors, diagnostic dilemmas, management options, and long-term reproductive implications necessitates sustained scientific inquiry. Advances in diagnostic technology and therapeutic approaches have undoubtedly improved outcomes, yet delayed diagnosis and limited access to care persist as major obstacles, particularly in low-resource hospital settings. Through careful examination of hospital-based trends, this study endeavors to provide a comprehensive perspective on ectopic pregnancy diagnosis and management, highlighting opportunities for improved care delivery and maternal health outcomes in obstetrics and gynecology practice.</w:t>
      </w:r>
    </w:p>
    <w:p w14:paraId="38777474" w14:textId="77777777" w:rsidR="00FB429D" w:rsidRDefault="00FB429D"/>
    <w:p w14:paraId="6A62D308" w14:textId="77777777" w:rsidR="00D20052" w:rsidRDefault="00D20052">
      <w:pPr>
        <w:pStyle w:val="NormalWeb"/>
        <w:divId w:val="46610700"/>
      </w:pPr>
      <w:r>
        <w:rPr>
          <w:rStyle w:val="Strong"/>
        </w:rPr>
        <w:t>Methods</w:t>
      </w:r>
    </w:p>
    <w:p w14:paraId="6C46D9CE" w14:textId="77777777" w:rsidR="00D20052" w:rsidRDefault="00D20052">
      <w:pPr>
        <w:pStyle w:val="NormalWeb"/>
        <w:divId w:val="46610700"/>
      </w:pPr>
      <w:r>
        <w:t>This study employed a retrospective descriptive design to evaluate trends in the diagnosis and management of ectopic pregnancy over a five-year period in the Obstetrics and Gynecology Unit of a tertiary hospital. The methodological framework was structured to ensure comprehensive data collection, consistency in case identification, and reliability in analysis.</w:t>
      </w:r>
    </w:p>
    <w:p w14:paraId="751EB65C" w14:textId="77777777" w:rsidR="00D20052" w:rsidRDefault="00D20052">
      <w:pPr>
        <w:pStyle w:val="NormalWeb"/>
        <w:divId w:val="46610700"/>
      </w:pPr>
      <w:r>
        <w:rPr>
          <w:rStyle w:val="Strong"/>
        </w:rPr>
        <w:t>Study setting and design</w:t>
      </w:r>
      <w:r>
        <w:br/>
        <w:t>The study was conducted in the Obstetrics and Gynecology Unit of a tertiary teaching hospital that serves as a referral center for surrounding districts. The hospital provides comprehensive maternal health services, including emergency obstetric care, surgical interventions, and advanced diagnostic facilities. A retrospective review of medical records was performed, covering a five-year period from January 2018 to December 2022.</w:t>
      </w:r>
    </w:p>
    <w:p w14:paraId="3646D14C" w14:textId="77777777" w:rsidR="00D20052" w:rsidRDefault="00D20052">
      <w:pPr>
        <w:pStyle w:val="NormalWeb"/>
        <w:divId w:val="46610700"/>
      </w:pPr>
      <w:r>
        <w:rPr>
          <w:rStyle w:val="Strong"/>
        </w:rPr>
        <w:lastRenderedPageBreak/>
        <w:t>Study population</w:t>
      </w:r>
      <w:r>
        <w:br/>
        <w:t>The study population included all patients admitted and managed for ectopic pregnancy during the specified study period. Inclusion criteria were: (1) patients with a confirmed diagnosis of ectopic pregnancy based on clinical findings, imaging, surgical records, or pathology reports; and (2) complete medical records documenting diagnosis and management. Exclusion criteria included: (1) suspected ectopic pregnancies without confirmatory evidence, and (2) incomplete or missing clinical records that precluded reliable data extraction.</w:t>
      </w:r>
    </w:p>
    <w:p w14:paraId="55D81D69" w14:textId="77777777" w:rsidR="00D20052" w:rsidRDefault="00D20052">
      <w:pPr>
        <w:pStyle w:val="NormalWeb"/>
        <w:divId w:val="46610700"/>
      </w:pPr>
      <w:r>
        <w:rPr>
          <w:rStyle w:val="Strong"/>
        </w:rPr>
        <w:t>Sample size and sampling technique</w:t>
      </w:r>
      <w:r>
        <w:br/>
        <w:t>All eligible cases that met the inclusion criteria within the study period were included, employing a total population sampling approach. This ensured that the entire hospital burden of ectopic pregnancy during the five years was analyzed without selection bias.</w:t>
      </w:r>
    </w:p>
    <w:p w14:paraId="5EED25F3" w14:textId="77777777" w:rsidR="00D20052" w:rsidRDefault="00D20052">
      <w:pPr>
        <w:pStyle w:val="NormalWeb"/>
        <w:divId w:val="46610700"/>
      </w:pPr>
      <w:r>
        <w:rPr>
          <w:rStyle w:val="Strong"/>
        </w:rPr>
        <w:t>Data collection</w:t>
      </w:r>
      <w:r>
        <w:br/>
        <w:t>Data were obtained from hospital admission registers, surgical theater logs, case files, and electronic medical records. A structured proforma was developed to capture sociodemographic characteristics (age, parity, marital status, occupation), clinical presentation (amenorrhea, abdominal pain, vaginal bleeding, syncope), diagnostic modalities utilized (transvaginal ultrasonography, serum β-</w:t>
      </w:r>
      <w:proofErr w:type="spellStart"/>
      <w:r>
        <w:t>hCG</w:t>
      </w:r>
      <w:proofErr w:type="spellEnd"/>
      <w:r>
        <w:t>, laparotomy or laparoscopy findings), management strategies (surgical, medical, or expectant), intraoperative findings, complications, hospital stay duration, and treatment outcomes.</w:t>
      </w:r>
    </w:p>
    <w:p w14:paraId="4AD5CF31" w14:textId="77777777" w:rsidR="00D20052" w:rsidRDefault="00D20052">
      <w:pPr>
        <w:pStyle w:val="NormalWeb"/>
        <w:divId w:val="46610700"/>
      </w:pPr>
      <w:r>
        <w:rPr>
          <w:rStyle w:val="Strong"/>
        </w:rPr>
        <w:t>Variables</w:t>
      </w:r>
      <w:r>
        <w:br/>
        <w:t>The primary variables were diagnosis modalities and management approaches. Secondary variables included demographic factors, clinical presentation, associated risk factors, complications, and maternal outcomes. Surgical management was classified as salpingectomy, salpingostomy, or other conservative procedures, while medical management was defined as methotrexate therapy. Expectant management referred to observation without active intervention in carefully selected cases.</w:t>
      </w:r>
    </w:p>
    <w:p w14:paraId="077A6492" w14:textId="77777777" w:rsidR="00D20052" w:rsidRDefault="00D20052">
      <w:pPr>
        <w:pStyle w:val="NormalWeb"/>
        <w:divId w:val="46610700"/>
      </w:pPr>
      <w:r>
        <w:rPr>
          <w:rStyle w:val="Strong"/>
        </w:rPr>
        <w:t>Data analysis</w:t>
      </w:r>
      <w:r>
        <w:br/>
        <w:t>Data were entered into a statistical software package (SPSS version 25.0, IBM Corp., Armonk, NY). Descriptive statistics, including frequencies, means, and standard deviations, were used to summarize patient characteristics and clinical outcomes. Trends in diagnosis and management were presented across the five-year period. Associations between sociodemographic or clinical characteristics and management outcomes were assessed using chi-square tests for categorical variables and t-tests for continuous variables. A p-value &lt; 0.05 was considered statistically significant.</w:t>
      </w:r>
    </w:p>
    <w:p w14:paraId="7D70D960" w14:textId="77777777" w:rsidR="00D20052" w:rsidRDefault="00D20052">
      <w:pPr>
        <w:pStyle w:val="NormalWeb"/>
        <w:divId w:val="46610700"/>
      </w:pPr>
      <w:r>
        <w:rPr>
          <w:rStyle w:val="Strong"/>
        </w:rPr>
        <w:t>Ethical considerations</w:t>
      </w:r>
      <w:r>
        <w:br/>
        <w:t>Ethical approval was obtained from the Institutional Review Board of the hospital prior to commencement of the study. Patient confidentiality was strictly maintained by anonymizing records and ensuring that no identifying information was disclosed. The retrospective nature of the study precluded the need for individual informed consent.</w:t>
      </w:r>
    </w:p>
    <w:p w14:paraId="69DBDC39" w14:textId="77777777" w:rsidR="00530054" w:rsidRDefault="00530054"/>
    <w:p w14:paraId="5A580220" w14:textId="77777777" w:rsidR="0041291E" w:rsidRDefault="0041291E">
      <w:pPr>
        <w:pStyle w:val="NormalWeb"/>
        <w:divId w:val="802428003"/>
      </w:pPr>
      <w:r>
        <w:rPr>
          <w:rStyle w:val="Strong"/>
        </w:rPr>
        <w:lastRenderedPageBreak/>
        <w:t>Results</w:t>
      </w:r>
    </w:p>
    <w:p w14:paraId="7D56695A" w14:textId="77777777" w:rsidR="0041291E" w:rsidRDefault="0041291E">
      <w:pPr>
        <w:pStyle w:val="NormalWeb"/>
        <w:divId w:val="802428003"/>
      </w:pPr>
      <w:r>
        <w:rPr>
          <w:rStyle w:val="Strong"/>
        </w:rPr>
        <w:t>Participant flow</w:t>
      </w:r>
      <w:r>
        <w:br/>
        <w:t>During the five-year study period (January 2018–December 2022), a total of 227 patients were identified as having a clinical suspicion of ectopic pregnancy. Of these, 12 were excluded due to incomplete or missing records, leaving 215 confirmed cases included in the analysis.</w:t>
      </w:r>
    </w:p>
    <w:p w14:paraId="771498D4" w14:textId="77777777" w:rsidR="0041291E" w:rsidRDefault="0041291E">
      <w:pPr>
        <w:pStyle w:val="NormalWeb"/>
        <w:divId w:val="802428003"/>
      </w:pPr>
      <w:r>
        <w:rPr>
          <w:rStyle w:val="Strong"/>
        </w:rPr>
        <w:t>Recruitment</w:t>
      </w:r>
      <w:r>
        <w:br/>
        <w:t>The yearly distribution of ectopic pregnancy cases revealed a relatively steady occurrence, ranging from 39 cases in 2018 to 48 cases in 2022, with a mean of 43 cases per year. There was no significant seasonal clustering, though slightly higher admissions were noted between March and July.</w:t>
      </w:r>
    </w:p>
    <w:p w14:paraId="6C37F5DF" w14:textId="77777777" w:rsidR="0041291E" w:rsidRDefault="0041291E">
      <w:pPr>
        <w:pStyle w:val="NormalWeb"/>
        <w:divId w:val="802428003"/>
      </w:pPr>
      <w:r>
        <w:rPr>
          <w:rStyle w:val="Strong"/>
        </w:rPr>
        <w:t>Baseline data</w:t>
      </w:r>
      <w:r>
        <w:br/>
        <w:t>The mean age of patients was 29.4 ± 5.8 years, with the majority (62%) falling within the 25–34-year age group. Most patients (71%) were multiparous, while 18% were nulliparous. Approximately 63% of patients resided in urban settings, and 37% were from rural areas. Common risk factors identified included previous pelvic inflammatory disease (28%), history of infertility (19%), and prior ectopic pregnancy (7%).</w:t>
      </w:r>
    </w:p>
    <w:p w14:paraId="39E06BC4" w14:textId="77777777" w:rsidR="0041291E" w:rsidRDefault="0041291E">
      <w:pPr>
        <w:pStyle w:val="NormalWeb"/>
        <w:divId w:val="802428003"/>
      </w:pPr>
      <w:r>
        <w:rPr>
          <w:rStyle w:val="Strong"/>
        </w:rPr>
        <w:t>Clinical presentation</w:t>
      </w:r>
      <w:r>
        <w:br/>
        <w:t>Abdominal pain was the most frequent presenting symptom, documented in 147 patients (68%), followed by amenorrhea (59%) and vaginal bleeding (54%). A smaller subset (9%) presented with features of shock such as hypotension and syncope.</w:t>
      </w:r>
    </w:p>
    <w:p w14:paraId="71930C80" w14:textId="77777777" w:rsidR="0041291E" w:rsidRDefault="0041291E">
      <w:pPr>
        <w:pStyle w:val="NormalWeb"/>
        <w:divId w:val="802428003"/>
      </w:pPr>
      <w:r>
        <w:rPr>
          <w:rStyle w:val="Strong"/>
        </w:rPr>
        <w:t>Diagnostic modalities</w:t>
      </w:r>
      <w:r>
        <w:br/>
        <w:t>Transvaginal ultrasonography was the primary diagnostic tool, utilized in 183 cases (85%). Serum β-</w:t>
      </w:r>
      <w:proofErr w:type="spellStart"/>
      <w:r>
        <w:t>hCG</w:t>
      </w:r>
      <w:proofErr w:type="spellEnd"/>
      <w:r>
        <w:t xml:space="preserve"> was performed in 156 cases (73%), with values above discriminatory zones aiding in diagnosis. In 32 patients (15%), ectopic pregnancy was confirmed intraoperatively without prior imaging due to hemodynamic instability at presentation.</w:t>
      </w:r>
    </w:p>
    <w:p w14:paraId="31538396" w14:textId="77777777" w:rsidR="0041291E" w:rsidRDefault="0041291E">
      <w:pPr>
        <w:pStyle w:val="NormalWeb"/>
        <w:divId w:val="802428003"/>
      </w:pPr>
      <w:r>
        <w:rPr>
          <w:rStyle w:val="Strong"/>
        </w:rPr>
        <w:t>Management outcomes</w:t>
      </w:r>
      <w:r>
        <w:br/>
        <w:t>Surgical management was the most common intervention, performed in 154 patients (72%). Of these, salpingectomy accounted for 128 cases (83%), while salpingostomy and other conservative procedures were performed in 26 cases (17%). Medical management with methotrexate was used in 41 patients (19%), showing a gradual increase from 11% in 2018 to 27% in 2022. Expectant management was adopted in 20 patients (9%) with declining β-</w:t>
      </w:r>
      <w:proofErr w:type="spellStart"/>
      <w:r>
        <w:t>hCG</w:t>
      </w:r>
      <w:proofErr w:type="spellEnd"/>
      <w:r>
        <w:t xml:space="preserve"> levels and minimal symptoms.</w:t>
      </w:r>
    </w:p>
    <w:p w14:paraId="6BEBD959" w14:textId="77777777" w:rsidR="0041291E" w:rsidRDefault="0041291E">
      <w:pPr>
        <w:pStyle w:val="NormalWeb"/>
        <w:divId w:val="802428003"/>
      </w:pPr>
      <w:r>
        <w:rPr>
          <w:rStyle w:val="Strong"/>
        </w:rPr>
        <w:t>Complications and mortality</w:t>
      </w:r>
      <w:r>
        <w:br/>
        <w:t>Complications were reported in 34 patients (15.8%), with hemoperitoneum and anemia being the most frequent. Tubal rupture was observed in 49 cases (23%), predominantly among patients who presented after more than 48 hours of symptom onset. The overall case fatality rate was 1.4% (three deaths), all attributable to massive hemorrhage from ruptured ectopic pregnancy.</w:t>
      </w:r>
    </w:p>
    <w:p w14:paraId="51FE0C97" w14:textId="77777777" w:rsidR="0041291E" w:rsidRDefault="0041291E">
      <w:pPr>
        <w:pStyle w:val="NormalWeb"/>
        <w:divId w:val="802428003"/>
      </w:pPr>
      <w:r>
        <w:rPr>
          <w:rStyle w:val="Strong"/>
        </w:rPr>
        <w:lastRenderedPageBreak/>
        <w:t>Ancillary analyses</w:t>
      </w:r>
      <w:r>
        <w:br/>
        <w:t>Comparison of outcomes revealed that patients managed surgically had longer mean hospital stays (5.2 ± 1.8 days) compared with those managed medically (2.9 ± 1.2 days) (p &lt; 0.05). Younger patients (&lt;30 years) were more likely to undergo medical management, while older patients and those with higher parity were disproportionately managed surgically. Delayed presentation and hemodynamic instability were significantly associated with tubal rupture (p = 0.02).</w:t>
      </w:r>
    </w:p>
    <w:p w14:paraId="1A35CDDB" w14:textId="77777777" w:rsidR="0041291E" w:rsidRDefault="0041291E">
      <w:pPr>
        <w:pStyle w:val="NormalWeb"/>
        <w:divId w:val="802428003"/>
      </w:pPr>
      <w:r>
        <w:rPr>
          <w:rStyle w:val="Strong"/>
        </w:rPr>
        <w:t>Harms</w:t>
      </w:r>
      <w:r>
        <w:br/>
        <w:t>Adverse drug reactions from methotrexate were minimal, limited to transient gastrointestinal disturbances and mild transaminitis in three patients (7.3% of those treated medically). No long-term sequelae were documented.</w:t>
      </w:r>
    </w:p>
    <w:p w14:paraId="7DF4B988" w14:textId="77777777" w:rsidR="0041291E" w:rsidRDefault="0041291E"/>
    <w:p w14:paraId="694586C6" w14:textId="77777777" w:rsidR="008A511E" w:rsidRDefault="008A511E">
      <w:pPr>
        <w:pStyle w:val="NormalWeb"/>
        <w:divId w:val="2131388277"/>
      </w:pPr>
      <w:r>
        <w:rPr>
          <w:rStyle w:val="Strong"/>
        </w:rPr>
        <w:t>Discussion</w:t>
      </w:r>
    </w:p>
    <w:p w14:paraId="2B505424" w14:textId="77777777" w:rsidR="008A511E" w:rsidRDefault="008A511E">
      <w:pPr>
        <w:pStyle w:val="NormalWeb"/>
        <w:divId w:val="2131388277"/>
      </w:pPr>
      <w:r>
        <w:t>Ectopic pregnancy continues to be one of the most important acute gynecological conditions encountered in clinical practice, representing a significant cause of maternal morbidity and mortality, particularly in low- and middle-income countries where delayed diagnosis and limited access to advanced diagnostic modalities remain persistent challenges. The present five-year retrospective study provides valuable insights into the evolving trends in the diagnosis and management of ectopic pregnancy in a hospital-based setting, demonstrating both improvements in early detection and diversification of management strategies, while also highlighting ongoing gaps that require systemic attention. By analyzing patterns of presentation, diagnostic modalities, therapeutic choices, and outcomes, the findings align with and add to the growing body of literature that underscores the dynamic interplay between epidemiology, clinical advances, and health system responsiveness.</w:t>
      </w:r>
    </w:p>
    <w:p w14:paraId="43B8A65F" w14:textId="77777777" w:rsidR="008A511E" w:rsidRDefault="008A511E">
      <w:pPr>
        <w:pStyle w:val="NormalWeb"/>
        <w:divId w:val="2131388277"/>
      </w:pPr>
      <w:r>
        <w:t>The sociodemographic profile of patients in this study, with a mean age of 29 years and the majority of cases occurring in women between 25 and 34 years, mirrors previously reported epidemiological patterns in both developed and developing settings. Marion and Meeks (2012) noted that ectopic pregnancy predominantly affects women of reproductive age, with peak incidence in the late twenties to early thirties, coinciding with the period of highest fertility activity. The predominance of multiparous women in this cohort further supports previous observations that parity may not be protective against ectopic implantation, and indeed, subsequent pregnancies following prior pelvic infections or surgical interventions may increase the risk (Li et al., 2014). The identification of risk factors such as prior pelvic inflammatory disease, infertility, and previous ectopic pregnancy is consistent with global evidence highlighting the multifactorial etiology of ectopic pregnancy (Barnhart, 2019; Bouyer et al., 2000).</w:t>
      </w:r>
    </w:p>
    <w:p w14:paraId="1DD35452" w14:textId="77777777" w:rsidR="008A511E" w:rsidRDefault="008A511E">
      <w:pPr>
        <w:pStyle w:val="NormalWeb"/>
        <w:divId w:val="2131388277"/>
      </w:pPr>
      <w:r>
        <w:t xml:space="preserve">Clinical presentation in this study reflected the classical triad of abdominal pain, amenorrhea, and vaginal bleeding, though only two-thirds of patients presented with all three features. This finding is similar to that described by Tay, Moore, and Walker (2000), who emphasized that while the triad is well established in clinical teaching, many patients present atypically, leading </w:t>
      </w:r>
      <w:r>
        <w:lastRenderedPageBreak/>
        <w:t xml:space="preserve">to diagnostic dilemmas. A noteworthy finding was the proportion of patients (9%) presenting with hemodynamic instability, which underscores the persistent issue of delayed presentation. As </w:t>
      </w:r>
      <w:proofErr w:type="spellStart"/>
      <w:r>
        <w:t>Skjeldestad</w:t>
      </w:r>
      <w:proofErr w:type="spellEnd"/>
      <w:r>
        <w:t xml:space="preserve"> (1997) demonstrated in his population-level analysis, delays in diagnosis are directly associated with an increased risk of tubal rupture and mortality. This highlights the ongoing need for both community-level awareness and improvements in referral systems to ensure timely recognition and transfer of patients with suspected ectopic pregnancy.</w:t>
      </w:r>
    </w:p>
    <w:p w14:paraId="4F567E0B" w14:textId="77777777" w:rsidR="008A511E" w:rsidRDefault="008A511E">
      <w:pPr>
        <w:pStyle w:val="NormalWeb"/>
        <w:divId w:val="2131388277"/>
      </w:pPr>
      <w:r>
        <w:t>Advances in diagnostic modalities have transformed the early recognition of ectopic pregnancy, and this was evident in the present study where transvaginal ultrasonography and quantitative serum β-</w:t>
      </w:r>
      <w:proofErr w:type="spellStart"/>
      <w:r>
        <w:t>hCG</w:t>
      </w:r>
      <w:proofErr w:type="spellEnd"/>
      <w:r>
        <w:t xml:space="preserve"> assays were the mainstay of diagnosis in the majority of cases. Jurkovic and Wilkinson (2011) noted that transvaginal ultrasonography, particularly when combined with serial β-</w:t>
      </w:r>
      <w:proofErr w:type="spellStart"/>
      <w:r>
        <w:t>hCG</w:t>
      </w:r>
      <w:proofErr w:type="spellEnd"/>
      <w:r>
        <w:t xml:space="preserve"> testing, has revolutionized the approach to diagnosis by enabling confirmation before rupture, thereby reducing the morbidity associated with advanced disease. The increasing reliance on ultrasonography in this cohort reflects the gradual strengthening of diagnostic infrastructure within the hospital, though the continued reliance on intraoperative diagnosis in unstable patients demonstrates the challenges posed by late presentation and resource limitations.</w:t>
      </w:r>
    </w:p>
    <w:p w14:paraId="442E44F0" w14:textId="77777777" w:rsidR="008A511E" w:rsidRDefault="008A511E">
      <w:pPr>
        <w:pStyle w:val="NormalWeb"/>
        <w:divId w:val="2131388277"/>
      </w:pPr>
      <w:r>
        <w:t>The management trends observed in this study illustrate a gradual but discernible shift toward medical and conservative approaches, in keeping with international evidence and guidelines. While surgical intervention remained the predominant mode of management (72%), a rising proportion of cases were managed with systemic methotrexate, increasing from 11% in 2018 to 27% in 2022. This trend mirrors observations from Hoover, Tao, and Kent (2010), who described similar increases in non-surgical management across the United States over the last two decades. The drivers of this shift include earlier diagnosis, improved patient selection, and greater clinician familiarity with medical protocols. Methotrexate therapy, particularly in hemodynamically stable patients with low or declining β-</w:t>
      </w:r>
      <w:proofErr w:type="spellStart"/>
      <w:r>
        <w:t>hCG</w:t>
      </w:r>
      <w:proofErr w:type="spellEnd"/>
      <w:r>
        <w:t xml:space="preserve"> levels, has been demonstrated to be both safe and effective, reducing the risks associated with surgery and preserving tubal function (Menon, Colins, &amp; Barnhart, 2007; Mol et al., 2008). The safety profile observed in this study, with only mild adverse reactions, further validates methotrexate as a viable option in well-selected cases.</w:t>
      </w:r>
    </w:p>
    <w:p w14:paraId="3E1775F7" w14:textId="77777777" w:rsidR="008A511E" w:rsidRDefault="008A511E">
      <w:pPr>
        <w:pStyle w:val="NormalWeb"/>
        <w:divId w:val="2131388277"/>
      </w:pPr>
      <w:r>
        <w:t xml:space="preserve">Expectant management, though used in a smaller proportion of cases, represents another dimension of evolving care. As Mol et al. (2008) and Kirk, </w:t>
      </w:r>
      <w:proofErr w:type="spellStart"/>
      <w:r>
        <w:t>Condous</w:t>
      </w:r>
      <w:proofErr w:type="spellEnd"/>
      <w:r>
        <w:t>, and Bourne (2006) argue, careful monitoring of selected patients with declining β-</w:t>
      </w:r>
      <w:proofErr w:type="spellStart"/>
      <w:r>
        <w:t>hCG</w:t>
      </w:r>
      <w:proofErr w:type="spellEnd"/>
      <w:r>
        <w:t xml:space="preserve"> levels can result in spontaneous resolution without active intervention. The application of expectant management in this cohort demonstrates growing confidence among clinicians in employing non-interventional strategies, though its limited use reflects the challenges of patient follow-up and the medico-legal concerns associated with this approach in resource-constrained environments.</w:t>
      </w:r>
    </w:p>
    <w:p w14:paraId="25156936" w14:textId="77777777" w:rsidR="008A511E" w:rsidRDefault="008A511E">
      <w:pPr>
        <w:pStyle w:val="NormalWeb"/>
        <w:divId w:val="2131388277"/>
      </w:pPr>
      <w:r>
        <w:t xml:space="preserve">Despite these advances, surgical management continues to dominate, with salpingectomy being the most common procedure. This finding is consistent with the historical predominance of radical surgery in the management of ectopic pregnancy, especially in cases where patients present with tubal rupture or extensive tubal damage (Farquhar, 2005). While conservative surgical options such as salpingostomy offer the potential for fertility preservation, their utilization remains relatively limited in this study. Bouyer et al. (1997) reported that fertility outcomes following ectopic pregnancy vary significantly depending on the type of surgical </w:t>
      </w:r>
      <w:r>
        <w:lastRenderedPageBreak/>
        <w:t>intervention and the extent of tubal preservation. The relatively high rate of salpingectomy observed in this cohort reflects both the severity of tubal damage at presentation and the surgical preference for definitive treatment in unstable patients.</w:t>
      </w:r>
    </w:p>
    <w:p w14:paraId="41720659" w14:textId="77777777" w:rsidR="008A511E" w:rsidRDefault="008A511E">
      <w:pPr>
        <w:pStyle w:val="NormalWeb"/>
        <w:divId w:val="2131388277"/>
      </w:pPr>
      <w:r>
        <w:t>Complication rates in this study, including hemoperitoneum, anemia, and tubal rupture, further underscore the critical importance of timely diagnosis. The 23% rate of tubal rupture aligns with other hospital-based studies in similar contexts, though it is higher than reported in some high-income settings where earlier detection has reduced rupture rates (Barnhart, 2019). Mortality, though low at 1.4%, remains a stark reminder that ectopic pregnancy continues to claim lives, particularly in contexts where delayed recognition leads to catastrophic hemorrhage. As Farquhar (2005) emphasized, ectopic pregnancy remains a leading cause of first-trimester maternal mortality worldwide, highlighting the global imperative for improved detection and rapid intervention.</w:t>
      </w:r>
    </w:p>
    <w:p w14:paraId="4E6A53FB" w14:textId="77777777" w:rsidR="008A511E" w:rsidRDefault="008A511E">
      <w:pPr>
        <w:pStyle w:val="NormalWeb"/>
        <w:divId w:val="2131388277"/>
      </w:pPr>
      <w:r>
        <w:t xml:space="preserve">The analysis of trends over time revealed incremental improvements in diagnostic practices and management diversity. The gradual increase in medical management reflects a broader alignment with evidence-based practices, while the relatively stable annual incidence of cases underscores the enduring burden of ectopic pregnancy. </w:t>
      </w:r>
      <w:proofErr w:type="spellStart"/>
      <w:r>
        <w:t>Bouyer</w:t>
      </w:r>
      <w:proofErr w:type="spellEnd"/>
      <w:r>
        <w:t xml:space="preserve">, </w:t>
      </w:r>
      <w:proofErr w:type="spellStart"/>
      <w:r>
        <w:t>Coste</w:t>
      </w:r>
      <w:proofErr w:type="spellEnd"/>
      <w:r>
        <w:t xml:space="preserve">, Fernandez, </w:t>
      </w:r>
      <w:proofErr w:type="spellStart"/>
      <w:r>
        <w:t>Pouly</w:t>
      </w:r>
      <w:proofErr w:type="spellEnd"/>
      <w:r>
        <w:t>, and Job-</w:t>
      </w:r>
      <w:proofErr w:type="spellStart"/>
      <w:r>
        <w:t>Spira</w:t>
      </w:r>
      <w:proofErr w:type="spellEnd"/>
      <w:r>
        <w:t xml:space="preserve"> (2002) demonstrated that the distribution of ectopic pregnancy sites has remained relatively stable over time, with tubal locations overwhelmingly dominant, and this was consistent with the intraoperative findings in this study. The persistence of risk factors such as pelvic inflammatory disease and prior ectopic pregnancy further underscores the need for primary prevention strategies, including the reduction of sexually transmitted infections, improved contraceptive counseling, and increased access to infertility care (Li et al., 2014).</w:t>
      </w:r>
    </w:p>
    <w:p w14:paraId="6024A13E" w14:textId="77777777" w:rsidR="008A511E" w:rsidRDefault="008A511E">
      <w:pPr>
        <w:pStyle w:val="NormalWeb"/>
        <w:divId w:val="2131388277"/>
      </w:pPr>
      <w:r>
        <w:t>The implications of these findings are multifaceted. At the clinical level, they reinforce the importance of strengthening diagnostic capacity, ensuring the availability of methotrexate, and encouraging individualized management strategies that balance safety with fertility preservation. At the public health level, they highlight the need for sustained education campaigns to promote early health-seeking behavior among women with symptoms suggestive of ectopic pregnancy, as well as improvements in referral networks to reduce delays in accessing definitive care. From a research perspective, the findings add to the growing evidence base that supports expanding the use of non-surgical options in appropriate patients, while also calling for further exploration of long-term fertility outcomes across different management modalities.</w:t>
      </w:r>
    </w:p>
    <w:p w14:paraId="784AB84A" w14:textId="77777777" w:rsidR="008A511E" w:rsidRDefault="008A511E">
      <w:pPr>
        <w:pStyle w:val="NormalWeb"/>
        <w:divId w:val="2131388277"/>
      </w:pPr>
      <w:r>
        <w:t>Several limitations must be acknowledged. As a retrospective study, reliance on hospital records may have introduced data gaps and limited the ability to fully assess risk factors such as contraceptive history, prior pelvic surgeries, or detailed fertility outcomes. Furthermore, the study was conducted in a single tertiary hospital, which may limit the generalizability of findings to other settings, particularly rural facilities with fewer diagnostic and therapeutic resources. Nonetheless, the large sample size and five-year scope provide a robust dataset that reflects real-world clinical practice and offers valuable insights for both clinicians and policymakers.</w:t>
      </w:r>
    </w:p>
    <w:p w14:paraId="4A91E876" w14:textId="77777777" w:rsidR="008A511E" w:rsidRDefault="008A511E">
      <w:pPr>
        <w:pStyle w:val="NormalWeb"/>
        <w:divId w:val="2131388277"/>
      </w:pPr>
    </w:p>
    <w:p w14:paraId="5D659D79" w14:textId="29644A0E" w:rsidR="008A511E" w:rsidRDefault="008A511E">
      <w:pPr>
        <w:pStyle w:val="NormalWeb"/>
        <w:divId w:val="2131388277"/>
      </w:pPr>
      <w:r>
        <w:t>Conclusion</w:t>
      </w:r>
    </w:p>
    <w:p w14:paraId="658CD6E2" w14:textId="77777777" w:rsidR="008A511E" w:rsidRDefault="008A511E">
      <w:pPr>
        <w:pStyle w:val="NormalWeb"/>
        <w:divId w:val="2131388277"/>
      </w:pPr>
      <w:r>
        <w:lastRenderedPageBreak/>
        <w:t>In conclusion, this study demonstrates that while significant progress has been made in the diagnosis and management of ectopic pregnancy, challenges remain, particularly with delayed presentation, high rates of surgical intervention, and ongoing mortality. The increasing adoption of medical and expectant management reflects a positive trend toward less invasive care, though surgical intervention remains critical in unstable patients. To reduce the burden of ectopic pregnancy further, concerted efforts are needed to strengthen early detection, expand access to medical therapy, and implement preventive strategies targeting modifiable risk factors. By integrating clinical advances with systemic improvements in healthcare delivery, the morbidity and mortality associated with ectopic pregnancy can be substantially reduced, improving outcomes for women of reproductive age worldwide.</w:t>
      </w:r>
    </w:p>
    <w:p w14:paraId="206F0D68" w14:textId="77777777" w:rsidR="0041291E" w:rsidRDefault="0041291E"/>
    <w:p w14:paraId="1A9BE02F" w14:textId="299C378A" w:rsidR="006544E5" w:rsidRDefault="006544E5" w:rsidP="006544E5">
      <w:r>
        <w:t xml:space="preserve">‎Reference </w:t>
      </w:r>
    </w:p>
    <w:p w14:paraId="68F424C4" w14:textId="77777777" w:rsidR="006544E5" w:rsidRDefault="006544E5" w:rsidP="006544E5">
      <w:r>
        <w:t>‎</w:t>
      </w:r>
    </w:p>
    <w:p w14:paraId="79336E28" w14:textId="77777777" w:rsidR="006544E5" w:rsidRDefault="006544E5" w:rsidP="006544E5">
      <w:r>
        <w:t>‎Barnhart, K. T. (2019). Ectopic pregnancy. New England Journal of Medicine, 381(19), 1741–1748. https://doi.org/10.1056/NEJMra1816321</w:t>
      </w:r>
    </w:p>
    <w:p w14:paraId="4515F782" w14:textId="77777777" w:rsidR="006544E5" w:rsidRDefault="006544E5" w:rsidP="006544E5">
      <w:r>
        <w:t>‎</w:t>
      </w:r>
    </w:p>
    <w:p w14:paraId="76C4FD2E" w14:textId="77777777" w:rsidR="006544E5" w:rsidRDefault="006544E5" w:rsidP="006544E5">
      <w:r>
        <w:t xml:space="preserve">‎Bouyer, J., Coste, J., Fernandez, H., </w:t>
      </w:r>
      <w:proofErr w:type="spellStart"/>
      <w:r>
        <w:t>Pouly</w:t>
      </w:r>
      <w:proofErr w:type="spellEnd"/>
      <w:r>
        <w:t>, J. L., &amp; Job-Spira, N. (2002). Sites of ectopic pregnancy: A 10-year population-based study of 1800 cases. Human Reproduction, 17(12), 3224–3230. https://doi.org/10.1093/humrep/17.12.3224</w:t>
      </w:r>
    </w:p>
    <w:p w14:paraId="7E31CE6F" w14:textId="77777777" w:rsidR="006544E5" w:rsidRDefault="006544E5" w:rsidP="006544E5">
      <w:r>
        <w:t>‎</w:t>
      </w:r>
    </w:p>
    <w:p w14:paraId="57C97AC6" w14:textId="77777777" w:rsidR="006544E5" w:rsidRDefault="006544E5" w:rsidP="006544E5">
      <w:r>
        <w:t>‎Hoover, K. W., Tao, G., &amp; Kent, C. K. (2010). Trends in the diagnosis and treatment of ectopic pregnancy in the United States. Obstetrics &amp; Gynecology, 115(3), 495–502. https://doi.org/10.1097/AOG.0b013e3181d0c328</w:t>
      </w:r>
    </w:p>
    <w:p w14:paraId="6777E0E8" w14:textId="77777777" w:rsidR="006544E5" w:rsidRDefault="006544E5" w:rsidP="006544E5">
      <w:r>
        <w:t>‎</w:t>
      </w:r>
    </w:p>
    <w:p w14:paraId="7CFC2275" w14:textId="77777777" w:rsidR="006544E5" w:rsidRDefault="006544E5" w:rsidP="006544E5">
      <w:r>
        <w:t>‎Li, C., Zhao, W. H., &amp; Meng, C. X. (2014). Risk factors for ectopic pregnancy: A multi-center case-control study. BMC Pregnancy and Childbirth, 14(1), 573. https://doi.org/10.1186/s12884-014-0573-0</w:t>
      </w:r>
    </w:p>
    <w:p w14:paraId="6FC2DE35" w14:textId="77777777" w:rsidR="006544E5" w:rsidRDefault="006544E5" w:rsidP="006544E5">
      <w:r>
        <w:t>‎</w:t>
      </w:r>
    </w:p>
    <w:p w14:paraId="21D39343" w14:textId="77777777" w:rsidR="006544E5" w:rsidRDefault="006544E5" w:rsidP="006544E5">
      <w:r>
        <w:t>‎Marion, L. L., &amp; Meeks, G. R. (2012). Ectopic pregnancy: History, incidence, epidemiology, and risk factors. Clinical Obstetrics and Gynecology, 55(2), 376–386. https://doi.org/10.1097/GRF.0b013e3182516d7b</w:t>
      </w:r>
    </w:p>
    <w:p w14:paraId="4CC53C7E" w14:textId="77777777" w:rsidR="006544E5" w:rsidRDefault="006544E5" w:rsidP="006544E5">
      <w:r>
        <w:t>‎</w:t>
      </w:r>
    </w:p>
    <w:p w14:paraId="45AE8EBB" w14:textId="77777777" w:rsidR="006544E5" w:rsidRDefault="006544E5" w:rsidP="006544E5">
      <w:r>
        <w:lastRenderedPageBreak/>
        <w:t>‎Tay, J. I., Moore, J., &amp; Walker, J. J. (2000). Ectopic pregnancy. BMJ, 320(7239), 916–919. https://doi.org/10.1136/bmj.320.7239.916</w:t>
      </w:r>
    </w:p>
    <w:p w14:paraId="54A6776C" w14:textId="77777777" w:rsidR="006544E5" w:rsidRDefault="006544E5" w:rsidP="006544E5">
      <w:r>
        <w:t>‎</w:t>
      </w:r>
    </w:p>
    <w:p w14:paraId="11403BC2" w14:textId="77777777" w:rsidR="006544E5" w:rsidRDefault="006544E5" w:rsidP="006544E5">
      <w:r>
        <w:t>‎Jurkovic, D., &amp; Wilkinson, H. (2011). Diagnosis and management of ectopic pregnancy. BMJ, 342, d3397. https://doi.org/10.1136/bmj.d3397</w:t>
      </w:r>
    </w:p>
    <w:p w14:paraId="68414CED" w14:textId="77777777" w:rsidR="006544E5" w:rsidRDefault="006544E5" w:rsidP="006544E5">
      <w:r>
        <w:t>‎</w:t>
      </w:r>
    </w:p>
    <w:p w14:paraId="2C311CEE" w14:textId="77777777" w:rsidR="006544E5" w:rsidRDefault="006544E5" w:rsidP="006544E5">
      <w:r>
        <w:t xml:space="preserve">‎Bouyer, J., </w:t>
      </w:r>
      <w:proofErr w:type="spellStart"/>
      <w:r>
        <w:t>Rachou</w:t>
      </w:r>
      <w:proofErr w:type="spellEnd"/>
      <w:r>
        <w:t xml:space="preserve">, E., Germain, E., Fernandez, H., Coste, J., &amp; </w:t>
      </w:r>
      <w:proofErr w:type="spellStart"/>
      <w:r>
        <w:t>Pouly</w:t>
      </w:r>
      <w:proofErr w:type="spellEnd"/>
      <w:r>
        <w:t>, J. L. (2000). Risk factors for extrauterine pregnancy in women using an intrauterine device. Fertility and Sterility, 74(5), 899–908. https://doi.org/10.1016/S0015-0282(00)01542-1</w:t>
      </w:r>
    </w:p>
    <w:p w14:paraId="732FA176" w14:textId="77777777" w:rsidR="006544E5" w:rsidRDefault="006544E5" w:rsidP="006544E5">
      <w:r>
        <w:t>‎</w:t>
      </w:r>
    </w:p>
    <w:p w14:paraId="05522541" w14:textId="77777777" w:rsidR="006544E5" w:rsidRDefault="006544E5" w:rsidP="006544E5">
      <w:r>
        <w:t>‎Sivalingam, V. N., Duncan, W. C., Kirk, E., Shephard, L. A., &amp; Horne, A. W. (2011). Diagnosis and management of ectopic pregnancy. Journal of Family Planning and Reproductive Health Care, 37(4), 231–240. https://doi.org/10.1136/jfprhc-2011-0073</w:t>
      </w:r>
    </w:p>
    <w:p w14:paraId="3B6BEBFB" w14:textId="77777777" w:rsidR="006544E5" w:rsidRDefault="006544E5" w:rsidP="006544E5">
      <w:r>
        <w:t>‎</w:t>
      </w:r>
    </w:p>
    <w:p w14:paraId="3648CCF5" w14:textId="77777777" w:rsidR="006544E5" w:rsidRDefault="006544E5" w:rsidP="006544E5">
      <w:r>
        <w:t xml:space="preserve">‎Bouyer, J., Job-Spira, N., </w:t>
      </w:r>
      <w:proofErr w:type="spellStart"/>
      <w:r>
        <w:t>Pouly</w:t>
      </w:r>
      <w:proofErr w:type="spellEnd"/>
      <w:r>
        <w:t>, J. L., &amp; Fernandez, H. (1997). Fertility after ectopic pregnancy: First results of a population-based cohort study in France. Human Reproduction, 12(4), 728–733. https://doi.org/10.1093/humrep/12.4.728</w:t>
      </w:r>
    </w:p>
    <w:p w14:paraId="21EBA581" w14:textId="77777777" w:rsidR="006544E5" w:rsidRDefault="006544E5" w:rsidP="006544E5">
      <w:r>
        <w:t>‎</w:t>
      </w:r>
    </w:p>
    <w:p w14:paraId="6838F8D0" w14:textId="77777777" w:rsidR="006544E5" w:rsidRDefault="006544E5" w:rsidP="006544E5">
      <w:r>
        <w:t xml:space="preserve">‎Kirk, E., </w:t>
      </w:r>
      <w:proofErr w:type="spellStart"/>
      <w:r>
        <w:t>Condous</w:t>
      </w:r>
      <w:proofErr w:type="spellEnd"/>
      <w:r>
        <w:t>, G., Bourne, T. (2006). The non-surgical management of ectopic pregnancy. Ultrasound in Obstetrics &amp; Gynecology, 27(1), 91–100. https://doi.org/10.1002/uog.2631</w:t>
      </w:r>
    </w:p>
    <w:p w14:paraId="6CAE312E" w14:textId="77777777" w:rsidR="006544E5" w:rsidRDefault="006544E5" w:rsidP="006544E5">
      <w:r>
        <w:t>‎</w:t>
      </w:r>
    </w:p>
    <w:p w14:paraId="71A1A7F2" w14:textId="77777777" w:rsidR="006544E5" w:rsidRDefault="006544E5" w:rsidP="006544E5">
      <w:r>
        <w:t>‎</w:t>
      </w:r>
      <w:proofErr w:type="spellStart"/>
      <w:r>
        <w:t>Skjeldestad</w:t>
      </w:r>
      <w:proofErr w:type="spellEnd"/>
      <w:r>
        <w:t>, F. E. (1997). Trends in ectopic pregnancy incidence and mortality in a complete population. Obstetrics &amp; Gynecology, 90(4), 575–578. https://doi.org/10.1016/S0029-7844(97)00327-0</w:t>
      </w:r>
    </w:p>
    <w:p w14:paraId="61B4E0E1" w14:textId="77777777" w:rsidR="006544E5" w:rsidRDefault="006544E5" w:rsidP="006544E5">
      <w:r>
        <w:t>‎</w:t>
      </w:r>
    </w:p>
    <w:p w14:paraId="7323FC37" w14:textId="77777777" w:rsidR="006544E5" w:rsidRDefault="006544E5" w:rsidP="006544E5">
      <w:r>
        <w:t>‎Menon, S., Colins, J., &amp; Barnhart, K. T. (2007). Establishing a human chorionic gonadotropin cutoff to guide methotrexate therapy for ectopic pregnancy: A systematic review. Fertility and Sterility, 87(3), 481–484. https://doi.org/10.1016/j.fertnstert.2006.11.022</w:t>
      </w:r>
    </w:p>
    <w:p w14:paraId="468FBA13" w14:textId="77777777" w:rsidR="006544E5" w:rsidRDefault="006544E5" w:rsidP="006544E5">
      <w:r>
        <w:t>‎</w:t>
      </w:r>
    </w:p>
    <w:p w14:paraId="12E23A8E" w14:textId="77777777" w:rsidR="006544E5" w:rsidRDefault="006544E5" w:rsidP="006544E5">
      <w:r>
        <w:lastRenderedPageBreak/>
        <w:t>‎Mol, F., Mol, B. W., Ankum, W. M., Van der Veen, F., &amp; Hajenius, P. J. (2008). Current evidence on surgery, systemic methotrexate and expectant management in the treatment of tubal ectopic pregnancy: A review and meta-analysis. Human Reproduction Update, 14(4), 309–319. https://doi.org/10.1093/humupd/dmn012</w:t>
      </w:r>
    </w:p>
    <w:p w14:paraId="0BED1049" w14:textId="77777777" w:rsidR="006544E5" w:rsidRDefault="006544E5" w:rsidP="006544E5">
      <w:r>
        <w:t>‎</w:t>
      </w:r>
    </w:p>
    <w:p w14:paraId="20968AED" w14:textId="77777777" w:rsidR="006544E5" w:rsidRDefault="006544E5" w:rsidP="006544E5">
      <w:r>
        <w:t>‎Farquhar, C. M. (2005). Ectopic pregnancy. The Lancet, 366(9485), 583–591. https://doi.org/10.1016/S0140-6736(05)67103-6</w:t>
      </w:r>
    </w:p>
    <w:p w14:paraId="4A5C67BC" w14:textId="77777777" w:rsidR="006544E5" w:rsidRDefault="006544E5" w:rsidP="006544E5">
      <w:r>
        <w:t>‎</w:t>
      </w:r>
    </w:p>
    <w:p w14:paraId="5E092112" w14:textId="560475A1" w:rsidR="0058468A" w:rsidRDefault="006544E5">
      <w:r>
        <w:t>‎</w:t>
      </w:r>
    </w:p>
    <w:sectPr w:rsidR="005846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64D02" w14:textId="77777777" w:rsidR="00B0613A" w:rsidRDefault="00B0613A" w:rsidP="002365B0">
      <w:pPr>
        <w:spacing w:after="0" w:line="240" w:lineRule="auto"/>
      </w:pPr>
      <w:r>
        <w:separator/>
      </w:r>
    </w:p>
  </w:endnote>
  <w:endnote w:type="continuationSeparator" w:id="0">
    <w:p w14:paraId="7DB42537" w14:textId="77777777" w:rsidR="00B0613A" w:rsidRDefault="00B0613A" w:rsidP="0023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A1CE" w14:textId="77777777" w:rsidR="002365B0" w:rsidRDefault="0023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61EB" w14:textId="77777777" w:rsidR="002365B0" w:rsidRDefault="00236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72D0E" w14:textId="77777777" w:rsidR="002365B0" w:rsidRDefault="0023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F36C" w14:textId="77777777" w:rsidR="00B0613A" w:rsidRDefault="00B0613A" w:rsidP="002365B0">
      <w:pPr>
        <w:spacing w:after="0" w:line="240" w:lineRule="auto"/>
      </w:pPr>
      <w:r>
        <w:separator/>
      </w:r>
    </w:p>
  </w:footnote>
  <w:footnote w:type="continuationSeparator" w:id="0">
    <w:p w14:paraId="1C2FC910" w14:textId="77777777" w:rsidR="00B0613A" w:rsidRDefault="00B0613A" w:rsidP="0023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EE6D" w14:textId="2E9D27BA" w:rsidR="002365B0" w:rsidRDefault="002365B0">
    <w:pPr>
      <w:pStyle w:val="Header"/>
    </w:pPr>
    <w:r>
      <w:rPr>
        <w:noProof/>
      </w:rPr>
      <w:pict w14:anchorId="17DDA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31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F63A" w14:textId="6BE397FC" w:rsidR="002365B0" w:rsidRDefault="002365B0">
    <w:pPr>
      <w:pStyle w:val="Header"/>
    </w:pPr>
    <w:r>
      <w:rPr>
        <w:noProof/>
      </w:rPr>
      <w:pict w14:anchorId="1979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31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1A0B" w14:textId="3D58A86B" w:rsidR="002365B0" w:rsidRDefault="002365B0">
    <w:pPr>
      <w:pStyle w:val="Header"/>
    </w:pPr>
    <w:r>
      <w:rPr>
        <w:noProof/>
      </w:rPr>
      <w:pict w14:anchorId="18D1A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31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9D"/>
    <w:rsid w:val="002365B0"/>
    <w:rsid w:val="0025466C"/>
    <w:rsid w:val="002D6337"/>
    <w:rsid w:val="0033513B"/>
    <w:rsid w:val="003D00F9"/>
    <w:rsid w:val="0041291E"/>
    <w:rsid w:val="0050323A"/>
    <w:rsid w:val="00530054"/>
    <w:rsid w:val="0058468A"/>
    <w:rsid w:val="0064754B"/>
    <w:rsid w:val="006544E5"/>
    <w:rsid w:val="0070622E"/>
    <w:rsid w:val="00812EBA"/>
    <w:rsid w:val="008A511E"/>
    <w:rsid w:val="008C2664"/>
    <w:rsid w:val="00B0613A"/>
    <w:rsid w:val="00D20052"/>
    <w:rsid w:val="00E91F94"/>
    <w:rsid w:val="00FB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CCD84"/>
  <w15:chartTrackingRefBased/>
  <w15:docId w15:val="{F60BD0EA-2F29-284C-8CF0-AC1D5F6C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9D"/>
    <w:rPr>
      <w:rFonts w:eastAsiaTheme="majorEastAsia" w:cstheme="majorBidi"/>
      <w:color w:val="272727" w:themeColor="text1" w:themeTint="D8"/>
    </w:rPr>
  </w:style>
  <w:style w:type="paragraph" w:styleId="Title">
    <w:name w:val="Title"/>
    <w:basedOn w:val="Normal"/>
    <w:next w:val="Normal"/>
    <w:link w:val="TitleChar"/>
    <w:uiPriority w:val="10"/>
    <w:qFormat/>
    <w:rsid w:val="00FB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9D"/>
    <w:pPr>
      <w:spacing w:before="160"/>
      <w:jc w:val="center"/>
    </w:pPr>
    <w:rPr>
      <w:i/>
      <w:iCs/>
      <w:color w:val="404040" w:themeColor="text1" w:themeTint="BF"/>
    </w:rPr>
  </w:style>
  <w:style w:type="character" w:customStyle="1" w:styleId="QuoteChar">
    <w:name w:val="Quote Char"/>
    <w:basedOn w:val="DefaultParagraphFont"/>
    <w:link w:val="Quote"/>
    <w:uiPriority w:val="29"/>
    <w:rsid w:val="00FB429D"/>
    <w:rPr>
      <w:i/>
      <w:iCs/>
      <w:color w:val="404040" w:themeColor="text1" w:themeTint="BF"/>
    </w:rPr>
  </w:style>
  <w:style w:type="paragraph" w:styleId="ListParagraph">
    <w:name w:val="List Paragraph"/>
    <w:basedOn w:val="Normal"/>
    <w:uiPriority w:val="34"/>
    <w:qFormat/>
    <w:rsid w:val="00FB429D"/>
    <w:pPr>
      <w:ind w:left="720"/>
      <w:contextualSpacing/>
    </w:pPr>
  </w:style>
  <w:style w:type="character" w:styleId="IntenseEmphasis">
    <w:name w:val="Intense Emphasis"/>
    <w:basedOn w:val="DefaultParagraphFont"/>
    <w:uiPriority w:val="21"/>
    <w:qFormat/>
    <w:rsid w:val="00FB429D"/>
    <w:rPr>
      <w:i/>
      <w:iCs/>
      <w:color w:val="0F4761" w:themeColor="accent1" w:themeShade="BF"/>
    </w:rPr>
  </w:style>
  <w:style w:type="paragraph" w:styleId="IntenseQuote">
    <w:name w:val="Intense Quote"/>
    <w:basedOn w:val="Normal"/>
    <w:next w:val="Normal"/>
    <w:link w:val="IntenseQuoteChar"/>
    <w:uiPriority w:val="30"/>
    <w:qFormat/>
    <w:rsid w:val="00FB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29D"/>
    <w:rPr>
      <w:i/>
      <w:iCs/>
      <w:color w:val="0F4761" w:themeColor="accent1" w:themeShade="BF"/>
    </w:rPr>
  </w:style>
  <w:style w:type="character" w:styleId="IntenseReference">
    <w:name w:val="Intense Reference"/>
    <w:basedOn w:val="DefaultParagraphFont"/>
    <w:uiPriority w:val="32"/>
    <w:qFormat/>
    <w:rsid w:val="00FB429D"/>
    <w:rPr>
      <w:b/>
      <w:bCs/>
      <w:smallCaps/>
      <w:color w:val="0F4761" w:themeColor="accent1" w:themeShade="BF"/>
      <w:spacing w:val="5"/>
    </w:rPr>
  </w:style>
  <w:style w:type="paragraph" w:styleId="NormalWeb">
    <w:name w:val="Normal (Web)"/>
    <w:basedOn w:val="Normal"/>
    <w:uiPriority w:val="99"/>
    <w:semiHidden/>
    <w:unhideWhenUsed/>
    <w:rsid w:val="00FB429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B429D"/>
    <w:rPr>
      <w:b/>
      <w:bCs/>
    </w:rPr>
  </w:style>
  <w:style w:type="character" w:styleId="Emphasis">
    <w:name w:val="Emphasis"/>
    <w:basedOn w:val="DefaultParagraphFont"/>
    <w:uiPriority w:val="20"/>
    <w:qFormat/>
    <w:rsid w:val="00530054"/>
    <w:rPr>
      <w:i/>
      <w:iCs/>
    </w:rPr>
  </w:style>
  <w:style w:type="character" w:styleId="Hyperlink">
    <w:name w:val="Hyperlink"/>
    <w:basedOn w:val="DefaultParagraphFont"/>
    <w:uiPriority w:val="99"/>
    <w:unhideWhenUsed/>
    <w:rsid w:val="0025466C"/>
    <w:rPr>
      <w:color w:val="467886" w:themeColor="hyperlink"/>
      <w:u w:val="single"/>
    </w:rPr>
  </w:style>
  <w:style w:type="character" w:styleId="UnresolvedMention">
    <w:name w:val="Unresolved Mention"/>
    <w:basedOn w:val="DefaultParagraphFont"/>
    <w:uiPriority w:val="99"/>
    <w:semiHidden/>
    <w:unhideWhenUsed/>
    <w:rsid w:val="0025466C"/>
    <w:rPr>
      <w:color w:val="605E5C"/>
      <w:shd w:val="clear" w:color="auto" w:fill="E1DFDD"/>
    </w:rPr>
  </w:style>
  <w:style w:type="paragraph" w:styleId="Header">
    <w:name w:val="header"/>
    <w:basedOn w:val="Normal"/>
    <w:link w:val="HeaderChar"/>
    <w:uiPriority w:val="99"/>
    <w:unhideWhenUsed/>
    <w:rsid w:val="0023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B0"/>
  </w:style>
  <w:style w:type="paragraph" w:styleId="Footer">
    <w:name w:val="footer"/>
    <w:basedOn w:val="Normal"/>
    <w:link w:val="FooterChar"/>
    <w:uiPriority w:val="99"/>
    <w:unhideWhenUsed/>
    <w:rsid w:val="0023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0700">
      <w:bodyDiv w:val="1"/>
      <w:marLeft w:val="0"/>
      <w:marRight w:val="0"/>
      <w:marTop w:val="0"/>
      <w:marBottom w:val="0"/>
      <w:divBdr>
        <w:top w:val="none" w:sz="0" w:space="0" w:color="auto"/>
        <w:left w:val="none" w:sz="0" w:space="0" w:color="auto"/>
        <w:bottom w:val="none" w:sz="0" w:space="0" w:color="auto"/>
        <w:right w:val="none" w:sz="0" w:space="0" w:color="auto"/>
      </w:divBdr>
    </w:div>
    <w:div w:id="649407646">
      <w:bodyDiv w:val="1"/>
      <w:marLeft w:val="0"/>
      <w:marRight w:val="0"/>
      <w:marTop w:val="0"/>
      <w:marBottom w:val="0"/>
      <w:divBdr>
        <w:top w:val="none" w:sz="0" w:space="0" w:color="auto"/>
        <w:left w:val="none" w:sz="0" w:space="0" w:color="auto"/>
        <w:bottom w:val="none" w:sz="0" w:space="0" w:color="auto"/>
        <w:right w:val="none" w:sz="0" w:space="0" w:color="auto"/>
      </w:divBdr>
    </w:div>
    <w:div w:id="802428003">
      <w:bodyDiv w:val="1"/>
      <w:marLeft w:val="0"/>
      <w:marRight w:val="0"/>
      <w:marTop w:val="0"/>
      <w:marBottom w:val="0"/>
      <w:divBdr>
        <w:top w:val="none" w:sz="0" w:space="0" w:color="auto"/>
        <w:left w:val="none" w:sz="0" w:space="0" w:color="auto"/>
        <w:bottom w:val="none" w:sz="0" w:space="0" w:color="auto"/>
        <w:right w:val="none" w:sz="0" w:space="0" w:color="auto"/>
      </w:divBdr>
    </w:div>
    <w:div w:id="21313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4874</Words>
  <Characters>27785</Characters>
  <Application>Microsoft Office Word</Application>
  <DocSecurity>0</DocSecurity>
  <Lines>231</Lines>
  <Paragraphs>65</Paragraphs>
  <ScaleCrop>false</ScaleCrop>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SDI 1084</cp:lastModifiedBy>
  <cp:revision>5</cp:revision>
  <dcterms:created xsi:type="dcterms:W3CDTF">2025-08-31T11:10:00Z</dcterms:created>
  <dcterms:modified xsi:type="dcterms:W3CDTF">2025-09-06T06:15:00Z</dcterms:modified>
</cp:coreProperties>
</file>