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980C" w14:textId="0BC1BA98" w:rsidR="007A0780" w:rsidRPr="00B06F82" w:rsidRDefault="007A0780" w:rsidP="007A0780">
      <w:pPr>
        <w:pStyle w:val="NoSpacing"/>
        <w:spacing w:line="276" w:lineRule="auto"/>
        <w:jc w:val="center"/>
        <w:rPr>
          <w:rFonts w:ascii="Times New Roman" w:hAnsi="Times New Roman" w:cs="Times New Roman"/>
          <w:b/>
          <w:bCs/>
          <w:color w:val="000000" w:themeColor="text1"/>
        </w:rPr>
      </w:pPr>
      <w:r w:rsidRPr="00B06F82">
        <w:rPr>
          <w:rFonts w:ascii="Times New Roman" w:hAnsi="Times New Roman" w:cs="Times New Roman"/>
          <w:b/>
          <w:bCs/>
          <w:color w:val="000000" w:themeColor="text1"/>
        </w:rPr>
        <w:t>HISTOMORPHOLOGICAL STUDY OF PLACENTA IN INTRAUTERINE GROWTH RESTRICTION</w:t>
      </w:r>
    </w:p>
    <w:p w14:paraId="64B4E5C4" w14:textId="77777777" w:rsidR="007A0780" w:rsidRPr="00AF7305" w:rsidRDefault="007A0780" w:rsidP="007A0780">
      <w:pPr>
        <w:pStyle w:val="NoSpacing"/>
        <w:spacing w:line="276" w:lineRule="auto"/>
        <w:jc w:val="center"/>
        <w:rPr>
          <w:rFonts w:ascii="Times New Roman" w:hAnsi="Times New Roman" w:cs="Times New Roman"/>
          <w:b/>
          <w:bCs/>
        </w:rPr>
      </w:pPr>
    </w:p>
    <w:p w14:paraId="70720F13" w14:textId="6E9E8E2F" w:rsidR="007A0780" w:rsidRPr="00AF7305" w:rsidRDefault="002E7758" w:rsidP="007A0780">
      <w:pPr>
        <w:pStyle w:val="NoSpacing"/>
        <w:spacing w:line="276" w:lineRule="auto"/>
        <w:rPr>
          <w:rFonts w:ascii="Times New Roman" w:hAnsi="Times New Roman" w:cs="Times New Roman"/>
        </w:rPr>
      </w:pPr>
      <w:r w:rsidRPr="002E7758">
        <w:rPr>
          <w:rFonts w:ascii="Times New Roman" w:hAnsi="Times New Roman" w:cs="Times New Roman"/>
        </w:rPr>
        <w:t xml:space="preserve">  </w:t>
      </w:r>
      <w:r>
        <w:rPr>
          <w:rFonts w:ascii="Times New Roman" w:hAnsi="Times New Roman" w:cs="Times New Roman"/>
        </w:rPr>
        <w:t xml:space="preserve"> </w:t>
      </w:r>
    </w:p>
    <w:p w14:paraId="62B9339A" w14:textId="77777777" w:rsidR="007A0780" w:rsidRPr="00AF7305" w:rsidRDefault="007A0780" w:rsidP="007A0780">
      <w:pPr>
        <w:pStyle w:val="NoSpacing"/>
        <w:spacing w:line="276" w:lineRule="auto"/>
        <w:rPr>
          <w:rFonts w:ascii="Times New Roman" w:hAnsi="Times New Roman" w:cs="Times New Roman"/>
        </w:rPr>
      </w:pPr>
    </w:p>
    <w:p w14:paraId="75FD83C4" w14:textId="77777777" w:rsidR="007A0780" w:rsidRPr="007A0780" w:rsidRDefault="007A0780" w:rsidP="007A0780">
      <w:pPr>
        <w:pStyle w:val="NoSpacing"/>
        <w:spacing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ABSTRACT</w:t>
      </w:r>
    </w:p>
    <w:p w14:paraId="19B4FAD4" w14:textId="4BA2886B" w:rsidR="007A0780" w:rsidRPr="00AF7305" w:rsidRDefault="007A0780" w:rsidP="007A0780">
      <w:pPr>
        <w:pStyle w:val="NoSpacing"/>
        <w:spacing w:line="276" w:lineRule="auto"/>
        <w:jc w:val="both"/>
        <w:rPr>
          <w:rFonts w:ascii="Times New Roman" w:hAnsi="Times New Roman" w:cs="Times New Roman"/>
        </w:rPr>
      </w:pP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growth is primarily determined by its genetically programmed growth potential and is influenced by maternal, fetal, and placental health. In intrauterine growth restriction (IUGR), the </w:t>
      </w:r>
      <w:proofErr w:type="spellStart"/>
      <w:r w:rsidRPr="00AF7305">
        <w:rPr>
          <w:rFonts w:ascii="Times New Roman" w:hAnsi="Times New Roman" w:cs="Times New Roman"/>
        </w:rPr>
        <w:t>foetus</w:t>
      </w:r>
      <w:proofErr w:type="spellEnd"/>
      <w:r w:rsidRPr="00AF7305">
        <w:rPr>
          <w:rFonts w:ascii="Times New Roman" w:hAnsi="Times New Roman" w:cs="Times New Roman"/>
        </w:rPr>
        <w:t xml:space="preserve"> fails to achieve its genetically predetermined growth potential, with the estimated </w:t>
      </w: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weight falling below the 10th percentile for its gestational age. Growth-restricted </w:t>
      </w:r>
      <w:proofErr w:type="spellStart"/>
      <w:r w:rsidRPr="00AF7305">
        <w:rPr>
          <w:rFonts w:ascii="Times New Roman" w:hAnsi="Times New Roman" w:cs="Times New Roman"/>
        </w:rPr>
        <w:t>foetuses</w:t>
      </w:r>
      <w:proofErr w:type="spellEnd"/>
      <w:r w:rsidRPr="00AF7305">
        <w:rPr>
          <w:rFonts w:ascii="Times New Roman" w:hAnsi="Times New Roman" w:cs="Times New Roman"/>
        </w:rPr>
        <w:t xml:space="preserve"> are at an increased risk not only for adverse perinatal outcomes but also for long-term health complications in adulthood.</w:t>
      </w:r>
      <w:r>
        <w:rPr>
          <w:rFonts w:ascii="Times New Roman" w:hAnsi="Times New Roman" w:cs="Times New Roman"/>
        </w:rPr>
        <w:t xml:space="preserve"> </w:t>
      </w:r>
      <w:r w:rsidRPr="00AF7305">
        <w:rPr>
          <w:rFonts w:ascii="Times New Roman" w:hAnsi="Times New Roman" w:cs="Times New Roman"/>
        </w:rPr>
        <w:t>Placental insufficiency has been identified in several studies as a major contributing factor to IUGR. In the present study, placental examination of 75 pregnant women with IUGR revealed marked placental infarctions and intervillous fibrinoid deposition.</w:t>
      </w:r>
      <w:r>
        <w:rPr>
          <w:rFonts w:ascii="Times New Roman" w:hAnsi="Times New Roman" w:cs="Times New Roman"/>
        </w:rPr>
        <w:t xml:space="preserve"> </w:t>
      </w:r>
      <w:r w:rsidRPr="00AF7305">
        <w:rPr>
          <w:rFonts w:ascii="Times New Roman" w:hAnsi="Times New Roman" w:cs="Times New Roman"/>
          <w:b/>
          <w:bCs/>
          <w:color w:val="0000CC"/>
        </w:rPr>
        <w:t>Objective:</w:t>
      </w:r>
      <w:r w:rsidRPr="00AF7305">
        <w:rPr>
          <w:rFonts w:ascii="Times New Roman" w:hAnsi="Times New Roman" w:cs="Times New Roman"/>
        </w:rPr>
        <w:t xml:space="preserve"> To assess the morphological and histopathological changes in the placentae of pregnant women diagnosed with IUGR.</w:t>
      </w:r>
      <w:r>
        <w:rPr>
          <w:rFonts w:ascii="Times New Roman" w:hAnsi="Times New Roman" w:cs="Times New Roman"/>
        </w:rPr>
        <w:t xml:space="preserve"> </w:t>
      </w:r>
      <w:r w:rsidRPr="00AF7305">
        <w:rPr>
          <w:rFonts w:ascii="Times New Roman" w:hAnsi="Times New Roman" w:cs="Times New Roman"/>
          <w:b/>
          <w:bCs/>
          <w:color w:val="0000CC"/>
        </w:rPr>
        <w:t>Materials and Methods:</w:t>
      </w:r>
      <w:r w:rsidRPr="00AF7305">
        <w:rPr>
          <w:rFonts w:ascii="Times New Roman" w:hAnsi="Times New Roman" w:cs="Times New Roman"/>
        </w:rPr>
        <w:t xml:space="preserve"> This prospective, cross-sectional study was conducted on 75 singleton pregnancies between 32–42 weeks of gestation, with IUGR diagnosed on ultrasonography. Cases with multiple gestations, polyhydramnios, uncertain gestational dates, or irregular menstrual cycles were excluded.</w:t>
      </w:r>
      <w:r>
        <w:rPr>
          <w:rFonts w:ascii="Times New Roman" w:hAnsi="Times New Roman" w:cs="Times New Roman"/>
        </w:rPr>
        <w:t xml:space="preserve"> </w:t>
      </w:r>
      <w:r w:rsidRPr="00AF7305">
        <w:rPr>
          <w:rFonts w:ascii="Times New Roman" w:hAnsi="Times New Roman" w:cs="Times New Roman"/>
          <w:b/>
          <w:bCs/>
          <w:color w:val="0000CC"/>
        </w:rPr>
        <w:t>Results:</w:t>
      </w:r>
      <w:r w:rsidRPr="00AF7305">
        <w:rPr>
          <w:rFonts w:ascii="Times New Roman" w:hAnsi="Times New Roman" w:cs="Times New Roman"/>
        </w:rPr>
        <w:t xml:space="preserve"> Color Doppler analysis showed high-resistance flow in the umbilical artery in </w:t>
      </w:r>
      <w:r w:rsidRPr="00AF7305">
        <w:rPr>
          <w:rFonts w:ascii="Times New Roman" w:hAnsi="Times New Roman" w:cs="Times New Roman"/>
          <w:b/>
          <w:bCs/>
        </w:rPr>
        <w:t>25.3%</w:t>
      </w:r>
      <w:r w:rsidRPr="00AF7305">
        <w:rPr>
          <w:rFonts w:ascii="Times New Roman" w:hAnsi="Times New Roman" w:cs="Times New Roman"/>
        </w:rPr>
        <w:t xml:space="preserve"> of cases, low-resistance flow in the middle cerebral artery in </w:t>
      </w:r>
      <w:r w:rsidRPr="00AF7305">
        <w:rPr>
          <w:rFonts w:ascii="Times New Roman" w:hAnsi="Times New Roman" w:cs="Times New Roman"/>
          <w:b/>
          <w:bCs/>
        </w:rPr>
        <w:t>6.7%,</w:t>
      </w:r>
      <w:r w:rsidRPr="00AF7305">
        <w:rPr>
          <w:rFonts w:ascii="Times New Roman" w:hAnsi="Times New Roman" w:cs="Times New Roman"/>
        </w:rPr>
        <w:t xml:space="preserve"> and uterine artery notching in </w:t>
      </w:r>
      <w:r w:rsidRPr="00AF7305">
        <w:rPr>
          <w:rFonts w:ascii="Times New Roman" w:hAnsi="Times New Roman" w:cs="Times New Roman"/>
          <w:b/>
          <w:bCs/>
        </w:rPr>
        <w:t>6.7%.</w:t>
      </w:r>
      <w:r w:rsidRPr="00AF7305">
        <w:rPr>
          <w:rFonts w:ascii="Times New Roman" w:hAnsi="Times New Roman" w:cs="Times New Roman"/>
        </w:rPr>
        <w:t xml:space="preserve"> Histopathological examination revealed </w:t>
      </w:r>
      <w:proofErr w:type="spellStart"/>
      <w:r w:rsidRPr="00AF7305">
        <w:rPr>
          <w:rFonts w:ascii="Times New Roman" w:hAnsi="Times New Roman" w:cs="Times New Roman"/>
          <w:b/>
          <w:bCs/>
        </w:rPr>
        <w:t>perivillous</w:t>
      </w:r>
      <w:proofErr w:type="spellEnd"/>
      <w:r w:rsidRPr="00AF7305">
        <w:rPr>
          <w:rFonts w:ascii="Times New Roman" w:hAnsi="Times New Roman" w:cs="Times New Roman"/>
          <w:b/>
          <w:bCs/>
        </w:rPr>
        <w:t xml:space="preserve"> fibrin deposition</w:t>
      </w:r>
      <w:r w:rsidRPr="00AF7305">
        <w:rPr>
          <w:rFonts w:ascii="Times New Roman" w:hAnsi="Times New Roman" w:cs="Times New Roman"/>
        </w:rPr>
        <w:t xml:space="preserve"> in </w:t>
      </w:r>
      <w:r w:rsidRPr="00AF7305">
        <w:rPr>
          <w:rFonts w:ascii="Times New Roman" w:hAnsi="Times New Roman" w:cs="Times New Roman"/>
          <w:b/>
          <w:bCs/>
        </w:rPr>
        <w:t>97.3%,</w:t>
      </w:r>
      <w:r>
        <w:rPr>
          <w:rFonts w:ascii="Times New Roman" w:hAnsi="Times New Roman" w:cs="Times New Roman"/>
          <w:b/>
          <w:bCs/>
        </w:rPr>
        <w:t xml:space="preserve"> </w:t>
      </w:r>
      <w:r w:rsidRPr="00AF7305">
        <w:rPr>
          <w:rFonts w:ascii="Times New Roman" w:hAnsi="Times New Roman" w:cs="Times New Roman"/>
          <w:b/>
          <w:bCs/>
        </w:rPr>
        <w:t>calcifications in 53.3%,</w:t>
      </w:r>
      <w:r w:rsidRPr="00AF7305">
        <w:rPr>
          <w:rFonts w:ascii="Times New Roman" w:hAnsi="Times New Roman" w:cs="Times New Roman"/>
        </w:rPr>
        <w:t xml:space="preserve"> and hemorrhages/infarctions in </w:t>
      </w:r>
      <w:r w:rsidRPr="00AF7305">
        <w:rPr>
          <w:rFonts w:ascii="Times New Roman" w:hAnsi="Times New Roman" w:cs="Times New Roman"/>
          <w:b/>
          <w:bCs/>
        </w:rPr>
        <w:t>20%</w:t>
      </w:r>
      <w:r w:rsidRPr="00AF7305">
        <w:rPr>
          <w:rFonts w:ascii="Times New Roman" w:hAnsi="Times New Roman" w:cs="Times New Roman"/>
        </w:rPr>
        <w:t xml:space="preserve"> of cases.</w:t>
      </w:r>
      <w:r w:rsidRPr="00AF7305">
        <w:rPr>
          <w:rFonts w:ascii="Times New Roman" w:hAnsi="Times New Roman" w:cs="Times New Roman"/>
          <w:b/>
          <w:bCs/>
          <w:color w:val="0000CC"/>
        </w:rPr>
        <w:t xml:space="preserve"> Conclusion:</w:t>
      </w:r>
      <w:r w:rsidRPr="00AF7305">
        <w:rPr>
          <w:rFonts w:ascii="Times New Roman" w:hAnsi="Times New Roman" w:cs="Times New Roman"/>
        </w:rPr>
        <w:t xml:space="preserve"> This study highlights the significance of histopathological evaluation of the placenta, particularly in cases of idiopathic fetal growth restriction, to better understand underlying pathological mechanisms and guide clinical management.</w:t>
      </w:r>
    </w:p>
    <w:p w14:paraId="4F075DF9" w14:textId="77777777" w:rsidR="007A0780" w:rsidRPr="00AF7305" w:rsidRDefault="007A0780" w:rsidP="007A0780">
      <w:pPr>
        <w:pStyle w:val="NoSpacing"/>
        <w:spacing w:line="276" w:lineRule="auto"/>
        <w:jc w:val="both"/>
        <w:rPr>
          <w:rFonts w:ascii="Times New Roman" w:hAnsi="Times New Roman" w:cs="Times New Roman"/>
        </w:rPr>
      </w:pPr>
    </w:p>
    <w:p w14:paraId="68ACF3D2" w14:textId="6ACAA794" w:rsidR="007A0780" w:rsidRPr="00AF7305" w:rsidRDefault="007A0780" w:rsidP="007A0780">
      <w:pPr>
        <w:pStyle w:val="NoSpacing"/>
        <w:spacing w:line="276" w:lineRule="auto"/>
        <w:jc w:val="both"/>
        <w:rPr>
          <w:rFonts w:ascii="Times New Roman" w:hAnsi="Times New Roman" w:cs="Times New Roman"/>
        </w:rPr>
      </w:pPr>
      <w:r w:rsidRPr="007A0780">
        <w:rPr>
          <w:rFonts w:ascii="Times New Roman" w:hAnsi="Times New Roman" w:cs="Times New Roman"/>
          <w:b/>
          <w:bCs/>
          <w:color w:val="FF0000"/>
          <w:sz w:val="24"/>
          <w:szCs w:val="24"/>
        </w:rPr>
        <w:t>KEY WORDS</w:t>
      </w:r>
      <w:r w:rsidRPr="00AF7305">
        <w:rPr>
          <w:rFonts w:ascii="Times New Roman" w:hAnsi="Times New Roman" w:cs="Times New Roman"/>
          <w:b/>
          <w:bCs/>
          <w:color w:val="FF0000"/>
        </w:rPr>
        <w:t>:</w:t>
      </w:r>
      <w:r>
        <w:rPr>
          <w:rFonts w:ascii="Times New Roman" w:hAnsi="Times New Roman" w:cs="Times New Roman"/>
          <w:b/>
          <w:bCs/>
          <w:color w:val="FF0000"/>
        </w:rPr>
        <w:t xml:space="preserve"> </w:t>
      </w:r>
      <w:r w:rsidRPr="00AF7305">
        <w:rPr>
          <w:rFonts w:ascii="Times New Roman" w:hAnsi="Times New Roman" w:cs="Times New Roman"/>
        </w:rPr>
        <w:t>Intrauterine Growth Restriction (IUGR),</w:t>
      </w:r>
      <w:r>
        <w:rPr>
          <w:rFonts w:ascii="Times New Roman" w:hAnsi="Times New Roman" w:cs="Times New Roman"/>
        </w:rPr>
        <w:t xml:space="preserve">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Placental Histopathology</w:t>
      </w:r>
    </w:p>
    <w:p w14:paraId="4E129B60" w14:textId="77777777" w:rsidR="007A0780" w:rsidRPr="00AF7305" w:rsidRDefault="007A0780" w:rsidP="007A0780">
      <w:pPr>
        <w:pStyle w:val="NoSpacing"/>
        <w:spacing w:line="276" w:lineRule="auto"/>
        <w:jc w:val="both"/>
        <w:rPr>
          <w:rFonts w:ascii="Times New Roman" w:hAnsi="Times New Roman" w:cs="Times New Roman"/>
        </w:rPr>
      </w:pPr>
    </w:p>
    <w:p w14:paraId="3ADF94C8" w14:textId="77777777" w:rsidR="007A0780" w:rsidRPr="007A0780" w:rsidRDefault="007A0780" w:rsidP="007A0780">
      <w:pPr>
        <w:pStyle w:val="NoSpacing"/>
        <w:spacing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INTRODUCTION</w:t>
      </w:r>
    </w:p>
    <w:p w14:paraId="2E5B8D81" w14:textId="77777777" w:rsidR="007A0780" w:rsidRPr="007A0780" w:rsidRDefault="007A0780" w:rsidP="007A0780">
      <w:pPr>
        <w:pStyle w:val="NoSpacing"/>
        <w:spacing w:line="276" w:lineRule="auto"/>
        <w:jc w:val="both"/>
        <w:rPr>
          <w:rFonts w:ascii="Times New Roman" w:hAnsi="Times New Roman" w:cs="Times New Roman"/>
        </w:rPr>
      </w:pPr>
      <w:r w:rsidRPr="007A0780">
        <w:rPr>
          <w:rFonts w:ascii="Times New Roman" w:hAnsi="Times New Roman" w:cs="Times New Roman"/>
        </w:rPr>
        <w:t xml:space="preserve">Fetal growth largely depends on its genetically programmed potential and is influenced by maternal, fetal, and placental health. In intrauterine growth restriction (IUGR), the </w:t>
      </w:r>
      <w:proofErr w:type="spellStart"/>
      <w:r w:rsidRPr="007A0780">
        <w:rPr>
          <w:rFonts w:ascii="Times New Roman" w:hAnsi="Times New Roman" w:cs="Times New Roman"/>
        </w:rPr>
        <w:t>foetus</w:t>
      </w:r>
      <w:proofErr w:type="spellEnd"/>
      <w:r w:rsidRPr="007A0780">
        <w:rPr>
          <w:rFonts w:ascii="Times New Roman" w:hAnsi="Times New Roman" w:cs="Times New Roman"/>
        </w:rPr>
        <w:t xml:space="preserve"> fails to achieve its predetermined biological growth potential [1], with the estimated </w:t>
      </w:r>
      <w:proofErr w:type="spellStart"/>
      <w:r w:rsidRPr="007A0780">
        <w:rPr>
          <w:rFonts w:ascii="Times New Roman" w:hAnsi="Times New Roman" w:cs="Times New Roman"/>
        </w:rPr>
        <w:t>foetal</w:t>
      </w:r>
      <w:proofErr w:type="spellEnd"/>
      <w:r w:rsidRPr="007A0780">
        <w:rPr>
          <w:rFonts w:ascii="Times New Roman" w:hAnsi="Times New Roman" w:cs="Times New Roman"/>
        </w:rPr>
        <w:t xml:space="preserve"> weight falling below the 10th percentile for gestational age [2]. Growth-restricted </w:t>
      </w:r>
      <w:proofErr w:type="spellStart"/>
      <w:r w:rsidRPr="007A0780">
        <w:rPr>
          <w:rFonts w:ascii="Times New Roman" w:hAnsi="Times New Roman" w:cs="Times New Roman"/>
        </w:rPr>
        <w:t>foetuses</w:t>
      </w:r>
      <w:proofErr w:type="spellEnd"/>
      <w:r w:rsidRPr="007A0780">
        <w:rPr>
          <w:rFonts w:ascii="Times New Roman" w:hAnsi="Times New Roman" w:cs="Times New Roman"/>
        </w:rPr>
        <w:t xml:space="preserve"> face not only an increased risk of adverse perinatal outcomes but also long-term health complications in adulthood. Fetal growth restriction (FGR) is recognized as the second leading cause of perinatal morbidity and mortality [3].</w:t>
      </w:r>
    </w:p>
    <w:p w14:paraId="09506755" w14:textId="77777777" w:rsidR="007A0780" w:rsidRPr="007A0780" w:rsidRDefault="007A0780" w:rsidP="007A0780">
      <w:pPr>
        <w:pStyle w:val="NoSpacing"/>
        <w:spacing w:line="276" w:lineRule="auto"/>
        <w:jc w:val="both"/>
        <w:rPr>
          <w:rFonts w:ascii="Times New Roman" w:hAnsi="Times New Roman" w:cs="Times New Roman"/>
        </w:rPr>
      </w:pPr>
    </w:p>
    <w:p w14:paraId="6C98D6B5" w14:textId="30A1F155" w:rsidR="007A0780" w:rsidRPr="007A0780" w:rsidRDefault="007A0780" w:rsidP="007A0780">
      <w:pPr>
        <w:pStyle w:val="NoSpacing"/>
        <w:spacing w:line="276" w:lineRule="auto"/>
        <w:jc w:val="both"/>
        <w:rPr>
          <w:rFonts w:ascii="Times New Roman" w:hAnsi="Times New Roman" w:cs="Times New Roman"/>
        </w:rPr>
      </w:pPr>
      <w:r w:rsidRPr="007A0780">
        <w:rPr>
          <w:rFonts w:ascii="Times New Roman" w:hAnsi="Times New Roman" w:cs="Times New Roman"/>
        </w:rPr>
        <w:t xml:space="preserve">Ultrasound and </w:t>
      </w:r>
      <w:proofErr w:type="spellStart"/>
      <w:r w:rsidRPr="007A0780">
        <w:rPr>
          <w:rFonts w:ascii="Times New Roman" w:hAnsi="Times New Roman" w:cs="Times New Roman"/>
        </w:rPr>
        <w:t>colour</w:t>
      </w:r>
      <w:proofErr w:type="spellEnd"/>
      <w:r w:rsidRPr="007A0780">
        <w:rPr>
          <w:rFonts w:ascii="Times New Roman" w:hAnsi="Times New Roman" w:cs="Times New Roman"/>
        </w:rPr>
        <w:t xml:space="preserve"> Doppler are widely used for screening placental-related complications and guiding the management of FGR [4]. IUGR is commonly associated with placental vascular disease, and affected placentae often demonstrate multiple </w:t>
      </w:r>
      <w:proofErr w:type="spellStart"/>
      <w:r w:rsidRPr="007A0780">
        <w:rPr>
          <w:rFonts w:ascii="Times New Roman" w:hAnsi="Times New Roman" w:cs="Times New Roman"/>
        </w:rPr>
        <w:t>histomorphological</w:t>
      </w:r>
      <w:proofErr w:type="spellEnd"/>
      <w:r w:rsidRPr="007A0780">
        <w:rPr>
          <w:rFonts w:ascii="Times New Roman" w:hAnsi="Times New Roman" w:cs="Times New Roman"/>
        </w:rPr>
        <w:t xml:space="preserve"> abnormalities. [2] Histopathological evaluation has shown a higher incidence of placental infarctions, intervillous fibrinoid deposition, basal membrane thickening, and </w:t>
      </w:r>
      <w:proofErr w:type="spellStart"/>
      <w:r w:rsidRPr="007A0780">
        <w:rPr>
          <w:rFonts w:ascii="Times New Roman" w:hAnsi="Times New Roman" w:cs="Times New Roman"/>
        </w:rPr>
        <w:t>cytotrophoblastic</w:t>
      </w:r>
      <w:proofErr w:type="spellEnd"/>
      <w:r w:rsidRPr="007A0780">
        <w:rPr>
          <w:rFonts w:ascii="Times New Roman" w:hAnsi="Times New Roman" w:cs="Times New Roman"/>
        </w:rPr>
        <w:t xml:space="preserve"> hyperplasia. These </w:t>
      </w:r>
      <w:r w:rsidRPr="00AF7305">
        <w:rPr>
          <w:rFonts w:ascii="Times New Roman" w:hAnsi="Times New Roman" w:cs="Times New Roman"/>
          <w:color w:val="000000" w:themeColor="text1"/>
        </w:rPr>
        <w:t xml:space="preserve">changes reflect impaired placental blood flow and restricted </w:t>
      </w:r>
      <w:proofErr w:type="spellStart"/>
      <w:r w:rsidRPr="00AF7305">
        <w:rPr>
          <w:rFonts w:ascii="Times New Roman" w:hAnsi="Times New Roman" w:cs="Times New Roman"/>
          <w:color w:val="000000" w:themeColor="text1"/>
        </w:rPr>
        <w:t>foetal</w:t>
      </w:r>
      <w:proofErr w:type="spellEnd"/>
      <w:r w:rsidRPr="00AF7305">
        <w:rPr>
          <w:rFonts w:ascii="Times New Roman" w:hAnsi="Times New Roman" w:cs="Times New Roman"/>
          <w:color w:val="000000" w:themeColor="text1"/>
        </w:rPr>
        <w:t xml:space="preserve"> circulation </w:t>
      </w:r>
      <w:r w:rsidRPr="007A0780">
        <w:rPr>
          <w:rFonts w:ascii="Times New Roman" w:hAnsi="Times New Roman" w:cs="Times New Roman"/>
        </w:rPr>
        <w:t>[3]. Placental insufficiency and hypoxemia are central to the pathogenesis of FGR and fetal demise. Conditions resulting in placental dysfunction may be recurrent. Any abnormality in placenta leads to direct insult to the fetus in-utero [5].</w:t>
      </w:r>
    </w:p>
    <w:p w14:paraId="3E71CBC0" w14:textId="77777777" w:rsidR="007A0780" w:rsidRPr="00AF7305" w:rsidRDefault="007A0780" w:rsidP="007A0780">
      <w:pPr>
        <w:pStyle w:val="NoSpacing"/>
        <w:spacing w:line="276" w:lineRule="auto"/>
        <w:jc w:val="both"/>
        <w:rPr>
          <w:rFonts w:ascii="Times New Roman" w:hAnsi="Times New Roman" w:cs="Times New Roman"/>
          <w:b/>
          <w:bCs/>
        </w:rPr>
      </w:pPr>
    </w:p>
    <w:p w14:paraId="2EA2511A" w14:textId="6296754E" w:rsidR="007A0780" w:rsidRPr="00AF7305" w:rsidRDefault="007A0780" w:rsidP="007A0780">
      <w:pPr>
        <w:pStyle w:val="NoSpacing"/>
        <w:spacing w:line="276" w:lineRule="auto"/>
        <w:jc w:val="both"/>
        <w:rPr>
          <w:rFonts w:ascii="Times New Roman" w:hAnsi="Times New Roman" w:cs="Times New Roman"/>
        </w:rPr>
      </w:pPr>
      <w:r w:rsidRPr="00AF7305">
        <w:rPr>
          <w:rFonts w:ascii="Times New Roman" w:hAnsi="Times New Roman" w:cs="Times New Roman"/>
        </w:rPr>
        <w:lastRenderedPageBreak/>
        <w:t xml:space="preserve">The present study aimed to examine the </w:t>
      </w:r>
      <w:proofErr w:type="spellStart"/>
      <w:r w:rsidRPr="00AF7305">
        <w:rPr>
          <w:rFonts w:ascii="Times New Roman" w:hAnsi="Times New Roman" w:cs="Times New Roman"/>
        </w:rPr>
        <w:t>histomorphological</w:t>
      </w:r>
      <w:proofErr w:type="spellEnd"/>
      <w:r w:rsidRPr="00AF7305">
        <w:rPr>
          <w:rFonts w:ascii="Times New Roman" w:hAnsi="Times New Roman" w:cs="Times New Roman"/>
        </w:rPr>
        <w:t xml:space="preserve"> changes in placentae in pregnancies complicated by </w:t>
      </w: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growth restriction and to assess their association with </w:t>
      </w:r>
      <w:proofErr w:type="spellStart"/>
      <w:r w:rsidRPr="00AF7305">
        <w:rPr>
          <w:rFonts w:ascii="Times New Roman" w:hAnsi="Times New Roman" w:cs="Times New Roman"/>
        </w:rPr>
        <w:t>foetal</w:t>
      </w:r>
      <w:proofErr w:type="spellEnd"/>
      <w:r w:rsidRPr="00AF7305">
        <w:rPr>
          <w:rFonts w:ascii="Times New Roman" w:hAnsi="Times New Roman" w:cs="Times New Roman"/>
        </w:rPr>
        <w:t xml:space="preserve"> outcomes. Histopathological analysis of 75 IUGR placentae revealed significant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calcifications, and</w:t>
      </w:r>
      <w:r w:rsidR="00A63A03">
        <w:rPr>
          <w:rFonts w:ascii="Times New Roman" w:hAnsi="Times New Roman" w:cs="Times New Roman"/>
        </w:rPr>
        <w:t xml:space="preserve"> </w:t>
      </w:r>
      <w:r w:rsidRPr="00AF7305">
        <w:rPr>
          <w:rFonts w:ascii="Times New Roman" w:hAnsi="Times New Roman" w:cs="Times New Roman"/>
        </w:rPr>
        <w:t>hemorrhages/infarctions.</w:t>
      </w:r>
    </w:p>
    <w:p w14:paraId="240E2FCF" w14:textId="77777777" w:rsidR="007A0780" w:rsidRPr="00AF7305" w:rsidRDefault="007A0780" w:rsidP="007A0780">
      <w:pPr>
        <w:pStyle w:val="NoSpacing"/>
        <w:spacing w:line="276" w:lineRule="auto"/>
        <w:jc w:val="both"/>
        <w:rPr>
          <w:rFonts w:ascii="Times New Roman" w:hAnsi="Times New Roman" w:cs="Times New Roman"/>
          <w:b/>
          <w:bCs/>
        </w:rPr>
      </w:pPr>
    </w:p>
    <w:p w14:paraId="4F4CD81D" w14:textId="77777777" w:rsidR="007A0780" w:rsidRPr="007A0780" w:rsidRDefault="007A0780" w:rsidP="007A0780">
      <w:pPr>
        <w:spacing w:after="0" w:line="276" w:lineRule="auto"/>
        <w:jc w:val="both"/>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MATERIAL &amp; METHODS</w:t>
      </w:r>
    </w:p>
    <w:p w14:paraId="520BA80D"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A prospective cross-sectional study was conducted at Vijay Marie Hospital and Educational Society, a tertiary care center, on 75 pregnant women diagnosed with intrauterine growth restriction (IUGR) using ultrasonography and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The study included women aged 18–35 years, with singleton pregnancies between 32 and 42 weeks of gestation, complicated by FGR. Exclusion criteria were multiple pregnancies, polyhydramnios, uncertain gestational age, and irregular menstrual cycles. Patients with clinical suspicion of IUGR underwent serial ultrasonography and </w:t>
      </w:r>
      <w:proofErr w:type="spellStart"/>
      <w:r w:rsidRPr="00AF7305">
        <w:rPr>
          <w:rFonts w:ascii="Times New Roman" w:hAnsi="Times New Roman" w:cs="Times New Roman"/>
        </w:rPr>
        <w:t>colour</w:t>
      </w:r>
      <w:proofErr w:type="spellEnd"/>
      <w:r w:rsidRPr="00AF7305">
        <w:rPr>
          <w:rFonts w:ascii="Times New Roman" w:hAnsi="Times New Roman" w:cs="Times New Roman"/>
        </w:rPr>
        <w:t xml:space="preserve"> Doppler monitoring from 28 weeks onwards. Doppler evaluation included measurement of resistance indices in the umbilical, uterine, and middle cerebral arteries to confirm the diagnosis.</w:t>
      </w:r>
    </w:p>
    <w:p w14:paraId="243ADA8F" w14:textId="77777777" w:rsidR="007A0780" w:rsidRPr="00AF7305" w:rsidRDefault="007A0780" w:rsidP="007A0780">
      <w:pPr>
        <w:spacing w:after="0" w:line="276" w:lineRule="auto"/>
        <w:jc w:val="both"/>
        <w:rPr>
          <w:rFonts w:ascii="Times New Roman" w:hAnsi="Times New Roman" w:cs="Times New Roman"/>
        </w:rPr>
      </w:pPr>
    </w:p>
    <w:p w14:paraId="00DF5FA4" w14:textId="6AE3017C" w:rsidR="007A0780" w:rsidRPr="00AF7305" w:rsidRDefault="007A0780" w:rsidP="007A0780">
      <w:pPr>
        <w:spacing w:after="0" w:line="276" w:lineRule="auto"/>
        <w:jc w:val="both"/>
        <w:rPr>
          <w:rFonts w:ascii="Times New Roman" w:hAnsi="Times New Roman" w:cs="Times New Roman"/>
          <w:lang w:val="en-IN"/>
        </w:rPr>
      </w:pPr>
      <w:r w:rsidRPr="00AF7305">
        <w:rPr>
          <w:rFonts w:ascii="Times New Roman" w:hAnsi="Times New Roman" w:cs="Times New Roman"/>
          <w:lang w:val="en-IN"/>
        </w:rPr>
        <w:t xml:space="preserve">Following delivery, data regarding the mother, the new born and the placental features i.e., placental weight, cord insertion, number of the umbilical vessels, placental membranes and the probable haemorrhages and infarcts were recorded using a predesigned proforma. </w:t>
      </w:r>
      <w:r w:rsidRPr="00AF7305">
        <w:rPr>
          <w:rFonts w:ascii="Times New Roman" w:hAnsi="Times New Roman" w:cs="Times New Roman"/>
        </w:rPr>
        <w:t xml:space="preserve">Subsequently, </w:t>
      </w:r>
      <w:r w:rsidRPr="00AF7305">
        <w:rPr>
          <w:rFonts w:ascii="Times New Roman" w:hAnsi="Times New Roman" w:cs="Times New Roman"/>
          <w:lang w:val="en-IN"/>
        </w:rPr>
        <w:t xml:space="preserve">all the placentae were sent for histopathological examination. </w:t>
      </w:r>
    </w:p>
    <w:p w14:paraId="1464D931" w14:textId="77777777" w:rsidR="007A0780" w:rsidRPr="00AF7305" w:rsidRDefault="007A0780" w:rsidP="007A0780">
      <w:pPr>
        <w:spacing w:after="0" w:line="276" w:lineRule="auto"/>
        <w:jc w:val="both"/>
        <w:rPr>
          <w:rFonts w:ascii="Times New Roman" w:hAnsi="Times New Roman" w:cs="Times New Roman"/>
        </w:rPr>
      </w:pPr>
    </w:p>
    <w:p w14:paraId="7BECF2A2" w14:textId="77777777" w:rsidR="007A0780" w:rsidRPr="007A0780" w:rsidRDefault="007A0780" w:rsidP="007A0780">
      <w:pPr>
        <w:autoSpaceDE w:val="0"/>
        <w:autoSpaceDN w:val="0"/>
        <w:adjustRightInd w:val="0"/>
        <w:spacing w:after="0" w:line="276" w:lineRule="auto"/>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RESULTS</w:t>
      </w:r>
    </w:p>
    <w:p w14:paraId="40C77307" w14:textId="00C9ED66" w:rsidR="00FA33FB" w:rsidRPr="00FA33FB" w:rsidRDefault="00FA33FB" w:rsidP="007A0780">
      <w:pPr>
        <w:autoSpaceDE w:val="0"/>
        <w:autoSpaceDN w:val="0"/>
        <w:adjustRightInd w:val="0"/>
        <w:spacing w:after="0" w:line="276" w:lineRule="auto"/>
        <w:jc w:val="both"/>
        <w:rPr>
          <w:rFonts w:ascii="Times New Roman" w:hAnsi="Times New Roman" w:cs="Times New Roman"/>
          <w:b/>
          <w:bCs/>
          <w:color w:val="0000CC"/>
        </w:rPr>
      </w:pPr>
      <w:r w:rsidRPr="00FA33FB">
        <w:rPr>
          <w:rFonts w:ascii="Times New Roman" w:hAnsi="Times New Roman" w:cs="Times New Roman"/>
          <w:b/>
          <w:bCs/>
          <w:color w:val="0000CC"/>
        </w:rPr>
        <w:t>Maternal and Ne</w:t>
      </w:r>
      <w:r>
        <w:rPr>
          <w:rFonts w:ascii="Times New Roman" w:hAnsi="Times New Roman" w:cs="Times New Roman"/>
          <w:b/>
          <w:bCs/>
          <w:color w:val="0000CC"/>
        </w:rPr>
        <w:t>onatal</w:t>
      </w:r>
      <w:r w:rsidRPr="00FA33FB">
        <w:rPr>
          <w:rFonts w:ascii="Times New Roman" w:hAnsi="Times New Roman" w:cs="Times New Roman"/>
          <w:b/>
          <w:bCs/>
          <w:color w:val="0000CC"/>
        </w:rPr>
        <w:t xml:space="preserve"> Findings</w:t>
      </w:r>
    </w:p>
    <w:p w14:paraId="477AA318" w14:textId="775CDE42"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The majority of patients were between 21–25 years of age (66.7%). Most were primigravidae (58.7%), followed by second gravida (22.7%), third gravida (16%), and fourth gravida (2.7%). Regarding gestational age, 13.3% of patients delivered between 28–30 weeks, 34.7% between 35–37 weeks, and 52% between 38–42 weeks. Mode of delivery was vaginal in 44% of cases, while 56% underwent lower segment cesarean section (LSCS). Most patients had no associated risk factors. Among those with complications, anemia was observed in 2.7%, gestational diabetes mellitus in 4.0%, gestational hypertension in 4.0%, and severe pre-eclampsia in 5.3%. All 75 cases resulted in live births.</w:t>
      </w:r>
    </w:p>
    <w:p w14:paraId="46CFA4B0" w14:textId="77777777" w:rsidR="007A0780" w:rsidRPr="00AF7305" w:rsidRDefault="007A0780" w:rsidP="007A0780">
      <w:pPr>
        <w:autoSpaceDE w:val="0"/>
        <w:autoSpaceDN w:val="0"/>
        <w:adjustRightInd w:val="0"/>
        <w:spacing w:after="0" w:line="276" w:lineRule="auto"/>
        <w:jc w:val="both"/>
        <w:rPr>
          <w:rFonts w:ascii="Times New Roman" w:hAnsi="Times New Roman" w:cs="Times New Roman"/>
        </w:rPr>
      </w:pPr>
    </w:p>
    <w:p w14:paraId="26EDCD07" w14:textId="22004095"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With respect to neonatal outcomes, 10.7% of babies weighed &lt;1.5 kg, 62.6% weighed between 1.5–2.5 kg, and 26.7% weighed &gt;2.5 kg. The majority of newborns with birth weights between 1.5–2.0 kg required NICU admission but were subsequently discharged without major morbidities.</w:t>
      </w:r>
      <w:r>
        <w:rPr>
          <w:rFonts w:ascii="Times New Roman" w:hAnsi="Times New Roman" w:cs="Times New Roman"/>
        </w:rPr>
        <w:t xml:space="preserve"> </w:t>
      </w:r>
      <w:r w:rsidRPr="00AF7305">
        <w:rPr>
          <w:rFonts w:ascii="Times New Roman" w:hAnsi="Times New Roman" w:cs="Times New Roman"/>
        </w:rPr>
        <w:t>The Apgar score at 1 minute was 7–10 in 85.3% of newborns and 4–6 in 14.7%. At 5 minutes, 93.3% had scores between 7–10, while 6.7% had scores between 4–6.</w:t>
      </w:r>
    </w:p>
    <w:p w14:paraId="0BDF5E43" w14:textId="77777777" w:rsidR="007A0780" w:rsidRDefault="007A0780" w:rsidP="007A0780">
      <w:pPr>
        <w:autoSpaceDE w:val="0"/>
        <w:autoSpaceDN w:val="0"/>
        <w:adjustRightInd w:val="0"/>
        <w:spacing w:after="0" w:line="276" w:lineRule="auto"/>
        <w:jc w:val="both"/>
        <w:rPr>
          <w:rFonts w:ascii="Times New Roman" w:hAnsi="Times New Roman" w:cs="Times New Roman"/>
        </w:rPr>
      </w:pPr>
    </w:p>
    <w:p w14:paraId="132FE637" w14:textId="77777777" w:rsidR="007A0780" w:rsidRDefault="007A0780" w:rsidP="007A0780">
      <w:pPr>
        <w:autoSpaceDE w:val="0"/>
        <w:autoSpaceDN w:val="0"/>
        <w:adjustRightInd w:val="0"/>
        <w:spacing w:after="0" w:line="276" w:lineRule="auto"/>
        <w:jc w:val="both"/>
        <w:rPr>
          <w:rFonts w:ascii="Times New Roman" w:hAnsi="Times New Roman" w:cs="Times New Roman"/>
        </w:rPr>
      </w:pPr>
    </w:p>
    <w:p w14:paraId="5A8D3CA8" w14:textId="77777777" w:rsidR="00FA33FB" w:rsidRDefault="00FA33FB" w:rsidP="007A0780">
      <w:pPr>
        <w:autoSpaceDE w:val="0"/>
        <w:autoSpaceDN w:val="0"/>
        <w:adjustRightInd w:val="0"/>
        <w:spacing w:after="0" w:line="276" w:lineRule="auto"/>
        <w:jc w:val="both"/>
        <w:rPr>
          <w:rFonts w:ascii="Times New Roman" w:hAnsi="Times New Roman" w:cs="Times New Roman"/>
        </w:rPr>
      </w:pPr>
    </w:p>
    <w:p w14:paraId="2F9F9676" w14:textId="77777777" w:rsidR="007A0780" w:rsidRDefault="007A0780" w:rsidP="007A0780">
      <w:pPr>
        <w:autoSpaceDE w:val="0"/>
        <w:autoSpaceDN w:val="0"/>
        <w:adjustRightInd w:val="0"/>
        <w:spacing w:after="0" w:line="276" w:lineRule="auto"/>
        <w:jc w:val="both"/>
        <w:rPr>
          <w:rFonts w:ascii="Times New Roman" w:hAnsi="Times New Roman" w:cs="Times New Roman"/>
        </w:rPr>
      </w:pPr>
    </w:p>
    <w:p w14:paraId="5DD14F22" w14:textId="77777777" w:rsidR="007A0780" w:rsidRPr="00AF7305" w:rsidRDefault="007A0780" w:rsidP="00A63A03">
      <w:pPr>
        <w:autoSpaceDE w:val="0"/>
        <w:autoSpaceDN w:val="0"/>
        <w:adjustRightInd w:val="0"/>
        <w:spacing w:after="0" w:line="276" w:lineRule="auto"/>
        <w:jc w:val="center"/>
        <w:rPr>
          <w:rFonts w:ascii="Times New Roman" w:hAnsi="Times New Roman" w:cs="Times New Roman"/>
          <w:b/>
          <w:bCs/>
        </w:rPr>
      </w:pPr>
      <w:r>
        <w:rPr>
          <w:rFonts w:ascii="Times New Roman" w:hAnsi="Times New Roman" w:cs="Times New Roman"/>
          <w:b/>
          <w:bCs/>
        </w:rPr>
        <w:t>Table 1:</w:t>
      </w:r>
      <w:r w:rsidRPr="00AF7305">
        <w:rPr>
          <w:rFonts w:ascii="Times New Roman" w:hAnsi="Times New Roman" w:cs="Times New Roman"/>
          <w:b/>
          <w:bCs/>
        </w:rPr>
        <w:t xml:space="preserve"> Maternal, Obstetric and Neonatal Characteristics of the Study Population (n = 75)</w:t>
      </w:r>
    </w:p>
    <w:tbl>
      <w:tblPr>
        <w:tblStyle w:val="TableGrid"/>
        <w:tblW w:w="0" w:type="auto"/>
        <w:jc w:val="center"/>
        <w:tblLook w:val="04A0" w:firstRow="1" w:lastRow="0" w:firstColumn="1" w:lastColumn="0" w:noHBand="0" w:noVBand="1"/>
      </w:tblPr>
      <w:tblGrid>
        <w:gridCol w:w="2988"/>
        <w:gridCol w:w="2958"/>
        <w:gridCol w:w="1632"/>
      </w:tblGrid>
      <w:tr w:rsidR="007A0780" w:rsidRPr="00AF7305" w14:paraId="75A71C65" w14:textId="77777777" w:rsidTr="004E542F">
        <w:trPr>
          <w:jc w:val="center"/>
        </w:trPr>
        <w:tc>
          <w:tcPr>
            <w:tcW w:w="2988" w:type="dxa"/>
          </w:tcPr>
          <w:p w14:paraId="41D5B680"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CATEGORY</w:t>
            </w:r>
          </w:p>
        </w:tc>
        <w:tc>
          <w:tcPr>
            <w:tcW w:w="2958" w:type="dxa"/>
          </w:tcPr>
          <w:p w14:paraId="3EC71C99"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PARAMETER</w:t>
            </w:r>
          </w:p>
        </w:tc>
        <w:tc>
          <w:tcPr>
            <w:tcW w:w="1632" w:type="dxa"/>
          </w:tcPr>
          <w:p w14:paraId="77A0FA16" w14:textId="77777777" w:rsidR="007A0780" w:rsidRPr="00AF7305" w:rsidRDefault="007A0780" w:rsidP="004E542F">
            <w:pPr>
              <w:autoSpaceDE w:val="0"/>
              <w:autoSpaceDN w:val="0"/>
              <w:adjustRightInd w:val="0"/>
              <w:spacing w:line="240" w:lineRule="auto"/>
              <w:jc w:val="center"/>
              <w:rPr>
                <w:rFonts w:ascii="Times New Roman" w:hAnsi="Times New Roman" w:cs="Times New Roman"/>
                <w:b/>
                <w:bCs/>
              </w:rPr>
            </w:pPr>
            <w:r w:rsidRPr="00AF7305">
              <w:rPr>
                <w:rFonts w:ascii="Times New Roman" w:hAnsi="Times New Roman" w:cs="Times New Roman"/>
                <w:b/>
                <w:bCs/>
                <w:color w:val="0000CC"/>
              </w:rPr>
              <w:t>N (%)</w:t>
            </w:r>
          </w:p>
        </w:tc>
      </w:tr>
      <w:tr w:rsidR="007A0780" w:rsidRPr="00AF7305" w14:paraId="4CA89CC1" w14:textId="77777777" w:rsidTr="004E542F">
        <w:trPr>
          <w:jc w:val="center"/>
        </w:trPr>
        <w:tc>
          <w:tcPr>
            <w:tcW w:w="2988" w:type="dxa"/>
            <w:vMerge w:val="restart"/>
            <w:vAlign w:val="center"/>
          </w:tcPr>
          <w:p w14:paraId="26F9390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Maternal Characteristics</w:t>
            </w:r>
          </w:p>
        </w:tc>
        <w:tc>
          <w:tcPr>
            <w:tcW w:w="2958" w:type="dxa"/>
          </w:tcPr>
          <w:p w14:paraId="420D1EB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Age group 21–25 years</w:t>
            </w:r>
          </w:p>
        </w:tc>
        <w:tc>
          <w:tcPr>
            <w:tcW w:w="1632" w:type="dxa"/>
          </w:tcPr>
          <w:p w14:paraId="0C5FA77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50 (66.7%)</w:t>
            </w:r>
          </w:p>
        </w:tc>
      </w:tr>
      <w:tr w:rsidR="007A0780" w:rsidRPr="00AF7305" w14:paraId="7872B3AB" w14:textId="77777777" w:rsidTr="004E542F">
        <w:trPr>
          <w:jc w:val="center"/>
        </w:trPr>
        <w:tc>
          <w:tcPr>
            <w:tcW w:w="2988" w:type="dxa"/>
            <w:vMerge/>
            <w:vAlign w:val="center"/>
          </w:tcPr>
          <w:p w14:paraId="7B92831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EBCB1B2"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Other age groups</w:t>
            </w:r>
          </w:p>
        </w:tc>
        <w:tc>
          <w:tcPr>
            <w:tcW w:w="1632" w:type="dxa"/>
          </w:tcPr>
          <w:p w14:paraId="67F9E27D" w14:textId="77777777" w:rsidR="007A0780" w:rsidRPr="00AF7305" w:rsidRDefault="007A0780" w:rsidP="004E542F">
            <w:pPr>
              <w:autoSpaceDE w:val="0"/>
              <w:autoSpaceDN w:val="0"/>
              <w:adjustRightInd w:val="0"/>
              <w:spacing w:line="240" w:lineRule="auto"/>
              <w:rPr>
                <w:rFonts w:ascii="Times New Roman" w:hAnsi="Times New Roman" w:cs="Times New Roman"/>
              </w:rPr>
            </w:pPr>
            <w:r w:rsidRPr="00AF7305">
              <w:rPr>
                <w:rFonts w:ascii="Times New Roman" w:hAnsi="Times New Roman" w:cs="Times New Roman"/>
              </w:rPr>
              <w:t>25 (33.3%)</w:t>
            </w:r>
          </w:p>
        </w:tc>
      </w:tr>
      <w:tr w:rsidR="007A0780" w:rsidRPr="00AF7305" w14:paraId="17D02E9D" w14:textId="77777777" w:rsidTr="004E542F">
        <w:trPr>
          <w:jc w:val="center"/>
        </w:trPr>
        <w:tc>
          <w:tcPr>
            <w:tcW w:w="2988" w:type="dxa"/>
            <w:vMerge w:val="restart"/>
            <w:vAlign w:val="center"/>
          </w:tcPr>
          <w:p w14:paraId="6363944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Gravida</w:t>
            </w:r>
          </w:p>
        </w:tc>
        <w:tc>
          <w:tcPr>
            <w:tcW w:w="2958" w:type="dxa"/>
          </w:tcPr>
          <w:p w14:paraId="7E3CCDB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Primigravida</w:t>
            </w:r>
          </w:p>
        </w:tc>
        <w:tc>
          <w:tcPr>
            <w:tcW w:w="1632" w:type="dxa"/>
          </w:tcPr>
          <w:p w14:paraId="7DAE03A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44 (58.7%)</w:t>
            </w:r>
          </w:p>
        </w:tc>
      </w:tr>
      <w:tr w:rsidR="007A0780" w:rsidRPr="00AF7305" w14:paraId="3B13021B" w14:textId="77777777" w:rsidTr="004E542F">
        <w:trPr>
          <w:jc w:val="center"/>
        </w:trPr>
        <w:tc>
          <w:tcPr>
            <w:tcW w:w="2988" w:type="dxa"/>
            <w:vMerge/>
            <w:vAlign w:val="center"/>
          </w:tcPr>
          <w:p w14:paraId="2898EF0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0E1625D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Second gravida</w:t>
            </w:r>
          </w:p>
        </w:tc>
        <w:tc>
          <w:tcPr>
            <w:tcW w:w="1632" w:type="dxa"/>
          </w:tcPr>
          <w:p w14:paraId="02B6D4E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17 (22.7%)</w:t>
            </w:r>
          </w:p>
        </w:tc>
      </w:tr>
      <w:tr w:rsidR="007A0780" w:rsidRPr="00AF7305" w14:paraId="7E6BCF1F" w14:textId="77777777" w:rsidTr="004E542F">
        <w:trPr>
          <w:jc w:val="center"/>
        </w:trPr>
        <w:tc>
          <w:tcPr>
            <w:tcW w:w="2988" w:type="dxa"/>
            <w:vMerge/>
            <w:vAlign w:val="center"/>
          </w:tcPr>
          <w:p w14:paraId="63448B4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79FAF2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Third gravida</w:t>
            </w:r>
          </w:p>
        </w:tc>
        <w:tc>
          <w:tcPr>
            <w:tcW w:w="1632" w:type="dxa"/>
          </w:tcPr>
          <w:p w14:paraId="240F6A4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12 (16.0%)</w:t>
            </w:r>
          </w:p>
        </w:tc>
      </w:tr>
      <w:tr w:rsidR="007A0780" w:rsidRPr="00AF7305" w14:paraId="4A9D0823" w14:textId="77777777" w:rsidTr="004E542F">
        <w:trPr>
          <w:jc w:val="center"/>
        </w:trPr>
        <w:tc>
          <w:tcPr>
            <w:tcW w:w="2988" w:type="dxa"/>
            <w:vMerge/>
            <w:vAlign w:val="center"/>
          </w:tcPr>
          <w:p w14:paraId="08F5C91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830D99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Fourth gravida</w:t>
            </w:r>
          </w:p>
        </w:tc>
        <w:tc>
          <w:tcPr>
            <w:tcW w:w="1632" w:type="dxa"/>
          </w:tcPr>
          <w:p w14:paraId="6517517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 (2.7%)</w:t>
            </w:r>
          </w:p>
        </w:tc>
      </w:tr>
      <w:tr w:rsidR="007A0780" w:rsidRPr="00AF7305" w14:paraId="1903AF3E" w14:textId="77777777" w:rsidTr="004E542F">
        <w:trPr>
          <w:jc w:val="center"/>
        </w:trPr>
        <w:tc>
          <w:tcPr>
            <w:tcW w:w="2988" w:type="dxa"/>
            <w:vMerge w:val="restart"/>
            <w:vAlign w:val="center"/>
          </w:tcPr>
          <w:p w14:paraId="054E129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Gestational Age</w:t>
            </w:r>
          </w:p>
        </w:tc>
        <w:tc>
          <w:tcPr>
            <w:tcW w:w="2958" w:type="dxa"/>
          </w:tcPr>
          <w:p w14:paraId="1F2CDA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28–30 weeks</w:t>
            </w:r>
          </w:p>
        </w:tc>
        <w:tc>
          <w:tcPr>
            <w:tcW w:w="1632" w:type="dxa"/>
          </w:tcPr>
          <w:p w14:paraId="16B7820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10 (13.3%)</w:t>
            </w:r>
          </w:p>
        </w:tc>
      </w:tr>
      <w:tr w:rsidR="007A0780" w:rsidRPr="00AF7305" w14:paraId="0A43D587" w14:textId="77777777" w:rsidTr="004E542F">
        <w:trPr>
          <w:jc w:val="center"/>
        </w:trPr>
        <w:tc>
          <w:tcPr>
            <w:tcW w:w="2988" w:type="dxa"/>
            <w:vMerge/>
            <w:vAlign w:val="center"/>
          </w:tcPr>
          <w:p w14:paraId="3D66A48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25C3BCE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35–37 weeks</w:t>
            </w:r>
          </w:p>
        </w:tc>
        <w:tc>
          <w:tcPr>
            <w:tcW w:w="1632" w:type="dxa"/>
          </w:tcPr>
          <w:p w14:paraId="61335B5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26 (34.7%)</w:t>
            </w:r>
          </w:p>
        </w:tc>
      </w:tr>
      <w:tr w:rsidR="007A0780" w:rsidRPr="00AF7305" w14:paraId="11145F57" w14:textId="77777777" w:rsidTr="004E542F">
        <w:trPr>
          <w:jc w:val="center"/>
        </w:trPr>
        <w:tc>
          <w:tcPr>
            <w:tcW w:w="2988" w:type="dxa"/>
            <w:vMerge/>
            <w:vAlign w:val="center"/>
          </w:tcPr>
          <w:p w14:paraId="6763430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60E689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38–42 weeks</w:t>
            </w:r>
          </w:p>
        </w:tc>
        <w:tc>
          <w:tcPr>
            <w:tcW w:w="1632" w:type="dxa"/>
          </w:tcPr>
          <w:p w14:paraId="51CF198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39 (52.0%)</w:t>
            </w:r>
          </w:p>
        </w:tc>
      </w:tr>
      <w:tr w:rsidR="007A0780" w:rsidRPr="00AF7305" w14:paraId="12E5F029" w14:textId="77777777" w:rsidTr="004E542F">
        <w:trPr>
          <w:jc w:val="center"/>
        </w:trPr>
        <w:tc>
          <w:tcPr>
            <w:tcW w:w="2988" w:type="dxa"/>
            <w:vMerge w:val="restart"/>
            <w:vAlign w:val="center"/>
          </w:tcPr>
          <w:p w14:paraId="559A3EA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Obstetric Outcomes</w:t>
            </w:r>
          </w:p>
        </w:tc>
        <w:tc>
          <w:tcPr>
            <w:tcW w:w="2958" w:type="dxa"/>
          </w:tcPr>
          <w:p w14:paraId="196299C3"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Vaginal delivery</w:t>
            </w:r>
          </w:p>
        </w:tc>
        <w:tc>
          <w:tcPr>
            <w:tcW w:w="1632" w:type="dxa"/>
          </w:tcPr>
          <w:p w14:paraId="76B1827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33 (44.0%)</w:t>
            </w:r>
          </w:p>
        </w:tc>
      </w:tr>
      <w:tr w:rsidR="007A0780" w:rsidRPr="00AF7305" w14:paraId="520064CB" w14:textId="77777777" w:rsidTr="004E542F">
        <w:trPr>
          <w:jc w:val="center"/>
        </w:trPr>
        <w:tc>
          <w:tcPr>
            <w:tcW w:w="2988" w:type="dxa"/>
            <w:vMerge/>
            <w:vAlign w:val="center"/>
          </w:tcPr>
          <w:p w14:paraId="1A3B16E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7EA9D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LSCS</w:t>
            </w:r>
          </w:p>
        </w:tc>
        <w:tc>
          <w:tcPr>
            <w:tcW w:w="1632" w:type="dxa"/>
          </w:tcPr>
          <w:p w14:paraId="2E99814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42 (56.0%)</w:t>
            </w:r>
          </w:p>
        </w:tc>
      </w:tr>
      <w:tr w:rsidR="007A0780" w:rsidRPr="00AF7305" w14:paraId="00BE3949" w14:textId="77777777" w:rsidTr="004E542F">
        <w:trPr>
          <w:jc w:val="center"/>
        </w:trPr>
        <w:tc>
          <w:tcPr>
            <w:tcW w:w="2988" w:type="dxa"/>
            <w:vMerge w:val="restart"/>
            <w:vAlign w:val="center"/>
          </w:tcPr>
          <w:p w14:paraId="742792D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Risk Factors</w:t>
            </w:r>
          </w:p>
        </w:tc>
        <w:tc>
          <w:tcPr>
            <w:tcW w:w="2958" w:type="dxa"/>
          </w:tcPr>
          <w:p w14:paraId="2D392CC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None</w:t>
            </w:r>
          </w:p>
        </w:tc>
        <w:tc>
          <w:tcPr>
            <w:tcW w:w="1632" w:type="dxa"/>
          </w:tcPr>
          <w:p w14:paraId="0578A77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63 (83.9%)</w:t>
            </w:r>
          </w:p>
        </w:tc>
      </w:tr>
      <w:tr w:rsidR="007A0780" w:rsidRPr="00AF7305" w14:paraId="08CB81C9" w14:textId="77777777" w:rsidTr="004E542F">
        <w:trPr>
          <w:jc w:val="center"/>
        </w:trPr>
        <w:tc>
          <w:tcPr>
            <w:tcW w:w="2988" w:type="dxa"/>
            <w:vMerge/>
            <w:vAlign w:val="center"/>
          </w:tcPr>
          <w:p w14:paraId="1CA854F4"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00CFC74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Anemia</w:t>
            </w:r>
          </w:p>
        </w:tc>
        <w:tc>
          <w:tcPr>
            <w:tcW w:w="1632" w:type="dxa"/>
          </w:tcPr>
          <w:p w14:paraId="3E1D657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 (2.7%)</w:t>
            </w:r>
          </w:p>
        </w:tc>
      </w:tr>
      <w:tr w:rsidR="007A0780" w:rsidRPr="00AF7305" w14:paraId="4BFAFDBE" w14:textId="77777777" w:rsidTr="004E542F">
        <w:trPr>
          <w:jc w:val="center"/>
        </w:trPr>
        <w:tc>
          <w:tcPr>
            <w:tcW w:w="2988" w:type="dxa"/>
            <w:vMerge/>
            <w:vAlign w:val="center"/>
          </w:tcPr>
          <w:p w14:paraId="023EABA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94CD36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Gestational DM</w:t>
            </w:r>
          </w:p>
        </w:tc>
        <w:tc>
          <w:tcPr>
            <w:tcW w:w="1632" w:type="dxa"/>
          </w:tcPr>
          <w:p w14:paraId="5357022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 (4.0%)</w:t>
            </w:r>
          </w:p>
        </w:tc>
      </w:tr>
      <w:tr w:rsidR="007A0780" w:rsidRPr="00AF7305" w14:paraId="768556C4" w14:textId="77777777" w:rsidTr="004E542F">
        <w:trPr>
          <w:jc w:val="center"/>
        </w:trPr>
        <w:tc>
          <w:tcPr>
            <w:tcW w:w="2988" w:type="dxa"/>
            <w:vMerge/>
            <w:vAlign w:val="center"/>
          </w:tcPr>
          <w:p w14:paraId="76E53EDB"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3A959C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Gestational Hypertension</w:t>
            </w:r>
          </w:p>
        </w:tc>
        <w:tc>
          <w:tcPr>
            <w:tcW w:w="1632" w:type="dxa"/>
          </w:tcPr>
          <w:p w14:paraId="22E6422C"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3 (4.0%)</w:t>
            </w:r>
          </w:p>
        </w:tc>
      </w:tr>
      <w:tr w:rsidR="007A0780" w:rsidRPr="00AF7305" w14:paraId="65401E1B" w14:textId="77777777" w:rsidTr="004E542F">
        <w:trPr>
          <w:jc w:val="center"/>
        </w:trPr>
        <w:tc>
          <w:tcPr>
            <w:tcW w:w="2988" w:type="dxa"/>
            <w:vMerge/>
            <w:vAlign w:val="center"/>
          </w:tcPr>
          <w:p w14:paraId="745E93A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6B53C15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Severe Pre-eclampsia</w:t>
            </w:r>
          </w:p>
        </w:tc>
        <w:tc>
          <w:tcPr>
            <w:tcW w:w="1632" w:type="dxa"/>
          </w:tcPr>
          <w:p w14:paraId="072D05B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 (5.3%)</w:t>
            </w:r>
          </w:p>
        </w:tc>
      </w:tr>
      <w:tr w:rsidR="007A0780" w:rsidRPr="00AF7305" w14:paraId="206C395E" w14:textId="77777777" w:rsidTr="004E542F">
        <w:trPr>
          <w:jc w:val="center"/>
        </w:trPr>
        <w:tc>
          <w:tcPr>
            <w:tcW w:w="2988" w:type="dxa"/>
            <w:vMerge w:val="restart"/>
            <w:vAlign w:val="center"/>
          </w:tcPr>
          <w:p w14:paraId="67CFE499"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Neonatal Outcomes</w:t>
            </w:r>
          </w:p>
        </w:tc>
        <w:tc>
          <w:tcPr>
            <w:tcW w:w="2958" w:type="dxa"/>
          </w:tcPr>
          <w:p w14:paraId="2D81A5E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&lt;1.5 kg</w:t>
            </w:r>
          </w:p>
        </w:tc>
        <w:tc>
          <w:tcPr>
            <w:tcW w:w="1632" w:type="dxa"/>
          </w:tcPr>
          <w:p w14:paraId="61C6BDCD"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8 (10.7%)</w:t>
            </w:r>
          </w:p>
        </w:tc>
      </w:tr>
      <w:tr w:rsidR="007A0780" w:rsidRPr="00AF7305" w14:paraId="0A3AEB4A" w14:textId="77777777" w:rsidTr="004E542F">
        <w:trPr>
          <w:jc w:val="center"/>
        </w:trPr>
        <w:tc>
          <w:tcPr>
            <w:tcW w:w="2988" w:type="dxa"/>
            <w:vMerge/>
            <w:vAlign w:val="center"/>
          </w:tcPr>
          <w:p w14:paraId="72E1811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0226D8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1.5–2.5 kg</w:t>
            </w:r>
          </w:p>
        </w:tc>
        <w:tc>
          <w:tcPr>
            <w:tcW w:w="1632" w:type="dxa"/>
          </w:tcPr>
          <w:p w14:paraId="53D0BEF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47 (62.6%)</w:t>
            </w:r>
          </w:p>
        </w:tc>
      </w:tr>
      <w:tr w:rsidR="007A0780" w:rsidRPr="00AF7305" w14:paraId="41EE7DE6" w14:textId="77777777" w:rsidTr="004E542F">
        <w:trPr>
          <w:jc w:val="center"/>
        </w:trPr>
        <w:tc>
          <w:tcPr>
            <w:tcW w:w="2988" w:type="dxa"/>
            <w:vMerge/>
            <w:vAlign w:val="center"/>
          </w:tcPr>
          <w:p w14:paraId="11613C6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5A569F3E"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Birth weight &gt;2.5 kg</w:t>
            </w:r>
          </w:p>
        </w:tc>
        <w:tc>
          <w:tcPr>
            <w:tcW w:w="1632" w:type="dxa"/>
          </w:tcPr>
          <w:p w14:paraId="4828025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20 (26.7%)</w:t>
            </w:r>
          </w:p>
        </w:tc>
      </w:tr>
      <w:tr w:rsidR="007A0780" w:rsidRPr="00AF7305" w14:paraId="2639886C" w14:textId="77777777" w:rsidTr="004E542F">
        <w:trPr>
          <w:jc w:val="center"/>
        </w:trPr>
        <w:tc>
          <w:tcPr>
            <w:tcW w:w="2988" w:type="dxa"/>
            <w:vMerge w:val="restart"/>
            <w:vAlign w:val="center"/>
          </w:tcPr>
          <w:p w14:paraId="7560C68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APGAR Score (1 min</w:t>
            </w:r>
          </w:p>
        </w:tc>
        <w:tc>
          <w:tcPr>
            <w:tcW w:w="2958" w:type="dxa"/>
          </w:tcPr>
          <w:p w14:paraId="1CAD316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7–10</w:t>
            </w:r>
          </w:p>
        </w:tc>
        <w:tc>
          <w:tcPr>
            <w:tcW w:w="1632" w:type="dxa"/>
          </w:tcPr>
          <w:p w14:paraId="3B4D7976"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64 (85.3%)</w:t>
            </w:r>
          </w:p>
        </w:tc>
      </w:tr>
      <w:tr w:rsidR="007A0780" w:rsidRPr="00AF7305" w14:paraId="33D0103C" w14:textId="77777777" w:rsidTr="004E542F">
        <w:trPr>
          <w:jc w:val="center"/>
        </w:trPr>
        <w:tc>
          <w:tcPr>
            <w:tcW w:w="2988" w:type="dxa"/>
            <w:vMerge/>
            <w:vAlign w:val="center"/>
          </w:tcPr>
          <w:p w14:paraId="083367F0"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3727075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4–6</w:t>
            </w:r>
          </w:p>
        </w:tc>
        <w:tc>
          <w:tcPr>
            <w:tcW w:w="1632" w:type="dxa"/>
          </w:tcPr>
          <w:p w14:paraId="6F51E52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11 (14.7%)</w:t>
            </w:r>
          </w:p>
        </w:tc>
      </w:tr>
      <w:tr w:rsidR="007A0780" w:rsidRPr="00AF7305" w14:paraId="3BAD88C0" w14:textId="77777777" w:rsidTr="004E542F">
        <w:trPr>
          <w:jc w:val="center"/>
        </w:trPr>
        <w:tc>
          <w:tcPr>
            <w:tcW w:w="2988" w:type="dxa"/>
            <w:vMerge w:val="restart"/>
            <w:vAlign w:val="center"/>
          </w:tcPr>
          <w:p w14:paraId="500BA157"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b/>
                <w:bCs/>
              </w:rPr>
              <w:t>APGAR Score (5 min)</w:t>
            </w:r>
          </w:p>
        </w:tc>
        <w:tc>
          <w:tcPr>
            <w:tcW w:w="2958" w:type="dxa"/>
          </w:tcPr>
          <w:p w14:paraId="693974BF"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7–10</w:t>
            </w:r>
          </w:p>
        </w:tc>
        <w:tc>
          <w:tcPr>
            <w:tcW w:w="1632" w:type="dxa"/>
          </w:tcPr>
          <w:p w14:paraId="5C40C40A"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70 (93.3%)</w:t>
            </w:r>
          </w:p>
        </w:tc>
      </w:tr>
      <w:tr w:rsidR="007A0780" w:rsidRPr="00AF7305" w14:paraId="4EFB7D3C" w14:textId="77777777" w:rsidTr="004E542F">
        <w:trPr>
          <w:jc w:val="center"/>
        </w:trPr>
        <w:tc>
          <w:tcPr>
            <w:tcW w:w="2988" w:type="dxa"/>
            <w:vMerge/>
          </w:tcPr>
          <w:p w14:paraId="0B6414C8"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p>
        </w:tc>
        <w:tc>
          <w:tcPr>
            <w:tcW w:w="2958" w:type="dxa"/>
          </w:tcPr>
          <w:p w14:paraId="197DE6C5"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4–6</w:t>
            </w:r>
          </w:p>
        </w:tc>
        <w:tc>
          <w:tcPr>
            <w:tcW w:w="1632" w:type="dxa"/>
          </w:tcPr>
          <w:p w14:paraId="0E0ACA31" w14:textId="77777777" w:rsidR="007A0780" w:rsidRPr="00AF7305" w:rsidRDefault="007A0780" w:rsidP="004E542F">
            <w:pPr>
              <w:autoSpaceDE w:val="0"/>
              <w:autoSpaceDN w:val="0"/>
              <w:adjustRightInd w:val="0"/>
              <w:spacing w:line="240" w:lineRule="auto"/>
              <w:rPr>
                <w:rFonts w:ascii="Times New Roman" w:hAnsi="Times New Roman" w:cs="Times New Roman"/>
                <w:b/>
                <w:bCs/>
              </w:rPr>
            </w:pPr>
            <w:r w:rsidRPr="00AF7305">
              <w:rPr>
                <w:rFonts w:ascii="Times New Roman" w:hAnsi="Times New Roman" w:cs="Times New Roman"/>
              </w:rPr>
              <w:t>5 (6.7%)</w:t>
            </w:r>
          </w:p>
        </w:tc>
      </w:tr>
    </w:tbl>
    <w:p w14:paraId="210052EC" w14:textId="77777777" w:rsidR="007A0780" w:rsidRPr="00AF7305" w:rsidRDefault="007A0780" w:rsidP="007A0780">
      <w:pPr>
        <w:autoSpaceDE w:val="0"/>
        <w:autoSpaceDN w:val="0"/>
        <w:adjustRightInd w:val="0"/>
        <w:spacing w:after="0" w:line="276" w:lineRule="auto"/>
        <w:rPr>
          <w:rFonts w:ascii="Times New Roman" w:hAnsi="Times New Roman" w:cs="Times New Roman"/>
          <w:b/>
          <w:bCs/>
        </w:rPr>
      </w:pPr>
    </w:p>
    <w:p w14:paraId="2479DF55" w14:textId="6FE44BC4" w:rsidR="007A0780" w:rsidRPr="00AF7305" w:rsidRDefault="007A0780" w:rsidP="007A0780">
      <w:pPr>
        <w:autoSpaceDE w:val="0"/>
        <w:autoSpaceDN w:val="0"/>
        <w:adjustRightInd w:val="0"/>
        <w:spacing w:after="0" w:line="276" w:lineRule="auto"/>
        <w:rPr>
          <w:rFonts w:ascii="Times New Roman" w:hAnsi="Times New Roman" w:cs="Times New Roman"/>
          <w:b/>
          <w:bCs/>
          <w:color w:val="0000CC"/>
        </w:rPr>
      </w:pPr>
      <w:r w:rsidRPr="00AF7305">
        <w:rPr>
          <w:rFonts w:ascii="Times New Roman" w:hAnsi="Times New Roman" w:cs="Times New Roman"/>
          <w:b/>
          <w:bCs/>
          <w:color w:val="0000CC"/>
        </w:rPr>
        <w:t>Ultrasound Findings</w:t>
      </w:r>
    </w:p>
    <w:p w14:paraId="7279912C" w14:textId="77777777" w:rsidR="007A0780"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Doppler evaluation revealed high resistance in the umbilical artery in 25.3% of cases, while low resistance in the middle cerebral artery was observed in 6.7%. Uterine artery notching was present in 6.7% of patients.</w:t>
      </w:r>
    </w:p>
    <w:p w14:paraId="1E0DAF65" w14:textId="77777777" w:rsidR="007A0780" w:rsidRPr="007A0780" w:rsidRDefault="007A0780" w:rsidP="007A0780">
      <w:pPr>
        <w:autoSpaceDE w:val="0"/>
        <w:autoSpaceDN w:val="0"/>
        <w:adjustRightInd w:val="0"/>
        <w:spacing w:after="0" w:line="276" w:lineRule="auto"/>
        <w:jc w:val="both"/>
        <w:rPr>
          <w:rFonts w:ascii="Times New Roman" w:hAnsi="Times New Roman" w:cs="Times New Roman"/>
          <w:sz w:val="16"/>
          <w:szCs w:val="16"/>
        </w:rPr>
      </w:pPr>
    </w:p>
    <w:p w14:paraId="3CC34842" w14:textId="77777777" w:rsidR="007A0780" w:rsidRPr="00AF7305" w:rsidRDefault="007A0780" w:rsidP="007A0780">
      <w:pPr>
        <w:autoSpaceDE w:val="0"/>
        <w:autoSpaceDN w:val="0"/>
        <w:adjustRightInd w:val="0"/>
        <w:spacing w:after="0" w:line="276" w:lineRule="auto"/>
        <w:jc w:val="center"/>
        <w:rPr>
          <w:rFonts w:ascii="Times New Roman" w:hAnsi="Times New Roman" w:cs="Times New Roman"/>
          <w:b/>
          <w:bCs/>
        </w:rPr>
      </w:pPr>
      <w:r w:rsidRPr="00AF7305">
        <w:rPr>
          <w:rFonts w:ascii="Times New Roman" w:hAnsi="Times New Roman" w:cs="Times New Roman"/>
          <w:b/>
          <w:bCs/>
        </w:rPr>
        <w:t>Graph 1: Distribution of Patients Based on Ultrasound Disparity</w:t>
      </w:r>
    </w:p>
    <w:p w14:paraId="2AB7EECF" w14:textId="77777777" w:rsidR="007A0780" w:rsidRPr="007A0780" w:rsidRDefault="007A0780" w:rsidP="007A0780">
      <w:pPr>
        <w:autoSpaceDE w:val="0"/>
        <w:autoSpaceDN w:val="0"/>
        <w:adjustRightInd w:val="0"/>
        <w:spacing w:after="0" w:line="276" w:lineRule="auto"/>
        <w:jc w:val="center"/>
        <w:rPr>
          <w:rFonts w:ascii="Times New Roman" w:hAnsi="Times New Roman" w:cs="Times New Roman"/>
          <w:sz w:val="16"/>
          <w:szCs w:val="16"/>
        </w:rPr>
      </w:pPr>
    </w:p>
    <w:p w14:paraId="6D514513" w14:textId="77777777" w:rsidR="007A0780" w:rsidRPr="00AF7305" w:rsidRDefault="007A0780" w:rsidP="007A0780">
      <w:pPr>
        <w:autoSpaceDE w:val="0"/>
        <w:autoSpaceDN w:val="0"/>
        <w:adjustRightInd w:val="0"/>
        <w:spacing w:after="0" w:line="276" w:lineRule="auto"/>
        <w:jc w:val="center"/>
        <w:rPr>
          <w:rFonts w:ascii="Times New Roman" w:hAnsi="Times New Roman" w:cs="Times New Roman"/>
        </w:rPr>
      </w:pPr>
      <w:r w:rsidRPr="00AF7305">
        <w:rPr>
          <w:rFonts w:ascii="Times New Roman" w:hAnsi="Times New Roman" w:cs="Times New Roman"/>
          <w:noProof/>
        </w:rPr>
        <w:drawing>
          <wp:inline distT="0" distB="0" distL="0" distR="0" wp14:anchorId="510A9B25" wp14:editId="5A0737B8">
            <wp:extent cx="5572125" cy="282892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D3EDD9" w14:textId="7E3571E7" w:rsidR="007A0780" w:rsidRPr="00AF7305" w:rsidRDefault="007A0780" w:rsidP="007A0780">
      <w:pPr>
        <w:autoSpaceDE w:val="0"/>
        <w:autoSpaceDN w:val="0"/>
        <w:adjustRightInd w:val="0"/>
        <w:spacing w:after="0" w:line="276" w:lineRule="auto"/>
        <w:jc w:val="both"/>
        <w:rPr>
          <w:rFonts w:ascii="Times New Roman" w:hAnsi="Times New Roman" w:cs="Times New Roman"/>
          <w:b/>
          <w:bCs/>
          <w:color w:val="0000CC"/>
        </w:rPr>
      </w:pPr>
      <w:r w:rsidRPr="00AF7305">
        <w:rPr>
          <w:rFonts w:ascii="Times New Roman" w:hAnsi="Times New Roman" w:cs="Times New Roman"/>
          <w:b/>
          <w:bCs/>
          <w:color w:val="0000CC"/>
        </w:rPr>
        <w:t>Morphological Findings</w:t>
      </w:r>
    </w:p>
    <w:p w14:paraId="1A589917" w14:textId="79A74B4A"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 xml:space="preserve">Placental examination showed that 29.3% of placentae weighed &lt;450gm, while 70.7% weighed between 450–550gm. </w:t>
      </w:r>
      <w:r w:rsidRPr="00AF7305">
        <w:rPr>
          <w:rFonts w:ascii="Times New Roman" w:hAnsi="Times New Roman" w:cs="Times New Roman"/>
          <w:b/>
          <w:bCs/>
        </w:rPr>
        <w:t>Placental thickness</w:t>
      </w:r>
      <w:r w:rsidRPr="00AF7305">
        <w:rPr>
          <w:rFonts w:ascii="Times New Roman" w:hAnsi="Times New Roman" w:cs="Times New Roman"/>
        </w:rPr>
        <w:t xml:space="preserve"> measured &lt;35mm in 17.3% of cases, 35–45mm in 81.3%, and &gt;45mm in 1.3%. </w:t>
      </w:r>
      <w:r w:rsidRPr="00AF7305">
        <w:rPr>
          <w:rFonts w:ascii="Times New Roman" w:hAnsi="Times New Roman" w:cs="Times New Roman"/>
          <w:b/>
          <w:bCs/>
        </w:rPr>
        <w:t>Umbilical cord insertion</w:t>
      </w:r>
      <w:r w:rsidRPr="00AF7305">
        <w:rPr>
          <w:rFonts w:ascii="Times New Roman" w:hAnsi="Times New Roman" w:cs="Times New Roman"/>
        </w:rPr>
        <w:t xml:space="preserve"> was predominantly central (98.7%), with velamentous insertion noted in 1.3%.</w:t>
      </w:r>
      <w:r w:rsidRPr="00AF7305">
        <w:rPr>
          <w:rFonts w:ascii="Times New Roman" w:hAnsi="Times New Roman" w:cs="Times New Roman"/>
          <w:b/>
          <w:bCs/>
        </w:rPr>
        <w:t xml:space="preserve"> </w:t>
      </w:r>
      <w:r w:rsidRPr="00AF7305">
        <w:rPr>
          <w:rFonts w:ascii="Times New Roman" w:hAnsi="Times New Roman" w:cs="Times New Roman"/>
          <w:b/>
          <w:bCs/>
        </w:rPr>
        <w:lastRenderedPageBreak/>
        <w:t>Calcifications</w:t>
      </w:r>
      <w:r w:rsidRPr="00AF7305">
        <w:rPr>
          <w:rFonts w:ascii="Times New Roman" w:hAnsi="Times New Roman" w:cs="Times New Roman"/>
        </w:rPr>
        <w:t xml:space="preserve"> were present in 53.3% of placentae, and </w:t>
      </w:r>
      <w:r w:rsidRPr="00AF7305">
        <w:rPr>
          <w:rFonts w:ascii="Times New Roman" w:hAnsi="Times New Roman" w:cs="Times New Roman"/>
          <w:b/>
          <w:bCs/>
        </w:rPr>
        <w:t>hemorrhages</w:t>
      </w:r>
      <w:r w:rsidRPr="00AF7305">
        <w:rPr>
          <w:rFonts w:ascii="Times New Roman" w:hAnsi="Times New Roman" w:cs="Times New Roman"/>
        </w:rPr>
        <w:t xml:space="preserve"> were identified in 20%. </w:t>
      </w:r>
      <w:proofErr w:type="spellStart"/>
      <w:r w:rsidRPr="00AF7305">
        <w:rPr>
          <w:rFonts w:ascii="Times New Roman" w:hAnsi="Times New Roman" w:cs="Times New Roman"/>
        </w:rPr>
        <w:t>Chorioamniotic</w:t>
      </w:r>
      <w:proofErr w:type="spellEnd"/>
      <w:r w:rsidRPr="00AF7305">
        <w:rPr>
          <w:rFonts w:ascii="Times New Roman" w:hAnsi="Times New Roman" w:cs="Times New Roman"/>
        </w:rPr>
        <w:t xml:space="preserve"> membrane changes were observed in 18.7% of cases. With respect to cord morphology, 89.3% were normal, while true knots were present in 8% and hyper-coiling in 2.7%.</w:t>
      </w:r>
    </w:p>
    <w:p w14:paraId="53F5D97A" w14:textId="77777777" w:rsidR="007A0780" w:rsidRPr="00AF7305" w:rsidRDefault="007A0780" w:rsidP="007A0780">
      <w:pPr>
        <w:autoSpaceDE w:val="0"/>
        <w:autoSpaceDN w:val="0"/>
        <w:adjustRightInd w:val="0"/>
        <w:spacing w:after="0" w:line="276" w:lineRule="auto"/>
        <w:jc w:val="both"/>
        <w:rPr>
          <w:rFonts w:ascii="Times New Roman" w:hAnsi="Times New Roman" w:cs="Times New Roman"/>
        </w:rPr>
      </w:pPr>
    </w:p>
    <w:p w14:paraId="19A4FA29" w14:textId="4A6BC7E4" w:rsidR="007A0780" w:rsidRPr="00AF7305" w:rsidRDefault="007A0780" w:rsidP="007A0780">
      <w:pPr>
        <w:autoSpaceDE w:val="0"/>
        <w:autoSpaceDN w:val="0"/>
        <w:adjustRightInd w:val="0"/>
        <w:spacing w:after="0" w:line="276" w:lineRule="auto"/>
        <w:jc w:val="both"/>
        <w:rPr>
          <w:rFonts w:ascii="Times New Roman" w:hAnsi="Times New Roman" w:cs="Times New Roman"/>
          <w:b/>
          <w:bCs/>
          <w:color w:val="0000CC"/>
        </w:rPr>
      </w:pPr>
      <w:r w:rsidRPr="00AF7305">
        <w:rPr>
          <w:rFonts w:ascii="Times New Roman" w:hAnsi="Times New Roman" w:cs="Times New Roman"/>
          <w:b/>
          <w:bCs/>
          <w:color w:val="0000CC"/>
        </w:rPr>
        <w:t>Histopathological Findings</w:t>
      </w:r>
    </w:p>
    <w:p w14:paraId="691DAC64" w14:textId="77777777" w:rsidR="007A0780" w:rsidRPr="00AF7305" w:rsidRDefault="007A0780" w:rsidP="007A0780">
      <w:pPr>
        <w:autoSpaceDE w:val="0"/>
        <w:autoSpaceDN w:val="0"/>
        <w:adjustRightInd w:val="0"/>
        <w:spacing w:after="0" w:line="276" w:lineRule="auto"/>
        <w:jc w:val="both"/>
        <w:rPr>
          <w:rFonts w:ascii="Times New Roman" w:hAnsi="Times New Roman" w:cs="Times New Roman"/>
        </w:rPr>
      </w:pPr>
      <w:r w:rsidRPr="00AF7305">
        <w:rPr>
          <w:rFonts w:ascii="Times New Roman" w:hAnsi="Times New Roman" w:cs="Times New Roman"/>
        </w:rPr>
        <w:t xml:space="preserve">Histological examination of the placentae revealed </w:t>
      </w:r>
      <w:proofErr w:type="spellStart"/>
      <w:r w:rsidRPr="00AF7305">
        <w:rPr>
          <w:rFonts w:ascii="Times New Roman" w:hAnsi="Times New Roman" w:cs="Times New Roman"/>
          <w:b/>
          <w:bCs/>
        </w:rPr>
        <w:t>perivillous</w:t>
      </w:r>
      <w:proofErr w:type="spellEnd"/>
      <w:r w:rsidRPr="00AF7305">
        <w:rPr>
          <w:rFonts w:ascii="Times New Roman" w:hAnsi="Times New Roman" w:cs="Times New Roman"/>
          <w:b/>
          <w:bCs/>
        </w:rPr>
        <w:t xml:space="preserve"> fibrin deposition</w:t>
      </w:r>
      <w:r w:rsidRPr="00AF7305">
        <w:rPr>
          <w:rFonts w:ascii="Times New Roman" w:hAnsi="Times New Roman" w:cs="Times New Roman"/>
        </w:rPr>
        <w:t xml:space="preserve"> in 97.3% of cases. </w:t>
      </w:r>
      <w:r w:rsidRPr="00AF7305">
        <w:rPr>
          <w:rFonts w:ascii="Times New Roman" w:hAnsi="Times New Roman" w:cs="Times New Roman"/>
          <w:b/>
          <w:bCs/>
        </w:rPr>
        <w:t>Stromal fibrosis</w:t>
      </w:r>
      <w:r w:rsidRPr="00AF7305">
        <w:rPr>
          <w:rFonts w:ascii="Times New Roman" w:hAnsi="Times New Roman" w:cs="Times New Roman"/>
        </w:rPr>
        <w:t xml:space="preserve"> was observed in 16%, while </w:t>
      </w:r>
      <w:proofErr w:type="spellStart"/>
      <w:r w:rsidRPr="00AF7305">
        <w:rPr>
          <w:rFonts w:ascii="Times New Roman" w:hAnsi="Times New Roman" w:cs="Times New Roman"/>
          <w:b/>
          <w:bCs/>
        </w:rPr>
        <w:t>cytotrophoblastic</w:t>
      </w:r>
      <w:proofErr w:type="spellEnd"/>
      <w:r w:rsidRPr="00AF7305">
        <w:rPr>
          <w:rFonts w:ascii="Times New Roman" w:hAnsi="Times New Roman" w:cs="Times New Roman"/>
          <w:b/>
          <w:bCs/>
        </w:rPr>
        <w:t xml:space="preserve"> proliferation</w:t>
      </w:r>
      <w:r w:rsidRPr="00AF7305">
        <w:rPr>
          <w:rFonts w:ascii="Times New Roman" w:hAnsi="Times New Roman" w:cs="Times New Roman"/>
        </w:rPr>
        <w:t xml:space="preserve"> was noted in 14.7%. </w:t>
      </w:r>
      <w:r w:rsidRPr="00AF7305">
        <w:rPr>
          <w:rFonts w:ascii="Times New Roman" w:hAnsi="Times New Roman" w:cs="Times New Roman"/>
          <w:b/>
          <w:bCs/>
        </w:rPr>
        <w:t>Villous infarction</w:t>
      </w:r>
      <w:r w:rsidRPr="00AF7305">
        <w:rPr>
          <w:rFonts w:ascii="Times New Roman" w:hAnsi="Times New Roman" w:cs="Times New Roman"/>
        </w:rPr>
        <w:t xml:space="preserve"> was identified in 25.3% of cases, and thickening of the villous trophoblastic basal membrane in 10.7%. </w:t>
      </w:r>
      <w:r w:rsidRPr="00AF7305">
        <w:rPr>
          <w:rFonts w:ascii="Times New Roman" w:hAnsi="Times New Roman" w:cs="Times New Roman"/>
          <w:b/>
          <w:bCs/>
        </w:rPr>
        <w:t>Intervillous thrombi/hematoma</w:t>
      </w:r>
      <w:r w:rsidRPr="00AF7305">
        <w:rPr>
          <w:rFonts w:ascii="Times New Roman" w:hAnsi="Times New Roman" w:cs="Times New Roman"/>
        </w:rPr>
        <w:t xml:space="preserve"> were present in 48% of cases, and </w:t>
      </w:r>
      <w:r w:rsidRPr="00AF7305">
        <w:rPr>
          <w:rFonts w:ascii="Times New Roman" w:hAnsi="Times New Roman" w:cs="Times New Roman"/>
          <w:b/>
          <w:bCs/>
        </w:rPr>
        <w:t>villitis</w:t>
      </w:r>
      <w:r w:rsidRPr="00AF7305">
        <w:rPr>
          <w:rFonts w:ascii="Times New Roman" w:hAnsi="Times New Roman" w:cs="Times New Roman"/>
        </w:rPr>
        <w:t xml:space="preserve"> in 36%. </w:t>
      </w:r>
      <w:r w:rsidRPr="00AF7305">
        <w:rPr>
          <w:rFonts w:ascii="Times New Roman" w:hAnsi="Times New Roman" w:cs="Times New Roman"/>
          <w:b/>
          <w:bCs/>
        </w:rPr>
        <w:t xml:space="preserve">Focal </w:t>
      </w:r>
      <w:proofErr w:type="spellStart"/>
      <w:r w:rsidRPr="00AF7305">
        <w:rPr>
          <w:rFonts w:ascii="Times New Roman" w:hAnsi="Times New Roman" w:cs="Times New Roman"/>
          <w:b/>
          <w:bCs/>
        </w:rPr>
        <w:t>chorioangiosis</w:t>
      </w:r>
      <w:proofErr w:type="spellEnd"/>
      <w:r w:rsidRPr="00AF7305">
        <w:rPr>
          <w:rFonts w:ascii="Times New Roman" w:hAnsi="Times New Roman" w:cs="Times New Roman"/>
        </w:rPr>
        <w:t xml:space="preserve"> was observed in 82.7% of placentae, while </w:t>
      </w:r>
      <w:r w:rsidRPr="00AF7305">
        <w:rPr>
          <w:rFonts w:ascii="Times New Roman" w:hAnsi="Times New Roman" w:cs="Times New Roman"/>
          <w:b/>
          <w:bCs/>
        </w:rPr>
        <w:t>syncytial knots</w:t>
      </w:r>
      <w:r w:rsidRPr="00AF7305">
        <w:rPr>
          <w:rFonts w:ascii="Times New Roman" w:hAnsi="Times New Roman" w:cs="Times New Roman"/>
        </w:rPr>
        <w:t xml:space="preserve"> were present in 90.7%.</w:t>
      </w:r>
    </w:p>
    <w:p w14:paraId="326B6CB1" w14:textId="77777777" w:rsidR="007A0780" w:rsidRPr="00AF7305" w:rsidRDefault="007A0780" w:rsidP="007A0780">
      <w:pPr>
        <w:autoSpaceDE w:val="0"/>
        <w:autoSpaceDN w:val="0"/>
        <w:adjustRightInd w:val="0"/>
        <w:spacing w:after="0" w:line="276" w:lineRule="auto"/>
        <w:jc w:val="center"/>
        <w:rPr>
          <w:rFonts w:ascii="Times New Roman" w:hAnsi="Times New Roman" w:cs="Times New Roman"/>
        </w:rPr>
      </w:pPr>
    </w:p>
    <w:p w14:paraId="5E359F83" w14:textId="77777777" w:rsidR="007A0780" w:rsidRPr="00AF7305" w:rsidRDefault="007A0780" w:rsidP="007A0780">
      <w:pPr>
        <w:spacing w:line="276" w:lineRule="auto"/>
        <w:jc w:val="center"/>
        <w:rPr>
          <w:rFonts w:ascii="Times New Roman" w:hAnsi="Times New Roman" w:cs="Times New Roman"/>
          <w:b/>
          <w:bCs/>
        </w:rPr>
      </w:pPr>
      <w:r w:rsidRPr="00AF7305">
        <w:rPr>
          <w:rFonts w:ascii="Times New Roman" w:hAnsi="Times New Roman" w:cs="Times New Roman"/>
          <w:b/>
          <w:bCs/>
        </w:rPr>
        <w:t>Graph 2: Histopathological Findings in the Study Population</w:t>
      </w:r>
    </w:p>
    <w:p w14:paraId="4A353CEE" w14:textId="77777777" w:rsidR="007A0780" w:rsidRPr="00AF7305" w:rsidRDefault="007A0780" w:rsidP="007A0780">
      <w:pPr>
        <w:spacing w:line="276" w:lineRule="auto"/>
        <w:jc w:val="center"/>
        <w:rPr>
          <w:rFonts w:ascii="Times New Roman" w:hAnsi="Times New Roman" w:cs="Times New Roman"/>
          <w:b/>
          <w:bCs/>
        </w:rPr>
      </w:pPr>
      <w:r w:rsidRPr="00AF7305">
        <w:rPr>
          <w:rFonts w:ascii="Times New Roman" w:hAnsi="Times New Roman" w:cs="Times New Roman"/>
          <w:b/>
          <w:bCs/>
          <w:noProof/>
        </w:rPr>
        <w:drawing>
          <wp:inline distT="0" distB="0" distL="0" distR="0" wp14:anchorId="46CEDC98" wp14:editId="7C44E198">
            <wp:extent cx="6051550" cy="3287395"/>
            <wp:effectExtent l="0" t="0" r="6350" b="825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6F5637" w14:textId="77777777" w:rsidR="007A0780" w:rsidRPr="00AF7305" w:rsidRDefault="007A0780" w:rsidP="007A0780">
      <w:pPr>
        <w:spacing w:after="0" w:line="276" w:lineRule="auto"/>
        <w:rPr>
          <w:rFonts w:ascii="Times New Roman" w:hAnsi="Times New Roman" w:cs="Times New Roman"/>
        </w:rPr>
      </w:pPr>
    </w:p>
    <w:p w14:paraId="054B816F" w14:textId="77777777" w:rsidR="007A0780" w:rsidRPr="007A0780" w:rsidRDefault="007A0780" w:rsidP="007A0780">
      <w:pPr>
        <w:spacing w:after="0" w:line="276" w:lineRule="auto"/>
        <w:rPr>
          <w:rFonts w:ascii="Times New Roman" w:hAnsi="Times New Roman" w:cs="Times New Roman"/>
          <w:b/>
          <w:bCs/>
          <w:color w:val="FF0000"/>
          <w:sz w:val="24"/>
          <w:szCs w:val="24"/>
        </w:rPr>
      </w:pPr>
      <w:r w:rsidRPr="007A0780">
        <w:rPr>
          <w:rFonts w:ascii="Times New Roman" w:hAnsi="Times New Roman" w:cs="Times New Roman"/>
          <w:b/>
          <w:bCs/>
          <w:color w:val="FF0000"/>
          <w:sz w:val="24"/>
          <w:szCs w:val="24"/>
        </w:rPr>
        <w:t>DISCUSSION</w:t>
      </w:r>
    </w:p>
    <w:p w14:paraId="3CB11FC5" w14:textId="2D62C7EB"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Intrauterine growth restriction (IUGR), </w:t>
      </w:r>
      <w:r w:rsidRPr="007A0780">
        <w:rPr>
          <w:rFonts w:ascii="Times New Roman" w:hAnsi="Times New Roman" w:cs="Times New Roman"/>
        </w:rPr>
        <w:t xml:space="preserve">or fetal growth restriction (FGR), is defined as the inability of a fetus to achieve its expected growth, characterized by an estimated fetal weight or actual birth weight below the 10th percentile for gestational age, accompanied by a pathological restriction of growth [3]. A normally developed and functioning placenta is essential for the growth of a healthy fetus at term. Any abnormality in placental development can compromise fetal growth and well-being, leading to complications ranging from IUGR to intrauterine death [6–7, 10]. IUGR is a frequently encountered diagnosis in obstetric practice and is associated with increased risks of perinatal morbidity and mortality [11,12]. In many cases, no clear </w:t>
      </w:r>
      <w:r w:rsidRPr="00AF7305">
        <w:rPr>
          <w:rFonts w:ascii="Times New Roman" w:hAnsi="Times New Roman" w:cs="Times New Roman"/>
        </w:rPr>
        <w:t xml:space="preserve">maternal or fetal cause is identified; nevertheless, </w:t>
      </w:r>
      <w:r w:rsidRPr="007A0780">
        <w:rPr>
          <w:rFonts w:ascii="Times New Roman" w:hAnsi="Times New Roman" w:cs="Times New Roman"/>
        </w:rPr>
        <w:t xml:space="preserve">affected mothers often present with significantly growth-restricted fetuses. In such situations, the placenta is considered to play a pivotal role, being implicated in the disproportionate reduction of fetal weight observed in IUGR [11,13]. The placenta, a vital organ of perinatal life, is unique in that it can be examined directly without risk to the mother or baby. Yet, despite being one of the most accessible organs </w:t>
      </w:r>
      <w:r w:rsidRPr="007A0780">
        <w:rPr>
          <w:rFonts w:ascii="Times New Roman" w:hAnsi="Times New Roman" w:cs="Times New Roman"/>
        </w:rPr>
        <w:lastRenderedPageBreak/>
        <w:t>for study, it remains one of the least understood [14–16]. Against this background, the present study was undertaken to evaluate the morphological and histopathological changes of the placenta in pregnancies complicated by IUGR.</w:t>
      </w:r>
      <w:r w:rsidRPr="007A0780">
        <w:rPr>
          <w:rFonts w:ascii="Times New Roman" w:hAnsi="Times New Roman" w:cs="Times New Roman"/>
        </w:rPr>
        <w:tab/>
        <w:t xml:space="preserve">In this study, the majority of patients were </w:t>
      </w:r>
      <w:r w:rsidRPr="007A0780">
        <w:rPr>
          <w:rFonts w:ascii="Times New Roman" w:hAnsi="Times New Roman" w:cs="Times New Roman"/>
          <w:b/>
          <w:bCs/>
        </w:rPr>
        <w:t>aged 21–25 years</w:t>
      </w:r>
      <w:r w:rsidRPr="007A0780">
        <w:rPr>
          <w:rFonts w:ascii="Times New Roman" w:hAnsi="Times New Roman" w:cs="Times New Roman"/>
        </w:rPr>
        <w:t xml:space="preserve">, with </w:t>
      </w:r>
      <w:r w:rsidRPr="00AF7305">
        <w:rPr>
          <w:rFonts w:ascii="Times New Roman" w:hAnsi="Times New Roman" w:cs="Times New Roman"/>
        </w:rPr>
        <w:t>most deliveries at term (38–42 weeks). All were live births with favorable outcomes, likely due to good obstetric and NICU care.</w:t>
      </w:r>
    </w:p>
    <w:p w14:paraId="721C94FE" w14:textId="77777777" w:rsidR="007A0780" w:rsidRPr="00AF7305" w:rsidRDefault="007A0780" w:rsidP="007A0780">
      <w:pPr>
        <w:spacing w:after="0" w:line="276" w:lineRule="auto"/>
        <w:jc w:val="both"/>
        <w:rPr>
          <w:rFonts w:ascii="Times New Roman" w:hAnsi="Times New Roman" w:cs="Times New Roman"/>
        </w:rPr>
      </w:pPr>
    </w:p>
    <w:p w14:paraId="4D8CB89A" w14:textId="3472BF66" w:rsidR="007A0780" w:rsidRPr="00BE79EB" w:rsidRDefault="007A0780" w:rsidP="007A0780">
      <w:pPr>
        <w:spacing w:after="0" w:line="276" w:lineRule="auto"/>
        <w:jc w:val="both"/>
        <w:rPr>
          <w:rFonts w:ascii="Times New Roman" w:hAnsi="Times New Roman" w:cs="Times New Roman"/>
        </w:rPr>
      </w:pPr>
      <w:r w:rsidRPr="00BE79EB">
        <w:rPr>
          <w:rFonts w:ascii="Times New Roman" w:hAnsi="Times New Roman" w:cs="Times New Roman"/>
          <w:b/>
          <w:bCs/>
        </w:rPr>
        <w:t>Birth weight</w:t>
      </w:r>
      <w:r w:rsidRPr="00BE79EB">
        <w:rPr>
          <w:rFonts w:ascii="Times New Roman" w:hAnsi="Times New Roman" w:cs="Times New Roman"/>
        </w:rPr>
        <w:t xml:space="preserve"> was 1.5–2.5 kg in </w:t>
      </w:r>
      <w:r w:rsidRPr="00BE79EB">
        <w:rPr>
          <w:rFonts w:ascii="Times New Roman" w:hAnsi="Times New Roman" w:cs="Times New Roman"/>
          <w:b/>
          <w:bCs/>
        </w:rPr>
        <w:t>62.6%</w:t>
      </w:r>
      <w:r w:rsidRPr="00BE79EB">
        <w:rPr>
          <w:rFonts w:ascii="Times New Roman" w:hAnsi="Times New Roman" w:cs="Times New Roman"/>
        </w:rPr>
        <w:t xml:space="preserve"> cases, comparable to previous studies [17]. APGAR scores were satisfactory in over 90% at 5 minutes. Maternal complications included severe pre-eclampsia (5.3%), GDM (4%), and gestational hypertension (4%). Although gestational hypertension was observed more frequently in IUGR pregnancies compared to normal pregnancies, the difference was not statistically significant. In the study by Sujatha C et al. (19), analysis of 40 IUGR placentae showed that 50% were associated with GHTN, 7.5% each with anemia, polyhydramnios, oligohydramnios, and heart disease, while 20% were attributed to idiopathic causes.</w:t>
      </w:r>
    </w:p>
    <w:p w14:paraId="2A92CE2E" w14:textId="77777777" w:rsidR="007A0780" w:rsidRPr="00BE79EB" w:rsidRDefault="007A0780" w:rsidP="007A0780">
      <w:pPr>
        <w:spacing w:after="0" w:line="276" w:lineRule="auto"/>
        <w:jc w:val="both"/>
        <w:rPr>
          <w:rFonts w:ascii="Times New Roman" w:hAnsi="Times New Roman" w:cs="Times New Roman"/>
        </w:rPr>
      </w:pPr>
      <w:r w:rsidRPr="00BE79EB">
        <w:rPr>
          <w:rFonts w:ascii="Times New Roman" w:hAnsi="Times New Roman" w:cs="Times New Roman"/>
        </w:rPr>
        <w:tab/>
      </w:r>
      <w:r w:rsidRPr="00BE79EB">
        <w:rPr>
          <w:rFonts w:ascii="Times New Roman" w:hAnsi="Times New Roman" w:cs="Times New Roman"/>
        </w:rPr>
        <w:tab/>
      </w:r>
    </w:p>
    <w:p w14:paraId="5CFC7335" w14:textId="4E38F8BC"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b/>
          <w:bCs/>
        </w:rPr>
        <w:t>Placental weight</w:t>
      </w:r>
      <w:r w:rsidRPr="00AF7305">
        <w:rPr>
          <w:rFonts w:ascii="Times New Roman" w:hAnsi="Times New Roman" w:cs="Times New Roman"/>
        </w:rPr>
        <w:t xml:space="preserve"> was 450–550 g in 70.7% cases, aligning with earlier reports</w:t>
      </w:r>
      <w:r>
        <w:rPr>
          <w:rFonts w:ascii="Times New Roman" w:hAnsi="Times New Roman" w:cs="Times New Roman"/>
        </w:rPr>
        <w:t xml:space="preserve"> </w:t>
      </w:r>
      <w:r w:rsidRPr="00BE79EB">
        <w:rPr>
          <w:rFonts w:ascii="Times New Roman" w:hAnsi="Times New Roman" w:cs="Times New Roman"/>
        </w:rPr>
        <w:t xml:space="preserve">[6, 20]. </w:t>
      </w:r>
      <w:r w:rsidRPr="00AF7305">
        <w:rPr>
          <w:rFonts w:ascii="Times New Roman" w:hAnsi="Times New Roman" w:cs="Times New Roman"/>
        </w:rPr>
        <w:t>In the study, placental weight estimated by ultrasound based on gestational age was compared with the actual placental weight, revealing a difference of about 70–80gm. It was also observed that placental weight corresponds to approximately one-fifth of the fetal weight.</w:t>
      </w:r>
      <w:r w:rsidR="00BE79EB">
        <w:rPr>
          <w:rFonts w:ascii="Times New Roman" w:hAnsi="Times New Roman" w:cs="Times New Roman"/>
        </w:rPr>
        <w:t xml:space="preserve"> </w:t>
      </w:r>
      <w:r w:rsidRPr="00AF7305">
        <w:rPr>
          <w:rFonts w:ascii="Times New Roman" w:hAnsi="Times New Roman" w:cs="Times New Roman"/>
        </w:rPr>
        <w:t>Placental disc thickness is an indirect measure of the extent of development of the nutrient exchange surface of the placenta essential to its successful support of fetal growth. Any abnormal change in the thickness either thin or thick placentae have been correlated to adverse pregnancy outcome</w:t>
      </w:r>
      <w:r>
        <w:rPr>
          <w:rFonts w:ascii="Times New Roman" w:hAnsi="Times New Roman" w:cs="Times New Roman"/>
        </w:rPr>
        <w:t xml:space="preserve"> </w:t>
      </w:r>
      <w:r w:rsidRPr="00BE79EB">
        <w:rPr>
          <w:rFonts w:ascii="Times New Roman" w:hAnsi="Times New Roman" w:cs="Times New Roman"/>
        </w:rPr>
        <w:t>[8, 9, 14]</w:t>
      </w:r>
      <w:r w:rsidRPr="00BE79EB">
        <w:rPr>
          <w:rFonts w:ascii="Times New Roman" w:hAnsi="Times New Roman" w:cs="Times New Roman"/>
          <w:vertAlign w:val="superscript"/>
        </w:rPr>
        <w:t>.</w:t>
      </w:r>
      <w:r w:rsidRPr="00BE79EB">
        <w:rPr>
          <w:rFonts w:ascii="Times New Roman" w:hAnsi="Times New Roman" w:cs="Times New Roman"/>
        </w:rPr>
        <w:t xml:space="preserve"> </w:t>
      </w:r>
      <w:r w:rsidRPr="00AF7305">
        <w:rPr>
          <w:rFonts w:ascii="Times New Roman" w:hAnsi="Times New Roman" w:cs="Times New Roman"/>
        </w:rPr>
        <w:t>Sawant LD et al</w:t>
      </w:r>
      <w:r w:rsidRPr="00AF7305">
        <w:rPr>
          <w:rFonts w:ascii="Times New Roman" w:hAnsi="Times New Roman" w:cs="Times New Roman"/>
          <w:color w:val="0070C0"/>
        </w:rPr>
        <w:t xml:space="preserve">. </w:t>
      </w:r>
      <w:r w:rsidRPr="00BE79EB">
        <w:rPr>
          <w:rFonts w:ascii="Times New Roman" w:hAnsi="Times New Roman" w:cs="Times New Roman"/>
        </w:rPr>
        <w:t xml:space="preserve">[11] </w:t>
      </w:r>
      <w:r w:rsidRPr="00AF7305">
        <w:rPr>
          <w:rFonts w:ascii="Times New Roman" w:hAnsi="Times New Roman" w:cs="Times New Roman"/>
        </w:rPr>
        <w:t>reported that placental thickness is reduced in IUGR compared to normal fetuses.</w:t>
      </w:r>
      <w:r w:rsidR="00BE79EB">
        <w:rPr>
          <w:rFonts w:ascii="Times New Roman" w:hAnsi="Times New Roman" w:cs="Times New Roman"/>
        </w:rPr>
        <w:t xml:space="preserve"> </w:t>
      </w:r>
      <w:r w:rsidRPr="00AF7305">
        <w:rPr>
          <w:rFonts w:ascii="Times New Roman" w:hAnsi="Times New Roman" w:cs="Times New Roman"/>
          <w:b/>
          <w:bCs/>
        </w:rPr>
        <w:t>Placental thickness</w:t>
      </w:r>
      <w:r w:rsidR="00BE79EB">
        <w:rPr>
          <w:rFonts w:ascii="Times New Roman" w:hAnsi="Times New Roman" w:cs="Times New Roman"/>
          <w:b/>
          <w:bCs/>
        </w:rPr>
        <w:t xml:space="preserve"> </w:t>
      </w:r>
      <w:r w:rsidRPr="00AF7305">
        <w:rPr>
          <w:rFonts w:ascii="Times New Roman" w:hAnsi="Times New Roman" w:cs="Times New Roman"/>
        </w:rPr>
        <w:t xml:space="preserve">in this study was mostly 35–45 mm (81.3%), and </w:t>
      </w:r>
      <w:r w:rsidRPr="00AF7305">
        <w:rPr>
          <w:rFonts w:ascii="Times New Roman" w:hAnsi="Times New Roman" w:cs="Times New Roman"/>
          <w:b/>
          <w:bCs/>
        </w:rPr>
        <w:t>umbilical cord insertion</w:t>
      </w:r>
      <w:r w:rsidRPr="00AF7305">
        <w:rPr>
          <w:rFonts w:ascii="Times New Roman" w:hAnsi="Times New Roman" w:cs="Times New Roman"/>
        </w:rPr>
        <w:t xml:space="preserve"> was predominantly central (98.7%) like in</w:t>
      </w:r>
      <w:r>
        <w:rPr>
          <w:rFonts w:ascii="Times New Roman" w:hAnsi="Times New Roman" w:cs="Times New Roman"/>
        </w:rPr>
        <w:t xml:space="preserve"> </w:t>
      </w:r>
      <w:r w:rsidRPr="00AF7305">
        <w:rPr>
          <w:rFonts w:ascii="Times New Roman" w:hAnsi="Times New Roman" w:cs="Times New Roman"/>
        </w:rPr>
        <w:t>Sawant LD et al</w:t>
      </w:r>
      <w:r w:rsidRPr="00BE79EB">
        <w:rPr>
          <w:rFonts w:ascii="Times New Roman" w:hAnsi="Times New Roman" w:cs="Times New Roman"/>
        </w:rPr>
        <w:t>., [11].</w:t>
      </w:r>
      <w:r w:rsidR="00BE79EB" w:rsidRPr="00BE79EB">
        <w:rPr>
          <w:rFonts w:ascii="Times New Roman" w:hAnsi="Times New Roman" w:cs="Times New Roman"/>
        </w:rPr>
        <w:t xml:space="preserve"> </w:t>
      </w:r>
      <w:r w:rsidRPr="00AF7305">
        <w:rPr>
          <w:rFonts w:ascii="Times New Roman" w:hAnsi="Times New Roman" w:cs="Times New Roman"/>
        </w:rPr>
        <w:t xml:space="preserve">In this study, </w:t>
      </w:r>
      <w:r w:rsidRPr="00AF7305">
        <w:rPr>
          <w:rFonts w:ascii="Times New Roman" w:hAnsi="Times New Roman" w:cs="Times New Roman"/>
          <w:b/>
          <w:bCs/>
        </w:rPr>
        <w:t>placental calcifications</w:t>
      </w:r>
      <w:r w:rsidRPr="00AF7305">
        <w:rPr>
          <w:rFonts w:ascii="Times New Roman" w:hAnsi="Times New Roman" w:cs="Times New Roman"/>
        </w:rPr>
        <w:t xml:space="preserve"> were observed in 53.3% of cases and hemorrhage/infarcts in 20%. Sawant LD et al</w:t>
      </w:r>
      <w:r w:rsidRPr="00BE79EB">
        <w:rPr>
          <w:rFonts w:ascii="Times New Roman" w:hAnsi="Times New Roman" w:cs="Times New Roman"/>
        </w:rPr>
        <w:t>. [11]</w:t>
      </w:r>
      <w:r w:rsidRPr="00AF7305">
        <w:rPr>
          <w:rFonts w:ascii="Times New Roman" w:hAnsi="Times New Roman" w:cs="Times New Roman"/>
        </w:rPr>
        <w:t xml:space="preserve"> also reported higher calcification in IUGR placentae (22%) compared to normal (19%), noting that calcifications in IUGR were denser and more extensive per cotyledon.</w:t>
      </w:r>
    </w:p>
    <w:p w14:paraId="5BDC9071" w14:textId="77777777" w:rsidR="007A0780" w:rsidRPr="00AF7305" w:rsidRDefault="007A0780" w:rsidP="007A0780">
      <w:pPr>
        <w:spacing w:after="0" w:line="276" w:lineRule="auto"/>
        <w:jc w:val="both"/>
        <w:rPr>
          <w:rFonts w:ascii="Times New Roman" w:hAnsi="Times New Roman" w:cs="Times New Roman"/>
        </w:rPr>
      </w:pPr>
    </w:p>
    <w:p w14:paraId="379E373D"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Overall, findings confirm that fetal growth restriction is associated with lower placental weight, reduced thickness, calcifications, and cord abnormalities, consistent with previous studies.</w:t>
      </w:r>
    </w:p>
    <w:p w14:paraId="4BB9E01F" w14:textId="77777777" w:rsidR="007A0780" w:rsidRPr="00AF7305" w:rsidRDefault="007A0780" w:rsidP="007A0780">
      <w:pPr>
        <w:spacing w:after="0" w:line="276" w:lineRule="auto"/>
        <w:jc w:val="both"/>
        <w:rPr>
          <w:rFonts w:ascii="Times New Roman" w:hAnsi="Times New Roman" w:cs="Times New Roman"/>
        </w:rPr>
      </w:pPr>
    </w:p>
    <w:p w14:paraId="4DC0E603" w14:textId="504CF4EF" w:rsidR="000A1253"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In this study, </w:t>
      </w:r>
      <w:r w:rsidRPr="00AF7305">
        <w:rPr>
          <w:rFonts w:ascii="Times New Roman" w:hAnsi="Times New Roman" w:cs="Times New Roman"/>
          <w:b/>
          <w:bCs/>
        </w:rPr>
        <w:t>histopathology</w:t>
      </w:r>
      <w:r w:rsidRPr="00AF7305">
        <w:rPr>
          <w:rFonts w:ascii="Times New Roman" w:hAnsi="Times New Roman" w:cs="Times New Roman"/>
        </w:rPr>
        <w:t xml:space="preserve"> revealed </w:t>
      </w:r>
      <w:r w:rsidRPr="00AF7305">
        <w:rPr>
          <w:rFonts w:ascii="Times New Roman" w:hAnsi="Times New Roman" w:cs="Times New Roman"/>
          <w:b/>
          <w:bCs/>
        </w:rPr>
        <w:t>frequent placental changes</w:t>
      </w:r>
      <w:r w:rsidRPr="00AF7305">
        <w:rPr>
          <w:rFonts w:ascii="Times New Roman" w:hAnsi="Times New Roman" w:cs="Times New Roman"/>
        </w:rPr>
        <w:t xml:space="preserve">: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(97.3%), syncytial knots (90.7%), focal </w:t>
      </w:r>
      <w:proofErr w:type="spellStart"/>
      <w:r w:rsidRPr="00AF7305">
        <w:rPr>
          <w:rFonts w:ascii="Times New Roman" w:hAnsi="Times New Roman" w:cs="Times New Roman"/>
        </w:rPr>
        <w:t>chorangiosis</w:t>
      </w:r>
      <w:proofErr w:type="spellEnd"/>
      <w:r w:rsidRPr="00AF7305">
        <w:rPr>
          <w:rFonts w:ascii="Times New Roman" w:hAnsi="Times New Roman" w:cs="Times New Roman"/>
        </w:rPr>
        <w:t xml:space="preserve"> (82.7%), intervillous thrombi/hematoma (48%), villitis (36%), villous infarction (25.3%), stromal fibrosis (16%), cytotrophoblast proliferation (14.7%), and thickened villous trophoblastic basal membrane (10.7%).</w:t>
      </w:r>
    </w:p>
    <w:p w14:paraId="1DBC6024" w14:textId="77777777" w:rsidR="00FA33FB" w:rsidRDefault="00FA33FB" w:rsidP="007A0780">
      <w:pPr>
        <w:spacing w:after="0" w:line="276" w:lineRule="auto"/>
        <w:jc w:val="both"/>
        <w:rPr>
          <w:rFonts w:ascii="Times New Roman" w:hAnsi="Times New Roman" w:cs="Times New Roman"/>
        </w:rPr>
      </w:pPr>
    </w:p>
    <w:p w14:paraId="5B5CBA2C" w14:textId="335D4F6A"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Other studies have reported similar findings with varying frequencies:</w:t>
      </w:r>
    </w:p>
    <w:p w14:paraId="0F5F1549" w14:textId="77777777"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AF7305">
        <w:rPr>
          <w:rFonts w:ascii="Times New Roman" w:hAnsi="Times New Roman" w:cs="Times New Roman"/>
          <w:b/>
          <w:bCs/>
        </w:rPr>
        <w:t>Gunyeli</w:t>
      </w:r>
      <w:proofErr w:type="spellEnd"/>
      <w:r w:rsidRPr="00AF7305">
        <w:rPr>
          <w:rFonts w:ascii="Times New Roman" w:hAnsi="Times New Roman" w:cs="Times New Roman"/>
          <w:b/>
          <w:bCs/>
        </w:rPr>
        <w:t xml:space="preserve"> L et al</w:t>
      </w:r>
      <w:r w:rsidRPr="00BE79EB">
        <w:rPr>
          <w:rFonts w:ascii="Times New Roman" w:hAnsi="Times New Roman" w:cs="Times New Roman"/>
          <w:b/>
          <w:bCs/>
        </w:rPr>
        <w:t xml:space="preserve">. </w:t>
      </w:r>
      <w:r w:rsidRPr="00BE79EB">
        <w:rPr>
          <w:rFonts w:ascii="Times New Roman" w:hAnsi="Times New Roman" w:cs="Times New Roman"/>
        </w:rPr>
        <w:t xml:space="preserve">[5] </w:t>
      </w:r>
      <w:r w:rsidRPr="00AF7305">
        <w:rPr>
          <w:rFonts w:ascii="Times New Roman" w:hAnsi="Times New Roman" w:cs="Times New Roman"/>
        </w:rPr>
        <w:t xml:space="preserve">– chorionic villitis (69%), intravascular thrombi (31%),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fibrin/fibrinoid necrosis (65%).</w:t>
      </w:r>
    </w:p>
    <w:p w14:paraId="4DC04931" w14:textId="77777777"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AF7305">
        <w:rPr>
          <w:rFonts w:ascii="Times New Roman" w:hAnsi="Times New Roman" w:cs="Times New Roman"/>
          <w:b/>
          <w:bCs/>
        </w:rPr>
        <w:t>Ghomian N et al</w:t>
      </w:r>
      <w:r w:rsidRPr="00BE79EB">
        <w:rPr>
          <w:rFonts w:ascii="Times New Roman" w:hAnsi="Times New Roman" w:cs="Times New Roman"/>
          <w:b/>
          <w:bCs/>
        </w:rPr>
        <w:t xml:space="preserve">. </w:t>
      </w:r>
      <w:r w:rsidRPr="00BE79EB">
        <w:rPr>
          <w:rFonts w:ascii="Times New Roman" w:hAnsi="Times New Roman" w:cs="Times New Roman"/>
        </w:rPr>
        <w:t xml:space="preserve">[6] </w:t>
      </w:r>
      <w:r w:rsidRPr="00AF7305">
        <w:rPr>
          <w:rFonts w:ascii="Times New Roman" w:hAnsi="Times New Roman" w:cs="Times New Roman"/>
        </w:rPr>
        <w:t>– microscopic infarction (52.1%), thrombosis (34.7%), avascular villi (30.4%), ischemia (21.7%), intervillous fibrinoid deposition &gt;10% (43.5%).</w:t>
      </w:r>
    </w:p>
    <w:p w14:paraId="64C4B510" w14:textId="77777777"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AF7305">
        <w:rPr>
          <w:rFonts w:ascii="Times New Roman" w:hAnsi="Times New Roman" w:cs="Times New Roman"/>
          <w:b/>
          <w:bCs/>
        </w:rPr>
        <w:t>Park SY et al</w:t>
      </w:r>
      <w:r w:rsidRPr="00BE79EB">
        <w:rPr>
          <w:rFonts w:ascii="Times New Roman" w:hAnsi="Times New Roman" w:cs="Times New Roman"/>
          <w:b/>
          <w:bCs/>
        </w:rPr>
        <w:t xml:space="preserve">. </w:t>
      </w:r>
      <w:r w:rsidRPr="00BE79EB">
        <w:rPr>
          <w:rFonts w:ascii="Times New Roman" w:hAnsi="Times New Roman" w:cs="Times New Roman"/>
        </w:rPr>
        <w:t xml:space="preserve">[18] </w:t>
      </w:r>
      <w:r w:rsidRPr="00AF7305">
        <w:rPr>
          <w:rFonts w:ascii="Times New Roman" w:hAnsi="Times New Roman" w:cs="Times New Roman"/>
        </w:rPr>
        <w:t xml:space="preserve">– decidual vasculopathy (31.1%), multiple/severe infarcts, villous fibrosis (31.1%), syncytial knots (86.7%),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w:t>
      </w:r>
    </w:p>
    <w:p w14:paraId="696325F7" w14:textId="77777777"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proofErr w:type="spellStart"/>
      <w:r w:rsidRPr="00BE79EB">
        <w:rPr>
          <w:rFonts w:ascii="Times New Roman" w:hAnsi="Times New Roman" w:cs="Times New Roman"/>
          <w:b/>
          <w:bCs/>
        </w:rPr>
        <w:t>Kotgirwar</w:t>
      </w:r>
      <w:proofErr w:type="spellEnd"/>
      <w:r w:rsidRPr="00BE79EB">
        <w:rPr>
          <w:rFonts w:ascii="Times New Roman" w:hAnsi="Times New Roman" w:cs="Times New Roman"/>
          <w:b/>
          <w:bCs/>
        </w:rPr>
        <w:t xml:space="preserve"> S et al. </w:t>
      </w:r>
      <w:r w:rsidRPr="00BE79EB">
        <w:rPr>
          <w:rFonts w:ascii="Times New Roman" w:hAnsi="Times New Roman" w:cs="Times New Roman"/>
        </w:rPr>
        <w:t>[20] – syncytial knots &gt;30% (60%), fibrinoid necrosis &gt;5% (46.7%), calcification (60%).</w:t>
      </w:r>
    </w:p>
    <w:p w14:paraId="1BB457F0" w14:textId="77777777"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lastRenderedPageBreak/>
        <w:t xml:space="preserve">Shrivastava N et al. </w:t>
      </w:r>
      <w:r w:rsidRPr="00BE79EB">
        <w:rPr>
          <w:rFonts w:ascii="Times New Roman" w:hAnsi="Times New Roman" w:cs="Times New Roman"/>
        </w:rPr>
        <w:t>[17] – syncytial knots (84.5%), fibrinoid necrosis (28.5%), hyalinization (50.5%), calcific areas in IUGR (76%).</w:t>
      </w:r>
    </w:p>
    <w:p w14:paraId="709E588B" w14:textId="77777777"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Sawant LD et al. </w:t>
      </w:r>
      <w:r w:rsidRPr="00BE79EB">
        <w:rPr>
          <w:rFonts w:ascii="Times New Roman" w:hAnsi="Times New Roman" w:cs="Times New Roman"/>
        </w:rPr>
        <w:t xml:space="preserve">[11] – nonspecific villitis, loss of vascular bed, ischemia/infarcts, more pronounced with hypertension and </w:t>
      </w:r>
      <w:proofErr w:type="spellStart"/>
      <w:r w:rsidRPr="00BE79EB">
        <w:rPr>
          <w:rFonts w:ascii="Times New Roman" w:hAnsi="Times New Roman" w:cs="Times New Roman"/>
        </w:rPr>
        <w:t>toxaemia</w:t>
      </w:r>
      <w:proofErr w:type="spellEnd"/>
      <w:r w:rsidRPr="00BE79EB">
        <w:rPr>
          <w:rFonts w:ascii="Times New Roman" w:hAnsi="Times New Roman" w:cs="Times New Roman"/>
        </w:rPr>
        <w:t>.</w:t>
      </w:r>
    </w:p>
    <w:p w14:paraId="05B7BBD8" w14:textId="77777777"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Kavita M et al. </w:t>
      </w:r>
      <w:r w:rsidRPr="00BE79EB">
        <w:rPr>
          <w:rFonts w:ascii="Times New Roman" w:hAnsi="Times New Roman" w:cs="Times New Roman"/>
        </w:rPr>
        <w:t xml:space="preserve">[22] – </w:t>
      </w:r>
      <w:proofErr w:type="spellStart"/>
      <w:r w:rsidRPr="00BE79EB">
        <w:rPr>
          <w:rFonts w:ascii="Times New Roman" w:hAnsi="Times New Roman" w:cs="Times New Roman"/>
        </w:rPr>
        <w:t>perivillous</w:t>
      </w:r>
      <w:proofErr w:type="spellEnd"/>
      <w:r w:rsidRPr="00BE79EB">
        <w:rPr>
          <w:rFonts w:ascii="Times New Roman" w:hAnsi="Times New Roman" w:cs="Times New Roman"/>
        </w:rPr>
        <w:t xml:space="preserve"> fibrin (64%), syncytial knots (64%), stromal fibrosis (65%), </w:t>
      </w:r>
      <w:proofErr w:type="spellStart"/>
      <w:r w:rsidRPr="00BE79EB">
        <w:rPr>
          <w:rFonts w:ascii="Times New Roman" w:hAnsi="Times New Roman" w:cs="Times New Roman"/>
        </w:rPr>
        <w:t>cytotrophoblastic</w:t>
      </w:r>
      <w:proofErr w:type="spellEnd"/>
      <w:r w:rsidRPr="00BE79EB">
        <w:rPr>
          <w:rFonts w:ascii="Times New Roman" w:hAnsi="Times New Roman" w:cs="Times New Roman"/>
        </w:rPr>
        <w:t xml:space="preserve"> hyperplasia (44%), basement membrane thickening (40%), </w:t>
      </w:r>
      <w:proofErr w:type="spellStart"/>
      <w:r w:rsidRPr="00BE79EB">
        <w:rPr>
          <w:rFonts w:ascii="Times New Roman" w:hAnsi="Times New Roman" w:cs="Times New Roman"/>
        </w:rPr>
        <w:t>hypovascular</w:t>
      </w:r>
      <w:proofErr w:type="spellEnd"/>
      <w:r w:rsidRPr="00BE79EB">
        <w:rPr>
          <w:rFonts w:ascii="Times New Roman" w:hAnsi="Times New Roman" w:cs="Times New Roman"/>
        </w:rPr>
        <w:t xml:space="preserve"> villi (32%), infarction (28%).</w:t>
      </w:r>
    </w:p>
    <w:p w14:paraId="74ADFDF2" w14:textId="77777777" w:rsidR="007A0780" w:rsidRPr="00BE79EB"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Khajuria R et al. </w:t>
      </w:r>
      <w:r w:rsidRPr="00BE79EB">
        <w:rPr>
          <w:rFonts w:ascii="Times New Roman" w:hAnsi="Times New Roman" w:cs="Times New Roman"/>
        </w:rPr>
        <w:t>[21] – infarction, intervillous thrombosis, villitis, fibrinoid necrosis, villous edema.</w:t>
      </w:r>
    </w:p>
    <w:p w14:paraId="51F41AC2" w14:textId="77777777" w:rsidR="007A0780" w:rsidRPr="00AF7305" w:rsidRDefault="007A0780" w:rsidP="00FA33FB">
      <w:pPr>
        <w:numPr>
          <w:ilvl w:val="0"/>
          <w:numId w:val="2"/>
        </w:numPr>
        <w:tabs>
          <w:tab w:val="clear" w:pos="720"/>
        </w:tabs>
        <w:spacing w:after="0" w:line="276" w:lineRule="auto"/>
        <w:ind w:left="540"/>
        <w:jc w:val="both"/>
        <w:rPr>
          <w:rFonts w:ascii="Times New Roman" w:hAnsi="Times New Roman" w:cs="Times New Roman"/>
        </w:rPr>
      </w:pPr>
      <w:r w:rsidRPr="00BE79EB">
        <w:rPr>
          <w:rFonts w:ascii="Times New Roman" w:hAnsi="Times New Roman" w:cs="Times New Roman"/>
          <w:b/>
          <w:bCs/>
        </w:rPr>
        <w:t xml:space="preserve">Sujatha C et al. </w:t>
      </w:r>
      <w:r w:rsidRPr="00BE79EB">
        <w:rPr>
          <w:rFonts w:ascii="Times New Roman" w:hAnsi="Times New Roman" w:cs="Times New Roman"/>
        </w:rPr>
        <w:t xml:space="preserve">[19] – </w:t>
      </w:r>
      <w:proofErr w:type="spellStart"/>
      <w:r w:rsidRPr="00BE79EB">
        <w:rPr>
          <w:rFonts w:ascii="Times New Roman" w:hAnsi="Times New Roman" w:cs="Times New Roman"/>
        </w:rPr>
        <w:t>cytotrophoblastic</w:t>
      </w:r>
      <w:proofErr w:type="spellEnd"/>
      <w:r w:rsidRPr="00BE79EB">
        <w:rPr>
          <w:rFonts w:ascii="Times New Roman" w:hAnsi="Times New Roman" w:cs="Times New Roman"/>
        </w:rPr>
        <w:t xml:space="preserve"> </w:t>
      </w:r>
      <w:r w:rsidRPr="00AF7305">
        <w:rPr>
          <w:rFonts w:ascii="Times New Roman" w:hAnsi="Times New Roman" w:cs="Times New Roman"/>
        </w:rPr>
        <w:t xml:space="preserve">hyperplasia, abnormal villous vascularity, basement membrane thickening, fetal stem </w:t>
      </w:r>
      <w:proofErr w:type="spellStart"/>
      <w:r w:rsidRPr="00AF7305">
        <w:rPr>
          <w:rFonts w:ascii="Times New Roman" w:hAnsi="Times New Roman" w:cs="Times New Roman"/>
        </w:rPr>
        <w:t>atherosis</w:t>
      </w:r>
      <w:proofErr w:type="spellEnd"/>
      <w:r w:rsidRPr="00AF7305">
        <w:rPr>
          <w:rFonts w:ascii="Times New Roman" w:hAnsi="Times New Roman" w:cs="Times New Roman"/>
        </w:rPr>
        <w:t>, fibrinoid necrosis, syncytial knots, calcification.</w:t>
      </w:r>
    </w:p>
    <w:p w14:paraId="29DF87F6"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 xml:space="preserve">Overall, these findings consistently demonstrate that IUGR placentae show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syncytial knotting, villitis, infarction, fibrosis, and vascular abnormalities, reflecting placental ischemia and impaired function.</w:t>
      </w:r>
    </w:p>
    <w:p w14:paraId="7F6F9F49" w14:textId="77777777" w:rsidR="007A0780" w:rsidRPr="00AF7305" w:rsidRDefault="007A0780" w:rsidP="007A0780">
      <w:pPr>
        <w:spacing w:after="0" w:line="276" w:lineRule="auto"/>
        <w:jc w:val="both"/>
        <w:rPr>
          <w:rFonts w:ascii="Times New Roman" w:hAnsi="Times New Roman" w:cs="Times New Roman"/>
        </w:rPr>
      </w:pPr>
      <w:r w:rsidRPr="00AF7305">
        <w:rPr>
          <w:rFonts w:ascii="Times New Roman" w:hAnsi="Times New Roman" w:cs="Times New Roman"/>
        </w:rPr>
        <w:tab/>
      </w:r>
    </w:p>
    <w:p w14:paraId="783EB930" w14:textId="77777777" w:rsidR="007A0780" w:rsidRPr="00AF7305" w:rsidRDefault="007A0780" w:rsidP="00BE79EB">
      <w:pPr>
        <w:spacing w:after="0" w:line="276" w:lineRule="auto"/>
        <w:jc w:val="both"/>
        <w:rPr>
          <w:rFonts w:ascii="Times New Roman" w:hAnsi="Times New Roman" w:cs="Times New Roman"/>
          <w:b/>
          <w:bCs/>
        </w:rPr>
      </w:pPr>
      <w:r w:rsidRPr="00AF7305">
        <w:rPr>
          <w:rFonts w:ascii="Times New Roman" w:hAnsi="Times New Roman" w:cs="Times New Roman"/>
          <w:b/>
          <w:bCs/>
        </w:rPr>
        <w:t>CONCLUSION</w:t>
      </w:r>
    </w:p>
    <w:p w14:paraId="6A1004E2" w14:textId="27CAC391" w:rsidR="007A0780" w:rsidRDefault="007A0780" w:rsidP="00BE79EB">
      <w:pPr>
        <w:spacing w:after="0" w:line="276" w:lineRule="auto"/>
        <w:jc w:val="both"/>
        <w:rPr>
          <w:rFonts w:ascii="Times New Roman" w:hAnsi="Times New Roman" w:cs="Times New Roman"/>
        </w:rPr>
      </w:pPr>
      <w:r w:rsidRPr="00AF7305">
        <w:rPr>
          <w:rFonts w:ascii="Times New Roman" w:hAnsi="Times New Roman" w:cs="Times New Roman"/>
        </w:rPr>
        <w:t xml:space="preserve">Fetal growth restriction (FGR) affects about 5–15% of pregnancies in the United States and Europe, while in developing countries the incidence ranges from 10–55%. Examination of placental morphology and histopathology provides valuable insight into maternal and fetal health, as this study highlights that FGR can occur even in the absence of obvious risk factors. Significant reductions in fetoplacental weight and placental dimensions underscore the central role of placental pathology in idiopathic FGR. Overall, the histopathology findings indicate that IUGR placentae are characterized by increased </w:t>
      </w:r>
      <w:proofErr w:type="spellStart"/>
      <w:r w:rsidRPr="00AF7305">
        <w:rPr>
          <w:rFonts w:ascii="Times New Roman" w:hAnsi="Times New Roman" w:cs="Times New Roman"/>
        </w:rPr>
        <w:t>perivillous</w:t>
      </w:r>
      <w:proofErr w:type="spellEnd"/>
      <w:r w:rsidRPr="00AF7305">
        <w:rPr>
          <w:rFonts w:ascii="Times New Roman" w:hAnsi="Times New Roman" w:cs="Times New Roman"/>
        </w:rPr>
        <w:t xml:space="preserve"> fibrin deposition, prominent syncytial knotting, villitis, infarction, fibrosis, and vascular abnormalities—changes that collectively reflect placental ischemia and impaired function.</w:t>
      </w:r>
      <w:r w:rsidR="00A63A03">
        <w:rPr>
          <w:rFonts w:ascii="Times New Roman" w:hAnsi="Times New Roman" w:cs="Times New Roman"/>
        </w:rPr>
        <w:t xml:space="preserve"> </w:t>
      </w:r>
      <w:r w:rsidRPr="00AF7305">
        <w:rPr>
          <w:rFonts w:ascii="Times New Roman" w:hAnsi="Times New Roman" w:cs="Times New Roman"/>
        </w:rPr>
        <w:t>Comprehensive evaluation of fetal growth should therefore include fetal biometry, amniotic fluid assessment, heart rate monitoring, Doppler studies of arterial and venous flow, and biophysical profiling, which together provide the most reliable assessment of fetal well-being in IUGR.</w:t>
      </w:r>
    </w:p>
    <w:p w14:paraId="5FD8BC0E" w14:textId="77777777" w:rsidR="00766900" w:rsidRDefault="00766900" w:rsidP="00BE79EB">
      <w:pPr>
        <w:spacing w:after="0" w:line="276" w:lineRule="auto"/>
        <w:jc w:val="both"/>
        <w:rPr>
          <w:rFonts w:ascii="Times New Roman" w:hAnsi="Times New Roman" w:cs="Times New Roman"/>
        </w:rPr>
      </w:pPr>
    </w:p>
    <w:p w14:paraId="352047E1" w14:textId="0BFC5843" w:rsidR="00766900" w:rsidRPr="00766900" w:rsidRDefault="00766900" w:rsidP="00766900">
      <w:pPr>
        <w:spacing w:after="0" w:line="276" w:lineRule="auto"/>
        <w:jc w:val="both"/>
        <w:rPr>
          <w:rFonts w:ascii="Times New Roman" w:hAnsi="Times New Roman" w:cs="Times New Roman"/>
          <w:b/>
          <w:bCs/>
        </w:rPr>
      </w:pPr>
      <w:r>
        <w:rPr>
          <w:rFonts w:ascii="Times New Roman" w:hAnsi="Times New Roman" w:cs="Times New Roman"/>
          <w:b/>
          <w:bCs/>
        </w:rPr>
        <w:t xml:space="preserve">Ethical </w:t>
      </w:r>
      <w:proofErr w:type="gramStart"/>
      <w:r>
        <w:rPr>
          <w:rFonts w:ascii="Times New Roman" w:hAnsi="Times New Roman" w:cs="Times New Roman"/>
          <w:b/>
          <w:bCs/>
        </w:rPr>
        <w:t xml:space="preserve">Clearance </w:t>
      </w:r>
      <w:r w:rsidR="00CA3C04">
        <w:rPr>
          <w:rFonts w:ascii="Times New Roman" w:hAnsi="Times New Roman" w:cs="Times New Roman"/>
          <w:b/>
          <w:bCs/>
        </w:rPr>
        <w:t>:</w:t>
      </w:r>
      <w:bookmarkStart w:id="0" w:name="_GoBack"/>
      <w:bookmarkEnd w:id="0"/>
      <w:proofErr w:type="gramEnd"/>
    </w:p>
    <w:p w14:paraId="7DB10731" w14:textId="033440AD" w:rsidR="00766900" w:rsidRDefault="00766900" w:rsidP="00766900">
      <w:pPr>
        <w:spacing w:after="0" w:line="276" w:lineRule="auto"/>
        <w:jc w:val="both"/>
        <w:rPr>
          <w:rFonts w:ascii="Times New Roman" w:hAnsi="Times New Roman" w:cs="Times New Roman"/>
        </w:rPr>
      </w:pPr>
      <w:r w:rsidRPr="00766900">
        <w:rPr>
          <w:rFonts w:ascii="Times New Roman" w:hAnsi="Times New Roman" w:cs="Times New Roman"/>
        </w:rPr>
        <w:t>Ethical clearance for the study was obtained from the Institutional Ethics Committee.</w:t>
      </w:r>
    </w:p>
    <w:p w14:paraId="03984B90" w14:textId="77777777" w:rsidR="007A0780" w:rsidRPr="00AF7305" w:rsidRDefault="007A0780" w:rsidP="007A0780">
      <w:pPr>
        <w:spacing w:after="0" w:line="276" w:lineRule="auto"/>
        <w:jc w:val="both"/>
        <w:rPr>
          <w:rFonts w:ascii="Times New Roman" w:hAnsi="Times New Roman" w:cs="Times New Roman"/>
        </w:rPr>
      </w:pPr>
    </w:p>
    <w:p w14:paraId="049797A7" w14:textId="77777777" w:rsidR="007A0780" w:rsidRPr="00AF7305" w:rsidRDefault="007A0780" w:rsidP="007A0780">
      <w:pPr>
        <w:spacing w:after="0" w:line="276" w:lineRule="auto"/>
        <w:jc w:val="both"/>
        <w:rPr>
          <w:rFonts w:ascii="Times New Roman" w:hAnsi="Times New Roman" w:cs="Times New Roman"/>
          <w:b/>
          <w:bCs/>
        </w:rPr>
      </w:pPr>
      <w:r w:rsidRPr="00AF7305">
        <w:rPr>
          <w:rFonts w:ascii="Times New Roman" w:hAnsi="Times New Roman" w:cs="Times New Roman"/>
          <w:b/>
          <w:bCs/>
        </w:rPr>
        <w:t>REFERENCES</w:t>
      </w:r>
    </w:p>
    <w:p w14:paraId="46A187F5" w14:textId="77777777" w:rsidR="007A0780" w:rsidRPr="00AF7305" w:rsidRDefault="007A0780" w:rsidP="007A0780">
      <w:pPr>
        <w:numPr>
          <w:ilvl w:val="0"/>
          <w:numId w:val="1"/>
        </w:numPr>
        <w:spacing w:after="0" w:line="276" w:lineRule="auto"/>
        <w:jc w:val="both"/>
        <w:rPr>
          <w:rFonts w:ascii="Times New Roman" w:hAnsi="Times New Roman" w:cs="Times New Roman"/>
          <w:b/>
          <w:bCs/>
        </w:rPr>
      </w:pPr>
      <w:r w:rsidRPr="00AF7305">
        <w:rPr>
          <w:rFonts w:ascii="Times New Roman" w:hAnsi="Times New Roman" w:cs="Times New Roman"/>
        </w:rPr>
        <w:t>Monk D, Moore GE. Intrauterine growth restriction--genetic causes and consequences. Semin Fetal Neonatal Med. 2004 Oct;</w:t>
      </w:r>
      <w:r>
        <w:rPr>
          <w:rFonts w:ascii="Times New Roman" w:hAnsi="Times New Roman" w:cs="Times New Roman"/>
        </w:rPr>
        <w:t xml:space="preserve"> </w:t>
      </w:r>
      <w:r w:rsidRPr="00AF7305">
        <w:rPr>
          <w:rFonts w:ascii="Times New Roman" w:hAnsi="Times New Roman" w:cs="Times New Roman"/>
        </w:rPr>
        <w:t xml:space="preserve">9(5):371-8. </w:t>
      </w:r>
      <w:proofErr w:type="spellStart"/>
      <w:r w:rsidRPr="00AF7305">
        <w:rPr>
          <w:rFonts w:ascii="Times New Roman" w:hAnsi="Times New Roman" w:cs="Times New Roman"/>
        </w:rPr>
        <w:t>doi</w:t>
      </w:r>
      <w:proofErr w:type="spellEnd"/>
      <w:r w:rsidRPr="00AF7305">
        <w:rPr>
          <w:rFonts w:ascii="Times New Roman" w:hAnsi="Times New Roman" w:cs="Times New Roman"/>
        </w:rPr>
        <w:t>: 10.1016/j.siny.2004.03.002. PMID: 15691772.</w:t>
      </w:r>
    </w:p>
    <w:p w14:paraId="3DE994E0"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Wollmann HA. Intrauterine growth restriction: definition and etiology. Horm Res. 1998;</w:t>
      </w:r>
      <w:r>
        <w:rPr>
          <w:rFonts w:ascii="Times New Roman" w:hAnsi="Times New Roman" w:cs="Times New Roman"/>
        </w:rPr>
        <w:t xml:space="preserve"> </w:t>
      </w:r>
      <w:r w:rsidRPr="00AF7305">
        <w:rPr>
          <w:rFonts w:ascii="Times New Roman" w:hAnsi="Times New Roman" w:cs="Times New Roman"/>
        </w:rPr>
        <w:t xml:space="preserve">49 Suppl 2:1-6. </w:t>
      </w:r>
      <w:proofErr w:type="spellStart"/>
      <w:r w:rsidRPr="00AF7305">
        <w:rPr>
          <w:rFonts w:ascii="Times New Roman" w:hAnsi="Times New Roman" w:cs="Times New Roman"/>
        </w:rPr>
        <w:t>doi</w:t>
      </w:r>
      <w:proofErr w:type="spellEnd"/>
      <w:r w:rsidRPr="00AF7305">
        <w:rPr>
          <w:rFonts w:ascii="Times New Roman" w:hAnsi="Times New Roman" w:cs="Times New Roman"/>
        </w:rPr>
        <w:t>: 10.1159/000053079. PMID: 9730664.</w:t>
      </w:r>
    </w:p>
    <w:p w14:paraId="45012B2B"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Gupta N, Khajuria A. </w:t>
      </w:r>
      <w:proofErr w:type="spellStart"/>
      <w:r w:rsidRPr="00AF7305">
        <w:rPr>
          <w:rFonts w:ascii="Times New Roman" w:hAnsi="Times New Roman" w:cs="Times New Roman"/>
        </w:rPr>
        <w:t>Histomorphological</w:t>
      </w:r>
      <w:proofErr w:type="spellEnd"/>
      <w:r w:rsidRPr="00AF7305">
        <w:rPr>
          <w:rFonts w:ascii="Times New Roman" w:hAnsi="Times New Roman" w:cs="Times New Roman"/>
        </w:rPr>
        <w:t xml:space="preserve"> Features of Placenta in Pregnancy Complicated with Intrauterine Growth Retardation. JK Science. 2016;</w:t>
      </w:r>
      <w:r>
        <w:rPr>
          <w:rFonts w:ascii="Times New Roman" w:hAnsi="Times New Roman" w:cs="Times New Roman"/>
        </w:rPr>
        <w:t xml:space="preserve"> </w:t>
      </w:r>
      <w:r w:rsidRPr="00AF7305">
        <w:rPr>
          <w:rFonts w:ascii="Times New Roman" w:hAnsi="Times New Roman" w:cs="Times New Roman"/>
        </w:rPr>
        <w:t>18(1):21.</w:t>
      </w:r>
    </w:p>
    <w:p w14:paraId="58E1E9A2"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Krishna U, Bhalerao S. Placental insufficiency and fetal growth restriction. J </w:t>
      </w:r>
      <w:proofErr w:type="spellStart"/>
      <w:r w:rsidRPr="00AF7305">
        <w:rPr>
          <w:rFonts w:ascii="Times New Roman" w:hAnsi="Times New Roman" w:cs="Times New Roman"/>
        </w:rPr>
        <w:t>ObstetGynaecol</w:t>
      </w:r>
      <w:proofErr w:type="spellEnd"/>
      <w:r w:rsidRPr="00AF7305">
        <w:rPr>
          <w:rFonts w:ascii="Times New Roman" w:hAnsi="Times New Roman" w:cs="Times New Roman"/>
        </w:rPr>
        <w:t xml:space="preserve"> India. 2011 Oct;</w:t>
      </w:r>
      <w:r>
        <w:rPr>
          <w:rFonts w:ascii="Times New Roman" w:hAnsi="Times New Roman" w:cs="Times New Roman"/>
        </w:rPr>
        <w:t xml:space="preserve"> </w:t>
      </w:r>
      <w:r w:rsidRPr="00AF7305">
        <w:rPr>
          <w:rFonts w:ascii="Times New Roman" w:hAnsi="Times New Roman" w:cs="Times New Roman"/>
        </w:rPr>
        <w:t xml:space="preserve">61(5):505-11. </w:t>
      </w:r>
      <w:proofErr w:type="spellStart"/>
      <w:r w:rsidRPr="00AF7305">
        <w:rPr>
          <w:rFonts w:ascii="Times New Roman" w:hAnsi="Times New Roman" w:cs="Times New Roman"/>
        </w:rPr>
        <w:t>doi</w:t>
      </w:r>
      <w:proofErr w:type="spellEnd"/>
      <w:r w:rsidRPr="00AF7305">
        <w:rPr>
          <w:rFonts w:ascii="Times New Roman" w:hAnsi="Times New Roman" w:cs="Times New Roman"/>
        </w:rPr>
        <w:t xml:space="preserve">: 10.1007/s13224-011-0092-x. </w:t>
      </w:r>
      <w:proofErr w:type="spellStart"/>
      <w:r w:rsidRPr="00AF7305">
        <w:rPr>
          <w:rFonts w:ascii="Times New Roman" w:hAnsi="Times New Roman" w:cs="Times New Roman"/>
        </w:rPr>
        <w:t>Epub</w:t>
      </w:r>
      <w:proofErr w:type="spellEnd"/>
      <w:r w:rsidRPr="00AF7305">
        <w:rPr>
          <w:rFonts w:ascii="Times New Roman" w:hAnsi="Times New Roman" w:cs="Times New Roman"/>
        </w:rPr>
        <w:t xml:space="preserve"> 2011 Nov 17. PMID: 23024517; PMCID: PMC3257343.</w:t>
      </w:r>
    </w:p>
    <w:p w14:paraId="6DCCE3F6"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Günyeli</w:t>
      </w:r>
      <w:proofErr w:type="spellEnd"/>
      <w:r w:rsidRPr="00AF7305">
        <w:rPr>
          <w:rFonts w:ascii="Times New Roman" w:hAnsi="Times New Roman" w:cs="Times New Roman"/>
        </w:rPr>
        <w:t xml:space="preserve"> I, </w:t>
      </w:r>
      <w:proofErr w:type="spellStart"/>
      <w:r w:rsidRPr="00AF7305">
        <w:rPr>
          <w:rFonts w:ascii="Times New Roman" w:hAnsi="Times New Roman" w:cs="Times New Roman"/>
        </w:rPr>
        <w:t>Erdemoğlu</w:t>
      </w:r>
      <w:proofErr w:type="spellEnd"/>
      <w:r w:rsidRPr="00AF7305">
        <w:rPr>
          <w:rFonts w:ascii="Times New Roman" w:hAnsi="Times New Roman" w:cs="Times New Roman"/>
        </w:rPr>
        <w:t xml:space="preserve"> E, </w:t>
      </w:r>
      <w:proofErr w:type="spellStart"/>
      <w:r w:rsidRPr="00AF7305">
        <w:rPr>
          <w:rFonts w:ascii="Times New Roman" w:hAnsi="Times New Roman" w:cs="Times New Roman"/>
        </w:rPr>
        <w:t>Ceylaner</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Zergeroğlu</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Mungan</w:t>
      </w:r>
      <w:proofErr w:type="spellEnd"/>
      <w:r w:rsidRPr="00AF7305">
        <w:rPr>
          <w:rFonts w:ascii="Times New Roman" w:hAnsi="Times New Roman" w:cs="Times New Roman"/>
        </w:rPr>
        <w:t xml:space="preserve"> T. Histopathological analysis of the placental lesions in pregnancies complicated with IUGR and stillbirths in comparison with noncomplicated pregnancies. J Turk Ger </w:t>
      </w:r>
      <w:proofErr w:type="spellStart"/>
      <w:r w:rsidRPr="00AF7305">
        <w:rPr>
          <w:rFonts w:ascii="Times New Roman" w:hAnsi="Times New Roman" w:cs="Times New Roman"/>
        </w:rPr>
        <w:t>Gynecol</w:t>
      </w:r>
      <w:proofErr w:type="spellEnd"/>
      <w:r w:rsidRPr="00AF7305">
        <w:rPr>
          <w:rFonts w:ascii="Times New Roman" w:hAnsi="Times New Roman" w:cs="Times New Roman"/>
        </w:rPr>
        <w:t xml:space="preserve"> Assoc. 2011 Jun 1;</w:t>
      </w:r>
      <w:r>
        <w:rPr>
          <w:rFonts w:ascii="Times New Roman" w:hAnsi="Times New Roman" w:cs="Times New Roman"/>
        </w:rPr>
        <w:t xml:space="preserve"> </w:t>
      </w:r>
      <w:r w:rsidRPr="00AF7305">
        <w:rPr>
          <w:rFonts w:ascii="Times New Roman" w:hAnsi="Times New Roman" w:cs="Times New Roman"/>
        </w:rPr>
        <w:t xml:space="preserve">12(2):75-9. </w:t>
      </w:r>
      <w:proofErr w:type="spellStart"/>
      <w:r w:rsidRPr="00AF7305">
        <w:rPr>
          <w:rFonts w:ascii="Times New Roman" w:hAnsi="Times New Roman" w:cs="Times New Roman"/>
        </w:rPr>
        <w:t>doi</w:t>
      </w:r>
      <w:proofErr w:type="spellEnd"/>
      <w:r w:rsidRPr="00AF7305">
        <w:rPr>
          <w:rFonts w:ascii="Times New Roman" w:hAnsi="Times New Roman" w:cs="Times New Roman"/>
        </w:rPr>
        <w:t>: 10.5152/jtgga.2011.19. PMID: 24591966; PMCID: PMC3939110.</w:t>
      </w:r>
    </w:p>
    <w:p w14:paraId="685234B9"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1" w:name="_Hlk206485553"/>
      <w:proofErr w:type="spellStart"/>
      <w:r w:rsidRPr="00AF7305">
        <w:rPr>
          <w:rFonts w:ascii="Times New Roman" w:hAnsi="Times New Roman" w:cs="Times New Roman"/>
        </w:rPr>
        <w:lastRenderedPageBreak/>
        <w:t>Ghomian</w:t>
      </w:r>
      <w:proofErr w:type="spellEnd"/>
      <w:r w:rsidRPr="00AF7305">
        <w:rPr>
          <w:rFonts w:ascii="Times New Roman" w:hAnsi="Times New Roman" w:cs="Times New Roman"/>
        </w:rPr>
        <w:t xml:space="preserve"> N, </w:t>
      </w:r>
      <w:proofErr w:type="spellStart"/>
      <w:r w:rsidRPr="00AF7305">
        <w:rPr>
          <w:rFonts w:ascii="Times New Roman" w:hAnsi="Times New Roman" w:cs="Times New Roman"/>
        </w:rPr>
        <w:t>Amouian</w:t>
      </w:r>
      <w:proofErr w:type="spellEnd"/>
      <w:r w:rsidRPr="00AF7305">
        <w:rPr>
          <w:rFonts w:ascii="Times New Roman" w:hAnsi="Times New Roman" w:cs="Times New Roman"/>
        </w:rPr>
        <w:t xml:space="preserve"> S, </w:t>
      </w:r>
      <w:proofErr w:type="spellStart"/>
      <w:r w:rsidRPr="00AF7305">
        <w:rPr>
          <w:rFonts w:ascii="Times New Roman" w:hAnsi="Times New Roman" w:cs="Times New Roman"/>
        </w:rPr>
        <w:t>Tavassoli</w:t>
      </w:r>
      <w:proofErr w:type="spellEnd"/>
      <w:r w:rsidRPr="00AF7305">
        <w:rPr>
          <w:rFonts w:ascii="Times New Roman" w:hAnsi="Times New Roman" w:cs="Times New Roman"/>
        </w:rPr>
        <w:t xml:space="preserve"> F, </w:t>
      </w:r>
      <w:proofErr w:type="spellStart"/>
      <w:r w:rsidRPr="00AF7305">
        <w:rPr>
          <w:rFonts w:ascii="Times New Roman" w:hAnsi="Times New Roman" w:cs="Times New Roman"/>
        </w:rPr>
        <w:t>Arbabzadeh</w:t>
      </w:r>
      <w:proofErr w:type="spellEnd"/>
      <w:r w:rsidRPr="00AF7305">
        <w:rPr>
          <w:rFonts w:ascii="Times New Roman" w:hAnsi="Times New Roman" w:cs="Times New Roman"/>
        </w:rPr>
        <w:t xml:space="preserve"> T. Comparison of Placental Morphology and Histopathology of Intra-uterine Growth Restriction and Normal infants. Iranian Journal of Pathology.2014; 9 (1): 9-16.</w:t>
      </w:r>
    </w:p>
    <w:p w14:paraId="34BD8DD3" w14:textId="59755F06" w:rsidR="007A0780" w:rsidRPr="00AF7305" w:rsidRDefault="007A0780" w:rsidP="007A0780">
      <w:pPr>
        <w:numPr>
          <w:ilvl w:val="0"/>
          <w:numId w:val="1"/>
        </w:numPr>
        <w:spacing w:after="0" w:line="276" w:lineRule="auto"/>
        <w:jc w:val="both"/>
        <w:rPr>
          <w:rFonts w:ascii="Times New Roman" w:hAnsi="Times New Roman" w:cs="Times New Roman"/>
        </w:rPr>
      </w:pPr>
      <w:bookmarkStart w:id="2" w:name="_Hlk206485650"/>
      <w:bookmarkEnd w:id="1"/>
      <w:r w:rsidRPr="00AF7305">
        <w:rPr>
          <w:rFonts w:ascii="Times New Roman" w:hAnsi="Times New Roman" w:cs="Times New Roman"/>
          <w:lang w:val="it-IT"/>
        </w:rPr>
        <w:t xml:space="preserve">Rastogi A. Nhp.gov.in. (2018). </w:t>
      </w:r>
      <w:r w:rsidRPr="00AF7305">
        <w:rPr>
          <w:rFonts w:ascii="Times New Roman" w:hAnsi="Times New Roman" w:cs="Times New Roman"/>
        </w:rPr>
        <w:t>Intrauterine growth restriction (IUGR) National Health Portal of India. [Online]</w:t>
      </w:r>
      <w:r w:rsidR="00A63A03">
        <w:rPr>
          <w:rFonts w:ascii="Times New Roman" w:hAnsi="Times New Roman" w:cs="Times New Roman"/>
        </w:rPr>
        <w:t xml:space="preserve"> </w:t>
      </w:r>
      <w:hyperlink r:id="rId9" w:history="1">
        <w:r w:rsidR="002E7758" w:rsidRPr="00F664D5">
          <w:rPr>
            <w:rStyle w:val="Hyperlink"/>
            <w:rFonts w:ascii="Times New Roman" w:hAnsi="Times New Roman" w:cs="Times New Roman"/>
          </w:rPr>
          <w:t>https://www.nhp.gov.in/disease/gynaecology-and-obstetrics/intrauterine-growth-restriction-iugr.</w:t>
        </w:r>
      </w:hyperlink>
    </w:p>
    <w:bookmarkEnd w:id="2"/>
    <w:p w14:paraId="66F6B1B7"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Biswas S, Ghosh SK. Gross morphological changes of placentas associated with intrauterine growth restriction of fetuses: a case control study. Early human development. 2008 Jun 1; 84(6): 357-62</w:t>
      </w:r>
    </w:p>
    <w:p w14:paraId="210CA00F"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Vedmedovska</w:t>
      </w:r>
      <w:proofErr w:type="spellEnd"/>
      <w:r w:rsidRPr="00AF7305">
        <w:rPr>
          <w:rFonts w:ascii="Times New Roman" w:hAnsi="Times New Roman" w:cs="Times New Roman"/>
        </w:rPr>
        <w:t xml:space="preserve"> N, </w:t>
      </w:r>
      <w:proofErr w:type="spellStart"/>
      <w:r w:rsidRPr="00AF7305">
        <w:rPr>
          <w:rFonts w:ascii="Times New Roman" w:hAnsi="Times New Roman" w:cs="Times New Roman"/>
        </w:rPr>
        <w:t>Rezeberga</w:t>
      </w:r>
      <w:proofErr w:type="spellEnd"/>
      <w:r w:rsidRPr="00AF7305">
        <w:rPr>
          <w:rFonts w:ascii="Times New Roman" w:hAnsi="Times New Roman" w:cs="Times New Roman"/>
        </w:rPr>
        <w:t xml:space="preserve"> D, </w:t>
      </w:r>
      <w:proofErr w:type="spellStart"/>
      <w:r w:rsidRPr="00AF7305">
        <w:rPr>
          <w:rFonts w:ascii="Times New Roman" w:hAnsi="Times New Roman" w:cs="Times New Roman"/>
        </w:rPr>
        <w:t>Teibe</w:t>
      </w:r>
      <w:proofErr w:type="spellEnd"/>
      <w:r w:rsidRPr="00AF7305">
        <w:rPr>
          <w:rFonts w:ascii="Times New Roman" w:hAnsi="Times New Roman" w:cs="Times New Roman"/>
        </w:rPr>
        <w:t xml:space="preserve"> U, </w:t>
      </w:r>
      <w:proofErr w:type="spellStart"/>
      <w:r w:rsidRPr="00AF7305">
        <w:rPr>
          <w:rFonts w:ascii="Times New Roman" w:hAnsi="Times New Roman" w:cs="Times New Roman"/>
        </w:rPr>
        <w:t>Melderis</w:t>
      </w:r>
      <w:proofErr w:type="spellEnd"/>
      <w:r w:rsidRPr="00AF7305">
        <w:rPr>
          <w:rFonts w:ascii="Times New Roman" w:hAnsi="Times New Roman" w:cs="Times New Roman"/>
        </w:rPr>
        <w:t xml:space="preserve"> I, Donders GG. Placental pathology in fetal growth restriction. European Journal of Obstetrics &amp; Gynecology and Reproductive Biology. 2011 Mar 1;155(1):36-40</w:t>
      </w:r>
    </w:p>
    <w:p w14:paraId="7C652C79"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 xml:space="preserve">Kingdom J1, </w:t>
      </w:r>
      <w:proofErr w:type="spellStart"/>
      <w:r w:rsidRPr="00AF7305">
        <w:rPr>
          <w:rFonts w:ascii="Times New Roman" w:hAnsi="Times New Roman" w:cs="Times New Roman"/>
        </w:rPr>
        <w:t>Huppertz</w:t>
      </w:r>
      <w:proofErr w:type="spellEnd"/>
      <w:r w:rsidRPr="00AF7305">
        <w:rPr>
          <w:rFonts w:ascii="Times New Roman" w:hAnsi="Times New Roman" w:cs="Times New Roman"/>
        </w:rPr>
        <w:t xml:space="preserve"> B, Seaward G, Kaufmann P. Development of the placental villous tree and its consequences for fetal growth. Eur J </w:t>
      </w:r>
      <w:proofErr w:type="spellStart"/>
      <w:r w:rsidRPr="00AF7305">
        <w:rPr>
          <w:rFonts w:ascii="Times New Roman" w:hAnsi="Times New Roman" w:cs="Times New Roman"/>
        </w:rPr>
        <w:t>ObstetrGynecolReproduct</w:t>
      </w:r>
      <w:proofErr w:type="spellEnd"/>
      <w:r w:rsidRPr="00AF7305">
        <w:rPr>
          <w:rFonts w:ascii="Times New Roman" w:hAnsi="Times New Roman" w:cs="Times New Roman"/>
        </w:rPr>
        <w:t xml:space="preserve"> Biol .2000;92:35-43</w:t>
      </w:r>
    </w:p>
    <w:p w14:paraId="506813AB"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Sawant LD, Venkat S. Study of placenta in intrauterine growth restricted pregnancy. Journal of Basic and Clinical Reproductive Sciences. 2017 Nov 17;6(2):167-174</w:t>
      </w:r>
    </w:p>
    <w:p w14:paraId="43C76EBF"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Bamfo</w:t>
      </w:r>
      <w:proofErr w:type="spellEnd"/>
      <w:r w:rsidRPr="00AF7305">
        <w:rPr>
          <w:rFonts w:ascii="Times New Roman" w:hAnsi="Times New Roman" w:cs="Times New Roman"/>
        </w:rPr>
        <w:t xml:space="preserve"> JE, </w:t>
      </w:r>
      <w:proofErr w:type="spellStart"/>
      <w:r w:rsidRPr="00AF7305">
        <w:rPr>
          <w:rFonts w:ascii="Times New Roman" w:hAnsi="Times New Roman" w:cs="Times New Roman"/>
        </w:rPr>
        <w:t>Odibo</w:t>
      </w:r>
      <w:proofErr w:type="spellEnd"/>
      <w:r w:rsidRPr="00AF7305">
        <w:rPr>
          <w:rFonts w:ascii="Times New Roman" w:hAnsi="Times New Roman" w:cs="Times New Roman"/>
        </w:rPr>
        <w:t xml:space="preserve"> AO. “Diagnosis and management of fetal growth restriction</w:t>
      </w:r>
      <w:proofErr w:type="gramStart"/>
      <w:r w:rsidRPr="00AF7305">
        <w:rPr>
          <w:rFonts w:ascii="Times New Roman" w:hAnsi="Times New Roman" w:cs="Times New Roman"/>
        </w:rPr>
        <w:t>”,.</w:t>
      </w:r>
      <w:proofErr w:type="gramEnd"/>
      <w:r w:rsidRPr="00AF7305">
        <w:rPr>
          <w:rFonts w:ascii="Times New Roman" w:hAnsi="Times New Roman" w:cs="Times New Roman"/>
        </w:rPr>
        <w:t xml:space="preserve"> J Pregnancy 2011; 2011:640715.</w:t>
      </w:r>
    </w:p>
    <w:p w14:paraId="54F0773E"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Gershon R. and Strauss L. Structural changes in human placentas associated with fetal inanition or growth arrest (placental insufficiency syndrome). Am J Dis Children 1961;645-646.</w:t>
      </w:r>
    </w:p>
    <w:p w14:paraId="281B67E8" w14:textId="77777777" w:rsidR="007A0780" w:rsidRPr="00AF7305" w:rsidRDefault="007A0780" w:rsidP="007A0780">
      <w:pPr>
        <w:numPr>
          <w:ilvl w:val="0"/>
          <w:numId w:val="1"/>
        </w:numPr>
        <w:spacing w:after="0" w:line="276" w:lineRule="auto"/>
        <w:jc w:val="both"/>
        <w:rPr>
          <w:rFonts w:ascii="Times New Roman" w:hAnsi="Times New Roman" w:cs="Times New Roman"/>
        </w:rPr>
      </w:pPr>
      <w:proofErr w:type="spellStart"/>
      <w:r w:rsidRPr="00AF7305">
        <w:rPr>
          <w:rFonts w:ascii="Times New Roman" w:hAnsi="Times New Roman" w:cs="Times New Roman"/>
        </w:rPr>
        <w:t>Baschat</w:t>
      </w:r>
      <w:proofErr w:type="spellEnd"/>
      <w:r w:rsidRPr="00AF7305">
        <w:rPr>
          <w:rFonts w:ascii="Times New Roman" w:hAnsi="Times New Roman" w:cs="Times New Roman"/>
        </w:rPr>
        <w:t xml:space="preserve"> AA, </w:t>
      </w:r>
      <w:proofErr w:type="spellStart"/>
      <w:r w:rsidRPr="00AF7305">
        <w:rPr>
          <w:rFonts w:ascii="Times New Roman" w:hAnsi="Times New Roman" w:cs="Times New Roman"/>
        </w:rPr>
        <w:t>Hecher</w:t>
      </w:r>
      <w:proofErr w:type="spellEnd"/>
      <w:r w:rsidRPr="00AF7305">
        <w:rPr>
          <w:rFonts w:ascii="Times New Roman" w:hAnsi="Times New Roman" w:cs="Times New Roman"/>
        </w:rPr>
        <w:t xml:space="preserve"> K. Fetal growth restriction due to placental disease. Seminars in Perinatology 2004; 28:67-80.</w:t>
      </w:r>
    </w:p>
    <w:p w14:paraId="3E6DF5B7"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Maulik D. Fetal growth restriction: the etiology. Clin ObstetrGynecol2006; 49:228-235.</w:t>
      </w:r>
    </w:p>
    <w:p w14:paraId="1B783D6E"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Tyson RW, Staat BC. The intrauterine growth-restricted fetus and placental evaluation. Seminars in Perinatology 2008; 32:166-171.</w:t>
      </w:r>
    </w:p>
    <w:p w14:paraId="6ED97788"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3" w:name="_Hlk47384379"/>
      <w:r w:rsidRPr="00AF7305">
        <w:rPr>
          <w:rFonts w:ascii="Times New Roman" w:hAnsi="Times New Roman" w:cs="Times New Roman"/>
        </w:rPr>
        <w:t>Shrivastava N</w:t>
      </w:r>
      <w:bookmarkEnd w:id="3"/>
      <w:r w:rsidRPr="00AF7305">
        <w:rPr>
          <w:rFonts w:ascii="Times New Roman" w:hAnsi="Times New Roman" w:cs="Times New Roman"/>
        </w:rPr>
        <w:t>, Yadav S. Correlation of histopathological and anatomical changes in</w:t>
      </w:r>
      <w:r w:rsidRPr="00AF7305">
        <w:rPr>
          <w:rFonts w:ascii="Times New Roman" w:hAnsi="Times New Roman" w:cs="Times New Roman"/>
        </w:rPr>
        <w:br/>
        <w:t>placenta with intrauterine growth restriction. The Indian Practitioner.2016;69(5):30-37</w:t>
      </w:r>
    </w:p>
    <w:p w14:paraId="27CB7CB1"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4" w:name="_Hlk47386792"/>
      <w:r w:rsidRPr="00AF7305">
        <w:rPr>
          <w:rFonts w:ascii="Times New Roman" w:hAnsi="Times New Roman" w:cs="Times New Roman"/>
        </w:rPr>
        <w:t>Park SY</w:t>
      </w:r>
      <w:bookmarkEnd w:id="4"/>
      <w:r w:rsidRPr="00AF7305">
        <w:rPr>
          <w:rFonts w:ascii="Times New Roman" w:hAnsi="Times New Roman" w:cs="Times New Roman"/>
        </w:rPr>
        <w:t>, Kim MY, Kim YJ, Chun YK, Kim HS, Kim HS et al. Placental pathology in intrauterine growth retardation. The Korean Journal of Pathology. 2002;36(1):30-37</w:t>
      </w:r>
    </w:p>
    <w:p w14:paraId="447B5583" w14:textId="017A709E" w:rsidR="007A0780" w:rsidRPr="00AF7305" w:rsidRDefault="007A0780" w:rsidP="007A0780">
      <w:pPr>
        <w:numPr>
          <w:ilvl w:val="0"/>
          <w:numId w:val="1"/>
        </w:numPr>
        <w:spacing w:after="0" w:line="276" w:lineRule="auto"/>
        <w:jc w:val="both"/>
        <w:rPr>
          <w:rFonts w:ascii="Times New Roman" w:hAnsi="Times New Roman" w:cs="Times New Roman"/>
        </w:rPr>
      </w:pPr>
      <w:bookmarkStart w:id="5" w:name="_Hlk47387690"/>
      <w:bookmarkStart w:id="6" w:name="_Hlk206485126"/>
      <w:r w:rsidRPr="00AF7305">
        <w:rPr>
          <w:rFonts w:ascii="Times New Roman" w:hAnsi="Times New Roman" w:cs="Times New Roman"/>
        </w:rPr>
        <w:t>Sujatha C</w:t>
      </w:r>
      <w:bookmarkEnd w:id="5"/>
      <w:r w:rsidRPr="00AF7305">
        <w:rPr>
          <w:rFonts w:ascii="Times New Roman" w:hAnsi="Times New Roman" w:cs="Times New Roman"/>
        </w:rPr>
        <w:t xml:space="preserve">, Lavanya G, Faheem K, Krishna BAR. </w:t>
      </w:r>
      <w:proofErr w:type="spellStart"/>
      <w:r w:rsidRPr="00AF7305">
        <w:rPr>
          <w:rFonts w:ascii="Times New Roman" w:hAnsi="Times New Roman" w:cs="Times New Roman"/>
        </w:rPr>
        <w:t>Clinicomorphological</w:t>
      </w:r>
      <w:proofErr w:type="spellEnd"/>
      <w:r w:rsidRPr="00AF7305">
        <w:rPr>
          <w:rFonts w:ascii="Times New Roman" w:hAnsi="Times New Roman" w:cs="Times New Roman"/>
        </w:rPr>
        <w:t xml:space="preserve"> Evaluation and Review of Placenta – In Intra Uterine Growth Retardation and Intra Uterine Fetal Death – An </w:t>
      </w:r>
      <w:proofErr w:type="spellStart"/>
      <w:r w:rsidRPr="00AF7305">
        <w:rPr>
          <w:rFonts w:ascii="Times New Roman" w:hAnsi="Times New Roman" w:cs="Times New Roman"/>
        </w:rPr>
        <w:t>Indagation</w:t>
      </w:r>
      <w:proofErr w:type="spellEnd"/>
      <w:r w:rsidRPr="00AF7305">
        <w:rPr>
          <w:rFonts w:ascii="Times New Roman" w:hAnsi="Times New Roman" w:cs="Times New Roman"/>
        </w:rPr>
        <w:t>. IOSR-JDMS. 2019;5(3):4-11</w:t>
      </w:r>
    </w:p>
    <w:p w14:paraId="4A8C59CE" w14:textId="0E882133" w:rsidR="007A0780" w:rsidRPr="00AF7305" w:rsidRDefault="007A0780" w:rsidP="007A0780">
      <w:pPr>
        <w:numPr>
          <w:ilvl w:val="0"/>
          <w:numId w:val="1"/>
        </w:numPr>
        <w:spacing w:after="0" w:line="276" w:lineRule="auto"/>
        <w:jc w:val="both"/>
        <w:rPr>
          <w:rFonts w:ascii="Times New Roman" w:hAnsi="Times New Roman" w:cs="Times New Roman"/>
        </w:rPr>
      </w:pPr>
      <w:bookmarkStart w:id="7" w:name="_Hlk47387349"/>
      <w:bookmarkStart w:id="8" w:name="_Hlk206485241"/>
      <w:bookmarkEnd w:id="6"/>
      <w:proofErr w:type="spellStart"/>
      <w:r w:rsidRPr="00AF7305">
        <w:rPr>
          <w:rFonts w:ascii="Times New Roman" w:hAnsi="Times New Roman" w:cs="Times New Roman"/>
        </w:rPr>
        <w:t>Kotgirwar</w:t>
      </w:r>
      <w:proofErr w:type="spellEnd"/>
      <w:r w:rsidRPr="00AF7305">
        <w:rPr>
          <w:rFonts w:ascii="Times New Roman" w:hAnsi="Times New Roman" w:cs="Times New Roman"/>
        </w:rPr>
        <w:t xml:space="preserve"> S,</w:t>
      </w:r>
      <w:bookmarkEnd w:id="7"/>
      <w:r>
        <w:rPr>
          <w:rFonts w:ascii="Times New Roman" w:hAnsi="Times New Roman" w:cs="Times New Roman"/>
        </w:rPr>
        <w:t xml:space="preserve"> </w:t>
      </w:r>
      <w:proofErr w:type="spellStart"/>
      <w:r w:rsidRPr="00AF7305">
        <w:rPr>
          <w:rFonts w:ascii="Times New Roman" w:hAnsi="Times New Roman" w:cs="Times New Roman"/>
        </w:rPr>
        <w:t>Ambiye</w:t>
      </w:r>
      <w:proofErr w:type="spellEnd"/>
      <w:r w:rsidRPr="00AF7305">
        <w:rPr>
          <w:rFonts w:ascii="Times New Roman" w:hAnsi="Times New Roman" w:cs="Times New Roman"/>
        </w:rPr>
        <w:t xml:space="preserve"> M, Athavale S, Gupta V, Trivedi S. Study of gross and histological features of placenta in intrauterine growth retardation. J Anat Soc India. 2011 Jun 1;60(1):37-40.</w:t>
      </w:r>
    </w:p>
    <w:bookmarkEnd w:id="8"/>
    <w:p w14:paraId="055E1E2A" w14:textId="77777777" w:rsidR="007A0780" w:rsidRPr="00AF7305" w:rsidRDefault="007A0780" w:rsidP="007A0780">
      <w:pPr>
        <w:numPr>
          <w:ilvl w:val="0"/>
          <w:numId w:val="1"/>
        </w:numPr>
        <w:spacing w:after="0" w:line="276" w:lineRule="auto"/>
        <w:jc w:val="both"/>
        <w:rPr>
          <w:rFonts w:ascii="Times New Roman" w:hAnsi="Times New Roman" w:cs="Times New Roman"/>
        </w:rPr>
      </w:pPr>
      <w:r w:rsidRPr="00AF7305">
        <w:rPr>
          <w:rFonts w:ascii="Times New Roman" w:hAnsi="Times New Roman" w:cs="Times New Roman"/>
        </w:rPr>
        <w:t>Khajuria R, Sharma M. Histopathology of placenta in intrauterine growth restriction (IUGR). International Journal of Research in Medical Sciences. 2019 Mar;</w:t>
      </w:r>
      <w:r>
        <w:rPr>
          <w:rFonts w:ascii="Times New Roman" w:hAnsi="Times New Roman" w:cs="Times New Roman"/>
        </w:rPr>
        <w:t xml:space="preserve"> </w:t>
      </w:r>
      <w:r w:rsidRPr="00AF7305">
        <w:rPr>
          <w:rFonts w:ascii="Times New Roman" w:hAnsi="Times New Roman" w:cs="Times New Roman"/>
        </w:rPr>
        <w:t>7(3):889-892.</w:t>
      </w:r>
    </w:p>
    <w:p w14:paraId="22DE9497" w14:textId="77777777" w:rsidR="007A0780" w:rsidRPr="00AF7305" w:rsidRDefault="007A0780" w:rsidP="007A0780">
      <w:pPr>
        <w:numPr>
          <w:ilvl w:val="0"/>
          <w:numId w:val="1"/>
        </w:numPr>
        <w:spacing w:after="0" w:line="276" w:lineRule="auto"/>
        <w:jc w:val="both"/>
        <w:rPr>
          <w:rFonts w:ascii="Times New Roman" w:hAnsi="Times New Roman" w:cs="Times New Roman"/>
        </w:rPr>
      </w:pPr>
      <w:bookmarkStart w:id="9" w:name="_Hlk47384148"/>
      <w:r w:rsidRPr="00AF7305">
        <w:rPr>
          <w:rFonts w:ascii="Times New Roman" w:hAnsi="Times New Roman" w:cs="Times New Roman"/>
        </w:rPr>
        <w:t>Kavita M</w:t>
      </w:r>
      <w:bookmarkEnd w:id="9"/>
      <w:r w:rsidRPr="00AF7305">
        <w:rPr>
          <w:rFonts w:ascii="Times New Roman" w:hAnsi="Times New Roman" w:cs="Times New Roman"/>
        </w:rPr>
        <w:t>, Negi L. Histopathological study of placentae in intrauterine growth retardation pregnancies in a tertiary care hospital and correlation with fetal birth weight. Journal of Pathology of Nepal. 2017 Sep 1;</w:t>
      </w:r>
      <w:r>
        <w:rPr>
          <w:rFonts w:ascii="Times New Roman" w:hAnsi="Times New Roman" w:cs="Times New Roman"/>
        </w:rPr>
        <w:t xml:space="preserve"> </w:t>
      </w:r>
      <w:r w:rsidRPr="00AF7305">
        <w:rPr>
          <w:rFonts w:ascii="Times New Roman" w:hAnsi="Times New Roman" w:cs="Times New Roman"/>
        </w:rPr>
        <w:t>7(2):1176-9.</w:t>
      </w:r>
    </w:p>
    <w:p w14:paraId="4FF7291D" w14:textId="77777777" w:rsidR="007A0780" w:rsidRPr="00AF7305" w:rsidRDefault="007A0780" w:rsidP="007A0780">
      <w:pPr>
        <w:spacing w:after="0" w:line="276" w:lineRule="auto"/>
        <w:jc w:val="both"/>
        <w:rPr>
          <w:rFonts w:ascii="Times New Roman" w:hAnsi="Times New Roman" w:cs="Times New Roman"/>
        </w:rPr>
      </w:pPr>
    </w:p>
    <w:p w14:paraId="57F12995" w14:textId="77777777" w:rsidR="007A0780" w:rsidRPr="00AF7305" w:rsidRDefault="007A0780" w:rsidP="007A0780">
      <w:pPr>
        <w:spacing w:after="0" w:line="276" w:lineRule="auto"/>
        <w:jc w:val="both"/>
        <w:rPr>
          <w:rFonts w:ascii="Times New Roman" w:hAnsi="Times New Roman" w:cs="Times New Roman"/>
        </w:rPr>
      </w:pPr>
    </w:p>
    <w:p w14:paraId="48C8515A" w14:textId="77777777" w:rsidR="000A1253" w:rsidRPr="000A1253" w:rsidRDefault="000A1253" w:rsidP="007A0780">
      <w:pPr>
        <w:pStyle w:val="NoSpacing"/>
        <w:spacing w:line="276" w:lineRule="auto"/>
        <w:jc w:val="both"/>
        <w:rPr>
          <w:rFonts w:ascii="Times New Roman" w:hAnsi="Times New Roman" w:cs="Times New Roman"/>
          <w:lang w:val="it-IT"/>
        </w:rPr>
      </w:pPr>
    </w:p>
    <w:p w14:paraId="4DB5D1BF" w14:textId="77777777" w:rsidR="007A0780" w:rsidRPr="000A1253" w:rsidRDefault="007A0780" w:rsidP="007A0780">
      <w:pPr>
        <w:pStyle w:val="NoSpacing"/>
        <w:spacing w:line="276" w:lineRule="auto"/>
        <w:jc w:val="both"/>
        <w:rPr>
          <w:lang w:val="it-IT"/>
        </w:rPr>
      </w:pPr>
      <w:r w:rsidRPr="000A1253">
        <w:rPr>
          <w:lang w:val="it-IT"/>
        </w:rPr>
        <w:br/>
      </w:r>
    </w:p>
    <w:p w14:paraId="533C72BD" w14:textId="77777777" w:rsidR="007A0780" w:rsidRPr="000A1253" w:rsidRDefault="007A0780" w:rsidP="007A0780">
      <w:pPr>
        <w:pStyle w:val="NoSpacing"/>
        <w:spacing w:line="276" w:lineRule="auto"/>
        <w:jc w:val="both"/>
        <w:rPr>
          <w:rFonts w:ascii="Times New Roman" w:hAnsi="Times New Roman" w:cs="Times New Roman"/>
          <w:lang w:val="it-IT"/>
        </w:rPr>
      </w:pPr>
      <w:r w:rsidRPr="000A1253">
        <w:rPr>
          <w:lang w:val="it-IT"/>
        </w:rPr>
        <w:lastRenderedPageBreak/>
        <w:br/>
      </w:r>
    </w:p>
    <w:p w14:paraId="670A44F3" w14:textId="77777777" w:rsidR="005B7867" w:rsidRPr="000A1253" w:rsidRDefault="005B7867">
      <w:pPr>
        <w:rPr>
          <w:lang w:val="it-IT"/>
        </w:rPr>
      </w:pPr>
    </w:p>
    <w:sectPr w:rsidR="005B7867" w:rsidRPr="000A1253" w:rsidSect="007A07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B488" w14:textId="77777777" w:rsidR="00650DD2" w:rsidRDefault="00650DD2" w:rsidP="00CA3C04">
      <w:pPr>
        <w:spacing w:after="0" w:line="240" w:lineRule="auto"/>
      </w:pPr>
      <w:r>
        <w:separator/>
      </w:r>
    </w:p>
  </w:endnote>
  <w:endnote w:type="continuationSeparator" w:id="0">
    <w:p w14:paraId="7EC347E2" w14:textId="77777777" w:rsidR="00650DD2" w:rsidRDefault="00650DD2" w:rsidP="00CA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C5C1" w14:textId="77777777" w:rsidR="00CA3C04" w:rsidRDefault="00CA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6E8" w14:textId="77777777" w:rsidR="00CA3C04" w:rsidRDefault="00CA3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50AA" w14:textId="77777777" w:rsidR="00CA3C04" w:rsidRDefault="00CA3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75CD3" w14:textId="77777777" w:rsidR="00650DD2" w:rsidRDefault="00650DD2" w:rsidP="00CA3C04">
      <w:pPr>
        <w:spacing w:after="0" w:line="240" w:lineRule="auto"/>
      </w:pPr>
      <w:r>
        <w:separator/>
      </w:r>
    </w:p>
  </w:footnote>
  <w:footnote w:type="continuationSeparator" w:id="0">
    <w:p w14:paraId="406F52AE" w14:textId="77777777" w:rsidR="00650DD2" w:rsidRDefault="00650DD2" w:rsidP="00CA3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24FE" w14:textId="5B32A918" w:rsidR="00CA3C04" w:rsidRDefault="00CA3C04">
    <w:pPr>
      <w:pStyle w:val="Header"/>
    </w:pPr>
    <w:r>
      <w:rPr>
        <w:noProof/>
      </w:rPr>
      <w:pict w14:anchorId="4DFC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287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C662" w14:textId="0F1D2464" w:rsidR="00CA3C04" w:rsidRDefault="00CA3C04">
    <w:pPr>
      <w:pStyle w:val="Header"/>
    </w:pPr>
    <w:r>
      <w:rPr>
        <w:noProof/>
      </w:rPr>
      <w:pict w14:anchorId="48055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287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9407" w14:textId="6675BBD6" w:rsidR="00CA3C04" w:rsidRDefault="00CA3C04">
    <w:pPr>
      <w:pStyle w:val="Header"/>
    </w:pPr>
    <w:r>
      <w:rPr>
        <w:noProof/>
      </w:rPr>
      <w:pict w14:anchorId="61110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287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2E5F"/>
    <w:multiLevelType w:val="hybridMultilevel"/>
    <w:tmpl w:val="4D7AD9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B92174"/>
    <w:multiLevelType w:val="multilevel"/>
    <w:tmpl w:val="87EAB238"/>
    <w:lvl w:ilvl="0">
      <w:start w:val="1"/>
      <w:numFmt w:val="bullet"/>
      <w:lvlText w:val=""/>
      <w:lvlJc w:val="left"/>
      <w:pPr>
        <w:tabs>
          <w:tab w:val="num" w:pos="720"/>
        </w:tabs>
        <w:ind w:left="720" w:hanging="360"/>
      </w:pPr>
      <w:rPr>
        <w:rFonts w:ascii="Symbol" w:hAnsi="Symbol" w:hint="default"/>
        <w:b w:val="0"/>
        <w:bCs w:val="0"/>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855C9"/>
    <w:multiLevelType w:val="hybridMultilevel"/>
    <w:tmpl w:val="B6B23DFC"/>
    <w:lvl w:ilvl="0" w:tplc="64D4A3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90"/>
    <w:rsid w:val="00030790"/>
    <w:rsid w:val="000A1253"/>
    <w:rsid w:val="002A503B"/>
    <w:rsid w:val="002E7758"/>
    <w:rsid w:val="002F512F"/>
    <w:rsid w:val="002F633E"/>
    <w:rsid w:val="00416073"/>
    <w:rsid w:val="005B7867"/>
    <w:rsid w:val="00650DD2"/>
    <w:rsid w:val="00766900"/>
    <w:rsid w:val="007A0780"/>
    <w:rsid w:val="008E7171"/>
    <w:rsid w:val="009308F0"/>
    <w:rsid w:val="00A54CB7"/>
    <w:rsid w:val="00A63A03"/>
    <w:rsid w:val="00B06F82"/>
    <w:rsid w:val="00B91BB4"/>
    <w:rsid w:val="00BE79EB"/>
    <w:rsid w:val="00BF0C7D"/>
    <w:rsid w:val="00CA3C04"/>
    <w:rsid w:val="00F62A1A"/>
    <w:rsid w:val="00FA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3B21B0"/>
  <w15:chartTrackingRefBased/>
  <w15:docId w15:val="{4040AB38-9E2F-4F4D-9112-3F9871B1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780"/>
    <w:pPr>
      <w:spacing w:line="256" w:lineRule="auto"/>
    </w:pPr>
    <w:rPr>
      <w:kern w:val="0"/>
      <w:sz w:val="22"/>
      <w:szCs w:val="22"/>
      <w14:ligatures w14:val="none"/>
    </w:rPr>
  </w:style>
  <w:style w:type="paragraph" w:styleId="Heading1">
    <w:name w:val="heading 1"/>
    <w:basedOn w:val="Normal"/>
    <w:next w:val="Normal"/>
    <w:link w:val="Heading1Char"/>
    <w:uiPriority w:val="9"/>
    <w:qFormat/>
    <w:rsid w:val="00030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790"/>
    <w:rPr>
      <w:rFonts w:eastAsiaTheme="majorEastAsia" w:cstheme="majorBidi"/>
      <w:color w:val="272727" w:themeColor="text1" w:themeTint="D8"/>
    </w:rPr>
  </w:style>
  <w:style w:type="paragraph" w:styleId="Title">
    <w:name w:val="Title"/>
    <w:basedOn w:val="Normal"/>
    <w:next w:val="Normal"/>
    <w:link w:val="TitleChar"/>
    <w:uiPriority w:val="10"/>
    <w:qFormat/>
    <w:rsid w:val="00030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7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790"/>
    <w:rPr>
      <w:i/>
      <w:iCs/>
      <w:color w:val="404040" w:themeColor="text1" w:themeTint="BF"/>
    </w:rPr>
  </w:style>
  <w:style w:type="paragraph" w:styleId="ListParagraph">
    <w:name w:val="List Paragraph"/>
    <w:basedOn w:val="Normal"/>
    <w:uiPriority w:val="34"/>
    <w:qFormat/>
    <w:rsid w:val="00030790"/>
    <w:pPr>
      <w:ind w:left="720"/>
      <w:contextualSpacing/>
    </w:pPr>
  </w:style>
  <w:style w:type="character" w:styleId="IntenseEmphasis">
    <w:name w:val="Intense Emphasis"/>
    <w:basedOn w:val="DefaultParagraphFont"/>
    <w:uiPriority w:val="21"/>
    <w:qFormat/>
    <w:rsid w:val="00030790"/>
    <w:rPr>
      <w:i/>
      <w:iCs/>
      <w:color w:val="2F5496" w:themeColor="accent1" w:themeShade="BF"/>
    </w:rPr>
  </w:style>
  <w:style w:type="paragraph" w:styleId="IntenseQuote">
    <w:name w:val="Intense Quote"/>
    <w:basedOn w:val="Normal"/>
    <w:next w:val="Normal"/>
    <w:link w:val="IntenseQuoteChar"/>
    <w:uiPriority w:val="30"/>
    <w:qFormat/>
    <w:rsid w:val="00030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790"/>
    <w:rPr>
      <w:i/>
      <w:iCs/>
      <w:color w:val="2F5496" w:themeColor="accent1" w:themeShade="BF"/>
    </w:rPr>
  </w:style>
  <w:style w:type="character" w:styleId="IntenseReference">
    <w:name w:val="Intense Reference"/>
    <w:basedOn w:val="DefaultParagraphFont"/>
    <w:uiPriority w:val="32"/>
    <w:qFormat/>
    <w:rsid w:val="00030790"/>
    <w:rPr>
      <w:b/>
      <w:bCs/>
      <w:smallCaps/>
      <w:color w:val="2F5496" w:themeColor="accent1" w:themeShade="BF"/>
      <w:spacing w:val="5"/>
    </w:rPr>
  </w:style>
  <w:style w:type="paragraph" w:styleId="NoSpacing">
    <w:name w:val="No Spacing"/>
    <w:uiPriority w:val="1"/>
    <w:qFormat/>
    <w:rsid w:val="007A0780"/>
    <w:pPr>
      <w:spacing w:after="0" w:line="240" w:lineRule="auto"/>
    </w:pPr>
    <w:rPr>
      <w:kern w:val="0"/>
      <w:sz w:val="22"/>
      <w:szCs w:val="22"/>
      <w14:ligatures w14:val="none"/>
    </w:rPr>
  </w:style>
  <w:style w:type="character" w:styleId="Hyperlink">
    <w:name w:val="Hyperlink"/>
    <w:basedOn w:val="DefaultParagraphFont"/>
    <w:uiPriority w:val="99"/>
    <w:unhideWhenUsed/>
    <w:rsid w:val="007A0780"/>
    <w:rPr>
      <w:color w:val="0563C1" w:themeColor="hyperlink"/>
      <w:u w:val="single"/>
    </w:rPr>
  </w:style>
  <w:style w:type="table" w:styleId="TableGrid">
    <w:name w:val="Table Grid"/>
    <w:basedOn w:val="TableNormal"/>
    <w:uiPriority w:val="39"/>
    <w:rsid w:val="007A078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0780"/>
    <w:rPr>
      <w:color w:val="605E5C"/>
      <w:shd w:val="clear" w:color="auto" w:fill="E1DFDD"/>
    </w:rPr>
  </w:style>
  <w:style w:type="paragraph" w:styleId="Header">
    <w:name w:val="header"/>
    <w:basedOn w:val="Normal"/>
    <w:link w:val="HeaderChar"/>
    <w:uiPriority w:val="99"/>
    <w:unhideWhenUsed/>
    <w:rsid w:val="00CA3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04"/>
    <w:rPr>
      <w:kern w:val="0"/>
      <w:sz w:val="22"/>
      <w:szCs w:val="22"/>
      <w14:ligatures w14:val="none"/>
    </w:rPr>
  </w:style>
  <w:style w:type="paragraph" w:styleId="Footer">
    <w:name w:val="footer"/>
    <w:basedOn w:val="Normal"/>
    <w:link w:val="FooterChar"/>
    <w:uiPriority w:val="99"/>
    <w:unhideWhenUsed/>
    <w:rsid w:val="00CA3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0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p.gov.in/disease/gynaecology-and-obstetrics/intrauterine-growth-restriction-iugr."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Graphs%20-Sr.%20Sushee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Graphs%20-Sr.%20Sushee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Sheet1!$B$1:$B$2</c:f>
              <c:strCache>
                <c:ptCount val="1"/>
                <c:pt idx="0">
                  <c:v>Table 2:Distribution of Patients Based on Ultrasound Disparity Frequency (n)</c:v>
                </c:pt>
              </c:strCache>
            </c:strRef>
          </c:tx>
          <c:spPr>
            <a:ln>
              <a:solidFill>
                <a:sysClr val="windowText" lastClr="000000"/>
              </a:solidFill>
            </a:ln>
          </c:spPr>
          <c:invertIfNegative val="0"/>
          <c:dLbls>
            <c:spPr>
              <a:solidFill>
                <a:srgbClr val="FFFFCC"/>
              </a:solidFill>
              <a:ln>
                <a:solidFill>
                  <a:schemeClr val="tx1"/>
                </a:solidFill>
              </a:ln>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&lt; 2 Weeks</c:v>
                </c:pt>
                <c:pt idx="1">
                  <c:v>2 -4 Weeks</c:v>
                </c:pt>
                <c:pt idx="2">
                  <c:v>&gt; 4 Weeks</c:v>
                </c:pt>
              </c:strCache>
            </c:strRef>
          </c:cat>
          <c:val>
            <c:numRef>
              <c:f>Sheet1!$B$3:$B$5</c:f>
              <c:numCache>
                <c:formatCode>General</c:formatCode>
                <c:ptCount val="3"/>
                <c:pt idx="0">
                  <c:v>36</c:v>
                </c:pt>
                <c:pt idx="1">
                  <c:v>27</c:v>
                </c:pt>
                <c:pt idx="2">
                  <c:v>12</c:v>
                </c:pt>
              </c:numCache>
            </c:numRef>
          </c:val>
          <c:extLst>
            <c:ext xmlns:c16="http://schemas.microsoft.com/office/drawing/2014/chart" uri="{C3380CC4-5D6E-409C-BE32-E72D297353CC}">
              <c16:uniqueId val="{00000000-D807-40A5-852D-3456052514FA}"/>
            </c:ext>
          </c:extLst>
        </c:ser>
        <c:ser>
          <c:idx val="1"/>
          <c:order val="1"/>
          <c:tx>
            <c:strRef>
              <c:f>Sheet1!$C$1:$C$2</c:f>
              <c:strCache>
                <c:ptCount val="1"/>
                <c:pt idx="0">
                  <c:v>Table 2:Distribution of Patients Based on Ultrasound Disparity Percentage (%)</c:v>
                </c:pt>
              </c:strCache>
            </c:strRef>
          </c:tx>
          <c:spPr>
            <a:solidFill>
              <a:schemeClr val="accent2">
                <a:lumMod val="75000"/>
              </a:schemeClr>
            </a:solidFill>
          </c:spPr>
          <c:invertIfNegative val="0"/>
          <c:dLbls>
            <c:dLbl>
              <c:idx val="0"/>
              <c:layout>
                <c:manualLayout>
                  <c:x val="8.3333333333333367E-3"/>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07-40A5-852D-3456052514FA}"/>
                </c:ext>
              </c:extLst>
            </c:dLbl>
            <c:dLbl>
              <c:idx val="1"/>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07-40A5-852D-3456052514FA}"/>
                </c:ext>
              </c:extLst>
            </c:dLbl>
            <c:dLbl>
              <c:idx val="2"/>
              <c:layout>
                <c:manualLayout>
                  <c:x val="0"/>
                  <c:y val="-9.2592592592592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07-40A5-852D-3456052514FA}"/>
                </c:ext>
              </c:extLst>
            </c:dLbl>
            <c:dLbl>
              <c:idx val="3"/>
              <c:layout>
                <c:manualLayout>
                  <c:x val="5.5555555555555558E-3"/>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07-40A5-852D-3456052514FA}"/>
                </c:ext>
              </c:extLst>
            </c:dLbl>
            <c:spPr>
              <a:solidFill>
                <a:schemeClr val="accent6">
                  <a:lumMod val="20000"/>
                  <a:lumOff val="80000"/>
                </a:schemeClr>
              </a:solidFill>
              <a:ln>
                <a:solidFill>
                  <a:schemeClr val="tx1"/>
                </a:solidFill>
              </a:ln>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Sheet1!$A$3:$A$5</c:f>
              <c:strCache>
                <c:ptCount val="3"/>
                <c:pt idx="0">
                  <c:v>&lt; 2 Weeks</c:v>
                </c:pt>
                <c:pt idx="1">
                  <c:v>2 -4 Weeks</c:v>
                </c:pt>
                <c:pt idx="2">
                  <c:v>&gt; 4 Weeks</c:v>
                </c:pt>
              </c:strCache>
            </c:strRef>
          </c:cat>
          <c:val>
            <c:numRef>
              <c:f>Sheet1!$C$3:$C$5</c:f>
              <c:numCache>
                <c:formatCode>0.00%</c:formatCode>
                <c:ptCount val="3"/>
                <c:pt idx="0">
                  <c:v>0.48000000000000004</c:v>
                </c:pt>
                <c:pt idx="1">
                  <c:v>0.36000000000000004</c:v>
                </c:pt>
                <c:pt idx="2">
                  <c:v>0.16</c:v>
                </c:pt>
              </c:numCache>
            </c:numRef>
          </c:val>
          <c:extLst>
            <c:ext xmlns:c16="http://schemas.microsoft.com/office/drawing/2014/chart" uri="{C3380CC4-5D6E-409C-BE32-E72D297353CC}">
              <c16:uniqueId val="{00000005-D807-40A5-852D-3456052514FA}"/>
            </c:ext>
          </c:extLst>
        </c:ser>
        <c:dLbls>
          <c:showLegendKey val="0"/>
          <c:showVal val="0"/>
          <c:showCatName val="0"/>
          <c:showSerName val="0"/>
          <c:showPercent val="0"/>
          <c:showBubbleSize val="0"/>
        </c:dLbls>
        <c:gapWidth val="150"/>
        <c:shape val="box"/>
        <c:axId val="110444544"/>
        <c:axId val="110446080"/>
        <c:axId val="0"/>
      </c:bar3DChart>
      <c:catAx>
        <c:axId val="110444544"/>
        <c:scaling>
          <c:orientation val="minMax"/>
        </c:scaling>
        <c:delete val="0"/>
        <c:axPos val="b"/>
        <c:numFmt formatCode="General" sourceLinked="0"/>
        <c:majorTickMark val="out"/>
        <c:minorTickMark val="none"/>
        <c:tickLblPos val="nextTo"/>
        <c:txPr>
          <a:bodyPr/>
          <a:lstStyle/>
          <a:p>
            <a:pPr>
              <a:defRPr b="1">
                <a:solidFill>
                  <a:srgbClr val="C00000"/>
                </a:solidFill>
              </a:defRPr>
            </a:pPr>
            <a:endParaRPr lang="en-US"/>
          </a:p>
        </c:txPr>
        <c:crossAx val="110446080"/>
        <c:crosses val="autoZero"/>
        <c:auto val="1"/>
        <c:lblAlgn val="ctr"/>
        <c:lblOffset val="100"/>
        <c:noMultiLvlLbl val="0"/>
      </c:catAx>
      <c:valAx>
        <c:axId val="110446080"/>
        <c:scaling>
          <c:orientation val="minMax"/>
        </c:scaling>
        <c:delete val="0"/>
        <c:axPos val="l"/>
        <c:majorGridlines>
          <c:spPr>
            <a:ln>
              <a:solidFill>
                <a:sysClr val="windowText" lastClr="000000"/>
              </a:solidFill>
            </a:ln>
          </c:spPr>
        </c:majorGridlines>
        <c:numFmt formatCode="General" sourceLinked="1"/>
        <c:majorTickMark val="out"/>
        <c:minorTickMark val="none"/>
        <c:tickLblPos val="nextTo"/>
        <c:txPr>
          <a:bodyPr/>
          <a:lstStyle/>
          <a:p>
            <a:pPr>
              <a:defRPr b="1">
                <a:solidFill>
                  <a:srgbClr val="C00000"/>
                </a:solidFill>
              </a:defRPr>
            </a:pPr>
            <a:endParaRPr lang="en-US"/>
          </a:p>
        </c:txPr>
        <c:crossAx val="110444544"/>
        <c:crosses val="autoZero"/>
        <c:crossBetween val="between"/>
      </c:valAx>
      <c:spPr>
        <a:solidFill>
          <a:schemeClr val="accent1">
            <a:lumMod val="20000"/>
            <a:lumOff val="80000"/>
          </a:schemeClr>
        </a:solidFill>
        <a:ln>
          <a:solidFill>
            <a:schemeClr val="tx1"/>
          </a:solidFill>
        </a:ln>
      </c:spPr>
    </c:plotArea>
    <c:legend>
      <c:legendPos val="r"/>
      <c:overlay val="0"/>
    </c:legend>
    <c:plotVisOnly val="1"/>
    <c:dispBlanksAs val="gap"/>
    <c:showDLblsOverMax val="0"/>
  </c:chart>
  <c:spPr>
    <a:solidFill>
      <a:schemeClr val="bg1">
        <a:lumMod val="9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0703423089952159"/>
          <c:y val="4.2495653853583157E-2"/>
          <c:w val="0.34691029570936371"/>
          <c:h val="0.86072376456130162"/>
        </c:manualLayout>
      </c:layout>
      <c:bar3DChart>
        <c:barDir val="bar"/>
        <c:grouping val="stacked"/>
        <c:varyColors val="0"/>
        <c:ser>
          <c:idx val="0"/>
          <c:order val="0"/>
          <c:tx>
            <c:strRef>
              <c:f>Sheet2!$B$1:$B$2</c:f>
              <c:strCache>
                <c:ptCount val="1"/>
                <c:pt idx="0">
                  <c:v>Table 3: Distribution of patients based on the Histopathological findings Frequency (n)</c:v>
                </c:pt>
              </c:strCache>
            </c:strRef>
          </c:tx>
          <c:spPr>
            <a:ln>
              <a:solidFill>
                <a:schemeClr val="tx1"/>
              </a:solidFill>
            </a:ln>
          </c:spPr>
          <c:invertIfNegative val="0"/>
          <c:dLbls>
            <c:spPr>
              <a:solidFill>
                <a:schemeClr val="accent6">
                  <a:lumMod val="20000"/>
                  <a:lumOff val="80000"/>
                </a:schemeClr>
              </a:solidFill>
              <a:ln>
                <a:solidFill>
                  <a:schemeClr val="tx1"/>
                </a:solidFill>
              </a:ln>
            </c:spPr>
            <c:txPr>
              <a:bodyPr/>
              <a:lstStyle/>
              <a:p>
                <a:pPr>
                  <a:defRPr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Sheet2!$A$3:$A$11</c:f>
              <c:strCache>
                <c:ptCount val="9"/>
                <c:pt idx="0">
                  <c:v>Perivillous fibrin deposition</c:v>
                </c:pt>
                <c:pt idx="1">
                  <c:v>Syncitial knots</c:v>
                </c:pt>
                <c:pt idx="2">
                  <c:v>Focal chorioangiosis</c:v>
                </c:pt>
                <c:pt idx="3">
                  <c:v>Intervillous thrombi hematoma</c:v>
                </c:pt>
                <c:pt idx="4">
                  <c:v>Villitis</c:v>
                </c:pt>
                <c:pt idx="5">
                  <c:v>Villous infarction</c:v>
                </c:pt>
                <c:pt idx="6">
                  <c:v>Stromal fibrosis</c:v>
                </c:pt>
                <c:pt idx="7">
                  <c:v>Cytotrophoblast proliferation</c:v>
                </c:pt>
                <c:pt idx="8">
                  <c:v>Thickening of the villous trophoblastic basal membrane</c:v>
                </c:pt>
              </c:strCache>
            </c:strRef>
          </c:cat>
          <c:val>
            <c:numRef>
              <c:f>Sheet2!$B$3:$B$11</c:f>
              <c:numCache>
                <c:formatCode>General</c:formatCode>
                <c:ptCount val="9"/>
                <c:pt idx="0">
                  <c:v>73</c:v>
                </c:pt>
                <c:pt idx="1">
                  <c:v>68</c:v>
                </c:pt>
                <c:pt idx="2">
                  <c:v>62</c:v>
                </c:pt>
                <c:pt idx="3">
                  <c:v>36</c:v>
                </c:pt>
                <c:pt idx="4">
                  <c:v>27</c:v>
                </c:pt>
                <c:pt idx="5">
                  <c:v>19</c:v>
                </c:pt>
                <c:pt idx="6">
                  <c:v>12</c:v>
                </c:pt>
                <c:pt idx="7">
                  <c:v>11</c:v>
                </c:pt>
                <c:pt idx="8">
                  <c:v>8</c:v>
                </c:pt>
              </c:numCache>
            </c:numRef>
          </c:val>
          <c:extLst>
            <c:ext xmlns:c16="http://schemas.microsoft.com/office/drawing/2014/chart" uri="{C3380CC4-5D6E-409C-BE32-E72D297353CC}">
              <c16:uniqueId val="{00000000-9DBE-4B46-AFEA-8A17563214CC}"/>
            </c:ext>
          </c:extLst>
        </c:ser>
        <c:ser>
          <c:idx val="1"/>
          <c:order val="1"/>
          <c:tx>
            <c:strRef>
              <c:f>Sheet2!$C$1:$C$2</c:f>
              <c:strCache>
                <c:ptCount val="1"/>
                <c:pt idx="0">
                  <c:v>Table 3: Distribution of patients based on the Histopathological findings Percentage (%)</c:v>
                </c:pt>
              </c:strCache>
            </c:strRef>
          </c:tx>
          <c:invertIfNegative val="0"/>
          <c:dLbls>
            <c:dLbl>
              <c:idx val="0"/>
              <c:layout>
                <c:manualLayout>
                  <c:x val="6.6666666666666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BE-4B46-AFEA-8A17563214CC}"/>
                </c:ext>
              </c:extLst>
            </c:dLbl>
            <c:dLbl>
              <c:idx val="1"/>
              <c:layout>
                <c:manualLayout>
                  <c:x val="6.3888888888888884E-2"/>
                  <c:y val="-8.48755627201337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BE-4B46-AFEA-8A17563214CC}"/>
                </c:ext>
              </c:extLst>
            </c:dLbl>
            <c:dLbl>
              <c:idx val="2"/>
              <c:layout>
                <c:manualLayout>
                  <c:x val="5.20892933654323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BE-4B46-AFEA-8A17563214CC}"/>
                </c:ext>
              </c:extLst>
            </c:dLbl>
            <c:dLbl>
              <c:idx val="3"/>
              <c:layout>
                <c:manualLayout>
                  <c:x val="6.38888888888888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BE-4B46-AFEA-8A17563214CC}"/>
                </c:ext>
              </c:extLst>
            </c:dLbl>
            <c:dLbl>
              <c:idx val="4"/>
              <c:layout>
                <c:manualLayout>
                  <c:x val="7.50000000000000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BE-4B46-AFEA-8A17563214CC}"/>
                </c:ext>
              </c:extLst>
            </c:dLbl>
            <c:dLbl>
              <c:idx val="5"/>
              <c:layout>
                <c:manualLayout>
                  <c:x val="9.4444444444444511E-2"/>
                  <c:y val="4.62962962962963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BE-4B46-AFEA-8A17563214CC}"/>
                </c:ext>
              </c:extLst>
            </c:dLbl>
            <c:dLbl>
              <c:idx val="6"/>
              <c:layout>
                <c:manualLayout>
                  <c:x val="0.1000000000000000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BE-4B46-AFEA-8A17563214CC}"/>
                </c:ext>
              </c:extLst>
            </c:dLbl>
            <c:dLbl>
              <c:idx val="7"/>
              <c:layout>
                <c:manualLayout>
                  <c:x val="9.72222222222222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BE-4B46-AFEA-8A17563214CC}"/>
                </c:ext>
              </c:extLst>
            </c:dLbl>
            <c:dLbl>
              <c:idx val="8"/>
              <c:layout>
                <c:manualLayout>
                  <c:x val="8.61111111111110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BE-4B46-AFEA-8A17563214CC}"/>
                </c:ext>
              </c:extLst>
            </c:dLbl>
            <c:spPr>
              <a:noFill/>
              <a:ln>
                <a:solidFill>
                  <a:schemeClr val="tx1"/>
                </a:solidFill>
              </a:ln>
            </c:spPr>
            <c:txPr>
              <a:bodyPr/>
              <a:lstStyle/>
              <a:p>
                <a:pPr>
                  <a:defRPr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Sheet2!$A$3:$A$11</c:f>
              <c:strCache>
                <c:ptCount val="9"/>
                <c:pt idx="0">
                  <c:v>Perivillous fibrin deposition</c:v>
                </c:pt>
                <c:pt idx="1">
                  <c:v>Syncitial knots</c:v>
                </c:pt>
                <c:pt idx="2">
                  <c:v>Focal chorioangiosis</c:v>
                </c:pt>
                <c:pt idx="3">
                  <c:v>Intervillous thrombi hematoma</c:v>
                </c:pt>
                <c:pt idx="4">
                  <c:v>Villitis</c:v>
                </c:pt>
                <c:pt idx="5">
                  <c:v>Villous infarction</c:v>
                </c:pt>
                <c:pt idx="6">
                  <c:v>Stromal fibrosis</c:v>
                </c:pt>
                <c:pt idx="7">
                  <c:v>Cytotrophoblast proliferation</c:v>
                </c:pt>
                <c:pt idx="8">
                  <c:v>Thickening of the villous trophoblastic basal membrane</c:v>
                </c:pt>
              </c:strCache>
            </c:strRef>
          </c:cat>
          <c:val>
            <c:numRef>
              <c:f>Sheet2!$C$3:$C$11</c:f>
              <c:numCache>
                <c:formatCode>0.00%</c:formatCode>
                <c:ptCount val="9"/>
                <c:pt idx="0">
                  <c:v>0.97300000000000009</c:v>
                </c:pt>
                <c:pt idx="1">
                  <c:v>0.90700000000000003</c:v>
                </c:pt>
                <c:pt idx="2">
                  <c:v>0.82700000000000007</c:v>
                </c:pt>
                <c:pt idx="3">
                  <c:v>0.48000000000000004</c:v>
                </c:pt>
                <c:pt idx="4">
                  <c:v>0.36000000000000004</c:v>
                </c:pt>
                <c:pt idx="5">
                  <c:v>0.253</c:v>
                </c:pt>
                <c:pt idx="6">
                  <c:v>0.16</c:v>
                </c:pt>
                <c:pt idx="7">
                  <c:v>0.14700000000000002</c:v>
                </c:pt>
                <c:pt idx="8">
                  <c:v>0.10700000000000001</c:v>
                </c:pt>
              </c:numCache>
            </c:numRef>
          </c:val>
          <c:extLst>
            <c:ext xmlns:c16="http://schemas.microsoft.com/office/drawing/2014/chart" uri="{C3380CC4-5D6E-409C-BE32-E72D297353CC}">
              <c16:uniqueId val="{0000000A-9DBE-4B46-AFEA-8A17563214CC}"/>
            </c:ext>
          </c:extLst>
        </c:ser>
        <c:dLbls>
          <c:showLegendKey val="0"/>
          <c:showVal val="0"/>
          <c:showCatName val="0"/>
          <c:showSerName val="0"/>
          <c:showPercent val="0"/>
          <c:showBubbleSize val="0"/>
        </c:dLbls>
        <c:gapWidth val="150"/>
        <c:shape val="box"/>
        <c:axId val="110484096"/>
        <c:axId val="110510464"/>
        <c:axId val="0"/>
      </c:bar3DChart>
      <c:catAx>
        <c:axId val="110484096"/>
        <c:scaling>
          <c:orientation val="minMax"/>
        </c:scaling>
        <c:delete val="0"/>
        <c:axPos val="l"/>
        <c:numFmt formatCode="General" sourceLinked="0"/>
        <c:majorTickMark val="out"/>
        <c:minorTickMark val="none"/>
        <c:tickLblPos val="nextTo"/>
        <c:txPr>
          <a:bodyPr/>
          <a:lstStyle/>
          <a:p>
            <a:pPr>
              <a:defRPr b="1">
                <a:solidFill>
                  <a:sysClr val="windowText" lastClr="000000"/>
                </a:solidFill>
              </a:defRPr>
            </a:pPr>
            <a:endParaRPr lang="en-US"/>
          </a:p>
        </c:txPr>
        <c:crossAx val="110510464"/>
        <c:crosses val="autoZero"/>
        <c:auto val="1"/>
        <c:lblAlgn val="ctr"/>
        <c:lblOffset val="100"/>
        <c:noMultiLvlLbl val="0"/>
      </c:catAx>
      <c:valAx>
        <c:axId val="110510464"/>
        <c:scaling>
          <c:orientation val="minMax"/>
        </c:scaling>
        <c:delete val="0"/>
        <c:axPos val="b"/>
        <c:majorGridlines>
          <c:spPr>
            <a:ln>
              <a:solidFill>
                <a:sysClr val="windowText" lastClr="000000">
                  <a:tint val="75000"/>
                  <a:shade val="95000"/>
                  <a:satMod val="105000"/>
                </a:sysClr>
              </a:solidFill>
            </a:ln>
          </c:spPr>
        </c:majorGridlines>
        <c:numFmt formatCode="General" sourceLinked="1"/>
        <c:majorTickMark val="out"/>
        <c:minorTickMark val="none"/>
        <c:tickLblPos val="nextTo"/>
        <c:spPr>
          <a:ln>
            <a:solidFill>
              <a:sysClr val="windowText" lastClr="000000">
                <a:tint val="75000"/>
                <a:shade val="95000"/>
                <a:satMod val="105000"/>
              </a:sysClr>
            </a:solidFill>
          </a:ln>
        </c:spPr>
        <c:txPr>
          <a:bodyPr/>
          <a:lstStyle/>
          <a:p>
            <a:pPr>
              <a:defRPr b="1">
                <a:solidFill>
                  <a:sysClr val="windowText" lastClr="000000"/>
                </a:solidFill>
              </a:defRPr>
            </a:pPr>
            <a:endParaRPr lang="en-US"/>
          </a:p>
        </c:txPr>
        <c:crossAx val="110484096"/>
        <c:crosses val="autoZero"/>
        <c:crossBetween val="between"/>
      </c:valAx>
      <c:spPr>
        <a:solidFill>
          <a:srgbClr val="FFFFCC"/>
        </a:solidFill>
        <a:ln>
          <a:solidFill>
            <a:sysClr val="windowText" lastClr="000000"/>
          </a:solidFill>
        </a:ln>
      </c:spPr>
    </c:plotArea>
    <c:legend>
      <c:legendPos val="r"/>
      <c:overlay val="0"/>
      <c:txPr>
        <a:bodyPr/>
        <a:lstStyle/>
        <a:p>
          <a:pPr>
            <a:defRPr b="1">
              <a:solidFill>
                <a:sysClr val="windowText" lastClr="000000"/>
              </a:solidFill>
            </a:defRPr>
          </a:pPr>
          <a:endParaRPr lang="en-US"/>
        </a:p>
      </c:txPr>
    </c:legend>
    <c:plotVisOnly val="1"/>
    <c:dispBlanksAs val="gap"/>
    <c:showDLblsOverMax val="0"/>
  </c:chart>
  <c:spPr>
    <a:solidFill>
      <a:schemeClr val="accent5">
        <a:lumMod val="20000"/>
        <a:lumOff val="80000"/>
      </a:schemeClr>
    </a:solidFill>
    <a:ln>
      <a:solidFill>
        <a:schemeClr val="tx1"/>
      </a:solidFill>
    </a:ln>
  </c:spPr>
  <c:txPr>
    <a:bodyPr/>
    <a:lstStyle/>
    <a:p>
      <a:pPr>
        <a:defRPr>
          <a:solidFill>
            <a:srgbClr val="FF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Vijaymarie Hospital</dc:creator>
  <cp:keywords/>
  <dc:description/>
  <cp:lastModifiedBy>SDI 1084</cp:lastModifiedBy>
  <cp:revision>12</cp:revision>
  <dcterms:created xsi:type="dcterms:W3CDTF">2025-08-20T01:57:00Z</dcterms:created>
  <dcterms:modified xsi:type="dcterms:W3CDTF">2025-08-22T07:30:00Z</dcterms:modified>
</cp:coreProperties>
</file>