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015FA" w14:textId="23237052" w:rsidR="009D7BE5" w:rsidRDefault="009D7BE5" w:rsidP="00441B6F">
      <w:pPr>
        <w:pStyle w:val="Author"/>
        <w:spacing w:line="240" w:lineRule="auto"/>
        <w:rPr>
          <w:rFonts w:ascii="Arial" w:hAnsi="Arial" w:cs="Arial"/>
          <w:bCs/>
          <w:i/>
          <w:iCs/>
          <w:kern w:val="28"/>
          <w:sz w:val="36"/>
          <w:u w:val="single"/>
        </w:rPr>
      </w:pPr>
      <w:r w:rsidRPr="009D7BE5">
        <w:rPr>
          <w:rFonts w:ascii="Arial" w:hAnsi="Arial" w:cs="Arial"/>
          <w:bCs/>
          <w:i/>
          <w:iCs/>
          <w:kern w:val="28"/>
          <w:sz w:val="36"/>
          <w:u w:val="single"/>
        </w:rPr>
        <w:t>Original Research Article</w:t>
      </w:r>
    </w:p>
    <w:p w14:paraId="2DC7CDAF" w14:textId="77777777" w:rsidR="009D7BE5" w:rsidRDefault="009D7BE5" w:rsidP="00441B6F">
      <w:pPr>
        <w:pStyle w:val="Author"/>
        <w:spacing w:line="240" w:lineRule="auto"/>
        <w:rPr>
          <w:rFonts w:ascii="Arial" w:hAnsi="Arial" w:cs="Arial"/>
          <w:bCs/>
          <w:iCs/>
          <w:kern w:val="28"/>
          <w:sz w:val="36"/>
        </w:rPr>
      </w:pPr>
    </w:p>
    <w:p w14:paraId="16200B49" w14:textId="493357E7" w:rsidR="00163BC4" w:rsidRPr="00163BC4" w:rsidRDefault="00617B9B" w:rsidP="00441B6F">
      <w:pPr>
        <w:pStyle w:val="Author"/>
        <w:spacing w:line="240" w:lineRule="auto"/>
        <w:rPr>
          <w:rFonts w:ascii="Arial" w:hAnsi="Arial" w:cs="Arial"/>
          <w:bCs/>
          <w:iCs/>
          <w:kern w:val="28"/>
          <w:sz w:val="36"/>
        </w:rPr>
      </w:pPr>
      <w:r w:rsidRPr="00617B9B">
        <w:rPr>
          <w:rFonts w:ascii="Arial" w:hAnsi="Arial" w:cs="Arial"/>
          <w:bCs/>
          <w:iCs/>
          <w:kern w:val="28"/>
          <w:sz w:val="36"/>
        </w:rPr>
        <w:t>Clinician perspectives on the management of musculoskeletal pain in India: Insights into the use of NSAIDs and aceclofenac-paracetamol combination therapy</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AD07EE" w:rsidP="00441B6F">
      <w:pPr>
        <w:pStyle w:val="Copyright"/>
        <w:spacing w:after="0" w:line="240" w:lineRule="auto"/>
        <w:jc w:val="both"/>
        <w:rPr>
          <w:rFonts w:ascii="Arial" w:hAnsi="Arial" w:cs="Arial"/>
        </w:rPr>
        <w:sectPr w:rsidR="00B01FCD" w:rsidRPr="00FB3A86" w:rsidSect="00383FD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7BC0667D" w14:textId="77777777" w:rsidR="00617B9B" w:rsidRDefault="00617B9B" w:rsidP="00617B9B">
            <w:pPr>
              <w:jc w:val="both"/>
              <w:rPr>
                <w:rFonts w:ascii="Arial" w:hAnsi="Arial" w:cs="Arial"/>
              </w:rPr>
            </w:pPr>
            <w:r w:rsidRPr="00617B9B">
              <w:rPr>
                <w:rFonts w:ascii="Arial" w:hAnsi="Arial" w:cs="Arial"/>
                <w:b/>
                <w:bCs/>
              </w:rPr>
              <w:t>Objective:</w:t>
            </w:r>
            <w:r w:rsidRPr="00617B9B">
              <w:rPr>
                <w:rFonts w:ascii="Arial" w:hAnsi="Arial" w:cs="Arial"/>
              </w:rPr>
              <w:t xml:space="preserve"> To gather clinicians’ perspectives on the management of musculoskeletal pain in India, with a focus on the use of NSAIDs and aceclofenac-paracetamol combination therapies, particularly aceclofenac, in osteoarthritis and rheumatoid arthritis.</w:t>
            </w:r>
          </w:p>
          <w:p w14:paraId="5F7F4A42" w14:textId="77777777" w:rsidR="009C3F59" w:rsidRPr="00617B9B" w:rsidRDefault="009C3F59" w:rsidP="00617B9B">
            <w:pPr>
              <w:jc w:val="both"/>
              <w:rPr>
                <w:rFonts w:ascii="Arial" w:hAnsi="Arial" w:cs="Arial"/>
              </w:rPr>
            </w:pPr>
          </w:p>
          <w:p w14:paraId="1F28D468" w14:textId="77777777" w:rsidR="00617B9B" w:rsidRDefault="00617B9B" w:rsidP="00617B9B">
            <w:pPr>
              <w:jc w:val="both"/>
              <w:rPr>
                <w:rFonts w:ascii="Arial" w:hAnsi="Arial" w:cs="Arial"/>
              </w:rPr>
            </w:pPr>
            <w:r w:rsidRPr="00617B9B">
              <w:rPr>
                <w:rFonts w:ascii="Arial" w:hAnsi="Arial" w:cs="Arial"/>
                <w:b/>
                <w:bCs/>
              </w:rPr>
              <w:t xml:space="preserve">Methods: </w:t>
            </w:r>
            <w:r w:rsidRPr="00617B9B">
              <w:rPr>
                <w:rFonts w:ascii="Arial" w:hAnsi="Arial" w:cs="Arial"/>
              </w:rPr>
              <w:t>A cross-sectional study was carried out using a 24-item questionnaire to gather insights from clinicians across India. The survey focused on clinical experiences, clinician preferences, and observations regarding the use of both monotherapy and combination therapy in managing musculoskeletal pain. Particular attention was given to preferred treatment options, especially NSAIDs alone or in combination with paracetamol. The collected responses were analyzed using descriptive statistics.</w:t>
            </w:r>
          </w:p>
          <w:p w14:paraId="22F0D62B" w14:textId="77777777" w:rsidR="009C3F59" w:rsidRPr="00617B9B" w:rsidRDefault="009C3F59" w:rsidP="00617B9B">
            <w:pPr>
              <w:jc w:val="both"/>
              <w:rPr>
                <w:rFonts w:ascii="Arial" w:hAnsi="Arial" w:cs="Arial"/>
              </w:rPr>
            </w:pPr>
          </w:p>
          <w:p w14:paraId="7C694B28" w14:textId="77777777" w:rsidR="00617B9B" w:rsidRDefault="00617B9B" w:rsidP="00617B9B">
            <w:pPr>
              <w:jc w:val="both"/>
              <w:rPr>
                <w:rFonts w:ascii="Arial" w:hAnsi="Arial" w:cs="Arial"/>
              </w:rPr>
            </w:pPr>
            <w:r w:rsidRPr="00617B9B">
              <w:rPr>
                <w:rFonts w:ascii="Arial" w:hAnsi="Arial" w:cs="Arial"/>
                <w:b/>
                <w:bCs/>
              </w:rPr>
              <w:t xml:space="preserve"> Results: </w:t>
            </w:r>
            <w:r w:rsidRPr="00617B9B">
              <w:rPr>
                <w:rFonts w:ascii="Arial" w:hAnsi="Arial" w:cs="Arial"/>
              </w:rPr>
              <w:t xml:space="preserve">Around 60% of participants reported that the most affected age group with low back pain was 40–50 years. A large majority (83.56%) indicated that knee joint involvement was the predominant site of osteoarthritis in clinical practice, with 81% identifying joint pain and swelling as the most frequent presentation. For osteoarthritis management, 69% of respondents preferred NSAIDs and paracetamol combination therapy as the first-line approach. Among NSAIDs, aceclofenac was the most widely </w:t>
            </w:r>
            <w:proofErr w:type="spellStart"/>
            <w:r w:rsidRPr="00617B9B">
              <w:rPr>
                <w:rFonts w:ascii="Arial" w:hAnsi="Arial" w:cs="Arial"/>
              </w:rPr>
              <w:t>favoured</w:t>
            </w:r>
            <w:proofErr w:type="spellEnd"/>
            <w:r w:rsidRPr="00617B9B">
              <w:rPr>
                <w:rFonts w:ascii="Arial" w:hAnsi="Arial" w:cs="Arial"/>
              </w:rPr>
              <w:t xml:space="preserve"> option, reported by 78% of participants, while the aceclofenac–paracetamol combination was strongly preferred by 86.89% for managing arthritic pain. Additionally, 90.8% of respondents perceived aceclofenac to be associated with fewer gastrointestinal side effects. Furthermore, 62% acknowledged the comprehensive advantages of aceclofenac in rheumatoid arthritis, including effective pain and inflammation reduction, chondroprotective potential, and superior synovial joint penetration.</w:t>
            </w:r>
          </w:p>
          <w:p w14:paraId="166FCB56" w14:textId="77777777" w:rsidR="009C3F59" w:rsidRPr="00617B9B" w:rsidRDefault="009C3F59" w:rsidP="00617B9B">
            <w:pPr>
              <w:jc w:val="both"/>
              <w:rPr>
                <w:rFonts w:ascii="Arial" w:hAnsi="Arial" w:cs="Arial"/>
              </w:rPr>
            </w:pPr>
          </w:p>
          <w:p w14:paraId="45CBA51F" w14:textId="6E753244" w:rsidR="00505F06" w:rsidRPr="006A00B8" w:rsidRDefault="00617B9B" w:rsidP="00617B9B">
            <w:pPr>
              <w:pStyle w:val="Body"/>
              <w:spacing w:after="0"/>
              <w:rPr>
                <w:rFonts w:ascii="Arial" w:eastAsia="Calibri" w:hAnsi="Arial" w:cs="Arial"/>
                <w:szCs w:val="22"/>
                <w:lang w:val="en-IN"/>
              </w:rPr>
            </w:pPr>
            <w:r w:rsidRPr="00617B9B">
              <w:rPr>
                <w:rFonts w:ascii="Arial" w:hAnsi="Arial" w:cs="Arial"/>
                <w:b/>
                <w:bCs/>
              </w:rPr>
              <w:t xml:space="preserve">Conclusion: </w:t>
            </w:r>
            <w:r w:rsidRPr="00617B9B">
              <w:rPr>
                <w:rFonts w:ascii="Arial" w:hAnsi="Arial" w:cs="Arial"/>
              </w:rPr>
              <w:t>The study found that low back pain and knee osteoarthritis were the most common musculoskeletal presentations, especially among middle-aged adults. NSAID–paracetamol combinations, particularly aceclofenac, were strongly preferred for their effectiveness and safety profile. Clinicians also emphasized lifestyle modification as a key adjunct to pharmacological therapy in managing musculoskeletal pain.</w:t>
            </w:r>
          </w:p>
        </w:tc>
      </w:tr>
    </w:tbl>
    <w:p w14:paraId="47F03EA8" w14:textId="77777777" w:rsidR="00636EB2" w:rsidRDefault="00636EB2" w:rsidP="00441B6F">
      <w:pPr>
        <w:pStyle w:val="Body"/>
        <w:spacing w:after="0"/>
        <w:rPr>
          <w:rFonts w:ascii="Arial" w:hAnsi="Arial" w:cs="Arial"/>
          <w:i/>
        </w:rPr>
      </w:pPr>
    </w:p>
    <w:p w14:paraId="66A07B2F" w14:textId="27F01B6F"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617B9B" w:rsidRPr="00617B9B">
        <w:rPr>
          <w:rFonts w:ascii="Arial" w:hAnsi="Arial" w:cs="Arial"/>
          <w:i/>
        </w:rPr>
        <w:t>Low back pain, Osteoarthritis, Aceclofenac, Paracetamol, Rheumatoid arthritis</w:t>
      </w:r>
      <w:r w:rsidR="0060737C" w:rsidRPr="0060737C">
        <w:rPr>
          <w:rFonts w:ascii="Arial" w:hAnsi="Arial" w:cs="Arial"/>
          <w:i/>
        </w:rPr>
        <w:t xml:space="preserve"> </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5448D852" w14:textId="4627B343" w:rsidR="003C7E4D" w:rsidRDefault="003C7E4D" w:rsidP="003C7E4D">
      <w:pPr>
        <w:spacing w:line="259" w:lineRule="auto"/>
        <w:jc w:val="both"/>
        <w:rPr>
          <w:rFonts w:ascii="Arial" w:hAnsi="Arial" w:cs="Arial"/>
          <w:vertAlign w:val="superscript"/>
        </w:rPr>
      </w:pPr>
      <w:r w:rsidRPr="003C7E4D">
        <w:rPr>
          <w:rFonts w:ascii="Arial" w:hAnsi="Arial" w:cs="Arial"/>
        </w:rPr>
        <w:t>Musculoskeletal disorders such as low back pain, osteoarthritis (OA), and rheumatoid arthritis (RA) are among the leading causes of disability worldwide.</w:t>
      </w:r>
      <w:r w:rsidRPr="003C7E4D">
        <w:rPr>
          <w:rFonts w:ascii="Arial" w:hAnsi="Arial" w:cs="Arial"/>
          <w:vertAlign w:val="superscript"/>
        </w:rPr>
        <w:t>1</w:t>
      </w:r>
      <w:r w:rsidRPr="003C7E4D">
        <w:rPr>
          <w:rFonts w:ascii="Arial" w:hAnsi="Arial" w:cs="Arial"/>
        </w:rPr>
        <w:t xml:space="preserve"> </w:t>
      </w:r>
      <w:r w:rsidRPr="003C7E4D">
        <w:rPr>
          <w:rFonts w:ascii="Arial" w:eastAsia="Calibri" w:hAnsi="Arial" w:cs="Arial"/>
          <w:lang w:val="en-IN"/>
        </w:rPr>
        <w:t xml:space="preserve">In 2020, an estimated </w:t>
      </w:r>
      <w:r w:rsidRPr="003C7E4D">
        <w:rPr>
          <w:rFonts w:ascii="Arial" w:eastAsia="Calibri" w:hAnsi="Arial" w:cs="Arial"/>
          <w:lang w:val="en-IN"/>
        </w:rPr>
        <w:lastRenderedPageBreak/>
        <w:t>595 million individuals were affected by OA, accounting for 7.6% of the global population, representing more than a two-fold increase since 1990</w:t>
      </w:r>
      <w:r w:rsidRPr="003C7E4D">
        <w:rPr>
          <w:rFonts w:ascii="Arial" w:hAnsi="Arial" w:cs="Arial"/>
        </w:rPr>
        <w:t xml:space="preserve">. </w:t>
      </w:r>
      <w:r w:rsidRPr="003C7E4D">
        <w:rPr>
          <w:rFonts w:ascii="Arial" w:eastAsia="Calibri" w:hAnsi="Arial" w:cs="Arial"/>
          <w:lang w:val="en-IN"/>
        </w:rPr>
        <w:t>By 2050, the global burden is projected to rise further, with cases of knee, hand, hip, and other forms of OA expected to increase by 74.9%, 48.6%, 78.6%, and 95.1%, respectively</w:t>
      </w:r>
      <w:r w:rsidRPr="003C7E4D">
        <w:rPr>
          <w:rFonts w:ascii="Arial" w:hAnsi="Arial" w:cs="Arial"/>
        </w:rPr>
        <w:t>.</w:t>
      </w:r>
      <w:r w:rsidRPr="003C7E4D">
        <w:rPr>
          <w:rFonts w:ascii="Arial" w:hAnsi="Arial" w:cs="Arial"/>
          <w:vertAlign w:val="superscript"/>
        </w:rPr>
        <w:t>2</w:t>
      </w:r>
      <w:r w:rsidRPr="003C7E4D">
        <w:rPr>
          <w:rFonts w:ascii="Arial" w:hAnsi="Arial" w:cs="Arial"/>
        </w:rPr>
        <w:t xml:space="preserve"> In India, community-based surveys from both rural and urban regions show a wide variation in OA prevalence among the elderly (&gt;65 years), with rural populations reporting a higher point prevalence compared to urban counterparts.</w:t>
      </w:r>
      <w:r w:rsidRPr="003C7E4D">
        <w:rPr>
          <w:rFonts w:ascii="Arial" w:hAnsi="Arial" w:cs="Arial"/>
          <w:vertAlign w:val="superscript"/>
        </w:rPr>
        <w:t>3,4</w:t>
      </w:r>
    </w:p>
    <w:p w14:paraId="010867C5" w14:textId="77777777" w:rsidR="003C7E4D" w:rsidRPr="003C7E4D" w:rsidRDefault="003C7E4D" w:rsidP="003C7E4D">
      <w:pPr>
        <w:spacing w:line="259" w:lineRule="auto"/>
        <w:jc w:val="both"/>
        <w:rPr>
          <w:rFonts w:ascii="Arial" w:hAnsi="Arial" w:cs="Arial"/>
        </w:rPr>
      </w:pPr>
    </w:p>
    <w:p w14:paraId="099FB435" w14:textId="77777777" w:rsidR="003C7E4D" w:rsidRDefault="003C7E4D" w:rsidP="003C7E4D">
      <w:pPr>
        <w:spacing w:line="259" w:lineRule="auto"/>
        <w:jc w:val="both"/>
        <w:rPr>
          <w:rFonts w:ascii="Arial" w:hAnsi="Arial" w:cs="Arial"/>
        </w:rPr>
      </w:pPr>
      <w:r w:rsidRPr="003C7E4D">
        <w:rPr>
          <w:rFonts w:ascii="Arial" w:hAnsi="Arial" w:cs="Arial"/>
        </w:rPr>
        <w:t xml:space="preserve">Pharmacological management of OA and related musculoskeletal conditions often involves non-steroidal anti-inflammatory drugs (NSAIDs), either alone or in combination with paracetamol, to enhance efficacy and tolerability. Aceclofenac, a widely used NSAID, has gained clinical importance due to its balanced efficacy and safety profile. It acts primarily through COX-2 inhibition, suppressing the production of inflammatory mediators such as prostaglandin E2 (PGE2), interleukin-1β (IL-1β), and tumor necrosis factor (TNF) within the arachidonic acid pathway. Additionally, aceclofenac reduces interleukin-6 (IL-6) activity via its metabolite diclofenac, lowers reactive oxygen species generation, and decreases nitric oxide production in human articular chondrocytes, contributing to its chondroprotective potential. </w:t>
      </w:r>
      <w:r w:rsidRPr="003C7E4D">
        <w:rPr>
          <w:rFonts w:ascii="Arial" w:eastAsia="Calibri" w:hAnsi="Arial" w:cs="Arial"/>
          <w:lang w:val="en-IN"/>
        </w:rPr>
        <w:t xml:space="preserve">The aceclofenac–paracetamol combination provides synergistic analgesia, as paracetamol complements aceclofenac by acting centrally, likely through inhibition of cyclooxygenase-3 (COX-3), which reduces prostaglandin synthesis and resets the hypothalamic thermoregulatory </w:t>
      </w:r>
      <w:proofErr w:type="spellStart"/>
      <w:r w:rsidRPr="003C7E4D">
        <w:rPr>
          <w:rFonts w:ascii="Arial" w:eastAsia="Calibri" w:hAnsi="Arial" w:cs="Arial"/>
          <w:lang w:val="en-IN"/>
        </w:rPr>
        <w:t>center</w:t>
      </w:r>
      <w:proofErr w:type="spellEnd"/>
      <w:r w:rsidRPr="003C7E4D">
        <w:rPr>
          <w:rFonts w:ascii="Arial" w:eastAsia="Calibri" w:hAnsi="Arial" w:cs="Arial"/>
          <w:lang w:val="en-IN"/>
        </w:rPr>
        <w:t xml:space="preserve"> to control fever</w:t>
      </w:r>
      <w:r w:rsidRPr="003C7E4D">
        <w:rPr>
          <w:rFonts w:ascii="Arial" w:hAnsi="Arial" w:cs="Arial"/>
        </w:rPr>
        <w:t>.</w:t>
      </w:r>
      <w:r w:rsidRPr="003C7E4D">
        <w:rPr>
          <w:rFonts w:ascii="Arial" w:hAnsi="Arial" w:cs="Arial"/>
          <w:vertAlign w:val="superscript"/>
        </w:rPr>
        <w:t xml:space="preserve">5,6 </w:t>
      </w:r>
      <w:r w:rsidRPr="003C7E4D">
        <w:rPr>
          <w:rFonts w:ascii="Arial" w:hAnsi="Arial" w:cs="Arial"/>
        </w:rPr>
        <w:t xml:space="preserve"> </w:t>
      </w:r>
    </w:p>
    <w:p w14:paraId="6C21D1AA" w14:textId="77777777" w:rsidR="003C7E4D" w:rsidRPr="003C7E4D" w:rsidRDefault="003C7E4D" w:rsidP="003C7E4D">
      <w:pPr>
        <w:spacing w:line="259" w:lineRule="auto"/>
        <w:jc w:val="both"/>
        <w:rPr>
          <w:rFonts w:ascii="Arial" w:hAnsi="Arial" w:cs="Arial"/>
        </w:rPr>
      </w:pPr>
    </w:p>
    <w:p w14:paraId="44A122D9" w14:textId="4ED116BE" w:rsidR="00B01FCD" w:rsidRPr="003C7E4D" w:rsidRDefault="003C7E4D" w:rsidP="003C7E4D">
      <w:pPr>
        <w:jc w:val="both"/>
        <w:rPr>
          <w:rFonts w:ascii="Arial" w:hAnsi="Arial" w:cs="Arial"/>
          <w:lang w:val="en-IN"/>
        </w:rPr>
      </w:pPr>
      <w:r w:rsidRPr="003C7E4D">
        <w:rPr>
          <w:rFonts w:ascii="Arial" w:eastAsia="Calibri" w:hAnsi="Arial" w:cs="Arial"/>
          <w:lang w:val="en-IN"/>
        </w:rPr>
        <w:t xml:space="preserve">The present </w:t>
      </w:r>
      <w:r w:rsidRPr="003C7E4D">
        <w:rPr>
          <w:rFonts w:ascii="Arial" w:eastAsia="Calibri" w:hAnsi="Arial" w:cs="Arial"/>
        </w:rPr>
        <w:t>study</w:t>
      </w:r>
      <w:r w:rsidRPr="003C7E4D">
        <w:rPr>
          <w:rFonts w:ascii="Arial" w:eastAsia="Calibri" w:hAnsi="Arial" w:cs="Arial"/>
          <w:lang w:val="en-IN"/>
        </w:rPr>
        <w:t xml:space="preserve"> aims to </w:t>
      </w:r>
      <w:r w:rsidRPr="003C7E4D">
        <w:rPr>
          <w:rFonts w:ascii="Arial" w:eastAsia="Calibri" w:hAnsi="Arial" w:cs="Arial"/>
        </w:rPr>
        <w:t>gather</w:t>
      </w:r>
      <w:r w:rsidRPr="003C7E4D">
        <w:rPr>
          <w:rFonts w:ascii="Arial" w:eastAsia="Calibri" w:hAnsi="Arial" w:cs="Arial"/>
          <w:lang w:val="en-IN"/>
        </w:rPr>
        <w:t xml:space="preserve"> clinicians’ perspectives on the management of musculoskeletal pain in India, with a particular focus on the use of NSAIDs and aceclofenac–paracetamol combination therapies, especially aceclofenac, in OA and RA.</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4D056A6F" w14:textId="77777777" w:rsidR="003C7E4D" w:rsidRPr="003C7E4D" w:rsidRDefault="003C7E4D" w:rsidP="003C7E4D">
      <w:pPr>
        <w:spacing w:before="240" w:after="240"/>
        <w:jc w:val="both"/>
        <w:rPr>
          <w:rFonts w:ascii="Arial" w:hAnsi="Arial" w:cs="Arial"/>
        </w:rPr>
      </w:pPr>
      <w:r w:rsidRPr="003C7E4D">
        <w:rPr>
          <w:rFonts w:ascii="Arial" w:hAnsi="Arial" w:cs="Arial"/>
        </w:rPr>
        <w:t>We carried out a cross-sectional study among clinicians involved in the management of musculoskeletal pain across India from June 2024 to December 2024. The study was conducted after receiving approval from Bangalore Ethics, an Independent Ethics Committee, which was recognized by the Indian Regulatory Authority, the Drug Controller General of India.</w:t>
      </w:r>
    </w:p>
    <w:p w14:paraId="75AC4363" w14:textId="63D1038E" w:rsidR="00296453" w:rsidRPr="00296453" w:rsidRDefault="003C7E4D" w:rsidP="003C7E4D">
      <w:pPr>
        <w:spacing w:before="240" w:after="240"/>
        <w:jc w:val="both"/>
        <w:rPr>
          <w:rFonts w:ascii="Arial" w:hAnsi="Arial" w:cs="Arial"/>
        </w:rPr>
      </w:pPr>
      <w:r w:rsidRPr="003C7E4D">
        <w:rPr>
          <w:rFonts w:ascii="Arial" w:hAnsi="Arial" w:cs="Arial"/>
        </w:rPr>
        <w:t xml:space="preserve">A convenient sampling technique was used, and an invitation was sent to leading clinicians in managing musculoskeletal pain in the month of March 2024 for participation in this Indian survey. About 511 clinicians from major cities of all Indian states, representing the geographical distribution, shared their willingness to participate and provide necessary data. The questionnaire booklet titled RAISE (Expert Perspectives of Analgesics in Pain Management in the Indian Scenario) was sent to clinicians who were interested in participating in this study. The study questionnaire consisted of 22 items assessing key aspects such as clinical practices, treatment preferences, and trends in the use of NSAIDs and aceclofenac-paracetamol combination for musculoskeletal pain. 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w:t>
      </w:r>
      <w:r w:rsidRPr="003C7E4D">
        <w:rPr>
          <w:rFonts w:ascii="Arial" w:hAnsi="Arial" w:cs="Arial"/>
        </w:rPr>
        <w:lastRenderedPageBreak/>
        <w:t>complete the questionnaire independently, without consulting their colleagues. Written informed consent was obtained from all participants before the study commenced.</w:t>
      </w:r>
    </w:p>
    <w:p w14:paraId="6CA22E97" w14:textId="77777777" w:rsidR="00296453" w:rsidRPr="00296453" w:rsidRDefault="00296453" w:rsidP="00296453">
      <w:pPr>
        <w:jc w:val="both"/>
        <w:rPr>
          <w:rFonts w:ascii="Arial" w:hAnsi="Arial" w:cs="Arial"/>
          <w:b/>
          <w:bCs/>
          <w:lang w:val="en-GB"/>
        </w:rPr>
      </w:pPr>
      <w:r w:rsidRPr="00296453">
        <w:rPr>
          <w:rFonts w:ascii="Arial" w:hAnsi="Arial" w:cs="Arial"/>
          <w:b/>
          <w:bCs/>
          <w:lang w:val="en-GB"/>
        </w:rPr>
        <w:t xml:space="preserve">Statistical analysis  </w:t>
      </w:r>
    </w:p>
    <w:p w14:paraId="2DF73FDC" w14:textId="73FE21AB" w:rsidR="003F71EF" w:rsidRPr="00296453" w:rsidRDefault="003C7E4D" w:rsidP="00296453">
      <w:pPr>
        <w:jc w:val="both"/>
        <w:rPr>
          <w:rFonts w:ascii="Arial" w:hAnsi="Arial" w:cs="Arial"/>
        </w:rPr>
      </w:pPr>
      <w:r w:rsidRPr="003C7E4D">
        <w:rPr>
          <w:rFonts w:ascii="Arial" w:eastAsia="Calibri" w:hAnsi="Arial" w:cs="Arial"/>
          <w:lang w:val="en-GB"/>
        </w:rPr>
        <w:t xml:space="preserve">Data were </w:t>
      </w:r>
      <w:proofErr w:type="spellStart"/>
      <w:r w:rsidRPr="003C7E4D">
        <w:rPr>
          <w:rFonts w:ascii="Arial" w:eastAsia="Calibri" w:hAnsi="Arial" w:cs="Arial"/>
          <w:lang w:val="en-GB"/>
        </w:rPr>
        <w:t>analyzed</w:t>
      </w:r>
      <w:proofErr w:type="spellEnd"/>
      <w:r w:rsidRPr="003C7E4D">
        <w:rPr>
          <w:rFonts w:ascii="Arial" w:eastAsia="Calibri" w:hAnsi="Arial" w:cs="Arial"/>
          <w:lang w:val="en-GB"/>
        </w:rPr>
        <w:t xml:space="preserve"> using descriptive statistics, with categorical variables summarized as frequencies and percentages. Graphs and pie charts were generated using Microsoft Excel 2013 (version 16.0.13901.20400) to visually present the findings.</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6076E7A1" w14:textId="742FA750" w:rsidR="004F4227" w:rsidRDefault="003C7E4D" w:rsidP="004F4227">
      <w:pPr>
        <w:pStyle w:val="Body"/>
        <w:rPr>
          <w:rFonts w:ascii="Arial" w:hAnsi="Arial" w:cs="Arial"/>
        </w:rPr>
      </w:pPr>
      <w:r w:rsidRPr="003C7E4D">
        <w:rPr>
          <w:rFonts w:ascii="Arial" w:hAnsi="Arial" w:cs="Arial"/>
        </w:rPr>
        <w:t>Out of 511 survey participants, 40.12% indicated that 20–30% of their patients present with musculoskeletal pain in clinical practice. Regarding analgesic preferences, the majority (84.15%) favored oral tablets for managing musculoskeletal pain. Additionally, 45% of respondents reported that 20–30% of their patients experience low back pain. Nearly 60% of participants identified 40–50 years as the most commonly affected age group for low back pain (Fig. 1).</w:t>
      </w:r>
    </w:p>
    <w:p w14:paraId="4047F87C" w14:textId="572CB0ED" w:rsidR="003C7E4D" w:rsidRDefault="003C7E4D" w:rsidP="004F4227">
      <w:pPr>
        <w:pStyle w:val="Body"/>
        <w:rPr>
          <w:rFonts w:ascii="Arial" w:hAnsi="Arial" w:cs="Arial"/>
        </w:rPr>
      </w:pPr>
      <w:r>
        <w:rPr>
          <w:noProof/>
        </w:rPr>
        <w:drawing>
          <wp:inline distT="0" distB="0" distL="0" distR="0" wp14:anchorId="688C561A" wp14:editId="6AD013C3">
            <wp:extent cx="4572000" cy="2743200"/>
            <wp:effectExtent l="0" t="0" r="0" b="0"/>
            <wp:docPr id="587583846" name="Chart 1">
              <a:extLst xmlns:a="http://schemas.openxmlformats.org/drawingml/2006/main">
                <a:ext uri="{FF2B5EF4-FFF2-40B4-BE49-F238E27FC236}">
                  <a16:creationId xmlns:a16="http://schemas.microsoft.com/office/drawing/2014/main" id="{4FA6E68A-B5EB-0133-E7B1-A56E7EE6E7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6C3056" w14:textId="34B73E7F" w:rsidR="003C7E4D" w:rsidRDefault="003C7E4D" w:rsidP="004F4227">
      <w:pPr>
        <w:pStyle w:val="Body"/>
        <w:rPr>
          <w:rFonts w:ascii="Arial" w:hAnsi="Arial" w:cs="Arial"/>
          <w:b/>
          <w:bCs/>
        </w:rPr>
      </w:pPr>
      <w:r w:rsidRPr="003C7E4D">
        <w:rPr>
          <w:rFonts w:ascii="Arial" w:hAnsi="Arial" w:cs="Arial"/>
          <w:b/>
          <w:bCs/>
        </w:rPr>
        <w:t>Fig. 1: Distribution of responses on the age group of patients present with low back pain</w:t>
      </w:r>
    </w:p>
    <w:p w14:paraId="1FE94DBA" w14:textId="77777777" w:rsidR="003C7E4D" w:rsidRPr="003C7E4D" w:rsidRDefault="003C7E4D" w:rsidP="003C7E4D">
      <w:pPr>
        <w:pStyle w:val="Body"/>
        <w:rPr>
          <w:rFonts w:ascii="Arial" w:hAnsi="Arial" w:cs="Arial"/>
        </w:rPr>
      </w:pPr>
      <w:r w:rsidRPr="003C7E4D">
        <w:rPr>
          <w:rFonts w:ascii="Arial" w:hAnsi="Arial" w:cs="Arial"/>
        </w:rPr>
        <w:t>Approximately 56% of participants reported that the prevalence of low back pain is equally distributed between both genders. Around 58% indicated low back pain as the most common complaint among all pain presentations. Similarly, 58% of respondents noted that 11–25% of their patients experience OA pain in clinical practice. The majority (83.56%) stated knee joint involvement as the most predominant presentation of OA cases (Table 1).</w:t>
      </w:r>
    </w:p>
    <w:p w14:paraId="0FA64FB0" w14:textId="77777777" w:rsidR="003C7E4D" w:rsidRDefault="003C7E4D" w:rsidP="003C7E4D">
      <w:pPr>
        <w:pStyle w:val="Body"/>
        <w:rPr>
          <w:rFonts w:ascii="Arial" w:hAnsi="Arial" w:cs="Arial"/>
        </w:rPr>
      </w:pPr>
      <w:r w:rsidRPr="003C7E4D">
        <w:rPr>
          <w:rFonts w:ascii="Arial" w:hAnsi="Arial" w:cs="Arial"/>
        </w:rPr>
        <w:t>Around 59% of respondents identified obesity as the most prevalent modifiable risk factor for the development of OA. Furthermore, 81% of participants indicated that the most common clinical presentation of knee OA is joint pain accompanied by swelling (Table 2).</w:t>
      </w:r>
      <w:r>
        <w:rPr>
          <w:rFonts w:ascii="Arial" w:hAnsi="Arial" w:cs="Arial"/>
        </w:rPr>
        <w:t xml:space="preserve"> </w:t>
      </w:r>
    </w:p>
    <w:p w14:paraId="7DE91101" w14:textId="0C70979A" w:rsidR="003C7E4D" w:rsidRDefault="003C7E4D" w:rsidP="003C7E4D">
      <w:pPr>
        <w:pStyle w:val="Body"/>
        <w:rPr>
          <w:rFonts w:ascii="Arial" w:hAnsi="Arial" w:cs="Arial"/>
          <w:b/>
          <w:bCs/>
        </w:rPr>
      </w:pPr>
      <w:r w:rsidRPr="003C7E4D">
        <w:rPr>
          <w:rFonts w:ascii="Arial" w:hAnsi="Arial" w:cs="Arial"/>
          <w:b/>
          <w:bCs/>
        </w:rPr>
        <w:t>Table 1: Distribution of responses on the most common OA reported by patients in clinical practice</w:t>
      </w:r>
    </w:p>
    <w:tbl>
      <w:tblPr>
        <w:tblW w:w="7513" w:type="dxa"/>
        <w:tblCellMar>
          <w:left w:w="0" w:type="dxa"/>
          <w:right w:w="0" w:type="dxa"/>
        </w:tblCellMar>
        <w:tblLook w:val="04A0" w:firstRow="1" w:lastRow="0" w:firstColumn="1" w:lastColumn="0" w:noHBand="0" w:noVBand="1"/>
      </w:tblPr>
      <w:tblGrid>
        <w:gridCol w:w="4962"/>
        <w:gridCol w:w="2551"/>
      </w:tblGrid>
      <w:tr w:rsidR="003C7E4D" w:rsidRPr="001D4D58" w14:paraId="41464C9C" w14:textId="77777777" w:rsidTr="003C7E4D">
        <w:trPr>
          <w:trHeight w:val="300"/>
        </w:trPr>
        <w:tc>
          <w:tcPr>
            <w:tcW w:w="4962"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613954B5" w14:textId="77777777" w:rsidR="003C7E4D" w:rsidRPr="003C7E4D" w:rsidRDefault="003C7E4D" w:rsidP="00C214A6">
            <w:pPr>
              <w:jc w:val="center"/>
              <w:rPr>
                <w:rFonts w:ascii="Arial" w:hAnsi="Arial" w:cs="Arial"/>
                <w:b/>
                <w:bCs/>
              </w:rPr>
            </w:pPr>
            <w:r w:rsidRPr="003C7E4D">
              <w:rPr>
                <w:rFonts w:ascii="Arial" w:hAnsi="Arial" w:cs="Arial"/>
                <w:b/>
                <w:bCs/>
              </w:rPr>
              <w:lastRenderedPageBreak/>
              <w:t>Common osteoarthritis</w:t>
            </w:r>
          </w:p>
        </w:tc>
        <w:tc>
          <w:tcPr>
            <w:tcW w:w="2551"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6F739C76" w14:textId="77777777" w:rsidR="003C7E4D" w:rsidRPr="003C7E4D" w:rsidRDefault="003C7E4D" w:rsidP="00C214A6">
            <w:pPr>
              <w:jc w:val="both"/>
              <w:rPr>
                <w:rFonts w:ascii="Arial" w:hAnsi="Arial" w:cs="Arial"/>
                <w:b/>
                <w:bCs/>
              </w:rPr>
            </w:pPr>
            <w:r w:rsidRPr="003C7E4D">
              <w:rPr>
                <w:rFonts w:ascii="Arial" w:hAnsi="Arial" w:cs="Arial"/>
                <w:b/>
                <w:bCs/>
              </w:rPr>
              <w:t>Response rate (n = 511)</w:t>
            </w:r>
          </w:p>
        </w:tc>
      </w:tr>
      <w:tr w:rsidR="003C7E4D" w:rsidRPr="001D4D58" w14:paraId="5B8D6F99" w14:textId="77777777" w:rsidTr="003C7E4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F5CC52" w14:textId="77777777" w:rsidR="003C7E4D" w:rsidRPr="003C7E4D" w:rsidRDefault="003C7E4D" w:rsidP="00C214A6">
            <w:pPr>
              <w:jc w:val="center"/>
              <w:rPr>
                <w:rFonts w:ascii="Arial" w:hAnsi="Arial" w:cs="Arial"/>
              </w:rPr>
            </w:pPr>
            <w:r w:rsidRPr="003C7E4D">
              <w:rPr>
                <w:rFonts w:ascii="Arial" w:hAnsi="Arial" w:cs="Arial"/>
              </w:rPr>
              <w:t>Hip joint</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C42DA" w14:textId="77777777" w:rsidR="003C7E4D" w:rsidRPr="003C7E4D" w:rsidRDefault="003C7E4D" w:rsidP="00C214A6">
            <w:pPr>
              <w:jc w:val="center"/>
              <w:rPr>
                <w:rFonts w:ascii="Arial" w:hAnsi="Arial" w:cs="Arial"/>
              </w:rPr>
            </w:pPr>
            <w:r w:rsidRPr="003C7E4D">
              <w:rPr>
                <w:rFonts w:ascii="Arial" w:hAnsi="Arial" w:cs="Arial"/>
              </w:rPr>
              <w:t>2.94%</w:t>
            </w:r>
          </w:p>
        </w:tc>
      </w:tr>
      <w:tr w:rsidR="003C7E4D" w:rsidRPr="001D4D58" w14:paraId="24323502" w14:textId="77777777" w:rsidTr="003C7E4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FF2895" w14:textId="77777777" w:rsidR="003C7E4D" w:rsidRPr="003C7E4D" w:rsidRDefault="003C7E4D" w:rsidP="00C214A6">
            <w:pPr>
              <w:jc w:val="center"/>
              <w:rPr>
                <w:rFonts w:ascii="Arial" w:hAnsi="Arial" w:cs="Arial"/>
              </w:rPr>
            </w:pPr>
            <w:r w:rsidRPr="003C7E4D">
              <w:rPr>
                <w:rFonts w:ascii="Arial" w:hAnsi="Arial" w:cs="Arial"/>
              </w:rPr>
              <w:t>Knee joint</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4BA76" w14:textId="77777777" w:rsidR="003C7E4D" w:rsidRPr="003C7E4D" w:rsidRDefault="003C7E4D" w:rsidP="00C214A6">
            <w:pPr>
              <w:jc w:val="center"/>
              <w:rPr>
                <w:rFonts w:ascii="Arial" w:hAnsi="Arial" w:cs="Arial"/>
              </w:rPr>
            </w:pPr>
            <w:r w:rsidRPr="003C7E4D">
              <w:rPr>
                <w:rFonts w:ascii="Arial" w:hAnsi="Arial" w:cs="Arial"/>
              </w:rPr>
              <w:t>83.56%</w:t>
            </w:r>
          </w:p>
        </w:tc>
      </w:tr>
      <w:tr w:rsidR="003C7E4D" w:rsidRPr="001D4D58" w14:paraId="34D6204F" w14:textId="77777777" w:rsidTr="003C7E4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285609" w14:textId="77777777" w:rsidR="003C7E4D" w:rsidRPr="003C7E4D" w:rsidRDefault="003C7E4D" w:rsidP="00C214A6">
            <w:pPr>
              <w:jc w:val="center"/>
              <w:rPr>
                <w:rFonts w:ascii="Arial" w:hAnsi="Arial" w:cs="Arial"/>
              </w:rPr>
            </w:pPr>
            <w:r w:rsidRPr="003C7E4D">
              <w:rPr>
                <w:rFonts w:ascii="Arial" w:hAnsi="Arial" w:cs="Arial"/>
              </w:rPr>
              <w:t>Diffused throughout the body</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9559C" w14:textId="77777777" w:rsidR="003C7E4D" w:rsidRPr="003C7E4D" w:rsidRDefault="003C7E4D" w:rsidP="00C214A6">
            <w:pPr>
              <w:jc w:val="center"/>
              <w:rPr>
                <w:rFonts w:ascii="Arial" w:hAnsi="Arial" w:cs="Arial"/>
              </w:rPr>
            </w:pPr>
            <w:r w:rsidRPr="003C7E4D">
              <w:rPr>
                <w:rFonts w:ascii="Arial" w:hAnsi="Arial" w:cs="Arial"/>
              </w:rPr>
              <w:t>13.5%</w:t>
            </w:r>
          </w:p>
        </w:tc>
      </w:tr>
    </w:tbl>
    <w:p w14:paraId="52D053A1" w14:textId="77777777" w:rsidR="003C7E4D" w:rsidRDefault="003C7E4D" w:rsidP="003C7E4D">
      <w:pPr>
        <w:pStyle w:val="Body"/>
        <w:rPr>
          <w:rFonts w:ascii="Arial" w:hAnsi="Arial" w:cs="Arial"/>
          <w:b/>
          <w:bCs/>
        </w:rPr>
      </w:pPr>
    </w:p>
    <w:p w14:paraId="6432F8AB" w14:textId="76E58941" w:rsidR="003C7E4D" w:rsidRDefault="003C7E4D" w:rsidP="003C7E4D">
      <w:pPr>
        <w:pStyle w:val="Body"/>
        <w:rPr>
          <w:rFonts w:ascii="Arial" w:hAnsi="Arial" w:cs="Arial"/>
          <w:b/>
          <w:bCs/>
        </w:rPr>
      </w:pPr>
      <w:r w:rsidRPr="003C7E4D">
        <w:rPr>
          <w:rFonts w:ascii="Arial" w:hAnsi="Arial" w:cs="Arial"/>
          <w:b/>
          <w:bCs/>
        </w:rPr>
        <w:t>Table 2: Distribution of responses on the most common presentation of knee OA</w:t>
      </w:r>
    </w:p>
    <w:tbl>
      <w:tblPr>
        <w:tblW w:w="7333" w:type="dxa"/>
        <w:tblCellMar>
          <w:left w:w="0" w:type="dxa"/>
          <w:right w:w="0" w:type="dxa"/>
        </w:tblCellMar>
        <w:tblLook w:val="04A0" w:firstRow="1" w:lastRow="0" w:firstColumn="1" w:lastColumn="0" w:noHBand="0" w:noVBand="1"/>
      </w:tblPr>
      <w:tblGrid>
        <w:gridCol w:w="4326"/>
        <w:gridCol w:w="3007"/>
      </w:tblGrid>
      <w:tr w:rsidR="003C7E4D" w:rsidRPr="001D4D58" w14:paraId="112DDCAB" w14:textId="77777777" w:rsidTr="003C7E4D">
        <w:trPr>
          <w:trHeight w:val="287"/>
        </w:trPr>
        <w:tc>
          <w:tcPr>
            <w:tcW w:w="4326"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B2BD0DC" w14:textId="77777777" w:rsidR="003C7E4D" w:rsidRPr="003C7E4D" w:rsidRDefault="003C7E4D" w:rsidP="00C214A6">
            <w:pPr>
              <w:jc w:val="center"/>
              <w:rPr>
                <w:rFonts w:ascii="Arial" w:hAnsi="Arial" w:cs="Arial"/>
                <w:b/>
                <w:bCs/>
              </w:rPr>
            </w:pPr>
            <w:r w:rsidRPr="003C7E4D">
              <w:rPr>
                <w:rFonts w:ascii="Arial" w:hAnsi="Arial" w:cs="Arial"/>
                <w:b/>
                <w:bCs/>
              </w:rPr>
              <w:t>Presentation</w:t>
            </w:r>
          </w:p>
        </w:tc>
        <w:tc>
          <w:tcPr>
            <w:tcW w:w="3007"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2AF842F8" w14:textId="77777777" w:rsidR="003C7E4D" w:rsidRPr="003C7E4D" w:rsidRDefault="003C7E4D" w:rsidP="00C214A6">
            <w:pPr>
              <w:jc w:val="both"/>
              <w:rPr>
                <w:rFonts w:ascii="Arial" w:hAnsi="Arial" w:cs="Arial"/>
                <w:b/>
                <w:bCs/>
              </w:rPr>
            </w:pPr>
            <w:r w:rsidRPr="003C7E4D">
              <w:rPr>
                <w:rFonts w:ascii="Arial" w:hAnsi="Arial" w:cs="Arial"/>
                <w:b/>
                <w:bCs/>
              </w:rPr>
              <w:t>Response rate (n = 511)</w:t>
            </w:r>
          </w:p>
        </w:tc>
      </w:tr>
      <w:tr w:rsidR="003C7E4D" w:rsidRPr="001D4D58" w14:paraId="6217CF3D" w14:textId="77777777" w:rsidTr="003C7E4D">
        <w:trPr>
          <w:trHeight w:val="287"/>
        </w:trPr>
        <w:tc>
          <w:tcPr>
            <w:tcW w:w="432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7744EB" w14:textId="77777777" w:rsidR="003C7E4D" w:rsidRPr="003C7E4D" w:rsidRDefault="003C7E4D" w:rsidP="00C214A6">
            <w:pPr>
              <w:jc w:val="center"/>
              <w:rPr>
                <w:rFonts w:ascii="Arial" w:hAnsi="Arial" w:cs="Arial"/>
              </w:rPr>
            </w:pPr>
            <w:r w:rsidRPr="003C7E4D">
              <w:rPr>
                <w:rFonts w:ascii="Arial" w:hAnsi="Arial" w:cs="Arial"/>
              </w:rPr>
              <w:t>Prolonged morning stiffness</w:t>
            </w:r>
          </w:p>
        </w:tc>
        <w:tc>
          <w:tcPr>
            <w:tcW w:w="30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BB913" w14:textId="77777777" w:rsidR="003C7E4D" w:rsidRPr="003C7E4D" w:rsidRDefault="003C7E4D" w:rsidP="00C214A6">
            <w:pPr>
              <w:jc w:val="center"/>
              <w:rPr>
                <w:rFonts w:ascii="Arial" w:hAnsi="Arial" w:cs="Arial"/>
              </w:rPr>
            </w:pPr>
            <w:r w:rsidRPr="003C7E4D">
              <w:rPr>
                <w:rFonts w:ascii="Arial" w:hAnsi="Arial" w:cs="Arial"/>
              </w:rPr>
              <w:t>10.18%</w:t>
            </w:r>
          </w:p>
        </w:tc>
      </w:tr>
      <w:tr w:rsidR="003C7E4D" w:rsidRPr="001D4D58" w14:paraId="20D0C002" w14:textId="77777777" w:rsidTr="003C7E4D">
        <w:trPr>
          <w:trHeight w:val="287"/>
        </w:trPr>
        <w:tc>
          <w:tcPr>
            <w:tcW w:w="432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763FFC" w14:textId="77777777" w:rsidR="003C7E4D" w:rsidRPr="003C7E4D" w:rsidRDefault="003C7E4D" w:rsidP="00C214A6">
            <w:pPr>
              <w:jc w:val="center"/>
              <w:rPr>
                <w:rFonts w:ascii="Arial" w:hAnsi="Arial" w:cs="Arial"/>
              </w:rPr>
            </w:pPr>
            <w:r w:rsidRPr="003C7E4D">
              <w:rPr>
                <w:rFonts w:ascii="Arial" w:hAnsi="Arial" w:cs="Arial"/>
              </w:rPr>
              <w:t>Joint pain &amp; swelling</w:t>
            </w:r>
          </w:p>
        </w:tc>
        <w:tc>
          <w:tcPr>
            <w:tcW w:w="30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8184CF" w14:textId="77777777" w:rsidR="003C7E4D" w:rsidRPr="003C7E4D" w:rsidRDefault="003C7E4D" w:rsidP="00C214A6">
            <w:pPr>
              <w:jc w:val="center"/>
              <w:rPr>
                <w:rFonts w:ascii="Arial" w:hAnsi="Arial" w:cs="Arial"/>
              </w:rPr>
            </w:pPr>
            <w:r w:rsidRPr="003C7E4D">
              <w:rPr>
                <w:rFonts w:ascii="Arial" w:hAnsi="Arial" w:cs="Arial"/>
              </w:rPr>
              <w:t>80.63%</w:t>
            </w:r>
          </w:p>
        </w:tc>
      </w:tr>
      <w:tr w:rsidR="003C7E4D" w:rsidRPr="001D4D58" w14:paraId="42A7974B" w14:textId="77777777" w:rsidTr="003C7E4D">
        <w:trPr>
          <w:trHeight w:val="287"/>
        </w:trPr>
        <w:tc>
          <w:tcPr>
            <w:tcW w:w="432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62D928" w14:textId="77777777" w:rsidR="003C7E4D" w:rsidRPr="003C7E4D" w:rsidRDefault="003C7E4D" w:rsidP="00C214A6">
            <w:pPr>
              <w:jc w:val="center"/>
              <w:rPr>
                <w:rFonts w:ascii="Arial" w:hAnsi="Arial" w:cs="Arial"/>
              </w:rPr>
            </w:pPr>
            <w:r w:rsidRPr="003C7E4D">
              <w:rPr>
                <w:rFonts w:ascii="Arial" w:hAnsi="Arial" w:cs="Arial"/>
              </w:rPr>
              <w:t>Rapid progressive pain</w:t>
            </w:r>
          </w:p>
        </w:tc>
        <w:tc>
          <w:tcPr>
            <w:tcW w:w="30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19180" w14:textId="77777777" w:rsidR="003C7E4D" w:rsidRPr="003C7E4D" w:rsidRDefault="003C7E4D" w:rsidP="00C214A6">
            <w:pPr>
              <w:jc w:val="center"/>
              <w:rPr>
                <w:rFonts w:ascii="Arial" w:hAnsi="Arial" w:cs="Arial"/>
              </w:rPr>
            </w:pPr>
            <w:r w:rsidRPr="003C7E4D">
              <w:rPr>
                <w:rFonts w:ascii="Arial" w:hAnsi="Arial" w:cs="Arial"/>
              </w:rPr>
              <w:t>9.2%</w:t>
            </w:r>
          </w:p>
        </w:tc>
      </w:tr>
    </w:tbl>
    <w:p w14:paraId="0C1D9DA0" w14:textId="77777777" w:rsidR="003C7E4D" w:rsidRDefault="003C7E4D" w:rsidP="003C7E4D">
      <w:pPr>
        <w:pStyle w:val="Body"/>
        <w:rPr>
          <w:rFonts w:ascii="Arial" w:hAnsi="Arial" w:cs="Arial"/>
          <w:b/>
          <w:bCs/>
        </w:rPr>
      </w:pPr>
    </w:p>
    <w:p w14:paraId="430BB816" w14:textId="77777777" w:rsidR="003C7E4D" w:rsidRPr="003C7E4D" w:rsidRDefault="003C7E4D" w:rsidP="003C7E4D">
      <w:pPr>
        <w:pStyle w:val="Body"/>
        <w:rPr>
          <w:rFonts w:ascii="Arial" w:hAnsi="Arial" w:cs="Arial"/>
        </w:rPr>
      </w:pPr>
      <w:r w:rsidRPr="003C7E4D">
        <w:rPr>
          <w:rFonts w:ascii="Arial" w:hAnsi="Arial" w:cs="Arial"/>
        </w:rPr>
        <w:t>Approximately 61% of participants reported that the peak age group for OA presentation in clinical practice is 41–60 years. In terms of management, 69% of respondents indicated that the combination of NSAIDs and paracetamol is the preferred first-line treatment for OA (Fig. 2).</w:t>
      </w:r>
    </w:p>
    <w:p w14:paraId="04DA6C10" w14:textId="33A1EB06" w:rsidR="003C7E4D" w:rsidRDefault="003C7E4D" w:rsidP="003C7E4D">
      <w:pPr>
        <w:pStyle w:val="Body"/>
        <w:rPr>
          <w:rFonts w:ascii="Arial" w:hAnsi="Arial" w:cs="Arial"/>
        </w:rPr>
      </w:pPr>
      <w:r w:rsidRPr="003C7E4D">
        <w:rPr>
          <w:rFonts w:ascii="Arial" w:hAnsi="Arial" w:cs="Arial"/>
        </w:rPr>
        <w:t>The majority of respondents (64%) identified OA as the leading cause of disability. Nearly half of the participants (49.12%) reported that the predominant age group affected by RA is 40–60 years. In terms of management, 58% indicated that NSAIDs are the most commonly prescribed medications for RA pain. As reported by 78% of participants, aceclofenac is the preferred drug for treating arthritic pain among NSAIDs (Fig. 3).</w:t>
      </w:r>
    </w:p>
    <w:p w14:paraId="43619813" w14:textId="2D8B91D7" w:rsidR="003C7E4D" w:rsidRDefault="003C7E4D" w:rsidP="003C7E4D">
      <w:pPr>
        <w:pStyle w:val="Body"/>
        <w:rPr>
          <w:rFonts w:ascii="Arial" w:hAnsi="Arial" w:cs="Arial"/>
        </w:rPr>
      </w:pPr>
      <w:r>
        <w:rPr>
          <w:noProof/>
        </w:rPr>
        <w:drawing>
          <wp:inline distT="0" distB="0" distL="0" distR="0" wp14:anchorId="5E66B2E1" wp14:editId="24E95069">
            <wp:extent cx="4572000" cy="2743200"/>
            <wp:effectExtent l="0" t="0" r="0" b="0"/>
            <wp:docPr id="1600413903" name="Chart 1">
              <a:extLst xmlns:a="http://schemas.openxmlformats.org/drawingml/2006/main">
                <a:ext uri="{FF2B5EF4-FFF2-40B4-BE49-F238E27FC236}">
                  <a16:creationId xmlns:a16="http://schemas.microsoft.com/office/drawing/2014/main" id="{0D7EE73B-A9E5-0400-8C00-D100709230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D5D569" w14:textId="668AA166" w:rsidR="003C7E4D" w:rsidRDefault="003C7E4D" w:rsidP="003C7E4D">
      <w:pPr>
        <w:pStyle w:val="Body"/>
        <w:rPr>
          <w:rFonts w:ascii="Arial" w:hAnsi="Arial" w:cs="Arial"/>
          <w:b/>
          <w:bCs/>
        </w:rPr>
      </w:pPr>
      <w:r w:rsidRPr="003C7E4D">
        <w:rPr>
          <w:rFonts w:ascii="Arial" w:hAnsi="Arial" w:cs="Arial"/>
          <w:b/>
          <w:bCs/>
        </w:rPr>
        <w:t>Fig. 2: Distribution of responses on the first line of preference in management of OA</w:t>
      </w:r>
    </w:p>
    <w:p w14:paraId="077C2579" w14:textId="6C012DA1" w:rsidR="003C7E4D" w:rsidRDefault="003C7E4D" w:rsidP="003C7E4D">
      <w:pPr>
        <w:pStyle w:val="Body"/>
        <w:rPr>
          <w:rFonts w:ascii="Arial" w:hAnsi="Arial" w:cs="Arial"/>
          <w:b/>
          <w:bCs/>
        </w:rPr>
      </w:pPr>
      <w:r>
        <w:rPr>
          <w:noProof/>
        </w:rPr>
        <w:lastRenderedPageBreak/>
        <w:drawing>
          <wp:inline distT="0" distB="0" distL="0" distR="0" wp14:anchorId="044076D9" wp14:editId="381C11F6">
            <wp:extent cx="4572000" cy="2743200"/>
            <wp:effectExtent l="0" t="0" r="0" b="0"/>
            <wp:docPr id="366590021" name="Chart 1">
              <a:extLst xmlns:a="http://schemas.openxmlformats.org/drawingml/2006/main">
                <a:ext uri="{FF2B5EF4-FFF2-40B4-BE49-F238E27FC236}">
                  <a16:creationId xmlns:a16="http://schemas.microsoft.com/office/drawing/2014/main" id="{7677F6C2-70AA-77D8-5E87-D2FD925ED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B2EB5C" w14:textId="51E19B74" w:rsidR="003C7E4D" w:rsidRPr="003C7E4D" w:rsidRDefault="003C7E4D" w:rsidP="003C7E4D">
      <w:pPr>
        <w:pStyle w:val="Body"/>
        <w:rPr>
          <w:rFonts w:ascii="Arial" w:hAnsi="Arial" w:cs="Arial"/>
          <w:b/>
          <w:bCs/>
        </w:rPr>
      </w:pPr>
      <w:r w:rsidRPr="003C7E4D">
        <w:rPr>
          <w:rFonts w:ascii="Arial" w:hAnsi="Arial" w:cs="Arial"/>
          <w:b/>
          <w:bCs/>
        </w:rPr>
        <w:t>Fig. 3: Distribution of responses on the most commonly preferred NSAID in treating arthritic pain in clinical practice</w:t>
      </w:r>
    </w:p>
    <w:p w14:paraId="0368FEE6" w14:textId="77777777" w:rsidR="003C7E4D" w:rsidRPr="003C7E4D" w:rsidRDefault="003C7E4D" w:rsidP="003C7E4D">
      <w:pPr>
        <w:pStyle w:val="Body"/>
        <w:rPr>
          <w:rFonts w:ascii="Arial" w:hAnsi="Arial" w:cs="Arial"/>
        </w:rPr>
      </w:pPr>
      <w:r w:rsidRPr="003C7E4D">
        <w:rPr>
          <w:rFonts w:ascii="Arial" w:hAnsi="Arial" w:cs="Arial"/>
        </w:rPr>
        <w:t>More than half of the participants (52.25%) reported that 26–50% of patients with OA require combination analgesics for adequate pain control. Among these, the combination of aceclofenac and paracetamol is strongly favored, with 86.89% of respondents preferring it for managing arthritic pain (Table 3).</w:t>
      </w:r>
    </w:p>
    <w:p w14:paraId="51812492" w14:textId="77777777" w:rsidR="003C7E4D" w:rsidRDefault="003C7E4D" w:rsidP="003C7E4D">
      <w:pPr>
        <w:pStyle w:val="Body"/>
        <w:rPr>
          <w:rFonts w:ascii="Arial" w:hAnsi="Arial" w:cs="Arial"/>
        </w:rPr>
      </w:pPr>
      <w:r w:rsidRPr="003C7E4D">
        <w:rPr>
          <w:rFonts w:ascii="Arial" w:hAnsi="Arial" w:cs="Arial"/>
        </w:rPr>
        <w:t>Approximately 60% of participants reported that the typical duration of aceclofenac and paracetamol combination therapy in clinical practice is 5–7 days. The majority (90.8%) indicated that aceclofenac is perceived to be associated with fewer gastrointestinal side effects (Fig. 4).</w:t>
      </w:r>
    </w:p>
    <w:p w14:paraId="7BFF9CBE" w14:textId="6D34E57F" w:rsidR="003C7E4D" w:rsidRDefault="003C7E4D" w:rsidP="003C7E4D">
      <w:pPr>
        <w:pStyle w:val="Body"/>
        <w:rPr>
          <w:rFonts w:ascii="Arial" w:hAnsi="Arial" w:cs="Arial"/>
          <w:b/>
          <w:bCs/>
        </w:rPr>
      </w:pPr>
      <w:r w:rsidRPr="003C7E4D">
        <w:rPr>
          <w:rFonts w:ascii="Arial" w:hAnsi="Arial" w:cs="Arial"/>
          <w:b/>
          <w:bCs/>
        </w:rPr>
        <w:t>Table 3: Distribution of responses on preferred combination in the management of arthritic pain</w:t>
      </w:r>
    </w:p>
    <w:tbl>
      <w:tblPr>
        <w:tblW w:w="7382" w:type="dxa"/>
        <w:tblInd w:w="699" w:type="dxa"/>
        <w:tblCellMar>
          <w:left w:w="0" w:type="dxa"/>
          <w:right w:w="0" w:type="dxa"/>
        </w:tblCellMar>
        <w:tblLook w:val="04A0" w:firstRow="1" w:lastRow="0" w:firstColumn="1" w:lastColumn="0" w:noHBand="0" w:noVBand="1"/>
      </w:tblPr>
      <w:tblGrid>
        <w:gridCol w:w="4306"/>
        <w:gridCol w:w="3076"/>
      </w:tblGrid>
      <w:tr w:rsidR="003C7E4D" w:rsidRPr="001D4D58" w14:paraId="122E0746" w14:textId="77777777" w:rsidTr="003C7E4D">
        <w:trPr>
          <w:trHeight w:val="387"/>
        </w:trPr>
        <w:tc>
          <w:tcPr>
            <w:tcW w:w="4306"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1C60AD44" w14:textId="77777777" w:rsidR="003C7E4D" w:rsidRPr="003C7E4D" w:rsidRDefault="003C7E4D" w:rsidP="00C214A6">
            <w:pPr>
              <w:jc w:val="center"/>
              <w:rPr>
                <w:rFonts w:ascii="Arial" w:hAnsi="Arial" w:cs="Arial"/>
                <w:b/>
                <w:bCs/>
              </w:rPr>
            </w:pPr>
            <w:r w:rsidRPr="003C7E4D">
              <w:rPr>
                <w:rFonts w:ascii="Arial" w:hAnsi="Arial" w:cs="Arial"/>
                <w:b/>
                <w:bCs/>
              </w:rPr>
              <w:t>Combination</w:t>
            </w:r>
          </w:p>
        </w:tc>
        <w:tc>
          <w:tcPr>
            <w:tcW w:w="3076"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43E3B89C" w14:textId="77777777" w:rsidR="003C7E4D" w:rsidRPr="003C7E4D" w:rsidRDefault="003C7E4D" w:rsidP="00C214A6">
            <w:pPr>
              <w:jc w:val="both"/>
              <w:rPr>
                <w:rFonts w:ascii="Arial" w:hAnsi="Arial" w:cs="Arial"/>
                <w:b/>
                <w:bCs/>
              </w:rPr>
            </w:pPr>
            <w:r w:rsidRPr="003C7E4D">
              <w:rPr>
                <w:rFonts w:ascii="Arial" w:hAnsi="Arial" w:cs="Arial"/>
                <w:b/>
                <w:bCs/>
              </w:rPr>
              <w:t>Response rate (n = 511)</w:t>
            </w:r>
          </w:p>
        </w:tc>
      </w:tr>
      <w:tr w:rsidR="003C7E4D" w:rsidRPr="001D4D58" w14:paraId="26CBF1BF" w14:textId="77777777" w:rsidTr="003C7E4D">
        <w:trPr>
          <w:trHeight w:val="387"/>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D9D0AA" w14:textId="77777777" w:rsidR="003C7E4D" w:rsidRPr="003C7E4D" w:rsidRDefault="003C7E4D" w:rsidP="00C214A6">
            <w:pPr>
              <w:jc w:val="center"/>
              <w:rPr>
                <w:rFonts w:ascii="Arial" w:hAnsi="Arial" w:cs="Arial"/>
              </w:rPr>
            </w:pPr>
            <w:r w:rsidRPr="003C7E4D">
              <w:rPr>
                <w:rFonts w:ascii="Arial" w:hAnsi="Arial" w:cs="Arial"/>
              </w:rPr>
              <w:t>Aceclofenac + paracetamol</w:t>
            </w:r>
          </w:p>
        </w:tc>
        <w:tc>
          <w:tcPr>
            <w:tcW w:w="30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6C121" w14:textId="77777777" w:rsidR="003C7E4D" w:rsidRPr="003C7E4D" w:rsidRDefault="003C7E4D" w:rsidP="00C214A6">
            <w:pPr>
              <w:jc w:val="center"/>
              <w:rPr>
                <w:rFonts w:ascii="Arial" w:hAnsi="Arial" w:cs="Arial"/>
              </w:rPr>
            </w:pPr>
            <w:r w:rsidRPr="003C7E4D">
              <w:rPr>
                <w:rFonts w:ascii="Arial" w:hAnsi="Arial" w:cs="Arial"/>
              </w:rPr>
              <w:t>86.89%</w:t>
            </w:r>
          </w:p>
        </w:tc>
      </w:tr>
      <w:tr w:rsidR="003C7E4D" w:rsidRPr="001D4D58" w14:paraId="4543AFDF" w14:textId="77777777" w:rsidTr="003C7E4D">
        <w:trPr>
          <w:trHeight w:val="387"/>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05EF4B" w14:textId="77777777" w:rsidR="003C7E4D" w:rsidRPr="003C7E4D" w:rsidRDefault="003C7E4D" w:rsidP="00C214A6">
            <w:pPr>
              <w:jc w:val="center"/>
              <w:rPr>
                <w:rFonts w:ascii="Arial" w:hAnsi="Arial" w:cs="Arial"/>
              </w:rPr>
            </w:pPr>
            <w:r w:rsidRPr="003C7E4D">
              <w:rPr>
                <w:rFonts w:ascii="Arial" w:hAnsi="Arial" w:cs="Arial"/>
              </w:rPr>
              <w:t>Diclofenac + paracetamol</w:t>
            </w:r>
          </w:p>
        </w:tc>
        <w:tc>
          <w:tcPr>
            <w:tcW w:w="30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BA1850" w14:textId="77777777" w:rsidR="003C7E4D" w:rsidRPr="003C7E4D" w:rsidRDefault="003C7E4D" w:rsidP="00C214A6">
            <w:pPr>
              <w:jc w:val="center"/>
              <w:rPr>
                <w:rFonts w:ascii="Arial" w:hAnsi="Arial" w:cs="Arial"/>
              </w:rPr>
            </w:pPr>
            <w:r w:rsidRPr="003C7E4D">
              <w:rPr>
                <w:rFonts w:ascii="Arial" w:hAnsi="Arial" w:cs="Arial"/>
              </w:rPr>
              <w:t>3.33%</w:t>
            </w:r>
          </w:p>
        </w:tc>
      </w:tr>
      <w:tr w:rsidR="003C7E4D" w:rsidRPr="001D4D58" w14:paraId="2DF8C139" w14:textId="77777777" w:rsidTr="003C7E4D">
        <w:trPr>
          <w:trHeight w:val="387"/>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BECCC3" w14:textId="77777777" w:rsidR="003C7E4D" w:rsidRPr="003C7E4D" w:rsidRDefault="003C7E4D" w:rsidP="00C214A6">
            <w:pPr>
              <w:jc w:val="center"/>
              <w:rPr>
                <w:rFonts w:ascii="Arial" w:hAnsi="Arial" w:cs="Arial"/>
              </w:rPr>
            </w:pPr>
            <w:r w:rsidRPr="003C7E4D">
              <w:rPr>
                <w:rFonts w:ascii="Arial" w:hAnsi="Arial" w:cs="Arial"/>
              </w:rPr>
              <w:t>Tramadol + paracetamol</w:t>
            </w:r>
          </w:p>
        </w:tc>
        <w:tc>
          <w:tcPr>
            <w:tcW w:w="30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C22B02" w14:textId="77777777" w:rsidR="003C7E4D" w:rsidRPr="003C7E4D" w:rsidRDefault="003C7E4D" w:rsidP="00C214A6">
            <w:pPr>
              <w:jc w:val="center"/>
              <w:rPr>
                <w:rFonts w:ascii="Arial" w:hAnsi="Arial" w:cs="Arial"/>
              </w:rPr>
            </w:pPr>
            <w:r w:rsidRPr="003C7E4D">
              <w:rPr>
                <w:rFonts w:ascii="Arial" w:hAnsi="Arial" w:cs="Arial"/>
              </w:rPr>
              <w:t>9.78%</w:t>
            </w:r>
          </w:p>
        </w:tc>
      </w:tr>
    </w:tbl>
    <w:p w14:paraId="1EA96E74" w14:textId="77777777" w:rsidR="003C7E4D" w:rsidRDefault="003C7E4D" w:rsidP="003C7E4D">
      <w:pPr>
        <w:pStyle w:val="Body"/>
        <w:rPr>
          <w:rFonts w:ascii="Arial" w:hAnsi="Arial" w:cs="Arial"/>
          <w:b/>
          <w:bCs/>
        </w:rPr>
      </w:pPr>
    </w:p>
    <w:p w14:paraId="1FC8549A" w14:textId="53F93B57" w:rsidR="003C7E4D" w:rsidRDefault="003C7E4D" w:rsidP="003C7E4D">
      <w:pPr>
        <w:pStyle w:val="Body"/>
        <w:rPr>
          <w:rFonts w:ascii="Arial" w:hAnsi="Arial" w:cs="Arial"/>
          <w:b/>
          <w:bCs/>
        </w:rPr>
      </w:pPr>
      <w:r>
        <w:rPr>
          <w:noProof/>
        </w:rPr>
        <w:lastRenderedPageBreak/>
        <w:drawing>
          <wp:inline distT="0" distB="0" distL="0" distR="0" wp14:anchorId="1B665931" wp14:editId="2F40CF0A">
            <wp:extent cx="4559300" cy="2520950"/>
            <wp:effectExtent l="0" t="0" r="0" b="0"/>
            <wp:docPr id="1802047264" name="Chart 1">
              <a:extLst xmlns:a="http://schemas.openxmlformats.org/drawingml/2006/main">
                <a:ext uri="{FF2B5EF4-FFF2-40B4-BE49-F238E27FC236}">
                  <a16:creationId xmlns:a16="http://schemas.microsoft.com/office/drawing/2014/main" id="{24C37DFE-CDFC-EEE7-9945-14515AE91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F98605" w14:textId="0464882A" w:rsidR="003C7E4D" w:rsidRPr="003C7E4D" w:rsidRDefault="003C7E4D" w:rsidP="003C7E4D">
      <w:pPr>
        <w:pStyle w:val="Body"/>
        <w:rPr>
          <w:rFonts w:ascii="Arial" w:hAnsi="Arial" w:cs="Arial"/>
          <w:b/>
          <w:bCs/>
        </w:rPr>
      </w:pPr>
      <w:r w:rsidRPr="003C7E4D">
        <w:rPr>
          <w:rFonts w:ascii="Arial" w:hAnsi="Arial" w:cs="Arial"/>
          <w:b/>
          <w:bCs/>
        </w:rPr>
        <w:t>Fig. 4: Distribution of responses to analgesics producing lesser GI side effects</w:t>
      </w:r>
    </w:p>
    <w:p w14:paraId="5C17A486" w14:textId="77777777" w:rsidR="003C7E4D" w:rsidRDefault="003C7E4D" w:rsidP="003C7E4D">
      <w:pPr>
        <w:pStyle w:val="Body"/>
        <w:rPr>
          <w:rFonts w:ascii="Arial" w:hAnsi="Arial" w:cs="Arial"/>
          <w:lang w:val="en-IN"/>
        </w:rPr>
      </w:pPr>
      <w:r w:rsidRPr="003C7E4D">
        <w:rPr>
          <w:rFonts w:ascii="Arial" w:hAnsi="Arial" w:cs="Arial"/>
          <w:lang w:val="en-IN"/>
        </w:rPr>
        <w:t>Approximately 62% of participants reported that the advantages of aceclofenac in RA encompass benefits such as pain and inflammation reduction, chondroprotective potential, and superior synovial joint penetration (Table 4). More than half of the participants (56.36%) reported that thiocolchicoside is the most commonly prescribed muscle relaxant for musculoskeletal pain. Around 52% indicated that a combination of serratiopeptidase with NSAIDs is preferred in 11–20% of patients with pain and inflammation. Additionally, 62% of respondents emphasized lifestyle modification as the most commonly recommended non-pharmacological intervention for patients with OA.</w:t>
      </w:r>
      <w:r>
        <w:rPr>
          <w:rFonts w:ascii="Arial" w:hAnsi="Arial" w:cs="Arial"/>
          <w:lang w:val="en-IN"/>
        </w:rPr>
        <w:t xml:space="preserve"> </w:t>
      </w:r>
    </w:p>
    <w:p w14:paraId="65C36448" w14:textId="27CD23FA" w:rsidR="003C7E4D" w:rsidRDefault="003C7E4D" w:rsidP="003C7E4D">
      <w:pPr>
        <w:pStyle w:val="Body"/>
        <w:rPr>
          <w:rFonts w:ascii="Arial" w:hAnsi="Arial" w:cs="Arial"/>
          <w:b/>
          <w:bCs/>
          <w:lang w:val="en-IN"/>
        </w:rPr>
      </w:pPr>
      <w:r w:rsidRPr="003C7E4D">
        <w:rPr>
          <w:rFonts w:ascii="Arial" w:hAnsi="Arial" w:cs="Arial"/>
          <w:b/>
          <w:bCs/>
          <w:lang w:val="en-IN"/>
        </w:rPr>
        <w:t>Table 4: Distribution of responses on the advantages of aceclofenac in RA</w:t>
      </w:r>
    </w:p>
    <w:tbl>
      <w:tblPr>
        <w:tblW w:w="7922" w:type="dxa"/>
        <w:tblCellMar>
          <w:left w:w="0" w:type="dxa"/>
          <w:right w:w="0" w:type="dxa"/>
        </w:tblCellMar>
        <w:tblLook w:val="04A0" w:firstRow="1" w:lastRow="0" w:firstColumn="1" w:lastColumn="0" w:noHBand="0" w:noVBand="1"/>
      </w:tblPr>
      <w:tblGrid>
        <w:gridCol w:w="4787"/>
        <w:gridCol w:w="3135"/>
      </w:tblGrid>
      <w:tr w:rsidR="003C7E4D" w:rsidRPr="001D4D58" w14:paraId="240CA94D" w14:textId="77777777" w:rsidTr="003C7E4D">
        <w:trPr>
          <w:trHeight w:val="320"/>
        </w:trPr>
        <w:tc>
          <w:tcPr>
            <w:tcW w:w="47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129381A0" w14:textId="77777777" w:rsidR="003C7E4D" w:rsidRPr="003C7E4D" w:rsidRDefault="003C7E4D" w:rsidP="00C214A6">
            <w:pPr>
              <w:jc w:val="center"/>
              <w:rPr>
                <w:rFonts w:ascii="Arial" w:hAnsi="Arial" w:cs="Arial"/>
                <w:b/>
                <w:bCs/>
              </w:rPr>
            </w:pPr>
            <w:r w:rsidRPr="003C7E4D">
              <w:rPr>
                <w:rFonts w:ascii="Arial" w:hAnsi="Arial" w:cs="Arial"/>
                <w:b/>
                <w:bCs/>
              </w:rPr>
              <w:t>Advantages</w:t>
            </w:r>
          </w:p>
        </w:tc>
        <w:tc>
          <w:tcPr>
            <w:tcW w:w="31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3FE089A1" w14:textId="77777777" w:rsidR="003C7E4D" w:rsidRPr="003C7E4D" w:rsidRDefault="003C7E4D" w:rsidP="00C214A6">
            <w:pPr>
              <w:jc w:val="both"/>
              <w:rPr>
                <w:rFonts w:ascii="Arial" w:hAnsi="Arial" w:cs="Arial"/>
                <w:b/>
                <w:bCs/>
              </w:rPr>
            </w:pPr>
            <w:r w:rsidRPr="003C7E4D">
              <w:rPr>
                <w:rFonts w:ascii="Arial" w:hAnsi="Arial" w:cs="Arial"/>
                <w:b/>
                <w:bCs/>
              </w:rPr>
              <w:t>Response rate (n = 511)</w:t>
            </w:r>
          </w:p>
        </w:tc>
      </w:tr>
      <w:tr w:rsidR="003C7E4D" w:rsidRPr="001D4D58" w14:paraId="587E7CA0" w14:textId="77777777" w:rsidTr="003C7E4D">
        <w:trPr>
          <w:trHeight w:val="320"/>
        </w:trPr>
        <w:tc>
          <w:tcPr>
            <w:tcW w:w="4787"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4C7B136" w14:textId="77777777" w:rsidR="003C7E4D" w:rsidRPr="003C7E4D" w:rsidRDefault="003C7E4D" w:rsidP="00C214A6">
            <w:pPr>
              <w:jc w:val="center"/>
              <w:rPr>
                <w:rFonts w:ascii="Arial" w:hAnsi="Arial" w:cs="Arial"/>
              </w:rPr>
            </w:pPr>
            <w:r w:rsidRPr="003C7E4D">
              <w:rPr>
                <w:rFonts w:ascii="Arial" w:hAnsi="Arial" w:cs="Arial"/>
              </w:rPr>
              <w:t>Reduces pain and inflammation</w:t>
            </w:r>
          </w:p>
        </w:tc>
        <w:tc>
          <w:tcPr>
            <w:tcW w:w="31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BE62DF9" w14:textId="77777777" w:rsidR="003C7E4D" w:rsidRPr="003C7E4D" w:rsidRDefault="003C7E4D" w:rsidP="00C214A6">
            <w:pPr>
              <w:jc w:val="center"/>
              <w:rPr>
                <w:rFonts w:ascii="Arial" w:hAnsi="Arial" w:cs="Arial"/>
              </w:rPr>
            </w:pPr>
            <w:r w:rsidRPr="003C7E4D">
              <w:rPr>
                <w:rFonts w:ascii="Arial" w:hAnsi="Arial" w:cs="Arial"/>
              </w:rPr>
              <w:t>32.29%</w:t>
            </w:r>
          </w:p>
        </w:tc>
      </w:tr>
      <w:tr w:rsidR="003C7E4D" w:rsidRPr="001D4D58" w14:paraId="09554A0B" w14:textId="77777777" w:rsidTr="003C7E4D">
        <w:trPr>
          <w:trHeight w:val="320"/>
        </w:trPr>
        <w:tc>
          <w:tcPr>
            <w:tcW w:w="4787"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77FF7CC" w14:textId="77777777" w:rsidR="003C7E4D" w:rsidRPr="003C7E4D" w:rsidRDefault="003C7E4D" w:rsidP="00C214A6">
            <w:pPr>
              <w:jc w:val="center"/>
              <w:rPr>
                <w:rFonts w:ascii="Arial" w:hAnsi="Arial" w:cs="Arial"/>
              </w:rPr>
            </w:pPr>
            <w:r w:rsidRPr="003C7E4D">
              <w:rPr>
                <w:rFonts w:ascii="Arial" w:hAnsi="Arial" w:cs="Arial"/>
              </w:rPr>
              <w:t>Chondroprotective potential</w:t>
            </w:r>
          </w:p>
        </w:tc>
        <w:tc>
          <w:tcPr>
            <w:tcW w:w="31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351EF47" w14:textId="77777777" w:rsidR="003C7E4D" w:rsidRPr="003C7E4D" w:rsidRDefault="003C7E4D" w:rsidP="00C214A6">
            <w:pPr>
              <w:jc w:val="center"/>
              <w:rPr>
                <w:rFonts w:ascii="Arial" w:hAnsi="Arial" w:cs="Arial"/>
              </w:rPr>
            </w:pPr>
            <w:r w:rsidRPr="003C7E4D">
              <w:rPr>
                <w:rFonts w:ascii="Arial" w:hAnsi="Arial" w:cs="Arial"/>
              </w:rPr>
              <w:t>2.74%</w:t>
            </w:r>
          </w:p>
        </w:tc>
      </w:tr>
      <w:tr w:rsidR="003C7E4D" w:rsidRPr="001D4D58" w14:paraId="1720CCEC" w14:textId="77777777" w:rsidTr="003C7E4D">
        <w:trPr>
          <w:trHeight w:val="320"/>
        </w:trPr>
        <w:tc>
          <w:tcPr>
            <w:tcW w:w="4787"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280633E8" w14:textId="77777777" w:rsidR="003C7E4D" w:rsidRPr="003C7E4D" w:rsidRDefault="003C7E4D" w:rsidP="00C214A6">
            <w:pPr>
              <w:jc w:val="center"/>
              <w:rPr>
                <w:rFonts w:ascii="Arial" w:hAnsi="Arial" w:cs="Arial"/>
              </w:rPr>
            </w:pPr>
            <w:r w:rsidRPr="003C7E4D">
              <w:rPr>
                <w:rFonts w:ascii="Arial" w:hAnsi="Arial" w:cs="Arial"/>
              </w:rPr>
              <w:t>High penetration to synovial joints</w:t>
            </w:r>
          </w:p>
        </w:tc>
        <w:tc>
          <w:tcPr>
            <w:tcW w:w="31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11020FB2" w14:textId="77777777" w:rsidR="003C7E4D" w:rsidRPr="003C7E4D" w:rsidRDefault="003C7E4D" w:rsidP="00C214A6">
            <w:pPr>
              <w:jc w:val="center"/>
              <w:rPr>
                <w:rFonts w:ascii="Arial" w:hAnsi="Arial" w:cs="Arial"/>
              </w:rPr>
            </w:pPr>
            <w:r w:rsidRPr="003C7E4D">
              <w:rPr>
                <w:rFonts w:ascii="Arial" w:hAnsi="Arial" w:cs="Arial"/>
              </w:rPr>
              <w:t>2.74%</w:t>
            </w:r>
          </w:p>
        </w:tc>
      </w:tr>
      <w:tr w:rsidR="003C7E4D" w:rsidRPr="001D4D58" w14:paraId="13B37A7A" w14:textId="77777777" w:rsidTr="003C7E4D">
        <w:trPr>
          <w:trHeight w:val="320"/>
        </w:trPr>
        <w:tc>
          <w:tcPr>
            <w:tcW w:w="4787"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6062487B" w14:textId="77777777" w:rsidR="003C7E4D" w:rsidRPr="003C7E4D" w:rsidRDefault="003C7E4D" w:rsidP="00C214A6">
            <w:pPr>
              <w:jc w:val="center"/>
              <w:rPr>
                <w:rFonts w:ascii="Arial" w:hAnsi="Arial" w:cs="Arial"/>
              </w:rPr>
            </w:pPr>
            <w:r w:rsidRPr="003C7E4D">
              <w:rPr>
                <w:rFonts w:ascii="Arial" w:hAnsi="Arial" w:cs="Arial"/>
              </w:rPr>
              <w:t>All of the above</w:t>
            </w:r>
          </w:p>
        </w:tc>
        <w:tc>
          <w:tcPr>
            <w:tcW w:w="31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5839337" w14:textId="77777777" w:rsidR="003C7E4D" w:rsidRPr="003C7E4D" w:rsidRDefault="003C7E4D" w:rsidP="00C214A6">
            <w:pPr>
              <w:jc w:val="center"/>
              <w:rPr>
                <w:rFonts w:ascii="Arial" w:hAnsi="Arial" w:cs="Arial"/>
              </w:rPr>
            </w:pPr>
            <w:r w:rsidRPr="003C7E4D">
              <w:rPr>
                <w:rFonts w:ascii="Arial" w:hAnsi="Arial" w:cs="Arial"/>
              </w:rPr>
              <w:t>62.23%</w:t>
            </w:r>
          </w:p>
        </w:tc>
      </w:tr>
    </w:tbl>
    <w:p w14:paraId="75059887" w14:textId="77777777" w:rsidR="003C7E4D" w:rsidRPr="003C7E4D" w:rsidRDefault="003C7E4D" w:rsidP="003C7E4D">
      <w:pPr>
        <w:pStyle w:val="Body"/>
        <w:rPr>
          <w:rFonts w:ascii="Arial" w:hAnsi="Arial" w:cs="Arial"/>
          <w:b/>
          <w:bCs/>
          <w:lang w:val="en-IN"/>
        </w:rPr>
      </w:pPr>
    </w:p>
    <w:p w14:paraId="39F6E958"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3EF7E10F" w14:textId="723FFAE2" w:rsidR="009C3F59" w:rsidRDefault="009C3F59" w:rsidP="009C3F59">
      <w:pPr>
        <w:jc w:val="both"/>
        <w:rPr>
          <w:rFonts w:ascii="Arial" w:eastAsia="Calibri" w:hAnsi="Arial" w:cs="Arial"/>
          <w:lang w:val="en-IN"/>
        </w:rPr>
      </w:pPr>
      <w:r w:rsidRPr="009C3F59">
        <w:rPr>
          <w:rFonts w:ascii="Arial" w:eastAsia="Calibri" w:hAnsi="Arial" w:cs="Arial"/>
          <w:lang w:val="en-IN"/>
        </w:rPr>
        <w:t>The survey findings revealed that a substantial proportion of patients (20–30%) present with musculoskeletal pain, highlighting its significant clinical burden. Among these, low back pain is a frequent complaint, affecting a similar proportion of patients, with the most commonly affected age group being 40–50 years. The prevalence is nearly equal between men and women, aligning with global epidemiological patterns. The World Health Organization reports that low back pain prevalence peaks between 41–50 or 50–55 years, particularly among females in the 41–50-year range.</w:t>
      </w:r>
      <w:r w:rsidRPr="009C3F59">
        <w:rPr>
          <w:rFonts w:ascii="Arial" w:eastAsia="Calibri" w:hAnsi="Arial" w:cs="Arial"/>
          <w:vertAlign w:val="superscript"/>
          <w:lang w:val="en-IN"/>
        </w:rPr>
        <w:t>7</w:t>
      </w:r>
      <w:r w:rsidRPr="009C3F59">
        <w:rPr>
          <w:rFonts w:ascii="Arial" w:hAnsi="Arial" w:cs="Arial"/>
        </w:rPr>
        <w:t xml:space="preserve"> </w:t>
      </w:r>
      <w:r w:rsidRPr="009C3F59">
        <w:rPr>
          <w:rFonts w:ascii="Arial" w:eastAsia="Calibri" w:hAnsi="Arial" w:cs="Arial"/>
          <w:lang w:val="en-IN"/>
        </w:rPr>
        <w:t>Similarly, Macfarlane et al. observed a peak prevalence at 41–50 years, with nearly one in four individuals over 80 years also reporting low back pain.</w:t>
      </w:r>
      <w:r w:rsidRPr="009C3F59">
        <w:rPr>
          <w:rFonts w:ascii="Arial" w:eastAsia="Calibri" w:hAnsi="Arial" w:cs="Arial"/>
          <w:vertAlign w:val="superscript"/>
          <w:lang w:val="en-IN"/>
        </w:rPr>
        <w:t>8</w:t>
      </w:r>
      <w:r w:rsidRPr="009C3F59">
        <w:rPr>
          <w:rFonts w:ascii="Arial" w:hAnsi="Arial" w:cs="Arial"/>
        </w:rPr>
        <w:t xml:space="preserve">  Ramdas and Vasantha likewise documented 41–50 years as the most commonly affected age group, accounting for 38.1% of cases.</w:t>
      </w:r>
      <w:r w:rsidRPr="009C3F59">
        <w:rPr>
          <w:rFonts w:ascii="Arial" w:hAnsi="Arial" w:cs="Arial"/>
          <w:vertAlign w:val="superscript"/>
        </w:rPr>
        <w:t>9</w:t>
      </w:r>
      <w:r w:rsidRPr="009C3F59">
        <w:rPr>
          <w:rFonts w:ascii="Arial" w:hAnsi="Arial" w:cs="Arial"/>
        </w:rPr>
        <w:t xml:space="preserve"> </w:t>
      </w:r>
      <w:r w:rsidRPr="009C3F59">
        <w:rPr>
          <w:rFonts w:ascii="Arial" w:eastAsia="Calibri" w:hAnsi="Arial" w:cs="Arial"/>
          <w:lang w:val="en-IN"/>
        </w:rPr>
        <w:t xml:space="preserve">These findings underscore the need for targeted screening, early intervention, and effective management strategies to reduce the burden of </w:t>
      </w:r>
      <w:r w:rsidRPr="009C3F59">
        <w:rPr>
          <w:rFonts w:ascii="Arial" w:eastAsia="Calibri" w:hAnsi="Arial" w:cs="Arial"/>
          <w:lang w:val="en-IN"/>
        </w:rPr>
        <w:lastRenderedPageBreak/>
        <w:t>low back pain, particularly in middle-aged adults, who represent a substantial proportion of the workforce and are at risk of functional impairment</w:t>
      </w:r>
      <w:r>
        <w:rPr>
          <w:rFonts w:ascii="Arial" w:eastAsia="Calibri" w:hAnsi="Arial" w:cs="Arial"/>
          <w:lang w:val="en-IN"/>
        </w:rPr>
        <w:t>.</w:t>
      </w:r>
    </w:p>
    <w:p w14:paraId="77385942" w14:textId="77777777" w:rsidR="009C3F59" w:rsidRPr="009C3F59" w:rsidRDefault="009C3F59" w:rsidP="009C3F59">
      <w:pPr>
        <w:jc w:val="both"/>
        <w:rPr>
          <w:rFonts w:ascii="Arial" w:hAnsi="Arial" w:cs="Arial"/>
        </w:rPr>
      </w:pPr>
    </w:p>
    <w:p w14:paraId="4681D65D" w14:textId="77777777" w:rsidR="009C3F59" w:rsidRDefault="009C3F59" w:rsidP="009C3F59">
      <w:pPr>
        <w:jc w:val="both"/>
        <w:rPr>
          <w:rFonts w:ascii="Arial" w:hAnsi="Arial" w:cs="Arial"/>
          <w:vertAlign w:val="superscript"/>
        </w:rPr>
      </w:pPr>
      <w:r w:rsidRPr="009C3F59">
        <w:rPr>
          <w:rFonts w:ascii="Arial" w:hAnsi="Arial" w:cs="Arial"/>
        </w:rPr>
        <w:t>In the present study, many participants reported that knee joint involvement is the most common presentation of OA in clinical practice. This aligns with findings by Geng et al., who identified knee OA as the most frequently affected site.</w:t>
      </w:r>
      <w:proofErr w:type="gramStart"/>
      <w:r w:rsidRPr="009C3F59">
        <w:rPr>
          <w:rFonts w:ascii="Arial" w:hAnsi="Arial" w:cs="Arial"/>
          <w:vertAlign w:val="superscript"/>
        </w:rPr>
        <w:t>10</w:t>
      </w:r>
      <w:r w:rsidRPr="009C3F59">
        <w:rPr>
          <w:rFonts w:ascii="Arial" w:hAnsi="Arial" w:cs="Arial"/>
        </w:rPr>
        <w:t xml:space="preserve">  Similarly</w:t>
      </w:r>
      <w:proofErr w:type="gramEnd"/>
      <w:r w:rsidRPr="009C3F59">
        <w:rPr>
          <w:rFonts w:ascii="Arial" w:hAnsi="Arial" w:cs="Arial"/>
        </w:rPr>
        <w:t>, Langworthy et al. reported that the knee accounts for approximately 60–85% of all OA cases, underscoring its predominance among affected joints.</w:t>
      </w:r>
      <w:r w:rsidRPr="009C3F59">
        <w:rPr>
          <w:rFonts w:ascii="Arial" w:hAnsi="Arial" w:cs="Arial"/>
          <w:vertAlign w:val="superscript"/>
        </w:rPr>
        <w:t>11</w:t>
      </w:r>
      <w:r w:rsidRPr="009C3F59">
        <w:rPr>
          <w:rFonts w:ascii="Arial" w:hAnsi="Arial" w:cs="Arial"/>
        </w:rPr>
        <w:t xml:space="preserve">  In addition, most study respondents identified joint pain and swelling as the most common clinical presentation of knee OAs. Supporting this, Hsu et al. reported that these symptoms are the primary manifestations of the disease, often leading to reduced mobility and functional limitations.</w:t>
      </w:r>
      <w:r w:rsidRPr="009C3F59">
        <w:rPr>
          <w:rFonts w:ascii="Arial" w:hAnsi="Arial" w:cs="Arial"/>
          <w:vertAlign w:val="superscript"/>
        </w:rPr>
        <w:t>12</w:t>
      </w:r>
    </w:p>
    <w:p w14:paraId="7BDF3941" w14:textId="77777777" w:rsidR="009C3F59" w:rsidRPr="009C3F59" w:rsidRDefault="009C3F59" w:rsidP="009C3F59">
      <w:pPr>
        <w:jc w:val="both"/>
        <w:rPr>
          <w:rFonts w:ascii="Arial" w:hAnsi="Arial" w:cs="Arial"/>
        </w:rPr>
      </w:pPr>
    </w:p>
    <w:p w14:paraId="7E09866C" w14:textId="77777777" w:rsidR="009C3F59" w:rsidRDefault="009C3F59" w:rsidP="009C3F59">
      <w:pPr>
        <w:jc w:val="both"/>
        <w:rPr>
          <w:rFonts w:ascii="Arial" w:hAnsi="Arial" w:cs="Arial"/>
        </w:rPr>
      </w:pPr>
      <w:r w:rsidRPr="009C3F59">
        <w:rPr>
          <w:rFonts w:ascii="Arial" w:hAnsi="Arial" w:cs="Arial"/>
        </w:rPr>
        <w:t>The study findings also indicated that a combination of NSAIDs and paracetamol is the preferred first-line treatment for OA. This aligns with the findings of Magni et al., who reported that NSAIDs, often used in combination with paracetamol, are commonly prescribed as initial therapy for OA to enhance pain control while reducing associated risks, particularly in cases of moderate to severe pain.</w:t>
      </w:r>
      <w:r w:rsidRPr="009C3F59">
        <w:rPr>
          <w:rFonts w:ascii="Arial" w:hAnsi="Arial" w:cs="Arial"/>
          <w:vertAlign w:val="superscript"/>
        </w:rPr>
        <w:t>13</w:t>
      </w:r>
      <w:r w:rsidRPr="009C3F59">
        <w:rPr>
          <w:rFonts w:ascii="Arial" w:hAnsi="Arial" w:cs="Arial"/>
        </w:rPr>
        <w:t xml:space="preserve"> Similarly, Cao et al. observed that the combined use of paracetamol and NSAIDs not only improved disability scores but was also favored in clinical practice when monotherapy proved inadequate.</w:t>
      </w:r>
      <w:r w:rsidRPr="009C3F59">
        <w:rPr>
          <w:rFonts w:ascii="Arial" w:hAnsi="Arial" w:cs="Arial"/>
          <w:vertAlign w:val="superscript"/>
        </w:rPr>
        <w:t xml:space="preserve">14 </w:t>
      </w:r>
      <w:r w:rsidRPr="009C3F59">
        <w:rPr>
          <w:rFonts w:ascii="Arial" w:hAnsi="Arial" w:cs="Arial"/>
        </w:rPr>
        <w:t xml:space="preserve"> </w:t>
      </w:r>
    </w:p>
    <w:p w14:paraId="434CE4F1" w14:textId="77777777" w:rsidR="009C3F59" w:rsidRPr="009C3F59" w:rsidRDefault="009C3F59" w:rsidP="009C3F59">
      <w:pPr>
        <w:jc w:val="both"/>
        <w:rPr>
          <w:rFonts w:ascii="Arial" w:hAnsi="Arial" w:cs="Arial"/>
        </w:rPr>
      </w:pPr>
    </w:p>
    <w:p w14:paraId="4E76D8DE" w14:textId="77777777" w:rsidR="009C3F59" w:rsidRDefault="009C3F59" w:rsidP="009C3F59">
      <w:pPr>
        <w:jc w:val="both"/>
        <w:rPr>
          <w:rFonts w:ascii="Arial" w:eastAsia="Segoe UI" w:hAnsi="Arial" w:cs="Arial"/>
          <w:color w:val="212121"/>
          <w:lang w:val="en-IN"/>
        </w:rPr>
      </w:pPr>
      <w:r w:rsidRPr="009C3F59">
        <w:rPr>
          <w:rFonts w:ascii="Arial" w:eastAsia="Calibri" w:hAnsi="Arial" w:cs="Arial"/>
          <w:lang w:val="en-IN"/>
        </w:rPr>
        <w:t xml:space="preserve">The majority of participants indicated that, among NSAIDs, aceclofenac is the predominant choice for managing arthritic pain in clinical practice. Consistently, an earlier study by the current authors reported that 85% of surveyed clinicians preferred aceclofenac as the NSAID of choice for routine management of arthritic pain. The </w:t>
      </w:r>
      <w:r w:rsidRPr="009C3F59">
        <w:rPr>
          <w:rFonts w:ascii="Arial" w:eastAsia="Calibri" w:hAnsi="Arial" w:cs="Arial"/>
        </w:rPr>
        <w:t>study</w:t>
      </w:r>
      <w:r w:rsidRPr="009C3F59">
        <w:rPr>
          <w:rFonts w:ascii="Arial" w:eastAsia="Calibri" w:hAnsi="Arial" w:cs="Arial"/>
          <w:lang w:val="en-IN"/>
        </w:rPr>
        <w:t xml:space="preserve"> also highlighted a strong preference for the aceclofenac–paracetamol combination in managing arthritic pain. Furthermore, this combination was reported to provide rapid pain relief and was particularly favored during acute flare-ups of OA.</w:t>
      </w:r>
      <w:r w:rsidRPr="009C3F59">
        <w:rPr>
          <w:rFonts w:ascii="Arial" w:eastAsia="Calibri" w:hAnsi="Arial" w:cs="Arial"/>
          <w:vertAlign w:val="superscript"/>
          <w:lang w:val="en-IN"/>
        </w:rPr>
        <w:t>15</w:t>
      </w:r>
      <w:r w:rsidRPr="009C3F59">
        <w:rPr>
          <w:rFonts w:ascii="Arial" w:eastAsia="Calibri" w:hAnsi="Arial" w:cs="Arial"/>
          <w:lang w:val="en-IN"/>
        </w:rPr>
        <w:t xml:space="preserve"> </w:t>
      </w:r>
      <w:r w:rsidRPr="009C3F59">
        <w:rPr>
          <w:rFonts w:ascii="Arial" w:eastAsia="Calibri" w:hAnsi="Arial" w:cs="Arial"/>
        </w:rPr>
        <w:t xml:space="preserve">In line with these findings, as an open-label, </w:t>
      </w:r>
      <w:r w:rsidRPr="009C3F59">
        <w:rPr>
          <w:rFonts w:ascii="Arial" w:eastAsia="Calibri" w:hAnsi="Arial" w:cs="Arial"/>
          <w:color w:val="212121"/>
          <w:lang w:val="en-IN"/>
        </w:rPr>
        <w:t xml:space="preserve">comparative, multicentric trial by Pareek et al. reported that the combination is superior in terms of overall efficacy assessments and </w:t>
      </w:r>
      <w:r w:rsidRPr="009C3F59">
        <w:rPr>
          <w:rFonts w:ascii="Arial" w:eastAsia="Calibri" w:hAnsi="Arial" w:cs="Arial"/>
          <w:color w:val="212121"/>
        </w:rPr>
        <w:t>well-tolerated</w:t>
      </w:r>
      <w:r w:rsidRPr="009C3F59">
        <w:rPr>
          <w:rFonts w:ascii="Arial" w:eastAsia="Calibri" w:hAnsi="Arial" w:cs="Arial"/>
          <w:color w:val="212121"/>
          <w:lang w:val="en-IN"/>
        </w:rPr>
        <w:t xml:space="preserve"> for managing OA flare-up pain in Indian patients</w:t>
      </w:r>
      <w:r w:rsidRPr="009C3F59">
        <w:rPr>
          <w:rFonts w:ascii="Arial" w:eastAsia="Segoe UI" w:hAnsi="Arial" w:cs="Arial"/>
          <w:color w:val="212121"/>
          <w:lang w:val="en-IN"/>
        </w:rPr>
        <w:t>.</w:t>
      </w:r>
      <w:r w:rsidRPr="009C3F59">
        <w:rPr>
          <w:rFonts w:ascii="Arial" w:eastAsia="Segoe UI" w:hAnsi="Arial" w:cs="Arial"/>
          <w:color w:val="212121"/>
          <w:vertAlign w:val="superscript"/>
          <w:lang w:val="en-IN"/>
        </w:rPr>
        <w:t>16</w:t>
      </w:r>
      <w:r w:rsidRPr="009C3F59">
        <w:rPr>
          <w:rFonts w:ascii="Arial" w:eastAsia="Segoe UI" w:hAnsi="Arial" w:cs="Arial"/>
          <w:color w:val="212121"/>
          <w:lang w:val="en-IN"/>
        </w:rPr>
        <w:t xml:space="preserve"> </w:t>
      </w:r>
    </w:p>
    <w:p w14:paraId="618B1C63" w14:textId="77777777" w:rsidR="009C3F59" w:rsidRPr="009C3F59" w:rsidRDefault="009C3F59" w:rsidP="009C3F59">
      <w:pPr>
        <w:jc w:val="both"/>
        <w:rPr>
          <w:rFonts w:ascii="Arial" w:eastAsia="Segoe UI" w:hAnsi="Arial" w:cs="Arial"/>
        </w:rPr>
      </w:pPr>
    </w:p>
    <w:p w14:paraId="406A8B66" w14:textId="77777777" w:rsidR="009C3F59" w:rsidRDefault="009C3F59" w:rsidP="009C3F59">
      <w:pPr>
        <w:jc w:val="both"/>
        <w:rPr>
          <w:rFonts w:ascii="Arial" w:hAnsi="Arial" w:cs="Arial"/>
        </w:rPr>
      </w:pPr>
      <w:r w:rsidRPr="009C3F59">
        <w:rPr>
          <w:rFonts w:ascii="Arial" w:hAnsi="Arial" w:cs="Arial"/>
        </w:rPr>
        <w:t xml:space="preserve">Most participants perceived aceclofenac to be associated with fewer gastrointestinal side effects. Supporting this, a randomized controlled trial by </w:t>
      </w:r>
      <w:proofErr w:type="spellStart"/>
      <w:r w:rsidRPr="009C3F59">
        <w:rPr>
          <w:rFonts w:ascii="Arial" w:hAnsi="Arial" w:cs="Arial"/>
        </w:rPr>
        <w:t>Iolascon</w:t>
      </w:r>
      <w:proofErr w:type="spellEnd"/>
      <w:r w:rsidRPr="009C3F59">
        <w:rPr>
          <w:rFonts w:ascii="Arial" w:hAnsi="Arial" w:cs="Arial"/>
        </w:rPr>
        <w:t xml:space="preserve"> et al. reported that only a smaller proportion of patients on aceclofenac (57%) experienced GI adverse effects compared to those on diclofenac (74%), with the majority being mild to moderate.</w:t>
      </w:r>
      <w:r w:rsidRPr="009C3F59">
        <w:rPr>
          <w:rFonts w:ascii="Arial" w:hAnsi="Arial" w:cs="Arial"/>
          <w:vertAlign w:val="superscript"/>
        </w:rPr>
        <w:t>5</w:t>
      </w:r>
      <w:r w:rsidRPr="009C3F59">
        <w:rPr>
          <w:rFonts w:ascii="Arial" w:hAnsi="Arial" w:cs="Arial"/>
        </w:rPr>
        <w:t xml:space="preserve">  Similarly, Grover et al., through a meta-analysis and post-marketing surveillance, concluded that aceclofenac is linked to a lower incidence of GI side effects, reduced need for gastroprotective agents, and improved patient compliance compared to other NSAIDs, including diclofenac, indomethacin, ketoprofen, and piroxicam.</w:t>
      </w:r>
      <w:r w:rsidRPr="009C3F59">
        <w:rPr>
          <w:rFonts w:ascii="Arial" w:hAnsi="Arial" w:cs="Arial"/>
          <w:vertAlign w:val="superscript"/>
        </w:rPr>
        <w:t>17</w:t>
      </w:r>
      <w:r w:rsidRPr="009C3F59">
        <w:rPr>
          <w:rFonts w:ascii="Arial" w:hAnsi="Arial" w:cs="Arial"/>
        </w:rPr>
        <w:t xml:space="preserve"> </w:t>
      </w:r>
    </w:p>
    <w:p w14:paraId="3987A893" w14:textId="77777777" w:rsidR="009C3F59" w:rsidRPr="009C3F59" w:rsidRDefault="009C3F59" w:rsidP="009C3F59">
      <w:pPr>
        <w:jc w:val="both"/>
        <w:rPr>
          <w:rFonts w:ascii="Arial" w:hAnsi="Arial" w:cs="Arial"/>
        </w:rPr>
      </w:pPr>
    </w:p>
    <w:p w14:paraId="52729E39" w14:textId="77777777" w:rsidR="009C3F59" w:rsidRDefault="009C3F59" w:rsidP="009C3F59">
      <w:pPr>
        <w:jc w:val="both"/>
        <w:rPr>
          <w:rFonts w:ascii="Arial" w:hAnsi="Arial" w:cs="Arial"/>
        </w:rPr>
      </w:pPr>
      <w:r w:rsidRPr="009C3F59">
        <w:rPr>
          <w:rFonts w:ascii="Arial" w:hAnsi="Arial" w:cs="Arial"/>
        </w:rPr>
        <w:t>The study findings also recognized the broad therapeutic benefits of aceclofenac in RA, emphasizing its role in controlling pain and inflammation, chondroprotective potential, and strong synovial joint penetration. Supporting this, Hunter et al. reported that aceclofenac significantly alleviated pain intensity, joint inflammation, and morning stiffness, while improving hand grip strength in patients with active RA, with efficacy equal to or greater than diclofenac, indomethacin, and tenoxicam over 12–24 weeks.</w:t>
      </w:r>
      <w:r w:rsidRPr="009C3F59">
        <w:rPr>
          <w:rFonts w:ascii="Arial" w:hAnsi="Arial" w:cs="Arial"/>
          <w:vertAlign w:val="superscript"/>
        </w:rPr>
        <w:t xml:space="preserve">18  </w:t>
      </w:r>
      <w:r w:rsidRPr="009C3F59">
        <w:rPr>
          <w:rFonts w:ascii="Arial" w:hAnsi="Arial" w:cs="Arial"/>
        </w:rPr>
        <w:t xml:space="preserve">Similarly, </w:t>
      </w:r>
      <w:proofErr w:type="spellStart"/>
      <w:r w:rsidRPr="009C3F59">
        <w:rPr>
          <w:rFonts w:ascii="Arial" w:hAnsi="Arial" w:cs="Arial"/>
        </w:rPr>
        <w:t>Iolascon</w:t>
      </w:r>
      <w:proofErr w:type="spellEnd"/>
      <w:r w:rsidRPr="009C3F59">
        <w:rPr>
          <w:rFonts w:ascii="Arial" w:hAnsi="Arial" w:cs="Arial"/>
        </w:rPr>
        <w:t xml:space="preserve"> et al. demonstrated that aceclofenac exhibits high permeability and rapid penetration into synovial fluid and joints, enhancing its effectiveness in managing articular symptoms and contributing to </w:t>
      </w:r>
      <w:proofErr w:type="spellStart"/>
      <w:r w:rsidRPr="009C3F59">
        <w:rPr>
          <w:rFonts w:ascii="Arial" w:hAnsi="Arial" w:cs="Arial"/>
        </w:rPr>
        <w:t>favourable</w:t>
      </w:r>
      <w:proofErr w:type="spellEnd"/>
      <w:r w:rsidRPr="009C3F59">
        <w:rPr>
          <w:rFonts w:ascii="Arial" w:hAnsi="Arial" w:cs="Arial"/>
        </w:rPr>
        <w:t xml:space="preserve"> outcomes in both RA and OA.</w:t>
      </w:r>
      <w:r w:rsidRPr="009C3F59">
        <w:rPr>
          <w:rFonts w:ascii="Arial" w:hAnsi="Arial" w:cs="Arial"/>
          <w:vertAlign w:val="superscript"/>
        </w:rPr>
        <w:t>5</w:t>
      </w:r>
      <w:r w:rsidRPr="009C3F59">
        <w:rPr>
          <w:rFonts w:ascii="Arial" w:hAnsi="Arial" w:cs="Arial"/>
        </w:rPr>
        <w:t xml:space="preserve"> </w:t>
      </w:r>
    </w:p>
    <w:p w14:paraId="7984C6EA" w14:textId="77777777" w:rsidR="009C3F59" w:rsidRPr="009C3F59" w:rsidRDefault="009C3F59" w:rsidP="009C3F59">
      <w:pPr>
        <w:jc w:val="both"/>
        <w:rPr>
          <w:rFonts w:ascii="Arial" w:hAnsi="Arial" w:cs="Arial"/>
        </w:rPr>
      </w:pPr>
    </w:p>
    <w:p w14:paraId="5EC7BA63" w14:textId="122CC634" w:rsidR="00790ADA" w:rsidRPr="009C3F59" w:rsidRDefault="009C3F59" w:rsidP="009C3F59">
      <w:pPr>
        <w:pStyle w:val="Body"/>
        <w:rPr>
          <w:rFonts w:ascii="Arial" w:hAnsi="Arial" w:cs="Arial"/>
          <w:lang w:val="en-IN"/>
        </w:rPr>
      </w:pPr>
      <w:r w:rsidRPr="009C3F59">
        <w:rPr>
          <w:rFonts w:ascii="Arial" w:eastAsia="Calibri" w:hAnsi="Arial" w:cs="Arial"/>
          <w:lang w:val="en-IN"/>
        </w:rPr>
        <w:t xml:space="preserve">The current </w:t>
      </w:r>
      <w:r w:rsidRPr="009C3F59">
        <w:rPr>
          <w:rFonts w:ascii="Arial" w:hAnsi="Arial" w:cs="Arial"/>
        </w:rPr>
        <w:t xml:space="preserve">study </w:t>
      </w:r>
      <w:r w:rsidRPr="009C3F59">
        <w:rPr>
          <w:rFonts w:ascii="Arial" w:eastAsia="Calibri" w:hAnsi="Arial" w:cs="Arial"/>
          <w:lang w:val="en-IN"/>
        </w:rPr>
        <w:t xml:space="preserve">underscores the central role of NSAIDs, particularly aceclofenac, in routine musculoskeletal pain management and highlights the need for targeted screening, early intervention, and integrated management strategies for knee OA and low back pain. A </w:t>
      </w:r>
      <w:r w:rsidRPr="009C3F59">
        <w:rPr>
          <w:rFonts w:ascii="Arial" w:eastAsia="Calibri" w:hAnsi="Arial" w:cs="Arial"/>
          <w:lang w:val="en-IN"/>
        </w:rPr>
        <w:lastRenderedPageBreak/>
        <w:t>key strength of the survey is its large sample size, which enhances representativeness, along with comprehensive coverage of musculoskeletal pain, OA, and RA, reflecting real-world prescribing preferences and clinical practices. The use of multiple parameters, such as age distribution, commonly affected sites, clinical presentations, treatment choices, and drug safety, adds depth and practical relevance. However, the study is limited by its survey-based design, which may introduce recall and reporting biases. The absence of longitudinal follow-up restricts the ability to assess causality or treatment outcomes. Additionally, reliance on clinicians’ perceptions rather than objective patient data may limit generalizability and external validity.</w:t>
      </w:r>
      <w:r w:rsidR="00C30A0F" w:rsidRPr="009C3F59">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703349FF" w:rsidR="00B01FCD" w:rsidRDefault="009C3F59" w:rsidP="00441B6F">
      <w:pPr>
        <w:pStyle w:val="Body"/>
        <w:spacing w:after="0"/>
        <w:rPr>
          <w:rFonts w:ascii="Arial" w:hAnsi="Arial" w:cs="Arial"/>
        </w:rPr>
      </w:pPr>
      <w:r w:rsidRPr="009C3F59">
        <w:t>In this study, clinicians highlighted that Low back pain is most prevalent in the 40–50-year age group, while OA predominantly involves the knee joint, with pain and swelling as the key clinical features. Obesity emerges as the leading modifiable risk factor. For management, the majority prefer oral NSAID–paracetamol combinations, with aceclofenac strongly favored for its efficacy, rapid pain relief, and lower gastrointestinal side effects. Its advantages in RA, including pain and inflammation control and superior synovial penetration, are also widely recognized.</w:t>
      </w:r>
    </w:p>
    <w:p w14:paraId="20D13E0E" w14:textId="77777777" w:rsidR="00790ADA" w:rsidRPr="00FB3A86" w:rsidRDefault="00790ADA" w:rsidP="00441B6F">
      <w:pPr>
        <w:pStyle w:val="Body"/>
        <w:spacing w:after="0"/>
        <w:rPr>
          <w:rFonts w:ascii="Arial" w:hAnsi="Arial" w:cs="Arial"/>
        </w:rPr>
      </w:pPr>
    </w:p>
    <w:p w14:paraId="6A08E617" w14:textId="77777777" w:rsidR="00592C36" w:rsidRDefault="00592C36" w:rsidP="00592C36">
      <w:pPr>
        <w:pStyle w:val="ReferHead"/>
        <w:spacing w:after="0"/>
        <w:jc w:val="both"/>
        <w:rPr>
          <w:rFonts w:ascii="Arial" w:hAnsi="Arial" w:cs="Arial"/>
        </w:rPr>
      </w:pPr>
    </w:p>
    <w:p w14:paraId="6E6CA031" w14:textId="77777777" w:rsidR="009D7BE5" w:rsidRPr="003A29C6" w:rsidRDefault="009D7BE5" w:rsidP="009D7BE5">
      <w:pPr>
        <w:jc w:val="both"/>
        <w:outlineLvl w:val="0"/>
        <w:rPr>
          <w:rFonts w:ascii="Arial" w:hAnsi="Arial" w:cs="Arial"/>
        </w:rPr>
      </w:pPr>
      <w:r w:rsidRPr="003A29C6">
        <w:rPr>
          <w:rFonts w:ascii="Arial" w:hAnsi="Arial" w:cs="Arial"/>
          <w:b/>
          <w:bCs/>
        </w:rPr>
        <w:t>COMPETING INTERESTS DISCLAIMER:</w:t>
      </w:r>
    </w:p>
    <w:p w14:paraId="584A58C2" w14:textId="77777777" w:rsidR="009D7BE5" w:rsidRDefault="009D7BE5" w:rsidP="009D7BE5">
      <w:r w:rsidRPr="00A10EDE">
        <w:t>Authors have declared that they have no known competing financial interests OR non-financial interests OR personal relationships that could have appeared to influence the work reported in this paper.</w:t>
      </w:r>
    </w:p>
    <w:p w14:paraId="7525A993" w14:textId="77777777" w:rsidR="009D7BE5" w:rsidRDefault="009D7BE5"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5FA5A39A"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Wolf J, França EB, Assunção AÁ. The burden of low back pain, rheumatoid arthritis, osteoarthritis, and gout and their respective attributable risk factors in Brazil: results of the GBD 2017 study. Rev Soc Bras Med Trop. 2022;55(</w:t>
      </w:r>
      <w:proofErr w:type="spellStart"/>
      <w:r w:rsidRPr="009C3F59">
        <w:rPr>
          <w:rFonts w:ascii="Arial" w:eastAsia="Calibri" w:hAnsi="Arial" w:cs="Arial"/>
          <w:lang w:val="en-IN" w:eastAsia="en-IN"/>
        </w:rPr>
        <w:t>suppl</w:t>
      </w:r>
      <w:proofErr w:type="spellEnd"/>
      <w:r w:rsidRPr="009C3F59">
        <w:rPr>
          <w:rFonts w:ascii="Arial" w:eastAsia="Calibri" w:hAnsi="Arial" w:cs="Arial"/>
          <w:lang w:val="en-IN" w:eastAsia="en-IN"/>
        </w:rPr>
        <w:t xml:space="preserve"> 1</w:t>
      </w:r>
      <w:proofErr w:type="gramStart"/>
      <w:r w:rsidRPr="009C3F59">
        <w:rPr>
          <w:rFonts w:ascii="Arial" w:eastAsia="Calibri" w:hAnsi="Arial" w:cs="Arial"/>
          <w:lang w:val="en-IN" w:eastAsia="en-IN"/>
        </w:rPr>
        <w:t>):e</w:t>
      </w:r>
      <w:proofErr w:type="gramEnd"/>
      <w:r w:rsidRPr="009C3F59">
        <w:rPr>
          <w:rFonts w:ascii="Arial" w:eastAsia="Calibri" w:hAnsi="Arial" w:cs="Arial"/>
          <w:lang w:val="en-IN" w:eastAsia="en-IN"/>
        </w:rPr>
        <w:t xml:space="preserve">0285. </w:t>
      </w:r>
    </w:p>
    <w:p w14:paraId="7082356A"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GBD 2021 Osteoarthritis Collaborators. Global, regional, and national burden of osteoarthritis, 1990-2020 and projections to 2050: a systematic analysis for the Global Burden of Disease Study 2021. Lancet </w:t>
      </w:r>
      <w:proofErr w:type="spellStart"/>
      <w:r w:rsidRPr="009C3F59">
        <w:rPr>
          <w:rFonts w:ascii="Arial" w:eastAsia="Calibri" w:hAnsi="Arial" w:cs="Arial"/>
          <w:lang w:val="en-IN" w:eastAsia="en-IN"/>
        </w:rPr>
        <w:t>Rheumatol</w:t>
      </w:r>
      <w:proofErr w:type="spellEnd"/>
      <w:r w:rsidRPr="009C3F59">
        <w:rPr>
          <w:rFonts w:ascii="Arial" w:eastAsia="Calibri" w:hAnsi="Arial" w:cs="Arial"/>
          <w:lang w:val="en-IN" w:eastAsia="en-IN"/>
        </w:rPr>
        <w:t>. 2023;5(9</w:t>
      </w:r>
      <w:proofErr w:type="gramStart"/>
      <w:r w:rsidRPr="009C3F59">
        <w:rPr>
          <w:rFonts w:ascii="Arial" w:eastAsia="Calibri" w:hAnsi="Arial" w:cs="Arial"/>
          <w:lang w:val="en-IN" w:eastAsia="en-IN"/>
        </w:rPr>
        <w:t>):e</w:t>
      </w:r>
      <w:proofErr w:type="gramEnd"/>
      <w:r w:rsidRPr="009C3F59">
        <w:rPr>
          <w:rFonts w:ascii="Arial" w:eastAsia="Calibri" w:hAnsi="Arial" w:cs="Arial"/>
          <w:lang w:val="en-IN" w:eastAsia="en-IN"/>
        </w:rPr>
        <w:t xml:space="preserve">508-e522. </w:t>
      </w:r>
    </w:p>
    <w:p w14:paraId="4E4827FB"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Sharma MK, Swami HM, Bhatia V, Verma A, Bhatia SPS, Kaur G. An Epidemiological Study of Correlates of Osteo-Arthritis in Geriatric Population of UT Chandigarh. Indian Journal of Community Medicine. 2007;32(1):77-78. </w:t>
      </w:r>
    </w:p>
    <w:p w14:paraId="4132A76B"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Joshi VL, Chopra A. Is there an urban-rural divide? Population surveys of rheumatic musculoskeletal disorders in the Pune region of India using the COPCORD </w:t>
      </w:r>
      <w:proofErr w:type="spellStart"/>
      <w:r w:rsidRPr="009C3F59">
        <w:rPr>
          <w:rFonts w:ascii="Arial" w:eastAsia="Calibri" w:hAnsi="Arial" w:cs="Arial"/>
          <w:lang w:val="en-IN" w:eastAsia="en-IN"/>
        </w:rPr>
        <w:t>Bhigwan</w:t>
      </w:r>
      <w:proofErr w:type="spellEnd"/>
      <w:r w:rsidRPr="009C3F59">
        <w:rPr>
          <w:rFonts w:ascii="Arial" w:eastAsia="Calibri" w:hAnsi="Arial" w:cs="Arial"/>
          <w:lang w:val="en-IN" w:eastAsia="en-IN"/>
        </w:rPr>
        <w:t xml:space="preserve"> model. J Rheumatol. 2009;36(3):614-22. </w:t>
      </w:r>
    </w:p>
    <w:p w14:paraId="4F4D888A"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C3F59">
        <w:rPr>
          <w:rFonts w:ascii="Arial" w:eastAsia="Calibri" w:hAnsi="Arial" w:cs="Arial"/>
          <w:lang w:val="en-IN" w:eastAsia="en-IN"/>
        </w:rPr>
        <w:t>Iolascon</w:t>
      </w:r>
      <w:proofErr w:type="spellEnd"/>
      <w:r w:rsidRPr="009C3F59">
        <w:rPr>
          <w:rFonts w:ascii="Arial" w:eastAsia="Calibri" w:hAnsi="Arial" w:cs="Arial"/>
          <w:lang w:val="en-IN" w:eastAsia="en-IN"/>
        </w:rPr>
        <w:t xml:space="preserve"> G, </w:t>
      </w:r>
      <w:proofErr w:type="spellStart"/>
      <w:r w:rsidRPr="009C3F59">
        <w:rPr>
          <w:rFonts w:ascii="Arial" w:eastAsia="Calibri" w:hAnsi="Arial" w:cs="Arial"/>
          <w:lang w:val="en-IN" w:eastAsia="en-IN"/>
        </w:rPr>
        <w:t>Giménez</w:t>
      </w:r>
      <w:proofErr w:type="spellEnd"/>
      <w:r w:rsidRPr="009C3F59">
        <w:rPr>
          <w:rFonts w:ascii="Arial" w:eastAsia="Calibri" w:hAnsi="Arial" w:cs="Arial"/>
          <w:lang w:val="en-IN" w:eastAsia="en-IN"/>
        </w:rPr>
        <w:t xml:space="preserve"> S, Mogyorósi D. A Review of Aceclofenac: Analgesic and Anti-Inflammatory Effects on Musculoskeletal Disorders. J Pain Res. </w:t>
      </w:r>
      <w:proofErr w:type="gramStart"/>
      <w:r w:rsidRPr="009C3F59">
        <w:rPr>
          <w:rFonts w:ascii="Arial" w:eastAsia="Calibri" w:hAnsi="Arial" w:cs="Arial"/>
          <w:lang w:val="en-IN" w:eastAsia="en-IN"/>
        </w:rPr>
        <w:t>2021;14:3651</w:t>
      </w:r>
      <w:proofErr w:type="gramEnd"/>
      <w:r w:rsidRPr="009C3F59">
        <w:rPr>
          <w:rFonts w:ascii="Arial" w:eastAsia="Calibri" w:hAnsi="Arial" w:cs="Arial"/>
          <w:lang w:val="en-IN" w:eastAsia="en-IN"/>
        </w:rPr>
        <w:t xml:space="preserve">-3663. </w:t>
      </w:r>
    </w:p>
    <w:p w14:paraId="6C7BF9B6"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C3F59">
        <w:rPr>
          <w:rFonts w:ascii="Arial" w:eastAsia="Calibri" w:hAnsi="Arial" w:cs="Arial"/>
          <w:lang w:val="en-IN" w:eastAsia="en-IN"/>
        </w:rPr>
        <w:lastRenderedPageBreak/>
        <w:t>Gerriets</w:t>
      </w:r>
      <w:proofErr w:type="spellEnd"/>
      <w:r w:rsidRPr="009C3F59">
        <w:rPr>
          <w:rFonts w:ascii="Arial" w:eastAsia="Calibri" w:hAnsi="Arial" w:cs="Arial"/>
          <w:lang w:val="en-IN" w:eastAsia="en-IN"/>
        </w:rPr>
        <w:t xml:space="preserve"> V, Anderson J, Patel P, et al. Acetaminophen. [Updated 2024 Jan 11]. In: </w:t>
      </w:r>
      <w:proofErr w:type="spellStart"/>
      <w:r w:rsidRPr="009C3F59">
        <w:rPr>
          <w:rFonts w:ascii="Arial" w:eastAsia="Calibri" w:hAnsi="Arial" w:cs="Arial"/>
          <w:lang w:val="en-IN" w:eastAsia="en-IN"/>
        </w:rPr>
        <w:t>StatPearls</w:t>
      </w:r>
      <w:proofErr w:type="spellEnd"/>
      <w:r w:rsidRPr="009C3F59">
        <w:rPr>
          <w:rFonts w:ascii="Arial" w:eastAsia="Calibri" w:hAnsi="Arial" w:cs="Arial"/>
          <w:lang w:val="en-IN" w:eastAsia="en-IN"/>
        </w:rPr>
        <w:t xml:space="preserve"> [Internet]. Treasure Island (FL): </w:t>
      </w:r>
      <w:proofErr w:type="spellStart"/>
      <w:r w:rsidRPr="009C3F59">
        <w:rPr>
          <w:rFonts w:ascii="Arial" w:eastAsia="Calibri" w:hAnsi="Arial" w:cs="Arial"/>
          <w:lang w:val="en-IN" w:eastAsia="en-IN"/>
        </w:rPr>
        <w:t>StatPearls</w:t>
      </w:r>
      <w:proofErr w:type="spellEnd"/>
      <w:r w:rsidRPr="009C3F59">
        <w:rPr>
          <w:rFonts w:ascii="Arial" w:eastAsia="Calibri" w:hAnsi="Arial" w:cs="Arial"/>
          <w:lang w:val="en-IN" w:eastAsia="en-IN"/>
        </w:rPr>
        <w:t xml:space="preserve"> Publishing; 2025 Jan-. Available from: https://www.ncbi.nlm.nih.gov/books/NBK482369/  </w:t>
      </w:r>
    </w:p>
    <w:p w14:paraId="6B27A450"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Low back pain. World Health Organization. Available from: https://www.who.int/news-room/fact-sheets/detail/low-back-pain [cited on 2025 Aug 29]</w:t>
      </w:r>
    </w:p>
    <w:p w14:paraId="6AD79229"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Macfarlane GJ, Beasley M, Jones EA, Prescott GJ, Docking R, Keeley P, et al. The prevalence and management of low back pain across adulthood: Results from a population-based cross-sectional study (the MUSICIAN study). PAIN. 2012;153(1):27–32. </w:t>
      </w:r>
    </w:p>
    <w:p w14:paraId="6B0F2DE5"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Ramdas J, Jella V. Prevalence and risk factors of low back pain. Int J Adv Med. </w:t>
      </w:r>
      <w:proofErr w:type="gramStart"/>
      <w:r w:rsidRPr="009C3F59">
        <w:rPr>
          <w:rFonts w:ascii="Arial" w:eastAsia="Calibri" w:hAnsi="Arial" w:cs="Arial"/>
          <w:lang w:val="en-IN" w:eastAsia="en-IN"/>
        </w:rPr>
        <w:t>2018;5:1120</w:t>
      </w:r>
      <w:proofErr w:type="gramEnd"/>
      <w:r w:rsidRPr="009C3F59">
        <w:rPr>
          <w:rFonts w:ascii="Arial" w:eastAsia="Calibri" w:hAnsi="Arial" w:cs="Arial"/>
          <w:lang w:val="en-IN" w:eastAsia="en-IN"/>
        </w:rPr>
        <w:t>-3.</w:t>
      </w:r>
    </w:p>
    <w:p w14:paraId="4060A5E6"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Geng R, Li J, Yu C, Zhang C, Chen F, Chen J, et al. Knee osteoarthritis: Current status and research progress in treatment (Review). Exp Ther Med. 2023;26(4):481.</w:t>
      </w:r>
    </w:p>
    <w:p w14:paraId="56C93E32"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Langworthy M, Dasa V, Spitzer AI. Knee osteoarthritis: disease burden, available treatments, and emerging options. </w:t>
      </w:r>
      <w:proofErr w:type="spellStart"/>
      <w:r w:rsidRPr="009C3F59">
        <w:rPr>
          <w:rFonts w:ascii="Arial" w:eastAsia="Calibri" w:hAnsi="Arial" w:cs="Arial"/>
          <w:lang w:val="en-IN" w:eastAsia="en-IN"/>
        </w:rPr>
        <w:t>Ther</w:t>
      </w:r>
      <w:proofErr w:type="spellEnd"/>
      <w:r w:rsidRPr="009C3F59">
        <w:rPr>
          <w:rFonts w:ascii="Arial" w:eastAsia="Calibri" w:hAnsi="Arial" w:cs="Arial"/>
          <w:lang w:val="en-IN" w:eastAsia="en-IN"/>
        </w:rPr>
        <w:t xml:space="preserve"> Adv </w:t>
      </w:r>
      <w:proofErr w:type="spellStart"/>
      <w:r w:rsidRPr="009C3F59">
        <w:rPr>
          <w:rFonts w:ascii="Arial" w:eastAsia="Calibri" w:hAnsi="Arial" w:cs="Arial"/>
          <w:lang w:val="en-IN" w:eastAsia="en-IN"/>
        </w:rPr>
        <w:t>Musculoskelet</w:t>
      </w:r>
      <w:proofErr w:type="spellEnd"/>
      <w:r w:rsidRPr="009C3F59">
        <w:rPr>
          <w:rFonts w:ascii="Arial" w:eastAsia="Calibri" w:hAnsi="Arial" w:cs="Arial"/>
          <w:lang w:val="en-IN" w:eastAsia="en-IN"/>
        </w:rPr>
        <w:t xml:space="preserve"> Dis. </w:t>
      </w:r>
      <w:proofErr w:type="gramStart"/>
      <w:r w:rsidRPr="009C3F59">
        <w:rPr>
          <w:rFonts w:ascii="Arial" w:eastAsia="Calibri" w:hAnsi="Arial" w:cs="Arial"/>
          <w:lang w:val="en-IN" w:eastAsia="en-IN"/>
        </w:rPr>
        <w:t>2024;16:1759720</w:t>
      </w:r>
      <w:proofErr w:type="gramEnd"/>
      <w:r w:rsidRPr="009C3F59">
        <w:rPr>
          <w:rFonts w:ascii="Arial" w:eastAsia="Calibri" w:hAnsi="Arial" w:cs="Arial"/>
          <w:lang w:val="en-IN" w:eastAsia="en-IN"/>
        </w:rPr>
        <w:t>X241273009.</w:t>
      </w:r>
    </w:p>
    <w:p w14:paraId="0163F59C"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Hsu H, Siwiec RM. Knee Osteoarthritis. In: </w:t>
      </w:r>
      <w:proofErr w:type="spellStart"/>
      <w:r w:rsidRPr="009C3F59">
        <w:rPr>
          <w:rFonts w:ascii="Arial" w:eastAsia="Calibri" w:hAnsi="Arial" w:cs="Arial"/>
          <w:lang w:val="en-IN" w:eastAsia="en-IN"/>
        </w:rPr>
        <w:t>StatPearls</w:t>
      </w:r>
      <w:proofErr w:type="spellEnd"/>
      <w:r w:rsidRPr="009C3F59">
        <w:rPr>
          <w:rFonts w:ascii="Arial" w:eastAsia="Calibri" w:hAnsi="Arial" w:cs="Arial"/>
          <w:lang w:val="en-IN" w:eastAsia="en-IN"/>
        </w:rPr>
        <w:t xml:space="preserve"> [Internet]. Treasure Island (FL): </w:t>
      </w:r>
      <w:proofErr w:type="spellStart"/>
      <w:r w:rsidRPr="009C3F59">
        <w:rPr>
          <w:rFonts w:ascii="Arial" w:eastAsia="Calibri" w:hAnsi="Arial" w:cs="Arial"/>
          <w:lang w:val="en-IN" w:eastAsia="en-IN"/>
        </w:rPr>
        <w:t>StatPearls</w:t>
      </w:r>
      <w:proofErr w:type="spellEnd"/>
      <w:r w:rsidRPr="009C3F59">
        <w:rPr>
          <w:rFonts w:ascii="Arial" w:eastAsia="Calibri" w:hAnsi="Arial" w:cs="Arial"/>
          <w:lang w:val="en-IN" w:eastAsia="en-IN"/>
        </w:rPr>
        <w:t xml:space="preserve"> Publishing; 2025 [cited 2025 Aug 29]. Available from: http://www.ncbi.nlm.nih.gov/books/NBK507884/</w:t>
      </w:r>
    </w:p>
    <w:p w14:paraId="72D2154B"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C3F59">
        <w:rPr>
          <w:rFonts w:ascii="Arial" w:eastAsia="Calibri" w:hAnsi="Arial" w:cs="Arial"/>
          <w:lang w:val="en-IN" w:eastAsia="en-IN"/>
        </w:rPr>
        <w:t>Magni</w:t>
      </w:r>
      <w:proofErr w:type="spellEnd"/>
      <w:r w:rsidRPr="009C3F59">
        <w:rPr>
          <w:rFonts w:ascii="Arial" w:eastAsia="Calibri" w:hAnsi="Arial" w:cs="Arial"/>
          <w:lang w:val="en-IN" w:eastAsia="en-IN"/>
        </w:rPr>
        <w:t xml:space="preserve"> A, </w:t>
      </w:r>
      <w:proofErr w:type="spellStart"/>
      <w:r w:rsidRPr="009C3F59">
        <w:rPr>
          <w:rFonts w:ascii="Arial" w:eastAsia="Calibri" w:hAnsi="Arial" w:cs="Arial"/>
          <w:lang w:val="en-IN" w:eastAsia="en-IN"/>
        </w:rPr>
        <w:t>Agostoni</w:t>
      </w:r>
      <w:proofErr w:type="spellEnd"/>
      <w:r w:rsidRPr="009C3F59">
        <w:rPr>
          <w:rFonts w:ascii="Arial" w:eastAsia="Calibri" w:hAnsi="Arial" w:cs="Arial"/>
          <w:lang w:val="en-IN" w:eastAsia="en-IN"/>
        </w:rPr>
        <w:t xml:space="preserve"> P, </w:t>
      </w:r>
      <w:proofErr w:type="spellStart"/>
      <w:r w:rsidRPr="009C3F59">
        <w:rPr>
          <w:rFonts w:ascii="Arial" w:eastAsia="Calibri" w:hAnsi="Arial" w:cs="Arial"/>
          <w:lang w:val="en-IN" w:eastAsia="en-IN"/>
        </w:rPr>
        <w:t>Bonezzi</w:t>
      </w:r>
      <w:proofErr w:type="spellEnd"/>
      <w:r w:rsidRPr="009C3F59">
        <w:rPr>
          <w:rFonts w:ascii="Arial" w:eastAsia="Calibri" w:hAnsi="Arial" w:cs="Arial"/>
          <w:lang w:val="en-IN" w:eastAsia="en-IN"/>
        </w:rPr>
        <w:t xml:space="preserve"> C, </w:t>
      </w:r>
      <w:proofErr w:type="spellStart"/>
      <w:r w:rsidRPr="009C3F59">
        <w:rPr>
          <w:rFonts w:ascii="Arial" w:eastAsia="Calibri" w:hAnsi="Arial" w:cs="Arial"/>
          <w:lang w:val="en-IN" w:eastAsia="en-IN"/>
        </w:rPr>
        <w:t>Massazza</w:t>
      </w:r>
      <w:proofErr w:type="spellEnd"/>
      <w:r w:rsidRPr="009C3F59">
        <w:rPr>
          <w:rFonts w:ascii="Arial" w:eastAsia="Calibri" w:hAnsi="Arial" w:cs="Arial"/>
          <w:lang w:val="en-IN" w:eastAsia="en-IN"/>
        </w:rPr>
        <w:t xml:space="preserve"> G, </w:t>
      </w:r>
      <w:proofErr w:type="spellStart"/>
      <w:r w:rsidRPr="009C3F59">
        <w:rPr>
          <w:rFonts w:ascii="Arial" w:eastAsia="Calibri" w:hAnsi="Arial" w:cs="Arial"/>
          <w:lang w:val="en-IN" w:eastAsia="en-IN"/>
        </w:rPr>
        <w:t>Menè</w:t>
      </w:r>
      <w:proofErr w:type="spellEnd"/>
      <w:r w:rsidRPr="009C3F59">
        <w:rPr>
          <w:rFonts w:ascii="Arial" w:eastAsia="Calibri" w:hAnsi="Arial" w:cs="Arial"/>
          <w:lang w:val="en-IN" w:eastAsia="en-IN"/>
        </w:rPr>
        <w:t xml:space="preserve"> P, Savarino V, et al. Management of Osteoarthritis: Expert Opinion on NSAIDs. Pain Ther. 2021;10(2):783–808.</w:t>
      </w:r>
    </w:p>
    <w:p w14:paraId="0087E439"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Cao Z, Han K, Lu H, </w:t>
      </w:r>
      <w:proofErr w:type="spellStart"/>
      <w:r w:rsidRPr="009C3F59">
        <w:rPr>
          <w:rFonts w:ascii="Arial" w:eastAsia="Calibri" w:hAnsi="Arial" w:cs="Arial"/>
          <w:lang w:val="en-IN" w:eastAsia="en-IN"/>
        </w:rPr>
        <w:t>Illangamudalige</w:t>
      </w:r>
      <w:proofErr w:type="spellEnd"/>
      <w:r w:rsidRPr="009C3F59">
        <w:rPr>
          <w:rFonts w:ascii="Arial" w:eastAsia="Calibri" w:hAnsi="Arial" w:cs="Arial"/>
          <w:lang w:val="en-IN" w:eastAsia="en-IN"/>
        </w:rPr>
        <w:t xml:space="preserve"> S, Shaheed CA, Chen L, et al. Paracetamol Combination Therapy for Back Pain and Osteoarthritis: A Systematic Review and Meta-Analyses. Drugs. 2024;84(8):953-967. </w:t>
      </w:r>
    </w:p>
    <w:p w14:paraId="784B1507"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Manjula S, Krishna Kumar M. Prescription trends of aceclofenac as a standalone or in combination with paracetamol for managing arthritis in Indian settings. Int J </w:t>
      </w:r>
      <w:proofErr w:type="spellStart"/>
      <w:r w:rsidRPr="009C3F59">
        <w:rPr>
          <w:rFonts w:ascii="Arial" w:eastAsia="Calibri" w:hAnsi="Arial" w:cs="Arial"/>
          <w:lang w:val="en-IN" w:eastAsia="en-IN"/>
        </w:rPr>
        <w:t>Orthop</w:t>
      </w:r>
      <w:proofErr w:type="spellEnd"/>
      <w:r w:rsidRPr="009C3F59">
        <w:rPr>
          <w:rFonts w:ascii="Arial" w:eastAsia="Calibri" w:hAnsi="Arial" w:cs="Arial"/>
          <w:lang w:val="en-IN" w:eastAsia="en-IN"/>
        </w:rPr>
        <w:t xml:space="preserve"> Sci. 2025;11(1):18–23.</w:t>
      </w:r>
    </w:p>
    <w:p w14:paraId="7372A1D4"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Pareek A, Chandurkar N, Sharma VD, Desai M, Kini S, Bartakke G. A randomized, multicentric, comparative evaluation of aceclofenac-paracetamol combination with aceclofenac alone in Indian patients with osteoarthritis flare-up. Expert </w:t>
      </w:r>
      <w:proofErr w:type="spellStart"/>
      <w:r w:rsidRPr="009C3F59">
        <w:rPr>
          <w:rFonts w:ascii="Arial" w:eastAsia="Calibri" w:hAnsi="Arial" w:cs="Arial"/>
          <w:lang w:val="en-IN" w:eastAsia="en-IN"/>
        </w:rPr>
        <w:t>Opin</w:t>
      </w:r>
      <w:proofErr w:type="spellEnd"/>
      <w:r w:rsidRPr="009C3F59">
        <w:rPr>
          <w:rFonts w:ascii="Arial" w:eastAsia="Calibri" w:hAnsi="Arial" w:cs="Arial"/>
          <w:lang w:val="en-IN" w:eastAsia="en-IN"/>
        </w:rPr>
        <w:t xml:space="preserve"> </w:t>
      </w:r>
      <w:proofErr w:type="spellStart"/>
      <w:r w:rsidRPr="009C3F59">
        <w:rPr>
          <w:rFonts w:ascii="Arial" w:eastAsia="Calibri" w:hAnsi="Arial" w:cs="Arial"/>
          <w:lang w:val="en-IN" w:eastAsia="en-IN"/>
        </w:rPr>
        <w:t>Pharmacother</w:t>
      </w:r>
      <w:proofErr w:type="spellEnd"/>
      <w:r w:rsidRPr="009C3F59">
        <w:rPr>
          <w:rFonts w:ascii="Arial" w:eastAsia="Calibri" w:hAnsi="Arial" w:cs="Arial"/>
          <w:lang w:val="en-IN" w:eastAsia="en-IN"/>
        </w:rPr>
        <w:t>. 2009;10(5):727–35.</w:t>
      </w:r>
    </w:p>
    <w:p w14:paraId="0FB74A2A"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Grover A, Pawar E, Singh GK, Gupta A, Pareek A, Desai R, et al. Aceclofenac, a Preferential COX-2 Inhibitor - Appraisal of Safety and Tolerability. J Evol Med Dent Sci. 2022;11(7):690–698.</w:t>
      </w:r>
    </w:p>
    <w:p w14:paraId="2B634C7F" w14:textId="05A4E263" w:rsidR="00315186" w:rsidRPr="00193629" w:rsidRDefault="009C3F59" w:rsidP="009C3F59">
      <w:pPr>
        <w:numPr>
          <w:ilvl w:val="0"/>
          <w:numId w:val="31"/>
        </w:numPr>
        <w:tabs>
          <w:tab w:val="left" w:pos="4035"/>
        </w:tabs>
        <w:spacing w:line="324" w:lineRule="auto"/>
        <w:ind w:right="80"/>
        <w:jc w:val="both"/>
        <w:rPr>
          <w:rFonts w:ascii="Arial" w:hAnsi="Arial" w:cs="Arial"/>
        </w:rPr>
      </w:pPr>
      <w:r w:rsidRPr="009C3F59">
        <w:rPr>
          <w:rFonts w:ascii="Arial" w:eastAsia="Calibri" w:hAnsi="Arial" w:cs="Arial"/>
          <w:lang w:val="en-IN" w:eastAsia="en-IN"/>
        </w:rPr>
        <w:t>Hunter JA, Parnham MJ, Balaguer XG. Aceclofenac in rheumatoid arthritis: a useful and novel anti-inflammatory. Clin Rheumatol. 1996;15(4):329–34.</w:t>
      </w:r>
    </w:p>
    <w:sectPr w:rsidR="00315186" w:rsidRPr="00193629" w:rsidSect="00383FD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FD8DD" w14:textId="77777777" w:rsidR="00AD07EE" w:rsidRDefault="00AD07EE" w:rsidP="00C37E61">
      <w:r>
        <w:separator/>
      </w:r>
    </w:p>
  </w:endnote>
  <w:endnote w:type="continuationSeparator" w:id="0">
    <w:p w14:paraId="21EFC77F" w14:textId="77777777" w:rsidR="00AD07EE" w:rsidRDefault="00AD07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CBB0" w14:textId="77777777" w:rsidR="00383FD9" w:rsidRDefault="00383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809A" w14:textId="22A8768D" w:rsidR="00C37E61" w:rsidRPr="009D7BE5" w:rsidRDefault="00C37E61" w:rsidP="009D7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5892" w14:textId="69FE2A21" w:rsidR="00754C9A" w:rsidRPr="00383FD9" w:rsidRDefault="00754C9A" w:rsidP="00383FD9">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0F70D" w14:textId="77777777" w:rsidR="00AD07EE" w:rsidRDefault="00AD07EE" w:rsidP="00C37E61">
      <w:r>
        <w:separator/>
      </w:r>
    </w:p>
  </w:footnote>
  <w:footnote w:type="continuationSeparator" w:id="0">
    <w:p w14:paraId="528E2355" w14:textId="77777777" w:rsidR="00AD07EE" w:rsidRDefault="00AD07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0ACB" w14:textId="627585AB" w:rsidR="00383FD9" w:rsidRDefault="00383FD9">
    <w:pPr>
      <w:pStyle w:val="Header"/>
    </w:pPr>
    <w:r>
      <w:rPr>
        <w:noProof/>
      </w:rPr>
      <w:pict w14:anchorId="6503E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6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31D3" w14:textId="0B2EB281" w:rsidR="00383FD9" w:rsidRDefault="00383FD9">
    <w:pPr>
      <w:pStyle w:val="Header"/>
    </w:pPr>
    <w:r>
      <w:rPr>
        <w:noProof/>
      </w:rPr>
      <w:pict w14:anchorId="38EA2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6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3DFF" w14:textId="1B4D552A" w:rsidR="00296529" w:rsidRPr="00296529" w:rsidRDefault="00383FD9" w:rsidP="00296529">
    <w:pPr>
      <w:ind w:left="2160"/>
      <w:jc w:val="center"/>
      <w:rPr>
        <w:rFonts w:ascii="Times New Roman" w:eastAsia="Calibri" w:hAnsi="Times New Roman"/>
        <w:i/>
        <w:sz w:val="18"/>
        <w:szCs w:val="22"/>
      </w:rPr>
    </w:pPr>
    <w:r>
      <w:rPr>
        <w:noProof/>
      </w:rPr>
      <w:pict w14:anchorId="791AF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6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C2C"/>
    <w:rsid w:val="00030174"/>
    <w:rsid w:val="00036DDF"/>
    <w:rsid w:val="0004579C"/>
    <w:rsid w:val="000505D0"/>
    <w:rsid w:val="000A117B"/>
    <w:rsid w:val="000A47FA"/>
    <w:rsid w:val="000A65D3"/>
    <w:rsid w:val="000B1E33"/>
    <w:rsid w:val="000D689F"/>
    <w:rsid w:val="000E7B7B"/>
    <w:rsid w:val="000E7D62"/>
    <w:rsid w:val="000F1414"/>
    <w:rsid w:val="000F509C"/>
    <w:rsid w:val="00103357"/>
    <w:rsid w:val="001139E2"/>
    <w:rsid w:val="00123C9F"/>
    <w:rsid w:val="00126190"/>
    <w:rsid w:val="00130F17"/>
    <w:rsid w:val="001320BF"/>
    <w:rsid w:val="00141B78"/>
    <w:rsid w:val="00157EFD"/>
    <w:rsid w:val="00163BC4"/>
    <w:rsid w:val="00191062"/>
    <w:rsid w:val="00192216"/>
    <w:rsid w:val="00192B72"/>
    <w:rsid w:val="00193629"/>
    <w:rsid w:val="001A29D8"/>
    <w:rsid w:val="001A3CF6"/>
    <w:rsid w:val="001A5CAA"/>
    <w:rsid w:val="001B0427"/>
    <w:rsid w:val="001D3A51"/>
    <w:rsid w:val="001E10D2"/>
    <w:rsid w:val="001E25B4"/>
    <w:rsid w:val="001E44FE"/>
    <w:rsid w:val="001F6421"/>
    <w:rsid w:val="001F64CE"/>
    <w:rsid w:val="00200595"/>
    <w:rsid w:val="00204489"/>
    <w:rsid w:val="00204835"/>
    <w:rsid w:val="002069B2"/>
    <w:rsid w:val="002206C8"/>
    <w:rsid w:val="00231920"/>
    <w:rsid w:val="0023195C"/>
    <w:rsid w:val="002400EB"/>
    <w:rsid w:val="0024282C"/>
    <w:rsid w:val="002460DC"/>
    <w:rsid w:val="00250985"/>
    <w:rsid w:val="002556F6"/>
    <w:rsid w:val="00257A90"/>
    <w:rsid w:val="00283105"/>
    <w:rsid w:val="00284C4C"/>
    <w:rsid w:val="0028742F"/>
    <w:rsid w:val="00296453"/>
    <w:rsid w:val="00296529"/>
    <w:rsid w:val="00296F36"/>
    <w:rsid w:val="002B27FB"/>
    <w:rsid w:val="002B685A"/>
    <w:rsid w:val="002C57D2"/>
    <w:rsid w:val="002E0D56"/>
    <w:rsid w:val="002F1568"/>
    <w:rsid w:val="002F4609"/>
    <w:rsid w:val="00315186"/>
    <w:rsid w:val="003235AC"/>
    <w:rsid w:val="00326C02"/>
    <w:rsid w:val="0033343E"/>
    <w:rsid w:val="003512C2"/>
    <w:rsid w:val="00360A0E"/>
    <w:rsid w:val="003612DF"/>
    <w:rsid w:val="00371FB6"/>
    <w:rsid w:val="003763C1"/>
    <w:rsid w:val="00376BBE"/>
    <w:rsid w:val="00383FD9"/>
    <w:rsid w:val="0039224F"/>
    <w:rsid w:val="003A43A4"/>
    <w:rsid w:val="003A7E18"/>
    <w:rsid w:val="003C4C86"/>
    <w:rsid w:val="003C5A6E"/>
    <w:rsid w:val="003C6258"/>
    <w:rsid w:val="003C7E4D"/>
    <w:rsid w:val="003D0363"/>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B0365"/>
    <w:rsid w:val="004B4BBD"/>
    <w:rsid w:val="004C2ACB"/>
    <w:rsid w:val="004D305E"/>
    <w:rsid w:val="004D4277"/>
    <w:rsid w:val="004E3A9E"/>
    <w:rsid w:val="004E6B2D"/>
    <w:rsid w:val="004F4227"/>
    <w:rsid w:val="00502516"/>
    <w:rsid w:val="00505F06"/>
    <w:rsid w:val="00506828"/>
    <w:rsid w:val="0053056E"/>
    <w:rsid w:val="005321B2"/>
    <w:rsid w:val="00535DFF"/>
    <w:rsid w:val="00554FDA"/>
    <w:rsid w:val="00592C36"/>
    <w:rsid w:val="005C784C"/>
    <w:rsid w:val="005D17F6"/>
    <w:rsid w:val="005E5539"/>
    <w:rsid w:val="00602BF5"/>
    <w:rsid w:val="0060737C"/>
    <w:rsid w:val="00617892"/>
    <w:rsid w:val="00617B9B"/>
    <w:rsid w:val="00617FDD"/>
    <w:rsid w:val="00633614"/>
    <w:rsid w:val="00633F68"/>
    <w:rsid w:val="00636EB2"/>
    <w:rsid w:val="006375B8"/>
    <w:rsid w:val="00637E93"/>
    <w:rsid w:val="0066510A"/>
    <w:rsid w:val="00673F9F"/>
    <w:rsid w:val="00686953"/>
    <w:rsid w:val="00687DEA"/>
    <w:rsid w:val="00687E67"/>
    <w:rsid w:val="006967F7"/>
    <w:rsid w:val="006A00B8"/>
    <w:rsid w:val="006A250C"/>
    <w:rsid w:val="006B21D3"/>
    <w:rsid w:val="006B57D0"/>
    <w:rsid w:val="006C395A"/>
    <w:rsid w:val="006D30FF"/>
    <w:rsid w:val="006D6940"/>
    <w:rsid w:val="006F11EC"/>
    <w:rsid w:val="0070082C"/>
    <w:rsid w:val="0070534B"/>
    <w:rsid w:val="0072429A"/>
    <w:rsid w:val="007306BB"/>
    <w:rsid w:val="00733B63"/>
    <w:rsid w:val="007369E6"/>
    <w:rsid w:val="00746E59"/>
    <w:rsid w:val="00754C9A"/>
    <w:rsid w:val="0075599A"/>
    <w:rsid w:val="00761D52"/>
    <w:rsid w:val="0077749E"/>
    <w:rsid w:val="00790ADA"/>
    <w:rsid w:val="00795DCE"/>
    <w:rsid w:val="007C70B7"/>
    <w:rsid w:val="007D2288"/>
    <w:rsid w:val="007E088F"/>
    <w:rsid w:val="007F5920"/>
    <w:rsid w:val="007F7B32"/>
    <w:rsid w:val="00804BC2"/>
    <w:rsid w:val="0081431A"/>
    <w:rsid w:val="00817F59"/>
    <w:rsid w:val="0083216F"/>
    <w:rsid w:val="0083766E"/>
    <w:rsid w:val="00844BC9"/>
    <w:rsid w:val="00860000"/>
    <w:rsid w:val="00863BD3"/>
    <w:rsid w:val="00866D66"/>
    <w:rsid w:val="008671C6"/>
    <w:rsid w:val="008707BB"/>
    <w:rsid w:val="00871B4D"/>
    <w:rsid w:val="00875803"/>
    <w:rsid w:val="008B459E"/>
    <w:rsid w:val="008E13AE"/>
    <w:rsid w:val="008E1506"/>
    <w:rsid w:val="008E710C"/>
    <w:rsid w:val="008F4CB0"/>
    <w:rsid w:val="008F69D6"/>
    <w:rsid w:val="00902823"/>
    <w:rsid w:val="00915CA6"/>
    <w:rsid w:val="00927834"/>
    <w:rsid w:val="009340FE"/>
    <w:rsid w:val="00945077"/>
    <w:rsid w:val="009500A6"/>
    <w:rsid w:val="00957C18"/>
    <w:rsid w:val="009659BA"/>
    <w:rsid w:val="00983040"/>
    <w:rsid w:val="009A1C50"/>
    <w:rsid w:val="009B0180"/>
    <w:rsid w:val="009B3FB9"/>
    <w:rsid w:val="009C2465"/>
    <w:rsid w:val="009C3F59"/>
    <w:rsid w:val="009C69DD"/>
    <w:rsid w:val="009D35A0"/>
    <w:rsid w:val="009D7BE5"/>
    <w:rsid w:val="009D7EB7"/>
    <w:rsid w:val="009E048A"/>
    <w:rsid w:val="009E08E9"/>
    <w:rsid w:val="009E2D40"/>
    <w:rsid w:val="009E3DB9"/>
    <w:rsid w:val="009E6E35"/>
    <w:rsid w:val="009F0EDA"/>
    <w:rsid w:val="00A03B96"/>
    <w:rsid w:val="00A05B19"/>
    <w:rsid w:val="00A1134E"/>
    <w:rsid w:val="00A14FDC"/>
    <w:rsid w:val="00A242B0"/>
    <w:rsid w:val="00A24E7E"/>
    <w:rsid w:val="00A258C3"/>
    <w:rsid w:val="00A347C0"/>
    <w:rsid w:val="00A34BDB"/>
    <w:rsid w:val="00A41B41"/>
    <w:rsid w:val="00A51431"/>
    <w:rsid w:val="00A539AD"/>
    <w:rsid w:val="00A5519B"/>
    <w:rsid w:val="00A81B1D"/>
    <w:rsid w:val="00A94063"/>
    <w:rsid w:val="00A968EF"/>
    <w:rsid w:val="00AA6219"/>
    <w:rsid w:val="00AA74E0"/>
    <w:rsid w:val="00AB04ED"/>
    <w:rsid w:val="00AB703F"/>
    <w:rsid w:val="00AC6BB8"/>
    <w:rsid w:val="00AD07EE"/>
    <w:rsid w:val="00AE008F"/>
    <w:rsid w:val="00AE3F52"/>
    <w:rsid w:val="00B01FCD"/>
    <w:rsid w:val="00B1776C"/>
    <w:rsid w:val="00B374D4"/>
    <w:rsid w:val="00B47A1B"/>
    <w:rsid w:val="00B52896"/>
    <w:rsid w:val="00B81055"/>
    <w:rsid w:val="00B92D56"/>
    <w:rsid w:val="00B95236"/>
    <w:rsid w:val="00B96BD9"/>
    <w:rsid w:val="00BA1B01"/>
    <w:rsid w:val="00BA2641"/>
    <w:rsid w:val="00BA7620"/>
    <w:rsid w:val="00BB37AA"/>
    <w:rsid w:val="00BC53A0"/>
    <w:rsid w:val="00BE37B9"/>
    <w:rsid w:val="00BE62AD"/>
    <w:rsid w:val="00BF121F"/>
    <w:rsid w:val="00BF1F80"/>
    <w:rsid w:val="00C03762"/>
    <w:rsid w:val="00C166EF"/>
    <w:rsid w:val="00C17EB0"/>
    <w:rsid w:val="00C27F5F"/>
    <w:rsid w:val="00C30A0F"/>
    <w:rsid w:val="00C37E61"/>
    <w:rsid w:val="00C4190C"/>
    <w:rsid w:val="00C70F1B"/>
    <w:rsid w:val="00C71A47"/>
    <w:rsid w:val="00C72046"/>
    <w:rsid w:val="00C7464C"/>
    <w:rsid w:val="00C85588"/>
    <w:rsid w:val="00C87634"/>
    <w:rsid w:val="00CC3D82"/>
    <w:rsid w:val="00CD6755"/>
    <w:rsid w:val="00CD6856"/>
    <w:rsid w:val="00CE0089"/>
    <w:rsid w:val="00CE793C"/>
    <w:rsid w:val="00D06252"/>
    <w:rsid w:val="00D16ADB"/>
    <w:rsid w:val="00D173F1"/>
    <w:rsid w:val="00D510B7"/>
    <w:rsid w:val="00D8295D"/>
    <w:rsid w:val="00DC2A65"/>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D0288"/>
    <w:rsid w:val="00EE0B12"/>
    <w:rsid w:val="00EE52CB"/>
    <w:rsid w:val="00EF581D"/>
    <w:rsid w:val="00EF7FD8"/>
    <w:rsid w:val="00F06F59"/>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0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Re\Downloads\Raise%20Stud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Re\Downloads\Raise%20Stud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anRe\Downloads\Raise%20Stud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anRe\Downloads\Raise%20Study.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Graphs!$C$2</c:f>
              <c:strCache>
                <c:ptCount val="1"/>
                <c:pt idx="0">
                  <c:v>Response rate (n = 511)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Graphs!$B$3:$B$6</c:f>
              <c:strCache>
                <c:ptCount val="4"/>
                <c:pt idx="0">
                  <c:v>30-40 years</c:v>
                </c:pt>
                <c:pt idx="1">
                  <c:v>40-50 years</c:v>
                </c:pt>
                <c:pt idx="2">
                  <c:v>50-60 years</c:v>
                </c:pt>
                <c:pt idx="3">
                  <c:v>More than 60 years</c:v>
                </c:pt>
              </c:strCache>
            </c:strRef>
          </c:cat>
          <c:val>
            <c:numRef>
              <c:f>Graphs!$C$3:$C$6</c:f>
              <c:numCache>
                <c:formatCode>0.00%</c:formatCode>
                <c:ptCount val="4"/>
                <c:pt idx="0">
                  <c:v>0.1174</c:v>
                </c:pt>
                <c:pt idx="1">
                  <c:v>0.60270000000000001</c:v>
                </c:pt>
                <c:pt idx="2">
                  <c:v>0.2505</c:v>
                </c:pt>
                <c:pt idx="3">
                  <c:v>2.9399999999999999E-2</c:v>
                </c:pt>
              </c:numCache>
            </c:numRef>
          </c:val>
          <c:extLst>
            <c:ext xmlns:c16="http://schemas.microsoft.com/office/drawing/2014/chart" uri="{C3380CC4-5D6E-409C-BE32-E72D297353CC}">
              <c16:uniqueId val="{00000000-E1D2-44A5-81AA-2C499B6FEE14}"/>
            </c:ext>
          </c:extLst>
        </c:ser>
        <c:dLbls>
          <c:dLblPos val="outEnd"/>
          <c:showLegendKey val="0"/>
          <c:showVal val="1"/>
          <c:showCatName val="0"/>
          <c:showSerName val="0"/>
          <c:showPercent val="0"/>
          <c:showBubbleSize val="0"/>
        </c:dLbls>
        <c:gapWidth val="219"/>
        <c:overlap val="-27"/>
        <c:axId val="914622304"/>
        <c:axId val="914567104"/>
      </c:barChart>
      <c:catAx>
        <c:axId val="91462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14567104"/>
        <c:crosses val="autoZero"/>
        <c:auto val="1"/>
        <c:lblAlgn val="ctr"/>
        <c:lblOffset val="100"/>
        <c:noMultiLvlLbl val="0"/>
      </c:catAx>
      <c:valAx>
        <c:axId val="914567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i="0" u="none" strike="noStrike" baseline="0">
                    <a:solidFill>
                      <a:sysClr val="windowText" lastClr="000000"/>
                    </a:solidFill>
                    <a:effectLst/>
                  </a:rPr>
                  <a:t>Response rate (n = 511)</a:t>
                </a:r>
                <a:r>
                  <a:rPr lang="en-IN" sz="900" b="1" i="0" u="none" strike="noStrike" baseline="0">
                    <a:solidFill>
                      <a:sysClr val="windowText" lastClr="000000"/>
                    </a:solidFill>
                  </a:rPr>
                  <a:t> </a:t>
                </a:r>
                <a:endParaRPr lang="en-IN" sz="9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14622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5109215514727323"/>
          <c:w val="0.81388888888888888"/>
          <c:h val="0.6921908719743366"/>
        </c:manualLayout>
      </c:layout>
      <c:pie3DChart>
        <c:varyColors val="1"/>
        <c:ser>
          <c:idx val="0"/>
          <c:order val="0"/>
          <c:tx>
            <c:strRef>
              <c:f>Graphs!$G$2</c:f>
              <c:strCache>
                <c:ptCount val="1"/>
                <c:pt idx="0">
                  <c:v>Response rate (n = 511)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671-4D0A-B83B-A2BA0E5FFA1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671-4D0A-B83B-A2BA0E5FFA1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671-4D0A-B83B-A2BA0E5FFA1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671-4D0A-B83B-A2BA0E5FFA1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Graphs!$F$3:$F$6</c:f>
              <c:strCache>
                <c:ptCount val="4"/>
                <c:pt idx="0">
                  <c:v>Paracetamol</c:v>
                </c:pt>
                <c:pt idx="1">
                  <c:v>NSAID</c:v>
                </c:pt>
                <c:pt idx="2">
                  <c:v>NSAID + paracetamol</c:v>
                </c:pt>
                <c:pt idx="3">
                  <c:v>Topical NSAID</c:v>
                </c:pt>
              </c:strCache>
            </c:strRef>
          </c:cat>
          <c:val>
            <c:numRef>
              <c:f>Graphs!$G$3:$G$6</c:f>
              <c:numCache>
                <c:formatCode>0.00%</c:formatCode>
                <c:ptCount val="4"/>
                <c:pt idx="0">
                  <c:v>4.4999999999999998E-2</c:v>
                </c:pt>
                <c:pt idx="1">
                  <c:v>0.23089999999999999</c:v>
                </c:pt>
                <c:pt idx="2">
                  <c:v>0.69079999999999997</c:v>
                </c:pt>
                <c:pt idx="3">
                  <c:v>3.3300000000000003E-2</c:v>
                </c:pt>
              </c:numCache>
            </c:numRef>
          </c:val>
          <c:extLst>
            <c:ext xmlns:c16="http://schemas.microsoft.com/office/drawing/2014/chart" uri="{C3380CC4-5D6E-409C-BE32-E72D297353CC}">
              <c16:uniqueId val="{00000008-D671-4D0A-B83B-A2BA0E5FFA16}"/>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Graphs!$K$2</c:f>
              <c:strCache>
                <c:ptCount val="1"/>
                <c:pt idx="0">
                  <c:v>Response rate (n = 511)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Graphs!$J$3:$J$6</c:f>
              <c:strCache>
                <c:ptCount val="4"/>
                <c:pt idx="0">
                  <c:v>Aceclofenac</c:v>
                </c:pt>
                <c:pt idx="1">
                  <c:v>Diclofenac</c:v>
                </c:pt>
                <c:pt idx="2">
                  <c:v>Piroxicam</c:v>
                </c:pt>
                <c:pt idx="3">
                  <c:v>Etoricoxib</c:v>
                </c:pt>
              </c:strCache>
            </c:strRef>
          </c:cat>
          <c:val>
            <c:numRef>
              <c:f>Graphs!$K$3:$K$6</c:f>
              <c:numCache>
                <c:formatCode>0.00%</c:formatCode>
                <c:ptCount val="4"/>
                <c:pt idx="0">
                  <c:v>0.78080000000000005</c:v>
                </c:pt>
                <c:pt idx="1">
                  <c:v>2.7400000000000001E-2</c:v>
                </c:pt>
                <c:pt idx="2">
                  <c:v>2.5399999999999999E-2</c:v>
                </c:pt>
                <c:pt idx="3">
                  <c:v>0.1663</c:v>
                </c:pt>
              </c:numCache>
            </c:numRef>
          </c:val>
          <c:extLst>
            <c:ext xmlns:c16="http://schemas.microsoft.com/office/drawing/2014/chart" uri="{C3380CC4-5D6E-409C-BE32-E72D297353CC}">
              <c16:uniqueId val="{00000000-9E63-43CC-9961-C61711A7C4DF}"/>
            </c:ext>
          </c:extLst>
        </c:ser>
        <c:dLbls>
          <c:dLblPos val="outEnd"/>
          <c:showLegendKey val="0"/>
          <c:showVal val="1"/>
          <c:showCatName val="0"/>
          <c:showSerName val="0"/>
          <c:showPercent val="0"/>
          <c:showBubbleSize val="0"/>
        </c:dLbls>
        <c:gapWidth val="219"/>
        <c:overlap val="-27"/>
        <c:axId val="914599744"/>
        <c:axId val="582912128"/>
      </c:barChart>
      <c:catAx>
        <c:axId val="91459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82912128"/>
        <c:crosses val="autoZero"/>
        <c:auto val="1"/>
        <c:lblAlgn val="ctr"/>
        <c:lblOffset val="100"/>
        <c:noMultiLvlLbl val="0"/>
      </c:catAx>
      <c:valAx>
        <c:axId val="582912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i="0" u="none" strike="noStrike" baseline="0">
                    <a:solidFill>
                      <a:sysClr val="windowText" lastClr="000000"/>
                    </a:solidFill>
                    <a:effectLst/>
                  </a:rPr>
                  <a:t>Response rate (n = 511)</a:t>
                </a:r>
                <a:r>
                  <a:rPr lang="en-IN" sz="900" b="1" i="0" u="none" strike="noStrike" baseline="0">
                    <a:solidFill>
                      <a:sysClr val="windowText" lastClr="000000"/>
                    </a:solidFill>
                  </a:rPr>
                  <a:t> </a:t>
                </a:r>
                <a:endParaRPr lang="en-IN" sz="9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14599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5572178477690288"/>
          <c:w val="0.81388888888888888"/>
          <c:h val="0.6921908719743366"/>
        </c:manualLayout>
      </c:layout>
      <c:pie3DChart>
        <c:varyColors val="1"/>
        <c:ser>
          <c:idx val="0"/>
          <c:order val="0"/>
          <c:tx>
            <c:strRef>
              <c:f>Graphs!$O$2</c:f>
              <c:strCache>
                <c:ptCount val="1"/>
                <c:pt idx="0">
                  <c:v>Response rate (n = 511)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F87-4CAF-B596-EFC9D161A49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F87-4CAF-B596-EFC9D161A49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F87-4CAF-B596-EFC9D161A490}"/>
              </c:ext>
            </c:extLst>
          </c:dPt>
          <c:dLbls>
            <c:dLbl>
              <c:idx val="2"/>
              <c:layout>
                <c:manualLayout>
                  <c:x val="7.3617235345581802E-2"/>
                  <c:y val="-2.7701224846894139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F87-4CAF-B596-EFC9D161A49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Graphs!$N$3:$N$5</c:f>
              <c:strCache>
                <c:ptCount val="3"/>
                <c:pt idx="0">
                  <c:v>Aceclofenac</c:v>
                </c:pt>
                <c:pt idx="1">
                  <c:v>Diclofenac</c:v>
                </c:pt>
                <c:pt idx="2">
                  <c:v>Ibuprofen</c:v>
                </c:pt>
              </c:strCache>
            </c:strRef>
          </c:cat>
          <c:val>
            <c:numRef>
              <c:f>Graphs!$O$3:$O$5</c:f>
              <c:numCache>
                <c:formatCode>0.00%</c:formatCode>
                <c:ptCount val="3"/>
                <c:pt idx="0">
                  <c:v>0.90800000000000003</c:v>
                </c:pt>
                <c:pt idx="1">
                  <c:v>4.1099999999999998E-2</c:v>
                </c:pt>
                <c:pt idx="2">
                  <c:v>5.0900000000000001E-2</c:v>
                </c:pt>
              </c:numCache>
            </c:numRef>
          </c:val>
          <c:extLst>
            <c:ext xmlns:c16="http://schemas.microsoft.com/office/drawing/2014/chart" uri="{C3380CC4-5D6E-409C-BE32-E72D297353CC}">
              <c16:uniqueId val="{00000006-9F87-4CAF-B596-EFC9D161A490}"/>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C5AB8-FF03-4A35-B444-C4E8B7AF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185</TotalTime>
  <Pages>9</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160</cp:revision>
  <cp:lastPrinted>1999-07-06T11:00:00Z</cp:lastPrinted>
  <dcterms:created xsi:type="dcterms:W3CDTF">2014-10-25T14:34:00Z</dcterms:created>
  <dcterms:modified xsi:type="dcterms:W3CDTF">2025-09-04T10:07:00Z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