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53C6" w14:textId="5A5D49F2" w:rsidR="009133A2" w:rsidRDefault="009133A2" w:rsidP="004A5C27">
      <w:pPr>
        <w:spacing w:line="360" w:lineRule="auto"/>
        <w:jc w:val="center"/>
        <w:rPr>
          <w:rFonts w:ascii="Arial" w:hAnsi="Arial" w:cs="Arial"/>
          <w:b/>
          <w:bCs/>
          <w:lang w:val="en-US"/>
        </w:rPr>
      </w:pPr>
      <w:r w:rsidRPr="009133A2">
        <w:rPr>
          <w:rFonts w:ascii="Arial" w:hAnsi="Arial" w:cs="Arial"/>
          <w:b/>
          <w:bCs/>
          <w:lang w:val="en-US"/>
        </w:rPr>
        <w:t>Cervical Spondylotic Myelopathy (CSM): A Literature Review</w:t>
      </w:r>
    </w:p>
    <w:p w14:paraId="47EAAE71" w14:textId="77777777" w:rsidR="002E24B6" w:rsidRDefault="002E24B6" w:rsidP="004A5C27">
      <w:pPr>
        <w:spacing w:line="360" w:lineRule="auto"/>
        <w:jc w:val="center"/>
        <w:rPr>
          <w:rFonts w:ascii="Arial" w:hAnsi="Arial" w:cs="Arial"/>
          <w:b/>
          <w:bCs/>
          <w:lang w:val="en-US"/>
        </w:rPr>
      </w:pPr>
    </w:p>
    <w:p w14:paraId="55C4D549" w14:textId="77777777" w:rsidR="00352B76" w:rsidRPr="009133A2" w:rsidRDefault="00352B76" w:rsidP="004A5C27">
      <w:pPr>
        <w:pStyle w:val="p1"/>
        <w:spacing w:line="360" w:lineRule="auto"/>
        <w:jc w:val="center"/>
        <w:rPr>
          <w:lang w:val="en-US"/>
        </w:rPr>
      </w:pPr>
      <w:bookmarkStart w:id="0" w:name="_GoBack"/>
      <w:bookmarkEnd w:id="0"/>
    </w:p>
    <w:p w14:paraId="0859A021" w14:textId="77777777" w:rsidR="004B0F6C" w:rsidRDefault="004B0F6C" w:rsidP="004A5C27">
      <w:pPr>
        <w:spacing w:line="360" w:lineRule="auto"/>
        <w:jc w:val="both"/>
        <w:rPr>
          <w:b/>
          <w:bCs/>
          <w:lang w:val="en-US"/>
        </w:rPr>
      </w:pPr>
    </w:p>
    <w:p w14:paraId="05B36899" w14:textId="77777777" w:rsidR="00B13582" w:rsidRDefault="00B13582" w:rsidP="004A5C27">
      <w:pPr>
        <w:spacing w:line="360" w:lineRule="auto"/>
        <w:jc w:val="both"/>
        <w:rPr>
          <w:b/>
          <w:bCs/>
          <w:lang w:val="en-US"/>
        </w:rPr>
      </w:pPr>
    </w:p>
    <w:p w14:paraId="0985B852" w14:textId="17923A72" w:rsidR="009133A2" w:rsidRDefault="00BC73A7" w:rsidP="009133A2">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9133A2" w:rsidRPr="009133A2">
        <w:rPr>
          <w:rFonts w:ascii="Arial" w:hAnsi="Arial" w:cs="Arial"/>
          <w:sz w:val="20"/>
          <w:szCs w:val="20"/>
          <w:lang w:val="en-US"/>
        </w:rPr>
        <w:t>Cervical Spondylotic Myelopathy (CSM) is a progressive degenerative condition of the cervical spine leading to spinal cord compression, primarily affecting individuals over the age of 50. This condition is the most common cause of spinal cord dysfunction in adults, characterized by a constellation of motor, sensory, and autonomic disturbances. The pathogenesis of CSM involves a combination of static mechanical compression due to osteophyte formation, disc degeneration, ligamentum flavum hypertrophy, and dynamic factors such as neck movements exacerbating cord impingement. Clinically, patients present with hand clumsiness, gait disturbances, limb weakness, sensory deficits, and in severe cases, spastic paralysis. Diagnosis is established through clinical evaluation and confirmed with imaging modalities such as MRI, which reveals spinal canal stenosis and cord compression. Several clinical scoring systems, including the modified Japanese Orthopaedic Association (mJOA) score, Nurick grade, and Neck Disability Index (NDI), assist in evaluating severity and monitoring progression. Management of CSM depends on symptom severity and neurological impairment. Non-operative treatment, such as physical therapy and pharmacological intervention, may be considered in mild cases. However, surgical decompression</w:t>
      </w:r>
      <w:r w:rsidR="009133A2">
        <w:rPr>
          <w:rFonts w:ascii="Arial" w:hAnsi="Arial" w:cs="Arial"/>
          <w:sz w:val="20"/>
          <w:szCs w:val="20"/>
          <w:lang w:val="en-US"/>
        </w:rPr>
        <w:t xml:space="preserve"> </w:t>
      </w:r>
      <w:r w:rsidR="009133A2" w:rsidRPr="009133A2">
        <w:rPr>
          <w:rFonts w:ascii="Arial" w:hAnsi="Arial" w:cs="Arial"/>
          <w:sz w:val="20"/>
          <w:szCs w:val="20"/>
          <w:lang w:val="en-US"/>
        </w:rPr>
        <w:t>either via anterior or posterior approaches</w:t>
      </w:r>
      <w:r w:rsidR="009133A2">
        <w:rPr>
          <w:rFonts w:ascii="Arial" w:hAnsi="Arial" w:cs="Arial"/>
          <w:sz w:val="20"/>
          <w:szCs w:val="20"/>
          <w:lang w:val="en-US"/>
        </w:rPr>
        <w:t xml:space="preserve"> </w:t>
      </w:r>
      <w:r w:rsidR="009133A2" w:rsidRPr="009133A2">
        <w:rPr>
          <w:rFonts w:ascii="Arial" w:hAnsi="Arial" w:cs="Arial"/>
          <w:sz w:val="20"/>
          <w:szCs w:val="20"/>
          <w:lang w:val="en-US"/>
        </w:rPr>
        <w:t>is indicated in cases with progressive neurological decline or failure of conservative therapy. Surgical techniques include anterior cervical discectomy and fusion (ACDF), corpectomy, laminectomy, and laminoplasty. Early recognition and intervention are crucial to improving functional outcomes and preventing irreversible neurological deficits. Prognosis varies, with incomplete spinal cord injuries showing more favorable recovery compared to complete injuries. Rehabilitative measures remain vital in maximizing recovery and quality of life in affected individuals.</w:t>
      </w:r>
    </w:p>
    <w:p w14:paraId="4F7BC514" w14:textId="77777777" w:rsidR="009133A2" w:rsidRPr="009133A2" w:rsidRDefault="009133A2" w:rsidP="009133A2">
      <w:pPr>
        <w:spacing w:line="360" w:lineRule="auto"/>
        <w:jc w:val="both"/>
        <w:rPr>
          <w:rFonts w:ascii="Arial" w:hAnsi="Arial" w:cs="Arial"/>
          <w:sz w:val="20"/>
          <w:szCs w:val="20"/>
          <w:lang w:val="en-US"/>
        </w:rPr>
      </w:pPr>
    </w:p>
    <w:p w14:paraId="69FCC920" w14:textId="77777777" w:rsidR="009133A2"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Keywords:</w:t>
      </w:r>
    </w:p>
    <w:p w14:paraId="507C19EE" w14:textId="21BCB854" w:rsidR="00987D4E"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Cervical Myelopathy, Spinal Cord Compression, Degenerative Spine Disease</w:t>
      </w:r>
    </w:p>
    <w:p w14:paraId="1B2A6C7A" w14:textId="0FB06E0E" w:rsidR="00987D4E" w:rsidRPr="00352B76" w:rsidRDefault="00987D4E" w:rsidP="004A5C27">
      <w:pPr>
        <w:spacing w:line="360" w:lineRule="auto"/>
        <w:rPr>
          <w:rFonts w:ascii="Arial" w:hAnsi="Arial" w:cs="Arial"/>
          <w:sz w:val="20"/>
          <w:szCs w:val="20"/>
          <w:lang w:val="en-US"/>
        </w:rPr>
      </w:pPr>
      <w:r w:rsidRPr="00352B76">
        <w:rPr>
          <w:rFonts w:ascii="Arial" w:hAnsi="Arial" w:cs="Arial"/>
          <w:sz w:val="20"/>
          <w:szCs w:val="20"/>
          <w:lang w:val="en-US"/>
        </w:rPr>
        <w:br w:type="page"/>
      </w:r>
      <w:r w:rsidRPr="00352B76">
        <w:rPr>
          <w:rFonts w:ascii="Arial" w:hAnsi="Arial" w:cs="Arial"/>
          <w:b/>
          <w:bCs/>
          <w:sz w:val="20"/>
          <w:szCs w:val="20"/>
          <w:lang w:val="en-US"/>
        </w:rPr>
        <w:lastRenderedPageBreak/>
        <w:t>I</w:t>
      </w:r>
      <w:r w:rsidR="00A36B12">
        <w:rPr>
          <w:rFonts w:ascii="Arial" w:hAnsi="Arial" w:cs="Arial"/>
          <w:b/>
          <w:bCs/>
          <w:sz w:val="20"/>
          <w:szCs w:val="20"/>
          <w:lang w:val="en-US"/>
        </w:rPr>
        <w:t>ntroduction</w:t>
      </w:r>
    </w:p>
    <w:p w14:paraId="4A7C12DA" w14:textId="7F22BEF9" w:rsidR="00760138" w:rsidRDefault="009133A2" w:rsidP="004A5C27">
      <w:pPr>
        <w:spacing w:line="360" w:lineRule="auto"/>
        <w:jc w:val="both"/>
        <w:rPr>
          <w:rFonts w:ascii="Arial" w:hAnsi="Arial" w:cs="Arial"/>
          <w:sz w:val="20"/>
          <w:szCs w:val="20"/>
          <w:lang w:val="en-US"/>
        </w:rPr>
      </w:pPr>
      <w:r w:rsidRPr="009133A2">
        <w:rPr>
          <w:rFonts w:ascii="Arial" w:hAnsi="Arial" w:cs="Arial"/>
          <w:sz w:val="20"/>
          <w:szCs w:val="20"/>
          <w:lang w:val="en-US"/>
        </w:rPr>
        <w:t>Cervical Spondylotic Myelopathy (CSM) is a neck condition that arises when the spinal cord becomes compressed or pinched due to age-related degenerative changes in the spine. This condition commonly occurs in patients over the age of 50.</w:t>
      </w:r>
      <w:r w:rsidR="00946FD5">
        <w:rPr>
          <w:rFonts w:ascii="Arial" w:hAnsi="Arial" w:cs="Arial"/>
          <w:sz w:val="20"/>
          <w:szCs w:val="20"/>
          <w:lang w:val="en-US"/>
        </w:rPr>
        <w:t xml:space="preserve"> </w:t>
      </w:r>
      <w:r>
        <w:rPr>
          <w:rFonts w:ascii="Arial" w:hAnsi="Arial" w:cs="Arial"/>
          <w:sz w:val="20"/>
          <w:szCs w:val="20"/>
          <w:lang w:val="en-US"/>
        </w:rPr>
        <w:t>(1)</w:t>
      </w:r>
      <w:r w:rsidRPr="009133A2">
        <w:rPr>
          <w:rFonts w:ascii="Arial" w:hAnsi="Arial" w:cs="Arial"/>
          <w:sz w:val="20"/>
          <w:szCs w:val="20"/>
          <w:lang w:val="en-US"/>
        </w:rPr>
        <w:t xml:space="preserve"> Because the spinal cord transmits nerve impulses to various parts of the body, patients with CSM may experience a wide range of symptoms. These can include weakness and numbness in the hands and arms, loss of balance and coordination, and neck pain — all resulting from the disruption of normal nerve impulse transmission through the</w:t>
      </w:r>
      <w:r w:rsidR="00946FD5">
        <w:rPr>
          <w:rFonts w:ascii="Arial" w:hAnsi="Arial" w:cs="Arial"/>
          <w:sz w:val="20"/>
          <w:szCs w:val="20"/>
          <w:lang w:val="en-US"/>
        </w:rPr>
        <w:t xml:space="preserve"> </w:t>
      </w:r>
      <w:r w:rsidRPr="009133A2">
        <w:rPr>
          <w:rFonts w:ascii="Arial" w:hAnsi="Arial" w:cs="Arial"/>
          <w:sz w:val="20"/>
          <w:szCs w:val="20"/>
          <w:lang w:val="en-US"/>
        </w:rPr>
        <w:t>spinal cord.</w:t>
      </w:r>
      <w:r w:rsidR="00946FD5">
        <w:rPr>
          <w:rFonts w:ascii="Arial" w:hAnsi="Arial" w:cs="Arial"/>
          <w:sz w:val="20"/>
          <w:szCs w:val="20"/>
          <w:lang w:val="en-US"/>
        </w:rPr>
        <w:t xml:space="preserve"> (</w:t>
      </w:r>
      <w:r w:rsidRPr="009133A2">
        <w:rPr>
          <w:rFonts w:ascii="Arial" w:hAnsi="Arial" w:cs="Arial"/>
          <w:sz w:val="20"/>
          <w:szCs w:val="20"/>
          <w:lang w:val="en-US"/>
        </w:rPr>
        <w:t>2</w:t>
      </w:r>
      <w:r w:rsidR="00946FD5">
        <w:rPr>
          <w:rFonts w:ascii="Arial" w:hAnsi="Arial" w:cs="Arial"/>
          <w:sz w:val="20"/>
          <w:szCs w:val="20"/>
          <w:lang w:val="en-US"/>
        </w:rPr>
        <w:t>)</w:t>
      </w:r>
    </w:p>
    <w:p w14:paraId="104F32E9" w14:textId="77777777" w:rsidR="009133A2" w:rsidRPr="009133A2" w:rsidRDefault="009133A2" w:rsidP="004A5C27">
      <w:pPr>
        <w:spacing w:line="360" w:lineRule="auto"/>
        <w:jc w:val="both"/>
        <w:rPr>
          <w:rFonts w:ascii="Arial" w:hAnsi="Arial" w:cs="Arial"/>
          <w:sz w:val="20"/>
          <w:szCs w:val="20"/>
        </w:rPr>
      </w:pPr>
    </w:p>
    <w:p w14:paraId="4E93DAEC" w14:textId="729EB43D" w:rsidR="006D36D8" w:rsidRDefault="00A36B12" w:rsidP="004A5C27">
      <w:pPr>
        <w:spacing w:line="360" w:lineRule="auto"/>
        <w:rPr>
          <w:rFonts w:ascii="Arial" w:hAnsi="Arial" w:cs="Arial"/>
          <w:b/>
          <w:bCs/>
          <w:sz w:val="20"/>
          <w:szCs w:val="20"/>
          <w:lang w:val="en-US"/>
        </w:rPr>
      </w:pPr>
      <w:r>
        <w:rPr>
          <w:rFonts w:ascii="Arial" w:hAnsi="Arial" w:cs="Arial"/>
          <w:b/>
          <w:bCs/>
          <w:sz w:val="20"/>
          <w:szCs w:val="20"/>
          <w:lang w:val="en-US"/>
        </w:rPr>
        <w:t>Epidemiology</w:t>
      </w:r>
    </w:p>
    <w:p w14:paraId="7E85160E" w14:textId="3774814F" w:rsid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Population-based data from Rochester, Minnesota, indicate that cervical myelopathy has an annual incidence rate of 97.3 per 100,000 in men and 63.5 per 100,000 in women, with a peak occurrence between the ages of 50 and 54. A history of physical labor or prior trauma preceding symptom onset is present in only 15% of cases. A study from Sicily reported a prevalence of approximately 35 cases per 1,000 population. Around 26% of 561 patients with cervical myelopathy underwent surgery within 3 months</w:t>
      </w:r>
      <w:r w:rsidR="00946FD5">
        <w:rPr>
          <w:rFonts w:ascii="Arial" w:hAnsi="Arial" w:cs="Arial"/>
          <w:color w:val="000000"/>
          <w:sz w:val="20"/>
          <w:szCs w:val="20"/>
        </w:rPr>
        <w:t xml:space="preserve">. (3) </w:t>
      </w:r>
      <w:r w:rsidRPr="00A36B12">
        <w:rPr>
          <w:rFonts w:ascii="Arial" w:hAnsi="Arial" w:cs="Arial"/>
          <w:color w:val="000000"/>
          <w:sz w:val="20"/>
          <w:szCs w:val="20"/>
        </w:rPr>
        <w:t>Recurrence, defined as the reappearance of symptoms after a symptom-free interval of at least 6 months, occurred in about 32% of patients. In 90% of patients, neurological findings were either normal or showed only mild weakness due to cervical radiculopathy. Axial neck pain is the most common cause of neck discomfort and has a high recovery rate. In one study, after 3 months of non-operative treatment, 70% of patients achieved complete recovery. The most frequently affected levels are C5-6 &gt; C6-7, due to their association with the greatest range of flexion and extension in the subaxial cervical spine</w:t>
      </w:r>
      <w:r w:rsidR="00946FD5">
        <w:rPr>
          <w:rFonts w:ascii="Arial" w:hAnsi="Arial" w:cs="Arial"/>
          <w:color w:val="000000"/>
          <w:sz w:val="20"/>
          <w:szCs w:val="20"/>
        </w:rPr>
        <w:t>. (4)</w:t>
      </w:r>
    </w:p>
    <w:p w14:paraId="2F98DD1C" w14:textId="77777777" w:rsidR="00A36B12" w:rsidRPr="00352B76" w:rsidRDefault="00A36B12" w:rsidP="004A5C27">
      <w:pPr>
        <w:spacing w:line="360" w:lineRule="auto"/>
        <w:rPr>
          <w:rFonts w:ascii="Arial" w:hAnsi="Arial" w:cs="Arial"/>
          <w:b/>
          <w:bCs/>
          <w:sz w:val="20"/>
          <w:szCs w:val="20"/>
          <w:lang w:val="en-US"/>
        </w:rPr>
      </w:pPr>
    </w:p>
    <w:p w14:paraId="12B9A094" w14:textId="4CD05AE1" w:rsidR="004376FD" w:rsidRPr="00A36B12" w:rsidRDefault="00A36B12" w:rsidP="004A5C27">
      <w:pPr>
        <w:spacing w:line="360" w:lineRule="auto"/>
        <w:rPr>
          <w:rFonts w:ascii="Arial" w:hAnsi="Arial" w:cs="Arial"/>
          <w:b/>
          <w:bCs/>
          <w:sz w:val="20"/>
          <w:szCs w:val="20"/>
          <w:lang w:val="en-US"/>
        </w:rPr>
      </w:pPr>
      <w:r w:rsidRPr="00A36B12">
        <w:rPr>
          <w:rFonts w:ascii="Arial" w:hAnsi="Arial" w:cs="Arial"/>
          <w:b/>
          <w:bCs/>
          <w:sz w:val="20"/>
          <w:szCs w:val="20"/>
          <w:lang w:val="en-US"/>
        </w:rPr>
        <w:t>Etilogy</w:t>
      </w:r>
    </w:p>
    <w:p w14:paraId="1E67CA3C" w14:textId="10BBFAB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In patients in their 50s, the most common cause of myelopathy is cervical spondylosis. This condition involves degenerative disease (osteoarthritis) of the cervical vertebrae, which can lead to spinal cord compression due to calcification, degeneration, intervertebral disc protrusion, bony outgrowths (osteophytes), and thickening of the longitudinal ligament. In patients under the age of 40, the most common cause of myelopathy is multiple sclerosis</w:t>
      </w:r>
      <w:r w:rsidR="00946FD5">
        <w:rPr>
          <w:rFonts w:ascii="Arial" w:hAnsi="Arial" w:cs="Arial"/>
          <w:color w:val="000000"/>
          <w:sz w:val="20"/>
          <w:szCs w:val="20"/>
        </w:rPr>
        <w:t>. (5)</w:t>
      </w:r>
    </w:p>
    <w:p w14:paraId="0EC60FAE" w14:textId="2DA7DB8C"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Degenerative diseases, such as spondylolisthesis, hypertrophy of the ligamentum flavum, or herniation of the intervertebral disc, reduce the diameter of the spinal canal and result in spinal cord compression. Disc herniation occurs when the nucleus pulposus pushes through its outer ring (annulus fibrosus). If there is wear or injury, the nucleus can fully protrude. When the herniation extends into the spinal canal, it can put pressure on the spinal cord or nerve roots</w:t>
      </w:r>
      <w:r w:rsidR="00946FD5">
        <w:rPr>
          <w:rFonts w:ascii="Arial" w:hAnsi="Arial" w:cs="Arial"/>
          <w:color w:val="000000"/>
          <w:sz w:val="20"/>
          <w:szCs w:val="20"/>
        </w:rPr>
        <w:t>. (6)</w:t>
      </w:r>
    </w:p>
    <w:p w14:paraId="5F543C4F" w14:textId="3FB76FF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Rheumatoid arthritis is an autoimmune disease, meaning the body’s immune system attacks its own tissues. In rheumatoid arthritis, immune cells target the synovium, the thin membrane that lines the joints. When the synovium becomes inflamed, it can cause pain and stiffness, and in severe cases, damage to the facet joints of the cervical spine. When this occurs, the upper vertebra may slide forward over the lower vertebra, reducing the available space for the spinal cord</w:t>
      </w:r>
      <w:r w:rsidR="00946FD5">
        <w:rPr>
          <w:rFonts w:ascii="Arial" w:hAnsi="Arial" w:cs="Arial"/>
          <w:color w:val="000000"/>
          <w:sz w:val="20"/>
          <w:szCs w:val="20"/>
        </w:rPr>
        <w:t>. (7)</w:t>
      </w:r>
    </w:p>
    <w:p w14:paraId="3D9A8215" w14:textId="5A82373C"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lang w:val="en-US"/>
        </w:rPr>
        <w:lastRenderedPageBreak/>
        <w:drawing>
          <wp:inline distT="0" distB="0" distL="0" distR="0" wp14:anchorId="3402046E" wp14:editId="2C33CE68">
            <wp:extent cx="4311650" cy="1714500"/>
            <wp:effectExtent l="0" t="0" r="0" b="0"/>
            <wp:docPr id="1538528772" name="Picture 1" descr="Illustrations of a healthy cervical vertebra and disk and a disk that has collap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Illustrations of a healthy cervical vertebra and disk and a disk that has collaps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0" cy="1714500"/>
                    </a:xfrm>
                    <a:prstGeom prst="rect">
                      <a:avLst/>
                    </a:prstGeom>
                    <a:noFill/>
                    <a:ln>
                      <a:noFill/>
                    </a:ln>
                  </pic:spPr>
                </pic:pic>
              </a:graphicData>
            </a:graphic>
          </wp:inline>
        </w:drawing>
      </w:r>
    </w:p>
    <w:p w14:paraId="6B7D423B" w14:textId="77777777"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rPr>
        <w:t>Figures 1. Bone Spur that Induce Neck Pain</w:t>
      </w:r>
    </w:p>
    <w:p w14:paraId="5263828A" w14:textId="77777777" w:rsidR="006D36D8" w:rsidRDefault="006D36D8" w:rsidP="004A5C27">
      <w:pPr>
        <w:spacing w:line="360" w:lineRule="auto"/>
        <w:rPr>
          <w:rFonts w:ascii="Arial" w:hAnsi="Arial" w:cs="Arial"/>
          <w:sz w:val="20"/>
          <w:szCs w:val="20"/>
        </w:rPr>
      </w:pPr>
    </w:p>
    <w:p w14:paraId="3776FF2B" w14:textId="77777777" w:rsidR="00A36B12" w:rsidRPr="00A36B12" w:rsidRDefault="00A36B12" w:rsidP="00A36B12">
      <w:pPr>
        <w:spacing w:line="360" w:lineRule="auto"/>
        <w:rPr>
          <w:rFonts w:ascii="Arial" w:hAnsi="Arial" w:cs="Arial"/>
          <w:sz w:val="20"/>
          <w:szCs w:val="20"/>
        </w:rPr>
      </w:pPr>
    </w:p>
    <w:p w14:paraId="6B27E71D" w14:textId="438CBC45"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Pathogenesis</w:t>
      </w:r>
    </w:p>
    <w:p w14:paraId="192B20F7" w14:textId="0E2F58A9"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Cervical spondylosis is the result of degeneration of the intervertebral discs. With aging, disc fragmentation and fissuring occur. The process begins in the nucleus pulposus, leading to central buckling of the annular lamellae, while the outer concentric fibers of the annulus fibrosus bulge outward. This results in increased mechanical stress on the vertebral cartilage. Subsequent subperiosteal bone formation creates osteophytic bars that extend along the ventral aspect of the spinal canal, sometimes encroaching into neural structures. This process likely serves to stabilize adjacent vertebrae, which have become hypermobile due to loss of disc material. Additionally, hypertrophy of the uncinate processes often extends into the ventrolateral part of the intervertebral foramina. Nerve irritation may also occur as a result of degraded proteoglycans from the intervertebral disc.</w:t>
      </w:r>
      <w:r w:rsidR="00946FD5">
        <w:rPr>
          <w:rFonts w:ascii="Arial" w:hAnsi="Arial" w:cs="Arial"/>
          <w:sz w:val="20"/>
          <w:szCs w:val="20"/>
        </w:rPr>
        <w:t xml:space="preserve"> (</w:t>
      </w:r>
      <w:r w:rsidRPr="00A36B12">
        <w:rPr>
          <w:rFonts w:ascii="Arial" w:hAnsi="Arial" w:cs="Arial"/>
          <w:sz w:val="20"/>
          <w:szCs w:val="20"/>
        </w:rPr>
        <w:t>8</w:t>
      </w:r>
      <w:r w:rsidR="00946FD5">
        <w:rPr>
          <w:rFonts w:ascii="Arial" w:hAnsi="Arial" w:cs="Arial"/>
          <w:sz w:val="20"/>
          <w:szCs w:val="20"/>
        </w:rPr>
        <w:t>)</w:t>
      </w:r>
    </w:p>
    <w:p w14:paraId="269C5868" w14:textId="4D0DFA45"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Primary lesions may include disc collapse with surrounding annular protrusion. Ligaments are displaced from their attachments at the vertebral body margins, leading to reactive osteophyte formation and ligamentous thickening. Together with annular protrusion, osteophytes, and thickened ligaments, the anteroposterior diameter of the spinal canal is reduced. Osteoarthritic changes in the neurocentral joints adjacent to the C3–C7 foramina contribute to additional bony proliferation, further narrowing foramina already constricted by disc protrusion and osteophytes. Spinal mobility is also compromised, limited by severe disc degeneration that may spread to levels above and below the affected segments. Multiple factors contribute to the development of signs and symptoms. The spinal cord, confined within the narrowed spinal canal, is at risk of further compression even during normal neck motion. For example, during extension, the ligamenta flava fold inward, potentially causing posterior compression.</w:t>
      </w:r>
      <w:r w:rsidR="00946FD5">
        <w:rPr>
          <w:rFonts w:ascii="Arial" w:hAnsi="Arial" w:cs="Arial"/>
          <w:sz w:val="20"/>
          <w:szCs w:val="20"/>
        </w:rPr>
        <w:t xml:space="preserve"> (</w:t>
      </w:r>
      <w:r w:rsidRPr="00A36B12">
        <w:rPr>
          <w:rFonts w:ascii="Arial" w:hAnsi="Arial" w:cs="Arial"/>
          <w:sz w:val="20"/>
          <w:szCs w:val="20"/>
        </w:rPr>
        <w:t>9</w:t>
      </w:r>
      <w:r w:rsidR="00946FD5">
        <w:rPr>
          <w:rFonts w:ascii="Arial" w:hAnsi="Arial" w:cs="Arial"/>
          <w:sz w:val="20"/>
          <w:szCs w:val="20"/>
        </w:rPr>
        <w:t>)</w:t>
      </w:r>
    </w:p>
    <w:p w14:paraId="56F85BDB" w14:textId="1802DEB6"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Because extreme movements that reach the spinal cord pose serious risks, sudden symptoms may occur following excessive flexion or extension, such as from trauma or endoscopic procedures under anesthesia. Cervical spondylotic myelopathy results from several important pathophysiological factors: static mechanical compression, dynamic mechanical stress, and spinal cord ischemia. The narrowing of the spinal canal by osteophytes places cervical nerves at increased risk for the development of spondylotic myelopathy. The spinal canal is a closed tube that runs through the spinal cord and contains cerebrospinal </w:t>
      </w:r>
      <w:r w:rsidRPr="00A36B12">
        <w:rPr>
          <w:rFonts w:ascii="Arial" w:hAnsi="Arial" w:cs="Arial"/>
          <w:sz w:val="20"/>
          <w:szCs w:val="20"/>
        </w:rPr>
        <w:lastRenderedPageBreak/>
        <w:t>fluid, which protects the cord from trauma and allows for neck flexibility. However, some individuals are born with a congenitally narrow spinal canal—this is known as congenital spinal canal stenosis. Stenosis causes narrowing of the canal, making the spinal cord more susceptible to compression.</w:t>
      </w:r>
      <w:r w:rsidR="00946FD5">
        <w:rPr>
          <w:rFonts w:ascii="Arial" w:hAnsi="Arial" w:cs="Arial"/>
          <w:sz w:val="20"/>
          <w:szCs w:val="20"/>
        </w:rPr>
        <w:t xml:space="preserve"> (</w:t>
      </w:r>
      <w:r w:rsidRPr="00A36B12">
        <w:rPr>
          <w:rFonts w:ascii="Arial" w:hAnsi="Arial" w:cs="Arial"/>
          <w:sz w:val="20"/>
          <w:szCs w:val="20"/>
        </w:rPr>
        <w:t>10</w:t>
      </w:r>
      <w:r w:rsidR="00946FD5">
        <w:rPr>
          <w:rFonts w:ascii="Arial" w:hAnsi="Arial" w:cs="Arial"/>
          <w:sz w:val="20"/>
          <w:szCs w:val="20"/>
        </w:rPr>
        <w:t>)</w:t>
      </w:r>
    </w:p>
    <w:p w14:paraId="70717689" w14:textId="29027624"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The cervical spinal canal may also become narrowed due to degenerative changes in the spine associated with aging. The formation of osteophytes, disc bulging, and ligament thickening can lead to spinal cord compression. Dynamic biomechanical factors of normal cervical vertebral motion may exacerbate spinal cord injury already triggered by direct static compression. During flexion, the spinal cord elongates and stretches over ventral osteophytes. During extension, the ligamentum flavum bulges toward the spinal cord, reducing the available space for it.</w:t>
      </w:r>
      <w:r w:rsidR="00946FD5">
        <w:rPr>
          <w:rFonts w:ascii="Arial" w:hAnsi="Arial" w:cs="Arial"/>
          <w:sz w:val="20"/>
          <w:szCs w:val="20"/>
        </w:rPr>
        <w:t xml:space="preserve"> (</w:t>
      </w:r>
      <w:r w:rsidRPr="00A36B12">
        <w:rPr>
          <w:rFonts w:ascii="Arial" w:hAnsi="Arial" w:cs="Arial"/>
          <w:sz w:val="20"/>
          <w:szCs w:val="20"/>
        </w:rPr>
        <w:t>11</w:t>
      </w:r>
      <w:r w:rsidR="00946FD5">
        <w:rPr>
          <w:rFonts w:ascii="Arial" w:hAnsi="Arial" w:cs="Arial"/>
          <w:sz w:val="20"/>
          <w:szCs w:val="20"/>
        </w:rPr>
        <w:t>)</w:t>
      </w:r>
    </w:p>
    <w:p w14:paraId="704C601B" w14:textId="77777777" w:rsidR="00A36B12" w:rsidRPr="00A36B12" w:rsidRDefault="00A36B12" w:rsidP="00A36B12">
      <w:pPr>
        <w:spacing w:line="360" w:lineRule="auto"/>
        <w:rPr>
          <w:rFonts w:ascii="Arial" w:hAnsi="Arial" w:cs="Arial"/>
          <w:sz w:val="20"/>
          <w:szCs w:val="20"/>
        </w:rPr>
      </w:pPr>
    </w:p>
    <w:p w14:paraId="3D0FE4D1" w14:textId="1FA781F4"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Clinical Features</w:t>
      </w:r>
    </w:p>
    <w:p w14:paraId="27BDE51D" w14:textId="25CC794D"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Typically, the symptoms of Cervical Spondylotic Myelopathy (CSM) develop gradually and progress over several years. However, in some patients, the condition may deteriorate more rapidly. Patients with CSM may experience a combination of the following symptoms</w:t>
      </w:r>
      <w:r w:rsidR="00A31AE3">
        <w:rPr>
          <w:rFonts w:ascii="Arial" w:hAnsi="Arial" w:cs="Arial"/>
          <w:sz w:val="20"/>
          <w:szCs w:val="20"/>
          <w:lang w:val="en-US"/>
        </w:rPr>
        <w:t xml:space="preserve"> (</w:t>
      </w:r>
      <w:r w:rsidRPr="00A36B12">
        <w:rPr>
          <w:rFonts w:ascii="Arial" w:hAnsi="Arial" w:cs="Arial"/>
          <w:sz w:val="20"/>
          <w:szCs w:val="20"/>
          <w:lang w:val="en-US"/>
        </w:rPr>
        <w:t>12</w:t>
      </w:r>
      <w:r w:rsidR="00A31AE3">
        <w:rPr>
          <w:rFonts w:ascii="Arial" w:hAnsi="Arial" w:cs="Arial"/>
          <w:sz w:val="20"/>
          <w:szCs w:val="20"/>
          <w:lang w:val="en-US"/>
        </w:rPr>
        <w:t>)</w:t>
      </w:r>
      <w:r w:rsidRPr="00A36B12">
        <w:rPr>
          <w:rFonts w:ascii="Arial" w:hAnsi="Arial" w:cs="Arial"/>
          <w:sz w:val="20"/>
          <w:szCs w:val="20"/>
          <w:lang w:val="en-US"/>
        </w:rPr>
        <w:t>:</w:t>
      </w:r>
    </w:p>
    <w:p w14:paraId="4E554BD8"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Tingling or numbness in the arms, fingers, or hands</w:t>
      </w:r>
    </w:p>
    <w:p w14:paraId="7D37E9F5" w14:textId="305638E5"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Weakness in the muscles of the arms, shoulders, or hands. Patients may struggle to grip or hold objects</w:t>
      </w:r>
    </w:p>
    <w:p w14:paraId="15F8CABE"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Imbalance and coordination problems, such as difficulty walking or frequent falls</w:t>
      </w:r>
    </w:p>
    <w:p w14:paraId="5CA2ED5E"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Loss of fine motor skills, such as difficulty with handwriting, buttoning clothes, picking up coins, or feeding oneself</w:t>
      </w:r>
    </w:p>
    <w:p w14:paraId="56A16C11" w14:textId="63DAD179" w:rsidR="00A36B12" w:rsidRP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Neck pain or stiffness</w:t>
      </w:r>
    </w:p>
    <w:p w14:paraId="09BBB5F3" w14:textId="6460CE0B"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Symptoms resulting from myelopathy vary widely and are often nonspecific. Combined with the slow and progressive course of the disease, this makes it difficult to detect. It is important to note that cervical myelopathy is a disorder of the cervical vertebrae that manifests in both the upper and lower extremities. In general, symptoms arise due to compression of the spinal cord, depending on the affected segment. This compression may cause sensory symptoms (pain or paresthesia), motor symptoms (paralysis), or autonomic symptoms (respiratory, circulatory, bladder, or bowel dysfunction).</w:t>
      </w:r>
      <w:r w:rsidR="00946FD5">
        <w:rPr>
          <w:rFonts w:ascii="Arial" w:hAnsi="Arial" w:cs="Arial"/>
          <w:sz w:val="20"/>
          <w:szCs w:val="20"/>
          <w:lang w:val="en-US"/>
        </w:rPr>
        <w:t xml:space="preserve"> (</w:t>
      </w:r>
      <w:r w:rsidRPr="00A36B12">
        <w:rPr>
          <w:rFonts w:ascii="Arial" w:hAnsi="Arial" w:cs="Arial"/>
          <w:sz w:val="20"/>
          <w:szCs w:val="20"/>
          <w:lang w:val="en-US"/>
        </w:rPr>
        <w:t>13</w:t>
      </w:r>
      <w:r w:rsidR="00946FD5">
        <w:rPr>
          <w:rFonts w:ascii="Arial" w:hAnsi="Arial" w:cs="Arial"/>
          <w:sz w:val="20"/>
          <w:szCs w:val="20"/>
          <w:lang w:val="en-US"/>
        </w:rPr>
        <w:t>)</w:t>
      </w:r>
    </w:p>
    <w:p w14:paraId="013FE2BA"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 classic symptoms of myelopathy include loss of balance and poor coordination, impaired daily function, weakness, numbness, and in severe cases, paralysis. Pain is frequently reported by patients; however, in some cases, there is no pain, which can lead to delayed diagnosis. Lesions in the C3–C6 vertebrae may cause difficulty with handwriting and nonspecific sensory changes and arm weakness. Lesions at C6–C8 commonly result in spasticity syndrome and loss of proprioception in the lower limbs. Patients may present with an unsteady gait and frequent falls.</w:t>
      </w:r>
    </w:p>
    <w:p w14:paraId="0AE9BCEF"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subjective complaints include:</w:t>
      </w:r>
    </w:p>
    <w:p w14:paraId="014E1A6F"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Heavy feeling in the legs</w:t>
      </w:r>
    </w:p>
    <w:p w14:paraId="4B55FD1E"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Radiculopathy</w:t>
      </w:r>
    </w:p>
    <w:p w14:paraId="5A20240A"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Impaired fine motor function</w:t>
      </w:r>
    </w:p>
    <w:p w14:paraId="3610D6D6"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lastRenderedPageBreak/>
        <w:t>L’Hermitte’s phenomenon: an electric shock-like sensation in the limbs triggered by neck flexion</w:t>
      </w:r>
    </w:p>
    <w:p w14:paraId="2302AD5A" w14:textId="7E4B9E9D" w:rsidR="00A36B12" w:rsidRP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Numbness and tingling in the limbs</w:t>
      </w:r>
    </w:p>
    <w:p w14:paraId="38C11A8E"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symptoms can appear acutely, subacutely, or as chronically progressive conditions. Sometimes, the underlying cause is unknown and there are no signs of inflammation.</w:t>
      </w:r>
    </w:p>
    <w:p w14:paraId="4FB05505" w14:textId="514BF94E"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CSM syndromes are classified into five clinical syndromes</w:t>
      </w:r>
      <w:r w:rsidR="00946FD5">
        <w:rPr>
          <w:rFonts w:ascii="Arial" w:hAnsi="Arial" w:cs="Arial"/>
          <w:sz w:val="20"/>
          <w:szCs w:val="20"/>
          <w:lang w:val="en-US"/>
        </w:rPr>
        <w:t xml:space="preserve"> (</w:t>
      </w:r>
      <w:r w:rsidRPr="00A36B12">
        <w:rPr>
          <w:rFonts w:ascii="Arial" w:hAnsi="Arial" w:cs="Arial"/>
          <w:sz w:val="20"/>
          <w:szCs w:val="20"/>
          <w:lang w:val="en-US"/>
        </w:rPr>
        <w:t>14</w:t>
      </w:r>
      <w:r w:rsidR="00946FD5">
        <w:rPr>
          <w:rFonts w:ascii="Arial" w:hAnsi="Arial" w:cs="Arial"/>
          <w:sz w:val="20"/>
          <w:szCs w:val="20"/>
          <w:lang w:val="en-US"/>
        </w:rPr>
        <w:t>)</w:t>
      </w:r>
      <w:r w:rsidRPr="00A36B12">
        <w:rPr>
          <w:rFonts w:ascii="Arial" w:hAnsi="Arial" w:cs="Arial"/>
          <w:sz w:val="20"/>
          <w:szCs w:val="20"/>
          <w:lang w:val="en-US"/>
        </w:rPr>
        <w:t>:</w:t>
      </w:r>
    </w:p>
    <w:p w14:paraId="37CF8153"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Transverse Lesion Syndrome: Involves the corticospinal tract, spinothalamic tract, posterior column, and anterior horn segments. This is the most common syndrome and represents the "end stage" of the disease process.</w:t>
      </w:r>
    </w:p>
    <w:p w14:paraId="6B8EAA12"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Motor System Syndrome: Primarily involves the corticospinal tract and anterior horn with minimal or no sensory deficit. This syndrome presents with a mix of lower motor neuron (LMN) signs in the upper extremities and upper motor neuron (UMN) signs (myelopathy) in the lower extremities, resembling Amyotrophic Lateral Sclerosis (ALS). Reflexes are often hyperactive below the site of maximal stenosis.</w:t>
      </w:r>
    </w:p>
    <w:p w14:paraId="7F48F786"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Central Cord Syndrome: Features predominantly motor and sensory deficits in the upper extremities more than the lower. This syndrome is characterized by dysfunction of the central spinal cord canal.</w:t>
      </w:r>
    </w:p>
    <w:p w14:paraId="6AC61050"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Brown-Séquard Syndrome: Results from asymmetric spinal canal narrowing, with ipsilateral corticospinal tract compression (causing UMN weakness) and posterior column dysfunction, along with contralateral loss of pain and temperature sensation.</w:t>
      </w:r>
    </w:p>
    <w:p w14:paraId="6CCAD186" w14:textId="6FF6D13D" w:rsidR="00A36B12"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Brachialgia and Cord Syndrome: Presents with radicular pain in the upper extremities accompanied by LMN weakness and partial involvement of long motor and sensory tracts.</w:t>
      </w:r>
    </w:p>
    <w:p w14:paraId="464B9E93" w14:textId="77777777" w:rsidR="00A31AE3" w:rsidRPr="00A31AE3" w:rsidRDefault="00A31AE3" w:rsidP="00A31AE3">
      <w:pPr>
        <w:pStyle w:val="ListParagraph"/>
        <w:spacing w:line="360" w:lineRule="auto"/>
        <w:jc w:val="both"/>
        <w:rPr>
          <w:rFonts w:ascii="Arial" w:hAnsi="Arial" w:cs="Arial"/>
          <w:sz w:val="20"/>
          <w:szCs w:val="20"/>
          <w:lang w:val="en-US"/>
        </w:rPr>
      </w:pPr>
    </w:p>
    <w:p w14:paraId="3BD4F7EB" w14:textId="106F283B" w:rsidR="00A36B12"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Diagnosis</w:t>
      </w:r>
    </w:p>
    <w:p w14:paraId="7437BE1F" w14:textId="1DA09112"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Clinical assessment of the patient begins with history taking. This includes evaluating the location, duration, and quality of the pain. Questionnaires and the Visual Analog Scale (VAS) can be used to assess how much the patient's symptoms interfere with daily activities. This is then followed by a physical examination involving several tests.</w:t>
      </w:r>
      <w:r w:rsidR="00946FD5">
        <w:rPr>
          <w:rFonts w:ascii="Arial" w:hAnsi="Arial" w:cs="Arial"/>
          <w:sz w:val="20"/>
          <w:szCs w:val="20"/>
          <w:lang w:val="en-US"/>
        </w:rPr>
        <w:t xml:space="preserve"> (</w:t>
      </w:r>
      <w:r w:rsidRPr="00A36B12">
        <w:rPr>
          <w:rFonts w:ascii="Arial" w:hAnsi="Arial" w:cs="Arial"/>
          <w:sz w:val="20"/>
          <w:szCs w:val="20"/>
          <w:lang w:val="en-US"/>
        </w:rPr>
        <w:t>15</w:t>
      </w:r>
      <w:r w:rsidR="00946FD5">
        <w:rPr>
          <w:rFonts w:ascii="Arial" w:hAnsi="Arial" w:cs="Arial"/>
          <w:sz w:val="20"/>
          <w:szCs w:val="20"/>
          <w:lang w:val="en-US"/>
        </w:rPr>
        <w:t>)</w:t>
      </w:r>
    </w:p>
    <w:p w14:paraId="6DD9A212" w14:textId="7777777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findings on physical examination include:</w:t>
      </w:r>
    </w:p>
    <w:p w14:paraId="0F426BD9"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Increased knee and Achilles reflexes (hyperreflexia), or occasionally decreased reflexes in the arms</w:t>
      </w:r>
    </w:p>
    <w:p w14:paraId="02550F8B"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Gait abnormalities, such as loss of balance</w:t>
      </w:r>
    </w:p>
    <w:p w14:paraId="69D41162"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Loss of sensation in the hands or feet</w:t>
      </w:r>
    </w:p>
    <w:p w14:paraId="5153073F"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Presence of clonus</w:t>
      </w:r>
    </w:p>
    <w:p w14:paraId="54D46D86"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Positive Babinski and Hoffman reflexes</w:t>
      </w:r>
    </w:p>
    <w:p w14:paraId="4CD2201B" w14:textId="1928FF3C" w:rsidR="00A36B12"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Decreased neck range of motion or flexibility</w:t>
      </w:r>
    </w:p>
    <w:p w14:paraId="0D2110B2" w14:textId="77777777" w:rsidR="00A31AE3" w:rsidRDefault="00A31AE3" w:rsidP="00A31AE3">
      <w:pPr>
        <w:pStyle w:val="ListParagraph"/>
        <w:spacing w:line="360" w:lineRule="auto"/>
        <w:jc w:val="both"/>
        <w:rPr>
          <w:rFonts w:ascii="Arial" w:hAnsi="Arial" w:cs="Arial"/>
          <w:sz w:val="20"/>
          <w:szCs w:val="20"/>
          <w:lang w:val="en-US"/>
        </w:rPr>
      </w:pPr>
    </w:p>
    <w:p w14:paraId="7A1A9317" w14:textId="77777777" w:rsidR="00A31AE3" w:rsidRPr="00A31AE3" w:rsidRDefault="00A31AE3" w:rsidP="00A31AE3">
      <w:pPr>
        <w:pStyle w:val="ListParagraph"/>
        <w:spacing w:line="360" w:lineRule="auto"/>
        <w:jc w:val="both"/>
        <w:rPr>
          <w:rFonts w:ascii="Arial" w:hAnsi="Arial" w:cs="Arial"/>
          <w:sz w:val="20"/>
          <w:szCs w:val="20"/>
          <w:lang w:val="en-US"/>
        </w:rPr>
      </w:pPr>
    </w:p>
    <w:p w14:paraId="342680B4" w14:textId="22A48645"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lastRenderedPageBreak/>
        <w:t>The following scoring systems can be used for clinical evaluation</w:t>
      </w:r>
      <w:r w:rsidR="00946FD5">
        <w:rPr>
          <w:rFonts w:ascii="Arial" w:hAnsi="Arial" w:cs="Arial"/>
          <w:sz w:val="20"/>
          <w:szCs w:val="20"/>
          <w:lang w:val="en-US"/>
        </w:rPr>
        <w:t xml:space="preserve"> (</w:t>
      </w:r>
      <w:r w:rsidRPr="00A36B12">
        <w:rPr>
          <w:rFonts w:ascii="Arial" w:hAnsi="Arial" w:cs="Arial"/>
          <w:sz w:val="20"/>
          <w:szCs w:val="20"/>
          <w:lang w:val="en-US"/>
        </w:rPr>
        <w:t>16</w:t>
      </w:r>
      <w:r w:rsidR="00946FD5">
        <w:rPr>
          <w:rFonts w:ascii="Arial" w:hAnsi="Arial" w:cs="Arial"/>
          <w:sz w:val="20"/>
          <w:szCs w:val="20"/>
          <w:lang w:val="en-US"/>
        </w:rPr>
        <w:t>)</w:t>
      </w:r>
      <w:r w:rsidRPr="00A36B12">
        <w:rPr>
          <w:rFonts w:ascii="Arial" w:hAnsi="Arial" w:cs="Arial"/>
          <w:sz w:val="20"/>
          <w:szCs w:val="20"/>
          <w:lang w:val="en-US"/>
        </w:rPr>
        <w:t>:</w:t>
      </w:r>
    </w:p>
    <w:p w14:paraId="6FF3B20B"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Japanese Orthopaedic Association (JOA) Score:</w:t>
      </w:r>
      <w:r w:rsidR="00A31AE3">
        <w:rPr>
          <w:rFonts w:ascii="Arial" w:hAnsi="Arial" w:cs="Arial"/>
          <w:sz w:val="20"/>
          <w:szCs w:val="20"/>
          <w:lang w:val="en-US"/>
        </w:rPr>
        <w:t xml:space="preserve"> </w:t>
      </w:r>
      <w:r w:rsidRPr="00A31AE3">
        <w:rPr>
          <w:rFonts w:ascii="Arial" w:hAnsi="Arial" w:cs="Arial"/>
          <w:sz w:val="20"/>
          <w:szCs w:val="20"/>
          <w:lang w:val="en-US"/>
        </w:rPr>
        <w:t>The JOA Score is used to assess the severity of symptoms and neurological deficits in CSM. Higher scores indicate better function and provide important clinical information about the patient’s status.</w:t>
      </w:r>
    </w:p>
    <w:p w14:paraId="40520451"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Modified Japanese Orthopaedic Association (mJOA) Score:</w:t>
      </w:r>
      <w:r w:rsidR="00A31AE3">
        <w:rPr>
          <w:rFonts w:ascii="Arial" w:hAnsi="Arial" w:cs="Arial"/>
          <w:sz w:val="20"/>
          <w:szCs w:val="20"/>
          <w:lang w:val="en-US"/>
        </w:rPr>
        <w:t xml:space="preserve"> </w:t>
      </w:r>
      <w:r w:rsidRPr="00A31AE3">
        <w:rPr>
          <w:rFonts w:ascii="Arial" w:hAnsi="Arial" w:cs="Arial"/>
          <w:sz w:val="20"/>
          <w:szCs w:val="20"/>
          <w:lang w:val="en-US"/>
        </w:rPr>
        <w:t>The mJOA Score is a modification of the original JOA Score that considers symptoms and neurological deficits in CSM. Lower scores indicate greater severity.</w:t>
      </w:r>
    </w:p>
    <w:p w14:paraId="55DD60A0"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Nurick Grading System:</w:t>
      </w:r>
      <w:r w:rsidR="00A31AE3">
        <w:rPr>
          <w:rFonts w:ascii="Arial" w:hAnsi="Arial" w:cs="Arial"/>
          <w:sz w:val="20"/>
          <w:szCs w:val="20"/>
          <w:lang w:val="en-US"/>
        </w:rPr>
        <w:t xml:space="preserve"> </w:t>
      </w:r>
      <w:r w:rsidRPr="00A31AE3">
        <w:rPr>
          <w:rFonts w:ascii="Arial" w:hAnsi="Arial" w:cs="Arial"/>
          <w:sz w:val="20"/>
          <w:szCs w:val="20"/>
          <w:lang w:val="en-US"/>
        </w:rPr>
        <w:t>The Nurick Grading System classifies CSM into five grades based on the severity of neurological deficits. Higher grades indicate more severe impairment and offer insight into the progression of the condition.</w:t>
      </w:r>
    </w:p>
    <w:p w14:paraId="52E953D9"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Visual Analog Scale (VAS) for Neck and Arm Pain:</w:t>
      </w:r>
      <w:r w:rsidR="00A31AE3">
        <w:rPr>
          <w:rFonts w:ascii="Arial" w:hAnsi="Arial" w:cs="Arial"/>
          <w:sz w:val="20"/>
          <w:szCs w:val="20"/>
          <w:lang w:val="en-US"/>
        </w:rPr>
        <w:t xml:space="preserve"> </w:t>
      </w:r>
      <w:r w:rsidRPr="00A31AE3">
        <w:rPr>
          <w:rFonts w:ascii="Arial" w:hAnsi="Arial" w:cs="Arial"/>
          <w:sz w:val="20"/>
          <w:szCs w:val="20"/>
          <w:lang w:val="en-US"/>
        </w:rPr>
        <w:t>The VAS is used to assess the intensity of neck and arm pain in patients with CSM. The visual scale helps quantify the impact of pain on a patient’s quality of life.</w:t>
      </w:r>
    </w:p>
    <w:p w14:paraId="3A9FBB85" w14:textId="50FC2EBD" w:rsidR="00A36B12" w:rsidRP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Neck Disability Index (NDI):</w:t>
      </w:r>
      <w:r w:rsidR="00A31AE3">
        <w:rPr>
          <w:rFonts w:ascii="Arial" w:hAnsi="Arial" w:cs="Arial"/>
          <w:sz w:val="20"/>
          <w:szCs w:val="20"/>
          <w:lang w:val="en-US"/>
        </w:rPr>
        <w:t xml:space="preserve"> </w:t>
      </w:r>
      <w:r w:rsidRPr="00A31AE3">
        <w:rPr>
          <w:rFonts w:ascii="Arial" w:hAnsi="Arial" w:cs="Arial"/>
          <w:sz w:val="20"/>
          <w:szCs w:val="20"/>
          <w:lang w:val="en-US"/>
        </w:rPr>
        <w:t>The NDI is a questionnaire used to assess the degree of neck-related disability and its impact on daily activities in CSM patients. Higher scores indicate greater disability.</w:t>
      </w:r>
    </w:p>
    <w:p w14:paraId="1CE99F68" w14:textId="63B36839"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scoring systems can be used together to provide a holistic overview of the patient’s condition. The JOA and mJOA scores help evaluate neurological deficits, the Nurick grading reflects disease progression, while the VAS and NDI offer insight into pain levels and functional disability.</w:t>
      </w:r>
      <w:r w:rsidR="00946FD5">
        <w:rPr>
          <w:rFonts w:ascii="Arial" w:hAnsi="Arial" w:cs="Arial"/>
          <w:sz w:val="20"/>
          <w:szCs w:val="20"/>
          <w:lang w:val="en-US"/>
        </w:rPr>
        <w:t xml:space="preserve"> (</w:t>
      </w:r>
      <w:r w:rsidRPr="00A36B12">
        <w:rPr>
          <w:rFonts w:ascii="Arial" w:hAnsi="Arial" w:cs="Arial"/>
          <w:sz w:val="20"/>
          <w:szCs w:val="20"/>
          <w:lang w:val="en-US"/>
        </w:rPr>
        <w:t>17</w:t>
      </w:r>
      <w:r w:rsidR="00946FD5">
        <w:rPr>
          <w:rFonts w:ascii="Arial" w:hAnsi="Arial" w:cs="Arial"/>
          <w:sz w:val="20"/>
          <w:szCs w:val="20"/>
          <w:lang w:val="en-US"/>
        </w:rPr>
        <w:t>)</w:t>
      </w:r>
    </w:p>
    <w:p w14:paraId="49951433" w14:textId="49B7E9C4"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Additional examinations are necessary to help establish the diagnosis of myelopathy, including</w:t>
      </w:r>
      <w:r w:rsidR="00946FD5">
        <w:rPr>
          <w:rFonts w:ascii="Arial" w:hAnsi="Arial" w:cs="Arial"/>
          <w:sz w:val="20"/>
          <w:szCs w:val="20"/>
          <w:lang w:val="en-US"/>
        </w:rPr>
        <w:t xml:space="preserve"> (</w:t>
      </w:r>
      <w:r w:rsidRPr="00A36B12">
        <w:rPr>
          <w:rFonts w:ascii="Arial" w:hAnsi="Arial" w:cs="Arial"/>
          <w:sz w:val="20"/>
          <w:szCs w:val="20"/>
          <w:lang w:val="en-US"/>
        </w:rPr>
        <w:t>18</w:t>
      </w:r>
      <w:r w:rsidR="00946FD5">
        <w:rPr>
          <w:rFonts w:ascii="Arial" w:hAnsi="Arial" w:cs="Arial"/>
          <w:sz w:val="20"/>
          <w:szCs w:val="20"/>
          <w:lang w:val="en-US"/>
        </w:rPr>
        <w:t>)</w:t>
      </w:r>
      <w:r w:rsidRPr="00A36B12">
        <w:rPr>
          <w:rFonts w:ascii="Arial" w:hAnsi="Arial" w:cs="Arial"/>
          <w:sz w:val="20"/>
          <w:szCs w:val="20"/>
          <w:lang w:val="en-US"/>
        </w:rPr>
        <w:t>:</w:t>
      </w:r>
    </w:p>
    <w:p w14:paraId="7734C3F0" w14:textId="2A14CB60"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Blood laboratory tests</w:t>
      </w:r>
    </w:p>
    <w:p w14:paraId="3E4DBF1B"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are performed to determine whether there are signs of infection or systemic disease that may be the underlying cause of myelopathy. This test is particularly valuable when the history and physical examination suggest an infectious process, but it can also help rule out infectious causes if results are unremarkable.</w:t>
      </w:r>
    </w:p>
    <w:p w14:paraId="47A93E75" w14:textId="3C5D5C9A"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Spinal X-ray</w:t>
      </w:r>
    </w:p>
    <w:p w14:paraId="42CDEB91"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This is the initial imaging modality used to detect abnormalities in the spine such as spondylosis, spondylolisthesis, or osteophyte formation. It is recommended to perform three standard views (anteroposterior [AP], lateral, and odontoid) for the cervical spine, and AP and lateral views for the thoracic and lumbar spine. If no abnormalities are found on radiographs, further evaluation with CT scan or MRI may be necessary.</w:t>
      </w:r>
    </w:p>
    <w:p w14:paraId="70D2E414" w14:textId="28D241C5"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CT scan / MRI</w:t>
      </w:r>
    </w:p>
    <w:p w14:paraId="6584BB44"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are used to visualize spinal structures in more detail, allowing identification of the lesion’s location and cause, such as trauma to the vertebrae or tumors compressing the spinal cord. MRI is the most effective diagnostic tool for detecting spinal cord lesions due to trauma or narrowing of the spinal canal (spinal stenosis).</w:t>
      </w:r>
    </w:p>
    <w:p w14:paraId="7753D73E" w14:textId="6C3C592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 </w:t>
      </w:r>
    </w:p>
    <w:p w14:paraId="3D17CCFF" w14:textId="62351E88" w:rsidR="00A31AE3" w:rsidRDefault="00A31AE3" w:rsidP="00A31AE3">
      <w:pPr>
        <w:spacing w:line="360" w:lineRule="auto"/>
        <w:jc w:val="center"/>
        <w:rPr>
          <w:rFonts w:ascii="Arial" w:hAnsi="Arial" w:cs="Arial"/>
          <w:sz w:val="20"/>
          <w:szCs w:val="20"/>
          <w:lang w:val="en-US"/>
        </w:rPr>
      </w:pPr>
      <w:r w:rsidRPr="001E417A">
        <w:rPr>
          <w:noProof/>
          <w:sz w:val="20"/>
          <w:lang w:val="en-US"/>
        </w:rPr>
        <w:lastRenderedPageBreak/>
        <w:drawing>
          <wp:inline distT="0" distB="0" distL="0" distR="0" wp14:anchorId="7E50E1FB" wp14:editId="1E141C61">
            <wp:extent cx="2057400" cy="2565400"/>
            <wp:effectExtent l="0" t="0" r="0" b="6350"/>
            <wp:docPr id="218132518" name="Picture 3" descr="http://www.aafp.org/afp/2000/0901/afp20000901p106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www.aafp.org/afp/2000/0901/afp20000901p1064-f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565400"/>
                    </a:xfrm>
                    <a:prstGeom prst="rect">
                      <a:avLst/>
                    </a:prstGeom>
                    <a:noFill/>
                    <a:ln>
                      <a:noFill/>
                    </a:ln>
                  </pic:spPr>
                </pic:pic>
              </a:graphicData>
            </a:graphic>
          </wp:inline>
        </w:drawing>
      </w:r>
    </w:p>
    <w:p w14:paraId="1CA10C07" w14:textId="5B89CE86" w:rsidR="00A36B12" w:rsidRPr="00352B76" w:rsidRDefault="00A31AE3" w:rsidP="00A31AE3">
      <w:pPr>
        <w:spacing w:line="360" w:lineRule="auto"/>
        <w:jc w:val="center"/>
        <w:rPr>
          <w:rFonts w:ascii="Arial" w:hAnsi="Arial" w:cs="Arial"/>
          <w:sz w:val="20"/>
          <w:szCs w:val="20"/>
          <w:lang w:val="en-US"/>
        </w:rPr>
      </w:pPr>
      <w:r>
        <w:rPr>
          <w:rFonts w:ascii="Arial" w:hAnsi="Arial" w:cs="Arial"/>
          <w:sz w:val="20"/>
          <w:szCs w:val="20"/>
          <w:lang w:val="en-US"/>
        </w:rPr>
        <w:t xml:space="preserve">Figures </w:t>
      </w:r>
      <w:r w:rsidR="00A36B12" w:rsidRPr="00A36B12">
        <w:rPr>
          <w:rFonts w:ascii="Arial" w:hAnsi="Arial" w:cs="Arial"/>
          <w:sz w:val="20"/>
          <w:szCs w:val="20"/>
          <w:lang w:val="en-US"/>
        </w:rPr>
        <w:t>2. MRI Imaging for CSM</w:t>
      </w:r>
    </w:p>
    <w:p w14:paraId="25CA0D41" w14:textId="77777777" w:rsidR="00A36B12" w:rsidRPr="00A31AE3" w:rsidRDefault="00A36B12" w:rsidP="00A31AE3">
      <w:pPr>
        <w:spacing w:line="360" w:lineRule="auto"/>
        <w:jc w:val="both"/>
        <w:rPr>
          <w:rFonts w:ascii="Arial" w:hAnsi="Arial" w:cs="Arial"/>
          <w:sz w:val="20"/>
          <w:szCs w:val="20"/>
          <w:lang w:val="en-US"/>
        </w:rPr>
      </w:pPr>
    </w:p>
    <w:p w14:paraId="536B3C98" w14:textId="1D439C11"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Differential Diagnosis</w:t>
      </w:r>
    </w:p>
    <w:p w14:paraId="17C48FF9" w14:textId="17B804D4"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The differential diagnosis for cervical myelopathy generally depends on its underlying cause, whether it be infection, trauma, tumor, degenerative processes, vascular disorders, multiple sclerosis, or vitamin B complex deficiency. This is closely related to the management approach to be taken, particularly when considering surgical intervention, antibiotic therapy, or chemotherapy.</w:t>
      </w:r>
      <w:r w:rsidR="00D34CDF">
        <w:rPr>
          <w:rFonts w:ascii="Arial" w:hAnsi="Arial" w:cs="Arial"/>
          <w:sz w:val="20"/>
          <w:szCs w:val="20"/>
        </w:rPr>
        <w:t xml:space="preserve"> (</w:t>
      </w:r>
      <w:r w:rsidRPr="00A31AE3">
        <w:rPr>
          <w:rFonts w:ascii="Arial" w:hAnsi="Arial" w:cs="Arial"/>
          <w:sz w:val="20"/>
          <w:szCs w:val="20"/>
        </w:rPr>
        <w:t>19</w:t>
      </w:r>
      <w:r w:rsidR="00D34CDF">
        <w:rPr>
          <w:rFonts w:ascii="Arial" w:hAnsi="Arial" w:cs="Arial"/>
          <w:sz w:val="20"/>
          <w:szCs w:val="20"/>
        </w:rPr>
        <w:t>)</w:t>
      </w:r>
    </w:p>
    <w:p w14:paraId="54008615" w14:textId="77777777" w:rsidR="00A36B12" w:rsidRPr="00A36B12" w:rsidRDefault="00A36B12" w:rsidP="00A31AE3">
      <w:pPr>
        <w:spacing w:line="360" w:lineRule="auto"/>
        <w:jc w:val="both"/>
        <w:rPr>
          <w:rFonts w:ascii="Arial" w:hAnsi="Arial" w:cs="Arial"/>
          <w:sz w:val="20"/>
          <w:szCs w:val="20"/>
        </w:rPr>
      </w:pPr>
    </w:p>
    <w:p w14:paraId="3324BEED" w14:textId="19DB997C"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Treatment</w:t>
      </w:r>
    </w:p>
    <w:p w14:paraId="22D56164" w14:textId="2D609C9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Physical therapy and exercise typically begin with stretching to restore flexibility of the neck, torso, arms, or legs. Medications for cervical myelopathy aim to relieve pain, muscle spasms, and other symptoms. NSAIDs are used to reduce inflammation and swelling</w:t>
      </w:r>
      <w:r w:rsidR="00024424">
        <w:rPr>
          <w:rFonts w:ascii="Arial" w:hAnsi="Arial" w:cs="Arial"/>
          <w:sz w:val="20"/>
          <w:szCs w:val="20"/>
          <w:lang w:val="en-US"/>
        </w:rPr>
        <w:t xml:space="preserve"> </w:t>
      </w:r>
      <w:r w:rsidRPr="00A31AE3">
        <w:rPr>
          <w:rFonts w:ascii="Arial" w:hAnsi="Arial" w:cs="Arial"/>
          <w:sz w:val="20"/>
          <w:szCs w:val="20"/>
          <w:lang w:val="en-US"/>
        </w:rPr>
        <w:t>examples include aspirin, ibuprofen, and naproxen. Side effects of NSAIDs, such as gastrointestinal upset and bleeding, should be monitored.</w:t>
      </w:r>
      <w:r w:rsidR="00D34CDF">
        <w:rPr>
          <w:rFonts w:ascii="Arial" w:hAnsi="Arial" w:cs="Arial"/>
          <w:sz w:val="20"/>
          <w:szCs w:val="20"/>
          <w:lang w:val="en-US"/>
        </w:rPr>
        <w:t xml:space="preserve"> (</w:t>
      </w:r>
      <w:r w:rsidRPr="00A31AE3">
        <w:rPr>
          <w:rFonts w:ascii="Arial" w:hAnsi="Arial" w:cs="Arial"/>
          <w:sz w:val="20"/>
          <w:szCs w:val="20"/>
          <w:lang w:val="en-US"/>
        </w:rPr>
        <w:t>20</w:t>
      </w:r>
      <w:r w:rsidR="00D34CDF">
        <w:rPr>
          <w:rFonts w:ascii="Arial" w:hAnsi="Arial" w:cs="Arial"/>
          <w:sz w:val="20"/>
          <w:szCs w:val="20"/>
          <w:lang w:val="en-US"/>
        </w:rPr>
        <w:t>)</w:t>
      </w:r>
    </w:p>
    <w:p w14:paraId="6F05FD83" w14:textId="711C398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Corticosteroids, either oral or injectable, can be used as powerful anti-inflammatory agents. Epidural steroid injections may also be recommended; corticosteroids are injected into the</w:t>
      </w:r>
      <w:r w:rsidR="00024424">
        <w:rPr>
          <w:rFonts w:ascii="Arial" w:hAnsi="Arial" w:cs="Arial"/>
          <w:sz w:val="20"/>
          <w:szCs w:val="20"/>
          <w:lang w:val="en-US"/>
        </w:rPr>
        <w:t xml:space="preserve"> </w:t>
      </w:r>
      <w:r w:rsidRPr="00A31AE3">
        <w:rPr>
          <w:rFonts w:ascii="Arial" w:hAnsi="Arial" w:cs="Arial"/>
          <w:sz w:val="20"/>
          <w:szCs w:val="20"/>
          <w:lang w:val="en-US"/>
        </w:rPr>
        <w:t>epidural space to reduce inflammation. Antidepressants may be prescribed if analgesics are insufficient. Trigger point injections with local anesthetics, possibly combined with steroids, may be administered directly into painful soft tissues or muscles. Facet joint injections may also be used.</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3DB6FAB" w14:textId="5081786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Treatment for spinal cord injury primarily aims to improve and preserve sensory and motor function. Patients with complete spinal cord injuries have only a 5% chance of full recovery. Complete lesions that show no improvement within the first 72 hours tend to remain unchanged and have a poor prognosis. In contrast, incomplete spinal cord injuries generally have a better prognosis. If some sensory function remains below the level of the lesion, there is more than a 50% chance of regaining the ability to walk. Methylprednisolone is the most commonly used therapy for traumatic spinal cord injury and is recommended by the U.S. National Institutes of Health. A study has shown that high-dose methylprednisolone is the only </w:t>
      </w:r>
      <w:r w:rsidRPr="00A31AE3">
        <w:rPr>
          <w:rFonts w:ascii="Arial" w:hAnsi="Arial" w:cs="Arial"/>
          <w:sz w:val="20"/>
          <w:szCs w:val="20"/>
          <w:lang w:val="en-US"/>
        </w:rPr>
        <w:lastRenderedPageBreak/>
        <w:t>pharmacologic treatment proven effective in a Phase III clinical trial and is therefore recommended for use in traumatic spinal cord injury.</w:t>
      </w:r>
      <w:r w:rsidR="00D34CDF">
        <w:rPr>
          <w:rFonts w:ascii="Arial" w:hAnsi="Arial" w:cs="Arial"/>
          <w:sz w:val="20"/>
          <w:szCs w:val="20"/>
          <w:lang w:val="en-US"/>
        </w:rPr>
        <w:t xml:space="preserve"> (</w:t>
      </w:r>
      <w:r w:rsidRPr="00A31AE3">
        <w:rPr>
          <w:rFonts w:ascii="Arial" w:hAnsi="Arial" w:cs="Arial"/>
          <w:sz w:val="20"/>
          <w:szCs w:val="20"/>
          <w:lang w:val="en-US"/>
        </w:rPr>
        <w:t>22</w:t>
      </w:r>
      <w:r w:rsidR="00D34CDF">
        <w:rPr>
          <w:rFonts w:ascii="Arial" w:hAnsi="Arial" w:cs="Arial"/>
          <w:sz w:val="20"/>
          <w:szCs w:val="20"/>
          <w:lang w:val="en-US"/>
        </w:rPr>
        <w:t>)</w:t>
      </w:r>
    </w:p>
    <w:p w14:paraId="2457CE50" w14:textId="5E1B0A0B"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Medical rehabilitation plays a key role in managing spinal cord injury. Physiotherapy, occupational therapy, and bladder training should be initiated as early as possible. The main goal of physiotherapy is to maintain range of motion (ROM) and mobility, while strengthening the remaining functional muscles. Occupational therapy focuses on improving and preserving upper limb function and maintaining the ability to perform daily living activities. Contracture formation should be prevented as much as possible. Assistive devices should be tailored to the patient’s profession and personal goals.</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79288B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Surgical intervention is necessary to relieve spinal cord compression caused by trauma, stenosis, or tumors compressing the cord.</w:t>
      </w:r>
    </w:p>
    <w:p w14:paraId="2B938A0E"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surgery include:</w:t>
      </w:r>
    </w:p>
    <w:p w14:paraId="7B6FE835" w14:textId="77777777" w:rsid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Failure of non-operative therapy after 3 months to relieve pain</w:t>
      </w:r>
    </w:p>
    <w:p w14:paraId="5A561F9B" w14:textId="77777777" w:rsid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Persistent or recurrent symptoms with or without neurological deficits</w:t>
      </w:r>
    </w:p>
    <w:p w14:paraId="598E1110" w14:textId="0F58BCF8" w:rsidR="00A31AE3" w:rsidRP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Presence of progressive neurological deficits</w:t>
      </w:r>
    </w:p>
    <w:p w14:paraId="3A316F0D" w14:textId="67152612"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There are two surgical approaches commonly used for cervical spondylosis: the anterior approach (anterior cervical discectomy or corpectomy) and the posterior approach (decompressive cervical laminectomy or laminoplasty). Both approaches are widely utilized to this day, yet there is still considerable debate regarding which technique is superior.</w:t>
      </w:r>
      <w:r w:rsidR="00D34CDF">
        <w:rPr>
          <w:rFonts w:ascii="Arial" w:hAnsi="Arial" w:cs="Arial"/>
          <w:sz w:val="20"/>
          <w:szCs w:val="20"/>
          <w:lang w:val="en-US"/>
        </w:rPr>
        <w:t xml:space="preserve"> (5,6)</w:t>
      </w:r>
      <w:r w:rsidRPr="00A31AE3">
        <w:rPr>
          <w:rFonts w:ascii="Arial" w:hAnsi="Arial" w:cs="Arial"/>
          <w:sz w:val="20"/>
          <w:szCs w:val="20"/>
          <w:lang w:val="en-US"/>
        </w:rPr>
        <w:t xml:space="preserve"> Each surgical technique has its own advantages and disadvantages, and the chosen approach should be tailored to the location of neural compression. Compression of neural structures located anteriorly is best relieved from the anterior approach, while posterior compression is better addressed from the posterior approach. In cases involving multilevel compression (three levels or more), the posterior approach is more commonly used—even if anterior compression is present.</w:t>
      </w:r>
      <w:r w:rsidR="00D34CDF">
        <w:rPr>
          <w:rFonts w:ascii="Arial" w:hAnsi="Arial" w:cs="Arial"/>
          <w:sz w:val="20"/>
          <w:szCs w:val="20"/>
          <w:lang w:val="en-US"/>
        </w:rPr>
        <w:t xml:space="preserve"> (2)</w:t>
      </w:r>
    </w:p>
    <w:p w14:paraId="76F76F58" w14:textId="77777777" w:rsidR="005B7340" w:rsidRPr="00A31AE3" w:rsidRDefault="005B7340" w:rsidP="00A31AE3">
      <w:pPr>
        <w:spacing w:line="360" w:lineRule="auto"/>
        <w:jc w:val="both"/>
        <w:rPr>
          <w:rFonts w:ascii="Arial" w:hAnsi="Arial" w:cs="Arial"/>
          <w:sz w:val="20"/>
          <w:szCs w:val="20"/>
          <w:lang w:val="en-US"/>
        </w:rPr>
      </w:pPr>
    </w:p>
    <w:p w14:paraId="157E103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a. Anterior Cervical Discectomy and Fusion (ACDF)</w:t>
      </w:r>
    </w:p>
    <w:p w14:paraId="20406380" w14:textId="215026F4"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1955, Robinson and Smith reported a technique to decompress the cervical disc and achieve fusion using a horseshoe-shaped graft, which later became the gold standard for treating disc herniation and cervical spondylotic radiculopathy. Cloward developed a similar anterior approach, involving drilling a hole through the intervertebral disc space and adjacent vertebrae to insert a bone dowel. Unlike the Robinson-Smith technique, Cloward’s method decompresses structures at the level of the posterior longitudinal ligament. Robinson and Smith did not directly decompress the neural structures but believed that by immobilizing the segment, osteophytes and herniated disc material would regress spontaneously.</w:t>
      </w:r>
      <w:r w:rsidR="00D34CDF">
        <w:rPr>
          <w:rFonts w:ascii="Arial" w:hAnsi="Arial" w:cs="Arial"/>
          <w:sz w:val="20"/>
          <w:szCs w:val="20"/>
          <w:lang w:val="en-US"/>
        </w:rPr>
        <w:t xml:space="preserve"> (</w:t>
      </w:r>
      <w:r w:rsidRPr="00A31AE3">
        <w:rPr>
          <w:rFonts w:ascii="Arial" w:hAnsi="Arial" w:cs="Arial"/>
          <w:sz w:val="20"/>
          <w:szCs w:val="20"/>
          <w:lang w:val="en-US"/>
        </w:rPr>
        <w:t>15</w:t>
      </w:r>
      <w:r w:rsidR="00D34CDF">
        <w:rPr>
          <w:rFonts w:ascii="Arial" w:hAnsi="Arial" w:cs="Arial"/>
          <w:sz w:val="20"/>
          <w:szCs w:val="20"/>
          <w:lang w:val="en-US"/>
        </w:rPr>
        <w:t>)</w:t>
      </w:r>
    </w:p>
    <w:p w14:paraId="6135D959" w14:textId="18F861EC"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Over the following years, many variations of this technique were developed. Anterior cervical discectomy and fusion (ACDF) using a tricortical bone graft harvested from the iliac crest has become the most widely used technique and is considered the gold standard for treating cervical radiculopathy. The radiologic fusion rate depends on the number of levels fused. Bohlmann et al. reported solid fusion rates of 89% for single-level, 73% for two-level, and 67% for multilevel fusions. Cauthen et al. analyzed the outcomes of anterior </w:t>
      </w:r>
      <w:r w:rsidRPr="00A31AE3">
        <w:rPr>
          <w:rFonts w:ascii="Arial" w:hAnsi="Arial" w:cs="Arial"/>
          <w:sz w:val="20"/>
          <w:szCs w:val="20"/>
          <w:lang w:val="en-US"/>
        </w:rPr>
        <w:lastRenderedPageBreak/>
        <w:t>cervical discectomy and fusion (Cloward’s technique) in 348 patients with an average follow-up of 5 years.</w:t>
      </w:r>
      <w:r w:rsidR="00D34CDF">
        <w:rPr>
          <w:rFonts w:ascii="Arial" w:hAnsi="Arial" w:cs="Arial"/>
          <w:sz w:val="20"/>
          <w:szCs w:val="20"/>
          <w:lang w:val="en-US"/>
        </w:rPr>
        <w:t xml:space="preserve"> (</w:t>
      </w:r>
      <w:r w:rsidRPr="00A31AE3">
        <w:rPr>
          <w:rFonts w:ascii="Arial" w:hAnsi="Arial" w:cs="Arial"/>
          <w:sz w:val="20"/>
          <w:szCs w:val="20"/>
          <w:lang w:val="en-US"/>
        </w:rPr>
        <w:t>14</w:t>
      </w:r>
      <w:r w:rsidR="00D34CDF">
        <w:rPr>
          <w:rFonts w:ascii="Arial" w:hAnsi="Arial" w:cs="Arial"/>
          <w:sz w:val="20"/>
          <w:szCs w:val="20"/>
          <w:lang w:val="en-US"/>
        </w:rPr>
        <w:t>)</w:t>
      </w:r>
    </w:p>
    <w:p w14:paraId="399A4737" w14:textId="77777777" w:rsidR="005B7340" w:rsidRPr="00A31AE3" w:rsidRDefault="005B7340" w:rsidP="00A31AE3">
      <w:pPr>
        <w:spacing w:line="360" w:lineRule="auto"/>
        <w:jc w:val="both"/>
        <w:rPr>
          <w:rFonts w:ascii="Arial" w:hAnsi="Arial" w:cs="Arial"/>
          <w:sz w:val="20"/>
          <w:szCs w:val="20"/>
          <w:lang w:val="en-US"/>
        </w:rPr>
      </w:pPr>
    </w:p>
    <w:p w14:paraId="69E01FD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b. Anterior Corpectomy</w:t>
      </w:r>
    </w:p>
    <w:p w14:paraId="56328C9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patients with cervical spondylosis, anterior discectomy and osteophyte removal may not be sufficient to decompress the spinal cord. The spinal cord may not only be compressed by disc protrusion and spondylotic spurs but also affected by spinal malalignment (such as kyphosis) or a congenitally narrow spinal canal. In such cases, subtotal corpectomy is required.</w:t>
      </w:r>
    </w:p>
    <w:p w14:paraId="6C49597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Partial resection of the vertebral body and decompression was initially developed for traumatic cervical conditions and later adapted for degenerative disorders. The extent of decompression depends on the pathology and the size of the spinal canal. Compared to ACDF (Anterior Cervical Discectomy and Fusion), corpectomy offers several advantages, including:</w:t>
      </w:r>
    </w:p>
    <w:p w14:paraId="23F5B872" w14:textId="77777777" w:rsidR="005B7340"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Enlargement of the spinal canal</w:t>
      </w:r>
    </w:p>
    <w:p w14:paraId="374CDAE9" w14:textId="77777777" w:rsidR="005B7340"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More radical decompression</w:t>
      </w:r>
    </w:p>
    <w:p w14:paraId="43AA196F" w14:textId="35B9CB34" w:rsidR="00A31AE3"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Improved fusion rates</w:t>
      </w:r>
      <w:r w:rsidR="00D34CDF">
        <w:rPr>
          <w:rFonts w:ascii="Arial" w:hAnsi="Arial" w:cs="Arial"/>
          <w:sz w:val="20"/>
          <w:szCs w:val="20"/>
          <w:lang w:val="en-US"/>
        </w:rPr>
        <w:t xml:space="preserve"> (2)</w:t>
      </w:r>
    </w:p>
    <w:p w14:paraId="2144C5E0" w14:textId="77777777" w:rsidR="005B7340" w:rsidRPr="005B7340" w:rsidRDefault="005B7340" w:rsidP="005B7340">
      <w:pPr>
        <w:pStyle w:val="ListParagraph"/>
        <w:spacing w:line="360" w:lineRule="auto"/>
        <w:jc w:val="both"/>
        <w:rPr>
          <w:rFonts w:ascii="Arial" w:hAnsi="Arial" w:cs="Arial"/>
          <w:sz w:val="20"/>
          <w:szCs w:val="20"/>
          <w:lang w:val="en-US"/>
        </w:rPr>
      </w:pPr>
    </w:p>
    <w:p w14:paraId="6F9E808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 Posterior Cervical Laminectomy</w:t>
      </w:r>
    </w:p>
    <w:p w14:paraId="2EB5A6A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Once considered the gold standard for treating multilevel cervical myelopathy, standalone laminectomy has lost favor due to documented postoperative complications. The procedure was first performed by Sir Victor Horsley (1857–1916) for tumor-related myelopathy. Laminectomy remains a versatile and straightforward technical approach to spinal cord decompression.</w:t>
      </w:r>
    </w:p>
    <w:p w14:paraId="09C6B520"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laminectomy include:</w:t>
      </w:r>
    </w:p>
    <w:p w14:paraId="475082E0"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Multilevel cervical myelopathy</w:t>
      </w:r>
    </w:p>
    <w:p w14:paraId="4633B5D3"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Predominantly posterior nerve compression</w:t>
      </w:r>
    </w:p>
    <w:p w14:paraId="08181743"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Elderly CSM patients with comorbidities</w:t>
      </w:r>
    </w:p>
    <w:p w14:paraId="0F14B310" w14:textId="4833D8FC" w:rsidR="00A31AE3" w:rsidRP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Cervical myelopathy with preserved cervical lordosis</w:t>
      </w:r>
    </w:p>
    <w:p w14:paraId="282616ED" w14:textId="018EDAA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older patients with significant comorbidities and multilevel spinal cord compression from cervical spondylosis, laminectomy is a short and effective procedure to relieve neurological deficits. However, in the presence of kyphosis, laminectomy alone may be limited in effect since the spinal cord cannot shift posteriorly away from anteriorly compressing structures like osteophytes or herniated discs.</w:t>
      </w:r>
      <w:r w:rsidR="00D34CDF">
        <w:rPr>
          <w:rFonts w:ascii="Arial" w:hAnsi="Arial" w:cs="Arial"/>
          <w:sz w:val="20"/>
          <w:szCs w:val="20"/>
          <w:lang w:val="en-US"/>
        </w:rPr>
        <w:t xml:space="preserve"> (</w:t>
      </w:r>
      <w:r w:rsidRPr="00A31AE3">
        <w:rPr>
          <w:rFonts w:ascii="Arial" w:hAnsi="Arial" w:cs="Arial"/>
          <w:sz w:val="20"/>
          <w:szCs w:val="20"/>
          <w:lang w:val="en-US"/>
        </w:rPr>
        <w:t>4</w:t>
      </w:r>
      <w:r w:rsidR="00D34CDF">
        <w:rPr>
          <w:rFonts w:ascii="Arial" w:hAnsi="Arial" w:cs="Arial"/>
          <w:sz w:val="20"/>
          <w:szCs w:val="20"/>
          <w:lang w:val="en-US"/>
        </w:rPr>
        <w:t>)</w:t>
      </w:r>
    </w:p>
    <w:p w14:paraId="584A38B8" w14:textId="4FD930C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Excellent outcomes have been reported in 56–85% of patients following laminectomy. Lateral extension of the laminectomy should not exceed 50% of the facet joint, as greater resection compromises joint strength and can lead to segmental instability and kyphosis. In multilevel laminectomies, even a 25% facet resection can reduce cervical stability and may require fusion. Laminectomy with fusion: Adding posterior fusion reduces kyphosis and segmental instability caused by the removal of posterior elements. However, it alters cervical biomechanics and may lead to adjacent segment degeneration.</w:t>
      </w:r>
      <w:r w:rsidR="00D34CDF">
        <w:rPr>
          <w:rFonts w:ascii="Arial" w:hAnsi="Arial" w:cs="Arial"/>
          <w:sz w:val="20"/>
          <w:szCs w:val="20"/>
          <w:lang w:val="en-US"/>
        </w:rPr>
        <w:t xml:space="preserve"> (2)</w:t>
      </w:r>
    </w:p>
    <w:p w14:paraId="326ED4A5" w14:textId="77777777" w:rsidR="00A31AE3" w:rsidRPr="00A31AE3" w:rsidRDefault="00A31AE3" w:rsidP="00A31AE3">
      <w:pPr>
        <w:spacing w:line="360" w:lineRule="auto"/>
        <w:jc w:val="both"/>
        <w:rPr>
          <w:rFonts w:ascii="Arial" w:hAnsi="Arial" w:cs="Arial"/>
          <w:sz w:val="20"/>
          <w:szCs w:val="20"/>
          <w:lang w:val="en-US"/>
        </w:rPr>
      </w:pPr>
    </w:p>
    <w:p w14:paraId="60E083B3"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lastRenderedPageBreak/>
        <w:t>d. Laminoplasty</w:t>
      </w:r>
    </w:p>
    <w:p w14:paraId="202947F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This technique aims to preserve motion while making minimal alterations to the natural biomechanics of the spine. The spinal canal is widened by creating a "gutter" in the lamina, then hinging the spinous process and lamina toward the opposite side. Titanium miniplates are screwed in place to keep the canal expanded.</w:t>
      </w:r>
    </w:p>
    <w:p w14:paraId="538B5E9B" w14:textId="77777777" w:rsidR="005B7340"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Concerns over destabilization, sagittal malalignment (kyphosis), and inadequate spinal cord protection after multilevel cervical laminectomy led Japanese surgeons to develop the cervical laminoplasty technique. The general advantages of laminoplasty include:</w:t>
      </w:r>
    </w:p>
    <w:p w14:paraId="4B77D33F"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Widening the spinal canal</w:t>
      </w:r>
    </w:p>
    <w:p w14:paraId="251E9BFA"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Protecting the spinal cord</w:t>
      </w:r>
    </w:p>
    <w:p w14:paraId="2B37D409"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Preserving spinal stability</w:t>
      </w:r>
    </w:p>
    <w:p w14:paraId="309E6A08"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Maintaining cervical mobility</w:t>
      </w:r>
    </w:p>
    <w:p w14:paraId="72CA516B" w14:textId="57F6C2DD" w:rsidR="00A31AE3" w:rsidRP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Reducing the risk of adjacent segment degeneration</w:t>
      </w:r>
    </w:p>
    <w:p w14:paraId="56A26763" w14:textId="13164B7C"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A recent critical review concluded that the literature does not fully support the claimed benefits of laminoplasty. Ratliff and Cooper found that neurological outcomes and spinal alignment changes were similar between laminectomy and laminoplasty. Patients treated with laminoplasty may still experience progressive limitations in cervical range of motion (ROM), similar to what is observed after laminectomy with fusion. However, limited data exist on the role of laminoplasty in younger individuals with cervical myelopathy due to congenitally narrow canals, where multilevel decompression and instrumentation may not be ideal options.</w:t>
      </w:r>
      <w:r w:rsidR="00D34CDF">
        <w:rPr>
          <w:rFonts w:ascii="Arial" w:hAnsi="Arial" w:cs="Arial"/>
          <w:sz w:val="20"/>
          <w:szCs w:val="20"/>
          <w:lang w:val="en-US"/>
        </w:rPr>
        <w:t xml:space="preserve"> (</w:t>
      </w:r>
      <w:r w:rsidRPr="00A31AE3">
        <w:rPr>
          <w:rFonts w:ascii="Arial" w:hAnsi="Arial" w:cs="Arial"/>
          <w:sz w:val="20"/>
          <w:szCs w:val="20"/>
          <w:lang w:val="en-US"/>
        </w:rPr>
        <w:t>6</w:t>
      </w:r>
      <w:r w:rsidR="00D34CDF">
        <w:rPr>
          <w:rFonts w:ascii="Arial" w:hAnsi="Arial" w:cs="Arial"/>
          <w:sz w:val="20"/>
          <w:szCs w:val="20"/>
          <w:lang w:val="en-US"/>
        </w:rPr>
        <w:t>)</w:t>
      </w:r>
    </w:p>
    <w:p w14:paraId="4A121F81" w14:textId="4F48C395" w:rsidR="00A31AE3" w:rsidRPr="00352B76"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One significant complication of laminoplasty is axial symptoms, including shoulder and neck pain or spasms. Hosono et al. reported postoperative axial pain in 60% of laminoplasty patients. In their cervical laminoplasty meta-analysis, Ratliff and Cooper confirmed these findings, observing axial neck pain in 25–60% of cases. Lawrence and Brodke suggested that postoperative axial neck pain may be reduced by preserving the muscular attachments at C2 and C7 during laminoplasty. This was supported by Sakura et al., who found an 11% reduction in neck pain in patients whose superior and inferior cervical spinal muscles were preserved. Other complications include progressive kyphosis (10%) and reduced cervical ROM (15–50%).</w:t>
      </w:r>
      <w:r w:rsidR="00D34CDF">
        <w:rPr>
          <w:rFonts w:ascii="Arial" w:hAnsi="Arial" w:cs="Arial"/>
          <w:sz w:val="20"/>
          <w:szCs w:val="20"/>
          <w:lang w:val="en-US"/>
        </w:rPr>
        <w:t xml:space="preserve"> (</w:t>
      </w:r>
      <w:r>
        <w:rPr>
          <w:rFonts w:ascii="Arial" w:hAnsi="Arial" w:cs="Arial"/>
          <w:sz w:val="20"/>
          <w:szCs w:val="20"/>
          <w:lang w:val="en-US"/>
        </w:rPr>
        <w:t>2</w:t>
      </w:r>
      <w:r w:rsidR="00D34CDF">
        <w:rPr>
          <w:rFonts w:ascii="Arial" w:hAnsi="Arial" w:cs="Arial"/>
          <w:sz w:val="20"/>
          <w:szCs w:val="20"/>
          <w:lang w:val="en-US"/>
        </w:rPr>
        <w:t>)</w:t>
      </w:r>
    </w:p>
    <w:p w14:paraId="23BD6822" w14:textId="77777777" w:rsidR="00A36B12" w:rsidRPr="00A36B12" w:rsidRDefault="00A36B12" w:rsidP="00A31AE3">
      <w:pPr>
        <w:spacing w:line="360" w:lineRule="auto"/>
        <w:jc w:val="both"/>
        <w:rPr>
          <w:rFonts w:ascii="Arial" w:hAnsi="Arial" w:cs="Arial"/>
          <w:sz w:val="20"/>
          <w:szCs w:val="20"/>
        </w:rPr>
      </w:pPr>
    </w:p>
    <w:p w14:paraId="3450B89E" w14:textId="5A76EC32"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Prognosis</w:t>
      </w:r>
    </w:p>
    <w:p w14:paraId="498542E7" w14:textId="35C978F8" w:rsidR="00A31AE3" w:rsidRDefault="00A31AE3" w:rsidP="00A31AE3">
      <w:pPr>
        <w:spacing w:line="360" w:lineRule="auto"/>
        <w:jc w:val="both"/>
        <w:rPr>
          <w:rFonts w:ascii="Arial" w:hAnsi="Arial" w:cs="Arial"/>
          <w:sz w:val="20"/>
          <w:szCs w:val="20"/>
        </w:rPr>
      </w:pPr>
      <w:r w:rsidRPr="00A31AE3">
        <w:rPr>
          <w:rFonts w:ascii="Arial" w:hAnsi="Arial" w:cs="Arial"/>
          <w:sz w:val="20"/>
          <w:szCs w:val="20"/>
        </w:rPr>
        <w:t>A 27-year prospective study showed that the average life expectancy of patients with spinal cord injuries is lower than that of the general population. The reduction in life expectancy correlates with the severity of the injury. Recovery tends to be slow progressive,</w:t>
      </w:r>
      <w:r w:rsidR="005B7340">
        <w:rPr>
          <w:rFonts w:ascii="Arial" w:hAnsi="Arial" w:cs="Arial"/>
          <w:sz w:val="20"/>
          <w:szCs w:val="20"/>
        </w:rPr>
        <w:t xml:space="preserve"> </w:t>
      </w:r>
      <w:r w:rsidRPr="00A31AE3">
        <w:rPr>
          <w:rFonts w:ascii="Arial" w:hAnsi="Arial" w:cs="Arial"/>
          <w:sz w:val="20"/>
          <w:szCs w:val="20"/>
        </w:rPr>
        <w:t>and rarely improves with non-operative modalities. Early recognition and treatment—before spinal cord damage becomes irreversible—are crucial for achieving good clinical outcomes. The leading causes of death are complications related to neurological disability, including pneumonia, pulmonary embolism, septicemia, and renal failure.</w:t>
      </w:r>
      <w:r w:rsidR="00D34CDF">
        <w:rPr>
          <w:rFonts w:ascii="Arial" w:hAnsi="Arial" w:cs="Arial"/>
          <w:sz w:val="20"/>
          <w:szCs w:val="20"/>
        </w:rPr>
        <w:t xml:space="preserve"> (</w:t>
      </w:r>
      <w:r>
        <w:rPr>
          <w:rFonts w:ascii="Arial" w:hAnsi="Arial" w:cs="Arial"/>
          <w:sz w:val="20"/>
          <w:szCs w:val="20"/>
        </w:rPr>
        <w:t>9</w:t>
      </w:r>
      <w:r w:rsidR="00D34CDF">
        <w:rPr>
          <w:rFonts w:ascii="Arial" w:hAnsi="Arial" w:cs="Arial"/>
          <w:sz w:val="20"/>
          <w:szCs w:val="20"/>
        </w:rPr>
        <w:t>)</w:t>
      </w:r>
    </w:p>
    <w:p w14:paraId="2BD2E487" w14:textId="77777777" w:rsidR="00A31AE3" w:rsidRDefault="00A31AE3" w:rsidP="00A31AE3">
      <w:pPr>
        <w:spacing w:line="360" w:lineRule="auto"/>
        <w:jc w:val="both"/>
        <w:rPr>
          <w:rFonts w:ascii="Arial" w:hAnsi="Arial" w:cs="Arial"/>
          <w:sz w:val="20"/>
          <w:szCs w:val="20"/>
        </w:rPr>
      </w:pPr>
    </w:p>
    <w:p w14:paraId="1392F49E" w14:textId="77777777" w:rsidR="00A31AE3" w:rsidRDefault="00A31AE3" w:rsidP="00A31AE3">
      <w:pPr>
        <w:spacing w:line="360" w:lineRule="auto"/>
        <w:jc w:val="both"/>
        <w:rPr>
          <w:rFonts w:ascii="Arial" w:hAnsi="Arial" w:cs="Arial"/>
          <w:sz w:val="20"/>
          <w:szCs w:val="20"/>
        </w:rPr>
      </w:pPr>
    </w:p>
    <w:p w14:paraId="6377EE19" w14:textId="77777777" w:rsidR="00A31AE3" w:rsidRPr="00A31AE3" w:rsidRDefault="00A31AE3" w:rsidP="00A31AE3">
      <w:pPr>
        <w:spacing w:line="360" w:lineRule="auto"/>
        <w:jc w:val="both"/>
        <w:rPr>
          <w:rFonts w:ascii="Arial" w:hAnsi="Arial" w:cs="Arial"/>
          <w:sz w:val="20"/>
          <w:szCs w:val="20"/>
        </w:rPr>
      </w:pPr>
    </w:p>
    <w:p w14:paraId="5D530516" w14:textId="6065FE49"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Conclusion</w:t>
      </w:r>
    </w:p>
    <w:p w14:paraId="419E3914" w14:textId="5D525819"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Spinal cord injury is one of the leading causes of neurological disability resulting from trauma. This condition can affect individuals of all ages but is commonly found in older patients in the form of cervical myelopathy. There are many causes of cervical myelopathy, and it is generally progressive in nature. In cases of myelopathy, a thorough examination of local neurological status is crucial. The primary goal of spinal cord injury treatment is to improve sensory and motor function. Conservative therapy is typically given to patients who are at high surgical risk or who have stable conditions with minimal symptoms that do not significantly interfere with daily activities. Surgical therapy largely depends on the patient's overall condition. Incomplete spinal cord injuries tend to have a better prognosis.</w:t>
      </w:r>
    </w:p>
    <w:p w14:paraId="74515C3C" w14:textId="77777777" w:rsidR="00A36B12" w:rsidRPr="00352B76" w:rsidRDefault="00A36B12" w:rsidP="00A36B12">
      <w:pPr>
        <w:spacing w:line="360" w:lineRule="auto"/>
        <w:rPr>
          <w:rFonts w:ascii="Arial" w:hAnsi="Arial" w:cs="Arial"/>
          <w:sz w:val="20"/>
          <w:szCs w:val="20"/>
          <w:lang w:val="en-US"/>
        </w:rPr>
      </w:pPr>
    </w:p>
    <w:p w14:paraId="7372C4F1" w14:textId="77777777" w:rsidR="004376FD" w:rsidRPr="00352B76" w:rsidRDefault="004376FD" w:rsidP="004A5C27">
      <w:pPr>
        <w:spacing w:line="360" w:lineRule="auto"/>
        <w:rPr>
          <w:rFonts w:ascii="Arial" w:hAnsi="Arial" w:cs="Arial"/>
          <w:sz w:val="20"/>
          <w:szCs w:val="20"/>
        </w:rPr>
      </w:pPr>
    </w:p>
    <w:p w14:paraId="5F78C961" w14:textId="64F07562" w:rsidR="004376FD" w:rsidRPr="00A31AE3" w:rsidRDefault="004376FD" w:rsidP="004A5C27">
      <w:pPr>
        <w:spacing w:line="360" w:lineRule="auto"/>
        <w:rPr>
          <w:rFonts w:ascii="Arial" w:hAnsi="Arial" w:cs="Arial"/>
          <w:sz w:val="20"/>
          <w:szCs w:val="20"/>
        </w:rPr>
      </w:pPr>
      <w:r w:rsidRPr="00A31AE3">
        <w:rPr>
          <w:rFonts w:ascii="Arial" w:hAnsi="Arial" w:cs="Arial"/>
          <w:sz w:val="20"/>
          <w:szCs w:val="20"/>
        </w:rPr>
        <w:t>References</w:t>
      </w:r>
    </w:p>
    <w:p w14:paraId="79F7E43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w:t>
      </w:r>
      <w:r w:rsidRPr="00A31AE3">
        <w:rPr>
          <w:rFonts w:ascii="Arial" w:hAnsi="Arial" w:cs="Arial"/>
          <w:sz w:val="20"/>
          <w:szCs w:val="20"/>
          <w:lang w:val="en-US"/>
        </w:rPr>
        <w:tab/>
        <w:t>Dharmajaya, Ridha.2017. Spondylosis Cervical. Medan : USU press. ISBN: 978-602-465-004-9.</w:t>
      </w:r>
    </w:p>
    <w:p w14:paraId="35FAC8F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w:t>
      </w:r>
      <w:r w:rsidRPr="00A31AE3">
        <w:rPr>
          <w:rFonts w:ascii="Arial" w:hAnsi="Arial" w:cs="Arial"/>
          <w:sz w:val="20"/>
          <w:szCs w:val="20"/>
          <w:lang w:val="en-US"/>
        </w:rPr>
        <w:tab/>
        <w:t>Nilesh M.Patel,MD. Cervical Spondylotic Myelopathy. American Academy of Orthopaedic surgeon. Available : https://orthoinfo.aaos.org/en/diseases--conditions/cervical-spondylotic-myelopathy-spinal-cord-compression/ Last Updated : August,2015.</w:t>
      </w:r>
    </w:p>
    <w:p w14:paraId="70FD053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3.</w:t>
      </w:r>
      <w:r w:rsidRPr="00A31AE3">
        <w:rPr>
          <w:rFonts w:ascii="Arial" w:hAnsi="Arial" w:cs="Arial"/>
          <w:sz w:val="20"/>
          <w:szCs w:val="20"/>
          <w:lang w:val="sv-SE"/>
        </w:rPr>
        <w:tab/>
        <w:t xml:space="preserve">Oliveira, Rafael de Almeida et all.2018. </w:t>
      </w:r>
      <w:r w:rsidRPr="00A31AE3">
        <w:rPr>
          <w:rFonts w:ascii="Arial" w:hAnsi="Arial" w:cs="Arial"/>
          <w:sz w:val="20"/>
          <w:szCs w:val="20"/>
          <w:lang w:val="en-US"/>
        </w:rPr>
        <w:t>Cervical Spondylotic Myelopathy : Clinical Cases and Physioterapy. Unviersidade de Ribeirao Preto (UNAERP) Brazil.</w:t>
      </w:r>
    </w:p>
    <w:p w14:paraId="35BF275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4.</w:t>
      </w:r>
      <w:r w:rsidRPr="00A31AE3">
        <w:rPr>
          <w:rFonts w:ascii="Arial" w:hAnsi="Arial" w:cs="Arial"/>
          <w:sz w:val="20"/>
          <w:szCs w:val="20"/>
          <w:lang w:val="en-US"/>
        </w:rPr>
        <w:tab/>
        <w:t>Moore D, Ahn L. Cervical Spondylosis. [online] 26 november 2019. [Dikutip: 3 januari 2020]. Available in : https://www.orthobullets.com/spine/2029/cervical-spondylosis</w:t>
      </w:r>
    </w:p>
    <w:p w14:paraId="01550C5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5.</w:t>
      </w:r>
      <w:r w:rsidRPr="00A31AE3">
        <w:rPr>
          <w:rFonts w:ascii="Arial" w:hAnsi="Arial" w:cs="Arial"/>
          <w:sz w:val="20"/>
          <w:szCs w:val="20"/>
          <w:lang w:val="en-US"/>
        </w:rPr>
        <w:tab/>
        <w:t>Garfin SR, Eismont FJ, Bell GR, Fischgrund JS, Bono CM (eds).RothmanSimeone and Herkowitz's The Spine Seventh Edition. Philadelphia : Elsevier; 2018.</w:t>
      </w:r>
    </w:p>
    <w:p w14:paraId="36C780B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6.</w:t>
      </w:r>
      <w:r w:rsidRPr="00A31AE3">
        <w:rPr>
          <w:rFonts w:ascii="Arial" w:hAnsi="Arial" w:cs="Arial"/>
          <w:sz w:val="20"/>
          <w:szCs w:val="20"/>
          <w:lang w:val="en-US"/>
        </w:rPr>
        <w:tab/>
        <w:t>Gondim, F de AA, Thomas FP. Spinal Cord, Topographical, and Functional Anatomy. Available in: www.emedicine.com/neuro/topic657.htm Last updated : January 11, 2007.</w:t>
      </w:r>
    </w:p>
    <w:p w14:paraId="1EA17972"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sv-SE"/>
        </w:rPr>
        <w:t>7.</w:t>
      </w:r>
      <w:r w:rsidRPr="00A31AE3">
        <w:rPr>
          <w:rFonts w:ascii="Arial" w:hAnsi="Arial" w:cs="Arial"/>
          <w:sz w:val="20"/>
          <w:szCs w:val="20"/>
          <w:lang w:val="sv-SE"/>
        </w:rPr>
        <w:tab/>
        <w:t>Sherwood,Lauralee.2002.Fisiologi Manusia Dari sel ke system.Edisi 6.Jakarta: Buku Kedokteran EGC</w:t>
      </w:r>
    </w:p>
    <w:p w14:paraId="33BCD99D"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8.</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6EF535A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9.</w:t>
      </w:r>
      <w:r w:rsidRPr="00A31AE3">
        <w:rPr>
          <w:rFonts w:ascii="Arial" w:hAnsi="Arial" w:cs="Arial"/>
          <w:sz w:val="20"/>
          <w:szCs w:val="20"/>
          <w:lang w:val="en-US"/>
        </w:rPr>
        <w:tab/>
        <w:t>Moore D, Ahn. Cervical myelopathy. [Dikutip: 3 januari 2020]. [online] 26 november 2019 Available in : https://www.orthobullets.com/spine/2031/cervical-myelopathy</w:t>
      </w:r>
    </w:p>
    <w:p w14:paraId="5018046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10.</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Cervical spondylotic myelopathy : Pathophysiologi, clinicalpresentation, and treatment. Spine and Scoliosis Surgery, The Hospital For Special Surgery, 535 East 70th Street, New York,  NY 10021, USA</w:t>
      </w:r>
    </w:p>
    <w:p w14:paraId="446EFC2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11.</w:t>
      </w:r>
      <w:r w:rsidRPr="00A31AE3">
        <w:rPr>
          <w:rFonts w:ascii="Arial" w:hAnsi="Arial" w:cs="Arial"/>
          <w:sz w:val="20"/>
          <w:szCs w:val="20"/>
          <w:lang w:val="en-US"/>
        </w:rPr>
        <w:tab/>
        <w:t>Praveen K, Mihcael J, Saad B. Cervical surgical technique for the treatment of cervial spondylotic myelopathy. Ireland. Hindawi Publishing Corporation.Vol 2019.</w:t>
      </w:r>
    </w:p>
    <w:p w14:paraId="70CC383C"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lastRenderedPageBreak/>
        <w:t>12.</w:t>
      </w:r>
      <w:r w:rsidRPr="00A31AE3">
        <w:rPr>
          <w:rFonts w:ascii="Arial" w:hAnsi="Arial" w:cs="Arial"/>
          <w:sz w:val="20"/>
          <w:szCs w:val="20"/>
          <w:lang w:val="en-US"/>
        </w:rPr>
        <w:tab/>
        <w:t>Paul D, John, C Quinn, Jerry Y. Posteriior Surgical Treatment of cervial spondylotic myelopathy. HSSJ (2015) 11:36-42.</w:t>
      </w:r>
    </w:p>
    <w:p w14:paraId="65964E5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13.</w:t>
      </w:r>
      <w:r w:rsidRPr="00A31AE3">
        <w:rPr>
          <w:rFonts w:ascii="Arial" w:hAnsi="Arial" w:cs="Arial"/>
          <w:sz w:val="20"/>
          <w:szCs w:val="20"/>
          <w:lang w:val="en-US"/>
        </w:rPr>
        <w:tab/>
        <w:t>Oshima Y, Takeshita K, Kato S, et al. Comparison Between the Japanese Orthopaedic Association (JOA) Score and Patient-Reported JOA (PRO-JOA) Score to Evaluate Surgical Outcomes of Degenerative Cervical Myelopathy. Global Spine Journal. 2022;12(5):795-800. doi:10.1177/2192568220964167</w:t>
      </w:r>
    </w:p>
    <w:p w14:paraId="5248DCF0"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14.</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5050C1E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15.</w:t>
      </w:r>
      <w:r w:rsidRPr="00A31AE3">
        <w:rPr>
          <w:rFonts w:ascii="Arial" w:hAnsi="Arial" w:cs="Arial"/>
          <w:sz w:val="20"/>
          <w:szCs w:val="20"/>
          <w:lang w:val="en-US"/>
        </w:rPr>
        <w:tab/>
        <w:t>Moore D, Ahn. Cervical myelopathy. [Dikutip: 3 januari 2020]. [online] 26 november 2019 Available in : https://www.orthobullets.com/spine/2031/cervical-myelopathy</w:t>
      </w:r>
    </w:p>
    <w:p w14:paraId="452B5EC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16.</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Cervical spondylotic myelopathy : Pathophysiologi, clinicalpresentation, and treatment. Spine and Scoliosis Surgery, The Hospital For Special Surgery, 535 East 70th Street, New York, NY 10021, USA</w:t>
      </w:r>
    </w:p>
    <w:p w14:paraId="2BE1054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17.</w:t>
      </w:r>
      <w:r w:rsidRPr="00A31AE3">
        <w:rPr>
          <w:rFonts w:ascii="Arial" w:hAnsi="Arial" w:cs="Arial"/>
          <w:sz w:val="20"/>
          <w:szCs w:val="20"/>
          <w:lang w:val="en-US"/>
        </w:rPr>
        <w:tab/>
        <w:t>Praveen K, Mihcael J, Saad B. Cervical surgical technique for the treatment of cervial spondylotic myelopathy. Ireland. Hindawi Publishing Corporation.Vol 2019.</w:t>
      </w:r>
    </w:p>
    <w:p w14:paraId="7293C1E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18.</w:t>
      </w:r>
      <w:r w:rsidRPr="00A31AE3">
        <w:rPr>
          <w:rFonts w:ascii="Arial" w:hAnsi="Arial" w:cs="Arial"/>
          <w:sz w:val="20"/>
          <w:szCs w:val="20"/>
          <w:lang w:val="en-US"/>
        </w:rPr>
        <w:tab/>
        <w:t>Paul D, John, C Quinn, Jerry Y. Posteriior Surgical Treatment of cervial spondylotic myelopathy. HSSJ (2015) 11:36-42.</w:t>
      </w:r>
    </w:p>
    <w:p w14:paraId="2983216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19.</w:t>
      </w:r>
      <w:r w:rsidRPr="00A31AE3">
        <w:rPr>
          <w:rFonts w:ascii="Arial" w:hAnsi="Arial" w:cs="Arial"/>
          <w:sz w:val="20"/>
          <w:szCs w:val="20"/>
          <w:lang w:val="en-US"/>
        </w:rPr>
        <w:tab/>
        <w:t>Japanese Orthopaedic Association (JOA) Clinical practice guidelines on the Management of Cervical Spondylotic Myelopathy,2020 – Secondary publication, Journal of Orthopaedic Science, Volume 28, Issue 1,2023, Pages 1-45, ISSN 0949-2658, https://doi.org/10.1016/j.jos.2022.03.012. (https://www.sciencedirect.com/science/article/pii/S0949265822001154)</w:t>
      </w:r>
    </w:p>
    <w:p w14:paraId="26A5156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20.</w:t>
      </w:r>
      <w:r w:rsidRPr="00A31AE3">
        <w:rPr>
          <w:rFonts w:ascii="Arial" w:hAnsi="Arial" w:cs="Arial"/>
          <w:sz w:val="20"/>
          <w:szCs w:val="20"/>
          <w:lang w:val="en-US"/>
        </w:rPr>
        <w:tab/>
        <w:t>Revanappa, K. K. and Rajshekhar, V. (2011) ‘Comparison of Nurick grading system and modified Japanese Orthopaedic Association scoring system in evaluation of patients with cervical spondylotic myelopathy’, European Spine Journal, 20(9), pp. 1545–1551. doi: 10.1007/s00586-011-1773-y.</w:t>
      </w:r>
    </w:p>
    <w:p w14:paraId="2632F7F9"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21.</w:t>
      </w:r>
      <w:r w:rsidRPr="00A31AE3">
        <w:rPr>
          <w:rFonts w:ascii="Arial" w:hAnsi="Arial" w:cs="Arial"/>
          <w:sz w:val="20"/>
          <w:szCs w:val="20"/>
          <w:lang w:val="en-US"/>
        </w:rPr>
        <w:tab/>
        <w:t>Dalitz K, Vitzthum HE. Evaluation of five scoring systems for cervical spondylogenic myelopathy. Spine J. 2019 Feb;19(2):e41-e46. doi: 10.1016/j.spinee.2008.05.005. Epub 2008 Sep 6. PMID: 18774750.</w:t>
      </w:r>
    </w:p>
    <w:p w14:paraId="20F13110" w14:textId="0C5FBFFC" w:rsidR="004376FD" w:rsidRPr="003613C6" w:rsidRDefault="00A31AE3" w:rsidP="00A31AE3">
      <w:pPr>
        <w:spacing w:line="360" w:lineRule="auto"/>
        <w:jc w:val="both"/>
        <w:rPr>
          <w:lang w:val="en-US"/>
        </w:rPr>
      </w:pPr>
      <w:r w:rsidRPr="00A31AE3">
        <w:rPr>
          <w:rFonts w:ascii="Arial" w:hAnsi="Arial" w:cs="Arial"/>
          <w:sz w:val="20"/>
          <w:szCs w:val="20"/>
          <w:lang w:val="en-US"/>
        </w:rPr>
        <w:t>22.</w:t>
      </w:r>
      <w:r w:rsidRPr="00A31AE3">
        <w:rPr>
          <w:rFonts w:ascii="Arial" w:hAnsi="Arial" w:cs="Arial"/>
          <w:sz w:val="20"/>
          <w:szCs w:val="20"/>
          <w:lang w:val="en-US"/>
        </w:rPr>
        <w:tab/>
        <w:t>Outcome Measures and Variables Affecting Prognosis of Cervical Spondylotic Myelopathy: WFNS Spine Committee Recommendations Neurospine. 2019;16(3):435-447.   Published online September 30, 2019 DOI: https://doi.org/10.14245/ns.1938196.0</w:t>
      </w:r>
    </w:p>
    <w:sectPr w:rsidR="004376FD" w:rsidRPr="003613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40D68" w14:textId="77777777" w:rsidR="001B0ED1" w:rsidRDefault="001B0ED1" w:rsidP="00B81371">
      <w:r>
        <w:separator/>
      </w:r>
    </w:p>
  </w:endnote>
  <w:endnote w:type="continuationSeparator" w:id="0">
    <w:p w14:paraId="267254EC" w14:textId="77777777" w:rsidR="001B0ED1" w:rsidRDefault="001B0ED1" w:rsidP="00B8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FBDA" w14:textId="77777777" w:rsidR="00B81371" w:rsidRDefault="00B8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AE26" w14:textId="77777777" w:rsidR="00B81371" w:rsidRDefault="00B81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7DAB" w14:textId="77777777" w:rsidR="00B81371" w:rsidRDefault="00B8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31EF0" w14:textId="77777777" w:rsidR="001B0ED1" w:rsidRDefault="001B0ED1" w:rsidP="00B81371">
      <w:r>
        <w:separator/>
      </w:r>
    </w:p>
  </w:footnote>
  <w:footnote w:type="continuationSeparator" w:id="0">
    <w:p w14:paraId="7B9E50C4" w14:textId="77777777" w:rsidR="001B0ED1" w:rsidRDefault="001B0ED1" w:rsidP="00B8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ED3F" w14:textId="326C7496" w:rsidR="00B81371" w:rsidRDefault="00B81371">
    <w:pPr>
      <w:pStyle w:val="Header"/>
    </w:pPr>
    <w:r>
      <w:rPr>
        <w:noProof/>
      </w:rPr>
      <w:pict w14:anchorId="5042E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6B26" w14:textId="13FE4275" w:rsidR="00B81371" w:rsidRDefault="00B81371">
    <w:pPr>
      <w:pStyle w:val="Header"/>
    </w:pPr>
    <w:r>
      <w:rPr>
        <w:noProof/>
      </w:rPr>
      <w:pict w14:anchorId="7267D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9D3D" w14:textId="429E62B7" w:rsidR="00B81371" w:rsidRDefault="00B81371">
    <w:pPr>
      <w:pStyle w:val="Header"/>
    </w:pPr>
    <w:r>
      <w:rPr>
        <w:noProof/>
      </w:rPr>
      <w:pict w14:anchorId="2107C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DBD"/>
    <w:multiLevelType w:val="hybridMultilevel"/>
    <w:tmpl w:val="EADEE2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5601FA"/>
    <w:multiLevelType w:val="multilevel"/>
    <w:tmpl w:val="094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3D65"/>
    <w:multiLevelType w:val="multilevel"/>
    <w:tmpl w:val="1AC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549F"/>
    <w:multiLevelType w:val="hybridMultilevel"/>
    <w:tmpl w:val="CD9EB9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A567FB"/>
    <w:multiLevelType w:val="hybridMultilevel"/>
    <w:tmpl w:val="4F968A2E"/>
    <w:lvl w:ilvl="0" w:tplc="6762877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E63C73"/>
    <w:multiLevelType w:val="hybridMultilevel"/>
    <w:tmpl w:val="A9B4DA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1B5516"/>
    <w:multiLevelType w:val="hybridMultilevel"/>
    <w:tmpl w:val="E83E53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59850FB"/>
    <w:multiLevelType w:val="hybridMultilevel"/>
    <w:tmpl w:val="D93452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78554B"/>
    <w:multiLevelType w:val="multilevel"/>
    <w:tmpl w:val="CBA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3126E"/>
    <w:multiLevelType w:val="hybridMultilevel"/>
    <w:tmpl w:val="58DA38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14361ED"/>
    <w:multiLevelType w:val="multilevel"/>
    <w:tmpl w:val="3AD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A5D18"/>
    <w:multiLevelType w:val="hybridMultilevel"/>
    <w:tmpl w:val="433E04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875A82"/>
    <w:multiLevelType w:val="multilevel"/>
    <w:tmpl w:val="00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30829"/>
    <w:multiLevelType w:val="hybridMultilevel"/>
    <w:tmpl w:val="975E83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595785A"/>
    <w:multiLevelType w:val="multilevel"/>
    <w:tmpl w:val="DE5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E3997"/>
    <w:multiLevelType w:val="hybridMultilevel"/>
    <w:tmpl w:val="CAEA1E38"/>
    <w:lvl w:ilvl="0" w:tplc="61488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27D0C"/>
    <w:multiLevelType w:val="hybridMultilevel"/>
    <w:tmpl w:val="2BFA7596"/>
    <w:lvl w:ilvl="0" w:tplc="6DB0941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EE69D4"/>
    <w:multiLevelType w:val="hybridMultilevel"/>
    <w:tmpl w:val="76AE58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2"/>
  </w:num>
  <w:num w:numId="5">
    <w:abstractNumId w:val="1"/>
  </w:num>
  <w:num w:numId="6">
    <w:abstractNumId w:val="10"/>
  </w:num>
  <w:num w:numId="7">
    <w:abstractNumId w:val="8"/>
  </w:num>
  <w:num w:numId="8">
    <w:abstractNumId w:val="6"/>
  </w:num>
  <w:num w:numId="9">
    <w:abstractNumId w:val="5"/>
  </w:num>
  <w:num w:numId="10">
    <w:abstractNumId w:val="13"/>
  </w:num>
  <w:num w:numId="11">
    <w:abstractNumId w:val="16"/>
  </w:num>
  <w:num w:numId="12">
    <w:abstractNumId w:val="17"/>
  </w:num>
  <w:num w:numId="13">
    <w:abstractNumId w:val="4"/>
  </w:num>
  <w:num w:numId="14">
    <w:abstractNumId w:val="7"/>
  </w:num>
  <w:num w:numId="15">
    <w:abstractNumId w:val="3"/>
  </w:num>
  <w:num w:numId="16">
    <w:abstractNumId w:val="0"/>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55"/>
    <w:rsid w:val="000062E0"/>
    <w:rsid w:val="00015037"/>
    <w:rsid w:val="00024424"/>
    <w:rsid w:val="000C1C40"/>
    <w:rsid w:val="000F150C"/>
    <w:rsid w:val="00100D33"/>
    <w:rsid w:val="00104828"/>
    <w:rsid w:val="00192693"/>
    <w:rsid w:val="001B0ED1"/>
    <w:rsid w:val="001C39CC"/>
    <w:rsid w:val="001F087F"/>
    <w:rsid w:val="001F0DAD"/>
    <w:rsid w:val="00264C90"/>
    <w:rsid w:val="002E24B6"/>
    <w:rsid w:val="002F3705"/>
    <w:rsid w:val="002F706F"/>
    <w:rsid w:val="0030325B"/>
    <w:rsid w:val="003114AC"/>
    <w:rsid w:val="00332F57"/>
    <w:rsid w:val="0034462E"/>
    <w:rsid w:val="00352B76"/>
    <w:rsid w:val="003613C6"/>
    <w:rsid w:val="00361EC1"/>
    <w:rsid w:val="003963AB"/>
    <w:rsid w:val="004376FD"/>
    <w:rsid w:val="0046336B"/>
    <w:rsid w:val="004A5C27"/>
    <w:rsid w:val="004B0F6C"/>
    <w:rsid w:val="004B6E75"/>
    <w:rsid w:val="004E38EA"/>
    <w:rsid w:val="00511823"/>
    <w:rsid w:val="00531264"/>
    <w:rsid w:val="00553962"/>
    <w:rsid w:val="005B49C7"/>
    <w:rsid w:val="005B7340"/>
    <w:rsid w:val="005C6489"/>
    <w:rsid w:val="005F2A3B"/>
    <w:rsid w:val="006236E1"/>
    <w:rsid w:val="00661AA4"/>
    <w:rsid w:val="006834E5"/>
    <w:rsid w:val="006A015E"/>
    <w:rsid w:val="006B7246"/>
    <w:rsid w:val="006C0F21"/>
    <w:rsid w:val="006D36D8"/>
    <w:rsid w:val="006F7A3E"/>
    <w:rsid w:val="00710DB3"/>
    <w:rsid w:val="007257E5"/>
    <w:rsid w:val="00750A7D"/>
    <w:rsid w:val="00756934"/>
    <w:rsid w:val="00760138"/>
    <w:rsid w:val="007D46DD"/>
    <w:rsid w:val="0081687F"/>
    <w:rsid w:val="008223E0"/>
    <w:rsid w:val="0082345E"/>
    <w:rsid w:val="00827CC1"/>
    <w:rsid w:val="008960D7"/>
    <w:rsid w:val="008B550B"/>
    <w:rsid w:val="008C1732"/>
    <w:rsid w:val="008F13D7"/>
    <w:rsid w:val="00911D6E"/>
    <w:rsid w:val="009133A2"/>
    <w:rsid w:val="00926216"/>
    <w:rsid w:val="00946FD5"/>
    <w:rsid w:val="0098396E"/>
    <w:rsid w:val="00987D4E"/>
    <w:rsid w:val="009A3C57"/>
    <w:rsid w:val="009B0271"/>
    <w:rsid w:val="00A31AE3"/>
    <w:rsid w:val="00A369BE"/>
    <w:rsid w:val="00A36B12"/>
    <w:rsid w:val="00A56DD1"/>
    <w:rsid w:val="00A5721D"/>
    <w:rsid w:val="00A74255"/>
    <w:rsid w:val="00A827EE"/>
    <w:rsid w:val="00AB706C"/>
    <w:rsid w:val="00AD0809"/>
    <w:rsid w:val="00AD340F"/>
    <w:rsid w:val="00AF1CBA"/>
    <w:rsid w:val="00B13582"/>
    <w:rsid w:val="00B30DB8"/>
    <w:rsid w:val="00B719E3"/>
    <w:rsid w:val="00B81371"/>
    <w:rsid w:val="00B92389"/>
    <w:rsid w:val="00B97886"/>
    <w:rsid w:val="00BC73A7"/>
    <w:rsid w:val="00BD2C8B"/>
    <w:rsid w:val="00C04818"/>
    <w:rsid w:val="00C31564"/>
    <w:rsid w:val="00C60ADA"/>
    <w:rsid w:val="00C83DCA"/>
    <w:rsid w:val="00CD4E38"/>
    <w:rsid w:val="00CF05FF"/>
    <w:rsid w:val="00D165B4"/>
    <w:rsid w:val="00D34CDF"/>
    <w:rsid w:val="00D61530"/>
    <w:rsid w:val="00D653C1"/>
    <w:rsid w:val="00D669FF"/>
    <w:rsid w:val="00D75FE1"/>
    <w:rsid w:val="00D93D7F"/>
    <w:rsid w:val="00DB7BEC"/>
    <w:rsid w:val="00DD2659"/>
    <w:rsid w:val="00E0626A"/>
    <w:rsid w:val="00E73B57"/>
    <w:rsid w:val="00E948CC"/>
    <w:rsid w:val="00E94922"/>
    <w:rsid w:val="00E950F6"/>
    <w:rsid w:val="00EB5632"/>
    <w:rsid w:val="00F30D69"/>
    <w:rsid w:val="00F545DD"/>
    <w:rsid w:val="00F561EB"/>
    <w:rsid w:val="00F662D7"/>
    <w:rsid w:val="00F80263"/>
    <w:rsid w:val="00F856C8"/>
    <w:rsid w:val="00FC2663"/>
    <w:rsid w:val="00FF0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A663CBE9-6B5C-8941-B485-90C5B22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1">
    <w:name w:val="Unresolved Mention1"/>
    <w:basedOn w:val="DefaultParagraphFont"/>
    <w:uiPriority w:val="99"/>
    <w:semiHidden/>
    <w:unhideWhenUsed/>
    <w:rsid w:val="00352B76"/>
    <w:rPr>
      <w:color w:val="605E5C"/>
      <w:shd w:val="clear" w:color="auto" w:fill="E1DFDD"/>
    </w:rPr>
  </w:style>
  <w:style w:type="paragraph" w:styleId="Header">
    <w:name w:val="header"/>
    <w:basedOn w:val="Normal"/>
    <w:link w:val="HeaderChar"/>
    <w:uiPriority w:val="99"/>
    <w:unhideWhenUsed/>
    <w:rsid w:val="00B81371"/>
    <w:pPr>
      <w:tabs>
        <w:tab w:val="center" w:pos="4680"/>
        <w:tab w:val="right" w:pos="9360"/>
      </w:tabs>
    </w:pPr>
  </w:style>
  <w:style w:type="character" w:customStyle="1" w:styleId="HeaderChar">
    <w:name w:val="Header Char"/>
    <w:basedOn w:val="DefaultParagraphFont"/>
    <w:link w:val="Header"/>
    <w:uiPriority w:val="99"/>
    <w:rsid w:val="00B81371"/>
  </w:style>
  <w:style w:type="paragraph" w:styleId="Footer">
    <w:name w:val="footer"/>
    <w:basedOn w:val="Normal"/>
    <w:link w:val="FooterChar"/>
    <w:uiPriority w:val="99"/>
    <w:unhideWhenUsed/>
    <w:rsid w:val="00B81371"/>
    <w:pPr>
      <w:tabs>
        <w:tab w:val="center" w:pos="4680"/>
        <w:tab w:val="right" w:pos="9360"/>
      </w:tabs>
    </w:pPr>
  </w:style>
  <w:style w:type="character" w:customStyle="1" w:styleId="FooterChar">
    <w:name w:val="Footer Char"/>
    <w:basedOn w:val="DefaultParagraphFont"/>
    <w:link w:val="Footer"/>
    <w:uiPriority w:val="99"/>
    <w:rsid w:val="00B8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532CD-5898-490D-B0A5-090A7842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4656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SDI 1084</cp:lastModifiedBy>
  <cp:revision>9</cp:revision>
  <dcterms:created xsi:type="dcterms:W3CDTF">2025-08-14T01:33:00Z</dcterms:created>
  <dcterms:modified xsi:type="dcterms:W3CDTF">2025-08-14T11:16:00Z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