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1FFBA" w14:textId="590155FD" w:rsidR="00754C9A" w:rsidRDefault="006F6B33" w:rsidP="00441B6F">
      <w:pPr>
        <w:pStyle w:val="Title"/>
        <w:spacing w:after="0"/>
        <w:jc w:val="both"/>
        <w:rPr>
          <w:rFonts w:ascii="Arial" w:hAnsi="Arial" w:cs="Arial"/>
        </w:rPr>
      </w:pPr>
      <w:bookmarkStart w:id="0" w:name="_GoBack"/>
      <w:bookmarkEnd w:id="0"/>
      <w:r w:rsidRPr="006F6B33">
        <w:rPr>
          <w:rFonts w:ascii="Arial" w:hAnsi="Arial" w:cs="Arial"/>
        </w:rPr>
        <w:t>Case report</w:t>
      </w:r>
    </w:p>
    <w:p w14:paraId="508366FA" w14:textId="77777777" w:rsidR="006F6B33" w:rsidRDefault="006F6B33" w:rsidP="00441B6F">
      <w:pPr>
        <w:pStyle w:val="Title"/>
        <w:spacing w:after="0"/>
        <w:jc w:val="both"/>
        <w:rPr>
          <w:rFonts w:ascii="Arial" w:hAnsi="Arial" w:cs="Arial"/>
        </w:rPr>
      </w:pPr>
    </w:p>
    <w:p w14:paraId="33F32252" w14:textId="16AFDA8C" w:rsidR="00983834" w:rsidRPr="00080C2D" w:rsidRDefault="00983834" w:rsidP="00983834">
      <w:pPr>
        <w:rPr>
          <w:rFonts w:asciiTheme="minorBidi" w:hAnsiTheme="minorBidi" w:cstheme="minorBidi"/>
          <w:b/>
          <w:bCs/>
          <w:color w:val="000000" w:themeColor="dark1"/>
          <w:kern w:val="24"/>
          <w:sz w:val="36"/>
          <w:szCs w:val="36"/>
        </w:rPr>
      </w:pPr>
      <w:r w:rsidRPr="00983834">
        <w:rPr>
          <w:rFonts w:ascii="Arial" w:hAnsi="Arial" w:cs="Arial"/>
          <w:b/>
          <w:sz w:val="36"/>
          <w:szCs w:val="36"/>
        </w:rPr>
        <w:t>Should high dose corticosteroids be abandoned in the treatment of post traumatic optic neuropathy?</w:t>
      </w:r>
      <w:r>
        <w:rPr>
          <w:rFonts w:ascii="Arial" w:hAnsi="Arial" w:cs="Arial"/>
          <w:b/>
          <w:sz w:val="36"/>
          <w:szCs w:val="36"/>
        </w:rPr>
        <w:t xml:space="preserve"> </w:t>
      </w:r>
      <w:proofErr w:type="gramStart"/>
      <w:r>
        <w:rPr>
          <w:rFonts w:ascii="Arial" w:hAnsi="Arial" w:cs="Arial"/>
          <w:b/>
          <w:sz w:val="36"/>
          <w:szCs w:val="36"/>
        </w:rPr>
        <w:t>:</w:t>
      </w:r>
      <w:r w:rsidR="00A97DCB">
        <w:rPr>
          <w:rFonts w:asciiTheme="minorBidi" w:hAnsiTheme="minorBidi" w:cstheme="minorBidi"/>
          <w:b/>
          <w:bCs/>
          <w:color w:val="000000" w:themeColor="dark1"/>
          <w:kern w:val="24"/>
          <w:sz w:val="36"/>
          <w:szCs w:val="36"/>
        </w:rPr>
        <w:t>A</w:t>
      </w:r>
      <w:proofErr w:type="gramEnd"/>
      <w:r w:rsidR="00A97DCB">
        <w:rPr>
          <w:rFonts w:asciiTheme="minorBidi" w:hAnsiTheme="minorBidi" w:cstheme="minorBidi"/>
          <w:b/>
          <w:bCs/>
          <w:color w:val="000000" w:themeColor="dark1"/>
          <w:kern w:val="24"/>
          <w:sz w:val="36"/>
          <w:szCs w:val="36"/>
        </w:rPr>
        <w:t xml:space="preserve"> c</w:t>
      </w:r>
      <w:r w:rsidRPr="00080C2D">
        <w:rPr>
          <w:rFonts w:asciiTheme="minorBidi" w:hAnsiTheme="minorBidi" w:cstheme="minorBidi"/>
          <w:b/>
          <w:bCs/>
          <w:color w:val="000000" w:themeColor="dark1"/>
          <w:kern w:val="24"/>
          <w:sz w:val="36"/>
          <w:szCs w:val="36"/>
        </w:rPr>
        <w:t xml:space="preserve">ase </w:t>
      </w:r>
      <w:r w:rsidR="00A97DCB">
        <w:rPr>
          <w:rFonts w:asciiTheme="minorBidi" w:hAnsiTheme="minorBidi" w:cstheme="minorBidi"/>
          <w:b/>
          <w:bCs/>
          <w:color w:val="000000" w:themeColor="dark1"/>
          <w:kern w:val="24"/>
          <w:sz w:val="36"/>
          <w:szCs w:val="36"/>
        </w:rPr>
        <w:t>r</w:t>
      </w:r>
      <w:r w:rsidRPr="00080C2D">
        <w:rPr>
          <w:rFonts w:asciiTheme="minorBidi" w:hAnsiTheme="minorBidi" w:cstheme="minorBidi"/>
          <w:b/>
          <w:bCs/>
          <w:color w:val="000000" w:themeColor="dark1"/>
          <w:kern w:val="24"/>
          <w:sz w:val="36"/>
          <w:szCs w:val="36"/>
        </w:rPr>
        <w:t>eport</w:t>
      </w:r>
    </w:p>
    <w:p w14:paraId="11787670" w14:textId="77777777" w:rsidR="00983834" w:rsidRPr="00790ADA" w:rsidRDefault="00983834" w:rsidP="00983834">
      <w:pPr>
        <w:pStyle w:val="Author"/>
        <w:spacing w:line="240" w:lineRule="auto"/>
        <w:jc w:val="both"/>
        <w:rPr>
          <w:rFonts w:ascii="Arial" w:hAnsi="Arial" w:cs="Arial"/>
          <w:sz w:val="36"/>
        </w:rPr>
      </w:pPr>
    </w:p>
    <w:p w14:paraId="213EDCB6" w14:textId="55646793" w:rsidR="00983834" w:rsidRDefault="00983834" w:rsidP="00983834">
      <w:pPr>
        <w:rPr>
          <w:rFonts w:ascii="Arial" w:hAnsi="Arial" w:cs="Arial"/>
          <w:b/>
          <w:sz w:val="36"/>
          <w:szCs w:val="36"/>
        </w:rPr>
      </w:pPr>
    </w:p>
    <w:p w14:paraId="4A194B16" w14:textId="5923857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762710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8FCAF9F" w14:textId="77777777" w:rsidTr="001E44FE">
        <w:tc>
          <w:tcPr>
            <w:tcW w:w="9576" w:type="dxa"/>
            <w:shd w:val="clear" w:color="auto" w:fill="F2F2F2"/>
          </w:tcPr>
          <w:p w14:paraId="4B05ACD0" w14:textId="77777777" w:rsidR="00E3114E" w:rsidRDefault="00E3114E" w:rsidP="00441B6F">
            <w:pPr>
              <w:pStyle w:val="Body"/>
              <w:spacing w:after="0"/>
              <w:rPr>
                <w:rFonts w:ascii="Arial" w:eastAsia="Calibri" w:hAnsi="Arial" w:cs="Arial"/>
                <w:szCs w:val="22"/>
              </w:rPr>
            </w:pPr>
          </w:p>
          <w:p w14:paraId="133B4A3A" w14:textId="6E91CB44" w:rsidR="00BA1B01" w:rsidRPr="00BA1B01" w:rsidRDefault="00BA1B01" w:rsidP="00D23523">
            <w:pPr>
              <w:pStyle w:val="Body"/>
              <w:spacing w:after="0"/>
              <w:rPr>
                <w:rFonts w:ascii="Arial" w:eastAsia="Calibri" w:hAnsi="Arial" w:cs="Arial"/>
                <w:szCs w:val="22"/>
              </w:rPr>
            </w:pPr>
            <w:r w:rsidRPr="00BA1B01">
              <w:rPr>
                <w:rFonts w:ascii="Arial" w:eastAsia="Calibri" w:hAnsi="Arial" w:cs="Arial"/>
                <w:b/>
                <w:szCs w:val="22"/>
              </w:rPr>
              <w:t>Aims:</w:t>
            </w:r>
            <w:r w:rsidR="00D23523">
              <w:rPr>
                <w:rFonts w:ascii="Arial" w:eastAsia="Calibri" w:hAnsi="Arial" w:cs="Arial"/>
                <w:b/>
                <w:szCs w:val="22"/>
              </w:rPr>
              <w:t xml:space="preserve"> </w:t>
            </w:r>
            <w:r w:rsidR="00D23523" w:rsidRPr="00D23523">
              <w:rPr>
                <w:rFonts w:ascii="Arial" w:eastAsia="Calibri" w:hAnsi="Arial" w:cs="Arial"/>
                <w:szCs w:val="22"/>
              </w:rPr>
              <w:t>Post-traumatic optic neuropathy (TON) is an uncommon but potentially devastating complication of head trauma. Its management remains controversial, and the role of systemic corticosteroids is increasingly questioned. The aim of this report is to describe the clinical presentation and spontaneous recovery in a patient with TON.</w:t>
            </w:r>
          </w:p>
          <w:p w14:paraId="2BE23A2C" w14:textId="6948716A" w:rsidR="00BA1B01" w:rsidRDefault="00D23523" w:rsidP="00D23523">
            <w:pPr>
              <w:pStyle w:val="Body"/>
              <w:spacing w:after="0"/>
              <w:rPr>
                <w:rFonts w:ascii="Arial" w:eastAsia="Calibri" w:hAnsi="Arial" w:cs="Arial"/>
                <w:szCs w:val="22"/>
              </w:rPr>
            </w:pPr>
            <w:r w:rsidRPr="00D23523">
              <w:rPr>
                <w:rFonts w:ascii="Arial" w:eastAsia="Calibri" w:hAnsi="Arial" w:cs="Arial"/>
                <w:b/>
                <w:bCs/>
                <w:szCs w:val="22"/>
              </w:rPr>
              <w:t>Presentation of Case:</w:t>
            </w:r>
            <w:r w:rsidRPr="00D23523">
              <w:rPr>
                <w:rFonts w:ascii="Arial" w:eastAsia="Calibri" w:hAnsi="Arial" w:cs="Arial"/>
                <w:szCs w:val="22"/>
              </w:rPr>
              <w:t xml:space="preserve"> We report the case of a 27-year-old male who sustained a head trauma following a road traffic accident, resulting in bilateral severe visual loss. Initial ophthalmologic examination revealed visual acuity limited to light perception in both eyes, with a relative afferent pupillary defect and normal anterior segments. Fundus examination showed a normal optic disc in the right eye and sectoral pallor in the left eye. Electrophysiological testing demonstrated delayed and reduced visual evoked potentials, and optical coherence tomography confirmed optic nerve fiber loss. Magnetic resonance imaging revealed an edematous contusion of the optic nerve within the optic canal, associated with a temporal contusion. Conservative management with close monitoring was adopted. At one-month follow-up, visual acuity improved to 10/10 in the right eye, while the left eye remained stable at light perception.</w:t>
            </w:r>
          </w:p>
          <w:p w14:paraId="40052AEB" w14:textId="1191467B" w:rsidR="00D23523" w:rsidRPr="00BA1B01" w:rsidRDefault="00D23523" w:rsidP="00D23523">
            <w:pPr>
              <w:pStyle w:val="Body"/>
              <w:spacing w:after="0"/>
              <w:rPr>
                <w:rFonts w:ascii="Arial" w:eastAsia="Calibri" w:hAnsi="Arial" w:cs="Arial"/>
                <w:szCs w:val="22"/>
              </w:rPr>
            </w:pPr>
            <w:r w:rsidRPr="00D23523">
              <w:rPr>
                <w:rFonts w:ascii="Arial" w:eastAsia="Calibri" w:hAnsi="Arial" w:cs="Arial"/>
                <w:b/>
                <w:bCs/>
                <w:szCs w:val="22"/>
              </w:rPr>
              <w:t>Discussion:</w:t>
            </w:r>
            <w:r w:rsidRPr="00D23523">
              <w:rPr>
                <w:rFonts w:ascii="Arial" w:eastAsia="Calibri" w:hAnsi="Arial" w:cs="Arial"/>
                <w:szCs w:val="22"/>
              </w:rPr>
              <w:t xml:space="preserve"> TON primarily affects young adults, most often following high-energy trauma. Visual prognosis depends largely on initial visual acuity. The pathophysiology may involve optic canal fracture, microvascular injury, or direct nerve contusion. Management remains debated: neither surgical decompression nor high-dose systemic corticosteroids have demonstrated clear benefit, and corticosteroids may even be harmful. Our case illustrates the potential for spontaneous visual recovery under observation alone.</w:t>
            </w:r>
          </w:p>
          <w:p w14:paraId="130F6BDB" w14:textId="58BC1D76" w:rsidR="00636EB2" w:rsidRDefault="00BA1B01" w:rsidP="00D23523">
            <w:pPr>
              <w:pStyle w:val="Body"/>
              <w:spacing w:after="0"/>
              <w:rPr>
                <w:rFonts w:ascii="Arial" w:eastAsia="Calibri" w:hAnsi="Arial" w:cs="Arial"/>
                <w:szCs w:val="22"/>
              </w:rPr>
            </w:pPr>
            <w:r w:rsidRPr="00BA1B01">
              <w:rPr>
                <w:rFonts w:ascii="Arial" w:eastAsia="Calibri" w:hAnsi="Arial" w:cs="Arial"/>
                <w:b/>
                <w:bCs/>
                <w:szCs w:val="22"/>
              </w:rPr>
              <w:t>Conclusion</w:t>
            </w:r>
            <w:r w:rsidR="00D23523">
              <w:rPr>
                <w:rFonts w:ascii="Arial" w:eastAsia="Calibri" w:hAnsi="Arial" w:cs="Arial"/>
                <w:b/>
                <w:bCs/>
                <w:szCs w:val="22"/>
              </w:rPr>
              <w:t xml:space="preserve">: </w:t>
            </w:r>
            <w:r w:rsidR="00D23523" w:rsidRPr="00D23523">
              <w:rPr>
                <w:rFonts w:ascii="Arial" w:eastAsia="Calibri" w:hAnsi="Arial" w:cs="Arial"/>
                <w:szCs w:val="22"/>
              </w:rPr>
              <w:t>High-dose systemic corticosteroids are not recommended in TON due to their lack of efficacy and possible harmful effects. Careful monitoring and individualized management appear to be the safest strategy until further evidence clarifies optimal treatment.</w:t>
            </w:r>
          </w:p>
          <w:p w14:paraId="51A95A5E" w14:textId="5210C317" w:rsidR="00505F06" w:rsidRPr="00BA1B01" w:rsidRDefault="00505F06" w:rsidP="00441B6F">
            <w:pPr>
              <w:pStyle w:val="Body"/>
              <w:spacing w:after="0"/>
              <w:rPr>
                <w:rFonts w:ascii="Arial" w:eastAsia="Calibri" w:hAnsi="Arial" w:cs="Arial"/>
                <w:szCs w:val="22"/>
              </w:rPr>
            </w:pPr>
          </w:p>
        </w:tc>
      </w:tr>
    </w:tbl>
    <w:p w14:paraId="40EA610C" w14:textId="77777777" w:rsidR="00636EB2" w:rsidRDefault="00636EB2" w:rsidP="00441B6F">
      <w:pPr>
        <w:pStyle w:val="Body"/>
        <w:spacing w:after="0"/>
        <w:rPr>
          <w:rFonts w:ascii="Arial" w:hAnsi="Arial" w:cs="Arial"/>
          <w:i/>
        </w:rPr>
      </w:pPr>
    </w:p>
    <w:p w14:paraId="06842165" w14:textId="67268A0B" w:rsidR="00924E75" w:rsidRPr="00924E75" w:rsidRDefault="00A24E7E" w:rsidP="00924E75">
      <w:pPr>
        <w:pStyle w:val="Body"/>
        <w:rPr>
          <w:rFonts w:ascii="Arial" w:hAnsi="Arial" w:cs="Arial"/>
          <w:i/>
        </w:rPr>
      </w:pPr>
      <w:r>
        <w:rPr>
          <w:rFonts w:ascii="Arial" w:hAnsi="Arial" w:cs="Arial"/>
          <w:i/>
        </w:rPr>
        <w:t>Keywords: [</w:t>
      </w:r>
      <w:r w:rsidR="00924E75" w:rsidRPr="00924E75">
        <w:rPr>
          <w:rFonts w:ascii="Arial" w:hAnsi="Arial" w:cs="Arial"/>
          <w:i/>
        </w:rPr>
        <w:t>Traumatic optic neuropathy</w:t>
      </w:r>
      <w:r w:rsidR="00924E75">
        <w:rPr>
          <w:rFonts w:ascii="Arial" w:hAnsi="Arial" w:cs="Arial"/>
          <w:i/>
        </w:rPr>
        <w:t>,</w:t>
      </w:r>
      <w:r w:rsidR="00042949">
        <w:rPr>
          <w:rFonts w:ascii="Arial" w:hAnsi="Arial" w:cs="Arial"/>
          <w:i/>
        </w:rPr>
        <w:t xml:space="preserve"> </w:t>
      </w:r>
      <w:r w:rsidR="00924E75" w:rsidRPr="00924E75">
        <w:rPr>
          <w:rFonts w:ascii="Arial" w:hAnsi="Arial" w:cs="Arial"/>
          <w:i/>
        </w:rPr>
        <w:t>Visual outcome</w:t>
      </w:r>
      <w:r w:rsidR="00924E75">
        <w:rPr>
          <w:rFonts w:ascii="Arial" w:hAnsi="Arial" w:cs="Arial"/>
          <w:i/>
        </w:rPr>
        <w:t>,</w:t>
      </w:r>
      <w:r w:rsidR="00924E75" w:rsidRPr="00924E75">
        <w:rPr>
          <w:rFonts w:ascii="Arial" w:hAnsi="Arial" w:cs="Arial"/>
          <w:i/>
        </w:rPr>
        <w:t xml:space="preserve"> Optic nerve </w:t>
      </w:r>
      <w:r w:rsidR="00042949" w:rsidRPr="00924E75">
        <w:rPr>
          <w:rFonts w:ascii="Arial" w:hAnsi="Arial" w:cs="Arial"/>
          <w:i/>
        </w:rPr>
        <w:t>injury</w:t>
      </w:r>
      <w:r w:rsidR="00042949">
        <w:rPr>
          <w:rFonts w:ascii="Arial" w:hAnsi="Arial" w:cs="Arial"/>
          <w:i/>
        </w:rPr>
        <w:t>,</w:t>
      </w:r>
      <w:r w:rsidR="00042949" w:rsidRPr="00924E75">
        <w:rPr>
          <w:rFonts w:ascii="Arial" w:hAnsi="Arial" w:cs="Arial"/>
          <w:i/>
        </w:rPr>
        <w:t xml:space="preserve"> Corticosteroids</w:t>
      </w:r>
      <w:r w:rsidR="00924E75">
        <w:rPr>
          <w:rFonts w:ascii="Arial" w:hAnsi="Arial" w:cs="Arial"/>
          <w:i/>
        </w:rPr>
        <w:t>,</w:t>
      </w:r>
      <w:r w:rsidR="00042949">
        <w:rPr>
          <w:rFonts w:ascii="Arial" w:hAnsi="Arial" w:cs="Arial"/>
          <w:i/>
        </w:rPr>
        <w:t xml:space="preserve"> </w:t>
      </w:r>
      <w:r w:rsidR="00924E75" w:rsidRPr="00924E75">
        <w:rPr>
          <w:rFonts w:ascii="Arial" w:hAnsi="Arial" w:cs="Arial"/>
          <w:i/>
        </w:rPr>
        <w:t>Conservative treatment</w:t>
      </w:r>
      <w:r w:rsidR="00042949">
        <w:rPr>
          <w:rFonts w:ascii="Arial" w:hAnsi="Arial" w:cs="Arial"/>
          <w:i/>
        </w:rPr>
        <w:t>]</w:t>
      </w:r>
    </w:p>
    <w:p w14:paraId="422A8476" w14:textId="77777777" w:rsidR="0024282C" w:rsidRDefault="0024282C" w:rsidP="00441B6F">
      <w:pPr>
        <w:pStyle w:val="Body"/>
        <w:spacing w:after="0"/>
        <w:rPr>
          <w:rFonts w:ascii="Arial" w:hAnsi="Arial" w:cs="Arial"/>
          <w:i/>
          <w:sz w:val="18"/>
        </w:rPr>
      </w:pPr>
    </w:p>
    <w:p w14:paraId="74287AAE" w14:textId="77777777" w:rsidR="00505F06" w:rsidRPr="00A24E7E" w:rsidRDefault="00505F06" w:rsidP="00441B6F">
      <w:pPr>
        <w:pStyle w:val="Body"/>
        <w:spacing w:after="0"/>
        <w:rPr>
          <w:rFonts w:ascii="Arial" w:hAnsi="Arial" w:cs="Arial"/>
          <w:i/>
        </w:rPr>
      </w:pPr>
    </w:p>
    <w:p w14:paraId="4FF760EB" w14:textId="638D1E9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04DED03" w14:textId="77777777" w:rsidR="00790ADA" w:rsidRPr="00FB3A86" w:rsidRDefault="00790ADA" w:rsidP="00441B6F">
      <w:pPr>
        <w:pStyle w:val="AbstHead"/>
        <w:spacing w:after="0"/>
        <w:jc w:val="both"/>
        <w:rPr>
          <w:rFonts w:ascii="Arial" w:hAnsi="Arial" w:cs="Arial"/>
        </w:rPr>
      </w:pPr>
    </w:p>
    <w:p w14:paraId="02C9306F" w14:textId="6D0E0AD8" w:rsidR="00251BE4" w:rsidRDefault="00CB4925" w:rsidP="00CB4925">
      <w:pPr>
        <w:pStyle w:val="Body"/>
        <w:spacing w:after="0"/>
        <w:rPr>
          <w:rFonts w:ascii="Arial" w:hAnsi="Arial" w:cs="Arial"/>
        </w:rPr>
      </w:pPr>
      <w:r w:rsidRPr="00CB4925">
        <w:rPr>
          <w:rFonts w:ascii="Arial" w:hAnsi="Arial" w:cs="Arial"/>
        </w:rPr>
        <w:t xml:space="preserve">Post-traumatic optic neuropathy (TON) is a well-recognized cause of visual impairment following head trauma. Despite its clinical relevance, radiological evidence of a lesion along the visual pathway is detected in only approximately 5% of affected patients (Levin, 1999). </w:t>
      </w:r>
      <w:r w:rsidRPr="00CB4925">
        <w:rPr>
          <w:rFonts w:ascii="Arial" w:hAnsi="Arial" w:cs="Arial"/>
        </w:rPr>
        <w:lastRenderedPageBreak/>
        <w:t>The optimal management of TON remains a subject of debate, with available therapeutic options yielding unsatisfactory outcomes. High-dose systemic corticosteroids, once widely advocated, are now regarded as ineffective and potentially harmful (</w:t>
      </w:r>
      <w:proofErr w:type="spellStart"/>
      <w:r w:rsidRPr="00CB4925">
        <w:rPr>
          <w:rFonts w:ascii="Arial" w:hAnsi="Arial" w:cs="Arial"/>
        </w:rPr>
        <w:t>Steinshapir</w:t>
      </w:r>
      <w:proofErr w:type="spellEnd"/>
      <w:r w:rsidRPr="00CB4925">
        <w:rPr>
          <w:rFonts w:ascii="Arial" w:hAnsi="Arial" w:cs="Arial"/>
        </w:rPr>
        <w:t>, 2020). The objective of this study is to report the clinical features and the spontaneous favorable course observed in a case of traumatic optic neuropathy.</w:t>
      </w:r>
    </w:p>
    <w:p w14:paraId="1ACF400C" w14:textId="77777777" w:rsidR="00251BE4" w:rsidRDefault="00251BE4" w:rsidP="00441B6F">
      <w:pPr>
        <w:pStyle w:val="Body"/>
        <w:spacing w:after="0"/>
        <w:rPr>
          <w:rFonts w:ascii="Arial" w:hAnsi="Arial" w:cs="Arial"/>
        </w:rPr>
      </w:pPr>
    </w:p>
    <w:p w14:paraId="76B28785" w14:textId="77777777" w:rsidR="00251BE4" w:rsidRDefault="00251BE4" w:rsidP="00441B6F">
      <w:pPr>
        <w:pStyle w:val="Body"/>
        <w:spacing w:after="0"/>
        <w:rPr>
          <w:rFonts w:ascii="Arial" w:eastAsia="Calibri" w:hAnsi="Arial" w:cs="Arial"/>
          <w:szCs w:val="22"/>
        </w:rPr>
      </w:pPr>
    </w:p>
    <w:p w14:paraId="43B85FEF" w14:textId="77777777" w:rsidR="00251BE4" w:rsidRDefault="00251BE4" w:rsidP="00251BE4">
      <w:pPr>
        <w:pStyle w:val="Body"/>
        <w:spacing w:after="0"/>
        <w:jc w:val="left"/>
        <w:rPr>
          <w:rFonts w:ascii="Arial" w:eastAsia="Calibri" w:hAnsi="Arial" w:cs="Arial"/>
          <w:b/>
          <w:bCs/>
          <w:szCs w:val="22"/>
        </w:rPr>
      </w:pPr>
      <w:r w:rsidRPr="00251BE4">
        <w:rPr>
          <w:rFonts w:ascii="Arial" w:eastAsia="Calibri" w:hAnsi="Arial" w:cs="Arial"/>
          <w:b/>
          <w:bCs/>
          <w:szCs w:val="22"/>
        </w:rPr>
        <w:t>PRESENTATION OF CASE</w:t>
      </w:r>
    </w:p>
    <w:p w14:paraId="65E35B80" w14:textId="6E1F5979" w:rsidR="00251BE4" w:rsidRPr="00251BE4" w:rsidRDefault="00251BE4" w:rsidP="00251BE4">
      <w:pPr>
        <w:pStyle w:val="Body"/>
        <w:spacing w:after="0"/>
        <w:jc w:val="left"/>
        <w:rPr>
          <w:rFonts w:ascii="Arial" w:eastAsia="Calibri" w:hAnsi="Arial" w:cs="Arial"/>
          <w:szCs w:val="22"/>
        </w:rPr>
      </w:pPr>
      <w:r w:rsidRPr="00251BE4">
        <w:rPr>
          <w:rFonts w:ascii="Arial" w:eastAsia="Calibri" w:hAnsi="Arial" w:cs="Arial"/>
          <w:szCs w:val="22"/>
        </w:rPr>
        <w:br/>
        <w:t>We report the case of a 27-year-old male patient, with no significant past medical history, who sustained a road traffic accident resulting in head trauma. The trauma was associated with an initial loss of consciousness and a sutured eyebrow laceration. Following the injury, the patient experienced a persistent bilateral decrease in visual acuity.</w:t>
      </w:r>
    </w:p>
    <w:p w14:paraId="1F15B436" w14:textId="44C155CD" w:rsidR="00A9616D" w:rsidRDefault="00251BE4" w:rsidP="00251BE4">
      <w:pPr>
        <w:pStyle w:val="Body"/>
        <w:spacing w:after="0"/>
        <w:rPr>
          <w:rFonts w:ascii="Arial" w:eastAsia="Calibri" w:hAnsi="Arial" w:cs="Arial"/>
          <w:szCs w:val="22"/>
        </w:rPr>
      </w:pPr>
      <w:r w:rsidRPr="00251BE4">
        <w:rPr>
          <w:rFonts w:ascii="Arial" w:eastAsia="Calibri" w:hAnsi="Arial" w:cs="Arial"/>
          <w:szCs w:val="22"/>
        </w:rPr>
        <w:t xml:space="preserve">Initial ophthalmologic examination revealed best-corrected visual acuity limited to light perception in both eyes. The anterior segment and intraocular pressure were within normal limits. Assessment of pupillary responses demonstrated a relative afferent pupillary defect associated with poorly reactive mydriasis. Extraocular motility was normal. Fundus examination showed a normal optic disc in the right eye, while the left eye exhibited sectoral optic disc pallor (Figure 1). </w:t>
      </w:r>
    </w:p>
    <w:p w14:paraId="5CE15B14" w14:textId="77777777" w:rsidR="00A9616D" w:rsidRDefault="00A9616D" w:rsidP="00251BE4">
      <w:pPr>
        <w:pStyle w:val="Body"/>
        <w:spacing w:after="0"/>
        <w:rPr>
          <w:rFonts w:ascii="Arial" w:eastAsia="Calibri" w:hAnsi="Arial" w:cs="Arial"/>
          <w:szCs w:val="22"/>
        </w:rPr>
      </w:pPr>
    </w:p>
    <w:p w14:paraId="27B0FDE4" w14:textId="4DA20BFA" w:rsidR="00A9616D" w:rsidRDefault="00A9616D" w:rsidP="00251BE4">
      <w:pPr>
        <w:pStyle w:val="Body"/>
        <w:spacing w:after="0"/>
        <w:rPr>
          <w:rFonts w:ascii="Arial" w:eastAsia="Calibri" w:hAnsi="Arial" w:cs="Arial"/>
          <w:szCs w:val="22"/>
        </w:rPr>
      </w:pPr>
    </w:p>
    <w:p w14:paraId="3B58AE8E" w14:textId="77777777" w:rsidR="00A9616D" w:rsidRDefault="00A9616D" w:rsidP="00251BE4">
      <w:pPr>
        <w:pStyle w:val="Body"/>
        <w:spacing w:after="0"/>
        <w:rPr>
          <w:rFonts w:ascii="Arial" w:eastAsia="Calibri" w:hAnsi="Arial" w:cs="Arial"/>
          <w:szCs w:val="22"/>
        </w:rPr>
      </w:pPr>
    </w:p>
    <w:p w14:paraId="27BA9298" w14:textId="512BB293" w:rsidR="00A9616D" w:rsidRDefault="00A9616D" w:rsidP="00251BE4">
      <w:pPr>
        <w:pStyle w:val="Body"/>
        <w:spacing w:after="0"/>
        <w:rPr>
          <w:rFonts w:ascii="Arial" w:eastAsia="Calibri" w:hAnsi="Arial" w:cs="Arial"/>
          <w:szCs w:val="22"/>
        </w:rPr>
      </w:pPr>
    </w:p>
    <w:p w14:paraId="44E9DDDF" w14:textId="0FDE92F1" w:rsidR="00A9616D" w:rsidRDefault="00A9616D" w:rsidP="00251BE4">
      <w:pPr>
        <w:pStyle w:val="Body"/>
        <w:spacing w:after="0"/>
        <w:rPr>
          <w:rFonts w:ascii="Arial" w:eastAsia="Calibri" w:hAnsi="Arial" w:cs="Arial"/>
          <w:szCs w:val="22"/>
        </w:rPr>
      </w:pPr>
    </w:p>
    <w:p w14:paraId="726E4D73" w14:textId="4EC1CC7F" w:rsidR="00A9616D" w:rsidRDefault="00A9616D" w:rsidP="00251BE4">
      <w:pPr>
        <w:pStyle w:val="Body"/>
        <w:spacing w:after="0"/>
        <w:rPr>
          <w:rFonts w:ascii="Arial" w:eastAsia="Calibri" w:hAnsi="Arial" w:cs="Arial"/>
          <w:szCs w:val="22"/>
        </w:rPr>
      </w:pPr>
    </w:p>
    <w:p w14:paraId="3AA93F4B" w14:textId="05F14F95" w:rsidR="00A9616D" w:rsidRDefault="00A9616D" w:rsidP="00251BE4">
      <w:pPr>
        <w:pStyle w:val="Body"/>
        <w:spacing w:after="0"/>
        <w:rPr>
          <w:rFonts w:ascii="Arial" w:eastAsia="Calibri" w:hAnsi="Arial" w:cs="Arial"/>
          <w:szCs w:val="22"/>
        </w:rPr>
      </w:pPr>
    </w:p>
    <w:p w14:paraId="3E07C2C0" w14:textId="3A8B24C2" w:rsidR="00A9616D" w:rsidRDefault="00A9616D" w:rsidP="00251BE4">
      <w:pPr>
        <w:pStyle w:val="Body"/>
        <w:spacing w:after="0"/>
        <w:rPr>
          <w:rFonts w:ascii="Arial" w:eastAsia="Calibri" w:hAnsi="Arial" w:cs="Arial"/>
          <w:szCs w:val="22"/>
        </w:rPr>
      </w:pPr>
    </w:p>
    <w:p w14:paraId="45CE20F4" w14:textId="4C0DEA23" w:rsidR="00A9616D" w:rsidRDefault="00A9616D" w:rsidP="00251BE4">
      <w:pPr>
        <w:pStyle w:val="Body"/>
        <w:spacing w:after="0"/>
        <w:rPr>
          <w:rFonts w:ascii="Arial" w:eastAsia="Calibri" w:hAnsi="Arial" w:cs="Arial"/>
          <w:szCs w:val="22"/>
        </w:rPr>
      </w:pPr>
    </w:p>
    <w:p w14:paraId="2FF4AAF5" w14:textId="6CE46D95" w:rsidR="00A9616D" w:rsidRDefault="00AC7E01" w:rsidP="00251BE4">
      <w:pPr>
        <w:pStyle w:val="Body"/>
        <w:spacing w:after="0"/>
        <w:rPr>
          <w:rFonts w:ascii="Arial" w:eastAsia="Calibri" w:hAnsi="Arial" w:cs="Arial"/>
          <w:szCs w:val="22"/>
        </w:rPr>
      </w:pPr>
      <w:r>
        <w:rPr>
          <w:rFonts w:ascii="Arial" w:eastAsia="Calibri" w:hAnsi="Arial" w:cs="Arial"/>
          <w:noProof/>
          <w:szCs w:val="22"/>
        </w:rPr>
        <mc:AlternateContent>
          <mc:Choice Requires="wps">
            <w:drawing>
              <wp:anchor distT="0" distB="0" distL="114300" distR="114300" simplePos="0" relativeHeight="251661312" behindDoc="0" locked="0" layoutInCell="1" allowOverlap="1" wp14:anchorId="280B695B" wp14:editId="3D4E6A24">
                <wp:simplePos x="0" y="0"/>
                <wp:positionH relativeFrom="column">
                  <wp:posOffset>2377440</wp:posOffset>
                </wp:positionH>
                <wp:positionV relativeFrom="paragraph">
                  <wp:posOffset>-646176</wp:posOffset>
                </wp:positionV>
                <wp:extent cx="682244" cy="249555"/>
                <wp:effectExtent l="0" t="0" r="22860" b="17145"/>
                <wp:wrapNone/>
                <wp:docPr id="397819072" name="Rectangle 1"/>
                <wp:cNvGraphicFramePr/>
                <a:graphic xmlns:a="http://schemas.openxmlformats.org/drawingml/2006/main">
                  <a:graphicData uri="http://schemas.microsoft.com/office/word/2010/wordprocessingShape">
                    <wps:wsp>
                      <wps:cNvSpPr/>
                      <wps:spPr>
                        <a:xfrm>
                          <a:off x="0" y="0"/>
                          <a:ext cx="682244" cy="2495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B673F4" id="Rectangle 1" o:spid="_x0000_s1026" style="position:absolute;margin-left:187.2pt;margin-top:-50.9pt;width:53.7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" fillcolor="window" strokecolor="window" strokeweight="2pt"/>
            </w:pict>
          </mc:Fallback>
        </mc:AlternateContent>
      </w:r>
      <w:r w:rsidR="00A9616D">
        <w:rPr>
          <w:rFonts w:ascii="Arial" w:eastAsia="Calibri" w:hAnsi="Arial" w:cs="Arial"/>
          <w:noProof/>
          <w:szCs w:val="22"/>
        </w:rPr>
        <w:drawing>
          <wp:anchor distT="0" distB="0" distL="114300" distR="114300" simplePos="0" relativeHeight="251658240" behindDoc="1" locked="0" layoutInCell="1" allowOverlap="1" wp14:anchorId="3AC760E9" wp14:editId="525FD972">
            <wp:simplePos x="0" y="0"/>
            <wp:positionH relativeFrom="column">
              <wp:posOffset>-5461</wp:posOffset>
            </wp:positionH>
            <wp:positionV relativeFrom="paragraph">
              <wp:posOffset>-572770</wp:posOffset>
            </wp:positionV>
            <wp:extent cx="5595148" cy="2139696"/>
            <wp:effectExtent l="0" t="0" r="5715" b="0"/>
            <wp:wrapNone/>
            <wp:docPr id="587954805" name="Image 52"/>
            <wp:cNvGraphicFramePr/>
            <a:graphic xmlns:a="http://schemas.openxmlformats.org/drawingml/2006/main">
              <a:graphicData uri="http://schemas.openxmlformats.org/drawingml/2006/picture">
                <pic:pic xmlns:pic="http://schemas.openxmlformats.org/drawingml/2006/picture">
                  <pic:nvPicPr>
                    <pic:cNvPr id="587954805" name="Image 52"/>
                    <pic:cNvPicPr/>
                  </pic:nvPicPr>
                  <pic:blipFill>
                    <a:blip r:embed="rId8" cstate="print"/>
                    <a:stretch>
                      <a:fillRect/>
                    </a:stretch>
                  </pic:blipFill>
                  <pic:spPr>
                    <a:xfrm>
                      <a:off x="0" y="0"/>
                      <a:ext cx="5595148" cy="2139696"/>
                    </a:xfrm>
                    <a:prstGeom prst="rect">
                      <a:avLst/>
                    </a:prstGeom>
                  </pic:spPr>
                </pic:pic>
              </a:graphicData>
            </a:graphic>
            <wp14:sizeRelH relativeFrom="margin">
              <wp14:pctWidth>0</wp14:pctWidth>
            </wp14:sizeRelH>
            <wp14:sizeRelV relativeFrom="margin">
              <wp14:pctHeight>0</wp14:pctHeight>
            </wp14:sizeRelV>
          </wp:anchor>
        </w:drawing>
      </w:r>
      <w:r w:rsidR="00A9616D">
        <w:rPr>
          <w:rFonts w:ascii="Arial" w:eastAsia="Calibri" w:hAnsi="Arial" w:cs="Arial"/>
          <w:noProof/>
          <w:szCs w:val="22"/>
        </w:rPr>
        <w:t xml:space="preserve">   </w:t>
      </w:r>
    </w:p>
    <w:p w14:paraId="34E41A89" w14:textId="1D616CDD" w:rsidR="00A9616D" w:rsidRDefault="00A9616D" w:rsidP="00251BE4">
      <w:pPr>
        <w:pStyle w:val="Body"/>
        <w:spacing w:after="0"/>
        <w:rPr>
          <w:rFonts w:ascii="Arial" w:eastAsia="Calibri" w:hAnsi="Arial" w:cs="Arial"/>
          <w:szCs w:val="22"/>
        </w:rPr>
      </w:pPr>
    </w:p>
    <w:p w14:paraId="57D7C2B3" w14:textId="555B17CD" w:rsidR="00A9616D" w:rsidRDefault="00A9616D" w:rsidP="00251BE4">
      <w:pPr>
        <w:pStyle w:val="Body"/>
        <w:spacing w:after="0"/>
        <w:rPr>
          <w:rFonts w:ascii="Arial" w:eastAsia="Calibri" w:hAnsi="Arial" w:cs="Arial"/>
          <w:szCs w:val="22"/>
        </w:rPr>
      </w:pPr>
    </w:p>
    <w:p w14:paraId="39423677" w14:textId="77777777" w:rsidR="00A9616D" w:rsidRDefault="00A9616D" w:rsidP="00251BE4">
      <w:pPr>
        <w:pStyle w:val="Body"/>
        <w:spacing w:after="0"/>
        <w:rPr>
          <w:rFonts w:ascii="Arial" w:eastAsia="Calibri" w:hAnsi="Arial" w:cs="Arial"/>
          <w:szCs w:val="22"/>
        </w:rPr>
      </w:pPr>
    </w:p>
    <w:p w14:paraId="0819E011" w14:textId="09305295" w:rsidR="00A9616D" w:rsidRDefault="00A9616D" w:rsidP="00251BE4">
      <w:pPr>
        <w:pStyle w:val="Body"/>
        <w:spacing w:after="0"/>
        <w:rPr>
          <w:rFonts w:ascii="Arial" w:eastAsia="Calibri" w:hAnsi="Arial" w:cs="Arial"/>
          <w:szCs w:val="22"/>
        </w:rPr>
      </w:pPr>
    </w:p>
    <w:p w14:paraId="6F793B69" w14:textId="1794C63C" w:rsidR="00A9616D" w:rsidRDefault="00A9616D" w:rsidP="00251BE4">
      <w:pPr>
        <w:pStyle w:val="Body"/>
        <w:spacing w:after="0"/>
        <w:rPr>
          <w:rFonts w:ascii="Arial" w:eastAsia="Calibri" w:hAnsi="Arial" w:cs="Arial"/>
          <w:szCs w:val="22"/>
        </w:rPr>
      </w:pPr>
    </w:p>
    <w:p w14:paraId="7690A796" w14:textId="3B8B820C" w:rsidR="00A9616D" w:rsidRDefault="00A9616D" w:rsidP="00251BE4">
      <w:pPr>
        <w:pStyle w:val="Body"/>
        <w:spacing w:after="0"/>
        <w:rPr>
          <w:rFonts w:ascii="Arial" w:eastAsia="Calibri" w:hAnsi="Arial" w:cs="Arial"/>
          <w:szCs w:val="22"/>
        </w:rPr>
      </w:pPr>
    </w:p>
    <w:p w14:paraId="5AF6FE62" w14:textId="06BEE31B" w:rsidR="00A9616D" w:rsidRDefault="00A9616D" w:rsidP="00251BE4">
      <w:pPr>
        <w:pStyle w:val="Body"/>
        <w:spacing w:after="0"/>
        <w:rPr>
          <w:rFonts w:ascii="Arial" w:eastAsia="Calibri" w:hAnsi="Arial" w:cs="Arial"/>
          <w:szCs w:val="22"/>
        </w:rPr>
      </w:pPr>
    </w:p>
    <w:p w14:paraId="00ED533D" w14:textId="1E4AAB94" w:rsidR="00A9616D" w:rsidRDefault="005A2FAA" w:rsidP="00251BE4">
      <w:pPr>
        <w:pStyle w:val="Body"/>
        <w:spacing w:after="0"/>
        <w:rPr>
          <w:rFonts w:ascii="Arial" w:eastAsia="Calibri" w:hAnsi="Arial" w:cs="Arial"/>
          <w:szCs w:val="22"/>
        </w:rPr>
      </w:pPr>
      <w:r>
        <w:rPr>
          <w:rFonts w:ascii="Arial" w:eastAsia="Calibri" w:hAnsi="Arial" w:cs="Arial"/>
          <w:noProof/>
          <w:szCs w:val="22"/>
        </w:rPr>
        <mc:AlternateContent>
          <mc:Choice Requires="wps">
            <w:drawing>
              <wp:anchor distT="0" distB="0" distL="114300" distR="114300" simplePos="0" relativeHeight="251659264" behindDoc="0" locked="0" layoutInCell="1" allowOverlap="1" wp14:anchorId="2A4FF240" wp14:editId="4225C048">
                <wp:simplePos x="0" y="0"/>
                <wp:positionH relativeFrom="column">
                  <wp:posOffset>2036064</wp:posOffset>
                </wp:positionH>
                <wp:positionV relativeFrom="paragraph">
                  <wp:posOffset>148335</wp:posOffset>
                </wp:positionV>
                <wp:extent cx="1115060" cy="249555"/>
                <wp:effectExtent l="0" t="0" r="27940" b="17145"/>
                <wp:wrapNone/>
                <wp:docPr id="285419670" name="Rectangle 1"/>
                <wp:cNvGraphicFramePr/>
                <a:graphic xmlns:a="http://schemas.openxmlformats.org/drawingml/2006/main">
                  <a:graphicData uri="http://schemas.microsoft.com/office/word/2010/wordprocessingShape">
                    <wps:wsp>
                      <wps:cNvSpPr/>
                      <wps:spPr>
                        <a:xfrm>
                          <a:off x="0" y="0"/>
                          <a:ext cx="1115060" cy="2495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2DAAC3" id="Rectangle 1" o:spid="_x0000_s1026" style="position:absolute;margin-left:160.3pt;margin-top:11.7pt;width:87.8pt;height:19.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" fillcolor="white [3201]" strokecolor="white [3212]" strokeweight="2pt"/>
            </w:pict>
          </mc:Fallback>
        </mc:AlternateContent>
      </w:r>
    </w:p>
    <w:p w14:paraId="3ED0134D" w14:textId="75FDF5BA" w:rsidR="00A9616D" w:rsidRDefault="00A9616D" w:rsidP="00251BE4">
      <w:pPr>
        <w:pStyle w:val="Body"/>
        <w:spacing w:after="0"/>
        <w:rPr>
          <w:rFonts w:ascii="Arial" w:eastAsia="Calibri" w:hAnsi="Arial" w:cs="Arial"/>
          <w:szCs w:val="22"/>
        </w:rPr>
      </w:pPr>
    </w:p>
    <w:p w14:paraId="3B353548" w14:textId="3CEFAA51" w:rsidR="00A9616D" w:rsidRDefault="00A9616D" w:rsidP="00251BE4">
      <w:pPr>
        <w:pStyle w:val="Body"/>
        <w:spacing w:after="0"/>
        <w:rPr>
          <w:rFonts w:ascii="Arial" w:eastAsia="Calibri" w:hAnsi="Arial" w:cs="Arial"/>
          <w:szCs w:val="22"/>
        </w:rPr>
      </w:pPr>
    </w:p>
    <w:p w14:paraId="5D631B87" w14:textId="5CF07A99" w:rsidR="00A9616D" w:rsidRDefault="00A9616D" w:rsidP="00251BE4">
      <w:pPr>
        <w:pStyle w:val="Body"/>
        <w:spacing w:after="0"/>
        <w:rPr>
          <w:rFonts w:ascii="Arial" w:eastAsia="Calibri" w:hAnsi="Arial" w:cs="Arial"/>
          <w:szCs w:val="22"/>
        </w:rPr>
      </w:pPr>
    </w:p>
    <w:p w14:paraId="140E9620" w14:textId="7BF7CF9B" w:rsidR="00A9616D" w:rsidRDefault="00A9616D" w:rsidP="00251BE4">
      <w:pPr>
        <w:pStyle w:val="Body"/>
        <w:spacing w:after="0"/>
        <w:rPr>
          <w:rFonts w:ascii="Arial" w:eastAsia="Calibri" w:hAnsi="Arial" w:cs="Arial"/>
          <w:szCs w:val="22"/>
        </w:rPr>
      </w:pPr>
    </w:p>
    <w:p w14:paraId="2B6EFEA3" w14:textId="0BB8C3C5" w:rsidR="00A9616D" w:rsidRDefault="00A9616D" w:rsidP="00A9616D">
      <w:pPr>
        <w:pStyle w:val="Body"/>
        <w:spacing w:after="0"/>
        <w:rPr>
          <w:rFonts w:ascii="Arial" w:eastAsia="Calibri" w:hAnsi="Arial" w:cs="Arial"/>
          <w:szCs w:val="22"/>
        </w:rPr>
      </w:pPr>
      <w:r w:rsidRPr="00A9616D">
        <w:rPr>
          <w:rFonts w:ascii="Arial" w:eastAsia="Calibri" w:hAnsi="Arial" w:cs="Arial"/>
          <w:b/>
          <w:bCs/>
          <w:szCs w:val="22"/>
        </w:rPr>
        <w:t>Figure 1.</w:t>
      </w:r>
      <w:r w:rsidRPr="00A9616D">
        <w:rPr>
          <w:rFonts w:ascii="Arial" w:eastAsia="Calibri" w:hAnsi="Arial" w:cs="Arial"/>
          <w:szCs w:val="22"/>
        </w:rPr>
        <w:t xml:space="preserve"> Fundus examination showing sectoral optic disc pallor in the left eye.</w:t>
      </w:r>
    </w:p>
    <w:p w14:paraId="6EB64E09" w14:textId="3FCC70E8" w:rsidR="00A9616D" w:rsidRDefault="00A9616D" w:rsidP="00251BE4">
      <w:pPr>
        <w:pStyle w:val="Body"/>
        <w:spacing w:after="0"/>
        <w:rPr>
          <w:rFonts w:ascii="Arial" w:eastAsia="Calibri" w:hAnsi="Arial" w:cs="Arial"/>
          <w:szCs w:val="22"/>
        </w:rPr>
      </w:pPr>
    </w:p>
    <w:p w14:paraId="1B63BC9F" w14:textId="77777777" w:rsidR="00A9616D" w:rsidRDefault="00A9616D" w:rsidP="00251BE4">
      <w:pPr>
        <w:pStyle w:val="Body"/>
        <w:spacing w:after="0"/>
        <w:rPr>
          <w:rFonts w:ascii="Arial" w:eastAsia="Calibri" w:hAnsi="Arial" w:cs="Arial"/>
          <w:szCs w:val="22"/>
        </w:rPr>
      </w:pPr>
    </w:p>
    <w:p w14:paraId="5E3A2BB8" w14:textId="4CBAE436" w:rsidR="00251BE4" w:rsidRPr="00251BE4" w:rsidRDefault="00251BE4" w:rsidP="00251BE4">
      <w:pPr>
        <w:pStyle w:val="Body"/>
        <w:spacing w:after="0"/>
        <w:rPr>
          <w:rFonts w:ascii="Arial" w:eastAsia="Calibri" w:hAnsi="Arial" w:cs="Arial"/>
          <w:szCs w:val="22"/>
        </w:rPr>
      </w:pPr>
      <w:r w:rsidRPr="00251BE4">
        <w:rPr>
          <w:rFonts w:ascii="Arial" w:eastAsia="Calibri" w:hAnsi="Arial" w:cs="Arial"/>
          <w:szCs w:val="22"/>
        </w:rPr>
        <w:t>The profound bilateral visual impairment (meeting the criteria for legal blindness) precluded visual field testing.</w:t>
      </w:r>
    </w:p>
    <w:p w14:paraId="78AC1319" w14:textId="752C1531" w:rsidR="00251BE4" w:rsidRPr="00251BE4" w:rsidRDefault="00251BE4" w:rsidP="00251BE4">
      <w:pPr>
        <w:pStyle w:val="Body"/>
        <w:spacing w:after="0"/>
        <w:rPr>
          <w:rFonts w:ascii="Arial" w:eastAsia="Calibri" w:hAnsi="Arial" w:cs="Arial"/>
          <w:szCs w:val="22"/>
        </w:rPr>
      </w:pPr>
      <w:r w:rsidRPr="00251BE4">
        <w:rPr>
          <w:rFonts w:ascii="Arial" w:eastAsia="Calibri" w:hAnsi="Arial" w:cs="Arial"/>
          <w:szCs w:val="22"/>
        </w:rPr>
        <w:t>Electrophysiological evaluation using visual evoked potentials (VEPs) revealed delayed responses with reduced amplitudes (Figure 2):</w:t>
      </w:r>
    </w:p>
    <w:p w14:paraId="7C659D70" w14:textId="7FEA64D1" w:rsidR="00251BE4" w:rsidRPr="00251BE4" w:rsidRDefault="00251BE4" w:rsidP="00251BE4">
      <w:pPr>
        <w:pStyle w:val="Body"/>
        <w:numPr>
          <w:ilvl w:val="0"/>
          <w:numId w:val="31"/>
        </w:numPr>
        <w:spacing w:after="0"/>
        <w:rPr>
          <w:rFonts w:ascii="Arial" w:eastAsia="Calibri" w:hAnsi="Arial" w:cs="Arial"/>
          <w:szCs w:val="22"/>
        </w:rPr>
      </w:pPr>
      <w:r w:rsidRPr="00251BE4">
        <w:rPr>
          <w:rFonts w:ascii="Arial" w:eastAsia="Calibri" w:hAnsi="Arial" w:cs="Arial"/>
          <w:b/>
          <w:bCs/>
          <w:szCs w:val="22"/>
        </w:rPr>
        <w:t>Right eye:</w:t>
      </w:r>
      <w:r w:rsidRPr="00251BE4">
        <w:rPr>
          <w:rFonts w:ascii="Arial" w:eastAsia="Calibri" w:hAnsi="Arial" w:cs="Arial"/>
          <w:szCs w:val="22"/>
        </w:rPr>
        <w:t xml:space="preserve"> preserved waveforms with P100 latency delay at 30° and 60° checkerboard stimulation; </w:t>
      </w:r>
      <w:proofErr w:type="spellStart"/>
      <w:r w:rsidRPr="00251BE4">
        <w:rPr>
          <w:rFonts w:ascii="Arial" w:eastAsia="Calibri" w:hAnsi="Arial" w:cs="Arial"/>
          <w:szCs w:val="22"/>
        </w:rPr>
        <w:t>hypovolted</w:t>
      </w:r>
      <w:proofErr w:type="spellEnd"/>
      <w:r w:rsidRPr="00251BE4">
        <w:rPr>
          <w:rFonts w:ascii="Arial" w:eastAsia="Calibri" w:hAnsi="Arial" w:cs="Arial"/>
          <w:szCs w:val="22"/>
        </w:rPr>
        <w:t>, disorganized responses to both checkerboard and flash stimuli.</w:t>
      </w:r>
    </w:p>
    <w:p w14:paraId="6155DF86" w14:textId="6C6A3733" w:rsidR="00251BE4" w:rsidRDefault="00251BE4" w:rsidP="00251BE4">
      <w:pPr>
        <w:pStyle w:val="Body"/>
        <w:numPr>
          <w:ilvl w:val="0"/>
          <w:numId w:val="31"/>
        </w:numPr>
        <w:spacing w:after="0"/>
        <w:rPr>
          <w:rFonts w:ascii="Arial" w:eastAsia="Calibri" w:hAnsi="Arial" w:cs="Arial"/>
          <w:szCs w:val="22"/>
        </w:rPr>
      </w:pPr>
      <w:r w:rsidRPr="00251BE4">
        <w:rPr>
          <w:rFonts w:ascii="Arial" w:eastAsia="Calibri" w:hAnsi="Arial" w:cs="Arial"/>
          <w:b/>
          <w:bCs/>
          <w:szCs w:val="22"/>
        </w:rPr>
        <w:t>Left eye:</w:t>
      </w:r>
      <w:r w:rsidRPr="00251BE4">
        <w:rPr>
          <w:rFonts w:ascii="Arial" w:eastAsia="Calibri" w:hAnsi="Arial" w:cs="Arial"/>
          <w:szCs w:val="22"/>
        </w:rPr>
        <w:t xml:space="preserve"> severely reduced and disorganized responses to checkerboard and flash stimuli.</w:t>
      </w:r>
    </w:p>
    <w:p w14:paraId="0672DC67" w14:textId="4A52CDA2" w:rsidR="0047416A" w:rsidRDefault="0047416A" w:rsidP="0047416A">
      <w:pPr>
        <w:pStyle w:val="Body"/>
        <w:spacing w:after="0"/>
        <w:rPr>
          <w:rFonts w:ascii="Arial" w:eastAsia="Calibri" w:hAnsi="Arial" w:cs="Arial"/>
          <w:szCs w:val="22"/>
        </w:rPr>
      </w:pPr>
      <w:r>
        <w:rPr>
          <w:rFonts w:ascii="Arial" w:eastAsia="Calibri" w:hAnsi="Arial" w:cs="Arial"/>
          <w:noProof/>
          <w:szCs w:val="22"/>
        </w:rPr>
        <w:lastRenderedPageBreak/>
        <w:drawing>
          <wp:anchor distT="0" distB="0" distL="114300" distR="114300" simplePos="0" relativeHeight="251664384" behindDoc="1" locked="0" layoutInCell="1" allowOverlap="1" wp14:anchorId="65A79917" wp14:editId="2A2CF741">
            <wp:simplePos x="0" y="0"/>
            <wp:positionH relativeFrom="column">
              <wp:posOffset>-36576</wp:posOffset>
            </wp:positionH>
            <wp:positionV relativeFrom="paragraph">
              <wp:posOffset>99568</wp:posOffset>
            </wp:positionV>
            <wp:extent cx="6016625" cy="3074014"/>
            <wp:effectExtent l="0" t="0" r="3175" b="0"/>
            <wp:wrapNone/>
            <wp:docPr id="187849619" name="Image 55"/>
            <wp:cNvGraphicFramePr/>
            <a:graphic xmlns:a="http://schemas.openxmlformats.org/drawingml/2006/main">
              <a:graphicData uri="http://schemas.openxmlformats.org/drawingml/2006/picture">
                <pic:pic xmlns:pic="http://schemas.openxmlformats.org/drawingml/2006/picture">
                  <pic:nvPicPr>
                    <pic:cNvPr id="187849619" name="Image 55"/>
                    <pic:cNvPicPr/>
                  </pic:nvPicPr>
                  <pic:blipFill rotWithShape="1">
                    <a:blip r:embed="rId9" cstate="print"/>
                    <a:srcRect l="6113" r="1030"/>
                    <a:stretch>
                      <a:fillRect/>
                    </a:stretch>
                  </pic:blipFill>
                  <pic:spPr>
                    <a:xfrm>
                      <a:off x="0" y="0"/>
                      <a:ext cx="6016625" cy="3074014"/>
                    </a:xfrm>
                    <a:prstGeom prst="rect">
                      <a:avLst/>
                    </a:prstGeom>
                  </pic:spPr>
                </pic:pic>
              </a:graphicData>
            </a:graphic>
          </wp:anchor>
        </w:drawing>
      </w:r>
    </w:p>
    <w:p w14:paraId="02FBD4BD" w14:textId="77777777" w:rsidR="0047416A" w:rsidRDefault="0047416A" w:rsidP="0047416A">
      <w:pPr>
        <w:pStyle w:val="Body"/>
        <w:spacing w:after="0"/>
        <w:rPr>
          <w:rFonts w:ascii="Arial" w:eastAsia="Calibri" w:hAnsi="Arial" w:cs="Arial"/>
          <w:szCs w:val="22"/>
        </w:rPr>
      </w:pPr>
    </w:p>
    <w:p w14:paraId="15AE0802" w14:textId="4CCDB243" w:rsidR="0047416A" w:rsidRDefault="0047416A" w:rsidP="0047416A">
      <w:pPr>
        <w:pStyle w:val="Body"/>
        <w:spacing w:after="0"/>
        <w:rPr>
          <w:rFonts w:ascii="Arial" w:eastAsia="Calibri" w:hAnsi="Arial" w:cs="Arial"/>
          <w:szCs w:val="22"/>
        </w:rPr>
      </w:pPr>
    </w:p>
    <w:p w14:paraId="2F96C0AF" w14:textId="77777777" w:rsidR="0047416A" w:rsidRDefault="0047416A" w:rsidP="0047416A">
      <w:pPr>
        <w:pStyle w:val="Body"/>
        <w:spacing w:after="0"/>
        <w:rPr>
          <w:rFonts w:ascii="Arial" w:eastAsia="Calibri" w:hAnsi="Arial" w:cs="Arial"/>
          <w:szCs w:val="22"/>
        </w:rPr>
      </w:pPr>
    </w:p>
    <w:p w14:paraId="5BB3B7F3" w14:textId="77777777" w:rsidR="0047416A" w:rsidRDefault="0047416A" w:rsidP="0047416A">
      <w:pPr>
        <w:pStyle w:val="Body"/>
        <w:spacing w:after="0"/>
        <w:rPr>
          <w:rFonts w:ascii="Arial" w:eastAsia="Calibri" w:hAnsi="Arial" w:cs="Arial"/>
          <w:szCs w:val="22"/>
        </w:rPr>
      </w:pPr>
    </w:p>
    <w:p w14:paraId="28C67655" w14:textId="77777777" w:rsidR="0047416A" w:rsidRDefault="0047416A" w:rsidP="0047416A">
      <w:pPr>
        <w:pStyle w:val="Body"/>
        <w:spacing w:after="0"/>
        <w:rPr>
          <w:rFonts w:ascii="Arial" w:eastAsia="Calibri" w:hAnsi="Arial" w:cs="Arial"/>
          <w:szCs w:val="22"/>
        </w:rPr>
      </w:pPr>
    </w:p>
    <w:p w14:paraId="06301ED7" w14:textId="77777777" w:rsidR="0047416A" w:rsidRDefault="0047416A" w:rsidP="0047416A">
      <w:pPr>
        <w:pStyle w:val="Body"/>
        <w:spacing w:after="0"/>
        <w:rPr>
          <w:rFonts w:ascii="Arial" w:eastAsia="Calibri" w:hAnsi="Arial" w:cs="Arial"/>
          <w:szCs w:val="22"/>
        </w:rPr>
      </w:pPr>
    </w:p>
    <w:p w14:paraId="71CEB6E8" w14:textId="77777777" w:rsidR="0047416A" w:rsidRDefault="0047416A" w:rsidP="0047416A">
      <w:pPr>
        <w:pStyle w:val="Body"/>
        <w:spacing w:after="0"/>
        <w:rPr>
          <w:rFonts w:ascii="Arial" w:eastAsia="Calibri" w:hAnsi="Arial" w:cs="Arial"/>
          <w:szCs w:val="22"/>
        </w:rPr>
      </w:pPr>
    </w:p>
    <w:p w14:paraId="60407470" w14:textId="77777777" w:rsidR="0047416A" w:rsidRDefault="0047416A" w:rsidP="0047416A">
      <w:pPr>
        <w:pStyle w:val="Body"/>
        <w:spacing w:after="0"/>
        <w:rPr>
          <w:rFonts w:ascii="Arial" w:eastAsia="Calibri" w:hAnsi="Arial" w:cs="Arial"/>
          <w:szCs w:val="22"/>
        </w:rPr>
      </w:pPr>
    </w:p>
    <w:p w14:paraId="5F140326" w14:textId="77777777" w:rsidR="0047416A" w:rsidRDefault="0047416A" w:rsidP="0047416A">
      <w:pPr>
        <w:pStyle w:val="Body"/>
        <w:spacing w:after="0"/>
        <w:rPr>
          <w:rFonts w:ascii="Arial" w:eastAsia="Calibri" w:hAnsi="Arial" w:cs="Arial"/>
          <w:szCs w:val="22"/>
        </w:rPr>
      </w:pPr>
    </w:p>
    <w:p w14:paraId="59D47550" w14:textId="77777777" w:rsidR="0047416A" w:rsidRDefault="0047416A" w:rsidP="0047416A">
      <w:pPr>
        <w:pStyle w:val="Body"/>
        <w:spacing w:after="0"/>
        <w:rPr>
          <w:rFonts w:ascii="Arial" w:eastAsia="Calibri" w:hAnsi="Arial" w:cs="Arial"/>
          <w:szCs w:val="22"/>
        </w:rPr>
      </w:pPr>
    </w:p>
    <w:p w14:paraId="69E64332" w14:textId="77777777" w:rsidR="0047416A" w:rsidRDefault="0047416A" w:rsidP="0047416A">
      <w:pPr>
        <w:pStyle w:val="Body"/>
        <w:spacing w:after="0"/>
        <w:rPr>
          <w:rFonts w:ascii="Arial" w:eastAsia="Calibri" w:hAnsi="Arial" w:cs="Arial"/>
          <w:szCs w:val="22"/>
        </w:rPr>
      </w:pPr>
    </w:p>
    <w:p w14:paraId="6B4B0C14" w14:textId="77777777" w:rsidR="0047416A" w:rsidRDefault="0047416A" w:rsidP="0047416A">
      <w:pPr>
        <w:pStyle w:val="Body"/>
        <w:spacing w:after="0"/>
        <w:rPr>
          <w:rFonts w:ascii="Arial" w:eastAsia="Calibri" w:hAnsi="Arial" w:cs="Arial"/>
          <w:szCs w:val="22"/>
        </w:rPr>
      </w:pPr>
    </w:p>
    <w:p w14:paraId="2E9DD936" w14:textId="77777777" w:rsidR="0047416A" w:rsidRDefault="0047416A" w:rsidP="0047416A">
      <w:pPr>
        <w:pStyle w:val="Body"/>
        <w:spacing w:after="0"/>
        <w:rPr>
          <w:rFonts w:ascii="Arial" w:eastAsia="Calibri" w:hAnsi="Arial" w:cs="Arial"/>
          <w:szCs w:val="22"/>
        </w:rPr>
      </w:pPr>
    </w:p>
    <w:p w14:paraId="5F12169F" w14:textId="77777777" w:rsidR="0047416A" w:rsidRDefault="0047416A" w:rsidP="0047416A">
      <w:pPr>
        <w:pStyle w:val="Body"/>
        <w:spacing w:after="0"/>
        <w:rPr>
          <w:rFonts w:ascii="Arial" w:eastAsia="Calibri" w:hAnsi="Arial" w:cs="Arial"/>
          <w:szCs w:val="22"/>
        </w:rPr>
      </w:pPr>
    </w:p>
    <w:p w14:paraId="12A086C7" w14:textId="77777777" w:rsidR="0047416A" w:rsidRDefault="0047416A" w:rsidP="0047416A">
      <w:pPr>
        <w:pStyle w:val="Body"/>
        <w:spacing w:after="0"/>
        <w:rPr>
          <w:rFonts w:ascii="Arial" w:eastAsia="Calibri" w:hAnsi="Arial" w:cs="Arial"/>
          <w:szCs w:val="22"/>
        </w:rPr>
      </w:pPr>
    </w:p>
    <w:p w14:paraId="4029B76E" w14:textId="77777777" w:rsidR="0047416A" w:rsidRDefault="0047416A" w:rsidP="0047416A">
      <w:pPr>
        <w:pStyle w:val="Body"/>
        <w:spacing w:after="0"/>
        <w:rPr>
          <w:rFonts w:ascii="Arial" w:eastAsia="Calibri" w:hAnsi="Arial" w:cs="Arial"/>
          <w:szCs w:val="22"/>
        </w:rPr>
      </w:pPr>
    </w:p>
    <w:p w14:paraId="575BCD5A" w14:textId="77777777" w:rsidR="0047416A" w:rsidRDefault="0047416A" w:rsidP="0047416A">
      <w:pPr>
        <w:pStyle w:val="Body"/>
        <w:spacing w:after="0"/>
        <w:rPr>
          <w:rFonts w:ascii="Arial" w:eastAsia="Calibri" w:hAnsi="Arial" w:cs="Arial"/>
          <w:szCs w:val="22"/>
        </w:rPr>
      </w:pPr>
    </w:p>
    <w:p w14:paraId="5EF8B397" w14:textId="77777777" w:rsidR="0047416A" w:rsidRDefault="0047416A" w:rsidP="0047416A">
      <w:pPr>
        <w:pStyle w:val="Body"/>
        <w:spacing w:after="0"/>
        <w:rPr>
          <w:rFonts w:ascii="Arial" w:eastAsia="Calibri" w:hAnsi="Arial" w:cs="Arial"/>
          <w:szCs w:val="22"/>
        </w:rPr>
      </w:pPr>
    </w:p>
    <w:p w14:paraId="168F30E7" w14:textId="77777777" w:rsidR="0047416A" w:rsidRDefault="0047416A" w:rsidP="0047416A">
      <w:pPr>
        <w:pStyle w:val="Body"/>
        <w:spacing w:after="0"/>
        <w:rPr>
          <w:rFonts w:ascii="Arial" w:eastAsia="Calibri" w:hAnsi="Arial" w:cs="Arial"/>
          <w:szCs w:val="22"/>
        </w:rPr>
      </w:pPr>
    </w:p>
    <w:p w14:paraId="3CA3DAD8" w14:textId="77777777" w:rsidR="0047416A" w:rsidRDefault="0047416A" w:rsidP="0047416A">
      <w:pPr>
        <w:pStyle w:val="Body"/>
        <w:spacing w:after="0"/>
        <w:rPr>
          <w:rFonts w:ascii="Arial" w:eastAsia="Calibri" w:hAnsi="Arial" w:cs="Arial"/>
          <w:szCs w:val="22"/>
        </w:rPr>
      </w:pPr>
    </w:p>
    <w:p w14:paraId="26847FFC" w14:textId="77777777" w:rsidR="0047416A" w:rsidRDefault="0047416A" w:rsidP="0047416A">
      <w:pPr>
        <w:pStyle w:val="Body"/>
        <w:spacing w:after="0"/>
        <w:rPr>
          <w:rFonts w:ascii="Arial" w:eastAsia="Calibri" w:hAnsi="Arial" w:cs="Arial"/>
          <w:szCs w:val="22"/>
        </w:rPr>
      </w:pPr>
    </w:p>
    <w:p w14:paraId="6CF1D01C" w14:textId="77777777" w:rsidR="0047416A" w:rsidRDefault="0047416A" w:rsidP="0047416A">
      <w:pPr>
        <w:pStyle w:val="Body"/>
        <w:spacing w:after="0"/>
        <w:rPr>
          <w:rFonts w:ascii="Arial" w:eastAsia="Calibri" w:hAnsi="Arial" w:cs="Arial"/>
          <w:szCs w:val="22"/>
        </w:rPr>
      </w:pPr>
    </w:p>
    <w:p w14:paraId="421DDB7B" w14:textId="0FF94D24" w:rsidR="0047416A" w:rsidRDefault="0047416A" w:rsidP="0047416A">
      <w:pPr>
        <w:pStyle w:val="Body"/>
        <w:spacing w:after="0"/>
        <w:rPr>
          <w:rFonts w:ascii="Arial" w:eastAsia="Calibri" w:hAnsi="Arial" w:cs="Arial"/>
          <w:szCs w:val="22"/>
        </w:rPr>
      </w:pPr>
      <w:r w:rsidRPr="0047416A">
        <w:rPr>
          <w:rFonts w:ascii="Arial" w:eastAsia="Calibri" w:hAnsi="Arial" w:cs="Arial"/>
          <w:b/>
          <w:bCs/>
          <w:szCs w:val="22"/>
        </w:rPr>
        <w:t xml:space="preserve">Figure </w:t>
      </w:r>
      <w:r w:rsidR="00493BC5">
        <w:rPr>
          <w:rFonts w:ascii="Arial" w:eastAsia="Calibri" w:hAnsi="Arial" w:cs="Arial"/>
          <w:b/>
          <w:bCs/>
          <w:szCs w:val="22"/>
        </w:rPr>
        <w:t>2</w:t>
      </w:r>
      <w:r w:rsidRPr="0047416A">
        <w:rPr>
          <w:rFonts w:ascii="Arial" w:eastAsia="Calibri" w:hAnsi="Arial" w:cs="Arial"/>
          <w:b/>
          <w:bCs/>
          <w:szCs w:val="22"/>
        </w:rPr>
        <w:t>.</w:t>
      </w:r>
      <w:r w:rsidRPr="0047416A">
        <w:rPr>
          <w:rFonts w:ascii="Arial" w:eastAsia="Calibri" w:hAnsi="Arial" w:cs="Arial"/>
          <w:szCs w:val="22"/>
        </w:rPr>
        <w:t xml:space="preserve"> Visual evoked potentials (VEP). Delayed responses with reduced amplitudes were observed</w:t>
      </w:r>
      <w:r>
        <w:rPr>
          <w:rFonts w:ascii="Arial" w:eastAsia="Calibri" w:hAnsi="Arial" w:cs="Arial"/>
          <w:szCs w:val="22"/>
        </w:rPr>
        <w:t>:</w:t>
      </w:r>
      <w:r w:rsidRPr="0047416A">
        <w:rPr>
          <w:rFonts w:ascii="Arial" w:eastAsia="Calibri" w:hAnsi="Arial" w:cs="Arial"/>
          <w:szCs w:val="22"/>
        </w:rPr>
        <w:br/>
        <w:t xml:space="preserve">(A) Right eye: preserved waveform with P100 latency delay at 30° and 60° checkerboard stimulation; </w:t>
      </w:r>
      <w:proofErr w:type="spellStart"/>
      <w:r w:rsidRPr="0047416A">
        <w:rPr>
          <w:rFonts w:ascii="Arial" w:eastAsia="Calibri" w:hAnsi="Arial" w:cs="Arial"/>
          <w:szCs w:val="22"/>
        </w:rPr>
        <w:t>hypovolted</w:t>
      </w:r>
      <w:proofErr w:type="spellEnd"/>
      <w:r w:rsidRPr="0047416A">
        <w:rPr>
          <w:rFonts w:ascii="Arial" w:eastAsia="Calibri" w:hAnsi="Arial" w:cs="Arial"/>
          <w:szCs w:val="22"/>
        </w:rPr>
        <w:t xml:space="preserve"> and disorganized responses to both checkerboard and flash stimuli.</w:t>
      </w:r>
      <w:r w:rsidRPr="0047416A">
        <w:rPr>
          <w:rFonts w:ascii="Arial" w:eastAsia="Calibri" w:hAnsi="Arial" w:cs="Arial"/>
          <w:szCs w:val="22"/>
        </w:rPr>
        <w:br/>
        <w:t>(B) Left eye: markedly reduced and disorganized responses to checkerboard and flash stimuli.</w:t>
      </w:r>
    </w:p>
    <w:p w14:paraId="6F68C83D" w14:textId="77777777" w:rsidR="0047416A" w:rsidRDefault="0047416A" w:rsidP="0047416A">
      <w:pPr>
        <w:pStyle w:val="Body"/>
        <w:spacing w:after="0"/>
        <w:rPr>
          <w:rFonts w:ascii="Arial" w:eastAsia="Calibri" w:hAnsi="Arial" w:cs="Arial"/>
          <w:szCs w:val="22"/>
        </w:rPr>
      </w:pPr>
    </w:p>
    <w:p w14:paraId="080E4273" w14:textId="77777777" w:rsidR="0047416A" w:rsidRPr="00251BE4" w:rsidRDefault="0047416A" w:rsidP="0047416A">
      <w:pPr>
        <w:pStyle w:val="Body"/>
        <w:spacing w:after="0"/>
        <w:rPr>
          <w:rFonts w:ascii="Arial" w:eastAsia="Calibri" w:hAnsi="Arial" w:cs="Arial"/>
          <w:szCs w:val="22"/>
        </w:rPr>
      </w:pPr>
    </w:p>
    <w:p w14:paraId="366D120A" w14:textId="56830141" w:rsidR="00251BE4" w:rsidRDefault="00251BE4" w:rsidP="00251BE4">
      <w:pPr>
        <w:pStyle w:val="Body"/>
        <w:spacing w:after="0"/>
        <w:rPr>
          <w:rFonts w:ascii="Arial" w:eastAsia="Calibri" w:hAnsi="Arial" w:cs="Arial"/>
          <w:szCs w:val="22"/>
        </w:rPr>
      </w:pPr>
      <w:r w:rsidRPr="00251BE4">
        <w:rPr>
          <w:rFonts w:ascii="Arial" w:eastAsia="Calibri" w:hAnsi="Arial" w:cs="Arial"/>
          <w:szCs w:val="22"/>
        </w:rPr>
        <w:t xml:space="preserve">Magnetic resonance imaging (MRI) revealed an edematous contusion of the optic nerve within the optic canal measuring 4 mm in its long axis, associated with a temporal </w:t>
      </w:r>
      <w:proofErr w:type="spellStart"/>
      <w:r w:rsidRPr="00251BE4">
        <w:rPr>
          <w:rFonts w:ascii="Arial" w:eastAsia="Calibri" w:hAnsi="Arial" w:cs="Arial"/>
          <w:szCs w:val="22"/>
        </w:rPr>
        <w:t>edemato</w:t>
      </w:r>
      <w:proofErr w:type="spellEnd"/>
      <w:r w:rsidRPr="00251BE4">
        <w:rPr>
          <w:rFonts w:ascii="Arial" w:eastAsia="Calibri" w:hAnsi="Arial" w:cs="Arial"/>
          <w:szCs w:val="22"/>
        </w:rPr>
        <w:t xml:space="preserve">-hemorrhagic contusion measuring 20 mm (Figure </w:t>
      </w:r>
      <w:r w:rsidR="00493BC5">
        <w:rPr>
          <w:rFonts w:ascii="Arial" w:eastAsia="Calibri" w:hAnsi="Arial" w:cs="Arial"/>
          <w:szCs w:val="22"/>
        </w:rPr>
        <w:t>3</w:t>
      </w:r>
      <w:r w:rsidRPr="00251BE4">
        <w:rPr>
          <w:rFonts w:ascii="Arial" w:eastAsia="Calibri" w:hAnsi="Arial" w:cs="Arial"/>
          <w:szCs w:val="22"/>
        </w:rPr>
        <w:t>).</w:t>
      </w:r>
    </w:p>
    <w:p w14:paraId="7B167741" w14:textId="77777777" w:rsidR="00493BC5" w:rsidRDefault="00493BC5" w:rsidP="00251BE4">
      <w:pPr>
        <w:pStyle w:val="Body"/>
        <w:spacing w:after="0"/>
        <w:rPr>
          <w:rFonts w:ascii="Arial" w:eastAsia="Calibri" w:hAnsi="Arial" w:cs="Arial"/>
          <w:szCs w:val="22"/>
        </w:rPr>
      </w:pPr>
    </w:p>
    <w:p w14:paraId="634C4DF3" w14:textId="77777777" w:rsidR="00493BC5" w:rsidRDefault="00493BC5" w:rsidP="00251BE4">
      <w:pPr>
        <w:pStyle w:val="Body"/>
        <w:spacing w:after="0"/>
        <w:rPr>
          <w:rFonts w:ascii="Arial" w:eastAsia="Calibri" w:hAnsi="Arial" w:cs="Arial"/>
          <w:szCs w:val="22"/>
        </w:rPr>
      </w:pPr>
    </w:p>
    <w:p w14:paraId="028A0240" w14:textId="77777777" w:rsidR="00493BC5" w:rsidRDefault="00493BC5" w:rsidP="00251BE4">
      <w:pPr>
        <w:pStyle w:val="Body"/>
        <w:spacing w:after="0"/>
        <w:rPr>
          <w:rFonts w:ascii="Arial" w:eastAsia="Calibri" w:hAnsi="Arial" w:cs="Arial"/>
          <w:szCs w:val="22"/>
        </w:rPr>
      </w:pPr>
    </w:p>
    <w:p w14:paraId="430A366F" w14:textId="46BA6904" w:rsidR="00493BC5" w:rsidRDefault="00493BC5" w:rsidP="00251BE4">
      <w:pPr>
        <w:pStyle w:val="Body"/>
        <w:spacing w:after="0"/>
        <w:rPr>
          <w:rFonts w:ascii="Arial" w:eastAsia="Calibri" w:hAnsi="Arial" w:cs="Arial"/>
          <w:szCs w:val="22"/>
        </w:rPr>
      </w:pPr>
      <w:r>
        <w:rPr>
          <w:noProof/>
        </w:rPr>
        <w:drawing>
          <wp:anchor distT="0" distB="0" distL="114300" distR="114300" simplePos="0" relativeHeight="251666432" behindDoc="0" locked="0" layoutInCell="1" allowOverlap="1" wp14:anchorId="785B93CB" wp14:editId="38D344E9">
            <wp:simplePos x="0" y="0"/>
            <wp:positionH relativeFrom="column">
              <wp:posOffset>0</wp:posOffset>
            </wp:positionH>
            <wp:positionV relativeFrom="paragraph">
              <wp:posOffset>-635</wp:posOffset>
            </wp:positionV>
            <wp:extent cx="4338320" cy="2438400"/>
            <wp:effectExtent l="0" t="0" r="0" b="0"/>
            <wp:wrapNone/>
            <wp:docPr id="58" name="Image 1" descr="Une image contenant Imagerie médicale, radiologie, film radio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58" name="Image 1" descr="Une image contenant Imagerie médicale, radiologie, film radiographique&#10;&#10;Le contenu généré par l’IA peut être incorrect."/>
                    <pic:cNvPicPr/>
                  </pic:nvPicPr>
                  <pic:blipFill>
                    <a:blip r:embed="rId10" cstate="print"/>
                    <a:stretch>
                      <a:fillRect/>
                    </a:stretch>
                  </pic:blipFill>
                  <pic:spPr>
                    <a:xfrm>
                      <a:off x="0" y="0"/>
                      <a:ext cx="4338320" cy="2438400"/>
                    </a:xfrm>
                    <a:prstGeom prst="rect">
                      <a:avLst/>
                    </a:prstGeom>
                  </pic:spPr>
                </pic:pic>
              </a:graphicData>
            </a:graphic>
          </wp:anchor>
        </w:drawing>
      </w:r>
    </w:p>
    <w:p w14:paraId="41BAFD9B" w14:textId="77777777" w:rsidR="00493BC5" w:rsidRDefault="00493BC5" w:rsidP="00251BE4">
      <w:pPr>
        <w:pStyle w:val="Body"/>
        <w:spacing w:after="0"/>
        <w:rPr>
          <w:rFonts w:ascii="Arial" w:eastAsia="Calibri" w:hAnsi="Arial" w:cs="Arial"/>
          <w:szCs w:val="22"/>
        </w:rPr>
      </w:pPr>
    </w:p>
    <w:p w14:paraId="2AD5EC6F" w14:textId="77777777" w:rsidR="00493BC5" w:rsidRDefault="00493BC5" w:rsidP="00251BE4">
      <w:pPr>
        <w:pStyle w:val="Body"/>
        <w:spacing w:after="0"/>
        <w:rPr>
          <w:rFonts w:ascii="Arial" w:eastAsia="Calibri" w:hAnsi="Arial" w:cs="Arial"/>
          <w:szCs w:val="22"/>
        </w:rPr>
      </w:pPr>
    </w:p>
    <w:p w14:paraId="4EA2E3FD" w14:textId="77777777" w:rsidR="00493BC5" w:rsidRDefault="00493BC5" w:rsidP="00251BE4">
      <w:pPr>
        <w:pStyle w:val="Body"/>
        <w:spacing w:after="0"/>
        <w:rPr>
          <w:rFonts w:ascii="Arial" w:eastAsia="Calibri" w:hAnsi="Arial" w:cs="Arial"/>
          <w:szCs w:val="22"/>
        </w:rPr>
      </w:pPr>
    </w:p>
    <w:p w14:paraId="0CCE2D43" w14:textId="77777777" w:rsidR="00493BC5" w:rsidRDefault="00493BC5" w:rsidP="00251BE4">
      <w:pPr>
        <w:pStyle w:val="Body"/>
        <w:spacing w:after="0"/>
        <w:rPr>
          <w:rFonts w:ascii="Arial" w:eastAsia="Calibri" w:hAnsi="Arial" w:cs="Arial"/>
          <w:szCs w:val="22"/>
        </w:rPr>
      </w:pPr>
    </w:p>
    <w:p w14:paraId="251EC470" w14:textId="77777777" w:rsidR="00493BC5" w:rsidRDefault="00493BC5" w:rsidP="00251BE4">
      <w:pPr>
        <w:pStyle w:val="Body"/>
        <w:spacing w:after="0"/>
        <w:rPr>
          <w:rFonts w:ascii="Arial" w:eastAsia="Calibri" w:hAnsi="Arial" w:cs="Arial"/>
          <w:szCs w:val="22"/>
        </w:rPr>
      </w:pPr>
    </w:p>
    <w:p w14:paraId="6F23000E" w14:textId="77777777" w:rsidR="00493BC5" w:rsidRDefault="00493BC5" w:rsidP="00251BE4">
      <w:pPr>
        <w:pStyle w:val="Body"/>
        <w:spacing w:after="0"/>
        <w:rPr>
          <w:rFonts w:ascii="Arial" w:eastAsia="Calibri" w:hAnsi="Arial" w:cs="Arial"/>
          <w:szCs w:val="22"/>
        </w:rPr>
      </w:pPr>
    </w:p>
    <w:p w14:paraId="69AC5DF5" w14:textId="77777777" w:rsidR="00493BC5" w:rsidRDefault="00493BC5" w:rsidP="00251BE4">
      <w:pPr>
        <w:pStyle w:val="Body"/>
        <w:spacing w:after="0"/>
        <w:rPr>
          <w:rFonts w:ascii="Arial" w:eastAsia="Calibri" w:hAnsi="Arial" w:cs="Arial"/>
          <w:szCs w:val="22"/>
        </w:rPr>
      </w:pPr>
    </w:p>
    <w:p w14:paraId="434EC484" w14:textId="77777777" w:rsidR="00493BC5" w:rsidRDefault="00493BC5" w:rsidP="00251BE4">
      <w:pPr>
        <w:pStyle w:val="Body"/>
        <w:spacing w:after="0"/>
        <w:rPr>
          <w:rFonts w:ascii="Arial" w:eastAsia="Calibri" w:hAnsi="Arial" w:cs="Arial"/>
          <w:szCs w:val="22"/>
        </w:rPr>
      </w:pPr>
    </w:p>
    <w:p w14:paraId="47BEE4F5" w14:textId="77777777" w:rsidR="00493BC5" w:rsidRDefault="00493BC5" w:rsidP="00251BE4">
      <w:pPr>
        <w:pStyle w:val="Body"/>
        <w:spacing w:after="0"/>
        <w:rPr>
          <w:rFonts w:ascii="Arial" w:eastAsia="Calibri" w:hAnsi="Arial" w:cs="Arial"/>
          <w:szCs w:val="22"/>
        </w:rPr>
      </w:pPr>
    </w:p>
    <w:p w14:paraId="34883DF2" w14:textId="77777777" w:rsidR="004268DD" w:rsidRDefault="004268DD" w:rsidP="00251BE4">
      <w:pPr>
        <w:pStyle w:val="Body"/>
        <w:spacing w:after="0"/>
        <w:rPr>
          <w:rFonts w:ascii="Arial" w:eastAsia="Calibri" w:hAnsi="Arial" w:cs="Arial"/>
          <w:szCs w:val="22"/>
        </w:rPr>
      </w:pPr>
    </w:p>
    <w:p w14:paraId="64603AEE" w14:textId="77777777" w:rsidR="004268DD" w:rsidRDefault="004268DD" w:rsidP="00251BE4">
      <w:pPr>
        <w:pStyle w:val="Body"/>
        <w:spacing w:after="0"/>
        <w:rPr>
          <w:rFonts w:ascii="Arial" w:eastAsia="Calibri" w:hAnsi="Arial" w:cs="Arial"/>
          <w:szCs w:val="22"/>
        </w:rPr>
      </w:pPr>
    </w:p>
    <w:p w14:paraId="0FAB071A" w14:textId="77777777" w:rsidR="004268DD" w:rsidRDefault="004268DD" w:rsidP="00251BE4">
      <w:pPr>
        <w:pStyle w:val="Body"/>
        <w:spacing w:after="0"/>
        <w:rPr>
          <w:rFonts w:ascii="Arial" w:eastAsia="Calibri" w:hAnsi="Arial" w:cs="Arial"/>
          <w:szCs w:val="22"/>
        </w:rPr>
      </w:pPr>
    </w:p>
    <w:p w14:paraId="1174DB2E" w14:textId="77777777" w:rsidR="004268DD" w:rsidRDefault="004268DD" w:rsidP="00251BE4">
      <w:pPr>
        <w:pStyle w:val="Body"/>
        <w:spacing w:after="0"/>
        <w:rPr>
          <w:rFonts w:ascii="Arial" w:eastAsia="Calibri" w:hAnsi="Arial" w:cs="Arial"/>
          <w:szCs w:val="22"/>
        </w:rPr>
      </w:pPr>
    </w:p>
    <w:p w14:paraId="6C10B03A" w14:textId="77777777" w:rsidR="004268DD" w:rsidRDefault="004268DD" w:rsidP="00251BE4">
      <w:pPr>
        <w:pStyle w:val="Body"/>
        <w:spacing w:after="0"/>
        <w:rPr>
          <w:rFonts w:ascii="Arial" w:eastAsia="Calibri" w:hAnsi="Arial" w:cs="Arial"/>
          <w:szCs w:val="22"/>
        </w:rPr>
      </w:pPr>
    </w:p>
    <w:p w14:paraId="2B6F4B1C" w14:textId="77777777" w:rsidR="00493BC5" w:rsidRDefault="00493BC5" w:rsidP="00251BE4">
      <w:pPr>
        <w:pStyle w:val="Body"/>
        <w:spacing w:after="0"/>
        <w:rPr>
          <w:rFonts w:ascii="Arial" w:eastAsia="Calibri" w:hAnsi="Arial" w:cs="Arial"/>
          <w:szCs w:val="22"/>
        </w:rPr>
      </w:pPr>
    </w:p>
    <w:p w14:paraId="5BAE364A" w14:textId="77777777" w:rsidR="00493BC5" w:rsidRDefault="00493BC5" w:rsidP="00251BE4">
      <w:pPr>
        <w:pStyle w:val="Body"/>
        <w:spacing w:after="0"/>
        <w:rPr>
          <w:rFonts w:ascii="Arial" w:eastAsia="Calibri" w:hAnsi="Arial" w:cs="Arial"/>
          <w:szCs w:val="22"/>
        </w:rPr>
      </w:pPr>
    </w:p>
    <w:p w14:paraId="61502752" w14:textId="77777777" w:rsidR="00493BC5" w:rsidRDefault="00493BC5" w:rsidP="00251BE4">
      <w:pPr>
        <w:pStyle w:val="Body"/>
        <w:spacing w:after="0"/>
        <w:rPr>
          <w:rFonts w:ascii="Arial" w:eastAsia="Calibri" w:hAnsi="Arial" w:cs="Arial"/>
          <w:szCs w:val="22"/>
        </w:rPr>
      </w:pPr>
    </w:p>
    <w:p w14:paraId="7EF192C3" w14:textId="73BEACBC" w:rsidR="00493BC5" w:rsidRDefault="00493BC5" w:rsidP="00493BC5">
      <w:pPr>
        <w:pStyle w:val="Body"/>
        <w:spacing w:after="0"/>
        <w:rPr>
          <w:rFonts w:ascii="Arial" w:eastAsia="Calibri" w:hAnsi="Arial" w:cs="Arial"/>
          <w:szCs w:val="22"/>
        </w:rPr>
      </w:pPr>
      <w:r w:rsidRPr="00493BC5">
        <w:rPr>
          <w:rFonts w:ascii="Arial" w:eastAsia="Calibri" w:hAnsi="Arial" w:cs="Arial"/>
          <w:b/>
          <w:bCs/>
          <w:szCs w:val="22"/>
        </w:rPr>
        <w:t xml:space="preserve">Figure </w:t>
      </w:r>
      <w:r>
        <w:rPr>
          <w:rFonts w:ascii="Arial" w:eastAsia="Calibri" w:hAnsi="Arial" w:cs="Arial"/>
          <w:b/>
          <w:bCs/>
          <w:szCs w:val="22"/>
        </w:rPr>
        <w:t>3</w:t>
      </w:r>
      <w:r w:rsidRPr="00493BC5">
        <w:rPr>
          <w:rFonts w:ascii="Arial" w:eastAsia="Calibri" w:hAnsi="Arial" w:cs="Arial"/>
          <w:b/>
          <w:bCs/>
          <w:szCs w:val="22"/>
        </w:rPr>
        <w:t>.</w:t>
      </w:r>
      <w:r w:rsidRPr="00493BC5">
        <w:rPr>
          <w:rFonts w:ascii="Arial" w:eastAsia="Calibri" w:hAnsi="Arial" w:cs="Arial"/>
          <w:szCs w:val="22"/>
        </w:rPr>
        <w:t xml:space="preserve"> Axial MRI demonstrating an edematous contusion of the optic nerve before and after gadolinium contrast administration.</w:t>
      </w:r>
    </w:p>
    <w:p w14:paraId="1159D4DD" w14:textId="77777777" w:rsidR="00251BE4" w:rsidRPr="00251BE4" w:rsidRDefault="00251BE4" w:rsidP="00251BE4">
      <w:pPr>
        <w:pStyle w:val="Body"/>
        <w:spacing w:after="0"/>
        <w:rPr>
          <w:rFonts w:ascii="Arial" w:eastAsia="Calibri" w:hAnsi="Arial" w:cs="Arial"/>
          <w:szCs w:val="22"/>
        </w:rPr>
      </w:pPr>
      <w:r w:rsidRPr="00251BE4">
        <w:rPr>
          <w:rFonts w:ascii="Arial" w:eastAsia="Calibri" w:hAnsi="Arial" w:cs="Arial"/>
          <w:szCs w:val="22"/>
        </w:rPr>
        <w:t>Given these findings, a conservative approach with close observation was adopted. Follow-up at one month showed significant functional recovery in the right eye, with visual acuity improving to 10/10, while the left eye remained stable with only light perception.</w:t>
      </w:r>
    </w:p>
    <w:p w14:paraId="77D4C9AA" w14:textId="77777777" w:rsidR="00251BE4" w:rsidRDefault="00251BE4" w:rsidP="00441B6F">
      <w:pPr>
        <w:pStyle w:val="Body"/>
        <w:spacing w:after="0"/>
        <w:rPr>
          <w:rFonts w:ascii="Arial" w:eastAsia="Calibri" w:hAnsi="Arial" w:cs="Arial"/>
          <w:szCs w:val="22"/>
        </w:rPr>
      </w:pPr>
    </w:p>
    <w:p w14:paraId="30333433" w14:textId="77777777" w:rsidR="00790ADA" w:rsidRPr="00FB3A86" w:rsidRDefault="00790ADA" w:rsidP="00441B6F">
      <w:pPr>
        <w:pStyle w:val="Body"/>
        <w:spacing w:after="0"/>
        <w:rPr>
          <w:rFonts w:ascii="Arial" w:hAnsi="Arial" w:cs="Arial"/>
        </w:rPr>
      </w:pPr>
    </w:p>
    <w:p w14:paraId="37665E05" w14:textId="592E4238"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w:t>
      </w:r>
      <w:r>
        <w:rPr>
          <w:rFonts w:ascii="Arial" w:hAnsi="Arial" w:cs="Arial"/>
        </w:rPr>
        <w:t>discussion</w:t>
      </w:r>
    </w:p>
    <w:p w14:paraId="781E05A4" w14:textId="77777777" w:rsidR="00DA7038" w:rsidRDefault="00DA7038" w:rsidP="00441B6F">
      <w:pPr>
        <w:pStyle w:val="Body"/>
        <w:spacing w:after="0"/>
        <w:rPr>
          <w:rFonts w:ascii="Arial" w:hAnsi="Arial" w:cs="Arial"/>
        </w:rPr>
      </w:pPr>
    </w:p>
    <w:p w14:paraId="71058B2C" w14:textId="77777777" w:rsidR="00DA7038" w:rsidRPr="00DA7038" w:rsidRDefault="00DA7038" w:rsidP="00DA7038">
      <w:pPr>
        <w:pStyle w:val="Body"/>
        <w:spacing w:after="0"/>
        <w:rPr>
          <w:rFonts w:ascii="Arial" w:hAnsi="Arial" w:cs="Arial"/>
        </w:rPr>
      </w:pPr>
      <w:r w:rsidRPr="00DA7038">
        <w:rPr>
          <w:rFonts w:ascii="Arial" w:hAnsi="Arial" w:cs="Arial"/>
        </w:rPr>
        <w:t>Post-traumatic optic neuropathy predominantly affects young adults, most frequently males under the age of 30 who are victims of violent trauma. Road traffic accidents represent the leading cause, with loss of consciousness reported in approximately 45% of cases (</w:t>
      </w:r>
      <w:proofErr w:type="spellStart"/>
      <w:r w:rsidRPr="00DA7038">
        <w:rPr>
          <w:rFonts w:ascii="Arial" w:hAnsi="Arial" w:cs="Arial"/>
        </w:rPr>
        <w:t>Steinsapir</w:t>
      </w:r>
      <w:proofErr w:type="spellEnd"/>
      <w:r w:rsidRPr="00DA7038">
        <w:rPr>
          <w:rFonts w:ascii="Arial" w:hAnsi="Arial" w:cs="Arial"/>
        </w:rPr>
        <w:t xml:space="preserve"> &amp; Goldberg, 1994). The degree of visual impairment is highly variable and does not necessarily correlate with the severity of the trauma. Nevertheless, absence of light perception at presentation is observed in about 40% of cases, and initial visual acuity remains the most reliable predictor of final visual outcome (Levin et al., 1999).</w:t>
      </w:r>
    </w:p>
    <w:p w14:paraId="7CB910D1" w14:textId="77777777" w:rsidR="00DA7038" w:rsidRPr="00DA7038" w:rsidRDefault="00DA7038" w:rsidP="00DA7038">
      <w:pPr>
        <w:pStyle w:val="Body"/>
        <w:spacing w:after="0"/>
        <w:rPr>
          <w:rFonts w:ascii="Arial" w:hAnsi="Arial" w:cs="Arial"/>
        </w:rPr>
      </w:pPr>
      <w:r w:rsidRPr="00DA7038">
        <w:rPr>
          <w:rFonts w:ascii="Arial" w:hAnsi="Arial" w:cs="Arial"/>
        </w:rPr>
        <w:t>The pathophysiology of TON involves several possible mechanisms, including optic canal fracture, disruption of the optic nerve microvasculature, neuronal stretching, or direct contusion of the nerve (Anderson et al., 1982). In our patient, the findings were most consistent with an optic nerve contusion.</w:t>
      </w:r>
    </w:p>
    <w:p w14:paraId="62C7202E" w14:textId="77777777" w:rsidR="00DA7038" w:rsidRPr="00DA7038" w:rsidRDefault="00DA7038" w:rsidP="00DA7038">
      <w:pPr>
        <w:pStyle w:val="Body"/>
        <w:spacing w:after="0"/>
        <w:rPr>
          <w:rFonts w:ascii="Arial" w:hAnsi="Arial" w:cs="Arial"/>
        </w:rPr>
      </w:pPr>
      <w:r w:rsidRPr="00DA7038">
        <w:rPr>
          <w:rFonts w:ascii="Arial" w:hAnsi="Arial" w:cs="Arial"/>
        </w:rPr>
        <w:t>The management of TON remains controversial, and no universally accepted guidelines exist. Various therapeutic approaches have been proposed, including surgical decompression, high-dose corticosteroid therapy, or a combination of both. However, surgical decompression of the optic nerve within the canal has not been shown to provide a significant advantage over observation alone and carries the risk of iatrogenic complications (Spoor &amp; Hartel, 1990). Surgical intervention is generally reserved for specific cases, such as optic canal fractures with bone fragments compressing the nerve or hematomas of the optic sheath.</w:t>
      </w:r>
    </w:p>
    <w:p w14:paraId="0C2A611A" w14:textId="77777777" w:rsidR="00DA7038" w:rsidRPr="00DA7038" w:rsidRDefault="00DA7038" w:rsidP="00DA7038">
      <w:pPr>
        <w:pStyle w:val="Body"/>
        <w:spacing w:after="0"/>
        <w:rPr>
          <w:rFonts w:ascii="Arial" w:hAnsi="Arial" w:cs="Arial"/>
        </w:rPr>
      </w:pPr>
      <w:r w:rsidRPr="00DA7038">
        <w:rPr>
          <w:rFonts w:ascii="Arial" w:hAnsi="Arial" w:cs="Arial"/>
        </w:rPr>
        <w:t xml:space="preserve">Similarly, the role of systemic corticosteroids in the acute phase has been increasingly questioned. Since the recommendations of the International Optic Nerve Trauma Study (Levin et al., 1999), high-dose corticosteroid therapy has largely fallen out of favor. Its initial use was extrapolated from studies in spinal cord injury, but subsequent randomized controlled trials failed to demonstrate any consistent benefit in TON. Moreover, recent reports have highlighted potential harm; for example, </w:t>
      </w:r>
      <w:proofErr w:type="spellStart"/>
      <w:r w:rsidRPr="00DA7038">
        <w:rPr>
          <w:rFonts w:ascii="Arial" w:hAnsi="Arial" w:cs="Arial"/>
        </w:rPr>
        <w:t>Steinshapir</w:t>
      </w:r>
      <w:proofErr w:type="spellEnd"/>
      <w:r w:rsidRPr="00DA7038">
        <w:rPr>
          <w:rFonts w:ascii="Arial" w:hAnsi="Arial" w:cs="Arial"/>
        </w:rPr>
        <w:t xml:space="preserve"> (2020) emphasized that high-dose corticosteroids may even increase short-term mortality following head trauma.</w:t>
      </w:r>
    </w:p>
    <w:p w14:paraId="50DBD47F" w14:textId="77777777" w:rsidR="00DA7038" w:rsidRPr="00DA7038" w:rsidRDefault="00DA7038" w:rsidP="00DA7038">
      <w:pPr>
        <w:pStyle w:val="Body"/>
        <w:spacing w:after="0"/>
        <w:rPr>
          <w:rFonts w:ascii="Arial" w:hAnsi="Arial" w:cs="Arial"/>
        </w:rPr>
      </w:pPr>
      <w:r w:rsidRPr="00DA7038">
        <w:rPr>
          <w:rFonts w:ascii="Arial" w:hAnsi="Arial" w:cs="Arial"/>
        </w:rPr>
        <w:t>In our case, a conservative strategy of close clinical monitoring without intervention was chosen. Remarkably, the patient exhibited substantial visual recovery in the right eye, with visual acuity improving from light perception to 10/10 within one month, while the left eye remained stable at light perception. This spontaneous recovery further underscores the unpredictable natural course of TON and the need for individualized management strategies.</w:t>
      </w:r>
    </w:p>
    <w:p w14:paraId="046C7BE1" w14:textId="77777777" w:rsidR="00DA7038" w:rsidRDefault="00DA7038" w:rsidP="00441B6F">
      <w:pPr>
        <w:pStyle w:val="Body"/>
        <w:spacing w:after="0"/>
        <w:rPr>
          <w:rFonts w:ascii="Arial" w:hAnsi="Arial" w:cs="Arial"/>
        </w:rPr>
      </w:pPr>
    </w:p>
    <w:p w14:paraId="7DF41E4D" w14:textId="77777777" w:rsidR="00790ADA" w:rsidRPr="00FB3A86" w:rsidRDefault="00790ADA" w:rsidP="00441B6F">
      <w:pPr>
        <w:pStyle w:val="Body"/>
        <w:spacing w:after="0"/>
        <w:rPr>
          <w:rFonts w:ascii="Arial" w:hAnsi="Arial" w:cs="Arial"/>
        </w:rPr>
      </w:pPr>
    </w:p>
    <w:p w14:paraId="193B5DA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5853FF7" w14:textId="77777777" w:rsidR="00790ADA" w:rsidRPr="00FB3A86" w:rsidRDefault="00790ADA" w:rsidP="00441B6F">
      <w:pPr>
        <w:pStyle w:val="ConcHead"/>
        <w:spacing w:after="0"/>
        <w:jc w:val="both"/>
        <w:rPr>
          <w:rFonts w:ascii="Arial" w:hAnsi="Arial" w:cs="Arial"/>
        </w:rPr>
      </w:pPr>
    </w:p>
    <w:p w14:paraId="12212576" w14:textId="3B34915E" w:rsidR="00DA7038" w:rsidRDefault="00DA7038" w:rsidP="00DA7038">
      <w:pPr>
        <w:pStyle w:val="Body"/>
        <w:spacing w:after="0"/>
        <w:rPr>
          <w:rFonts w:ascii="Arial" w:hAnsi="Arial" w:cs="Arial"/>
        </w:rPr>
      </w:pPr>
      <w:r w:rsidRPr="00DA7038">
        <w:rPr>
          <w:rFonts w:ascii="Arial" w:hAnsi="Arial" w:cs="Arial"/>
        </w:rPr>
        <w:t>The management of post-traumatic optic neuropathy remains challenging and controversial. Current evidence discourages the use of high-dose systemic corticosteroids, as they appear to be ineffective and may even be associated with increased morbidity and mortality in patients with head trauma. Observation and individualized patient-centered management remain the most reasonable approach until more conclusive therapeutic strategies become available.</w:t>
      </w:r>
    </w:p>
    <w:p w14:paraId="3F95F0A7" w14:textId="77777777" w:rsidR="00DA7038" w:rsidRDefault="00DA7038" w:rsidP="00DA7038">
      <w:pPr>
        <w:pStyle w:val="Body"/>
        <w:spacing w:after="0"/>
        <w:rPr>
          <w:rFonts w:ascii="Arial" w:hAnsi="Arial" w:cs="Arial"/>
        </w:rPr>
      </w:pPr>
    </w:p>
    <w:p w14:paraId="6C28D599" w14:textId="77777777" w:rsidR="00983834" w:rsidRDefault="00983834" w:rsidP="00983834">
      <w:pPr>
        <w:pStyle w:val="Body"/>
        <w:rPr>
          <w:rFonts w:ascii="Arial" w:hAnsi="Arial" w:cs="Arial"/>
          <w:b/>
          <w:bCs/>
        </w:rPr>
      </w:pPr>
      <w:r w:rsidRPr="00DE2D13">
        <w:rPr>
          <w:rFonts w:ascii="Arial" w:hAnsi="Arial" w:cs="Arial"/>
          <w:b/>
          <w:bCs/>
        </w:rPr>
        <w:t>CONSENT</w:t>
      </w:r>
    </w:p>
    <w:p w14:paraId="75974ABC" w14:textId="77777777" w:rsidR="00983834" w:rsidRDefault="00983834" w:rsidP="00983834">
      <w:pPr>
        <w:pStyle w:val="Body"/>
        <w:rPr>
          <w:rFonts w:ascii="Arial" w:hAnsi="Arial" w:cs="Arial"/>
        </w:rPr>
      </w:pPr>
      <w:r w:rsidRPr="00E00D17">
        <w:rPr>
          <w:rFonts w:ascii="Arial" w:hAnsi="Arial" w:cs="Arial"/>
        </w:rPr>
        <w:lastRenderedPageBreak/>
        <w:t>All authors declare that ‘written informed consent was obtained from the patient for publication of this case report and accompanying images.</w:t>
      </w:r>
    </w:p>
    <w:p w14:paraId="0C970D77" w14:textId="1E4AE5DD" w:rsidR="00983834" w:rsidRPr="00E508BB" w:rsidRDefault="00983834" w:rsidP="00983834">
      <w:pPr>
        <w:pStyle w:val="Body"/>
        <w:rPr>
          <w:rFonts w:asciiTheme="minorBidi" w:hAnsiTheme="minorBidi" w:cstheme="minorBidi"/>
        </w:rPr>
      </w:pPr>
      <w:r w:rsidRPr="00E508BB">
        <w:rPr>
          <w:rFonts w:asciiTheme="minorBidi" w:hAnsiTheme="minorBidi" w:cstheme="minorBidi"/>
          <w:b/>
          <w:bCs/>
          <w:color w:val="2F312F"/>
          <w:bdr w:val="none" w:sz="0" w:space="0" w:color="auto" w:frame="1"/>
        </w:rPr>
        <w:t>DATA AVAILABILITY</w:t>
      </w:r>
    </w:p>
    <w:p w14:paraId="19EC3665" w14:textId="77777777" w:rsidR="00983834" w:rsidRPr="00E508BB" w:rsidRDefault="00983834" w:rsidP="00983834">
      <w:pPr>
        <w:pStyle w:val="Body"/>
        <w:rPr>
          <w:rFonts w:asciiTheme="minorBidi" w:hAnsiTheme="minorBidi" w:cstheme="minorBidi"/>
        </w:rPr>
      </w:pPr>
      <w:r>
        <w:rPr>
          <w:rFonts w:asciiTheme="minorBidi" w:hAnsiTheme="minorBidi" w:cstheme="minorBidi"/>
          <w:color w:val="2F312F"/>
        </w:rPr>
        <w:t>N</w:t>
      </w:r>
      <w:r w:rsidRPr="00E508BB">
        <w:rPr>
          <w:rFonts w:asciiTheme="minorBidi" w:hAnsiTheme="minorBidi" w:cstheme="minorBidi"/>
          <w:color w:val="2F312F"/>
        </w:rPr>
        <w:t>ot applicable </w:t>
      </w:r>
    </w:p>
    <w:p w14:paraId="15EF81F5" w14:textId="77777777" w:rsidR="00983834" w:rsidRPr="00DE2D13" w:rsidRDefault="00983834" w:rsidP="00983834">
      <w:pPr>
        <w:pStyle w:val="Body"/>
        <w:rPr>
          <w:rFonts w:ascii="Arial" w:hAnsi="Arial" w:cs="Arial"/>
          <w:b/>
          <w:bCs/>
        </w:rPr>
      </w:pPr>
      <w:r w:rsidRPr="00DE2D13">
        <w:rPr>
          <w:rFonts w:ascii="Arial" w:hAnsi="Arial" w:cs="Arial"/>
          <w:b/>
          <w:bCs/>
        </w:rPr>
        <w:t xml:space="preserve">ETHICAL APPROVAL </w:t>
      </w:r>
    </w:p>
    <w:p w14:paraId="20594F80" w14:textId="77777777" w:rsidR="00983834" w:rsidRDefault="00983834" w:rsidP="00983834">
      <w:pPr>
        <w:pStyle w:val="Body"/>
        <w:rPr>
          <w:rFonts w:ascii="Arial" w:hAnsi="Arial" w:cs="Arial"/>
        </w:rPr>
      </w:pPr>
      <w:r w:rsidRPr="00DE2D13">
        <w:rPr>
          <w:rFonts w:ascii="Arial" w:hAnsi="Arial" w:cs="Arial"/>
        </w:rPr>
        <w:t>As   per   international   standards   or   university standards   written   ethical   approval   has   been collected and preserved by the author(s).</w:t>
      </w:r>
    </w:p>
    <w:p w14:paraId="570926BA" w14:textId="77777777" w:rsidR="0034373E" w:rsidRDefault="0034373E" w:rsidP="00983834">
      <w:pPr>
        <w:pStyle w:val="Body"/>
        <w:rPr>
          <w:rFonts w:ascii="Arial" w:hAnsi="Arial" w:cs="Arial"/>
        </w:rPr>
      </w:pPr>
    </w:p>
    <w:p w14:paraId="69A1295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6BBB6D6" w14:textId="77777777" w:rsidR="00790ADA" w:rsidRPr="00FB3A86" w:rsidRDefault="00790ADA" w:rsidP="00441B6F">
      <w:pPr>
        <w:pStyle w:val="ReferHead"/>
        <w:spacing w:after="0"/>
        <w:jc w:val="both"/>
        <w:rPr>
          <w:rFonts w:ascii="Arial" w:hAnsi="Arial" w:cs="Arial"/>
        </w:rPr>
      </w:pPr>
    </w:p>
    <w:p w14:paraId="6AC1590E" w14:textId="76B7033B" w:rsidR="00194421" w:rsidRPr="00194421" w:rsidRDefault="00194421" w:rsidP="00194421">
      <w:pPr>
        <w:pStyle w:val="Body"/>
        <w:spacing w:after="0"/>
      </w:pPr>
      <w:r>
        <w:rPr>
          <w:lang w:val="fr-FR"/>
        </w:rPr>
        <w:t>-</w:t>
      </w:r>
      <w:proofErr w:type="spellStart"/>
      <w:r w:rsidRPr="00194421">
        <w:rPr>
          <w:lang w:val="fr-FR"/>
        </w:rPr>
        <w:t>Sabates</w:t>
      </w:r>
      <w:proofErr w:type="spellEnd"/>
      <w:r w:rsidRPr="00194421">
        <w:rPr>
          <w:lang w:val="fr-FR"/>
        </w:rPr>
        <w:t xml:space="preserve"> NR, </w:t>
      </w:r>
      <w:proofErr w:type="spellStart"/>
      <w:r w:rsidRPr="00194421">
        <w:rPr>
          <w:lang w:val="fr-FR"/>
        </w:rPr>
        <w:t>Gonce</w:t>
      </w:r>
      <w:proofErr w:type="spellEnd"/>
      <w:r w:rsidRPr="00194421">
        <w:rPr>
          <w:lang w:val="fr-FR"/>
        </w:rPr>
        <w:t xml:space="preserve"> MA, </w:t>
      </w:r>
      <w:proofErr w:type="spellStart"/>
      <w:r w:rsidRPr="00194421">
        <w:rPr>
          <w:lang w:val="fr-FR"/>
        </w:rPr>
        <w:t>Farris</w:t>
      </w:r>
      <w:proofErr w:type="spellEnd"/>
      <w:r w:rsidRPr="00194421">
        <w:rPr>
          <w:lang w:val="fr-FR"/>
        </w:rPr>
        <w:t xml:space="preserve"> BK. </w:t>
      </w:r>
      <w:r w:rsidRPr="00194421">
        <w:t xml:space="preserve">Neuro-ophthalmological findings in closed head trauma. </w:t>
      </w:r>
      <w:r w:rsidRPr="00194421">
        <w:rPr>
          <w:i/>
          <w:iCs/>
        </w:rPr>
        <w:t>J Clin Neuroophthalmol.</w:t>
      </w:r>
      <w:r w:rsidRPr="00194421">
        <w:t xml:space="preserve"> 1991;11(4):273–277.</w:t>
      </w:r>
    </w:p>
    <w:p w14:paraId="168253FE" w14:textId="1E4940BA" w:rsidR="00194421" w:rsidRPr="00194421" w:rsidRDefault="00194421" w:rsidP="00194421">
      <w:pPr>
        <w:pStyle w:val="Body"/>
        <w:spacing w:after="0"/>
      </w:pPr>
      <w:r>
        <w:t>-</w:t>
      </w:r>
      <w:r w:rsidRPr="00194421">
        <w:t xml:space="preserve">Roberts I, Yates D, Sandercock P, et al. Effect of intravenous corticosteroids on death within 14 days in 10,008 adults with clinically significant head injury (MRC CRASH trial): a </w:t>
      </w:r>
      <w:proofErr w:type="spellStart"/>
      <w:r w:rsidRPr="00194421">
        <w:t>randomised</w:t>
      </w:r>
      <w:proofErr w:type="spellEnd"/>
      <w:r w:rsidRPr="00194421">
        <w:t xml:space="preserve"> placebo-controlled trial. </w:t>
      </w:r>
      <w:r w:rsidRPr="00194421">
        <w:rPr>
          <w:i/>
          <w:iCs/>
        </w:rPr>
        <w:t>Lancet.</w:t>
      </w:r>
      <w:r w:rsidRPr="00194421">
        <w:t xml:space="preserve"> 2004;364(9442):1321–1328.</w:t>
      </w:r>
    </w:p>
    <w:p w14:paraId="20DCEBF3" w14:textId="00BC23E8" w:rsidR="00194421" w:rsidRPr="00194421" w:rsidRDefault="00194421" w:rsidP="00194421">
      <w:pPr>
        <w:pStyle w:val="Body"/>
        <w:spacing w:after="0"/>
      </w:pPr>
      <w:r>
        <w:t>-</w:t>
      </w:r>
      <w:proofErr w:type="spellStart"/>
      <w:r w:rsidRPr="00194421">
        <w:t>Rajiniganth</w:t>
      </w:r>
      <w:proofErr w:type="spellEnd"/>
      <w:r w:rsidRPr="00194421">
        <w:t xml:space="preserve"> MG, Gupta AK, Gupta A, </w:t>
      </w:r>
      <w:proofErr w:type="spellStart"/>
      <w:r w:rsidRPr="00194421">
        <w:t>Bapuraj</w:t>
      </w:r>
      <w:proofErr w:type="spellEnd"/>
      <w:r w:rsidRPr="00194421">
        <w:t xml:space="preserve"> JR. Traumatic optic neuropathy: visual outcome following a combined therapy protocol. </w:t>
      </w:r>
      <w:r w:rsidRPr="00194421">
        <w:rPr>
          <w:i/>
          <w:iCs/>
        </w:rPr>
        <w:t xml:space="preserve">Arch </w:t>
      </w:r>
      <w:proofErr w:type="spellStart"/>
      <w:r w:rsidRPr="00194421">
        <w:rPr>
          <w:i/>
          <w:iCs/>
        </w:rPr>
        <w:t>Otolaryngol</w:t>
      </w:r>
      <w:proofErr w:type="spellEnd"/>
      <w:r w:rsidRPr="00194421">
        <w:rPr>
          <w:i/>
          <w:iCs/>
        </w:rPr>
        <w:t xml:space="preserve"> Head Neck Surg.</w:t>
      </w:r>
      <w:r w:rsidRPr="00194421">
        <w:t xml:space="preserve"> 2003;129(11):1203–1206.</w:t>
      </w:r>
    </w:p>
    <w:p w14:paraId="5654975A" w14:textId="7D32AF96" w:rsidR="00194421" w:rsidRPr="00194421" w:rsidRDefault="00194421" w:rsidP="00194421">
      <w:pPr>
        <w:pStyle w:val="Body"/>
        <w:spacing w:after="0"/>
      </w:pPr>
      <w:r>
        <w:t>-</w:t>
      </w:r>
      <w:r w:rsidRPr="00194421">
        <w:t xml:space="preserve">Levin LA, Beck RW, Joseph MP, Seiff S, Kraker R; International Optic Nerve Trauma Study Group. The treatment of traumatic optic neuropathy: </w:t>
      </w:r>
      <w:proofErr w:type="gramStart"/>
      <w:r w:rsidRPr="00194421">
        <w:t>the</w:t>
      </w:r>
      <w:proofErr w:type="gramEnd"/>
      <w:r w:rsidRPr="00194421">
        <w:t xml:space="preserve"> International Optic Nerve Trauma Study. </w:t>
      </w:r>
      <w:r w:rsidRPr="00194421">
        <w:rPr>
          <w:i/>
          <w:iCs/>
        </w:rPr>
        <w:t>Ophthalmology.</w:t>
      </w:r>
      <w:r w:rsidRPr="00194421">
        <w:t xml:space="preserve"> 1999;106(7):1268–1277.</w:t>
      </w:r>
    </w:p>
    <w:p w14:paraId="42E8D498" w14:textId="33AC63F2" w:rsidR="00194421" w:rsidRPr="00194421" w:rsidRDefault="00194421" w:rsidP="00194421">
      <w:pPr>
        <w:pStyle w:val="Body"/>
        <w:spacing w:after="0"/>
        <w:rPr>
          <w:lang w:val="fr-FR"/>
        </w:rPr>
      </w:pPr>
      <w:r>
        <w:rPr>
          <w:lang w:val="fr-FR"/>
        </w:rPr>
        <w:t>-</w:t>
      </w:r>
      <w:proofErr w:type="spellStart"/>
      <w:r w:rsidRPr="00194421">
        <w:rPr>
          <w:lang w:val="fr-FR"/>
        </w:rPr>
        <w:t>Milea</w:t>
      </w:r>
      <w:proofErr w:type="spellEnd"/>
      <w:r w:rsidRPr="00194421">
        <w:rPr>
          <w:lang w:val="fr-FR"/>
        </w:rPr>
        <w:t xml:space="preserve"> D. Neuropathie optique post-</w:t>
      </w:r>
      <w:proofErr w:type="gramStart"/>
      <w:r w:rsidRPr="00194421">
        <w:rPr>
          <w:lang w:val="fr-FR"/>
        </w:rPr>
        <w:t>traumatique:</w:t>
      </w:r>
      <w:proofErr w:type="gramEnd"/>
      <w:r w:rsidRPr="00194421">
        <w:rPr>
          <w:lang w:val="fr-FR"/>
        </w:rPr>
        <w:t xml:space="preserve"> faut-il éviter la corticothérapie à hautes doses? </w:t>
      </w:r>
      <w:r w:rsidRPr="00194421">
        <w:rPr>
          <w:i/>
          <w:iCs/>
          <w:lang w:val="fr-FR"/>
        </w:rPr>
        <w:t xml:space="preserve">J Fr </w:t>
      </w:r>
      <w:proofErr w:type="spellStart"/>
      <w:r w:rsidRPr="00194421">
        <w:rPr>
          <w:i/>
          <w:iCs/>
          <w:lang w:val="fr-FR"/>
        </w:rPr>
        <w:t>Ophtalmol</w:t>
      </w:r>
      <w:proofErr w:type="spellEnd"/>
      <w:r w:rsidRPr="00194421">
        <w:rPr>
          <w:i/>
          <w:iCs/>
          <w:lang w:val="fr-FR"/>
        </w:rPr>
        <w:t>.</w:t>
      </w:r>
      <w:r w:rsidRPr="00194421">
        <w:rPr>
          <w:lang w:val="fr-FR"/>
        </w:rPr>
        <w:t xml:space="preserve"> </w:t>
      </w:r>
      <w:proofErr w:type="gramStart"/>
      <w:r w:rsidRPr="00194421">
        <w:rPr>
          <w:lang w:val="fr-FR"/>
        </w:rPr>
        <w:t>2006;</w:t>
      </w:r>
      <w:proofErr w:type="gramEnd"/>
      <w:r w:rsidRPr="00194421">
        <w:rPr>
          <w:lang w:val="fr-FR"/>
        </w:rPr>
        <w:t>29(7):757–761.</w:t>
      </w:r>
    </w:p>
    <w:p w14:paraId="2109977D" w14:textId="77777777" w:rsidR="00194421" w:rsidRPr="00194421" w:rsidRDefault="00194421" w:rsidP="00441B6F">
      <w:pPr>
        <w:pStyle w:val="Body"/>
        <w:spacing w:after="0"/>
        <w:rPr>
          <w:lang w:val="fr-FR"/>
        </w:rPr>
      </w:pPr>
    </w:p>
    <w:p w14:paraId="1C093445" w14:textId="77777777" w:rsidR="00194421" w:rsidRPr="00194421" w:rsidRDefault="00194421" w:rsidP="00441B6F">
      <w:pPr>
        <w:pStyle w:val="Body"/>
        <w:spacing w:after="0"/>
        <w:rPr>
          <w:lang w:val="fr-FR"/>
        </w:rPr>
      </w:pPr>
    </w:p>
    <w:p w14:paraId="6116700C" w14:textId="77777777" w:rsidR="00194421" w:rsidRPr="00194421" w:rsidRDefault="00194421" w:rsidP="00441B6F">
      <w:pPr>
        <w:pStyle w:val="Body"/>
        <w:spacing w:after="0"/>
        <w:rPr>
          <w:lang w:val="fr-FR"/>
        </w:rPr>
      </w:pPr>
    </w:p>
    <w:sectPr w:rsidR="00194421" w:rsidRPr="00194421" w:rsidSect="006A725C">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5CAE4" w14:textId="77777777" w:rsidR="000E1893" w:rsidRDefault="000E1893" w:rsidP="00C37E61">
      <w:r>
        <w:separator/>
      </w:r>
    </w:p>
  </w:endnote>
  <w:endnote w:type="continuationSeparator" w:id="0">
    <w:p w14:paraId="7A5A2CF7" w14:textId="77777777" w:rsidR="000E1893" w:rsidRDefault="000E189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0D355" w14:textId="77777777" w:rsidR="00BE1A6D" w:rsidRDefault="00BE1A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AC9A2" w14:textId="77777777" w:rsidR="00BE1A6D" w:rsidRDefault="00BE1A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E558C" w14:textId="77777777" w:rsidR="009E048A" w:rsidRDefault="009E048A">
    <w:pPr>
      <w:pStyle w:val="Footer"/>
      <w:rPr>
        <w:rFonts w:ascii="Arial" w:hAnsi="Arial" w:cs="Arial"/>
        <w:sz w:val="16"/>
      </w:rPr>
    </w:pPr>
  </w:p>
  <w:p w14:paraId="0E14DC7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15982D6" w14:textId="77777777" w:rsidR="009E048A" w:rsidRDefault="009E048A">
    <w:pPr>
      <w:pStyle w:val="Footer"/>
      <w:rPr>
        <w:rFonts w:ascii="Arial" w:hAnsi="Arial" w:cs="Arial"/>
        <w:sz w:val="16"/>
      </w:rPr>
    </w:pPr>
  </w:p>
  <w:p w14:paraId="71FD36E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8232A" w14:textId="77777777" w:rsidR="000E1893" w:rsidRDefault="000E1893" w:rsidP="00C37E61">
      <w:r>
        <w:separator/>
      </w:r>
    </w:p>
  </w:footnote>
  <w:footnote w:type="continuationSeparator" w:id="0">
    <w:p w14:paraId="4864D0FD" w14:textId="77777777" w:rsidR="000E1893" w:rsidRDefault="000E189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86EAD" w14:textId="3729F934" w:rsidR="00BE1A6D" w:rsidRDefault="00BE1A6D">
    <w:pPr>
      <w:pStyle w:val="Header"/>
    </w:pPr>
    <w:r>
      <w:rPr>
        <w:noProof/>
      </w:rPr>
      <w:pict w14:anchorId="4DA111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463BE" w14:textId="3CC82BAA" w:rsidR="00BE1A6D" w:rsidRDefault="00BE1A6D">
    <w:pPr>
      <w:pStyle w:val="Header"/>
    </w:pPr>
    <w:r>
      <w:rPr>
        <w:noProof/>
      </w:rPr>
      <w:pict w14:anchorId="24571B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17E59" w14:textId="49586E16" w:rsidR="00296529" w:rsidRPr="00296529" w:rsidRDefault="00BE1A6D" w:rsidP="00296529">
    <w:pPr>
      <w:ind w:left="2160"/>
      <w:jc w:val="center"/>
      <w:rPr>
        <w:rFonts w:ascii="Times New Roman" w:eastAsia="Calibri" w:hAnsi="Times New Roman"/>
        <w:i/>
        <w:sz w:val="18"/>
        <w:szCs w:val="22"/>
      </w:rPr>
    </w:pPr>
    <w:r>
      <w:rPr>
        <w:noProof/>
      </w:rPr>
      <w:pict w14:anchorId="009E05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D08F3C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B7CCBC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DA314E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46663F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1610D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48FCEB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C66D27"/>
    <w:multiLevelType w:val="multilevel"/>
    <w:tmpl w:val="5C4E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465C1"/>
    <w:multiLevelType w:val="hybridMultilevel"/>
    <w:tmpl w:val="AAA874B8"/>
    <w:numStyleLink w:val="Style1import"/>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1A75CEA"/>
    <w:multiLevelType w:val="hybridMultilevel"/>
    <w:tmpl w:val="AAA874B8"/>
    <w:styleLink w:val="Style1import"/>
    <w:lvl w:ilvl="0" w:tplc="2D14A7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6A793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FED0C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98379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D87E4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182E96">
      <w:start w:val="1"/>
      <w:numFmt w:val="bullet"/>
      <w:lvlText w:val="▪"/>
      <w:lvlJc w:val="left"/>
      <w:pPr>
        <w:tabs>
          <w:tab w:val="left" w:pos="360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C8668E">
      <w:start w:val="1"/>
      <w:numFmt w:val="bullet"/>
      <w:lvlText w:val="▪"/>
      <w:lvlJc w:val="left"/>
      <w:pPr>
        <w:tabs>
          <w:tab w:val="left" w:pos="360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444F40">
      <w:start w:val="1"/>
      <w:numFmt w:val="bullet"/>
      <w:lvlText w:val="▪"/>
      <w:lvlJc w:val="left"/>
      <w:pPr>
        <w:tabs>
          <w:tab w:val="left" w:pos="360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AE6C9C">
      <w:start w:val="1"/>
      <w:numFmt w:val="bullet"/>
      <w:lvlText w:val="▪"/>
      <w:lvlJc w:val="left"/>
      <w:pPr>
        <w:tabs>
          <w:tab w:val="left" w:pos="360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6"/>
  </w:num>
  <w:num w:numId="19">
    <w:abstractNumId w:val="31"/>
  </w:num>
  <w:num w:numId="20">
    <w:abstractNumId w:val="13"/>
  </w:num>
  <w:num w:numId="21">
    <w:abstractNumId w:val="10"/>
  </w:num>
  <w:num w:numId="22">
    <w:abstractNumId w:val="15"/>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8"/>
  </w:num>
  <w:num w:numId="32">
    <w:abstractNumId w:val="17"/>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2949"/>
    <w:rsid w:val="0004579C"/>
    <w:rsid w:val="0006507B"/>
    <w:rsid w:val="000A47FA"/>
    <w:rsid w:val="000A65D3"/>
    <w:rsid w:val="000B1E33"/>
    <w:rsid w:val="000D689F"/>
    <w:rsid w:val="000E1893"/>
    <w:rsid w:val="000E7B7B"/>
    <w:rsid w:val="000E7D62"/>
    <w:rsid w:val="00103357"/>
    <w:rsid w:val="00123C9F"/>
    <w:rsid w:val="00126190"/>
    <w:rsid w:val="00130F17"/>
    <w:rsid w:val="001320BF"/>
    <w:rsid w:val="00163BC4"/>
    <w:rsid w:val="00191062"/>
    <w:rsid w:val="00192B72"/>
    <w:rsid w:val="00194421"/>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1BE4"/>
    <w:rsid w:val="002556F6"/>
    <w:rsid w:val="00283105"/>
    <w:rsid w:val="00284C4C"/>
    <w:rsid w:val="00287E68"/>
    <w:rsid w:val="00296529"/>
    <w:rsid w:val="002B27FB"/>
    <w:rsid w:val="002B685A"/>
    <w:rsid w:val="002C57D2"/>
    <w:rsid w:val="002E0D56"/>
    <w:rsid w:val="00315186"/>
    <w:rsid w:val="0033343E"/>
    <w:rsid w:val="003437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268DD"/>
    <w:rsid w:val="00440F43"/>
    <w:rsid w:val="00441B6F"/>
    <w:rsid w:val="00446221"/>
    <w:rsid w:val="00450E62"/>
    <w:rsid w:val="004539DB"/>
    <w:rsid w:val="00471A80"/>
    <w:rsid w:val="0047416A"/>
    <w:rsid w:val="00493BC5"/>
    <w:rsid w:val="004D305E"/>
    <w:rsid w:val="004D4277"/>
    <w:rsid w:val="00501972"/>
    <w:rsid w:val="00502516"/>
    <w:rsid w:val="00505F06"/>
    <w:rsid w:val="00506828"/>
    <w:rsid w:val="0053056E"/>
    <w:rsid w:val="00554FDA"/>
    <w:rsid w:val="005A2FAA"/>
    <w:rsid w:val="005C784C"/>
    <w:rsid w:val="005D17F6"/>
    <w:rsid w:val="005E5539"/>
    <w:rsid w:val="00602BF5"/>
    <w:rsid w:val="00617FDD"/>
    <w:rsid w:val="00633614"/>
    <w:rsid w:val="00633F68"/>
    <w:rsid w:val="00636EB2"/>
    <w:rsid w:val="006375B8"/>
    <w:rsid w:val="0066510A"/>
    <w:rsid w:val="00673F9F"/>
    <w:rsid w:val="00674255"/>
    <w:rsid w:val="00686953"/>
    <w:rsid w:val="00687DEA"/>
    <w:rsid w:val="00687E67"/>
    <w:rsid w:val="006918AC"/>
    <w:rsid w:val="006967F7"/>
    <w:rsid w:val="006A250C"/>
    <w:rsid w:val="006A725C"/>
    <w:rsid w:val="006B21D3"/>
    <w:rsid w:val="006B406B"/>
    <w:rsid w:val="006B57D0"/>
    <w:rsid w:val="006D30FF"/>
    <w:rsid w:val="006D6940"/>
    <w:rsid w:val="006F11EC"/>
    <w:rsid w:val="006F6B33"/>
    <w:rsid w:val="0070082C"/>
    <w:rsid w:val="007369E6"/>
    <w:rsid w:val="00746E59"/>
    <w:rsid w:val="00754C9A"/>
    <w:rsid w:val="0075599A"/>
    <w:rsid w:val="00761D52"/>
    <w:rsid w:val="00762251"/>
    <w:rsid w:val="0077749E"/>
    <w:rsid w:val="00790ADA"/>
    <w:rsid w:val="007D2288"/>
    <w:rsid w:val="007E088F"/>
    <w:rsid w:val="007F7B32"/>
    <w:rsid w:val="00804BC2"/>
    <w:rsid w:val="0081431A"/>
    <w:rsid w:val="0083216F"/>
    <w:rsid w:val="00860000"/>
    <w:rsid w:val="00863BD3"/>
    <w:rsid w:val="008641ED"/>
    <w:rsid w:val="00866D66"/>
    <w:rsid w:val="008671C6"/>
    <w:rsid w:val="0087008F"/>
    <w:rsid w:val="00875803"/>
    <w:rsid w:val="00881E92"/>
    <w:rsid w:val="008B459E"/>
    <w:rsid w:val="008E13AE"/>
    <w:rsid w:val="008E1506"/>
    <w:rsid w:val="008E710C"/>
    <w:rsid w:val="008F69D6"/>
    <w:rsid w:val="00902823"/>
    <w:rsid w:val="00915CA6"/>
    <w:rsid w:val="00924E75"/>
    <w:rsid w:val="00927834"/>
    <w:rsid w:val="009500A6"/>
    <w:rsid w:val="00957A82"/>
    <w:rsid w:val="00957C18"/>
    <w:rsid w:val="009659BA"/>
    <w:rsid w:val="00983040"/>
    <w:rsid w:val="00983834"/>
    <w:rsid w:val="009861CA"/>
    <w:rsid w:val="009B3FB9"/>
    <w:rsid w:val="009C2465"/>
    <w:rsid w:val="009D35A0"/>
    <w:rsid w:val="009D66FF"/>
    <w:rsid w:val="009D7EB7"/>
    <w:rsid w:val="009E048A"/>
    <w:rsid w:val="009E08E9"/>
    <w:rsid w:val="009E3DB9"/>
    <w:rsid w:val="009E6E35"/>
    <w:rsid w:val="009F0EDA"/>
    <w:rsid w:val="009F119C"/>
    <w:rsid w:val="00A03B96"/>
    <w:rsid w:val="00A05B19"/>
    <w:rsid w:val="00A1134E"/>
    <w:rsid w:val="00A24E7E"/>
    <w:rsid w:val="00A258C3"/>
    <w:rsid w:val="00A347C0"/>
    <w:rsid w:val="00A51431"/>
    <w:rsid w:val="00A539AD"/>
    <w:rsid w:val="00A94063"/>
    <w:rsid w:val="00A9616D"/>
    <w:rsid w:val="00A97DCB"/>
    <w:rsid w:val="00AA6219"/>
    <w:rsid w:val="00AA74E0"/>
    <w:rsid w:val="00AB703F"/>
    <w:rsid w:val="00AC6BB8"/>
    <w:rsid w:val="00AC7E01"/>
    <w:rsid w:val="00AE008F"/>
    <w:rsid w:val="00AF49A2"/>
    <w:rsid w:val="00B01FCD"/>
    <w:rsid w:val="00B1776C"/>
    <w:rsid w:val="00B4292D"/>
    <w:rsid w:val="00B52583"/>
    <w:rsid w:val="00B52896"/>
    <w:rsid w:val="00B7419A"/>
    <w:rsid w:val="00B95236"/>
    <w:rsid w:val="00B96BD9"/>
    <w:rsid w:val="00BA1B01"/>
    <w:rsid w:val="00BA2641"/>
    <w:rsid w:val="00BB37AA"/>
    <w:rsid w:val="00BC53A0"/>
    <w:rsid w:val="00BE1A6D"/>
    <w:rsid w:val="00BE62AD"/>
    <w:rsid w:val="00BF121F"/>
    <w:rsid w:val="00BF1F80"/>
    <w:rsid w:val="00C166EF"/>
    <w:rsid w:val="00C17EB0"/>
    <w:rsid w:val="00C27F5F"/>
    <w:rsid w:val="00C30A0F"/>
    <w:rsid w:val="00C32F1C"/>
    <w:rsid w:val="00C37E61"/>
    <w:rsid w:val="00C70F1B"/>
    <w:rsid w:val="00C71A47"/>
    <w:rsid w:val="00C7464C"/>
    <w:rsid w:val="00C85588"/>
    <w:rsid w:val="00CB4925"/>
    <w:rsid w:val="00CD6755"/>
    <w:rsid w:val="00CD6856"/>
    <w:rsid w:val="00CE0089"/>
    <w:rsid w:val="00CE793C"/>
    <w:rsid w:val="00CF193C"/>
    <w:rsid w:val="00D173F1"/>
    <w:rsid w:val="00D23523"/>
    <w:rsid w:val="00D74CB0"/>
    <w:rsid w:val="00D8295D"/>
    <w:rsid w:val="00DA7038"/>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0D3D"/>
    <w:rsid w:val="00EA012C"/>
    <w:rsid w:val="00EC6A55"/>
    <w:rsid w:val="00ED0288"/>
    <w:rsid w:val="00EE52CB"/>
    <w:rsid w:val="00EF014E"/>
    <w:rsid w:val="00EF581D"/>
    <w:rsid w:val="00EF7FD8"/>
    <w:rsid w:val="00F06F59"/>
    <w:rsid w:val="00F17988"/>
    <w:rsid w:val="00F469F0"/>
    <w:rsid w:val="00F53273"/>
    <w:rsid w:val="00F556DA"/>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D7FED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6225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924E75"/>
    <w:rPr>
      <w:rFonts w:ascii="Times New Roman" w:hAnsi="Times New Roman"/>
      <w:sz w:val="24"/>
      <w:szCs w:val="24"/>
    </w:rPr>
  </w:style>
  <w:style w:type="character" w:customStyle="1" w:styleId="Aucun">
    <w:name w:val="Aucun"/>
    <w:rsid w:val="00983834"/>
    <w:rPr>
      <w:lang w:val="fr-FR"/>
    </w:rPr>
  </w:style>
  <w:style w:type="paragraph" w:customStyle="1" w:styleId="Corps">
    <w:name w:val="Corps"/>
    <w:rsid w:val="00983834"/>
    <w:pPr>
      <w:pBdr>
        <w:top w:val="nil"/>
        <w:left w:val="nil"/>
        <w:bottom w:val="nil"/>
        <w:right w:val="nil"/>
        <w:between w:val="nil"/>
        <w:bar w:val="nil"/>
      </w:pBdr>
    </w:pPr>
    <w:rPr>
      <w:rFonts w:eastAsia="Arial Unicode MS" w:cs="Arial Unicode MS"/>
      <w:color w:val="000000"/>
      <w:sz w:val="24"/>
      <w:szCs w:val="24"/>
      <w:u w:color="000000"/>
      <w:bdr w:val="nil"/>
      <w:lang w:val="fr-FR" w:eastAsia="fr-FR"/>
    </w:rPr>
  </w:style>
  <w:style w:type="numbering" w:customStyle="1" w:styleId="Style1import">
    <w:name w:val="Style 1 importé"/>
    <w:rsid w:val="00983834"/>
    <w:pPr>
      <w:numPr>
        <w:numId w:val="32"/>
      </w:numPr>
    </w:pPr>
  </w:style>
  <w:style w:type="character" w:customStyle="1" w:styleId="Hyperlink0">
    <w:name w:val="Hyperlink.0"/>
    <w:basedOn w:val="DefaultParagraphFont"/>
    <w:rsid w:val="00983834"/>
    <w:rPr>
      <w:color w:val="0563C1"/>
      <w:kern w:val="0"/>
      <w:u w:val="single" w:color="0563C1"/>
      <w:lang w:val="en-US"/>
    </w:rPr>
  </w:style>
  <w:style w:type="character" w:customStyle="1" w:styleId="Heading3Char">
    <w:name w:val="Heading 3 Char"/>
    <w:basedOn w:val="DefaultParagraphFont"/>
    <w:link w:val="Heading3"/>
    <w:semiHidden/>
    <w:rsid w:val="00762251"/>
    <w:rPr>
      <w:rFonts w:asciiTheme="majorHAnsi" w:eastAsiaTheme="majorEastAsia" w:hAnsiTheme="majorHAnsi" w:cstheme="majorBidi"/>
      <w:color w:val="243F60" w:themeColor="accent1" w:themeShade="7F"/>
      <w:sz w:val="24"/>
      <w:szCs w:val="24"/>
    </w:rPr>
  </w:style>
  <w:style w:type="character" w:customStyle="1" w:styleId="go">
    <w:name w:val="go"/>
    <w:basedOn w:val="DefaultParagraphFont"/>
    <w:rsid w:val="00762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643AD-F646-4718-B6F0-41C453646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106</TotalTime>
  <Pages>5</Pages>
  <Words>1481</Words>
  <Characters>8442</Characters>
  <Application>Microsoft Office Word</Application>
  <DocSecurity>0</DocSecurity>
  <Lines>70</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9904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39</cp:revision>
  <cp:lastPrinted>1999-07-06T11:00:00Z</cp:lastPrinted>
  <dcterms:created xsi:type="dcterms:W3CDTF">2025-08-22T17:14:00Z</dcterms:created>
  <dcterms:modified xsi:type="dcterms:W3CDTF">2025-08-23T06:24:00Z</dcterms:modified>
</cp:coreProperties>
</file>