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837C48" w14:textId="77777777" w:rsidR="002B2C2A" w:rsidRPr="00684BFC" w:rsidRDefault="002B2C2A" w:rsidP="00701309">
      <w:pPr>
        <w:jc w:val="right"/>
        <w:rPr>
          <w:rFonts w:ascii="Arial" w:hAnsi="Arial" w:cs="Arial"/>
          <w:b/>
          <w:bCs/>
          <w:sz w:val="36"/>
          <w:szCs w:val="36"/>
        </w:rPr>
      </w:pPr>
      <w:r w:rsidRPr="00684BFC">
        <w:rPr>
          <w:rFonts w:ascii="Arial" w:hAnsi="Arial" w:cs="Arial"/>
          <w:b/>
          <w:bCs/>
          <w:sz w:val="36"/>
          <w:szCs w:val="36"/>
        </w:rPr>
        <w:t xml:space="preserve">Toxicological profile of </w:t>
      </w:r>
      <w:r w:rsidRPr="00684BFC">
        <w:rPr>
          <w:rFonts w:ascii="Arial" w:hAnsi="Arial" w:cs="Arial"/>
          <w:b/>
          <w:bCs/>
          <w:i/>
          <w:iCs/>
          <w:sz w:val="36"/>
          <w:szCs w:val="36"/>
        </w:rPr>
        <w:t>Jatropha curcas</w:t>
      </w:r>
      <w:r w:rsidRPr="00684BFC">
        <w:rPr>
          <w:rFonts w:ascii="Arial" w:hAnsi="Arial" w:cs="Arial"/>
          <w:b/>
          <w:bCs/>
          <w:sz w:val="36"/>
          <w:szCs w:val="36"/>
        </w:rPr>
        <w:t xml:space="preserve"> leaf extracts used in the traditional management of oxidative stress-related disorders</w:t>
      </w:r>
    </w:p>
    <w:p w14:paraId="3A43F883" w14:textId="7A07BD35" w:rsidR="0048263D" w:rsidRDefault="0048263D" w:rsidP="00701309">
      <w:pPr>
        <w:jc w:val="right"/>
        <w:rPr>
          <w:b/>
          <w:bCs/>
        </w:rPr>
      </w:pPr>
    </w:p>
    <w:p w14:paraId="15F28E78" w14:textId="77777777" w:rsidR="0052028C" w:rsidRPr="00ED62A6" w:rsidRDefault="0052028C" w:rsidP="00701309">
      <w:pPr>
        <w:jc w:val="right"/>
        <w:rPr>
          <w:b/>
          <w:bCs/>
        </w:rPr>
      </w:pPr>
      <w:bookmarkStart w:id="0" w:name="_GoBack"/>
      <w:bookmarkEnd w:id="0"/>
    </w:p>
    <w:p w14:paraId="62E74E56" w14:textId="77777777" w:rsidR="004E57E6" w:rsidRPr="00027222" w:rsidRDefault="00027222" w:rsidP="004E57E6">
      <w:pPr>
        <w:rPr>
          <w:rFonts w:ascii="Arial" w:hAnsi="Arial" w:cs="Arial"/>
          <w:b/>
          <w:bCs/>
        </w:rPr>
      </w:pPr>
      <w:r w:rsidRPr="00027222">
        <w:rPr>
          <w:rFonts w:ascii="Arial" w:hAnsi="Arial" w:cs="Arial"/>
          <w:b/>
          <w:bCs/>
        </w:rPr>
        <w:t>ABSTRACT</w:t>
      </w:r>
    </w:p>
    <w:p w14:paraId="5EB524C3" w14:textId="77777777" w:rsidR="00F71CBF" w:rsidRPr="00F71CBF" w:rsidRDefault="00F71CBF" w:rsidP="00F71CBF">
      <w:pPr>
        <w:jc w:val="both"/>
      </w:pPr>
      <w:r w:rsidRPr="00F71CBF">
        <w:t xml:space="preserve">Oxidative stress plays a central role in the development of several chronic diseases, including cardiovascular disorders, diabetes, cancer, and sickle cell disease. In sub-Saharan Africa, traditional medicine remains a widely used therapeutic alternative, with medicinal plants being extensively used to treat these conditions. Jatropha curcas is traditionally used for its potential health </w:t>
      </w:r>
      <w:proofErr w:type="gramStart"/>
      <w:r w:rsidRPr="00F71CBF">
        <w:t>benefits;</w:t>
      </w:r>
      <w:proofErr w:type="gramEnd"/>
      <w:r w:rsidRPr="00F71CBF">
        <w:t xml:space="preserve"> however, scientific data on its safety are still limited. This study aimed to evaluate the acute and subacute toxicity of Jatropha curcas leaf extracts in Wistar rats. The extracts were administered orally in single doses of 5000 mg/kg body weight and </w:t>
      </w:r>
      <w:proofErr w:type="gramStart"/>
      <w:r w:rsidRPr="00F71CBF">
        <w:t>repeated</w:t>
      </w:r>
      <w:proofErr w:type="gramEnd"/>
      <w:r w:rsidRPr="00F71CBF">
        <w:t xml:space="preserve"> doses of 500, 750, and 1000 mg/body weight, followed by clinical observations and biochemical, hematological, and histopathological evaluations. No deaths or obvious signs of toxicity were recorded. The median lethal dose (LD₅₀) was estimated at over 5,000 mg/kg body weight, indicating low acute toxicity.</w:t>
      </w:r>
      <w:r w:rsidRPr="00F71CBF">
        <w:rPr>
          <w:rFonts w:ascii="Times New Roman" w:eastAsia="Times New Roman" w:hAnsi="Times New Roman" w:cs="Times New Roman"/>
          <w:kern w:val="0"/>
          <w:lang w:eastAsia="fr-FR"/>
          <w14:ligatures w14:val="none"/>
        </w:rPr>
        <w:t xml:space="preserve"> </w:t>
      </w:r>
      <w:r w:rsidRPr="00F71CBF">
        <w:t>Subacute administration induced slight biochemical variations. With regard to biochemical parameters, daily administration of the extract revealed an increase in ALT at doses of 500, 750, and 1000 mg/kg and urea levels at doses of 750 and 1000 mg/kg body weight. However, these slight variations were not accompanied by significant histological alterations in the liver and kidneys. These results suggest that Jatropha curcas leaf extracts have a wide margin of safety, confirming their traditional use. Nevertheless, further clinical and long-term studies are needed to confirm their safety profile.</w:t>
      </w:r>
    </w:p>
    <w:p w14:paraId="66503FC7" w14:textId="77777777" w:rsidR="00F71CBF" w:rsidRDefault="00F71CBF" w:rsidP="004E57E6">
      <w:pPr>
        <w:rPr>
          <w:b/>
          <w:bCs/>
        </w:rPr>
      </w:pPr>
    </w:p>
    <w:p w14:paraId="2FABA78F" w14:textId="77777777" w:rsidR="006B1D20" w:rsidRDefault="00ED62A6" w:rsidP="004E57E6">
      <w:pPr>
        <w:rPr>
          <w:rFonts w:cstheme="minorHAnsi"/>
        </w:rPr>
      </w:pPr>
      <w:r>
        <w:rPr>
          <w:b/>
          <w:bCs/>
        </w:rPr>
        <w:t>Keywords</w:t>
      </w:r>
      <w:r w:rsidR="00F71CBF">
        <w:rPr>
          <w:b/>
          <w:bCs/>
        </w:rPr>
        <w:t xml:space="preserve"> : </w:t>
      </w:r>
      <w:r w:rsidR="00F074E1" w:rsidRPr="00F074E1">
        <w:rPr>
          <w:i/>
          <w:iCs/>
        </w:rPr>
        <w:t>Jatropha curcas</w:t>
      </w:r>
      <w:r w:rsidR="00F074E1" w:rsidRPr="00F074E1">
        <w:t> ; acute toxicity ; subacute toxicity</w:t>
      </w:r>
      <w:proofErr w:type="gramStart"/>
      <w:r w:rsidR="00F074E1" w:rsidRPr="00F074E1">
        <w:t> ;</w:t>
      </w:r>
      <w:r w:rsidR="00253FA8">
        <w:t>Oxidative</w:t>
      </w:r>
      <w:proofErr w:type="gramEnd"/>
      <w:r w:rsidR="00253FA8">
        <w:t xml:space="preserve"> stress ;</w:t>
      </w:r>
      <w:r w:rsidR="00B10122" w:rsidRPr="00B10122">
        <w:rPr>
          <w:rFonts w:cstheme="minorHAnsi"/>
        </w:rPr>
        <w:t xml:space="preserve"> </w:t>
      </w:r>
      <w:r w:rsidR="00B10122" w:rsidRPr="00171D28">
        <w:rPr>
          <w:rFonts w:cstheme="minorHAnsi"/>
        </w:rPr>
        <w:t>traditional medicine</w:t>
      </w:r>
      <w:r w:rsidR="00B10122">
        <w:rPr>
          <w:rFonts w:cstheme="minorHAnsi"/>
        </w:rPr>
        <w:t>.</w:t>
      </w:r>
    </w:p>
    <w:p w14:paraId="6747F2DC" w14:textId="77777777" w:rsidR="00ED62A6" w:rsidRPr="00431FE5" w:rsidRDefault="00431FE5" w:rsidP="000A4816">
      <w:pPr>
        <w:pStyle w:val="ListParagraph"/>
        <w:numPr>
          <w:ilvl w:val="0"/>
          <w:numId w:val="1"/>
        </w:numPr>
        <w:rPr>
          <w:rFonts w:ascii="Arial" w:hAnsi="Arial" w:cs="Arial"/>
          <w:b/>
          <w:bCs/>
          <w:sz w:val="22"/>
          <w:szCs w:val="22"/>
        </w:rPr>
      </w:pPr>
      <w:r w:rsidRPr="00431FE5">
        <w:rPr>
          <w:rFonts w:ascii="Arial" w:hAnsi="Arial" w:cs="Arial"/>
          <w:b/>
          <w:bCs/>
          <w:sz w:val="22"/>
          <w:szCs w:val="22"/>
        </w:rPr>
        <w:t>INTRODUCTION</w:t>
      </w:r>
    </w:p>
    <w:p w14:paraId="4E3CE0ED" w14:textId="77777777" w:rsidR="00F1239A" w:rsidRPr="00B05055" w:rsidRDefault="00253FA8" w:rsidP="00811206">
      <w:pPr>
        <w:spacing w:before="120" w:after="120"/>
        <w:jc w:val="both"/>
        <w:rPr>
          <w:rFonts w:ascii="Arial" w:hAnsi="Arial" w:cs="Arial"/>
          <w:sz w:val="20"/>
          <w:szCs w:val="20"/>
        </w:rPr>
      </w:pPr>
      <w:r w:rsidRPr="00B05055">
        <w:rPr>
          <w:rFonts w:ascii="Arial" w:hAnsi="Arial" w:cs="Arial"/>
          <w:sz w:val="20"/>
          <w:szCs w:val="20"/>
        </w:rPr>
        <w:t xml:space="preserve">Oxidative stress plays a central role in the development of several chronic diseases, including cardiovascular disorders, diabetes, cancer, and sickle cell disease. </w:t>
      </w:r>
      <w:r w:rsidR="00171D28" w:rsidRPr="00B05055">
        <w:rPr>
          <w:rFonts w:ascii="Arial" w:hAnsi="Arial" w:cs="Arial"/>
          <w:sz w:val="20"/>
          <w:szCs w:val="20"/>
        </w:rPr>
        <w:t>The high cost of therapeutic treatment and the inaccessibility of conventional medical care lead many populations, especially those with low incomes, to turn to medicinal plants and traditional medicine</w:t>
      </w:r>
      <w:r w:rsidR="00C507A7" w:rsidRPr="00B05055">
        <w:rPr>
          <w:rFonts w:ascii="Arial" w:hAnsi="Arial" w:cs="Arial"/>
          <w:sz w:val="20"/>
          <w:szCs w:val="20"/>
        </w:rPr>
        <w:t xml:space="preserve"> </w:t>
      </w:r>
      <w:r w:rsidR="00C507A7" w:rsidRPr="00B05055">
        <w:rPr>
          <w:rFonts w:ascii="Arial" w:hAnsi="Arial" w:cs="Arial"/>
          <w:sz w:val="20"/>
          <w:szCs w:val="20"/>
        </w:rPr>
        <w:fldChar w:fldCharType="begin"/>
      </w:r>
      <w:r w:rsidR="002B341C">
        <w:rPr>
          <w:rFonts w:ascii="Arial" w:hAnsi="Arial" w:cs="Arial"/>
          <w:sz w:val="20"/>
          <w:szCs w:val="20"/>
        </w:rPr>
        <w:instrText xml:space="preserve"> ADDIN ZOTERO_ITEM CSL_CITATION {"citationID":"RTTHseX7","properties":{"formattedCitation":"(Zhang &amp; Yang, 2024)","plainCitation":"(Zhang &amp; Yang, 2024)","noteIndex":0},"citationItems":[{"id":561,"uris":["http://zotero.org/users/13923419/items/8W6SI7LF"],"itemData":{"id":561,"type":"article-journal","abstract":"Oxidative stress disturbs the balance between the production of reactive oxygen species (ROS) and the detoxification biological process. It plays an important role in the development and progression of many chronic diseases. Upon exposure to oxidative stress or the inducers of ROS, the cellular nucleus undergoes some biological processes via different signaling pathways, such as stress adaption through the forkhead box O signaling pathway, inflammatory response through the IκB kinase/nuclear factor-κB signaling pathway, hypoxic response via the hypoxia-inducible factor/prolyl hydroxylase domain proteins pathway, DNA repair or apoptosis through the p53 signaling pathway, and antioxidant response through the Kelch-like ECH-associated protein 1/nuclear factor E2-related factor 2 signaling pathway. These processes are involved in many diseases. Therefore, oxidative stress has gained more attraction as a targeting process for disease treatment. Meanwhile, anti-oxidative stress agents have been widely explored in pre-clinical trials. However, only limited clinical trials are performed to evaluate the efficacy of anti-oxidative stress agents or antioxidants in diseases. In this letter, we further discuss the current clinical trials related to anti-oxidative stress treatment in different diseases. More pre-clinical studies and clinical trials are expected to use anti-oxidative stress strategies as disease treatment or dietary supplementation to improve disease treatment outcomes.","container-title":"World Journal of Hepatology","DOI":"10.4254/wjh.v16.i2.294","ISSN":"1948-5182","issue":"2","journalAbbreviation":"World J Hepatol","language":"en","page":"294-299","source":"DOI.org (Crossref)","title":"Anti-oxidative stress treatment and current clinical trials","volume":"16","author":[{"family":"Zhang","given":"Chun-Ye"},{"family":"Yang","given":"Ming"}],"issued":{"date-parts":[["2024",2,27]]}}}],"schema":"https://github.com/citation-style-language/schema/raw/master/csl-citation.json"} </w:instrText>
      </w:r>
      <w:r w:rsidR="00C507A7" w:rsidRPr="00B05055">
        <w:rPr>
          <w:rFonts w:ascii="Arial" w:hAnsi="Arial" w:cs="Arial"/>
          <w:sz w:val="20"/>
          <w:szCs w:val="20"/>
        </w:rPr>
        <w:fldChar w:fldCharType="separate"/>
      </w:r>
      <w:r w:rsidR="002B341C" w:rsidRPr="002B341C">
        <w:rPr>
          <w:rFonts w:ascii="Arial" w:hAnsi="Arial" w:cs="Arial"/>
          <w:sz w:val="20"/>
        </w:rPr>
        <w:t>(Zhang &amp; Yang, 2024)</w:t>
      </w:r>
      <w:r w:rsidR="00C507A7" w:rsidRPr="00B05055">
        <w:rPr>
          <w:rFonts w:ascii="Arial" w:hAnsi="Arial" w:cs="Arial"/>
          <w:sz w:val="20"/>
          <w:szCs w:val="20"/>
        </w:rPr>
        <w:fldChar w:fldCharType="end"/>
      </w:r>
      <w:r w:rsidR="00C507A7" w:rsidRPr="00B05055">
        <w:rPr>
          <w:rFonts w:ascii="Arial" w:hAnsi="Arial" w:cs="Arial"/>
          <w:sz w:val="20"/>
          <w:szCs w:val="20"/>
        </w:rPr>
        <w:t xml:space="preserve"> ; </w:t>
      </w:r>
      <w:r w:rsidR="00C507A7" w:rsidRPr="00B05055">
        <w:rPr>
          <w:rFonts w:ascii="Arial" w:hAnsi="Arial" w:cs="Arial"/>
          <w:sz w:val="20"/>
          <w:szCs w:val="20"/>
        </w:rPr>
        <w:fldChar w:fldCharType="begin"/>
      </w:r>
      <w:r w:rsidR="002B341C">
        <w:rPr>
          <w:rFonts w:ascii="Arial" w:hAnsi="Arial" w:cs="Arial"/>
          <w:sz w:val="20"/>
          <w:szCs w:val="20"/>
        </w:rPr>
        <w:instrText xml:space="preserve"> ADDIN ZOTERO_ITEM CSL_CITATION {"citationID":"hEInmjoD","properties":{"formattedCitation":"(Agbor et al., 2023)","plainCitation":"(Agbor et al., 2023)","noteIndex":0},"citationItems":[{"id":563,"uris":["http://zotero.org/users/13923419/items/CHSCLH3N"],"itemData":{"id":563,"type":"article-journal","container-title":"Frontiers in Pharmacology","DOI":"10.3389/fphar.2023.1310291","ISSN":"1663-9812","journalAbbreviation":"Front. Pharmacol.","language":"en","page":"1310291","source":"DOI.org (Crossref)","title":"Editorial: The role of medicinal plants and natural products in modulating oxidative stress and inflammatory related disorders, Volume II","title-short":"Editorial","volume":"14","author":[{"family":"Agbor","given":"Gabriel A."},{"family":"Kuiaté","given":"Jules-Roger"},{"family":"Sangiovanni","given":"Enrico"},{"family":"Ojo","given":"Opeolu O."}],"issued":{"date-parts":[["2023",10,27]]}}}],"schema":"https://github.com/citation-style-language/schema/raw/master/csl-citation.json"} </w:instrText>
      </w:r>
      <w:r w:rsidR="00C507A7" w:rsidRPr="00B05055">
        <w:rPr>
          <w:rFonts w:ascii="Arial" w:hAnsi="Arial" w:cs="Arial"/>
          <w:sz w:val="20"/>
          <w:szCs w:val="20"/>
        </w:rPr>
        <w:fldChar w:fldCharType="separate"/>
      </w:r>
      <w:r w:rsidR="002B341C" w:rsidRPr="002B341C">
        <w:rPr>
          <w:rFonts w:ascii="Arial" w:hAnsi="Arial" w:cs="Arial"/>
          <w:sz w:val="20"/>
        </w:rPr>
        <w:t>(Agbor et al., 2023)</w:t>
      </w:r>
      <w:r w:rsidR="00C507A7" w:rsidRPr="00B05055">
        <w:rPr>
          <w:rFonts w:ascii="Arial" w:hAnsi="Arial" w:cs="Arial"/>
          <w:sz w:val="20"/>
          <w:szCs w:val="20"/>
        </w:rPr>
        <w:fldChar w:fldCharType="end"/>
      </w:r>
      <w:r w:rsidR="00DC6D9C" w:rsidRPr="00B05055">
        <w:rPr>
          <w:rFonts w:ascii="Arial" w:hAnsi="Arial" w:cs="Arial"/>
          <w:sz w:val="20"/>
          <w:szCs w:val="20"/>
        </w:rPr>
        <w:t>.</w:t>
      </w:r>
      <w:r w:rsidR="00171D28" w:rsidRPr="00B05055">
        <w:rPr>
          <w:rFonts w:ascii="Arial" w:hAnsi="Arial" w:cs="Arial"/>
          <w:sz w:val="20"/>
          <w:szCs w:val="20"/>
        </w:rPr>
        <w:t xml:space="preserve"> It has proven to be a crucial resource in many parts of the world, especially in Africa, given its low cost and accessibility. As an accessible alternative to the limitations of modern medicine, the WHO promotes its use through initiatives such as the World Library of Traditional Medicine, with a particular emphasis on the importance of evaluating the efficacy and safety of the plants used</w:t>
      </w:r>
      <w:r w:rsidR="00C507A7" w:rsidRPr="00B05055">
        <w:rPr>
          <w:rFonts w:ascii="Arial" w:hAnsi="Arial" w:cs="Arial"/>
          <w:sz w:val="20"/>
          <w:szCs w:val="20"/>
        </w:rPr>
        <w:t xml:space="preserve"> </w:t>
      </w:r>
      <w:r w:rsidR="00C507A7" w:rsidRPr="00B05055">
        <w:rPr>
          <w:rFonts w:ascii="Arial" w:hAnsi="Arial" w:cs="Arial"/>
          <w:sz w:val="20"/>
          <w:szCs w:val="20"/>
        </w:rPr>
        <w:fldChar w:fldCharType="begin"/>
      </w:r>
      <w:r w:rsidR="002B341C">
        <w:rPr>
          <w:rFonts w:ascii="Arial" w:hAnsi="Arial" w:cs="Arial"/>
          <w:sz w:val="20"/>
          <w:szCs w:val="20"/>
        </w:rPr>
        <w:instrText xml:space="preserve"> ADDIN ZOTERO_ITEM CSL_CITATION {"citationID":"KdDlLc16","properties":{"formattedCitation":"(WHO, 2023)","plainCitation":"(WHO, 2023)","noteIndex":0},"citationItems":[{"id":497,"uris":["http://zotero.org/users/13923419/items/ZFSJS8HI"],"itemData":{"id":497,"type":"article-journal","title":"Traditional Medicine Global Summit (17–18 août 2023) ; note d’information et rapport.","URL":"https://www.who.int/publications/m/item/who-traditional-medicine-global-summit-2023","author":[{"family":"WHO","given":""}],"issued":{"date-parts":[["2023"]]}}}],"schema":"https://github.com/citation-style-language/schema/raw/master/csl-citation.json"} </w:instrText>
      </w:r>
      <w:r w:rsidR="00C507A7" w:rsidRPr="00B05055">
        <w:rPr>
          <w:rFonts w:ascii="Arial" w:hAnsi="Arial" w:cs="Arial"/>
          <w:sz w:val="20"/>
          <w:szCs w:val="20"/>
        </w:rPr>
        <w:fldChar w:fldCharType="separate"/>
      </w:r>
      <w:r w:rsidR="002B341C" w:rsidRPr="002B341C">
        <w:rPr>
          <w:rFonts w:ascii="Arial" w:hAnsi="Arial" w:cs="Arial"/>
          <w:sz w:val="20"/>
        </w:rPr>
        <w:t>(WHO, 2023)</w:t>
      </w:r>
      <w:r w:rsidR="00C507A7" w:rsidRPr="00B05055">
        <w:rPr>
          <w:rFonts w:ascii="Arial" w:hAnsi="Arial" w:cs="Arial"/>
          <w:sz w:val="20"/>
          <w:szCs w:val="20"/>
        </w:rPr>
        <w:fldChar w:fldCharType="end"/>
      </w:r>
      <w:r w:rsidR="00927BB4" w:rsidRPr="00B05055">
        <w:rPr>
          <w:rFonts w:ascii="Arial" w:hAnsi="Arial" w:cs="Arial"/>
          <w:sz w:val="20"/>
          <w:szCs w:val="20"/>
        </w:rPr>
        <w:t xml:space="preserve">. </w:t>
      </w:r>
      <w:r w:rsidR="00171D28" w:rsidRPr="00B05055">
        <w:rPr>
          <w:rFonts w:ascii="Arial" w:hAnsi="Arial" w:cs="Arial"/>
          <w:sz w:val="20"/>
          <w:szCs w:val="20"/>
        </w:rPr>
        <w:t xml:space="preserve">Among the plants commonly used, </w:t>
      </w:r>
      <w:r w:rsidR="00171D28" w:rsidRPr="00B05055">
        <w:rPr>
          <w:rFonts w:ascii="Arial" w:hAnsi="Arial" w:cs="Arial"/>
          <w:i/>
          <w:iCs/>
          <w:sz w:val="20"/>
          <w:szCs w:val="20"/>
        </w:rPr>
        <w:t>Jatropha curcas</w:t>
      </w:r>
      <w:r w:rsidR="00171D28" w:rsidRPr="00B05055">
        <w:rPr>
          <w:rFonts w:ascii="Arial" w:hAnsi="Arial" w:cs="Arial"/>
          <w:sz w:val="20"/>
          <w:szCs w:val="20"/>
        </w:rPr>
        <w:t xml:space="preserve"> occupies a prominent place in traditional African pharmacopoeia. A tropical plant native to Central and South America, belonging to the Euphorbiaceae family, it is widely cultivated in various tropical and subtropical regions for its medicinal properties, oil, and potential as a biofuel</w:t>
      </w:r>
      <w:r w:rsidR="00C507A7" w:rsidRPr="00B05055">
        <w:rPr>
          <w:rFonts w:ascii="Arial" w:hAnsi="Arial" w:cs="Arial"/>
          <w:sz w:val="20"/>
          <w:szCs w:val="20"/>
        </w:rPr>
        <w:t xml:space="preserve"> </w:t>
      </w:r>
      <w:r w:rsidR="00DE38FF" w:rsidRPr="00B05055">
        <w:rPr>
          <w:rFonts w:ascii="Arial" w:hAnsi="Arial" w:cs="Arial"/>
          <w:sz w:val="20"/>
          <w:szCs w:val="20"/>
        </w:rPr>
        <w:fldChar w:fldCharType="begin"/>
      </w:r>
      <w:r w:rsidR="002B341C">
        <w:rPr>
          <w:rFonts w:ascii="Arial" w:hAnsi="Arial" w:cs="Arial"/>
          <w:sz w:val="20"/>
          <w:szCs w:val="20"/>
        </w:rPr>
        <w:instrText xml:space="preserve"> ADDIN ZOTERO_ITEM CSL_CITATION {"citationID":"ihNI3i8N","properties":{"formattedCitation":"(Abdelgadir &amp; Van Staden, 2013a)","plainCitation":"(Abdelgadir &amp; Van Staden, 2013a)","noteIndex":0},"citationItems":[{"id":559,"uris":["http://zotero.org/users/13923419/items/HZFVDQCI"],"itemData":{"id":559,"type":"article-journal","container-title":"South African Journal of Botany","DOI":"10.1016/j.sajb.2013.07.021","ISSN":"02546299","journalAbbreviation":"South African Journal of Botany","language":"en","page":"204-218","source":"DOI.org (Crossref)","title":"Ethnobotany, ethnopharmacology and toxicity of Jatropha curcas L. (Euphorbiaceae): A review","title-short":"Ethnobotany, ethnopharmacology and toxicity of Jatropha curcas L. (Euphorbiaceae)","volume":"88","author":[{"family":"Abdelgadir","given":"H.A."},{"family":"Van Staden","given":"J."}],"issued":{"date-parts":[["2013",9]]}}}],"schema":"https://github.com/citation-style-language/schema/raw/master/csl-citation.json"} </w:instrText>
      </w:r>
      <w:r w:rsidR="00DE38FF" w:rsidRPr="00B05055">
        <w:rPr>
          <w:rFonts w:ascii="Arial" w:hAnsi="Arial" w:cs="Arial"/>
          <w:sz w:val="20"/>
          <w:szCs w:val="20"/>
        </w:rPr>
        <w:fldChar w:fldCharType="separate"/>
      </w:r>
      <w:r w:rsidR="002B341C" w:rsidRPr="002B341C">
        <w:rPr>
          <w:rFonts w:ascii="Arial" w:hAnsi="Arial" w:cs="Arial"/>
          <w:sz w:val="20"/>
        </w:rPr>
        <w:t>(Abdelgadir &amp; Van Staden, 2013a)</w:t>
      </w:r>
      <w:r w:rsidR="00DE38FF" w:rsidRPr="00B05055">
        <w:rPr>
          <w:rFonts w:ascii="Arial" w:hAnsi="Arial" w:cs="Arial"/>
          <w:sz w:val="20"/>
          <w:szCs w:val="20"/>
        </w:rPr>
        <w:fldChar w:fldCharType="end"/>
      </w:r>
      <w:r w:rsidR="00F60259" w:rsidRPr="00B05055">
        <w:rPr>
          <w:rFonts w:ascii="Arial" w:eastAsia="MS Mincho" w:hAnsi="Arial" w:cs="Arial"/>
          <w:kern w:val="0"/>
          <w:sz w:val="20"/>
          <w:szCs w:val="20"/>
          <w:lang w:eastAsia="fr-FR"/>
          <w14:ligatures w14:val="none"/>
        </w:rPr>
        <w:t>.</w:t>
      </w:r>
      <w:r w:rsidR="00F06D83" w:rsidRPr="00B05055">
        <w:rPr>
          <w:rFonts w:ascii="Arial" w:eastAsia="MS Mincho" w:hAnsi="Arial" w:cs="Arial"/>
          <w:kern w:val="0"/>
          <w:sz w:val="20"/>
          <w:szCs w:val="20"/>
          <w:lang w:eastAsia="fr-FR"/>
          <w14:ligatures w14:val="none"/>
        </w:rPr>
        <w:t xml:space="preserve"> </w:t>
      </w:r>
      <w:r w:rsidR="00F1239A" w:rsidRPr="00B05055">
        <w:rPr>
          <w:rFonts w:ascii="Arial" w:eastAsia="MS Mincho" w:hAnsi="Arial" w:cs="Arial"/>
          <w:kern w:val="0"/>
          <w:sz w:val="20"/>
          <w:szCs w:val="20"/>
          <w:lang w:eastAsia="fr-FR"/>
          <w14:ligatures w14:val="none"/>
        </w:rPr>
        <w:t xml:space="preserve">Its leaves are used in </w:t>
      </w:r>
      <w:r w:rsidR="00F1239A" w:rsidRPr="00B05055">
        <w:rPr>
          <w:rFonts w:ascii="Arial" w:eastAsia="MS Mincho" w:hAnsi="Arial" w:cs="Arial"/>
          <w:kern w:val="0"/>
          <w:sz w:val="20"/>
          <w:szCs w:val="20"/>
          <w:lang w:eastAsia="fr-FR"/>
          <w14:ligatures w14:val="none"/>
        </w:rPr>
        <w:lastRenderedPageBreak/>
        <w:t>traditional medicine to treat certain conditions, including malaria, fever, inflammatory pain, oral and dental conditions, and certain skin and digestive infections</w:t>
      </w:r>
      <w:r w:rsidR="00A563BA" w:rsidRPr="00B05055">
        <w:rPr>
          <w:rFonts w:ascii="Arial" w:eastAsia="MS Mincho" w:hAnsi="Arial" w:cs="Arial"/>
          <w:kern w:val="0"/>
          <w:sz w:val="20"/>
          <w:szCs w:val="20"/>
          <w:lang w:eastAsia="fr-FR"/>
          <w14:ligatures w14:val="none"/>
        </w:rPr>
        <w:t xml:space="preserve"> </w:t>
      </w:r>
      <w:r w:rsidR="00A563BA" w:rsidRPr="00B05055">
        <w:rPr>
          <w:rFonts w:ascii="Arial" w:eastAsia="MS Mincho" w:hAnsi="Arial" w:cs="Arial"/>
          <w:kern w:val="0"/>
          <w:sz w:val="20"/>
          <w:szCs w:val="20"/>
          <w:lang w:eastAsia="fr-FR"/>
          <w14:ligatures w14:val="none"/>
        </w:rPr>
        <w:fldChar w:fldCharType="begin"/>
      </w:r>
      <w:r w:rsidR="002B341C">
        <w:rPr>
          <w:rFonts w:ascii="Arial" w:eastAsia="MS Mincho" w:hAnsi="Arial" w:cs="Arial"/>
          <w:kern w:val="0"/>
          <w:sz w:val="20"/>
          <w:szCs w:val="20"/>
          <w:lang w:eastAsia="fr-FR"/>
          <w14:ligatures w14:val="none"/>
        </w:rPr>
        <w:instrText xml:space="preserve"> ADDIN ZOTERO_ITEM CSL_CITATION {"citationID":"Og0wv1Sq","properties":{"formattedCitation":"(Assogbadjo et al., 2010)","plainCitation":"(Assogbadjo et al., 2010)","noteIndex":0},"citationItems":[{"id":490,"uris":["http://zotero.org/users/13923419/items/E2X43QLW"],"itemData":{"id":490,"type":"article-journal","container-title":"International Journal of Biological and Chemical Sciences","DOI":"10.4314/ijbcs.v3i5.51085","ISSN":"1991-8631","issue":"5","language":"fr","source":"DOI.org (Crossref)","title":"Evaluation écologique et ethnobotanique de Jatropha curcas L. au Bénin","URL":"http://www.ajol.info/index.php/ijbcs/article/view/51085","volume":"3","author":[{"family":"Assogbadjo","given":"A"},{"family":"Amadji","given":"G"},{"family":"Kakaï","given":"R"},{"family":"Mama","given":"A"},{"family":"Sinsin","given":"B"},{"family":"Van Damme","given":"P"}],"accessed":{"date-parts":[["2025",8,20]]},"issued":{"date-parts":[["2010",2,15]]}}}],"schema":"https://github.com/citation-style-language/schema/raw/master/csl-citation.json"} </w:instrText>
      </w:r>
      <w:r w:rsidR="00A563BA" w:rsidRPr="00B05055">
        <w:rPr>
          <w:rFonts w:ascii="Arial" w:eastAsia="MS Mincho" w:hAnsi="Arial" w:cs="Arial"/>
          <w:kern w:val="0"/>
          <w:sz w:val="20"/>
          <w:szCs w:val="20"/>
          <w:lang w:eastAsia="fr-FR"/>
          <w14:ligatures w14:val="none"/>
        </w:rPr>
        <w:fldChar w:fldCharType="separate"/>
      </w:r>
      <w:r w:rsidR="002B341C" w:rsidRPr="002B341C">
        <w:rPr>
          <w:rFonts w:ascii="Arial" w:hAnsi="Arial" w:cs="Arial"/>
          <w:sz w:val="20"/>
        </w:rPr>
        <w:t>(Assogbadjo et al., 2010)</w:t>
      </w:r>
      <w:r w:rsidR="00A563BA" w:rsidRPr="00B05055">
        <w:rPr>
          <w:rFonts w:ascii="Arial" w:eastAsia="MS Mincho" w:hAnsi="Arial" w:cs="Arial"/>
          <w:kern w:val="0"/>
          <w:sz w:val="20"/>
          <w:szCs w:val="20"/>
          <w:lang w:eastAsia="fr-FR"/>
          <w14:ligatures w14:val="none"/>
        </w:rPr>
        <w:fldChar w:fldCharType="end"/>
      </w:r>
      <w:r w:rsidR="00050910" w:rsidRPr="00B05055">
        <w:rPr>
          <w:rFonts w:ascii="Arial" w:eastAsia="MS Mincho" w:hAnsi="Arial" w:cs="Arial"/>
          <w:kern w:val="0"/>
          <w:sz w:val="20"/>
          <w:szCs w:val="20"/>
          <w:lang w:eastAsia="fr-FR"/>
          <w14:ligatures w14:val="none"/>
        </w:rPr>
        <w:t xml:space="preserve"> ; </w:t>
      </w:r>
      <w:r w:rsidR="00050910" w:rsidRPr="00B05055">
        <w:rPr>
          <w:rFonts w:ascii="Arial" w:eastAsia="MS Mincho" w:hAnsi="Arial" w:cs="Arial"/>
          <w:kern w:val="0"/>
          <w:sz w:val="20"/>
          <w:szCs w:val="20"/>
          <w:lang w:eastAsia="fr-FR"/>
          <w14:ligatures w14:val="none"/>
        </w:rPr>
        <w:fldChar w:fldCharType="begin"/>
      </w:r>
      <w:r w:rsidR="002B341C">
        <w:rPr>
          <w:rFonts w:ascii="Arial" w:eastAsia="MS Mincho" w:hAnsi="Arial" w:cs="Arial"/>
          <w:kern w:val="0"/>
          <w:sz w:val="20"/>
          <w:szCs w:val="20"/>
          <w:lang w:eastAsia="fr-FR"/>
          <w14:ligatures w14:val="none"/>
        </w:rPr>
        <w:instrText xml:space="preserve"> ADDIN ZOTERO_ITEM CSL_CITATION {"citationID":"K9IIS78d","properties":{"formattedCitation":"(Abdelgadir &amp; Van Staden, 2013b)","plainCitation":"(Abdelgadir &amp; Van Staden, 2013b)","noteIndex":0},"citationItems":[{"id":494,"uris":["http://zotero.org/users/13923419/items/857WJW4U"],"itemData":{"id":494,"type":"article-journal","container-title":"South African Journal of Botany","DOI":"10.1016/j.sajb.2013.07.021","ISSN":"02546299","journalAbbreviation":"South African Journal of Botany","language":"en","page":"204-218","source":"DOI.org (Crossref)","title":"Ethnobotany, ethnopharmacology and toxicity of Jatropha curcas L. (Euphorbiaceae): A review","title-short":"Ethnobotany, ethnopharmacology and toxicity of Jatropha curcas L. (Euphorbiaceae)","volume":"88","author":[{"family":"Abdelgadir","given":"H.A."},{"family":"Van Staden","given":"J."}],"issued":{"date-parts":[["2013",9]]}}}],"schema":"https://github.com/citation-style-language/schema/raw/master/csl-citation.json"} </w:instrText>
      </w:r>
      <w:r w:rsidR="00050910" w:rsidRPr="00B05055">
        <w:rPr>
          <w:rFonts w:ascii="Arial" w:eastAsia="MS Mincho" w:hAnsi="Arial" w:cs="Arial"/>
          <w:kern w:val="0"/>
          <w:sz w:val="20"/>
          <w:szCs w:val="20"/>
          <w:lang w:eastAsia="fr-FR"/>
          <w14:ligatures w14:val="none"/>
        </w:rPr>
        <w:fldChar w:fldCharType="separate"/>
      </w:r>
      <w:r w:rsidR="002B341C" w:rsidRPr="002B341C">
        <w:rPr>
          <w:rFonts w:ascii="Arial" w:hAnsi="Arial" w:cs="Arial"/>
          <w:sz w:val="20"/>
        </w:rPr>
        <w:t>(Abdelgadir &amp; Van Staden, 2013b)</w:t>
      </w:r>
      <w:r w:rsidR="00050910" w:rsidRPr="00B05055">
        <w:rPr>
          <w:rFonts w:ascii="Arial" w:eastAsia="MS Mincho" w:hAnsi="Arial" w:cs="Arial"/>
          <w:kern w:val="0"/>
          <w:sz w:val="20"/>
          <w:szCs w:val="20"/>
          <w:lang w:eastAsia="fr-FR"/>
          <w14:ligatures w14:val="none"/>
        </w:rPr>
        <w:fldChar w:fldCharType="end"/>
      </w:r>
      <w:r w:rsidR="00050910" w:rsidRPr="00B05055">
        <w:rPr>
          <w:rFonts w:ascii="Arial" w:eastAsia="MS Mincho" w:hAnsi="Arial" w:cs="Arial"/>
          <w:kern w:val="0"/>
          <w:sz w:val="20"/>
          <w:szCs w:val="20"/>
          <w:lang w:eastAsia="fr-FR"/>
          <w14:ligatures w14:val="none"/>
        </w:rPr>
        <w:t>.</w:t>
      </w:r>
      <w:r w:rsidR="00F1239A" w:rsidRPr="00B05055">
        <w:rPr>
          <w:rFonts w:ascii="Arial" w:hAnsi="Arial" w:cs="Arial"/>
          <w:sz w:val="20"/>
          <w:szCs w:val="20"/>
        </w:rPr>
        <w:t xml:space="preserve"> Numerous recent studies have highlighted the countless bioactive compounds contained in this plant, which are responsible for various pharmacological activities such as antioxidant, anti-inflammatory, antibacterial, fungicidal, antidiabetic, anticancer, and antifalcemic </w:t>
      </w:r>
      <w:r w:rsidR="00E51F1D" w:rsidRPr="00B05055">
        <w:rPr>
          <w:rFonts w:ascii="Arial" w:eastAsia="Calibri" w:hAnsi="Arial" w:cs="Arial"/>
          <w:sz w:val="20"/>
          <w:szCs w:val="20"/>
        </w:rPr>
        <w:fldChar w:fldCharType="begin"/>
      </w:r>
      <w:r w:rsidR="002B341C">
        <w:rPr>
          <w:rFonts w:ascii="Arial" w:eastAsia="Calibri" w:hAnsi="Arial" w:cs="Arial"/>
          <w:sz w:val="20"/>
          <w:szCs w:val="20"/>
        </w:rPr>
        <w:instrText xml:space="preserve"> ADDIN ZOTERO_ITEM CSL_CITATION {"citationID":"4N1qwnd2","properties":{"formattedCitation":"(Oyama et al., 2016; Papalia et al., 2017)","plainCitation":"(Oyama et al., 2016; Papalia et al., 2017)","noteIndex":0},"citationItems":[{"id":506,"uris":["http://zotero.org/users/13923419/items/3JZU9E89"],"itemData":{"id":506,"type":"article-journal","abstract":"The study investigated the antibacterial activity of Jatropha curcas using aqueous, methanol and ethanolic extracts that were obtained from the leaf against growth inhibition of Escherichia coli, Staphylococcus aureus, Proteus spp, Klebsiella pneumonia and Pseudomonas aeruginosa. Tannins, saponins, flavonoids, alkaloids, oxalates and cyanogenic glycosides were the phytochemicals present. All test microorganisms were significantly inhibited by the leaf extracts but the presence of oxalates and cyanogenic glycosides in the leaf could present potential toxicity and therefore reduces the application of this plant to topical but not systemic use. Clearly, additional pharmacology and safety studies are warranted to investigate clinical potential of Jatropha curcas as a topical antibiotic for use against susceptible pathogens.","container-title":"Journal of Advances in Medical and Pharmaceutical Sciences","DOI":"10.9734/JAMPS/2016/24146","ISSN":"23941111","issue":"1","journalAbbreviation":"JAMPS","language":"en","page":"1-6","source":"DOI.org (Crossref)","title":"Phytochemical Screening and Antimicrobial Activity of Leaf Extract of Jatropha curcas","volume":"8","author":[{"family":"Oyama","given":"M"},{"family":"Malachi","given":"O"},{"family":"Oladejo","given":"A"}],"issued":{"date-parts":[["2016",1,10]]}}},{"id":"f5T2ScnD/z91I0QLt","uris":["http://zotero.org/users/13923419/items/RYVAH6Z8"],"itemData":{"id":225,"type":"article-journal","abstract":"Jatropha (Jatropha curcas L.) is a plant native of Central and South America, but widely distributed in the wild or semi-cultivated areas in Africa, India, and South East Asia. Although studies are available in literature on the polyphenolic content and bioactivity of Jatropha curcas L., no information is currently available on plants grown in pedoclimatic and soil conditions different from the autochthon regions. The aim of the present work was to characterize the antioxidant system developed by the plant under a new growing condition and to evaluate the polyphenol amount in a methanolic extract of leaves. Along with these analyses we have also tested the antioxidant and cytoprotective activities on lymphocytes. RP-HPLC-DAD analysis of ﬂavonoids revealed a chromatographic proﬁle dominated by the presence of ﬂavone C-glucosydes. Vitexin is the most abundant identiﬁed compound followed by vicenin-2, stellarin-2, rhoifolin, and traces of isovitexin and isorhoifolin. Methanolic extract had high scavenging activity in all antioxidant assays tested and cytoprotective activity on lymphocytes exposed to tertz-buthylhydroperoxide. The results highlighted a well-deﬁned mechanism of adaptation of the plant and a signiﬁcant content of secondary metabolites with antioxidant properties, which are of interest for their potential uses, especially as a rich source of biologically active products.","container-title":"International Journal of Molecular Sciences","DOI":"10.3390/ijms18030660","ISSN":"1422-0067","issue":"3","journalAbbreviation":"IJMS","language":"en","license":"https://creativecommons.org/licenses/by/4.0/","page":"660","source":"DOI.org (Crossref)","title":"Assessment of Antioxidant and Cytoprotective Potential of Jatropha (Jatropha curcas) Grown in Southern Italy","volume":"18","author":[{"family":"Papalia","given":"Teresa"},{"family":"Barreca","given":"Davide"},{"family":"Panuccio","given":"Maria"}],"issued":{"date-parts":[["2017",3,18]]}}}],"schema":"https://github.com/citation-style-language/schema/raw/master/csl-citation.json"} </w:instrText>
      </w:r>
      <w:r w:rsidR="00E51F1D" w:rsidRPr="00B05055">
        <w:rPr>
          <w:rFonts w:ascii="Arial" w:eastAsia="Calibri" w:hAnsi="Arial" w:cs="Arial"/>
          <w:sz w:val="20"/>
          <w:szCs w:val="20"/>
        </w:rPr>
        <w:fldChar w:fldCharType="separate"/>
      </w:r>
      <w:r w:rsidR="002B341C" w:rsidRPr="002B341C">
        <w:rPr>
          <w:rFonts w:ascii="Arial" w:hAnsi="Arial" w:cs="Arial"/>
          <w:sz w:val="20"/>
        </w:rPr>
        <w:t>(Oyama et al., 2016; Papalia et al., 2017)</w:t>
      </w:r>
      <w:r w:rsidR="00E51F1D" w:rsidRPr="00B05055">
        <w:rPr>
          <w:rFonts w:ascii="Arial" w:eastAsia="Calibri" w:hAnsi="Arial" w:cs="Arial"/>
          <w:sz w:val="20"/>
          <w:szCs w:val="20"/>
        </w:rPr>
        <w:fldChar w:fldCharType="end"/>
      </w:r>
      <w:r w:rsidR="00E51F1D" w:rsidRPr="00B05055">
        <w:rPr>
          <w:rFonts w:ascii="Arial" w:eastAsia="Calibri" w:hAnsi="Arial" w:cs="Arial"/>
          <w:sz w:val="20"/>
          <w:szCs w:val="20"/>
        </w:rPr>
        <w:t xml:space="preserve"> ; </w:t>
      </w:r>
      <w:r w:rsidR="00087425" w:rsidRPr="00B05055">
        <w:rPr>
          <w:rFonts w:ascii="Arial" w:eastAsia="Calibri" w:hAnsi="Arial" w:cs="Arial"/>
          <w:sz w:val="20"/>
          <w:szCs w:val="20"/>
        </w:rPr>
        <w:fldChar w:fldCharType="begin"/>
      </w:r>
      <w:r w:rsidR="002B341C">
        <w:rPr>
          <w:rFonts w:ascii="Arial" w:eastAsia="Calibri" w:hAnsi="Arial" w:cs="Arial"/>
          <w:sz w:val="20"/>
          <w:szCs w:val="20"/>
        </w:rPr>
        <w:instrText xml:space="preserve"> ADDIN ZOTERO_ITEM CSL_CITATION {"citationID":"jJ9KlBRA","properties":{"formattedCitation":"(Ahmad et al., 2023; Namadina et al., 2025)","plainCitation":"(Ahmad et al., 2023; Namadina et al., 2025)","noteIndex":0},"citationItems":[{"id":504,"uris":["http://zotero.org/users/13923419/items/W9887L4I"],"itemData":{"id":504,"type":"article-journal","abstract":"Jatropha curcas is an ornamental plant which is also employed to cure various infections in traditional medicine. The leaf methanolic extracts were analyzed phytochemically and screened for its antioxidant activity against different microorganisms responsible for various human infections. Phytochemical analysis of the extracts revealed the presence of many secondary metabolites including steroids, alkaloids, flavonoid, tannins, glycoside and saponins. The extract was found to have a high scavenging activity (antioxidant activity). The extracts also displayed potent antimicrobial activity against Staphylococcus aureus, Salmonella typhi and Escherichia coli, giving a lower minimum inhibitory concentration and minimum bactericidal concentration against Salmonella typhi at 80 mg/ml and 120mg/ml for Staphylococcus aureus and Escherichia coli. The results confirmed the potency of this plant in treating human infections including sexually transmitted diseases and water born infections.","container-title":"INTERNATIONAL SYMPOSIUM ON CURRENT DEVELOPMENTS IN SCIENCE, TECHNOLOGY AND SOCIAL SCIENCES","language":"en","source":"Zotero","title":"PHYTOCHEMICAL CHARACTERIZATION AND ANTIMICROBIAL ACTIVITY OF CHLOROFORM FRACTION OF JATROPHA CURCAS LEAF EXTRACTS.","author":[{"family":"Ahmad","given":"K B"},{"family":"Adam","given":"Ansar Bilyamin"},{"family":"Bello","given":"N M"}],"issued":{"date-parts":[["2023",5,26]]}}},{"id":500,"uris":["http://zotero.org/users/13923419/items/72MQ67J8"],"itemData":{"id":500,"type":"article-journal","container-title":"Bayero Journal of Pure and Applied Sciences","DOI":"http://dx.doi.org/10.4314/bajopas.v14i1.39S","ISSN":"2006 – 6996","title":"Evaluation of pharmacognostic, antioxidant and antimicrobial activities of Jatropha curcas leaves.","author":[{"family":"Namadina","given":"M.M"},{"family":"Haruna","given":"S."},{"family":"Zakari","given":"S.A"},{"family":"Sani","given":"M.H"},{"family":"Sale","given":"A.I"},{"family":"Labaran","given":"H.B."},{"family":"Karaye","given":"S.I"},{"family":"Ibrahim","given":"N.S."}],"issued":{"date-parts":[["2025"]]}}}],"schema":"https://github.com/citation-style-language/schema/raw/master/csl-citation.json"} </w:instrText>
      </w:r>
      <w:r w:rsidR="00087425" w:rsidRPr="00B05055">
        <w:rPr>
          <w:rFonts w:ascii="Arial" w:eastAsia="Calibri" w:hAnsi="Arial" w:cs="Arial"/>
          <w:sz w:val="20"/>
          <w:szCs w:val="20"/>
        </w:rPr>
        <w:fldChar w:fldCharType="separate"/>
      </w:r>
      <w:r w:rsidR="002B341C" w:rsidRPr="002B341C">
        <w:rPr>
          <w:rFonts w:ascii="Arial" w:hAnsi="Arial" w:cs="Arial"/>
          <w:sz w:val="20"/>
        </w:rPr>
        <w:t>(Ahmad et al., 2023; Namadina et al., 2025)</w:t>
      </w:r>
      <w:r w:rsidR="00087425" w:rsidRPr="00B05055">
        <w:rPr>
          <w:rFonts w:ascii="Arial" w:eastAsia="Calibri" w:hAnsi="Arial" w:cs="Arial"/>
          <w:sz w:val="20"/>
          <w:szCs w:val="20"/>
        </w:rPr>
        <w:fldChar w:fldCharType="end"/>
      </w:r>
      <w:r w:rsidR="00087425" w:rsidRPr="00B05055">
        <w:rPr>
          <w:rFonts w:ascii="Arial" w:eastAsia="Calibri" w:hAnsi="Arial" w:cs="Arial"/>
          <w:sz w:val="20"/>
          <w:szCs w:val="20"/>
        </w:rPr>
        <w:t xml:space="preserve">. </w:t>
      </w:r>
      <w:r w:rsidR="00F1239A" w:rsidRPr="00B05055">
        <w:rPr>
          <w:rFonts w:ascii="Arial" w:eastAsia="Calibri" w:hAnsi="Arial" w:cs="Arial"/>
          <w:sz w:val="20"/>
          <w:szCs w:val="20"/>
        </w:rPr>
        <w:t xml:space="preserve">However, the use of Jatropha curcas raises toxicological concerns. The species is best known for the toxicity of its seeds and oil, which are rich in phorbol esters, molecules known for their irritant and hepatotoxic effects </w:t>
      </w:r>
      <w:r w:rsidR="00E87E5F" w:rsidRPr="00B05055">
        <w:rPr>
          <w:rFonts w:ascii="Arial" w:eastAsia="Calibri" w:hAnsi="Arial" w:cs="Arial"/>
          <w:sz w:val="20"/>
          <w:szCs w:val="20"/>
        </w:rPr>
        <w:fldChar w:fldCharType="begin"/>
      </w:r>
      <w:r w:rsidR="002B341C">
        <w:rPr>
          <w:rFonts w:ascii="Arial" w:eastAsia="Calibri" w:hAnsi="Arial" w:cs="Arial"/>
          <w:sz w:val="20"/>
          <w:szCs w:val="20"/>
        </w:rPr>
        <w:instrText xml:space="preserve"> ADDIN ZOTERO_ITEM CSL_CITATION {"citationID":"vFSBvla8","properties":{"formattedCitation":"(Bueso et al., 2016)","plainCitation":"(Bueso et al., 2016)","noteIndex":0},"citationItems":[{"id":510,"uris":["http://zotero.org/users/13923419/items/2V9ATL3J"],"itemData":{"id":510,"type":"article-journal","abstract":"Background: Jatropha curcas L. (Jatropha) is believed to have originated from Mexico and Central America. So far, characterization efforts have focused on Asia, Africa and Mexico. Non-toxic, low phorbol ester (PE) varieties have been found only in Mexico. Differences in PE content in seeds and its structural components, crude oil and cake from Jatropha provenances cultivated in Central and South America were evaluated. Seeds were dehulled, and kernels were separated into tegmen, cotyledons and embryo for PE quantitation by RP-HPLC. Crude oil and cake PE content was also measured.\nResults: No phenotypic departures in seed size and structure were observed among Jatropha cultivated in Central and South America compared to provenances from Mexico, Asia and Africa. Cotyledons comprised 96.2–97.5 %, tegmen 1.6–2.4 % and embryo represented 0.9–1.4 % of dehulled kernel. Total PE content of all nine provenances categorized them as toxic. Significant differences in kernel PE content were observed among provenances from Mexico, Central and South America (P &lt; 0.01), being Mexican the highest (7.6 mg/g) and Cabo Verde the lowest (2.57 mg/g). All accessions had &gt;95 % of PEs concentrated in cotyledons, 0.5–3 % in the tegmen and 0.5–1 % in the embryo. Over 60 % of total PE in dehulled kernels accumulated in the crude oil, while 35–40 % remained in the cake after extraction.\nConclusions: Low phenotypic variability in seed physical, structural traits and PE content was observed among provenances from Latin America. Very high-PE provenances with potential as biopesticide were found in Central America. No PE-free, edible Jatropha was found among provenances currently cultivated in Central America and Brazil that could be used for human consumption and feedstock. Furthermore, dehulled kernel structural parts as well as its crude oil and cake contained toxic PE levels.","container-title":"SpringerPlus","DOI":"10.1186/s40064-016-2103-y","ISSN":"2193-1801","issue":"1","journalAbbreviation":"SpringerPlus","language":"en","page":"445","source":"DOI.org (Crossref)","title":"Phorbol esters seed content and distribution in Latin American provenances of Jatropha curcas L.: potential for biopesticide, food and feed","title-short":"Phorbol esters seed content and distribution in Latin American provenances of Jatropha curcas L.","volume":"5","author":[{"family":"Bueso","given":"Francisco"},{"family":"Sosa","given":"Italo"},{"family":"Chun","given":"Roldan"},{"family":"Pineda","given":"Renan"}],"issued":{"date-parts":[["2016",12]]}}}],"schema":"https://github.com/citation-style-language/schema/raw/master/csl-citation.json"} </w:instrText>
      </w:r>
      <w:r w:rsidR="00E87E5F" w:rsidRPr="00B05055">
        <w:rPr>
          <w:rFonts w:ascii="Arial" w:eastAsia="Calibri" w:hAnsi="Arial" w:cs="Arial"/>
          <w:sz w:val="20"/>
          <w:szCs w:val="20"/>
        </w:rPr>
        <w:fldChar w:fldCharType="separate"/>
      </w:r>
      <w:r w:rsidR="002B341C" w:rsidRPr="002B341C">
        <w:rPr>
          <w:rFonts w:ascii="Arial" w:hAnsi="Arial" w:cs="Arial"/>
          <w:sz w:val="20"/>
        </w:rPr>
        <w:t>(Bueso et al., 2016)</w:t>
      </w:r>
      <w:r w:rsidR="00E87E5F" w:rsidRPr="00B05055">
        <w:rPr>
          <w:rFonts w:ascii="Arial" w:eastAsia="Calibri" w:hAnsi="Arial" w:cs="Arial"/>
          <w:sz w:val="20"/>
          <w:szCs w:val="20"/>
        </w:rPr>
        <w:fldChar w:fldCharType="end"/>
      </w:r>
      <w:r w:rsidR="00E87E5F" w:rsidRPr="00B05055">
        <w:rPr>
          <w:rFonts w:ascii="Arial" w:eastAsia="Calibri" w:hAnsi="Arial" w:cs="Arial"/>
          <w:sz w:val="20"/>
          <w:szCs w:val="20"/>
        </w:rPr>
        <w:t>.</w:t>
      </w:r>
      <w:r w:rsidR="00F1239A" w:rsidRPr="00B05055">
        <w:rPr>
          <w:rFonts w:ascii="Arial" w:hAnsi="Arial" w:cs="Arial"/>
          <w:sz w:val="20"/>
          <w:szCs w:val="20"/>
        </w:rPr>
        <w:t xml:space="preserve"> Nevertheless,</w:t>
      </w:r>
      <w:r w:rsidR="00E87E5F" w:rsidRPr="00B05055">
        <w:rPr>
          <w:rFonts w:ascii="Arial" w:eastAsia="Calibri" w:hAnsi="Arial" w:cs="Arial"/>
          <w:sz w:val="20"/>
          <w:szCs w:val="20"/>
        </w:rPr>
        <w:t xml:space="preserve">, </w:t>
      </w:r>
      <w:r w:rsidR="00E87E5F" w:rsidRPr="00B05055">
        <w:rPr>
          <w:rFonts w:ascii="Arial" w:eastAsia="Calibri" w:hAnsi="Arial" w:cs="Arial"/>
          <w:sz w:val="20"/>
          <w:szCs w:val="20"/>
        </w:rPr>
        <w:fldChar w:fldCharType="begin"/>
      </w:r>
      <w:r w:rsidR="002B341C">
        <w:rPr>
          <w:rFonts w:ascii="Arial" w:eastAsia="Calibri" w:hAnsi="Arial" w:cs="Arial"/>
          <w:sz w:val="20"/>
          <w:szCs w:val="20"/>
        </w:rPr>
        <w:instrText xml:space="preserve"> ADDIN ZOTERO_ITEM CSL_CITATION {"citationID":"lmfWdJQv","properties":{"formattedCitation":"(Sawadogo, Sanou, Dabire, et al., 2018)","plainCitation":"(Sawadogo, Sanou, Dabire, et al., 2018)","noteIndex":0},"citationItems":[{"id":207,"uris":["http://zotero.org/users/13923419/items/WG78ZNN2"],"itemData":{"id":207,"type":"article-journal","container-title":"International Journal of Biological and Chemical Sciences","DOI":"10.4314/ijbcs.v11i5.7","ISSN":"1997-342X, 1991-8631","issue":"5","journalAbbreviation":"Int. J. Bio. Chem. Sci","page":"2016","source":"DOI.org (Crossref)","title":"Activité antifalcémiante d’extraits de trois plantes médicinales du Bukina Faso: &lt;i&gt;Jatropha curcas&lt;/i&gt;, &lt;i&gt;Khaya senegalensis&lt;/i&gt; et &lt;i&gt;Dichrostachys cinerea&lt;/i&gt;","title-short":"Activité antifalcémiante d’extraits de trois plantes médicinales du Bukina Faso","volume":"11","author":[{"family":"Sawadogo","given":"Stanislas"},{"family":"Sanou","given":"Sagazaga Drissa"},{"family":"Dabire","given":"Prosper"},{"family":"Belemtougri","given":"Gourounga Raymond"},{"family":"Sawadogo","given":"Laya"},{"family":"De Leiris","given":"Joël"},{"family":"Tanguy","given":"Stéphane"},{"family":"Boucher","given":"François"}],"issued":{"date-parts":[["2018",1,11]]}}}],"schema":"https://github.com/citation-style-language/schema/raw/master/csl-citation.json"} </w:instrText>
      </w:r>
      <w:r w:rsidR="00E87E5F" w:rsidRPr="00B05055">
        <w:rPr>
          <w:rFonts w:ascii="Arial" w:eastAsia="Calibri" w:hAnsi="Arial" w:cs="Arial"/>
          <w:sz w:val="20"/>
          <w:szCs w:val="20"/>
        </w:rPr>
        <w:fldChar w:fldCharType="separate"/>
      </w:r>
      <w:r w:rsidR="002B341C" w:rsidRPr="002B341C">
        <w:rPr>
          <w:rFonts w:ascii="Arial" w:hAnsi="Arial" w:cs="Arial"/>
          <w:sz w:val="20"/>
        </w:rPr>
        <w:t>(Sawadogo, Sanou, Dabire, et al., 2018)</w:t>
      </w:r>
      <w:r w:rsidR="00E87E5F" w:rsidRPr="00B05055">
        <w:rPr>
          <w:rFonts w:ascii="Arial" w:eastAsia="Calibri" w:hAnsi="Arial" w:cs="Arial"/>
          <w:sz w:val="20"/>
          <w:szCs w:val="20"/>
        </w:rPr>
        <w:fldChar w:fldCharType="end"/>
      </w:r>
      <w:r w:rsidR="00E87E5F" w:rsidRPr="00B05055">
        <w:rPr>
          <w:rFonts w:ascii="Arial" w:eastAsia="Calibri" w:hAnsi="Arial" w:cs="Arial"/>
          <w:sz w:val="20"/>
          <w:szCs w:val="20"/>
        </w:rPr>
        <w:t xml:space="preserve"> </w:t>
      </w:r>
      <w:r w:rsidR="00F1239A" w:rsidRPr="00B05055">
        <w:rPr>
          <w:rFonts w:ascii="Arial" w:hAnsi="Arial" w:cs="Arial"/>
          <w:sz w:val="20"/>
          <w:szCs w:val="20"/>
        </w:rPr>
        <w:t>reported that leaf extracts appear to have a higher overall tolerance. The objective of our study is to conduct a toxicological profile study of Jatropha curcas leaves to support their use in indications related to oxidative stress. A rigorous evaluation (acute and subacute toxicity, histological, biochemical, and hematological analyses) will enable us to better define a safety framework and support reliable therapeutic use.</w:t>
      </w:r>
    </w:p>
    <w:p w14:paraId="108DB95F" w14:textId="77777777" w:rsidR="00F1239A" w:rsidRPr="00B05055" w:rsidRDefault="00F1239A" w:rsidP="00811206">
      <w:pPr>
        <w:spacing w:before="120" w:after="120"/>
        <w:jc w:val="both"/>
        <w:rPr>
          <w:rFonts w:ascii="Arial" w:hAnsi="Arial" w:cs="Arial"/>
          <w:b/>
          <w:bCs/>
          <w:sz w:val="20"/>
          <w:szCs w:val="20"/>
        </w:rPr>
      </w:pPr>
    </w:p>
    <w:p w14:paraId="280D19C0" w14:textId="77777777" w:rsidR="00FF36C5" w:rsidRPr="00B05055" w:rsidRDefault="00431FE5" w:rsidP="00FF36C5">
      <w:pPr>
        <w:rPr>
          <w:rFonts w:ascii="Arial" w:hAnsi="Arial" w:cs="Arial"/>
          <w:b/>
          <w:bCs/>
          <w:sz w:val="22"/>
          <w:szCs w:val="22"/>
        </w:rPr>
      </w:pPr>
      <w:r w:rsidRPr="00B05055">
        <w:rPr>
          <w:rFonts w:ascii="Arial" w:hAnsi="Arial" w:cs="Arial"/>
          <w:b/>
          <w:bCs/>
          <w:sz w:val="22"/>
          <w:szCs w:val="22"/>
        </w:rPr>
        <w:t>2. MATERIALS AND METHODS</w:t>
      </w:r>
    </w:p>
    <w:p w14:paraId="19A1A2FC" w14:textId="77777777" w:rsidR="00FF36C5" w:rsidRPr="00B05055" w:rsidRDefault="00FF36C5" w:rsidP="00FF36C5">
      <w:pPr>
        <w:rPr>
          <w:rFonts w:ascii="Arial" w:hAnsi="Arial" w:cs="Arial"/>
          <w:b/>
          <w:bCs/>
          <w:sz w:val="22"/>
          <w:szCs w:val="22"/>
        </w:rPr>
      </w:pPr>
      <w:r w:rsidRPr="00B05055">
        <w:rPr>
          <w:rFonts w:ascii="Arial" w:hAnsi="Arial" w:cs="Arial"/>
          <w:b/>
          <w:bCs/>
          <w:sz w:val="22"/>
          <w:szCs w:val="22"/>
        </w:rPr>
        <w:t>2.1 Materials</w:t>
      </w:r>
    </w:p>
    <w:p w14:paraId="68F654EB" w14:textId="77777777" w:rsidR="00FF36C5" w:rsidRPr="00B05055" w:rsidRDefault="00FF36C5" w:rsidP="00FF36C5">
      <w:pPr>
        <w:rPr>
          <w:rFonts w:ascii="Arial" w:hAnsi="Arial" w:cs="Arial"/>
          <w:b/>
          <w:bCs/>
          <w:sz w:val="22"/>
          <w:szCs w:val="22"/>
        </w:rPr>
      </w:pPr>
      <w:r w:rsidRPr="00B05055">
        <w:rPr>
          <w:rFonts w:ascii="Arial" w:hAnsi="Arial" w:cs="Arial"/>
          <w:b/>
          <w:bCs/>
          <w:sz w:val="22"/>
          <w:szCs w:val="22"/>
        </w:rPr>
        <w:t>2.1.1. Plant material</w:t>
      </w:r>
    </w:p>
    <w:p w14:paraId="4D249E20" w14:textId="61FA5174" w:rsidR="00FF36C5" w:rsidRPr="00B05055" w:rsidRDefault="00FF36C5" w:rsidP="00FF36C5">
      <w:pPr>
        <w:jc w:val="both"/>
        <w:rPr>
          <w:rFonts w:ascii="Arial" w:hAnsi="Arial" w:cs="Arial"/>
          <w:sz w:val="20"/>
          <w:szCs w:val="20"/>
        </w:rPr>
      </w:pPr>
      <w:r w:rsidRPr="00B05055">
        <w:rPr>
          <w:rFonts w:ascii="Arial" w:hAnsi="Arial" w:cs="Arial"/>
          <w:sz w:val="20"/>
          <w:szCs w:val="20"/>
        </w:rPr>
        <w:t>The plant material consisted of fresh</w:t>
      </w:r>
      <w:r w:rsidR="00954644" w:rsidRPr="00B05055">
        <w:rPr>
          <w:rFonts w:ascii="Arial" w:hAnsi="Arial" w:cs="Arial"/>
          <w:sz w:val="20"/>
          <w:szCs w:val="20"/>
        </w:rPr>
        <w:t xml:space="preserve"> leaves of</w:t>
      </w:r>
      <w:r w:rsidRPr="00B05055">
        <w:rPr>
          <w:rFonts w:ascii="Arial" w:hAnsi="Arial" w:cs="Arial"/>
          <w:sz w:val="20"/>
          <w:szCs w:val="20"/>
        </w:rPr>
        <w:t xml:space="preserve"> </w:t>
      </w:r>
      <w:r w:rsidR="00954644" w:rsidRPr="00B05055">
        <w:rPr>
          <w:rFonts w:ascii="Arial" w:hAnsi="Arial" w:cs="Arial"/>
          <w:i/>
          <w:iCs/>
          <w:sz w:val="20"/>
          <w:szCs w:val="20"/>
        </w:rPr>
        <w:t>Jatropha curcas</w:t>
      </w:r>
      <w:r w:rsidRPr="00B05055">
        <w:rPr>
          <w:rFonts w:ascii="Arial" w:hAnsi="Arial" w:cs="Arial"/>
          <w:sz w:val="20"/>
          <w:szCs w:val="20"/>
        </w:rPr>
        <w:t xml:space="preserve"> </w:t>
      </w:r>
      <w:r w:rsidR="00954644" w:rsidRPr="00B05055">
        <w:rPr>
          <w:rFonts w:ascii="Arial" w:hAnsi="Arial" w:cs="Arial"/>
          <w:sz w:val="20"/>
          <w:szCs w:val="20"/>
        </w:rPr>
        <w:t>haversted</w:t>
      </w:r>
      <w:r w:rsidRPr="00B05055">
        <w:rPr>
          <w:rFonts w:ascii="Arial" w:hAnsi="Arial" w:cs="Arial"/>
          <w:sz w:val="20"/>
          <w:szCs w:val="20"/>
        </w:rPr>
        <w:t xml:space="preserve"> </w:t>
      </w:r>
      <w:r w:rsidR="00954644" w:rsidRPr="00B05055">
        <w:rPr>
          <w:rFonts w:ascii="Arial" w:hAnsi="Arial" w:cs="Arial"/>
          <w:sz w:val="20"/>
          <w:szCs w:val="20"/>
        </w:rPr>
        <w:t xml:space="preserve">at Adjagbo in </w:t>
      </w:r>
      <w:r w:rsidRPr="00B05055">
        <w:rPr>
          <w:rFonts w:ascii="Arial" w:hAnsi="Arial" w:cs="Arial"/>
          <w:sz w:val="20"/>
          <w:szCs w:val="20"/>
        </w:rPr>
        <w:t xml:space="preserve">the commune of </w:t>
      </w:r>
      <w:r w:rsidR="00954644" w:rsidRPr="00B05055">
        <w:rPr>
          <w:rFonts w:ascii="Arial" w:hAnsi="Arial" w:cs="Arial"/>
          <w:sz w:val="20"/>
          <w:szCs w:val="20"/>
        </w:rPr>
        <w:t>Abomey - Calavi</w:t>
      </w:r>
      <w:r w:rsidRPr="00B05055">
        <w:rPr>
          <w:rFonts w:ascii="Arial" w:hAnsi="Arial" w:cs="Arial"/>
          <w:sz w:val="20"/>
          <w:szCs w:val="20"/>
        </w:rPr>
        <w:t xml:space="preserve">. Identification was carried out at the Benin National Herbarium under number HY </w:t>
      </w:r>
      <w:r w:rsidR="00954644" w:rsidRPr="00B05055">
        <w:rPr>
          <w:rFonts w:ascii="Arial" w:hAnsi="Arial" w:cs="Arial"/>
          <w:sz w:val="20"/>
          <w:szCs w:val="20"/>
        </w:rPr>
        <w:t>843</w:t>
      </w:r>
      <w:r w:rsidRPr="00B05055">
        <w:rPr>
          <w:rFonts w:ascii="Arial" w:hAnsi="Arial" w:cs="Arial"/>
          <w:sz w:val="20"/>
          <w:szCs w:val="20"/>
        </w:rPr>
        <w:t>/HNB. After being washed, cut and dried at a temperature of 20 °C±2 under air conditioning for two weeks, the roots were pulverized using an electric grinder (MARLEX Electronic Excella). The resulting powders were stored in plant packaging bags (double PM kraft bags) prior to extraction.</w:t>
      </w:r>
    </w:p>
    <w:p w14:paraId="10D31AE7" w14:textId="036C771E" w:rsidR="00FF36C5" w:rsidRDefault="002A57AE" w:rsidP="00FF36C5">
      <w:pPr>
        <w:jc w:val="both"/>
      </w:pPr>
      <w:r>
        <w:rPr>
          <w:noProof/>
        </w:rPr>
        <w:drawing>
          <wp:inline distT="0" distB="0" distL="0" distR="0" wp14:anchorId="73227E62" wp14:editId="0D576730">
            <wp:extent cx="3305175" cy="2238375"/>
            <wp:effectExtent l="0" t="0" r="9525" b="9525"/>
            <wp:docPr id="2096605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605473" name=""/>
                    <pic:cNvPicPr/>
                  </pic:nvPicPr>
                  <pic:blipFill>
                    <a:blip r:embed="rId7"/>
                    <a:stretch>
                      <a:fillRect/>
                    </a:stretch>
                  </pic:blipFill>
                  <pic:spPr>
                    <a:xfrm>
                      <a:off x="0" y="0"/>
                      <a:ext cx="3305175" cy="2238375"/>
                    </a:xfrm>
                    <a:prstGeom prst="rect">
                      <a:avLst/>
                    </a:prstGeom>
                  </pic:spPr>
                </pic:pic>
              </a:graphicData>
            </a:graphic>
          </wp:inline>
        </w:drawing>
      </w:r>
    </w:p>
    <w:p w14:paraId="0DBBCB44" w14:textId="77777777" w:rsidR="00FF36C5" w:rsidRPr="00B05055" w:rsidRDefault="00FF36C5" w:rsidP="00FF36C5">
      <w:pPr>
        <w:jc w:val="both"/>
        <w:rPr>
          <w:rFonts w:ascii="Arial" w:hAnsi="Arial" w:cs="Arial"/>
          <w:sz w:val="20"/>
          <w:szCs w:val="20"/>
        </w:rPr>
      </w:pPr>
      <w:r w:rsidRPr="00B05055">
        <w:rPr>
          <w:rFonts w:ascii="Arial" w:hAnsi="Arial" w:cs="Arial"/>
          <w:b/>
          <w:bCs/>
          <w:sz w:val="20"/>
          <w:szCs w:val="20"/>
        </w:rPr>
        <w:t xml:space="preserve">Fig 1 : </w:t>
      </w:r>
      <w:r w:rsidRPr="00B05055">
        <w:rPr>
          <w:rFonts w:ascii="Arial" w:hAnsi="Arial" w:cs="Arial"/>
          <w:sz w:val="20"/>
          <w:szCs w:val="20"/>
        </w:rPr>
        <w:t xml:space="preserve">Plate showing the </w:t>
      </w:r>
      <w:r w:rsidR="006B4178" w:rsidRPr="00B05055">
        <w:rPr>
          <w:rFonts w:ascii="Arial" w:hAnsi="Arial" w:cs="Arial"/>
          <w:sz w:val="20"/>
          <w:szCs w:val="20"/>
        </w:rPr>
        <w:t xml:space="preserve">leaves </w:t>
      </w:r>
      <w:r w:rsidRPr="00B05055">
        <w:rPr>
          <w:rFonts w:ascii="Arial" w:hAnsi="Arial" w:cs="Arial"/>
          <w:sz w:val="20"/>
          <w:szCs w:val="20"/>
        </w:rPr>
        <w:t xml:space="preserve">of the plant species studied </w:t>
      </w:r>
    </w:p>
    <w:p w14:paraId="78719DC8" w14:textId="77777777" w:rsidR="00FF36C5" w:rsidRPr="00431FE5" w:rsidRDefault="00FF36C5" w:rsidP="00FF36C5">
      <w:pPr>
        <w:jc w:val="both"/>
        <w:rPr>
          <w:rFonts w:ascii="Arial" w:hAnsi="Arial" w:cs="Arial"/>
          <w:b/>
          <w:bCs/>
          <w:sz w:val="20"/>
          <w:szCs w:val="20"/>
        </w:rPr>
      </w:pPr>
      <w:r w:rsidRPr="00431FE5">
        <w:rPr>
          <w:rFonts w:ascii="Arial" w:hAnsi="Arial" w:cs="Arial"/>
          <w:b/>
          <w:bCs/>
          <w:sz w:val="20"/>
          <w:szCs w:val="20"/>
        </w:rPr>
        <w:t>2.1.2. Biological material</w:t>
      </w:r>
    </w:p>
    <w:p w14:paraId="39BEF6B2" w14:textId="77777777" w:rsidR="00850A5E" w:rsidRPr="00431FE5" w:rsidRDefault="00FF36C5" w:rsidP="00850A5E">
      <w:pPr>
        <w:jc w:val="both"/>
        <w:rPr>
          <w:rFonts w:ascii="Arial" w:hAnsi="Arial" w:cs="Arial"/>
          <w:sz w:val="20"/>
          <w:szCs w:val="20"/>
        </w:rPr>
      </w:pPr>
      <w:r w:rsidRPr="00431FE5">
        <w:rPr>
          <w:rFonts w:ascii="Arial" w:hAnsi="Arial" w:cs="Arial"/>
          <w:sz w:val="20"/>
          <w:szCs w:val="20"/>
        </w:rPr>
        <w:t>The acute and subchronic toxicity studies were carried out according to the OECD guidelines, respectively Standards</w:t>
      </w:r>
      <w:r w:rsidR="00850A5E" w:rsidRPr="00431FE5">
        <w:rPr>
          <w:rFonts w:ascii="Arial" w:hAnsi="Arial" w:cs="Arial"/>
          <w:sz w:val="20"/>
          <w:szCs w:val="20"/>
        </w:rPr>
        <w:t xml:space="preserve"> </w:t>
      </w:r>
      <w:r w:rsidRPr="00431FE5">
        <w:rPr>
          <w:rFonts w:ascii="Arial" w:hAnsi="Arial" w:cs="Arial"/>
          <w:sz w:val="20"/>
          <w:szCs w:val="20"/>
        </w:rPr>
        <w:t>42</w:t>
      </w:r>
      <w:r w:rsidR="009F4BA4" w:rsidRPr="00431FE5">
        <w:rPr>
          <w:rFonts w:ascii="Arial" w:hAnsi="Arial" w:cs="Arial"/>
          <w:sz w:val="20"/>
          <w:szCs w:val="20"/>
        </w:rPr>
        <w:t>5</w:t>
      </w:r>
      <w:r w:rsidRPr="00431FE5">
        <w:rPr>
          <w:rFonts w:ascii="Arial" w:hAnsi="Arial" w:cs="Arial"/>
          <w:sz w:val="20"/>
          <w:szCs w:val="20"/>
        </w:rPr>
        <w:t xml:space="preserve"> and 407</w:t>
      </w:r>
      <w:r w:rsidR="009F4BA4" w:rsidRPr="00431FE5">
        <w:rPr>
          <w:rFonts w:ascii="Arial" w:hAnsi="Arial" w:cs="Arial"/>
          <w:sz w:val="20"/>
          <w:szCs w:val="20"/>
        </w:rPr>
        <w:t xml:space="preserve"> </w:t>
      </w:r>
      <w:r w:rsidR="009F4BA4" w:rsidRPr="00431FE5">
        <w:rPr>
          <w:rFonts w:ascii="Arial" w:hAnsi="Arial" w:cs="Arial"/>
          <w:sz w:val="20"/>
          <w:szCs w:val="20"/>
        </w:rPr>
        <w:fldChar w:fldCharType="begin"/>
      </w:r>
      <w:r w:rsidR="002B341C">
        <w:rPr>
          <w:rFonts w:ascii="Arial" w:hAnsi="Arial" w:cs="Arial"/>
          <w:sz w:val="20"/>
          <w:szCs w:val="20"/>
        </w:rPr>
        <w:instrText xml:space="preserve"> ADDIN ZOTERO_ITEM CSL_CITATION {"citationID":"izYgzQfK","properties":{"formattedCitation":"(OCDE, 2022, 2025)","plainCitation":"(OCDE, 2022, 2025)","noteIndex":0},"citationItems":[{"id":57,"uris":["http://zotero.org/users/13923419/items/7QCUUFIN"],"itemData":{"id":57,"type":"book","collection-title":"Lignes directrices de l'OCDE pour les essais de produits chimiques, Section 4","ISBN":"978-92-64-07105-6","language":"fr","note":"DOI: 10.1787/9789264071056-fr","publisher":"OECD","source":"DOI.org (Crossref)","title":"Essai n° 425: Toxicité aiguë par voie orale: méthode de l'ajustement des doses","title-short":"Essai n° 425","URL":"https://www.oecd.org/fr/publications/essai-n-425-toxicite-aigue-par-voie-orale-methode-de-l-ajustement-des-doses_9789264071056-fr.html","author":[{"literal":"OCDE"}],"accessed":{"date-parts":[["2025",3,25]]},"issued":{"date-parts":[["2022",6,30]]}}},{"id":514,"uris":["http://zotero.org/users/13923419/items/G52A4ZHB"],"itemData":{"id":514,"type":"book","collection-title":"Lignes directrices de l'OCDE pour les essais de produits chimiques, Section 4","ISBN":"978-92-64-07069-1","language":"fr","note":"DOI: 10.1787/9789264070691-fr","publisher":"Éditions OCDE","source":"DOI.org (Crossref)","title":"Essai n° 407: Toxicité orale à doses répétées - pendant 28 jours sur les rongeurs","title-short":"Essai n° 407","URL":"https://www.oecd.org/fr/publications/essai-n-407-toxicite-orale-a-doses-repetees-pendant-28-jours-sur-les-rongeurs_9789264070691-fr.html","author":[{"literal":"OCDE"}],"accessed":{"date-parts":[["2025",8,20]]},"issued":{"date-parts":[["2025",6,25]]}}}],"schema":"https://github.com/citation-style-language/schema/raw/master/csl-citation.json"} </w:instrText>
      </w:r>
      <w:r w:rsidR="009F4BA4" w:rsidRPr="00431FE5">
        <w:rPr>
          <w:rFonts w:ascii="Arial" w:hAnsi="Arial" w:cs="Arial"/>
          <w:sz w:val="20"/>
          <w:szCs w:val="20"/>
        </w:rPr>
        <w:fldChar w:fldCharType="separate"/>
      </w:r>
      <w:r w:rsidR="002B341C" w:rsidRPr="002B341C">
        <w:rPr>
          <w:rFonts w:ascii="Arial" w:hAnsi="Arial" w:cs="Arial"/>
          <w:sz w:val="20"/>
        </w:rPr>
        <w:t>(OCDE, 2022, 2025)</w:t>
      </w:r>
      <w:r w:rsidR="009F4BA4" w:rsidRPr="00431FE5">
        <w:rPr>
          <w:rFonts w:ascii="Arial" w:hAnsi="Arial" w:cs="Arial"/>
          <w:sz w:val="20"/>
          <w:szCs w:val="20"/>
        </w:rPr>
        <w:fldChar w:fldCharType="end"/>
      </w:r>
      <w:r w:rsidRPr="00431FE5">
        <w:rPr>
          <w:rFonts w:ascii="Arial" w:hAnsi="Arial" w:cs="Arial"/>
          <w:sz w:val="20"/>
          <w:szCs w:val="20"/>
        </w:rPr>
        <w:t>. The biological material consists of thirty-eight female rats of non-gravid Wistar strain, coming from the laboratory animal facility. Cytogenetic Histo-Embryology and Reproductive Biology of the Institute of Applied Biomedical Sciences (ISBA) Benin. These rats distributed</w:t>
      </w:r>
      <w:r w:rsidR="00850A5E" w:rsidRPr="00431FE5">
        <w:rPr>
          <w:rFonts w:ascii="Arial" w:hAnsi="Arial" w:cs="Arial"/>
          <w:sz w:val="20"/>
          <w:szCs w:val="20"/>
        </w:rPr>
        <w:t xml:space="preserve"> as </w:t>
      </w:r>
      <w:proofErr w:type="gramStart"/>
      <w:r w:rsidR="00850A5E" w:rsidRPr="00431FE5">
        <w:rPr>
          <w:rFonts w:ascii="Arial" w:hAnsi="Arial" w:cs="Arial"/>
          <w:sz w:val="20"/>
          <w:szCs w:val="20"/>
        </w:rPr>
        <w:t>follows:</w:t>
      </w:r>
      <w:proofErr w:type="gramEnd"/>
      <w:r w:rsidR="00850A5E" w:rsidRPr="00431FE5">
        <w:rPr>
          <w:rFonts w:ascii="Arial" w:hAnsi="Arial" w:cs="Arial"/>
          <w:sz w:val="20"/>
          <w:szCs w:val="20"/>
        </w:rPr>
        <w:t xml:space="preserve"> acute toxicity eight rats and subchronic toxicity thirty-two rats. The rats used have a weight of between 160 g ± 20%.</w:t>
      </w:r>
    </w:p>
    <w:p w14:paraId="6E0ADA03" w14:textId="77777777" w:rsidR="00A53A02" w:rsidRPr="00431FE5" w:rsidRDefault="00A53A02" w:rsidP="00A53A02">
      <w:pPr>
        <w:jc w:val="both"/>
        <w:rPr>
          <w:rFonts w:ascii="Arial" w:hAnsi="Arial" w:cs="Arial"/>
          <w:b/>
          <w:bCs/>
          <w:sz w:val="20"/>
          <w:szCs w:val="20"/>
        </w:rPr>
      </w:pPr>
      <w:r w:rsidRPr="00431FE5">
        <w:rPr>
          <w:rFonts w:ascii="Arial" w:hAnsi="Arial" w:cs="Arial"/>
          <w:b/>
          <w:bCs/>
          <w:sz w:val="20"/>
          <w:szCs w:val="20"/>
        </w:rPr>
        <w:t>2.2 Methods</w:t>
      </w:r>
    </w:p>
    <w:p w14:paraId="315A8CA4" w14:textId="77777777" w:rsidR="00A53A02" w:rsidRPr="00431FE5" w:rsidRDefault="00A53A02" w:rsidP="00A53A02">
      <w:pPr>
        <w:jc w:val="both"/>
        <w:rPr>
          <w:rFonts w:ascii="Arial" w:hAnsi="Arial" w:cs="Arial"/>
          <w:b/>
          <w:bCs/>
          <w:sz w:val="20"/>
          <w:szCs w:val="20"/>
        </w:rPr>
      </w:pPr>
      <w:r w:rsidRPr="00431FE5">
        <w:rPr>
          <w:rFonts w:ascii="Arial" w:hAnsi="Arial" w:cs="Arial"/>
          <w:b/>
          <w:bCs/>
          <w:sz w:val="20"/>
          <w:szCs w:val="20"/>
        </w:rPr>
        <w:t>2.2.1 Preparation of the ethanolic extract</w:t>
      </w:r>
      <w:r w:rsidR="004A1D4F" w:rsidRPr="00431FE5">
        <w:rPr>
          <w:rFonts w:ascii="Arial" w:hAnsi="Arial" w:cs="Arial"/>
          <w:b/>
          <w:bCs/>
          <w:sz w:val="20"/>
          <w:szCs w:val="20"/>
        </w:rPr>
        <w:t xml:space="preserve"> </w:t>
      </w:r>
    </w:p>
    <w:p w14:paraId="79D24A9D" w14:textId="77777777" w:rsidR="00A53A02" w:rsidRPr="00431FE5" w:rsidRDefault="00A53A02" w:rsidP="00A53A02">
      <w:pPr>
        <w:jc w:val="both"/>
        <w:rPr>
          <w:rFonts w:ascii="Arial" w:hAnsi="Arial" w:cs="Arial"/>
          <w:sz w:val="20"/>
          <w:szCs w:val="20"/>
        </w:rPr>
      </w:pPr>
      <w:r w:rsidRPr="00431FE5">
        <w:rPr>
          <w:rFonts w:ascii="Arial" w:hAnsi="Arial" w:cs="Arial"/>
          <w:sz w:val="20"/>
          <w:szCs w:val="20"/>
        </w:rPr>
        <w:lastRenderedPageBreak/>
        <w:t xml:space="preserve">The extract was prepared according to the method described previously by </w:t>
      </w:r>
      <w:r w:rsidR="00385E8B" w:rsidRPr="00431FE5">
        <w:rPr>
          <w:rFonts w:ascii="Arial" w:hAnsi="Arial" w:cs="Arial"/>
          <w:sz w:val="20"/>
          <w:szCs w:val="20"/>
        </w:rPr>
        <w:fldChar w:fldCharType="begin"/>
      </w:r>
      <w:r w:rsidR="00030B7B" w:rsidRPr="00431FE5">
        <w:rPr>
          <w:rFonts w:ascii="Arial" w:hAnsi="Arial" w:cs="Arial"/>
          <w:sz w:val="20"/>
          <w:szCs w:val="20"/>
        </w:rPr>
        <w:instrText xml:space="preserve"> ADDIN ZOTERO_ITEM CSL_CITATION {"citationID":"xrw0OZrN","properties":{"formattedCitation":"(Kp\\uc0\\u232{}t\\uc0\\u232{}hoto et al., 2019)","plainCitation":"(Kpètèhoto et al., 2019)","dontUpdate":true,"noteIndex":0},"citationItems":[{"id":"f5T2ScnD/qHfbILWt","uris":["http://zotero.org/users/13923419/items/BIQ8CHDZ"],"itemData":{"id":627,"type":"article-journal","abstract":"In the Benin pharmacopoeia, the use of Ocimum gratissimum Linn (Lamiaceae) based on the empirical knowledge is widespread. The objective of this work is the matching of the virtues attributed to this plant in folk medicine with the biomolecules present through a thorough phytochemical exploration. Standard screening is based on the differential reactions of precipitation and staining. Phenolic compounds, total flavonoids, and condensed tannins were quantified by colorimetric Folin–Ciocalteu, AlCl3, and acid vanillin methods, respectively. Phenolic acids were investigated by the HPLC Ultimate 3000 chain and the antioxidant capacity evaluated by the ferric reducing antioxidant power method coupled with that of 2,2-diphenyl-1-picrylhydrazyl. Standard screening revealed the presence of flavonoids, alkaloids, tannins, anthracene derivatives, steroids, and terpenoids. The total contents of phenolics, flavonoids, and tannins were 56.59 mg gallic acid equivalent /100 mg, 13.71 mgEQ/100 mg, and 8.6 mgEC/100 mg, respectively. For specific assays, three flavonoids (chrysin, isorhamnetin, and quercetin) and six phenolic acids (tannic, ellargic, ferrulic, syringic, chlorogenic, and caffeic) have been identified. The antioxidant activity ranges from 78.92 to 106.25 mmol. Ascorbic acid equivalent /g extract with free radical inhibition ranging from 5.24% to 76.59%. The 50% inhibitory concentration giving a value of 6.175 mg ml−1 is greater than that of the pure molecule. The presence of these phytocompounds endowed with antiradical power testifies to the medicinal potentialities of O. gratissimum. These results confirm the empirical use of O. gratissimum in this study area.","container-title":"Journal of Applied Biology &amp; Biotechnology","DOI":"10.7324/JABB.2019.70412","ISSN":"24557005, 2347212X","issue":"4","journalAbbreviation":"Jabb","language":"en","page":"75-83","source":"DOI.org (Crossref)","title":"Phytochemical analysis and antioxidant potential of Ocimum gratissimum Linn (Lamiaceae) commonly consumed in the Republic of Benin","volume":"7","author":[{"family":"Kpètèhoto","given":"Hinnoutondji Wilfrid"},{"family":"Amoussa","given":"Abdou Madjid Olatoundé"},{"family":"Johnson","given":"Roch Christian"},{"family":"Houéto","given":"Eustache Enock Meinsan"},{"family":"Mignanwandé","given":"Franck Maurille Zinsou"},{"family":"Yédomonhan","given":"Hounnankpon"},{"family":"Loko","given":"Frédéric"},{"family":"Bankolé","given":"Honoré"},{"family":"Lagnika","given":"Latifou"}],"issued":{"date-parts":[["2019",7]]}}}],"schema":"https://github.com/citation-style-language/schema/raw/master/csl-citation.json"} </w:instrText>
      </w:r>
      <w:r w:rsidR="00385E8B" w:rsidRPr="00431FE5">
        <w:rPr>
          <w:rFonts w:ascii="Arial" w:hAnsi="Arial" w:cs="Arial"/>
          <w:sz w:val="20"/>
          <w:szCs w:val="20"/>
        </w:rPr>
        <w:fldChar w:fldCharType="separate"/>
      </w:r>
      <w:r w:rsidR="00385E8B" w:rsidRPr="00431FE5">
        <w:rPr>
          <w:rFonts w:ascii="Arial" w:hAnsi="Arial" w:cs="Arial"/>
          <w:sz w:val="20"/>
          <w:szCs w:val="20"/>
        </w:rPr>
        <w:t xml:space="preserve">Kpètèhoto </w:t>
      </w:r>
      <w:r w:rsidR="00385E8B" w:rsidRPr="00431FE5">
        <w:rPr>
          <w:rFonts w:ascii="Arial" w:hAnsi="Arial" w:cs="Arial"/>
          <w:i/>
          <w:sz w:val="20"/>
          <w:szCs w:val="20"/>
        </w:rPr>
        <w:t>et al</w:t>
      </w:r>
      <w:r w:rsidR="00385E8B" w:rsidRPr="00431FE5">
        <w:rPr>
          <w:rFonts w:ascii="Arial" w:hAnsi="Arial" w:cs="Arial"/>
          <w:sz w:val="20"/>
          <w:szCs w:val="20"/>
        </w:rPr>
        <w:t>. (2019)</w:t>
      </w:r>
      <w:r w:rsidR="00385E8B" w:rsidRPr="00431FE5">
        <w:rPr>
          <w:rFonts w:ascii="Arial" w:hAnsi="Arial" w:cs="Arial"/>
          <w:sz w:val="20"/>
          <w:szCs w:val="20"/>
        </w:rPr>
        <w:fldChar w:fldCharType="end"/>
      </w:r>
      <w:r w:rsidRPr="00431FE5">
        <w:rPr>
          <w:rFonts w:ascii="Arial" w:hAnsi="Arial" w:cs="Arial"/>
          <w:sz w:val="20"/>
          <w:szCs w:val="20"/>
        </w:rPr>
        <w:t>. The powdered plant material (200 g) was extracted by maceration with stirring for 48 h at room temperature (20 °C±2) with 2000 ml of the ethanol-water mixture (</w:t>
      </w:r>
      <w:proofErr w:type="gramStart"/>
      <w:r w:rsidRPr="00431FE5">
        <w:rPr>
          <w:rFonts w:ascii="Arial" w:hAnsi="Arial" w:cs="Arial"/>
          <w:sz w:val="20"/>
          <w:szCs w:val="20"/>
        </w:rPr>
        <w:t>50:</w:t>
      </w:r>
      <w:proofErr w:type="gramEnd"/>
      <w:r w:rsidRPr="00431FE5">
        <w:rPr>
          <w:rFonts w:ascii="Arial" w:hAnsi="Arial" w:cs="Arial"/>
          <w:sz w:val="20"/>
          <w:szCs w:val="20"/>
        </w:rPr>
        <w:t xml:space="preserve">50) using a mechanical shaker (IKA KS 260 basic). The extraction was carried out twice on the same starting plant material. The macerates obtained were filtered with cotton and then on Whatman paper (N°1001-150 Grade 1.150 mm Ø, batch of 100). The filtrates obtained were dried under reduced pressure using a rotary evaporator (BUCHI Rotavapor R-100). The extracts obtained were stored at 4 °C for phytochemical and biological analysis. </w:t>
      </w:r>
    </w:p>
    <w:p w14:paraId="13855D7A" w14:textId="77777777" w:rsidR="00A53A02" w:rsidRDefault="00A53A02" w:rsidP="00A53A02">
      <w:pPr>
        <w:jc w:val="both"/>
        <w:rPr>
          <w:b/>
          <w:bCs/>
        </w:rPr>
      </w:pPr>
    </w:p>
    <w:p w14:paraId="7E5FCF48" w14:textId="77777777" w:rsidR="00A53A02" w:rsidRPr="00431FE5" w:rsidRDefault="00A53A02" w:rsidP="00A53A02">
      <w:pPr>
        <w:jc w:val="both"/>
        <w:rPr>
          <w:rFonts w:ascii="Arial" w:hAnsi="Arial" w:cs="Arial"/>
          <w:sz w:val="22"/>
          <w:szCs w:val="22"/>
        </w:rPr>
      </w:pPr>
      <w:r w:rsidRPr="00431FE5">
        <w:rPr>
          <w:rFonts w:ascii="Arial" w:hAnsi="Arial" w:cs="Arial"/>
          <w:b/>
          <w:bCs/>
          <w:sz w:val="22"/>
          <w:szCs w:val="22"/>
        </w:rPr>
        <w:t xml:space="preserve">2.2.2. Yield </w:t>
      </w:r>
    </w:p>
    <w:p w14:paraId="3CA005AD" w14:textId="77777777" w:rsidR="00A53A02" w:rsidRPr="00431FE5" w:rsidRDefault="00A53A02" w:rsidP="00A53A02">
      <w:pPr>
        <w:jc w:val="both"/>
        <w:rPr>
          <w:rFonts w:ascii="Arial" w:hAnsi="Arial" w:cs="Arial"/>
          <w:sz w:val="20"/>
          <w:szCs w:val="20"/>
        </w:rPr>
      </w:pPr>
      <w:r w:rsidRPr="00431FE5">
        <w:rPr>
          <w:rFonts w:ascii="Arial" w:hAnsi="Arial" w:cs="Arial"/>
          <w:sz w:val="20"/>
          <w:szCs w:val="20"/>
        </w:rPr>
        <w:t xml:space="preserve">The yield of the extract was calculated according to the formula </w:t>
      </w:r>
      <w:proofErr w:type="gramStart"/>
      <w:r w:rsidRPr="00431FE5">
        <w:rPr>
          <w:rFonts w:ascii="Arial" w:hAnsi="Arial" w:cs="Arial"/>
          <w:sz w:val="20"/>
          <w:szCs w:val="20"/>
        </w:rPr>
        <w:t>below:</w:t>
      </w:r>
      <w:proofErr w:type="gramEnd"/>
      <w:r w:rsidRPr="00431FE5">
        <w:rPr>
          <w:rFonts w:ascii="Arial" w:hAnsi="Arial" w:cs="Arial"/>
          <w:sz w:val="20"/>
          <w:szCs w:val="20"/>
        </w:rPr>
        <w:t xml:space="preserve"> </w:t>
      </w:r>
    </w:p>
    <w:p w14:paraId="620695E3" w14:textId="77777777" w:rsidR="00A53A02" w:rsidRPr="00431FE5" w:rsidRDefault="00A53A02" w:rsidP="00A53A02">
      <w:pPr>
        <w:jc w:val="both"/>
        <w:rPr>
          <w:rFonts w:ascii="Arial" w:hAnsi="Arial" w:cs="Arial"/>
          <w:sz w:val="20"/>
          <w:szCs w:val="20"/>
        </w:rPr>
      </w:pPr>
      <w:r w:rsidRPr="00431FE5">
        <w:rPr>
          <w:rFonts w:ascii="Arial" w:hAnsi="Arial" w:cs="Arial"/>
          <w:sz w:val="20"/>
          <w:szCs w:val="20"/>
        </w:rPr>
        <w:t xml:space="preserve">Yield (R) = ME/MV*100 with </w:t>
      </w:r>
    </w:p>
    <w:p w14:paraId="31B10FB7" w14:textId="77777777" w:rsidR="00A53A02" w:rsidRPr="00431FE5" w:rsidRDefault="000A1D36" w:rsidP="00A53A02">
      <w:pPr>
        <w:jc w:val="both"/>
        <w:rPr>
          <w:rFonts w:ascii="Arial" w:hAnsi="Arial" w:cs="Arial"/>
          <w:sz w:val="20"/>
          <w:szCs w:val="20"/>
        </w:rPr>
      </w:pPr>
      <w:r w:rsidRPr="00431FE5">
        <w:rPr>
          <w:rFonts w:ascii="Arial" w:hAnsi="Arial" w:cs="Arial"/>
          <w:sz w:val="20"/>
          <w:szCs w:val="20"/>
        </w:rPr>
        <w:t>ME :</w:t>
      </w:r>
      <w:r w:rsidR="00A53A02" w:rsidRPr="00431FE5">
        <w:rPr>
          <w:rFonts w:ascii="Arial" w:hAnsi="Arial" w:cs="Arial"/>
          <w:sz w:val="20"/>
          <w:szCs w:val="20"/>
        </w:rPr>
        <w:t xml:space="preserve"> Mass of </w:t>
      </w:r>
      <w:proofErr w:type="gramStart"/>
      <w:r w:rsidR="00A53A02" w:rsidRPr="00431FE5">
        <w:rPr>
          <w:rFonts w:ascii="Arial" w:hAnsi="Arial" w:cs="Arial"/>
          <w:sz w:val="20"/>
          <w:szCs w:val="20"/>
        </w:rPr>
        <w:t>extract;</w:t>
      </w:r>
      <w:proofErr w:type="gramEnd"/>
      <w:r w:rsidR="00A53A02" w:rsidRPr="00431FE5">
        <w:rPr>
          <w:rFonts w:ascii="Arial" w:hAnsi="Arial" w:cs="Arial"/>
          <w:sz w:val="20"/>
          <w:szCs w:val="20"/>
        </w:rPr>
        <w:t xml:space="preserve"> </w:t>
      </w:r>
    </w:p>
    <w:p w14:paraId="70B4A8AF" w14:textId="77777777" w:rsidR="00A53A02" w:rsidRPr="00431FE5" w:rsidRDefault="000A1D36" w:rsidP="00A53A02">
      <w:pPr>
        <w:jc w:val="both"/>
        <w:rPr>
          <w:rFonts w:ascii="Arial" w:hAnsi="Arial" w:cs="Arial"/>
          <w:sz w:val="20"/>
          <w:szCs w:val="20"/>
        </w:rPr>
      </w:pPr>
      <w:r w:rsidRPr="00431FE5">
        <w:rPr>
          <w:rFonts w:ascii="Arial" w:hAnsi="Arial" w:cs="Arial"/>
          <w:sz w:val="20"/>
          <w:szCs w:val="20"/>
        </w:rPr>
        <w:t>MV :</w:t>
      </w:r>
      <w:r w:rsidR="00A53A02" w:rsidRPr="00431FE5">
        <w:rPr>
          <w:rFonts w:ascii="Arial" w:hAnsi="Arial" w:cs="Arial"/>
          <w:sz w:val="20"/>
          <w:szCs w:val="20"/>
        </w:rPr>
        <w:t xml:space="preserve"> Mass of plant material </w:t>
      </w:r>
    </w:p>
    <w:p w14:paraId="5DB82D2B" w14:textId="77777777" w:rsidR="00EF393C" w:rsidRDefault="00EF393C" w:rsidP="00A53A02">
      <w:pPr>
        <w:jc w:val="both"/>
        <w:rPr>
          <w:b/>
          <w:bCs/>
        </w:rPr>
      </w:pPr>
    </w:p>
    <w:p w14:paraId="7DA9C487" w14:textId="77777777" w:rsidR="00A53A02" w:rsidRPr="00B05055" w:rsidRDefault="009C48B5" w:rsidP="00A53A02">
      <w:pPr>
        <w:jc w:val="both"/>
        <w:rPr>
          <w:rFonts w:ascii="Arial" w:hAnsi="Arial" w:cs="Arial"/>
          <w:b/>
          <w:bCs/>
          <w:sz w:val="22"/>
          <w:szCs w:val="22"/>
        </w:rPr>
      </w:pPr>
      <w:r w:rsidRPr="00B05055">
        <w:rPr>
          <w:rFonts w:ascii="Arial" w:hAnsi="Arial" w:cs="Arial"/>
          <w:b/>
          <w:bCs/>
          <w:sz w:val="22"/>
          <w:szCs w:val="22"/>
        </w:rPr>
        <w:t>2.2.3. Procedure of the acute oral safety test</w:t>
      </w:r>
    </w:p>
    <w:p w14:paraId="74E55D2F" w14:textId="77777777" w:rsidR="00B31C88" w:rsidRPr="00B05055" w:rsidRDefault="009C48B5" w:rsidP="009C48B5">
      <w:pPr>
        <w:jc w:val="both"/>
        <w:rPr>
          <w:rFonts w:ascii="Arial" w:hAnsi="Arial" w:cs="Arial"/>
          <w:sz w:val="20"/>
          <w:szCs w:val="20"/>
        </w:rPr>
      </w:pPr>
      <w:r w:rsidRPr="00B05055">
        <w:rPr>
          <w:rFonts w:ascii="Arial" w:hAnsi="Arial" w:cs="Arial"/>
          <w:sz w:val="20"/>
          <w:szCs w:val="20"/>
        </w:rPr>
        <w:t xml:space="preserve">Acute toxicity by oral gavage was performed using an intragastric probe in accordance with </w:t>
      </w:r>
      <w:r w:rsidR="001543F4" w:rsidRPr="00B05055">
        <w:rPr>
          <w:rFonts w:ascii="Arial" w:hAnsi="Arial" w:cs="Arial"/>
          <w:sz w:val="20"/>
          <w:szCs w:val="20"/>
        </w:rPr>
        <w:fldChar w:fldCharType="begin"/>
      </w:r>
      <w:r w:rsidR="002B341C">
        <w:rPr>
          <w:rFonts w:ascii="Arial" w:hAnsi="Arial" w:cs="Arial"/>
          <w:sz w:val="20"/>
          <w:szCs w:val="20"/>
        </w:rPr>
        <w:instrText xml:space="preserve"> ADDIN ZOTERO_ITEM CSL_CITATION {"citationID":"8BsWdDV2","properties":{"formattedCitation":"(OCDE, 2022)","plainCitation":"(OCDE, 2022)","noteIndex":0},"citationItems":[{"id":57,"uris":["http://zotero.org/users/13923419/items/7QCUUFIN"],"itemData":{"id":57,"type":"book","collection-title":"Lignes directrices de l'OCDE pour les essais de produits chimiques, Section 4","ISBN":"978-92-64-07105-6","language":"fr","note":"DOI: 10.1787/9789264071056-fr","publisher":"OECD","source":"DOI.org (Crossref)","title":"Essai n° 425: Toxicité aiguë par voie orale: méthode de l'ajustement des doses","title-short":"Essai n° 425","URL":"https://www.oecd.org/fr/publications/essai-n-425-toxicite-aigue-par-voie-orale-methode-de-l-ajustement-des-doses_9789264071056-fr.html","author":[{"literal":"OCDE"}],"accessed":{"date-parts":[["2025",3,25]]},"issued":{"date-parts":[["2022",6,30]]}}}],"schema":"https://github.com/citation-style-language/schema/raw/master/csl-citation.json"} </w:instrText>
      </w:r>
      <w:r w:rsidR="001543F4" w:rsidRPr="00B05055">
        <w:rPr>
          <w:rFonts w:ascii="Arial" w:hAnsi="Arial" w:cs="Arial"/>
          <w:sz w:val="20"/>
          <w:szCs w:val="20"/>
        </w:rPr>
        <w:fldChar w:fldCharType="separate"/>
      </w:r>
      <w:r w:rsidR="002B341C" w:rsidRPr="002B341C">
        <w:rPr>
          <w:rFonts w:ascii="Arial" w:hAnsi="Arial" w:cs="Arial"/>
          <w:sz w:val="20"/>
        </w:rPr>
        <w:t>(OCDE, 2022)</w:t>
      </w:r>
      <w:r w:rsidR="001543F4" w:rsidRPr="00B05055">
        <w:rPr>
          <w:rFonts w:ascii="Arial" w:hAnsi="Arial" w:cs="Arial"/>
          <w:sz w:val="20"/>
          <w:szCs w:val="20"/>
        </w:rPr>
        <w:fldChar w:fldCharType="end"/>
      </w:r>
      <w:r w:rsidR="001543F4" w:rsidRPr="00B05055">
        <w:rPr>
          <w:rFonts w:ascii="Arial" w:hAnsi="Arial" w:cs="Arial"/>
          <w:sz w:val="20"/>
          <w:szCs w:val="20"/>
        </w:rPr>
        <w:t xml:space="preserve"> </w:t>
      </w:r>
      <w:r w:rsidRPr="00B05055">
        <w:rPr>
          <w:rFonts w:ascii="Arial" w:hAnsi="Arial" w:cs="Arial"/>
          <w:sz w:val="20"/>
          <w:szCs w:val="20"/>
        </w:rPr>
        <w:t>Standard 425 guidelines. The rats were divided into two groups of three females, one treated group and one control group. Before administration, the rats were weighed and fasted for 18 hours with free access to water. The treated group received a single dose of 5000 mg/kg body weight of extract. The control group rats received only saline solution. After administration, the test and control rats had free access to water and pellets. Consumption was recorded daily and the rats were weighed on the 7th and 14th days.</w:t>
      </w:r>
      <w:r w:rsidR="00B31C88" w:rsidRPr="00B05055">
        <w:rPr>
          <w:rFonts w:ascii="Arial" w:hAnsi="Arial" w:cs="Arial"/>
          <w:sz w:val="20"/>
          <w:szCs w:val="20"/>
        </w:rPr>
        <w:t xml:space="preserve"> The rats were weighed the first day (D0) of the experimentation before the force-feeding and were weighed each week (D7, D14). For each batch and each week of weighing, the percentage P  is calculated following formula below where Po represents the weight at the day 0 (D0) of the treatment and Pn weight n days after</w:t>
      </w:r>
      <w:r w:rsidR="005A60EC" w:rsidRPr="00B05055">
        <w:rPr>
          <w:rFonts w:ascii="Arial" w:hAnsi="Arial" w:cs="Arial"/>
          <w:sz w:val="20"/>
          <w:szCs w:val="20"/>
        </w:rPr>
        <w:t xml:space="preserve"> </w:t>
      </w:r>
      <w:r w:rsidR="005A60EC" w:rsidRPr="00B05055">
        <w:rPr>
          <w:rFonts w:ascii="Arial" w:hAnsi="Arial" w:cs="Arial"/>
          <w:sz w:val="20"/>
          <w:szCs w:val="20"/>
        </w:rPr>
        <w:fldChar w:fldCharType="begin"/>
      </w:r>
      <w:r w:rsidR="002B341C">
        <w:rPr>
          <w:rFonts w:ascii="Arial" w:hAnsi="Arial" w:cs="Arial"/>
          <w:sz w:val="20"/>
          <w:szCs w:val="20"/>
        </w:rPr>
        <w:instrText xml:space="preserve"> ADDIN ZOTERO_ITEM CSL_CITATION {"citationID":"tAW4hfRi","properties":{"formattedCitation":"(Galtier et al., 1974)","plainCitation":"(Galtier et al., 1974)","noteIndex":0},"citationItems":[{"id":522,"uris":["http://zotero.org/users/13923419/items/6GSY9ICD"],"itemData":{"id":522,"type":"article-newspaper","container-title":"In Annales de Recherches Vétérinaires(Vol. 5, No. 2, pp. 233-247).","title":"TOXINES D'ASPERGILLUS OCHRACEUS WILHELM. III.--TOXICITÉ AIGUË DE L'OCHRATOXINE A CHEZ LE RAT ET LA SOURIS ADULTES.","author":[{"family":"Galtier","given":"P."},{"family":"More","given":"J."},{"family":"Bodin","given":"G."},{"family":"Brunel-Dubech","given":"N"},{"family":"Alvinerie","given":"N."}],"issued":{"date-parts":[["1974"]]}}}],"schema":"https://github.com/citation-style-language/schema/raw/master/csl-citation.json"} </w:instrText>
      </w:r>
      <w:r w:rsidR="005A60EC" w:rsidRPr="00B05055">
        <w:rPr>
          <w:rFonts w:ascii="Arial" w:hAnsi="Arial" w:cs="Arial"/>
          <w:sz w:val="20"/>
          <w:szCs w:val="20"/>
        </w:rPr>
        <w:fldChar w:fldCharType="separate"/>
      </w:r>
      <w:r w:rsidR="002B341C" w:rsidRPr="002B341C">
        <w:rPr>
          <w:rFonts w:ascii="Arial" w:hAnsi="Arial" w:cs="Arial"/>
          <w:sz w:val="20"/>
        </w:rPr>
        <w:t>(Galtier et al., 1974)</w:t>
      </w:r>
      <w:r w:rsidR="005A60EC" w:rsidRPr="00B05055">
        <w:rPr>
          <w:rFonts w:ascii="Arial" w:hAnsi="Arial" w:cs="Arial"/>
          <w:sz w:val="20"/>
          <w:szCs w:val="20"/>
        </w:rPr>
        <w:fldChar w:fldCharType="end"/>
      </w:r>
      <w:r w:rsidR="005A60EC" w:rsidRPr="00B05055">
        <w:rPr>
          <w:rFonts w:ascii="Arial" w:hAnsi="Arial" w:cs="Arial"/>
          <w:sz w:val="20"/>
          <w:szCs w:val="20"/>
        </w:rPr>
        <w:t>.</w:t>
      </w:r>
    </w:p>
    <w:p w14:paraId="1E34D4E1" w14:textId="77777777" w:rsidR="005A60EC" w:rsidRPr="00B05055" w:rsidRDefault="005A60EC" w:rsidP="009C48B5">
      <w:pPr>
        <w:jc w:val="both"/>
        <w:rPr>
          <w:rFonts w:ascii="Arial" w:hAnsi="Arial" w:cs="Arial"/>
          <w:sz w:val="20"/>
          <w:szCs w:val="20"/>
        </w:rPr>
      </w:pPr>
      <w:r w:rsidRPr="00B05055">
        <w:rPr>
          <w:rFonts w:ascii="Arial" w:eastAsiaTheme="minorEastAsia" w:hAnsi="Arial" w:cs="Arial"/>
          <w:sz w:val="20"/>
          <w:szCs w:val="20"/>
        </w:rPr>
        <w:t xml:space="preserve">P = </w:t>
      </w:r>
      <m:oMath>
        <m:box>
          <m:boxPr>
            <m:ctrlPr>
              <w:rPr>
                <w:rFonts w:ascii="Cambria Math" w:hAnsi="Cambria Math" w:cs="Arial"/>
                <w:i/>
                <w:sz w:val="20"/>
                <w:szCs w:val="20"/>
              </w:rPr>
            </m:ctrlPr>
          </m:boxPr>
          <m:e>
            <m:argPr>
              <m:argSz m:val="-1"/>
            </m:argPr>
            <m:f>
              <m:fPr>
                <m:ctrlPr>
                  <w:rPr>
                    <w:rFonts w:ascii="Cambria Math" w:hAnsi="Cambria Math" w:cs="Arial"/>
                    <w:i/>
                    <w:sz w:val="20"/>
                    <w:szCs w:val="20"/>
                  </w:rPr>
                </m:ctrlPr>
              </m:fPr>
              <m:num>
                <m:r>
                  <w:rPr>
                    <w:rFonts w:ascii="Cambria Math" w:hAnsi="Cambria Math" w:cs="Arial"/>
                    <w:sz w:val="20"/>
                    <w:szCs w:val="20"/>
                  </w:rPr>
                  <m:t>Pn</m:t>
                </m:r>
              </m:num>
              <m:den>
                <m:r>
                  <w:rPr>
                    <w:rFonts w:ascii="Cambria Math" w:hAnsi="Cambria Math" w:cs="Arial"/>
                    <w:sz w:val="20"/>
                    <w:szCs w:val="20"/>
                  </w:rPr>
                  <m:t>P0</m:t>
                </m:r>
              </m:den>
            </m:f>
          </m:e>
        </m:box>
      </m:oMath>
      <w:r w:rsidRPr="00B05055">
        <w:rPr>
          <w:rFonts w:ascii="Arial" w:eastAsiaTheme="minorEastAsia" w:hAnsi="Arial" w:cs="Arial"/>
          <w:sz w:val="20"/>
          <w:szCs w:val="20"/>
        </w:rPr>
        <w:t xml:space="preserve"> X 100</w:t>
      </w:r>
    </w:p>
    <w:p w14:paraId="6BD77881" w14:textId="77777777" w:rsidR="009C48B5" w:rsidRPr="00B05055" w:rsidRDefault="009C48B5" w:rsidP="009C48B5">
      <w:pPr>
        <w:jc w:val="both"/>
        <w:rPr>
          <w:rFonts w:ascii="Arial" w:hAnsi="Arial" w:cs="Arial"/>
          <w:sz w:val="20"/>
          <w:szCs w:val="20"/>
        </w:rPr>
      </w:pPr>
      <w:r w:rsidRPr="00B05055">
        <w:rPr>
          <w:rFonts w:ascii="Arial" w:hAnsi="Arial" w:cs="Arial"/>
          <w:sz w:val="20"/>
          <w:szCs w:val="20"/>
        </w:rPr>
        <w:t xml:space="preserve"> Animals are observed individually, at least once during the first 30 minutes after administration of the extract and regularly during the first 24 hours (with particular attention during the first 4 hours), for any signs of deficiency such as changes in skin and coat, somatomotor activity, and behavior. Attention should be paid to tremors, convulsions, salivation, diarrhea, lethargy, sleep, and coma. This observation continues thereafter, on a daily basis over a period of 14 days.</w:t>
      </w:r>
    </w:p>
    <w:p w14:paraId="4436D29E" w14:textId="77777777" w:rsidR="00877A9C" w:rsidRPr="00B05055" w:rsidRDefault="00877A9C" w:rsidP="009C48B5">
      <w:pPr>
        <w:jc w:val="both"/>
        <w:rPr>
          <w:rFonts w:ascii="Arial" w:hAnsi="Arial" w:cs="Arial"/>
          <w:b/>
          <w:bCs/>
          <w:sz w:val="20"/>
          <w:szCs w:val="20"/>
        </w:rPr>
      </w:pPr>
    </w:p>
    <w:p w14:paraId="063AC4A7" w14:textId="77777777" w:rsidR="005A6C55" w:rsidRPr="00B05055" w:rsidRDefault="005A6C55" w:rsidP="009C48B5">
      <w:pPr>
        <w:jc w:val="both"/>
        <w:rPr>
          <w:rFonts w:ascii="Arial" w:hAnsi="Arial" w:cs="Arial"/>
          <w:b/>
          <w:bCs/>
          <w:sz w:val="22"/>
          <w:szCs w:val="22"/>
        </w:rPr>
      </w:pPr>
      <w:r w:rsidRPr="00B05055">
        <w:rPr>
          <w:rFonts w:ascii="Arial" w:hAnsi="Arial" w:cs="Arial"/>
          <w:b/>
          <w:bCs/>
          <w:sz w:val="22"/>
          <w:szCs w:val="22"/>
        </w:rPr>
        <w:t>2.2.3. Oral subchronic safety test</w:t>
      </w:r>
    </w:p>
    <w:p w14:paraId="1796F890" w14:textId="77777777" w:rsidR="00EC2DF2" w:rsidRPr="00B05055" w:rsidRDefault="00EC2DF2" w:rsidP="00EC2DF2">
      <w:pPr>
        <w:jc w:val="both"/>
        <w:rPr>
          <w:rFonts w:ascii="Arial" w:hAnsi="Arial" w:cs="Arial"/>
          <w:sz w:val="20"/>
          <w:szCs w:val="20"/>
        </w:rPr>
      </w:pPr>
      <w:r w:rsidRPr="00B05055">
        <w:rPr>
          <w:rFonts w:ascii="Arial" w:hAnsi="Arial" w:cs="Arial"/>
          <w:sz w:val="20"/>
          <w:szCs w:val="20"/>
        </w:rPr>
        <w:t xml:space="preserve">Subchronic toxicity is effected by oral gavage using an intragastric probe on female rats following the guidelines of the </w:t>
      </w:r>
      <w:r w:rsidR="00877A9C" w:rsidRPr="00B05055">
        <w:rPr>
          <w:rFonts w:ascii="Arial" w:hAnsi="Arial" w:cs="Arial"/>
          <w:sz w:val="20"/>
          <w:szCs w:val="20"/>
        </w:rPr>
        <w:fldChar w:fldCharType="begin"/>
      </w:r>
      <w:r w:rsidR="002B341C">
        <w:rPr>
          <w:rFonts w:ascii="Arial" w:hAnsi="Arial" w:cs="Arial"/>
          <w:sz w:val="20"/>
          <w:szCs w:val="20"/>
        </w:rPr>
        <w:instrText xml:space="preserve"> ADDIN ZOTERO_ITEM CSL_CITATION {"citationID":"o6hPDWb0","properties":{"formattedCitation":"(OCDE, 2025)","plainCitation":"(OCDE, 2025)","noteIndex":0},"citationItems":[{"id":514,"uris":["http://zotero.org/users/13923419/items/G52A4ZHB"],"itemData":{"id":514,"type":"book","collection-title":"Lignes directrices de l'OCDE pour les essais de produits chimiques, Section 4","ISBN":"978-92-64-07069-1","language":"fr","note":"DOI: 10.1787/9789264070691-fr","publisher":"Éditions OCDE","source":"DOI.org (Crossref)","title":"Essai n° 407: Toxicité orale à doses répétées - pendant 28 jours sur les rongeurs","title-short":"Essai n° 407","URL":"https://www.oecd.org/fr/publications/essai-n-407-toxicite-orale-a-doses-repetees-pendant-28-jours-sur-les-rongeurs_9789264070691-fr.html","author":[{"literal":"OCDE"}],"accessed":{"date-parts":[["2025",8,20]]},"issued":{"date-parts":[["2025",6,25]]}}}],"schema":"https://github.com/citation-style-language/schema/raw/master/csl-citation.json"} </w:instrText>
      </w:r>
      <w:r w:rsidR="00877A9C" w:rsidRPr="00B05055">
        <w:rPr>
          <w:rFonts w:ascii="Arial" w:hAnsi="Arial" w:cs="Arial"/>
          <w:sz w:val="20"/>
          <w:szCs w:val="20"/>
        </w:rPr>
        <w:fldChar w:fldCharType="separate"/>
      </w:r>
      <w:r w:rsidR="002B341C" w:rsidRPr="002B341C">
        <w:rPr>
          <w:rFonts w:ascii="Arial" w:hAnsi="Arial" w:cs="Arial"/>
          <w:sz w:val="20"/>
        </w:rPr>
        <w:t>(OCDE, 2025)</w:t>
      </w:r>
      <w:r w:rsidR="00877A9C" w:rsidRPr="00B05055">
        <w:rPr>
          <w:rFonts w:ascii="Arial" w:hAnsi="Arial" w:cs="Arial"/>
          <w:sz w:val="20"/>
          <w:szCs w:val="20"/>
        </w:rPr>
        <w:fldChar w:fldCharType="end"/>
      </w:r>
      <w:r w:rsidR="00877A9C" w:rsidRPr="00B05055">
        <w:rPr>
          <w:rFonts w:ascii="Arial" w:hAnsi="Arial" w:cs="Arial"/>
          <w:sz w:val="20"/>
          <w:szCs w:val="20"/>
        </w:rPr>
        <w:t xml:space="preserve"> </w:t>
      </w:r>
      <w:r w:rsidRPr="00B05055">
        <w:rPr>
          <w:rFonts w:ascii="Arial" w:hAnsi="Arial" w:cs="Arial"/>
          <w:sz w:val="20"/>
          <w:szCs w:val="20"/>
        </w:rPr>
        <w:t>OECD, Standards 407</w:t>
      </w:r>
      <w:r w:rsidR="00877A9C" w:rsidRPr="00B05055">
        <w:rPr>
          <w:rFonts w:ascii="Arial" w:hAnsi="Arial" w:cs="Arial"/>
          <w:sz w:val="20"/>
          <w:szCs w:val="20"/>
        </w:rPr>
        <w:t>.</w:t>
      </w:r>
      <w:r w:rsidRPr="00B05055">
        <w:rPr>
          <w:rFonts w:ascii="Arial" w:hAnsi="Arial" w:cs="Arial"/>
          <w:sz w:val="20"/>
          <w:szCs w:val="20"/>
        </w:rPr>
        <w:t xml:space="preserve"> The rats were divided into four (04) groups of </w:t>
      </w:r>
      <w:r w:rsidR="0094175F" w:rsidRPr="00B05055">
        <w:rPr>
          <w:rFonts w:ascii="Arial" w:hAnsi="Arial" w:cs="Arial"/>
          <w:sz w:val="20"/>
          <w:szCs w:val="20"/>
        </w:rPr>
        <w:t>three</w:t>
      </w:r>
      <w:r w:rsidRPr="00B05055">
        <w:rPr>
          <w:rFonts w:ascii="Arial" w:hAnsi="Arial" w:cs="Arial"/>
          <w:sz w:val="20"/>
          <w:szCs w:val="20"/>
        </w:rPr>
        <w:t xml:space="preserve"> (0</w:t>
      </w:r>
      <w:r w:rsidR="0094175F" w:rsidRPr="00B05055">
        <w:rPr>
          <w:rFonts w:ascii="Arial" w:hAnsi="Arial" w:cs="Arial"/>
          <w:sz w:val="20"/>
          <w:szCs w:val="20"/>
        </w:rPr>
        <w:t>3</w:t>
      </w:r>
      <w:r w:rsidRPr="00B05055">
        <w:rPr>
          <w:rFonts w:ascii="Arial" w:hAnsi="Arial" w:cs="Arial"/>
          <w:sz w:val="20"/>
          <w:szCs w:val="20"/>
        </w:rPr>
        <w:t>) rats including one (01) control group and three (03) treated groups. Before administration, the rats were weighed and fasted for 18 hours with free access to water. The treated rats received daily doses of 500, 750 and 1000 mg / kg bodyweight of extract, respectively, for 28 days. After each force-feeding, the rats have free access to water and granules. Drinks are taken every day and the rats are weighed on the 7th, 14th, 21st and 28th day. Rats are constantly observed during the first hours after force-feeding and daily during the experiment to record deaths and clinical signs.</w:t>
      </w:r>
    </w:p>
    <w:p w14:paraId="15CA6124" w14:textId="77777777" w:rsidR="00EC2DF2" w:rsidRDefault="00EC2DF2" w:rsidP="00EC2DF2">
      <w:pPr>
        <w:jc w:val="both"/>
      </w:pPr>
    </w:p>
    <w:p w14:paraId="0FFD57BB" w14:textId="77777777" w:rsidR="00EC2DF2" w:rsidRPr="00B05055" w:rsidRDefault="00EC2DF2" w:rsidP="00EC2DF2">
      <w:pPr>
        <w:jc w:val="both"/>
        <w:rPr>
          <w:rFonts w:ascii="Arial" w:hAnsi="Arial" w:cs="Arial"/>
          <w:b/>
          <w:bCs/>
          <w:sz w:val="22"/>
          <w:szCs w:val="22"/>
        </w:rPr>
      </w:pPr>
      <w:r w:rsidRPr="00B05055">
        <w:rPr>
          <w:rFonts w:ascii="Arial" w:hAnsi="Arial" w:cs="Arial"/>
          <w:b/>
          <w:bCs/>
          <w:sz w:val="22"/>
          <w:szCs w:val="22"/>
        </w:rPr>
        <w:lastRenderedPageBreak/>
        <w:t>2.2.4</w:t>
      </w:r>
      <w:r w:rsidRPr="00B05055">
        <w:rPr>
          <w:rFonts w:ascii="Arial" w:hAnsi="Arial" w:cs="Arial"/>
          <w:sz w:val="22"/>
          <w:szCs w:val="22"/>
        </w:rPr>
        <w:t>.</w:t>
      </w:r>
      <w:r w:rsidRPr="00B05055">
        <w:rPr>
          <w:rFonts w:ascii="Arial" w:hAnsi="Arial" w:cs="Arial"/>
          <w:b/>
          <w:bCs/>
          <w:kern w:val="0"/>
          <w:sz w:val="22"/>
          <w:szCs w:val="22"/>
        </w:rPr>
        <w:t xml:space="preserve"> </w:t>
      </w:r>
      <w:r w:rsidRPr="00B05055">
        <w:rPr>
          <w:rFonts w:ascii="Arial" w:hAnsi="Arial" w:cs="Arial"/>
          <w:b/>
          <w:bCs/>
          <w:sz w:val="22"/>
          <w:szCs w:val="22"/>
        </w:rPr>
        <w:t>Biochemical and hematological analysis method</w:t>
      </w:r>
    </w:p>
    <w:p w14:paraId="051B5683" w14:textId="77777777" w:rsidR="0094175F" w:rsidRPr="00B05055" w:rsidRDefault="00EC2DF2" w:rsidP="0094175F">
      <w:pPr>
        <w:jc w:val="both"/>
        <w:rPr>
          <w:rFonts w:ascii="Arial" w:hAnsi="Arial" w:cs="Arial"/>
          <w:sz w:val="20"/>
          <w:szCs w:val="20"/>
        </w:rPr>
      </w:pPr>
      <w:r w:rsidRPr="00B05055">
        <w:rPr>
          <w:rFonts w:ascii="Arial" w:hAnsi="Arial" w:cs="Arial"/>
          <w:sz w:val="20"/>
          <w:szCs w:val="20"/>
        </w:rPr>
        <w:t>The animals were removed for biochemical analyzes by the retro-orbital sinus puncture technique under slight ether anesthesia</w:t>
      </w:r>
      <w:r w:rsidR="0094175F" w:rsidRPr="00B05055">
        <w:rPr>
          <w:rFonts w:ascii="Arial" w:hAnsi="Arial" w:cs="Arial"/>
          <w:sz w:val="20"/>
          <w:szCs w:val="20"/>
        </w:rPr>
        <w:t xml:space="preserve"> </w:t>
      </w:r>
      <w:r w:rsidR="005D5046" w:rsidRPr="00B05055">
        <w:rPr>
          <w:rFonts w:ascii="Arial" w:hAnsi="Arial" w:cs="Arial"/>
          <w:sz w:val="20"/>
          <w:szCs w:val="20"/>
        </w:rPr>
        <w:fldChar w:fldCharType="begin"/>
      </w:r>
      <w:r w:rsidR="002B341C">
        <w:rPr>
          <w:rFonts w:ascii="Arial" w:hAnsi="Arial" w:cs="Arial"/>
          <w:sz w:val="20"/>
          <w:szCs w:val="20"/>
        </w:rPr>
        <w:instrText xml:space="preserve"> ADDIN ZOTERO_ITEM CSL_CITATION {"citationID":"QkQD2FKp","properties":{"formattedCitation":"(DIABY, 2017)","plainCitation":"(DIABY, 2017)","noteIndex":0},"citationItems":[{"id":518,"uris":["http://zotero.org/users/13923419/items/FHC4JGMC"],"itemData":{"id":518,"type":"document","publisher":"Français. </w:instrText>
      </w:r>
      <w:r w:rsidR="002B341C">
        <w:rPr>
          <w:rFonts w:ascii="Cambria Math" w:hAnsi="Cambria Math" w:cs="Cambria Math"/>
          <w:sz w:val="20"/>
          <w:szCs w:val="20"/>
        </w:rPr>
        <w:instrText>⟨</w:instrText>
      </w:r>
      <w:r w:rsidR="002B341C">
        <w:rPr>
          <w:rFonts w:ascii="Arial" w:hAnsi="Arial" w:cs="Arial"/>
          <w:sz w:val="20"/>
          <w:szCs w:val="20"/>
        </w:rPr>
        <w:instrText xml:space="preserve">NNT : </w:instrText>
      </w:r>
      <w:r w:rsidR="002B341C">
        <w:rPr>
          <w:rFonts w:ascii="Cambria Math" w:hAnsi="Cambria Math" w:cs="Cambria Math"/>
          <w:sz w:val="20"/>
          <w:szCs w:val="20"/>
        </w:rPr>
        <w:instrText>⟩</w:instrText>
      </w:r>
      <w:r w:rsidR="002B341C">
        <w:rPr>
          <w:rFonts w:ascii="Arial" w:hAnsi="Arial" w:cs="Arial"/>
          <w:sz w:val="20"/>
          <w:szCs w:val="20"/>
        </w:rPr>
        <w:instrText xml:space="preserve">. </w:instrText>
      </w:r>
      <w:r w:rsidR="002B341C">
        <w:rPr>
          <w:rFonts w:ascii="Cambria Math" w:hAnsi="Cambria Math" w:cs="Cambria Math"/>
          <w:sz w:val="20"/>
          <w:szCs w:val="20"/>
        </w:rPr>
        <w:instrText>⟨</w:instrText>
      </w:r>
      <w:r w:rsidR="002B341C">
        <w:rPr>
          <w:rFonts w:ascii="Arial" w:hAnsi="Arial" w:cs="Arial"/>
          <w:sz w:val="20"/>
          <w:szCs w:val="20"/>
        </w:rPr>
        <w:instrText>tel-02437288</w:instrText>
      </w:r>
      <w:r w:rsidR="002B341C">
        <w:rPr>
          <w:rFonts w:ascii="Cambria Math" w:hAnsi="Cambria Math" w:cs="Cambria Math"/>
          <w:sz w:val="20"/>
          <w:szCs w:val="20"/>
        </w:rPr>
        <w:instrText>⟩</w:instrText>
      </w:r>
      <w:r w:rsidR="002B341C">
        <w:rPr>
          <w:rFonts w:ascii="Arial" w:hAnsi="Arial" w:cs="Arial"/>
          <w:sz w:val="20"/>
          <w:szCs w:val="20"/>
        </w:rPr>
        <w:instrText xml:space="preserve">","title":"Etudes biochimique, hématologique et histologique du sulfate de cadmium chez les rats WISTAR. Environnement et Société. UNIVERSITE FELIX HOUPHOUET BOIGNY,","URL":"https://hal.science/tel-02437288/file/THESE%20DIABY%20OK%20%281%29.pdf","author":[{"family":"DIABY","given":"v;"}],"issued":{"date-parts":[["2017"]]}}}],"schema":"https://github.com/citation-style-language/schema/raw/master/csl-citation.json"} </w:instrText>
      </w:r>
      <w:r w:rsidR="005D5046" w:rsidRPr="00B05055">
        <w:rPr>
          <w:rFonts w:ascii="Arial" w:hAnsi="Arial" w:cs="Arial"/>
          <w:sz w:val="20"/>
          <w:szCs w:val="20"/>
        </w:rPr>
        <w:fldChar w:fldCharType="separate"/>
      </w:r>
      <w:r w:rsidR="002B341C" w:rsidRPr="002B341C">
        <w:rPr>
          <w:rFonts w:ascii="Arial" w:hAnsi="Arial" w:cs="Arial"/>
          <w:sz w:val="20"/>
        </w:rPr>
        <w:t>(DIABY, 2017)</w:t>
      </w:r>
      <w:r w:rsidR="005D5046" w:rsidRPr="00B05055">
        <w:rPr>
          <w:rFonts w:ascii="Arial" w:hAnsi="Arial" w:cs="Arial"/>
          <w:sz w:val="20"/>
          <w:szCs w:val="20"/>
        </w:rPr>
        <w:fldChar w:fldCharType="end"/>
      </w:r>
      <w:r w:rsidRPr="00B05055">
        <w:rPr>
          <w:rFonts w:ascii="Arial" w:hAnsi="Arial" w:cs="Arial"/>
          <w:sz w:val="20"/>
          <w:szCs w:val="20"/>
        </w:rPr>
        <w:t xml:space="preserve">. </w:t>
      </w:r>
      <w:r w:rsidR="0094175F" w:rsidRPr="00B05055">
        <w:rPr>
          <w:rFonts w:ascii="Arial" w:hAnsi="Arial" w:cs="Arial"/>
          <w:sz w:val="20"/>
          <w:szCs w:val="20"/>
        </w:rPr>
        <w:t>At the end of the treatment, the animals were fasted for 12 hours before being sampled. The blood samples were taken in an EDTA (anticoagulant) tube and a dry tube to measure some blood parameters such as NFS and biochemical parameters such as urea, creatinine and transaminases.</w:t>
      </w:r>
      <w:r w:rsidR="008C2BC8" w:rsidRPr="00B05055">
        <w:rPr>
          <w:rFonts w:ascii="Arial" w:hAnsi="Arial" w:cs="Arial"/>
          <w:sz w:val="20"/>
          <w:szCs w:val="20"/>
        </w:rPr>
        <w:t xml:space="preserve"> The standard protocol used for the measurement of hematological and biochemical parameters is that reported in certain works </w:t>
      </w:r>
      <w:r w:rsidR="008C2BC8" w:rsidRPr="00B05055">
        <w:rPr>
          <w:rFonts w:ascii="Arial" w:hAnsi="Arial" w:cs="Arial"/>
          <w:sz w:val="20"/>
          <w:szCs w:val="20"/>
        </w:rPr>
        <w:fldChar w:fldCharType="begin"/>
      </w:r>
      <w:r w:rsidR="002B341C">
        <w:rPr>
          <w:rFonts w:ascii="Arial" w:hAnsi="Arial" w:cs="Arial"/>
          <w:sz w:val="20"/>
          <w:szCs w:val="20"/>
        </w:rPr>
        <w:instrText xml:space="preserve"> ADDIN ZOTERO_ITEM CSL_CITATION {"citationID":"nunDHCuh","properties":{"formattedCitation":"(DIABY, 2017; Etame et al., 2017)","plainCitation":"(DIABY, 2017; Etame et al., 2017)","noteIndex":0},"citationItems":[{"id":518,"uris":["http://zotero.org/users/13923419/items/FHC4JGMC"],"itemData":{"id":518,"type":"document","publisher":"Français. </w:instrText>
      </w:r>
      <w:r w:rsidR="002B341C">
        <w:rPr>
          <w:rFonts w:ascii="Cambria Math" w:hAnsi="Cambria Math" w:cs="Cambria Math"/>
          <w:sz w:val="20"/>
          <w:szCs w:val="20"/>
        </w:rPr>
        <w:instrText>⟨</w:instrText>
      </w:r>
      <w:r w:rsidR="002B341C">
        <w:rPr>
          <w:rFonts w:ascii="Arial" w:hAnsi="Arial" w:cs="Arial"/>
          <w:sz w:val="20"/>
          <w:szCs w:val="20"/>
        </w:rPr>
        <w:instrText xml:space="preserve">NNT : </w:instrText>
      </w:r>
      <w:r w:rsidR="002B341C">
        <w:rPr>
          <w:rFonts w:ascii="Cambria Math" w:hAnsi="Cambria Math" w:cs="Cambria Math"/>
          <w:sz w:val="20"/>
          <w:szCs w:val="20"/>
        </w:rPr>
        <w:instrText>⟩</w:instrText>
      </w:r>
      <w:r w:rsidR="002B341C">
        <w:rPr>
          <w:rFonts w:ascii="Arial" w:hAnsi="Arial" w:cs="Arial"/>
          <w:sz w:val="20"/>
          <w:szCs w:val="20"/>
        </w:rPr>
        <w:instrText xml:space="preserve">. </w:instrText>
      </w:r>
      <w:r w:rsidR="002B341C">
        <w:rPr>
          <w:rFonts w:ascii="Cambria Math" w:hAnsi="Cambria Math" w:cs="Cambria Math"/>
          <w:sz w:val="20"/>
          <w:szCs w:val="20"/>
        </w:rPr>
        <w:instrText>⟨</w:instrText>
      </w:r>
      <w:r w:rsidR="002B341C">
        <w:rPr>
          <w:rFonts w:ascii="Arial" w:hAnsi="Arial" w:cs="Arial"/>
          <w:sz w:val="20"/>
          <w:szCs w:val="20"/>
        </w:rPr>
        <w:instrText>tel-02437288</w:instrText>
      </w:r>
      <w:r w:rsidR="002B341C">
        <w:rPr>
          <w:rFonts w:ascii="Cambria Math" w:hAnsi="Cambria Math" w:cs="Cambria Math"/>
          <w:sz w:val="20"/>
          <w:szCs w:val="20"/>
        </w:rPr>
        <w:instrText>⟩</w:instrText>
      </w:r>
      <w:r w:rsidR="002B341C">
        <w:rPr>
          <w:rFonts w:ascii="Arial" w:hAnsi="Arial" w:cs="Arial"/>
          <w:sz w:val="20"/>
          <w:szCs w:val="20"/>
        </w:rPr>
        <w:instrText xml:space="preserve">","title":"Etudes biochimique, hématologique et histologique du sulfate de cadmium chez les rats WISTAR. Environnement et Société. UNIVERSITE FELIX HOUPHOUET BOIGNY,","URL":"https://hal.science/tel-02437288/file/THESE%20DIABY%20OK%20%281%29.pdf","author":[{"family":"DIABY","given":"v;"}],"issued":{"date-parts":[["2017"]]}}},{"id":524,"uris":["http://zotero.org/users/13923419/items/C3R56HLZ"],"itemData":{"id":524,"type":"article-journal","language":"fr","source":"Zotero","title":"Étude de la toxicité aigue et subaigüe de l’extrait au vin des graines de Carica papaya Linn.","author":[{"family":"Etame","given":"G. L."},{"family":"Jacques","given":"Y.G."},{"family":"Cécile","given":"O. E."},{"family":"Vivien","given":"M.B."},{"family":"Guy","given":"N."},{"family":"Emmanuel","given":"M."},{"family":"Didier","given":"D. S.."}],"issued":{"date-parts":[["2017"]]}}}],"schema":"https://github.com/citation-style-language/schema/raw/master/csl-citation.json"} </w:instrText>
      </w:r>
      <w:r w:rsidR="008C2BC8" w:rsidRPr="00B05055">
        <w:rPr>
          <w:rFonts w:ascii="Arial" w:hAnsi="Arial" w:cs="Arial"/>
          <w:sz w:val="20"/>
          <w:szCs w:val="20"/>
        </w:rPr>
        <w:fldChar w:fldCharType="separate"/>
      </w:r>
      <w:r w:rsidR="002B341C" w:rsidRPr="002B341C">
        <w:rPr>
          <w:rFonts w:ascii="Arial" w:hAnsi="Arial" w:cs="Arial"/>
          <w:sz w:val="20"/>
        </w:rPr>
        <w:t>(DIABY, 2017; Etame et al., 2017)</w:t>
      </w:r>
      <w:r w:rsidR="008C2BC8" w:rsidRPr="00B05055">
        <w:rPr>
          <w:rFonts w:ascii="Arial" w:hAnsi="Arial" w:cs="Arial"/>
          <w:sz w:val="20"/>
          <w:szCs w:val="20"/>
        </w:rPr>
        <w:fldChar w:fldCharType="end"/>
      </w:r>
      <w:r w:rsidR="00AC2FB1" w:rsidRPr="00B05055">
        <w:rPr>
          <w:rFonts w:ascii="Arial" w:hAnsi="Arial" w:cs="Arial"/>
          <w:sz w:val="20"/>
          <w:szCs w:val="20"/>
        </w:rPr>
        <w:t xml:space="preserve"> </w:t>
      </w:r>
      <w:r w:rsidR="00AC2FB1" w:rsidRPr="00B05055">
        <w:rPr>
          <w:rFonts w:ascii="Arial" w:hAnsi="Arial" w:cs="Arial"/>
          <w:sz w:val="20"/>
          <w:szCs w:val="20"/>
        </w:rPr>
        <w:fldChar w:fldCharType="begin"/>
      </w:r>
      <w:r w:rsidR="002B341C">
        <w:rPr>
          <w:rFonts w:ascii="Arial" w:hAnsi="Arial" w:cs="Arial"/>
          <w:sz w:val="20"/>
          <w:szCs w:val="20"/>
        </w:rPr>
        <w:instrText xml:space="preserve"> ADDIN ZOTERO_ITEM CSL_CITATION {"citationID":"g8QLYOm2","properties":{"formattedCitation":"(Mignanwand\\uc0\\u233{} et al., 2020)","plainCitation":"(Mignanwandé et al., 2020)","noteIndex":0},"citationItems":[{"id":526,"uris":["http://zotero.org/users/13923419/items/5AJD8KWG"],"itemData":{"id":526,"type":"article-journal","abstract":"Medicinal plants are widely used worldwide by populations and are a source of new active components. The objective of this work is to assess the toxicity of the ethanolic extract of this plant in order to promote its use in traditional medicine in Benin. Method: The ethanolic extract was obtained after evaporation of the filtrate under vacuum on a rotary evaporator. The toxicity studie s took into account on the one hand the determination of heavy metals (Pb, Cd and As) on the other hand the Acute and subacute Toxicities which were carried out according to the OECD guidelines respectively Standards 423 and 407 on Wistar strain female rats. Blood samp les were taken from animals for hematological and biochemical analyzes. Finally the organs (liver and kidney) were removed for histological readings. Results: The study of the acute oral toxicity of the ethanolic extract of Crateva adansonii at the single dose of 5.000 mg.kg-1 of body weight recorded no death or sign of toxicity during the 14 days of the experimental period. . This shows that the LD50 of our extract is greater than 5.000 mg.kg-1 pc. As for the subchronic toxicity, it revealed that whatever the dose of the extract administered, no signs of intoxication were observed during the 28 days. The extract Crateva adansonii is therefore not lethal. With the exception of a few rare tubular vacuolar degenerations, rats present a hepatic and renal histological appearance within norma l limits. Conclusion: This allows us to conclude the ad hoc use of Crateva adansonii is safe but its prolonged use can be harmful to the human organism.","issue":"5","language":"en","source":"Zotero","title":"Safety of the Ethanolic Extract Crateva adansonii DC. (Capparidaceae) Harvested at Dassa-Zounmè in Central Benin","volume":"9","author":[{"family":"Mignanwandé","given":"Zinsou Franck"},{"family":"Hounkpatin","given":"Armelle Sabine Yélignan"},{"family":"Johnson","given":"Roch Christian"},{"family":"Houndeton","given":"Armel Géraldo"},{"family":"Houéto","given":"Eustache Enock"}],"issued":{"date-parts":[["2020"]]}}}],"schema":"https://github.com/citation-style-language/schema/raw/master/csl-citation.json"} </w:instrText>
      </w:r>
      <w:r w:rsidR="00AC2FB1" w:rsidRPr="00B05055">
        <w:rPr>
          <w:rFonts w:ascii="Arial" w:hAnsi="Arial" w:cs="Arial"/>
          <w:sz w:val="20"/>
          <w:szCs w:val="20"/>
        </w:rPr>
        <w:fldChar w:fldCharType="separate"/>
      </w:r>
      <w:r w:rsidR="002B341C" w:rsidRPr="002B341C">
        <w:rPr>
          <w:rFonts w:ascii="Arial" w:hAnsi="Arial" w:cs="Arial"/>
          <w:kern w:val="0"/>
          <w:sz w:val="20"/>
        </w:rPr>
        <w:t>(Mignanwandé et al., 2020)</w:t>
      </w:r>
      <w:r w:rsidR="00AC2FB1" w:rsidRPr="00B05055">
        <w:rPr>
          <w:rFonts w:ascii="Arial" w:hAnsi="Arial" w:cs="Arial"/>
          <w:sz w:val="20"/>
          <w:szCs w:val="20"/>
        </w:rPr>
        <w:fldChar w:fldCharType="end"/>
      </w:r>
    </w:p>
    <w:p w14:paraId="04D28E33" w14:textId="77777777" w:rsidR="008C2BC8" w:rsidRDefault="008C2BC8" w:rsidP="00255FFC">
      <w:pPr>
        <w:jc w:val="both"/>
        <w:rPr>
          <w:b/>
          <w:bCs/>
        </w:rPr>
      </w:pPr>
    </w:p>
    <w:p w14:paraId="1CA5ED42" w14:textId="77777777" w:rsidR="00255FFC" w:rsidRPr="00B05055" w:rsidRDefault="003D7386" w:rsidP="00255FFC">
      <w:pPr>
        <w:jc w:val="both"/>
        <w:rPr>
          <w:rFonts w:ascii="Arial" w:hAnsi="Arial" w:cs="Arial"/>
          <w:b/>
          <w:bCs/>
          <w:sz w:val="22"/>
          <w:szCs w:val="22"/>
        </w:rPr>
      </w:pPr>
      <w:r w:rsidRPr="00B05055">
        <w:rPr>
          <w:rFonts w:ascii="Arial" w:hAnsi="Arial" w:cs="Arial"/>
          <w:b/>
          <w:bCs/>
          <w:sz w:val="22"/>
          <w:szCs w:val="22"/>
        </w:rPr>
        <w:t xml:space="preserve">2.2.5. </w:t>
      </w:r>
      <w:r w:rsidR="00255FFC" w:rsidRPr="00B05055">
        <w:rPr>
          <w:rFonts w:ascii="Arial" w:hAnsi="Arial" w:cs="Arial"/>
          <w:b/>
          <w:bCs/>
          <w:sz w:val="22"/>
          <w:szCs w:val="22"/>
        </w:rPr>
        <w:t>Expression of weight gain or loss of organs</w:t>
      </w:r>
    </w:p>
    <w:p w14:paraId="248BAF55" w14:textId="77777777" w:rsidR="003D7386" w:rsidRPr="00B05055" w:rsidRDefault="00DE5606" w:rsidP="003D7386">
      <w:pPr>
        <w:jc w:val="both"/>
        <w:rPr>
          <w:rFonts w:ascii="Arial" w:hAnsi="Arial" w:cs="Arial"/>
          <w:sz w:val="20"/>
          <w:szCs w:val="20"/>
        </w:rPr>
      </w:pPr>
      <w:r w:rsidRPr="00B05055">
        <w:rPr>
          <w:rFonts w:ascii="Arial" w:hAnsi="Arial" w:cs="Arial"/>
          <w:sz w:val="20"/>
          <w:szCs w:val="20"/>
        </w:rPr>
        <w:t>At the end of each toxicity test, namely acute and subacute toxicity, the animals were sacrificed, and vital organs such as the liver and kidneys were removed and weighed. The expression of weight gain or loss of the organs removed after sacrifice was determined using the following formula :</w:t>
      </w:r>
      <w:r w:rsidR="003D7386" w:rsidRPr="00B05055">
        <w:rPr>
          <w:rFonts w:ascii="Arial" w:hAnsi="Arial" w:cs="Arial"/>
          <w:sz w:val="20"/>
          <w:szCs w:val="20"/>
        </w:rPr>
        <w:t xml:space="preserve"> </w:t>
      </w:r>
    </w:p>
    <w:p w14:paraId="1DD205C1" w14:textId="77777777" w:rsidR="003D7386" w:rsidRPr="00B05055" w:rsidRDefault="00DE5606" w:rsidP="003D7386">
      <w:pPr>
        <w:jc w:val="both"/>
        <w:rPr>
          <w:rFonts w:ascii="Arial" w:eastAsiaTheme="minorEastAsia" w:hAnsi="Arial" w:cs="Arial"/>
          <w:sz w:val="20"/>
          <w:szCs w:val="20"/>
        </w:rPr>
      </w:pPr>
      <w:r w:rsidRPr="00B05055">
        <w:rPr>
          <w:rFonts w:ascii="Arial" w:hAnsi="Arial" w:cs="Arial"/>
          <w:sz w:val="20"/>
          <w:szCs w:val="20"/>
        </w:rPr>
        <w:t>Relative mass</w:t>
      </w:r>
      <w:r w:rsidR="003D7386" w:rsidRPr="00B05055">
        <w:rPr>
          <w:rFonts w:ascii="Arial" w:hAnsi="Arial" w:cs="Arial"/>
          <w:sz w:val="20"/>
          <w:szCs w:val="20"/>
        </w:rPr>
        <w:t xml:space="preserve"> (g/100 pc) = </w:t>
      </w:r>
      <m:oMath>
        <m:box>
          <m:boxPr>
            <m:ctrlPr>
              <w:rPr>
                <w:rFonts w:ascii="Cambria Math" w:hAnsi="Cambria Math" w:cs="Arial"/>
                <w:i/>
                <w:sz w:val="20"/>
                <w:szCs w:val="20"/>
              </w:rPr>
            </m:ctrlPr>
          </m:boxPr>
          <m:e>
            <m:argPr>
              <m:argSz m:val="-1"/>
            </m:argPr>
            <m:f>
              <m:fPr>
                <m:ctrlPr>
                  <w:rPr>
                    <w:rFonts w:ascii="Cambria Math" w:hAnsi="Cambria Math" w:cs="Arial"/>
                    <w:i/>
                    <w:sz w:val="20"/>
                    <w:szCs w:val="20"/>
                  </w:rPr>
                </m:ctrlPr>
              </m:fPr>
              <m:num>
                <m:r>
                  <w:rPr>
                    <w:rFonts w:ascii="Cambria Math" w:hAnsi="Cambria Math" w:cs="Arial"/>
                    <w:sz w:val="20"/>
                    <w:szCs w:val="20"/>
                  </w:rPr>
                  <m:t>Organ mass</m:t>
                </m:r>
              </m:num>
              <m:den>
                <m:r>
                  <w:rPr>
                    <w:rFonts w:ascii="Cambria Math" w:hAnsi="Cambria Math" w:cs="Arial"/>
                    <w:sz w:val="20"/>
                    <w:szCs w:val="20"/>
                  </w:rPr>
                  <m:t xml:space="preserve">Body mass </m:t>
                </m:r>
              </m:den>
            </m:f>
          </m:e>
        </m:box>
        <m:r>
          <w:rPr>
            <w:rFonts w:ascii="Cambria Math" w:hAnsi="Cambria Math" w:cs="Arial"/>
            <w:sz w:val="20"/>
            <w:szCs w:val="20"/>
          </w:rPr>
          <m:t>*100</m:t>
        </m:r>
      </m:oMath>
    </w:p>
    <w:p w14:paraId="1D338798" w14:textId="77777777" w:rsidR="00DE5606" w:rsidRPr="00B05055" w:rsidRDefault="00DE5606" w:rsidP="00616B62">
      <w:pPr>
        <w:jc w:val="both"/>
        <w:rPr>
          <w:rFonts w:ascii="Arial" w:hAnsi="Arial" w:cs="Arial"/>
          <w:sz w:val="20"/>
          <w:szCs w:val="20"/>
        </w:rPr>
      </w:pPr>
      <w:r w:rsidRPr="00B05055">
        <w:rPr>
          <w:rFonts w:ascii="Arial" w:eastAsiaTheme="minorEastAsia" w:hAnsi="Arial" w:cs="Arial"/>
          <w:sz w:val="20"/>
          <w:szCs w:val="20"/>
        </w:rPr>
        <w:t>Any discrepancies observed between the treated batch and the control batch indicate the potential effects of the test product</w:t>
      </w:r>
      <w:r w:rsidR="00255FFC" w:rsidRPr="00B05055">
        <w:rPr>
          <w:rFonts w:ascii="Arial" w:eastAsiaTheme="minorEastAsia" w:hAnsi="Arial" w:cs="Arial"/>
          <w:sz w:val="20"/>
          <w:szCs w:val="20"/>
        </w:rPr>
        <w:t xml:space="preserve"> </w:t>
      </w:r>
      <w:r w:rsidR="00255FFC" w:rsidRPr="00B05055">
        <w:rPr>
          <w:rFonts w:ascii="Arial" w:eastAsiaTheme="minorEastAsia" w:hAnsi="Arial" w:cs="Arial"/>
          <w:sz w:val="20"/>
          <w:szCs w:val="20"/>
        </w:rPr>
        <w:fldChar w:fldCharType="begin"/>
      </w:r>
      <w:r w:rsidR="002B341C">
        <w:rPr>
          <w:rFonts w:ascii="Arial" w:eastAsiaTheme="minorEastAsia" w:hAnsi="Arial" w:cs="Arial"/>
          <w:sz w:val="20"/>
          <w:szCs w:val="20"/>
        </w:rPr>
        <w:instrText xml:space="preserve"> ADDIN ZOTERO_ITEM CSL_CITATION {"citationID":"mQ4eAl6R","properties":{"formattedCitation":"(Lazic et al., 2020)","plainCitation":"(Lazic et al., 2020)","noteIndex":0},"citationItems":[{"id":477,"uris":["http://zotero.org/users/13923419/items/9TA4K488"],"itemData":{"id":477,"type":"article-journal","abstract":"Abstract\n            Regulatory authorities require animal toxicity tests for new chemical entities. Organ weight changes are accepted as a sensitive indicator of chemically induced organ damage, but can be difficult to interpret because changes in organ weight might reflect chemically-induced changes in overall body weight. A common solution is to calculate the relative organ weight (organ to body weight ratio), but this inadequately controls for the dependence on body weight – a point made by statisticians for decades, but which has not been widely adopted. The recommended solution is an analysis of covariance (ANCOVA), but it is rarely used, possibly because both the method of statistical correction and the interpretation of the output may be unclear to those with minimal statistical training. Using relative organ weights can easily lead to incorrect conclusions, resulting in poor decisions, wasted resources, and an ethically questionable use of animals. We propose to cast the problem into a causal modelling framework as it directly assesses questions of scientific interest, the results are easy to interpret, and the analysis is simple to perform with freely available software. Furthermore, by taking a Bayesian approach we can model unequal variances, control for multiple testing, and directly provide evidence of safety.","container-title":"Scientific Reports","DOI":"10.1038/s41598-020-63465-y","ISSN":"2045-2322","issue":"1","journalAbbreviation":"Sci Rep","language":"en","page":"6625","source":"DOI.org (Crossref)","title":"Determining organ weight toxicity with Bayesian causal models: Improving on the analysis of relative organ weights","title-short":"Determining organ weight toxicity with Bayesian causal models","volume":"10","author":[{"family":"Lazic","given":"Stanley E."},{"family":"Semenova","given":"Elizaveta"},{"family":"Williams","given":"Dominic P."}],"issued":{"date-parts":[["2020",4,20]]}}}],"schema":"https://github.com/citation-style-language/schema/raw/master/csl-citation.json"} </w:instrText>
      </w:r>
      <w:r w:rsidR="00255FFC" w:rsidRPr="00B05055">
        <w:rPr>
          <w:rFonts w:ascii="Arial" w:eastAsiaTheme="minorEastAsia" w:hAnsi="Arial" w:cs="Arial"/>
          <w:sz w:val="20"/>
          <w:szCs w:val="20"/>
        </w:rPr>
        <w:fldChar w:fldCharType="separate"/>
      </w:r>
      <w:r w:rsidR="002B341C" w:rsidRPr="002B341C">
        <w:rPr>
          <w:rFonts w:ascii="Arial" w:hAnsi="Arial" w:cs="Arial"/>
          <w:sz w:val="20"/>
        </w:rPr>
        <w:t>(Lazic et al., 2020)</w:t>
      </w:r>
      <w:r w:rsidR="00255FFC" w:rsidRPr="00B05055">
        <w:rPr>
          <w:rFonts w:ascii="Arial" w:eastAsiaTheme="minorEastAsia" w:hAnsi="Arial" w:cs="Arial"/>
          <w:sz w:val="20"/>
          <w:szCs w:val="20"/>
        </w:rPr>
        <w:fldChar w:fldCharType="end"/>
      </w:r>
      <w:r w:rsidRPr="00B05055">
        <w:rPr>
          <w:rFonts w:ascii="Arial" w:eastAsiaTheme="minorEastAsia" w:hAnsi="Arial" w:cs="Arial"/>
          <w:sz w:val="20"/>
          <w:szCs w:val="20"/>
        </w:rPr>
        <w:t>.</w:t>
      </w:r>
    </w:p>
    <w:p w14:paraId="5CE59AD3" w14:textId="77777777" w:rsidR="00B05055" w:rsidRDefault="00B05055" w:rsidP="00616B62">
      <w:pPr>
        <w:jc w:val="both"/>
        <w:rPr>
          <w:b/>
          <w:bCs/>
        </w:rPr>
      </w:pPr>
    </w:p>
    <w:p w14:paraId="6F716ADD" w14:textId="77777777" w:rsidR="00616B62" w:rsidRPr="00B05055" w:rsidRDefault="00616B62" w:rsidP="00616B62">
      <w:pPr>
        <w:jc w:val="both"/>
        <w:rPr>
          <w:rFonts w:ascii="Arial" w:hAnsi="Arial" w:cs="Arial"/>
          <w:b/>
          <w:bCs/>
          <w:sz w:val="22"/>
          <w:szCs w:val="22"/>
        </w:rPr>
      </w:pPr>
      <w:r w:rsidRPr="00B05055">
        <w:rPr>
          <w:rFonts w:ascii="Arial" w:hAnsi="Arial" w:cs="Arial"/>
          <w:b/>
          <w:bCs/>
          <w:sz w:val="22"/>
          <w:szCs w:val="22"/>
        </w:rPr>
        <w:t>2.2.</w:t>
      </w:r>
      <w:r w:rsidR="00DE5606" w:rsidRPr="00B05055">
        <w:rPr>
          <w:rFonts w:ascii="Arial" w:hAnsi="Arial" w:cs="Arial"/>
          <w:b/>
          <w:bCs/>
          <w:sz w:val="22"/>
          <w:szCs w:val="22"/>
        </w:rPr>
        <w:t>6</w:t>
      </w:r>
      <w:r w:rsidR="00DE5606" w:rsidRPr="00B05055">
        <w:rPr>
          <w:rFonts w:ascii="Arial" w:hAnsi="Arial" w:cs="Arial"/>
          <w:sz w:val="22"/>
          <w:szCs w:val="22"/>
        </w:rPr>
        <w:t>.</w:t>
      </w:r>
      <w:r w:rsidR="00EE36C9" w:rsidRPr="00B05055">
        <w:rPr>
          <w:rFonts w:ascii="Arial" w:hAnsi="Arial" w:cs="Arial"/>
          <w:b/>
          <w:bCs/>
          <w:kern w:val="0"/>
          <w:sz w:val="22"/>
          <w:szCs w:val="22"/>
        </w:rPr>
        <w:t xml:space="preserve"> </w:t>
      </w:r>
      <w:r w:rsidR="00EE36C9" w:rsidRPr="00B05055">
        <w:rPr>
          <w:rFonts w:ascii="Arial" w:hAnsi="Arial" w:cs="Arial"/>
          <w:b/>
          <w:bCs/>
          <w:sz w:val="22"/>
          <w:szCs w:val="22"/>
        </w:rPr>
        <w:t>Histological method</w:t>
      </w:r>
    </w:p>
    <w:p w14:paraId="6D1D94CC" w14:textId="77777777" w:rsidR="00EE36C9" w:rsidRPr="00B05055" w:rsidRDefault="00EE36C9" w:rsidP="00EE36C9">
      <w:pPr>
        <w:jc w:val="both"/>
        <w:rPr>
          <w:rFonts w:ascii="Arial" w:hAnsi="Arial" w:cs="Arial"/>
          <w:sz w:val="20"/>
          <w:szCs w:val="20"/>
        </w:rPr>
      </w:pPr>
      <w:r w:rsidRPr="00B05055">
        <w:rPr>
          <w:rFonts w:ascii="Arial" w:hAnsi="Arial" w:cs="Arial"/>
          <w:sz w:val="20"/>
          <w:szCs w:val="20"/>
        </w:rPr>
        <w:t>The technique for making tissue sections used in this work is formalin fixation suitable for observations under light microscopy</w:t>
      </w:r>
      <w:r w:rsidR="00AC2FB1" w:rsidRPr="00B05055">
        <w:rPr>
          <w:rFonts w:ascii="Arial" w:hAnsi="Arial" w:cs="Arial"/>
          <w:sz w:val="20"/>
          <w:szCs w:val="20"/>
        </w:rPr>
        <w:t>.</w:t>
      </w:r>
      <w:r w:rsidR="00AC2FB1" w:rsidRPr="00B05055">
        <w:rPr>
          <w:rFonts w:ascii="Arial" w:hAnsi="Arial" w:cs="Arial"/>
          <w:kern w:val="0"/>
          <w:sz w:val="20"/>
          <w:szCs w:val="20"/>
        </w:rPr>
        <w:t xml:space="preserve"> </w:t>
      </w:r>
      <w:r w:rsidR="00AC2FB1" w:rsidRPr="00B05055">
        <w:rPr>
          <w:rFonts w:ascii="Arial" w:hAnsi="Arial" w:cs="Arial"/>
          <w:sz w:val="20"/>
          <w:szCs w:val="20"/>
        </w:rPr>
        <w:t xml:space="preserve">The standard protocol used for the histological section is that reported in certain works </w:t>
      </w:r>
      <w:r w:rsidR="00AC2FB1" w:rsidRPr="00B05055">
        <w:rPr>
          <w:rFonts w:ascii="Arial" w:hAnsi="Arial" w:cs="Arial"/>
          <w:sz w:val="20"/>
          <w:szCs w:val="20"/>
        </w:rPr>
        <w:fldChar w:fldCharType="begin"/>
      </w:r>
      <w:r w:rsidR="002B341C">
        <w:rPr>
          <w:rFonts w:ascii="Arial" w:hAnsi="Arial" w:cs="Arial"/>
          <w:sz w:val="20"/>
          <w:szCs w:val="20"/>
        </w:rPr>
        <w:instrText xml:space="preserve"> ADDIN ZOTERO_ITEM CSL_CITATION {"citationID":"pNd1ITXI","properties":{"formattedCitation":"(Etame et al., 2017; Mignanwand\\uc0\\u233{} et al., 2020)","plainCitation":"(Etame et al., 2017; Mignanwandé et al., 2020)","noteIndex":0},"citationItems":[{"id":524,"uris":["http://zotero.org/users/13923419/items/C3R56HLZ"],"itemData":{"id":524,"type":"article-journal","language":"fr","source":"Zotero","title":"Étude de la toxicité aigue et subaigüe de l’extrait au vin des graines de Carica papaya Linn.","author":[{"family":"Etame","given":"G. L."},{"family":"Jacques","given":"Y.G."},{"family":"Cécile","given":"O. E."},{"family":"Vivien","given":"M.B."},{"family":"Guy","given":"N."},{"family":"Emmanuel","given":"M."},{"family":"Didier","given":"D. S.."}],"issued":{"date-parts":[["2017"]]}}},{"id":526,"uris":["http://zotero.org/users/13923419/items/5AJD8KWG"],"itemData":{"id":526,"type":"article-journal","abstract":"Medicinal plants are widely used worldwide by populations and are a source of new active components. The objective of this work is to assess the toxicity of the ethanolic extract of this plant in order to promote its use in traditional medicine in Benin. Method: The ethanolic extract was obtained after evaporation of the filtrate under vacuum on a rotary evaporator. The toxicity studie s took into account on the one hand the determination of heavy metals (Pb, Cd and As) on the other hand the Acute and subacute Toxicities which were carried out according to the OECD guidelines respectively Standards 423 and 407 on Wistar strain female rats. Blood samp les were taken from animals for hematological and biochemical analyzes. Finally the organs (liver and kidney) were removed for histological readings. Results: The study of the acute oral toxicity of the ethanolic extract of Crateva adansonii at the single dose of 5.000 mg.kg-1 of body weight recorded no death or sign of toxicity during the 14 days of the experimental period. . This shows that the LD50 of our extract is greater than 5.000 mg.kg-1 pc. As for the subchronic toxicity, it revealed that whatever the dose of the extract administered, no signs of intoxication were observed during the 28 days. The extract Crateva adansonii is therefore not lethal. With the exception of a few rare tubular vacuolar degenerations, rats present a hepatic and renal histological appearance within norma l limits. Conclusion: This allows us to conclude the ad hoc use of Crateva adansonii is safe but its prolonged use can be harmful to the human organism.","issue":"5","language":"en","source":"Zotero","title":"Safety of the Ethanolic Extract Crateva adansonii DC. (Capparidaceae) Harvested at Dassa-Zounmè in Central Benin","volume":"9","author":[{"family":"Mignanwandé","given":"Zinsou Franck"},{"family":"Hounkpatin","given":"Armelle Sabine Yélignan"},{"family":"Johnson","given":"Roch Christian"},{"family":"Houndeton","given":"Armel Géraldo"},{"family":"Houéto","given":"Eustache Enock"}],"issued":{"date-parts":[["2020"]]}}}],"schema":"https://github.com/citation-style-language/schema/raw/master/csl-citation.json"} </w:instrText>
      </w:r>
      <w:r w:rsidR="00AC2FB1" w:rsidRPr="00B05055">
        <w:rPr>
          <w:rFonts w:ascii="Arial" w:hAnsi="Arial" w:cs="Arial"/>
          <w:sz w:val="20"/>
          <w:szCs w:val="20"/>
        </w:rPr>
        <w:fldChar w:fldCharType="separate"/>
      </w:r>
      <w:r w:rsidR="002B341C" w:rsidRPr="002B341C">
        <w:rPr>
          <w:rFonts w:ascii="Arial" w:hAnsi="Arial" w:cs="Arial"/>
          <w:kern w:val="0"/>
          <w:sz w:val="20"/>
        </w:rPr>
        <w:t>(Etame et al., 2017; Mignanwandé et al., 2020)</w:t>
      </w:r>
      <w:r w:rsidR="00AC2FB1" w:rsidRPr="00B05055">
        <w:rPr>
          <w:rFonts w:ascii="Arial" w:hAnsi="Arial" w:cs="Arial"/>
          <w:sz w:val="20"/>
          <w:szCs w:val="20"/>
        </w:rPr>
        <w:fldChar w:fldCharType="end"/>
      </w:r>
      <w:r w:rsidRPr="00B05055">
        <w:rPr>
          <w:rFonts w:ascii="Arial" w:hAnsi="Arial" w:cs="Arial"/>
          <w:sz w:val="20"/>
          <w:szCs w:val="20"/>
        </w:rPr>
        <w:t>. It requires seven steps, namely removal, fixation, progressive dehydration, inclusion in paraffin, cutting, coloring and assembly. Following the blood sample, the rats are sacrificed by total drowsiness with chloroform. The kidneys and liver were removed, weighed and immediately introduced into physiological water for rinsing. The organs are then fixed for ten days by immersion in 10% buffered formalin intended to immobilize the cellular and tissue structures, in a state as close as possible to their living state. This fixing phase is followed by dehydration by passage of the fragments in successive ethanol baths of increasing degree and then in a series of toluene baths for cleaning. Dehydration is succeeded by the inclusion in paraffin, a hardening and preservative substance which allows the achievement of fine and regular cuts. The paraffin block obtained in cassettes is obtained. The fine sections (2 to 5 μm thick) of the paraffin block will be made with a microtome. These sections collected on glass slides numbered beforehand. The slides are incubated for 24 hours. Finally, we will proceed with mounting following dehydration (alcohol baths of increasing degree). The haematoxylin and eosin stained sections mounted between slide and coverslip are ready to be observed under an optical microscope.</w:t>
      </w:r>
    </w:p>
    <w:p w14:paraId="22E24155" w14:textId="77777777" w:rsidR="00255FFC" w:rsidRPr="00B05055" w:rsidRDefault="00255FFC" w:rsidP="00EE36C9">
      <w:pPr>
        <w:jc w:val="both"/>
        <w:rPr>
          <w:rFonts w:ascii="Arial" w:hAnsi="Arial" w:cs="Arial"/>
          <w:sz w:val="20"/>
          <w:szCs w:val="20"/>
        </w:rPr>
      </w:pPr>
    </w:p>
    <w:p w14:paraId="5CF13105" w14:textId="77777777" w:rsidR="00255FFC" w:rsidRPr="00B05055" w:rsidRDefault="00255FFC" w:rsidP="00255FFC">
      <w:pPr>
        <w:jc w:val="both"/>
        <w:rPr>
          <w:rFonts w:ascii="Arial" w:hAnsi="Arial" w:cs="Arial"/>
          <w:b/>
          <w:bCs/>
          <w:sz w:val="22"/>
          <w:szCs w:val="22"/>
        </w:rPr>
      </w:pPr>
      <w:r w:rsidRPr="00B05055">
        <w:rPr>
          <w:rFonts w:ascii="Arial" w:hAnsi="Arial" w:cs="Arial"/>
          <w:b/>
          <w:bCs/>
          <w:sz w:val="22"/>
          <w:szCs w:val="22"/>
        </w:rPr>
        <w:t>2.2.7</w:t>
      </w:r>
      <w:r w:rsidRPr="00B05055">
        <w:rPr>
          <w:rFonts w:ascii="Arial" w:hAnsi="Arial" w:cs="Arial"/>
          <w:sz w:val="22"/>
          <w:szCs w:val="22"/>
        </w:rPr>
        <w:t>.</w:t>
      </w:r>
      <w:r w:rsidRPr="00B05055">
        <w:rPr>
          <w:rFonts w:ascii="Arial" w:hAnsi="Arial" w:cs="Arial"/>
          <w:b/>
          <w:bCs/>
          <w:kern w:val="0"/>
          <w:sz w:val="22"/>
          <w:szCs w:val="22"/>
        </w:rPr>
        <w:t xml:space="preserve"> </w:t>
      </w:r>
      <w:r w:rsidRPr="00B05055">
        <w:rPr>
          <w:rFonts w:ascii="Arial" w:hAnsi="Arial" w:cs="Arial"/>
          <w:b/>
          <w:bCs/>
          <w:sz w:val="22"/>
          <w:szCs w:val="22"/>
        </w:rPr>
        <w:t>Statistical analyzes</w:t>
      </w:r>
    </w:p>
    <w:p w14:paraId="2BF2702C" w14:textId="77777777" w:rsidR="00255FFC" w:rsidRPr="00B05055" w:rsidRDefault="00255FFC" w:rsidP="00255FFC">
      <w:pPr>
        <w:jc w:val="both"/>
        <w:rPr>
          <w:rFonts w:ascii="Arial" w:hAnsi="Arial" w:cs="Arial"/>
          <w:sz w:val="20"/>
          <w:szCs w:val="20"/>
        </w:rPr>
      </w:pPr>
      <w:r w:rsidRPr="00B05055">
        <w:rPr>
          <w:rFonts w:ascii="Arial" w:hAnsi="Arial" w:cs="Arial"/>
          <w:sz w:val="20"/>
          <w:szCs w:val="20"/>
        </w:rPr>
        <w:t xml:space="preserve">The data generated are expressed as Average ± Standard Error of Average (SEM). The comparisons between the control values and those of the treated groups were carried out by the “Student” test at the threshold of (p &lt;0.05) according to the ANOVA statistical model with the Epi info7.2 </w:t>
      </w:r>
      <w:proofErr w:type="gramStart"/>
      <w:r w:rsidRPr="00B05055">
        <w:rPr>
          <w:rFonts w:ascii="Arial" w:hAnsi="Arial" w:cs="Arial"/>
          <w:sz w:val="20"/>
          <w:szCs w:val="20"/>
        </w:rPr>
        <w:t>software</w:t>
      </w:r>
      <w:proofErr w:type="gramEnd"/>
      <w:r w:rsidRPr="00B05055">
        <w:rPr>
          <w:rFonts w:ascii="Arial" w:hAnsi="Arial" w:cs="Arial"/>
          <w:sz w:val="20"/>
          <w:szCs w:val="20"/>
        </w:rPr>
        <w:t>. The difference was considered statistically significant when the p-value was less than 0.05.</w:t>
      </w:r>
    </w:p>
    <w:p w14:paraId="0EC61C48" w14:textId="77777777" w:rsidR="00A27B15" w:rsidRPr="00B05055" w:rsidRDefault="00A27B15" w:rsidP="00A27B15">
      <w:pPr>
        <w:jc w:val="both"/>
        <w:rPr>
          <w:rFonts w:ascii="Arial" w:hAnsi="Arial" w:cs="Arial"/>
          <w:b/>
          <w:bCs/>
        </w:rPr>
      </w:pPr>
    </w:p>
    <w:p w14:paraId="6137B6E5" w14:textId="77777777" w:rsidR="00A27B15" w:rsidRPr="00B05055" w:rsidRDefault="00A27B15" w:rsidP="00A27B15">
      <w:pPr>
        <w:jc w:val="both"/>
        <w:rPr>
          <w:rFonts w:ascii="Arial" w:hAnsi="Arial" w:cs="Arial"/>
          <w:b/>
          <w:bCs/>
          <w:sz w:val="22"/>
          <w:szCs w:val="22"/>
        </w:rPr>
      </w:pPr>
      <w:r w:rsidRPr="00B05055">
        <w:rPr>
          <w:rFonts w:ascii="Arial" w:hAnsi="Arial" w:cs="Arial"/>
          <w:b/>
          <w:bCs/>
          <w:sz w:val="22"/>
          <w:szCs w:val="22"/>
        </w:rPr>
        <w:t>2.2.8 Ethics Committee</w:t>
      </w:r>
    </w:p>
    <w:p w14:paraId="317046A2" w14:textId="77777777" w:rsidR="00A27B15" w:rsidRPr="00B05055" w:rsidRDefault="00A27B15" w:rsidP="00A27B15">
      <w:pPr>
        <w:jc w:val="both"/>
        <w:rPr>
          <w:rFonts w:ascii="Arial" w:hAnsi="Arial" w:cs="Arial"/>
          <w:sz w:val="20"/>
          <w:szCs w:val="20"/>
        </w:rPr>
      </w:pPr>
      <w:r w:rsidRPr="00B05055">
        <w:rPr>
          <w:rFonts w:ascii="Arial" w:hAnsi="Arial" w:cs="Arial"/>
          <w:sz w:val="20"/>
          <w:szCs w:val="20"/>
        </w:rPr>
        <w:lastRenderedPageBreak/>
        <w:t>The experimental procedures were carried out after the approval of the ethical guidelines of the Ethics Committee of the Institute of Applied Biomedical Sciences (ISBA). All the experiments were carried out in accordance with the directives for the care and use of laboratory animals and the European Union statutes concerning the handling of laboratory animals (86/609 / EEC)</w:t>
      </w:r>
      <w:r w:rsidR="00725369" w:rsidRPr="00B05055">
        <w:rPr>
          <w:rFonts w:ascii="Arial" w:hAnsi="Arial" w:cs="Arial"/>
          <w:sz w:val="20"/>
          <w:szCs w:val="20"/>
        </w:rPr>
        <w:t xml:space="preserve"> </w:t>
      </w:r>
      <w:r w:rsidR="00725369" w:rsidRPr="00B05055">
        <w:rPr>
          <w:rFonts w:ascii="Arial" w:hAnsi="Arial" w:cs="Arial"/>
          <w:sz w:val="20"/>
          <w:szCs w:val="20"/>
        </w:rPr>
        <w:fldChar w:fldCharType="begin"/>
      </w:r>
      <w:r w:rsidR="002B341C">
        <w:rPr>
          <w:rFonts w:ascii="Arial" w:hAnsi="Arial" w:cs="Arial"/>
          <w:sz w:val="20"/>
          <w:szCs w:val="20"/>
        </w:rPr>
        <w:instrText xml:space="preserve"> ADDIN ZOTERO_ITEM CSL_CITATION {"citationID":"VDfYRjuM","properties":{"formattedCitation":"(Irie-N\\uc0\\u8217{}guessan et al., 2019)","plainCitation":"(Irie-N’guessan et al., 2019)","noteIndex":0},"citationItems":[{"id":528,"uris":["http://zotero.org/users/13923419/items/MKPNBWAI"],"itemData":{"id":528,"type":"article-journal","container-title":"International Journal of Biological and Chemical Sciences","DOI":"10.4314/ijbcs.v13i2.21","ISSN":"1997-342X, 1991-8631","issue":"2","journalAbbreviation":"Int. J. Bio. Chem. Sci","language":"fr","page":"836","source":"DOI.org (Crossref)","title":"La toxicité subaiguë de l’écorce de racines de &lt;i&gt;Dichrostachys cinerea&lt;/i&gt; (L.) Wight et Arn. (Fabaceae)","volume":"13","author":[{"family":"Irie-N’guessan","given":"Amenan Geneviève"},{"family":"Effo","given":"Kouakou Etienne"},{"family":"Koua","given":"Kadio Brou Donald"},{"family":"Kouakou","given":"Sylvain Landry"},{"family":"Djadji","given":"Ayoman Thierry Lenoir"},{"family":"Adepo","given":"Apie Annick"},{"family":"Diarrassouba","given":"N’golo"},{"family":"Kouakou-Siransy","given":"N’doua Gisèle"}],"issued":{"date-parts":[["2019",8,28]]}}}],"schema":"https://github.com/citation-style-language/schema/raw/master/csl-citation.json"} </w:instrText>
      </w:r>
      <w:r w:rsidR="00725369" w:rsidRPr="00B05055">
        <w:rPr>
          <w:rFonts w:ascii="Arial" w:hAnsi="Arial" w:cs="Arial"/>
          <w:sz w:val="20"/>
          <w:szCs w:val="20"/>
        </w:rPr>
        <w:fldChar w:fldCharType="separate"/>
      </w:r>
      <w:r w:rsidR="002B341C" w:rsidRPr="002B341C">
        <w:rPr>
          <w:rFonts w:ascii="Arial" w:hAnsi="Arial" w:cs="Arial"/>
          <w:kern w:val="0"/>
          <w:sz w:val="20"/>
        </w:rPr>
        <w:t>(Irie-N’guessan et al., 2019)</w:t>
      </w:r>
      <w:r w:rsidR="00725369" w:rsidRPr="00B05055">
        <w:rPr>
          <w:rFonts w:ascii="Arial" w:hAnsi="Arial" w:cs="Arial"/>
          <w:sz w:val="20"/>
          <w:szCs w:val="20"/>
        </w:rPr>
        <w:fldChar w:fldCharType="end"/>
      </w:r>
      <w:r w:rsidRPr="00B05055">
        <w:rPr>
          <w:rFonts w:ascii="Arial" w:hAnsi="Arial" w:cs="Arial"/>
          <w:sz w:val="20"/>
          <w:szCs w:val="20"/>
        </w:rPr>
        <w:t>.</w:t>
      </w:r>
    </w:p>
    <w:p w14:paraId="3B528DB8" w14:textId="77777777" w:rsidR="006B4A58" w:rsidRPr="00B05055" w:rsidRDefault="006B4A58" w:rsidP="00A27B15">
      <w:pPr>
        <w:jc w:val="both"/>
        <w:rPr>
          <w:rFonts w:ascii="Arial" w:hAnsi="Arial" w:cs="Arial"/>
          <w:b/>
          <w:bCs/>
        </w:rPr>
      </w:pPr>
    </w:p>
    <w:p w14:paraId="69138FA7" w14:textId="77777777" w:rsidR="00A27B15" w:rsidRPr="00B05055" w:rsidRDefault="00A27B15" w:rsidP="00A27B15">
      <w:pPr>
        <w:jc w:val="both"/>
        <w:rPr>
          <w:rFonts w:ascii="Arial" w:hAnsi="Arial" w:cs="Arial"/>
          <w:b/>
          <w:bCs/>
          <w:sz w:val="22"/>
          <w:szCs w:val="22"/>
        </w:rPr>
      </w:pPr>
      <w:r w:rsidRPr="00B05055">
        <w:rPr>
          <w:rFonts w:ascii="Arial" w:hAnsi="Arial" w:cs="Arial"/>
          <w:b/>
          <w:bCs/>
          <w:sz w:val="22"/>
          <w:szCs w:val="22"/>
        </w:rPr>
        <w:t>3. Results</w:t>
      </w:r>
    </w:p>
    <w:p w14:paraId="2E7AE245" w14:textId="77777777" w:rsidR="00A27B15" w:rsidRPr="00B05055" w:rsidRDefault="00A27B15" w:rsidP="00A27B15">
      <w:pPr>
        <w:jc w:val="both"/>
        <w:rPr>
          <w:rFonts w:ascii="Arial" w:hAnsi="Arial" w:cs="Arial"/>
          <w:sz w:val="22"/>
          <w:szCs w:val="22"/>
        </w:rPr>
      </w:pPr>
      <w:r w:rsidRPr="00B05055">
        <w:rPr>
          <w:rFonts w:ascii="Arial" w:hAnsi="Arial" w:cs="Arial"/>
          <w:b/>
          <w:bCs/>
          <w:sz w:val="22"/>
          <w:szCs w:val="22"/>
        </w:rPr>
        <w:t>3.1 Results of the acute oral safety test</w:t>
      </w:r>
    </w:p>
    <w:p w14:paraId="3B473A6C" w14:textId="77777777" w:rsidR="00A27B15" w:rsidRPr="00B05055" w:rsidRDefault="00A27B15" w:rsidP="00A27B15">
      <w:pPr>
        <w:jc w:val="both"/>
        <w:rPr>
          <w:rFonts w:ascii="Arial" w:hAnsi="Arial" w:cs="Arial"/>
          <w:b/>
          <w:bCs/>
          <w:sz w:val="22"/>
          <w:szCs w:val="22"/>
        </w:rPr>
      </w:pPr>
      <w:r w:rsidRPr="00B05055">
        <w:rPr>
          <w:rFonts w:ascii="Arial" w:hAnsi="Arial" w:cs="Arial"/>
          <w:b/>
          <w:bCs/>
          <w:sz w:val="22"/>
          <w:szCs w:val="22"/>
        </w:rPr>
        <w:t>3.1.1 Clinical signs of intoxication</w:t>
      </w:r>
    </w:p>
    <w:p w14:paraId="36991468" w14:textId="77777777" w:rsidR="00D03A47" w:rsidRPr="00B05055" w:rsidRDefault="00D03A47" w:rsidP="00D03A47">
      <w:pPr>
        <w:jc w:val="both"/>
        <w:rPr>
          <w:rFonts w:ascii="Arial" w:eastAsia="Calibri" w:hAnsi="Arial" w:cs="Arial"/>
          <w:kern w:val="0"/>
          <w:sz w:val="20"/>
          <w:szCs w:val="20"/>
          <w14:ligatures w14:val="none"/>
        </w:rPr>
      </w:pPr>
      <w:r w:rsidRPr="00B05055">
        <w:rPr>
          <w:rFonts w:ascii="Arial" w:eastAsia="Calibri" w:hAnsi="Arial" w:cs="Arial"/>
          <w:kern w:val="0"/>
          <w:sz w:val="20"/>
          <w:szCs w:val="20"/>
          <w14:ligatures w14:val="none"/>
        </w:rPr>
        <w:t xml:space="preserve">The acute oral toxicity study conducted on Wistar rats showed that the hydroethanolic extract of </w:t>
      </w:r>
      <w:r w:rsidR="006B4178" w:rsidRPr="00B05055">
        <w:rPr>
          <w:rFonts w:ascii="Arial" w:eastAsia="Calibri" w:hAnsi="Arial" w:cs="Arial"/>
          <w:i/>
          <w:iCs/>
          <w:kern w:val="0"/>
          <w:sz w:val="20"/>
          <w:szCs w:val="20"/>
          <w14:ligatures w14:val="none"/>
        </w:rPr>
        <w:t>Jatropha curcas</w:t>
      </w:r>
      <w:r w:rsidR="006B4178" w:rsidRPr="00B05055">
        <w:rPr>
          <w:rFonts w:ascii="Arial" w:eastAsia="Calibri" w:hAnsi="Arial" w:cs="Arial"/>
          <w:kern w:val="0"/>
          <w:sz w:val="20"/>
          <w:szCs w:val="20"/>
          <w14:ligatures w14:val="none"/>
        </w:rPr>
        <w:t xml:space="preserve"> leaves</w:t>
      </w:r>
      <w:r w:rsidRPr="00B05055">
        <w:rPr>
          <w:rFonts w:ascii="Arial" w:eastAsia="Calibri" w:hAnsi="Arial" w:cs="Arial"/>
          <w:kern w:val="0"/>
          <w:sz w:val="20"/>
          <w:szCs w:val="20"/>
          <w14:ligatures w14:val="none"/>
        </w:rPr>
        <w:t xml:space="preserve"> at a single dose of 5000 mg/kg had no adverse effects. No abnormal reactions were recorded during the first four hours following administration of the extract at a single dose of 5000 mg/kg body weight in the treated groups compared to the control group. During the 14-day follow-up period, no deaths were recorded. Clinical signs of acute intoxication such as calmness, abdominal twisting and rapid breathing were not observed during the first hours of the study period. The behaviour of the treated animals remained normal and comparable to that of the control group. However, scratching of the muzzle with the upper limbs and against the cage walls was observed in the first few minutes after administration. These disturbances lasted only about 30 minutes. The treated animals returned to normal after 30 minutes.</w:t>
      </w:r>
    </w:p>
    <w:p w14:paraId="29B0A516" w14:textId="77777777" w:rsidR="00D03A47" w:rsidRPr="00B05055" w:rsidRDefault="00D03A47" w:rsidP="00D03A47">
      <w:pPr>
        <w:jc w:val="both"/>
        <w:rPr>
          <w:rFonts w:ascii="Arial" w:hAnsi="Arial" w:cs="Arial"/>
          <w:b/>
          <w:bCs/>
        </w:rPr>
      </w:pPr>
    </w:p>
    <w:p w14:paraId="78BA0585" w14:textId="77777777" w:rsidR="00D03A47" w:rsidRPr="00B05055" w:rsidRDefault="00D03A47" w:rsidP="00D03A47">
      <w:pPr>
        <w:jc w:val="both"/>
        <w:rPr>
          <w:rFonts w:ascii="Arial" w:hAnsi="Arial" w:cs="Arial"/>
          <w:b/>
          <w:bCs/>
          <w:sz w:val="22"/>
          <w:szCs w:val="22"/>
        </w:rPr>
      </w:pPr>
      <w:r w:rsidRPr="00B05055">
        <w:rPr>
          <w:rFonts w:ascii="Arial" w:hAnsi="Arial" w:cs="Arial"/>
          <w:b/>
          <w:bCs/>
          <w:sz w:val="22"/>
          <w:szCs w:val="22"/>
        </w:rPr>
        <w:t>3.1.2 Evolution of the mass of animals</w:t>
      </w:r>
    </w:p>
    <w:p w14:paraId="1372B8EE" w14:textId="4E063C21" w:rsidR="00516B27" w:rsidRPr="00B05055" w:rsidRDefault="00D03A47" w:rsidP="00516B27">
      <w:pPr>
        <w:jc w:val="both"/>
        <w:rPr>
          <w:rFonts w:ascii="Arial" w:hAnsi="Arial" w:cs="Arial"/>
          <w:sz w:val="20"/>
          <w:szCs w:val="20"/>
        </w:rPr>
      </w:pPr>
      <w:r w:rsidRPr="00B05055">
        <w:rPr>
          <w:rFonts w:ascii="Arial" w:hAnsi="Arial" w:cs="Arial"/>
          <w:sz w:val="20"/>
          <w:szCs w:val="20"/>
        </w:rPr>
        <w:t xml:space="preserve">Figure </w:t>
      </w:r>
      <w:r w:rsidR="00453DD3">
        <w:rPr>
          <w:rFonts w:ascii="Arial" w:hAnsi="Arial" w:cs="Arial"/>
          <w:sz w:val="20"/>
          <w:szCs w:val="20"/>
        </w:rPr>
        <w:t>2</w:t>
      </w:r>
      <w:r w:rsidRPr="00B05055">
        <w:rPr>
          <w:rFonts w:ascii="Arial" w:hAnsi="Arial" w:cs="Arial"/>
          <w:sz w:val="20"/>
          <w:szCs w:val="20"/>
        </w:rPr>
        <w:t xml:space="preserve"> below shows the evolution of the weight growth of</w:t>
      </w:r>
      <w:r w:rsidR="00516B27" w:rsidRPr="00B05055">
        <w:rPr>
          <w:rFonts w:ascii="Arial" w:hAnsi="Arial" w:cs="Arial"/>
          <w:sz w:val="20"/>
          <w:szCs w:val="20"/>
        </w:rPr>
        <w:t xml:space="preserve"> the animals during the 14 days of experimentation.</w:t>
      </w:r>
    </w:p>
    <w:p w14:paraId="332D2E72" w14:textId="77777777" w:rsidR="00516B27" w:rsidRPr="00B05055" w:rsidRDefault="00516B27" w:rsidP="00516B27">
      <w:pPr>
        <w:jc w:val="both"/>
        <w:rPr>
          <w:rFonts w:ascii="Arial" w:hAnsi="Arial" w:cs="Arial"/>
          <w:sz w:val="20"/>
          <w:szCs w:val="20"/>
        </w:rPr>
      </w:pPr>
    </w:p>
    <w:p w14:paraId="675B96CA" w14:textId="6B21AFFE" w:rsidR="00516B27" w:rsidRPr="00B05055" w:rsidRDefault="002A57AE" w:rsidP="00516B27">
      <w:pPr>
        <w:jc w:val="both"/>
        <w:rPr>
          <w:rFonts w:ascii="Arial" w:hAnsi="Arial" w:cs="Arial"/>
        </w:rPr>
      </w:pPr>
      <w:r>
        <w:rPr>
          <w:noProof/>
        </w:rPr>
        <w:drawing>
          <wp:inline distT="0" distB="0" distL="0" distR="0" wp14:anchorId="06698DD3" wp14:editId="17294EC4">
            <wp:extent cx="5760720" cy="3044825"/>
            <wp:effectExtent l="0" t="0" r="0" b="3175"/>
            <wp:docPr id="1245462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462237" name=""/>
                    <pic:cNvPicPr/>
                  </pic:nvPicPr>
                  <pic:blipFill>
                    <a:blip r:embed="rId8"/>
                    <a:stretch>
                      <a:fillRect/>
                    </a:stretch>
                  </pic:blipFill>
                  <pic:spPr>
                    <a:xfrm>
                      <a:off x="0" y="0"/>
                      <a:ext cx="5760720" cy="3044825"/>
                    </a:xfrm>
                    <a:prstGeom prst="rect">
                      <a:avLst/>
                    </a:prstGeom>
                  </pic:spPr>
                </pic:pic>
              </a:graphicData>
            </a:graphic>
          </wp:inline>
        </w:drawing>
      </w:r>
    </w:p>
    <w:p w14:paraId="3FB4B93F" w14:textId="501B5663" w:rsidR="00516B27" w:rsidRPr="00B05055" w:rsidRDefault="00516B27" w:rsidP="00516B27">
      <w:pPr>
        <w:jc w:val="both"/>
        <w:rPr>
          <w:rFonts w:ascii="Arial" w:hAnsi="Arial" w:cs="Arial"/>
          <w:sz w:val="20"/>
          <w:szCs w:val="20"/>
        </w:rPr>
      </w:pPr>
      <w:r w:rsidRPr="00B05055">
        <w:rPr>
          <w:rFonts w:ascii="Arial" w:hAnsi="Arial" w:cs="Arial"/>
          <w:b/>
          <w:bCs/>
          <w:sz w:val="20"/>
          <w:szCs w:val="20"/>
        </w:rPr>
        <w:t xml:space="preserve">Figure </w:t>
      </w:r>
      <w:proofErr w:type="gramStart"/>
      <w:r w:rsidR="00453DD3">
        <w:rPr>
          <w:rFonts w:ascii="Arial" w:hAnsi="Arial" w:cs="Arial"/>
          <w:b/>
          <w:bCs/>
          <w:sz w:val="20"/>
          <w:szCs w:val="20"/>
        </w:rPr>
        <w:t>2</w:t>
      </w:r>
      <w:r w:rsidR="00DB5E50" w:rsidRPr="00B05055">
        <w:rPr>
          <w:rFonts w:ascii="Arial" w:hAnsi="Arial" w:cs="Arial"/>
          <w:b/>
          <w:bCs/>
          <w:sz w:val="20"/>
          <w:szCs w:val="20"/>
        </w:rPr>
        <w:t>:</w:t>
      </w:r>
      <w:proofErr w:type="gramEnd"/>
      <w:r w:rsidRPr="00B05055">
        <w:rPr>
          <w:rFonts w:ascii="Arial" w:hAnsi="Arial" w:cs="Arial"/>
          <w:b/>
          <w:bCs/>
          <w:sz w:val="20"/>
          <w:szCs w:val="20"/>
        </w:rPr>
        <w:t xml:space="preserve"> </w:t>
      </w:r>
      <w:r w:rsidRPr="00B05055">
        <w:rPr>
          <w:rFonts w:ascii="Arial" w:hAnsi="Arial" w:cs="Arial"/>
          <w:sz w:val="20"/>
          <w:szCs w:val="20"/>
        </w:rPr>
        <w:t>Evolution of the body mass of the animals</w:t>
      </w:r>
    </w:p>
    <w:p w14:paraId="13337504" w14:textId="79C671C0" w:rsidR="00DB5E50" w:rsidRPr="00B05055" w:rsidRDefault="00DB5E50" w:rsidP="00DB5E50">
      <w:pPr>
        <w:jc w:val="both"/>
        <w:rPr>
          <w:rFonts w:ascii="Arial" w:hAnsi="Arial" w:cs="Arial"/>
          <w:sz w:val="20"/>
          <w:szCs w:val="20"/>
        </w:rPr>
      </w:pPr>
      <w:r w:rsidRPr="00B05055">
        <w:rPr>
          <w:rFonts w:ascii="Arial" w:hAnsi="Arial" w:cs="Arial"/>
          <w:sz w:val="20"/>
          <w:szCs w:val="20"/>
        </w:rPr>
        <w:lastRenderedPageBreak/>
        <w:t xml:space="preserve">All animals experienced positive weight changes during the experiment. The evolution of the body mass of the treated animals did not show any statistically significant difference compared to the control batch (Figure </w:t>
      </w:r>
      <w:r w:rsidR="00453DD3">
        <w:rPr>
          <w:rFonts w:ascii="Arial" w:hAnsi="Arial" w:cs="Arial"/>
          <w:sz w:val="20"/>
          <w:szCs w:val="20"/>
        </w:rPr>
        <w:t>2</w:t>
      </w:r>
      <w:r w:rsidRPr="00B05055">
        <w:rPr>
          <w:rFonts w:ascii="Arial" w:hAnsi="Arial" w:cs="Arial"/>
          <w:sz w:val="20"/>
          <w:szCs w:val="20"/>
        </w:rPr>
        <w:t>).</w:t>
      </w:r>
      <w:r w:rsidR="006B4A58" w:rsidRPr="00B05055">
        <w:rPr>
          <w:rFonts w:ascii="Arial" w:hAnsi="Arial" w:cs="Arial"/>
          <w:sz w:val="20"/>
          <w:szCs w:val="20"/>
        </w:rPr>
        <w:t xml:space="preserve"> </w:t>
      </w:r>
    </w:p>
    <w:p w14:paraId="381CC6BD" w14:textId="77777777" w:rsidR="00C26039" w:rsidRPr="00B05055" w:rsidRDefault="00C26039" w:rsidP="00C26039">
      <w:pPr>
        <w:jc w:val="both"/>
        <w:rPr>
          <w:rFonts w:ascii="Arial" w:hAnsi="Arial" w:cs="Arial"/>
          <w:b/>
          <w:bCs/>
          <w:sz w:val="22"/>
          <w:szCs w:val="22"/>
        </w:rPr>
      </w:pPr>
      <w:r w:rsidRPr="00B05055">
        <w:rPr>
          <w:rFonts w:ascii="Arial" w:hAnsi="Arial" w:cs="Arial"/>
          <w:b/>
          <w:bCs/>
          <w:sz w:val="22"/>
          <w:szCs w:val="22"/>
        </w:rPr>
        <w:t>3.1.3 Water and pellet consumption</w:t>
      </w:r>
    </w:p>
    <w:p w14:paraId="4301018C" w14:textId="77777777" w:rsidR="00C26039" w:rsidRPr="00B05055" w:rsidRDefault="00C26039" w:rsidP="00C26039">
      <w:pPr>
        <w:jc w:val="both"/>
        <w:rPr>
          <w:rFonts w:ascii="Arial" w:hAnsi="Arial" w:cs="Arial"/>
          <w:sz w:val="20"/>
          <w:szCs w:val="20"/>
        </w:rPr>
      </w:pPr>
      <w:r w:rsidRPr="00B05055">
        <w:rPr>
          <w:rFonts w:ascii="Arial" w:hAnsi="Arial" w:cs="Arial"/>
          <w:sz w:val="20"/>
          <w:szCs w:val="20"/>
        </w:rPr>
        <w:t>The results of the water and granule consumption of the test and treated batches during the two weeks of follow-up are recorded in table 1.</w:t>
      </w:r>
    </w:p>
    <w:p w14:paraId="18A53D3D" w14:textId="77777777" w:rsidR="00C26039" w:rsidRPr="00B05055" w:rsidRDefault="00C26039" w:rsidP="00C26039">
      <w:pPr>
        <w:jc w:val="both"/>
        <w:rPr>
          <w:rFonts w:ascii="Arial" w:hAnsi="Arial" w:cs="Arial"/>
          <w:sz w:val="22"/>
          <w:szCs w:val="22"/>
        </w:rPr>
      </w:pPr>
      <w:r w:rsidRPr="00B05055">
        <w:rPr>
          <w:rFonts w:ascii="Arial" w:hAnsi="Arial" w:cs="Arial"/>
          <w:sz w:val="22"/>
          <w:szCs w:val="22"/>
        </w:rPr>
        <w:t>Table 1 : Granule</w:t>
      </w:r>
      <w:r w:rsidR="008F4239" w:rsidRPr="00B05055">
        <w:rPr>
          <w:rFonts w:ascii="Arial" w:hAnsi="Arial" w:cs="Arial"/>
          <w:sz w:val="22"/>
          <w:szCs w:val="22"/>
        </w:rPr>
        <w:t>s</w:t>
      </w:r>
      <w:r w:rsidRPr="00B05055">
        <w:rPr>
          <w:rFonts w:ascii="Arial" w:hAnsi="Arial" w:cs="Arial"/>
          <w:sz w:val="22"/>
          <w:szCs w:val="22"/>
        </w:rPr>
        <w:t xml:space="preserve"> and water consumption</w:t>
      </w:r>
    </w:p>
    <w:tbl>
      <w:tblPr>
        <w:tblStyle w:val="Style111"/>
        <w:tblW w:w="0" w:type="auto"/>
        <w:tblLook w:val="04A0" w:firstRow="1" w:lastRow="0" w:firstColumn="1" w:lastColumn="0" w:noHBand="0" w:noVBand="1"/>
      </w:tblPr>
      <w:tblGrid>
        <w:gridCol w:w="1837"/>
        <w:gridCol w:w="1816"/>
        <w:gridCol w:w="1807"/>
        <w:gridCol w:w="3602"/>
      </w:tblGrid>
      <w:tr w:rsidR="00C26039" w:rsidRPr="00B05055" w14:paraId="46F8AB50" w14:textId="77777777" w:rsidTr="00C26039">
        <w:trPr>
          <w:cnfStyle w:val="100000000000" w:firstRow="1" w:lastRow="0" w:firstColumn="0" w:lastColumn="0" w:oddVBand="0" w:evenVBand="0" w:oddHBand="0" w:evenHBand="0" w:firstRowFirstColumn="0" w:firstRowLastColumn="0" w:lastRowFirstColumn="0" w:lastRowLastColumn="0"/>
        </w:trPr>
        <w:tc>
          <w:tcPr>
            <w:tcW w:w="1837" w:type="dxa"/>
          </w:tcPr>
          <w:p w14:paraId="162B1DC9" w14:textId="77777777" w:rsidR="00C26039" w:rsidRPr="00B05055" w:rsidRDefault="00406579" w:rsidP="00BE56F0">
            <w:pPr>
              <w:spacing w:line="276" w:lineRule="auto"/>
              <w:rPr>
                <w:rFonts w:ascii="Arial" w:hAnsi="Arial" w:cs="Arial"/>
                <w:b/>
              </w:rPr>
            </w:pPr>
            <w:r w:rsidRPr="00B05055">
              <w:rPr>
                <w:rFonts w:ascii="Arial" w:hAnsi="Arial" w:cs="Arial"/>
                <w:b/>
              </w:rPr>
              <w:t>Material consumption</w:t>
            </w:r>
          </w:p>
        </w:tc>
        <w:tc>
          <w:tcPr>
            <w:tcW w:w="1816" w:type="dxa"/>
          </w:tcPr>
          <w:p w14:paraId="0F226C95" w14:textId="77777777" w:rsidR="00C26039" w:rsidRPr="00B05055" w:rsidRDefault="00406579" w:rsidP="00C26039">
            <w:pPr>
              <w:spacing w:line="276" w:lineRule="auto"/>
              <w:jc w:val="center"/>
              <w:rPr>
                <w:rFonts w:ascii="Arial" w:hAnsi="Arial" w:cs="Arial"/>
                <w:b/>
              </w:rPr>
            </w:pPr>
            <w:r w:rsidRPr="00B05055">
              <w:rPr>
                <w:rFonts w:ascii="Arial" w:hAnsi="Arial" w:cs="Arial"/>
                <w:b/>
              </w:rPr>
              <w:t>Week</w:t>
            </w:r>
          </w:p>
        </w:tc>
        <w:tc>
          <w:tcPr>
            <w:tcW w:w="5409" w:type="dxa"/>
            <w:gridSpan w:val="2"/>
          </w:tcPr>
          <w:p w14:paraId="36AC4B53" w14:textId="77777777" w:rsidR="00C26039" w:rsidRPr="00B05055" w:rsidRDefault="00C26039" w:rsidP="00BE56F0">
            <w:pPr>
              <w:spacing w:line="276" w:lineRule="auto"/>
              <w:jc w:val="center"/>
              <w:rPr>
                <w:rFonts w:ascii="Arial" w:hAnsi="Arial" w:cs="Arial"/>
                <w:b/>
              </w:rPr>
            </w:pPr>
            <w:r w:rsidRPr="00B05055">
              <w:rPr>
                <w:rFonts w:ascii="Arial" w:hAnsi="Arial" w:cs="Arial"/>
                <w:b/>
              </w:rPr>
              <w:t xml:space="preserve">                   </w:t>
            </w:r>
            <w:r w:rsidR="00406579" w:rsidRPr="00B05055">
              <w:rPr>
                <w:rFonts w:ascii="Arial" w:hAnsi="Arial" w:cs="Arial"/>
                <w:b/>
              </w:rPr>
              <w:t>Quantity</w:t>
            </w:r>
          </w:p>
          <w:p w14:paraId="0AD275AA" w14:textId="77777777" w:rsidR="00C26039" w:rsidRPr="00B05055" w:rsidRDefault="00C26039" w:rsidP="00BE56F0">
            <w:pPr>
              <w:spacing w:line="276" w:lineRule="auto"/>
              <w:jc w:val="center"/>
              <w:rPr>
                <w:rFonts w:ascii="Arial" w:hAnsi="Arial" w:cs="Arial"/>
                <w:b/>
              </w:rPr>
            </w:pPr>
          </w:p>
        </w:tc>
      </w:tr>
      <w:tr w:rsidR="00C26039" w:rsidRPr="00B05055" w14:paraId="2628E61F" w14:textId="77777777" w:rsidTr="00C26039">
        <w:tc>
          <w:tcPr>
            <w:tcW w:w="1837" w:type="dxa"/>
          </w:tcPr>
          <w:p w14:paraId="4CD0EA83" w14:textId="77777777" w:rsidR="00C26039" w:rsidRPr="00B05055" w:rsidRDefault="00C26039" w:rsidP="00BE56F0">
            <w:pPr>
              <w:spacing w:line="276" w:lineRule="auto"/>
              <w:rPr>
                <w:rFonts w:ascii="Arial" w:hAnsi="Arial" w:cs="Arial"/>
              </w:rPr>
            </w:pPr>
          </w:p>
        </w:tc>
        <w:tc>
          <w:tcPr>
            <w:tcW w:w="1816" w:type="dxa"/>
          </w:tcPr>
          <w:p w14:paraId="05C18440" w14:textId="77777777" w:rsidR="00C26039" w:rsidRPr="00B05055" w:rsidRDefault="00C26039" w:rsidP="00C26039">
            <w:pPr>
              <w:spacing w:line="276" w:lineRule="auto"/>
              <w:jc w:val="center"/>
              <w:rPr>
                <w:rFonts w:ascii="Arial" w:hAnsi="Arial" w:cs="Arial"/>
              </w:rPr>
            </w:pPr>
          </w:p>
        </w:tc>
        <w:tc>
          <w:tcPr>
            <w:tcW w:w="1807" w:type="dxa"/>
          </w:tcPr>
          <w:p w14:paraId="6BFB4ADD" w14:textId="77777777" w:rsidR="00C26039" w:rsidRPr="00B05055" w:rsidRDefault="00C26039" w:rsidP="00BE56F0">
            <w:pPr>
              <w:spacing w:line="276" w:lineRule="auto"/>
              <w:rPr>
                <w:rFonts w:ascii="Arial" w:hAnsi="Arial" w:cs="Arial"/>
                <w:b/>
              </w:rPr>
            </w:pPr>
            <w:r w:rsidRPr="00B05055">
              <w:rPr>
                <w:rFonts w:ascii="Arial" w:hAnsi="Arial" w:cs="Arial"/>
                <w:b/>
              </w:rPr>
              <w:t>Control batch</w:t>
            </w:r>
          </w:p>
        </w:tc>
        <w:tc>
          <w:tcPr>
            <w:tcW w:w="3602" w:type="dxa"/>
            <w:vMerge w:val="restart"/>
          </w:tcPr>
          <w:p w14:paraId="2273E24B" w14:textId="77777777" w:rsidR="00C26039" w:rsidRPr="00B05055" w:rsidRDefault="00C26039" w:rsidP="00C26039">
            <w:pPr>
              <w:spacing w:line="276" w:lineRule="auto"/>
              <w:jc w:val="center"/>
              <w:rPr>
                <w:rFonts w:ascii="Arial" w:hAnsi="Arial" w:cs="Arial"/>
                <w:b/>
              </w:rPr>
            </w:pPr>
            <w:r w:rsidRPr="00B05055">
              <w:rPr>
                <w:rFonts w:ascii="Arial" w:hAnsi="Arial" w:cs="Arial"/>
                <w:b/>
              </w:rPr>
              <w:t xml:space="preserve">Treated batch </w:t>
            </w:r>
          </w:p>
          <w:p w14:paraId="52BD2133" w14:textId="77777777" w:rsidR="00C26039" w:rsidRPr="00B05055" w:rsidRDefault="00C26039" w:rsidP="00C26039">
            <w:pPr>
              <w:spacing w:line="276" w:lineRule="auto"/>
              <w:jc w:val="center"/>
              <w:rPr>
                <w:rFonts w:ascii="Arial" w:hAnsi="Arial" w:cs="Arial"/>
              </w:rPr>
            </w:pPr>
            <w:r w:rsidRPr="00B05055">
              <w:rPr>
                <w:rFonts w:ascii="Arial" w:hAnsi="Arial" w:cs="Arial"/>
                <w:bCs/>
              </w:rPr>
              <w:t>4</w:t>
            </w:r>
            <w:r w:rsidR="00312919" w:rsidRPr="00B05055">
              <w:rPr>
                <w:rFonts w:ascii="Arial" w:hAnsi="Arial" w:cs="Arial"/>
                <w:bCs/>
              </w:rPr>
              <w:t>5</w:t>
            </w:r>
            <w:r w:rsidRPr="00B05055">
              <w:rPr>
                <w:rFonts w:ascii="Arial" w:hAnsi="Arial" w:cs="Arial"/>
                <w:bCs/>
              </w:rPr>
              <w:t>,</w:t>
            </w:r>
            <w:r w:rsidR="00312919" w:rsidRPr="00B05055">
              <w:rPr>
                <w:rFonts w:ascii="Arial" w:hAnsi="Arial" w:cs="Arial"/>
                <w:bCs/>
              </w:rPr>
              <w:t>1</w:t>
            </w:r>
            <w:r w:rsidRPr="00B05055">
              <w:rPr>
                <w:rFonts w:ascii="Arial" w:hAnsi="Arial" w:cs="Arial"/>
                <w:bCs/>
              </w:rPr>
              <w:t xml:space="preserve">4± </w:t>
            </w:r>
            <w:r w:rsidR="00312919" w:rsidRPr="00B05055">
              <w:rPr>
                <w:rFonts w:ascii="Arial" w:hAnsi="Arial" w:cs="Arial"/>
                <w:bCs/>
              </w:rPr>
              <w:t>3</w:t>
            </w:r>
            <w:r w:rsidRPr="00B05055">
              <w:rPr>
                <w:rFonts w:ascii="Arial" w:hAnsi="Arial" w:cs="Arial"/>
                <w:bCs/>
              </w:rPr>
              <w:t>,</w:t>
            </w:r>
            <w:r w:rsidR="00312919" w:rsidRPr="00B05055">
              <w:rPr>
                <w:rFonts w:ascii="Arial" w:hAnsi="Arial" w:cs="Arial"/>
                <w:bCs/>
              </w:rPr>
              <w:t>94</w:t>
            </w:r>
          </w:p>
          <w:p w14:paraId="3CAF8615" w14:textId="77777777" w:rsidR="00C26039" w:rsidRPr="00B05055" w:rsidRDefault="00C26039" w:rsidP="00C26039">
            <w:pPr>
              <w:spacing w:line="276" w:lineRule="auto"/>
              <w:jc w:val="center"/>
              <w:rPr>
                <w:rFonts w:ascii="Arial" w:hAnsi="Arial" w:cs="Arial"/>
                <w:bCs/>
              </w:rPr>
            </w:pPr>
          </w:p>
          <w:p w14:paraId="34B7A454" w14:textId="77777777" w:rsidR="00C26039" w:rsidRPr="00B05055" w:rsidRDefault="00C26039" w:rsidP="00C26039">
            <w:pPr>
              <w:spacing w:line="276" w:lineRule="auto"/>
              <w:jc w:val="center"/>
              <w:rPr>
                <w:rFonts w:ascii="Arial" w:hAnsi="Arial" w:cs="Arial"/>
              </w:rPr>
            </w:pPr>
            <w:r w:rsidRPr="00B05055">
              <w:rPr>
                <w:rFonts w:ascii="Arial" w:hAnsi="Arial" w:cs="Arial"/>
                <w:bCs/>
              </w:rPr>
              <w:t>44± 3,</w:t>
            </w:r>
            <w:r w:rsidR="00312919" w:rsidRPr="00B05055">
              <w:rPr>
                <w:rFonts w:ascii="Arial" w:hAnsi="Arial" w:cs="Arial"/>
                <w:bCs/>
              </w:rPr>
              <w:t>85</w:t>
            </w:r>
          </w:p>
          <w:p w14:paraId="0427F60C" w14:textId="77777777" w:rsidR="00C26039" w:rsidRPr="00B05055" w:rsidRDefault="00C26039" w:rsidP="00C26039">
            <w:pPr>
              <w:spacing w:line="276" w:lineRule="auto"/>
              <w:jc w:val="center"/>
              <w:rPr>
                <w:rFonts w:ascii="Arial" w:hAnsi="Arial" w:cs="Arial"/>
              </w:rPr>
            </w:pPr>
            <w:r w:rsidRPr="00B05055">
              <w:rPr>
                <w:rFonts w:ascii="Arial" w:hAnsi="Arial" w:cs="Arial"/>
              </w:rPr>
              <w:t>0,5</w:t>
            </w:r>
            <w:r w:rsidR="00312919" w:rsidRPr="00B05055">
              <w:rPr>
                <w:rFonts w:ascii="Arial" w:hAnsi="Arial" w:cs="Arial"/>
              </w:rPr>
              <w:t>20</w:t>
            </w:r>
          </w:p>
          <w:p w14:paraId="0C16E16F" w14:textId="77777777" w:rsidR="00C26039" w:rsidRPr="00B05055" w:rsidRDefault="00C26039" w:rsidP="00C26039">
            <w:pPr>
              <w:spacing w:line="276" w:lineRule="auto"/>
              <w:jc w:val="center"/>
              <w:rPr>
                <w:rFonts w:ascii="Arial" w:hAnsi="Arial" w:cs="Arial"/>
                <w:bCs/>
              </w:rPr>
            </w:pPr>
          </w:p>
          <w:p w14:paraId="64D32634" w14:textId="77777777" w:rsidR="00C26039" w:rsidRPr="00B05055" w:rsidRDefault="00C26039" w:rsidP="00C26039">
            <w:pPr>
              <w:spacing w:line="276" w:lineRule="auto"/>
              <w:jc w:val="center"/>
              <w:rPr>
                <w:rFonts w:ascii="Arial" w:hAnsi="Arial" w:cs="Arial"/>
              </w:rPr>
            </w:pPr>
            <w:r w:rsidRPr="00B05055">
              <w:rPr>
                <w:rFonts w:ascii="Arial" w:hAnsi="Arial" w:cs="Arial"/>
                <w:bCs/>
              </w:rPr>
              <w:t>7</w:t>
            </w:r>
            <w:r w:rsidR="00312919" w:rsidRPr="00B05055">
              <w:rPr>
                <w:rFonts w:ascii="Arial" w:hAnsi="Arial" w:cs="Arial"/>
                <w:bCs/>
              </w:rPr>
              <w:t>2</w:t>
            </w:r>
            <w:r w:rsidRPr="00B05055">
              <w:rPr>
                <w:rFonts w:ascii="Arial" w:hAnsi="Arial" w:cs="Arial"/>
                <w:bCs/>
              </w:rPr>
              <w:t>,</w:t>
            </w:r>
            <w:r w:rsidR="00312919" w:rsidRPr="00B05055">
              <w:rPr>
                <w:rFonts w:ascii="Arial" w:hAnsi="Arial" w:cs="Arial"/>
                <w:bCs/>
              </w:rPr>
              <w:t>57</w:t>
            </w:r>
            <w:r w:rsidRPr="00B05055">
              <w:rPr>
                <w:rFonts w:ascii="Arial" w:hAnsi="Arial" w:cs="Arial"/>
                <w:bCs/>
              </w:rPr>
              <w:t>±</w:t>
            </w:r>
            <w:r w:rsidR="00312919" w:rsidRPr="00B05055">
              <w:rPr>
                <w:rFonts w:ascii="Arial" w:hAnsi="Arial" w:cs="Arial"/>
                <w:bCs/>
              </w:rPr>
              <w:t>4</w:t>
            </w:r>
            <w:r w:rsidRPr="00B05055">
              <w:rPr>
                <w:rFonts w:ascii="Arial" w:hAnsi="Arial" w:cs="Arial"/>
                <w:bCs/>
              </w:rPr>
              <w:t>,4</w:t>
            </w:r>
            <w:r w:rsidR="00312919" w:rsidRPr="00B05055">
              <w:rPr>
                <w:rFonts w:ascii="Arial" w:hAnsi="Arial" w:cs="Arial"/>
                <w:bCs/>
              </w:rPr>
              <w:t>0</w:t>
            </w:r>
          </w:p>
          <w:p w14:paraId="136D92A7" w14:textId="77777777" w:rsidR="00C26039" w:rsidRPr="00B05055" w:rsidRDefault="00312919" w:rsidP="00C26039">
            <w:pPr>
              <w:spacing w:line="276" w:lineRule="auto"/>
              <w:jc w:val="center"/>
              <w:rPr>
                <w:rFonts w:ascii="Arial" w:hAnsi="Arial" w:cs="Arial"/>
              </w:rPr>
            </w:pPr>
            <w:r w:rsidRPr="00B05055">
              <w:rPr>
                <w:rFonts w:ascii="Arial" w:hAnsi="Arial" w:cs="Arial"/>
                <w:bCs/>
              </w:rPr>
              <w:t>69,26</w:t>
            </w:r>
            <w:r w:rsidR="00C26039" w:rsidRPr="00B05055">
              <w:rPr>
                <w:rFonts w:ascii="Arial" w:hAnsi="Arial" w:cs="Arial"/>
                <w:bCs/>
              </w:rPr>
              <w:t>±4,</w:t>
            </w:r>
            <w:r w:rsidRPr="00B05055">
              <w:rPr>
                <w:rFonts w:ascii="Arial" w:hAnsi="Arial" w:cs="Arial"/>
                <w:bCs/>
              </w:rPr>
              <w:t>1</w:t>
            </w:r>
            <w:r w:rsidR="00C26039" w:rsidRPr="00B05055">
              <w:rPr>
                <w:rFonts w:ascii="Arial" w:hAnsi="Arial" w:cs="Arial"/>
                <w:bCs/>
              </w:rPr>
              <w:t>6</w:t>
            </w:r>
          </w:p>
          <w:p w14:paraId="6D9FCA83" w14:textId="77777777" w:rsidR="00C26039" w:rsidRPr="00B05055" w:rsidRDefault="00C26039" w:rsidP="00C26039">
            <w:pPr>
              <w:spacing w:line="276" w:lineRule="auto"/>
              <w:rPr>
                <w:rFonts w:ascii="Arial" w:hAnsi="Arial" w:cs="Arial"/>
                <w:b/>
              </w:rPr>
            </w:pPr>
            <w:r w:rsidRPr="00B05055">
              <w:rPr>
                <w:rFonts w:ascii="Arial" w:hAnsi="Arial" w:cs="Arial"/>
              </w:rPr>
              <w:t xml:space="preserve">                        0,</w:t>
            </w:r>
            <w:r w:rsidR="00312919" w:rsidRPr="00B05055">
              <w:rPr>
                <w:rFonts w:ascii="Arial" w:hAnsi="Arial" w:cs="Arial"/>
              </w:rPr>
              <w:t>135</w:t>
            </w:r>
          </w:p>
        </w:tc>
      </w:tr>
      <w:tr w:rsidR="00C26039" w:rsidRPr="00B05055" w14:paraId="59AD5CE3" w14:textId="77777777" w:rsidTr="00C26039">
        <w:tc>
          <w:tcPr>
            <w:tcW w:w="1837" w:type="dxa"/>
          </w:tcPr>
          <w:p w14:paraId="0A1107B6" w14:textId="77777777" w:rsidR="00C26039" w:rsidRPr="00B05055" w:rsidRDefault="00C26039" w:rsidP="00BE56F0">
            <w:pPr>
              <w:spacing w:line="276" w:lineRule="auto"/>
              <w:rPr>
                <w:rFonts w:ascii="Arial" w:hAnsi="Arial" w:cs="Arial"/>
                <w:b/>
              </w:rPr>
            </w:pPr>
            <w:r w:rsidRPr="00B05055">
              <w:rPr>
                <w:rFonts w:ascii="Arial" w:hAnsi="Arial" w:cs="Arial"/>
                <w:b/>
              </w:rPr>
              <w:t>Granul</w:t>
            </w:r>
            <w:r w:rsidR="00406579" w:rsidRPr="00B05055">
              <w:rPr>
                <w:rFonts w:ascii="Arial" w:hAnsi="Arial" w:cs="Arial"/>
                <w:b/>
              </w:rPr>
              <w:t>e</w:t>
            </w:r>
            <w:r w:rsidRPr="00B05055">
              <w:rPr>
                <w:rFonts w:ascii="Arial" w:hAnsi="Arial" w:cs="Arial"/>
                <w:b/>
              </w:rPr>
              <w:t>s (g)</w:t>
            </w:r>
          </w:p>
        </w:tc>
        <w:tc>
          <w:tcPr>
            <w:tcW w:w="1816" w:type="dxa"/>
          </w:tcPr>
          <w:p w14:paraId="4A61796E" w14:textId="77777777" w:rsidR="00C26039" w:rsidRPr="00B05055" w:rsidRDefault="00C26039" w:rsidP="00C26039">
            <w:pPr>
              <w:spacing w:line="276" w:lineRule="auto"/>
              <w:jc w:val="center"/>
              <w:rPr>
                <w:rFonts w:ascii="Arial" w:hAnsi="Arial" w:cs="Arial"/>
              </w:rPr>
            </w:pPr>
            <w:r w:rsidRPr="00B05055">
              <w:rPr>
                <w:rFonts w:ascii="Arial" w:hAnsi="Arial" w:cs="Arial"/>
              </w:rPr>
              <w:t>1</w:t>
            </w:r>
          </w:p>
        </w:tc>
        <w:tc>
          <w:tcPr>
            <w:tcW w:w="1807" w:type="dxa"/>
          </w:tcPr>
          <w:p w14:paraId="187C402A" w14:textId="77777777" w:rsidR="00C26039" w:rsidRPr="00B05055" w:rsidRDefault="00C26039" w:rsidP="00BE56F0">
            <w:pPr>
              <w:spacing w:line="276" w:lineRule="auto"/>
              <w:rPr>
                <w:rFonts w:ascii="Arial" w:hAnsi="Arial" w:cs="Arial"/>
                <w:bCs/>
              </w:rPr>
            </w:pPr>
            <w:r w:rsidRPr="00B05055">
              <w:rPr>
                <w:rFonts w:ascii="Arial" w:hAnsi="Arial" w:cs="Arial"/>
                <w:bCs/>
              </w:rPr>
              <w:t>39,71 ± 2,24</w:t>
            </w:r>
          </w:p>
          <w:p w14:paraId="71B63E82" w14:textId="77777777" w:rsidR="00C26039" w:rsidRPr="00B05055" w:rsidRDefault="00C26039" w:rsidP="00BE56F0">
            <w:pPr>
              <w:spacing w:line="276" w:lineRule="auto"/>
              <w:rPr>
                <w:rFonts w:ascii="Arial" w:hAnsi="Arial" w:cs="Arial"/>
              </w:rPr>
            </w:pPr>
          </w:p>
        </w:tc>
        <w:tc>
          <w:tcPr>
            <w:tcW w:w="3602" w:type="dxa"/>
            <w:vMerge/>
          </w:tcPr>
          <w:p w14:paraId="7788E45B" w14:textId="77777777" w:rsidR="00C26039" w:rsidRPr="00B05055" w:rsidRDefault="00C26039" w:rsidP="00BE56F0">
            <w:pPr>
              <w:spacing w:line="276" w:lineRule="auto"/>
              <w:rPr>
                <w:rFonts w:ascii="Arial" w:hAnsi="Arial" w:cs="Arial"/>
              </w:rPr>
            </w:pPr>
          </w:p>
        </w:tc>
      </w:tr>
      <w:tr w:rsidR="00C26039" w:rsidRPr="00B05055" w14:paraId="2FA71E10" w14:textId="77777777" w:rsidTr="00C26039">
        <w:tc>
          <w:tcPr>
            <w:tcW w:w="1837" w:type="dxa"/>
          </w:tcPr>
          <w:p w14:paraId="6AD1449B" w14:textId="77777777" w:rsidR="00C26039" w:rsidRPr="00B05055" w:rsidRDefault="00C26039" w:rsidP="00BE56F0">
            <w:pPr>
              <w:spacing w:line="276" w:lineRule="auto"/>
              <w:rPr>
                <w:rFonts w:ascii="Arial" w:hAnsi="Arial" w:cs="Arial"/>
              </w:rPr>
            </w:pPr>
          </w:p>
        </w:tc>
        <w:tc>
          <w:tcPr>
            <w:tcW w:w="1816" w:type="dxa"/>
          </w:tcPr>
          <w:p w14:paraId="7941EDD5" w14:textId="77777777" w:rsidR="00C26039" w:rsidRPr="00B05055" w:rsidRDefault="00C26039" w:rsidP="00C26039">
            <w:pPr>
              <w:spacing w:line="276" w:lineRule="auto"/>
              <w:jc w:val="center"/>
              <w:rPr>
                <w:rFonts w:ascii="Arial" w:hAnsi="Arial" w:cs="Arial"/>
              </w:rPr>
            </w:pPr>
            <w:r w:rsidRPr="00B05055">
              <w:rPr>
                <w:rFonts w:ascii="Arial" w:hAnsi="Arial" w:cs="Arial"/>
              </w:rPr>
              <w:t>2</w:t>
            </w:r>
          </w:p>
        </w:tc>
        <w:tc>
          <w:tcPr>
            <w:tcW w:w="1807" w:type="dxa"/>
          </w:tcPr>
          <w:p w14:paraId="714E0A93" w14:textId="77777777" w:rsidR="00C26039" w:rsidRPr="00B05055" w:rsidRDefault="00C26039" w:rsidP="00BE56F0">
            <w:pPr>
              <w:spacing w:line="276" w:lineRule="auto"/>
              <w:rPr>
                <w:rFonts w:ascii="Arial" w:hAnsi="Arial" w:cs="Arial"/>
              </w:rPr>
            </w:pPr>
            <w:r w:rsidRPr="00B05055">
              <w:rPr>
                <w:rFonts w:ascii="Arial" w:hAnsi="Arial" w:cs="Arial"/>
                <w:bCs/>
              </w:rPr>
              <w:t>43 ±2,50</w:t>
            </w:r>
          </w:p>
        </w:tc>
        <w:tc>
          <w:tcPr>
            <w:tcW w:w="3602" w:type="dxa"/>
            <w:vMerge/>
          </w:tcPr>
          <w:p w14:paraId="59F88F87" w14:textId="77777777" w:rsidR="00C26039" w:rsidRPr="00B05055" w:rsidRDefault="00C26039" w:rsidP="00BE56F0">
            <w:pPr>
              <w:spacing w:line="276" w:lineRule="auto"/>
              <w:rPr>
                <w:rFonts w:ascii="Arial" w:hAnsi="Arial" w:cs="Arial"/>
              </w:rPr>
            </w:pPr>
          </w:p>
        </w:tc>
      </w:tr>
      <w:tr w:rsidR="00C26039" w:rsidRPr="00B05055" w14:paraId="18A1958A" w14:textId="77777777" w:rsidTr="00C26039">
        <w:tc>
          <w:tcPr>
            <w:tcW w:w="1837" w:type="dxa"/>
          </w:tcPr>
          <w:p w14:paraId="3939147E" w14:textId="77777777" w:rsidR="00C26039" w:rsidRPr="00B05055" w:rsidRDefault="00C26039" w:rsidP="00BE56F0">
            <w:pPr>
              <w:spacing w:line="276" w:lineRule="auto"/>
              <w:rPr>
                <w:rFonts w:ascii="Arial" w:hAnsi="Arial" w:cs="Arial"/>
              </w:rPr>
            </w:pPr>
          </w:p>
        </w:tc>
        <w:tc>
          <w:tcPr>
            <w:tcW w:w="1816" w:type="dxa"/>
          </w:tcPr>
          <w:p w14:paraId="5DD406F4" w14:textId="77777777" w:rsidR="00C26039" w:rsidRPr="00B05055" w:rsidRDefault="00C26039" w:rsidP="00C26039">
            <w:pPr>
              <w:spacing w:line="276" w:lineRule="auto"/>
              <w:jc w:val="center"/>
              <w:rPr>
                <w:rFonts w:ascii="Arial" w:hAnsi="Arial" w:cs="Arial"/>
                <w:b/>
                <w:i/>
              </w:rPr>
            </w:pPr>
            <w:r w:rsidRPr="00B05055">
              <w:rPr>
                <w:rFonts w:ascii="Arial" w:hAnsi="Arial" w:cs="Arial"/>
                <w:b/>
                <w:i/>
              </w:rPr>
              <w:t>P. value</w:t>
            </w:r>
          </w:p>
        </w:tc>
        <w:tc>
          <w:tcPr>
            <w:tcW w:w="1807" w:type="dxa"/>
          </w:tcPr>
          <w:p w14:paraId="2A1BAF09" w14:textId="77777777" w:rsidR="00C26039" w:rsidRPr="00B05055" w:rsidRDefault="00C26039" w:rsidP="00BE56F0">
            <w:pPr>
              <w:spacing w:line="276" w:lineRule="auto"/>
              <w:rPr>
                <w:rFonts w:ascii="Arial" w:hAnsi="Arial" w:cs="Arial"/>
              </w:rPr>
            </w:pPr>
          </w:p>
        </w:tc>
        <w:tc>
          <w:tcPr>
            <w:tcW w:w="3602" w:type="dxa"/>
            <w:vMerge/>
          </w:tcPr>
          <w:p w14:paraId="0316B16F" w14:textId="77777777" w:rsidR="00C26039" w:rsidRPr="00B05055" w:rsidRDefault="00C26039" w:rsidP="00BE56F0">
            <w:pPr>
              <w:spacing w:line="276" w:lineRule="auto"/>
              <w:rPr>
                <w:rFonts w:ascii="Arial" w:hAnsi="Arial" w:cs="Arial"/>
              </w:rPr>
            </w:pPr>
          </w:p>
        </w:tc>
      </w:tr>
      <w:tr w:rsidR="00C26039" w:rsidRPr="00B05055" w14:paraId="78B42499" w14:textId="77777777" w:rsidTr="00C26039">
        <w:tc>
          <w:tcPr>
            <w:tcW w:w="1837" w:type="dxa"/>
          </w:tcPr>
          <w:p w14:paraId="09F29B0B" w14:textId="77777777" w:rsidR="00C26039" w:rsidRPr="00B05055" w:rsidRDefault="00C26039" w:rsidP="00BE56F0">
            <w:pPr>
              <w:spacing w:line="276" w:lineRule="auto"/>
              <w:rPr>
                <w:rFonts w:ascii="Arial" w:hAnsi="Arial" w:cs="Arial"/>
                <w:b/>
              </w:rPr>
            </w:pPr>
            <w:r w:rsidRPr="00B05055">
              <w:rPr>
                <w:rFonts w:ascii="Arial" w:hAnsi="Arial" w:cs="Arial"/>
                <w:b/>
              </w:rPr>
              <w:t>Water (ml)</w:t>
            </w:r>
          </w:p>
        </w:tc>
        <w:tc>
          <w:tcPr>
            <w:tcW w:w="1816" w:type="dxa"/>
          </w:tcPr>
          <w:p w14:paraId="3B329930" w14:textId="77777777" w:rsidR="00C26039" w:rsidRPr="00B05055" w:rsidRDefault="00C26039" w:rsidP="00C26039">
            <w:pPr>
              <w:spacing w:line="276" w:lineRule="auto"/>
              <w:jc w:val="center"/>
              <w:rPr>
                <w:rFonts w:ascii="Arial" w:hAnsi="Arial" w:cs="Arial"/>
              </w:rPr>
            </w:pPr>
          </w:p>
        </w:tc>
        <w:tc>
          <w:tcPr>
            <w:tcW w:w="1807" w:type="dxa"/>
          </w:tcPr>
          <w:p w14:paraId="1F2B9604" w14:textId="77777777" w:rsidR="00C26039" w:rsidRPr="00B05055" w:rsidRDefault="00C26039" w:rsidP="00BE56F0">
            <w:pPr>
              <w:spacing w:line="276" w:lineRule="auto"/>
              <w:rPr>
                <w:rFonts w:ascii="Arial" w:hAnsi="Arial" w:cs="Arial"/>
              </w:rPr>
            </w:pPr>
          </w:p>
        </w:tc>
        <w:tc>
          <w:tcPr>
            <w:tcW w:w="3602" w:type="dxa"/>
            <w:vMerge/>
          </w:tcPr>
          <w:p w14:paraId="6626C72E" w14:textId="77777777" w:rsidR="00C26039" w:rsidRPr="00B05055" w:rsidRDefault="00C26039" w:rsidP="00BE56F0">
            <w:pPr>
              <w:spacing w:line="276" w:lineRule="auto"/>
              <w:rPr>
                <w:rFonts w:ascii="Arial" w:hAnsi="Arial" w:cs="Arial"/>
              </w:rPr>
            </w:pPr>
          </w:p>
        </w:tc>
      </w:tr>
      <w:tr w:rsidR="00C26039" w:rsidRPr="00B05055" w14:paraId="3963020B" w14:textId="77777777" w:rsidTr="00C26039">
        <w:tc>
          <w:tcPr>
            <w:tcW w:w="1837" w:type="dxa"/>
          </w:tcPr>
          <w:p w14:paraId="31ECE936" w14:textId="77777777" w:rsidR="00C26039" w:rsidRPr="00B05055" w:rsidRDefault="00C26039" w:rsidP="00BE56F0">
            <w:pPr>
              <w:spacing w:line="276" w:lineRule="auto"/>
              <w:rPr>
                <w:rFonts w:ascii="Arial" w:hAnsi="Arial" w:cs="Arial"/>
              </w:rPr>
            </w:pPr>
          </w:p>
        </w:tc>
        <w:tc>
          <w:tcPr>
            <w:tcW w:w="1816" w:type="dxa"/>
          </w:tcPr>
          <w:p w14:paraId="68BB782F" w14:textId="77777777" w:rsidR="00C26039" w:rsidRPr="00B05055" w:rsidRDefault="00C26039" w:rsidP="00C26039">
            <w:pPr>
              <w:spacing w:line="276" w:lineRule="auto"/>
              <w:jc w:val="center"/>
              <w:rPr>
                <w:rFonts w:ascii="Arial" w:hAnsi="Arial" w:cs="Arial"/>
              </w:rPr>
            </w:pPr>
            <w:r w:rsidRPr="00B05055">
              <w:rPr>
                <w:rFonts w:ascii="Arial" w:hAnsi="Arial" w:cs="Arial"/>
              </w:rPr>
              <w:t>1</w:t>
            </w:r>
          </w:p>
        </w:tc>
        <w:tc>
          <w:tcPr>
            <w:tcW w:w="1807" w:type="dxa"/>
          </w:tcPr>
          <w:p w14:paraId="7AFE8C6C" w14:textId="77777777" w:rsidR="00C26039" w:rsidRPr="00B05055" w:rsidRDefault="00C26039" w:rsidP="00BE56F0">
            <w:pPr>
              <w:spacing w:line="276" w:lineRule="auto"/>
              <w:rPr>
                <w:rFonts w:ascii="Arial" w:hAnsi="Arial" w:cs="Arial"/>
              </w:rPr>
            </w:pPr>
            <w:r w:rsidRPr="00B05055">
              <w:rPr>
                <w:rFonts w:ascii="Arial" w:hAnsi="Arial" w:cs="Arial"/>
                <w:bCs/>
              </w:rPr>
              <w:t>71,28 ± 1,74</w:t>
            </w:r>
          </w:p>
        </w:tc>
        <w:tc>
          <w:tcPr>
            <w:tcW w:w="3602" w:type="dxa"/>
            <w:vMerge/>
          </w:tcPr>
          <w:p w14:paraId="125DF3EA" w14:textId="77777777" w:rsidR="00C26039" w:rsidRPr="00B05055" w:rsidRDefault="00C26039" w:rsidP="00BE56F0">
            <w:pPr>
              <w:spacing w:line="276" w:lineRule="auto"/>
              <w:rPr>
                <w:rFonts w:ascii="Arial" w:hAnsi="Arial" w:cs="Arial"/>
              </w:rPr>
            </w:pPr>
          </w:p>
        </w:tc>
      </w:tr>
      <w:tr w:rsidR="00C26039" w:rsidRPr="00B05055" w14:paraId="626FB8AA" w14:textId="77777777" w:rsidTr="00C26039">
        <w:tc>
          <w:tcPr>
            <w:tcW w:w="1837" w:type="dxa"/>
          </w:tcPr>
          <w:p w14:paraId="26523604" w14:textId="77777777" w:rsidR="00C26039" w:rsidRPr="00B05055" w:rsidRDefault="00C26039" w:rsidP="00BE56F0">
            <w:pPr>
              <w:spacing w:line="276" w:lineRule="auto"/>
              <w:rPr>
                <w:rFonts w:ascii="Arial" w:hAnsi="Arial" w:cs="Arial"/>
              </w:rPr>
            </w:pPr>
          </w:p>
        </w:tc>
        <w:tc>
          <w:tcPr>
            <w:tcW w:w="1816" w:type="dxa"/>
          </w:tcPr>
          <w:p w14:paraId="3AEEFF03" w14:textId="77777777" w:rsidR="00C26039" w:rsidRPr="00B05055" w:rsidRDefault="00C26039" w:rsidP="00C26039">
            <w:pPr>
              <w:spacing w:line="276" w:lineRule="auto"/>
              <w:jc w:val="center"/>
              <w:rPr>
                <w:rFonts w:ascii="Arial" w:hAnsi="Arial" w:cs="Arial"/>
              </w:rPr>
            </w:pPr>
            <w:r w:rsidRPr="00B05055">
              <w:rPr>
                <w:rFonts w:ascii="Arial" w:hAnsi="Arial" w:cs="Arial"/>
              </w:rPr>
              <w:t>2</w:t>
            </w:r>
          </w:p>
        </w:tc>
        <w:tc>
          <w:tcPr>
            <w:tcW w:w="1807" w:type="dxa"/>
          </w:tcPr>
          <w:p w14:paraId="7DB9DB78" w14:textId="77777777" w:rsidR="00C26039" w:rsidRPr="00B05055" w:rsidRDefault="00C26039" w:rsidP="00BE56F0">
            <w:pPr>
              <w:spacing w:line="276" w:lineRule="auto"/>
              <w:rPr>
                <w:rFonts w:ascii="Arial" w:hAnsi="Arial" w:cs="Arial"/>
              </w:rPr>
            </w:pPr>
            <w:r w:rsidRPr="00B05055">
              <w:rPr>
                <w:rFonts w:ascii="Arial" w:hAnsi="Arial" w:cs="Arial"/>
                <w:bCs/>
              </w:rPr>
              <w:t>73,14 ± 2,79</w:t>
            </w:r>
          </w:p>
        </w:tc>
        <w:tc>
          <w:tcPr>
            <w:tcW w:w="3602" w:type="dxa"/>
            <w:vMerge/>
          </w:tcPr>
          <w:p w14:paraId="5E259270" w14:textId="77777777" w:rsidR="00C26039" w:rsidRPr="00B05055" w:rsidRDefault="00C26039" w:rsidP="00BE56F0">
            <w:pPr>
              <w:spacing w:line="276" w:lineRule="auto"/>
              <w:rPr>
                <w:rFonts w:ascii="Arial" w:hAnsi="Arial" w:cs="Arial"/>
              </w:rPr>
            </w:pPr>
          </w:p>
        </w:tc>
      </w:tr>
      <w:tr w:rsidR="00C26039" w:rsidRPr="00B05055" w14:paraId="21797AA8" w14:textId="77777777" w:rsidTr="00C26039">
        <w:tc>
          <w:tcPr>
            <w:tcW w:w="1837" w:type="dxa"/>
          </w:tcPr>
          <w:p w14:paraId="730C33C3" w14:textId="77777777" w:rsidR="00C26039" w:rsidRPr="00B05055" w:rsidRDefault="00C26039" w:rsidP="00BE56F0">
            <w:pPr>
              <w:spacing w:line="276" w:lineRule="auto"/>
              <w:rPr>
                <w:rFonts w:ascii="Arial" w:hAnsi="Arial" w:cs="Arial"/>
              </w:rPr>
            </w:pPr>
          </w:p>
        </w:tc>
        <w:tc>
          <w:tcPr>
            <w:tcW w:w="1816" w:type="dxa"/>
          </w:tcPr>
          <w:p w14:paraId="362AB029" w14:textId="77777777" w:rsidR="00C26039" w:rsidRPr="00B05055" w:rsidRDefault="00C26039" w:rsidP="00C26039">
            <w:pPr>
              <w:spacing w:line="276" w:lineRule="auto"/>
              <w:jc w:val="center"/>
              <w:rPr>
                <w:rFonts w:ascii="Arial" w:hAnsi="Arial" w:cs="Arial"/>
                <w:i/>
              </w:rPr>
            </w:pPr>
          </w:p>
          <w:p w14:paraId="1EB4D32A" w14:textId="77777777" w:rsidR="00C26039" w:rsidRPr="00B05055" w:rsidRDefault="00C26039" w:rsidP="00C26039">
            <w:pPr>
              <w:spacing w:line="276" w:lineRule="auto"/>
              <w:jc w:val="center"/>
              <w:rPr>
                <w:rFonts w:ascii="Arial" w:hAnsi="Arial" w:cs="Arial"/>
                <w:b/>
                <w:bCs/>
                <w:i/>
              </w:rPr>
            </w:pPr>
            <w:r w:rsidRPr="00B05055">
              <w:rPr>
                <w:rFonts w:ascii="Arial" w:hAnsi="Arial" w:cs="Arial"/>
                <w:b/>
                <w:bCs/>
                <w:i/>
              </w:rPr>
              <w:t>P. value</w:t>
            </w:r>
          </w:p>
        </w:tc>
        <w:tc>
          <w:tcPr>
            <w:tcW w:w="1807" w:type="dxa"/>
          </w:tcPr>
          <w:p w14:paraId="1A15A390" w14:textId="77777777" w:rsidR="00C26039" w:rsidRPr="00B05055" w:rsidRDefault="00C26039" w:rsidP="00BE56F0">
            <w:pPr>
              <w:spacing w:line="276" w:lineRule="auto"/>
              <w:rPr>
                <w:rFonts w:ascii="Arial" w:hAnsi="Arial" w:cs="Arial"/>
              </w:rPr>
            </w:pPr>
          </w:p>
        </w:tc>
        <w:tc>
          <w:tcPr>
            <w:tcW w:w="3602" w:type="dxa"/>
            <w:vMerge/>
          </w:tcPr>
          <w:p w14:paraId="4B3092B8" w14:textId="77777777" w:rsidR="00C26039" w:rsidRPr="00B05055" w:rsidRDefault="00C26039" w:rsidP="00BE56F0">
            <w:pPr>
              <w:spacing w:line="276" w:lineRule="auto"/>
              <w:rPr>
                <w:rFonts w:ascii="Arial" w:hAnsi="Arial" w:cs="Arial"/>
              </w:rPr>
            </w:pPr>
          </w:p>
        </w:tc>
      </w:tr>
    </w:tbl>
    <w:p w14:paraId="4C634264" w14:textId="77777777" w:rsidR="00C26039" w:rsidRPr="00B05055" w:rsidRDefault="00C26039" w:rsidP="00C26039">
      <w:pPr>
        <w:jc w:val="both"/>
        <w:rPr>
          <w:rFonts w:ascii="Arial" w:hAnsi="Arial" w:cs="Arial"/>
          <w:sz w:val="20"/>
          <w:szCs w:val="20"/>
        </w:rPr>
      </w:pPr>
      <w:r w:rsidRPr="00B05055">
        <w:rPr>
          <w:rFonts w:ascii="Arial" w:hAnsi="Arial" w:cs="Arial"/>
          <w:sz w:val="20"/>
          <w:szCs w:val="20"/>
        </w:rPr>
        <w:t>Results as mean ± standard error of the mean (SEM</w:t>
      </w:r>
      <w:proofErr w:type="gramStart"/>
      <w:r w:rsidRPr="00B05055">
        <w:rPr>
          <w:rFonts w:ascii="Arial" w:hAnsi="Arial" w:cs="Arial"/>
          <w:sz w:val="20"/>
          <w:szCs w:val="20"/>
        </w:rPr>
        <w:t>);</w:t>
      </w:r>
      <w:proofErr w:type="gramEnd"/>
      <w:r w:rsidRPr="00B05055">
        <w:rPr>
          <w:rFonts w:ascii="Arial" w:hAnsi="Arial" w:cs="Arial"/>
          <w:sz w:val="20"/>
          <w:szCs w:val="20"/>
        </w:rPr>
        <w:t xml:space="preserve"> *Significant results: p&lt;0.05</w:t>
      </w:r>
    </w:p>
    <w:p w14:paraId="16F6DB7C" w14:textId="77777777" w:rsidR="00406579" w:rsidRPr="00B05055" w:rsidRDefault="00406579" w:rsidP="00406579">
      <w:pPr>
        <w:jc w:val="both"/>
        <w:rPr>
          <w:rFonts w:ascii="Arial" w:hAnsi="Arial" w:cs="Arial"/>
          <w:sz w:val="20"/>
          <w:szCs w:val="20"/>
        </w:rPr>
      </w:pPr>
      <w:r w:rsidRPr="00B05055">
        <w:rPr>
          <w:rFonts w:ascii="Arial" w:hAnsi="Arial" w:cs="Arial"/>
          <w:sz w:val="20"/>
          <w:szCs w:val="20"/>
        </w:rPr>
        <w:t>Reading Table 1 shows no statistically significant difference in the consumption of granules and water between the treated batch and the control batch.</w:t>
      </w:r>
    </w:p>
    <w:p w14:paraId="174EDFC4" w14:textId="77777777" w:rsidR="00406579" w:rsidRPr="00B05055" w:rsidRDefault="00406579" w:rsidP="00406579">
      <w:pPr>
        <w:jc w:val="both"/>
        <w:rPr>
          <w:rFonts w:ascii="Arial" w:hAnsi="Arial" w:cs="Arial"/>
          <w:b/>
          <w:bCs/>
          <w:sz w:val="22"/>
          <w:szCs w:val="22"/>
        </w:rPr>
      </w:pPr>
      <w:r w:rsidRPr="00B05055">
        <w:rPr>
          <w:rFonts w:ascii="Arial" w:hAnsi="Arial" w:cs="Arial"/>
          <w:b/>
          <w:bCs/>
          <w:sz w:val="22"/>
          <w:szCs w:val="22"/>
        </w:rPr>
        <w:t>3.1.4 Mass of organs removed</w:t>
      </w:r>
    </w:p>
    <w:p w14:paraId="47EB3320" w14:textId="77777777" w:rsidR="00406579" w:rsidRDefault="00406579" w:rsidP="00406579">
      <w:pPr>
        <w:jc w:val="both"/>
        <w:rPr>
          <w:rFonts w:ascii="Arial" w:hAnsi="Arial" w:cs="Arial"/>
          <w:sz w:val="20"/>
          <w:szCs w:val="20"/>
        </w:rPr>
      </w:pPr>
      <w:r w:rsidRPr="00B05055">
        <w:rPr>
          <w:rFonts w:ascii="Arial" w:hAnsi="Arial" w:cs="Arial"/>
          <w:sz w:val="20"/>
          <w:szCs w:val="20"/>
        </w:rPr>
        <w:t>After the 14 days of follow-up, the organs (</w:t>
      </w:r>
      <w:proofErr w:type="gramStart"/>
      <w:r w:rsidRPr="00B05055">
        <w:rPr>
          <w:rFonts w:ascii="Arial" w:hAnsi="Arial" w:cs="Arial"/>
          <w:sz w:val="20"/>
          <w:szCs w:val="20"/>
        </w:rPr>
        <w:t>liver;</w:t>
      </w:r>
      <w:proofErr w:type="gramEnd"/>
      <w:r w:rsidRPr="00B05055">
        <w:rPr>
          <w:rFonts w:ascii="Arial" w:hAnsi="Arial" w:cs="Arial"/>
          <w:sz w:val="20"/>
          <w:szCs w:val="20"/>
        </w:rPr>
        <w:t xml:space="preserve"> kidneys) are removed and </w:t>
      </w:r>
      <w:r w:rsidR="00DD3931" w:rsidRPr="00B05055">
        <w:rPr>
          <w:rFonts w:ascii="Arial" w:hAnsi="Arial" w:cs="Arial"/>
          <w:sz w:val="20"/>
          <w:szCs w:val="20"/>
        </w:rPr>
        <w:t xml:space="preserve">relative </w:t>
      </w:r>
      <w:r w:rsidRPr="00B05055">
        <w:rPr>
          <w:rFonts w:ascii="Arial" w:hAnsi="Arial" w:cs="Arial"/>
          <w:sz w:val="20"/>
          <w:szCs w:val="20"/>
        </w:rPr>
        <w:t>mass of the treated batch are compared with those of the control batch in Table 2.</w:t>
      </w:r>
    </w:p>
    <w:p w14:paraId="492D5136" w14:textId="751EACB9" w:rsidR="00453DD3" w:rsidRDefault="00453DD3" w:rsidP="00406579">
      <w:pPr>
        <w:jc w:val="both"/>
        <w:rPr>
          <w:rFonts w:ascii="Arial" w:hAnsi="Arial" w:cs="Arial"/>
          <w:sz w:val="20"/>
          <w:szCs w:val="20"/>
        </w:rPr>
      </w:pPr>
      <w:r>
        <w:rPr>
          <w:rFonts w:ascii="Arial" w:hAnsi="Arial" w:cs="Arial"/>
          <w:sz w:val="20"/>
          <w:szCs w:val="20"/>
        </w:rPr>
        <w:t>Table 2 : R</w:t>
      </w:r>
      <w:r w:rsidRPr="00B05055">
        <w:rPr>
          <w:rFonts w:ascii="Arial" w:hAnsi="Arial" w:cs="Arial"/>
          <w:sz w:val="20"/>
          <w:szCs w:val="20"/>
        </w:rPr>
        <w:t>eveals that at the end of treatment, relative mass of the organs removed from the treated rats (kidney and liver)</w:t>
      </w:r>
    </w:p>
    <w:p w14:paraId="2515330F" w14:textId="77777777" w:rsidR="00B05055" w:rsidRPr="00B05055" w:rsidRDefault="00B05055" w:rsidP="00406579">
      <w:pPr>
        <w:jc w:val="both"/>
        <w:rPr>
          <w:rFonts w:ascii="Arial" w:hAnsi="Arial" w:cs="Arial"/>
          <w:sz w:val="20"/>
          <w:szCs w:val="20"/>
        </w:rPr>
      </w:pPr>
    </w:p>
    <w:tbl>
      <w:tblPr>
        <w:tblStyle w:val="Style111"/>
        <w:tblW w:w="0" w:type="auto"/>
        <w:tblLook w:val="04A0" w:firstRow="1" w:lastRow="0" w:firstColumn="1" w:lastColumn="0" w:noHBand="0" w:noVBand="1"/>
      </w:tblPr>
      <w:tblGrid>
        <w:gridCol w:w="2265"/>
        <w:gridCol w:w="2265"/>
        <w:gridCol w:w="2266"/>
        <w:gridCol w:w="2266"/>
      </w:tblGrid>
      <w:tr w:rsidR="006567CD" w:rsidRPr="00B05055" w14:paraId="11A68304" w14:textId="77777777" w:rsidTr="003C550B">
        <w:trPr>
          <w:cnfStyle w:val="100000000000" w:firstRow="1" w:lastRow="0" w:firstColumn="0" w:lastColumn="0" w:oddVBand="0" w:evenVBand="0" w:oddHBand="0" w:evenHBand="0" w:firstRowFirstColumn="0" w:firstRowLastColumn="0" w:lastRowFirstColumn="0" w:lastRowLastColumn="0"/>
        </w:trPr>
        <w:tc>
          <w:tcPr>
            <w:tcW w:w="2265" w:type="dxa"/>
          </w:tcPr>
          <w:p w14:paraId="39549786" w14:textId="77777777" w:rsidR="006567CD" w:rsidRPr="00B05055" w:rsidRDefault="006567CD" w:rsidP="003C550B">
            <w:pPr>
              <w:jc w:val="center"/>
              <w:rPr>
                <w:rFonts w:ascii="Arial" w:hAnsi="Arial" w:cs="Arial"/>
                <w:b/>
                <w:bCs/>
              </w:rPr>
            </w:pPr>
            <w:r w:rsidRPr="00B05055">
              <w:rPr>
                <w:rFonts w:ascii="Arial" w:hAnsi="Arial" w:cs="Arial"/>
                <w:b/>
                <w:bCs/>
              </w:rPr>
              <w:t>Organs harvested</w:t>
            </w:r>
          </w:p>
        </w:tc>
        <w:tc>
          <w:tcPr>
            <w:tcW w:w="2265" w:type="dxa"/>
          </w:tcPr>
          <w:p w14:paraId="7D45B7AF" w14:textId="77777777" w:rsidR="006567CD" w:rsidRPr="00B05055" w:rsidRDefault="006567CD" w:rsidP="003C550B">
            <w:pPr>
              <w:jc w:val="center"/>
              <w:rPr>
                <w:rFonts w:ascii="Arial" w:hAnsi="Arial" w:cs="Arial"/>
                <w:b/>
                <w:bCs/>
              </w:rPr>
            </w:pPr>
            <w:r w:rsidRPr="00B05055">
              <w:rPr>
                <w:rFonts w:ascii="Arial" w:hAnsi="Arial" w:cs="Arial"/>
                <w:b/>
                <w:bCs/>
              </w:rPr>
              <w:t>Control batch</w:t>
            </w:r>
          </w:p>
        </w:tc>
        <w:tc>
          <w:tcPr>
            <w:tcW w:w="2266" w:type="dxa"/>
          </w:tcPr>
          <w:p w14:paraId="76A4A3C4" w14:textId="77777777" w:rsidR="006567CD" w:rsidRPr="00B05055" w:rsidRDefault="006567CD" w:rsidP="003C550B">
            <w:pPr>
              <w:jc w:val="center"/>
              <w:rPr>
                <w:rFonts w:ascii="Arial" w:hAnsi="Arial" w:cs="Arial"/>
                <w:b/>
                <w:bCs/>
              </w:rPr>
            </w:pPr>
            <w:r w:rsidRPr="00B05055">
              <w:rPr>
                <w:rFonts w:ascii="Arial" w:hAnsi="Arial" w:cs="Arial"/>
                <w:b/>
                <w:bCs/>
              </w:rPr>
              <w:t>Treated batch</w:t>
            </w:r>
          </w:p>
        </w:tc>
        <w:tc>
          <w:tcPr>
            <w:tcW w:w="2266" w:type="dxa"/>
          </w:tcPr>
          <w:p w14:paraId="252B8553" w14:textId="77777777" w:rsidR="006567CD" w:rsidRPr="00B05055" w:rsidRDefault="006567CD" w:rsidP="003C550B">
            <w:pPr>
              <w:jc w:val="center"/>
              <w:rPr>
                <w:rFonts w:ascii="Arial" w:hAnsi="Arial" w:cs="Arial"/>
                <w:b/>
                <w:bCs/>
              </w:rPr>
            </w:pPr>
            <w:r w:rsidRPr="00B05055">
              <w:rPr>
                <w:rFonts w:ascii="Arial" w:hAnsi="Arial" w:cs="Arial"/>
                <w:b/>
                <w:bCs/>
                <w:i/>
                <w:iCs/>
              </w:rPr>
              <w:t>P-value</w:t>
            </w:r>
          </w:p>
        </w:tc>
      </w:tr>
      <w:tr w:rsidR="006567CD" w:rsidRPr="00B05055" w14:paraId="653C5817" w14:textId="77777777" w:rsidTr="003C550B">
        <w:tc>
          <w:tcPr>
            <w:tcW w:w="2265" w:type="dxa"/>
          </w:tcPr>
          <w:p w14:paraId="3BFCFD55" w14:textId="77777777" w:rsidR="006567CD" w:rsidRPr="00B05055" w:rsidRDefault="006567CD" w:rsidP="003C550B">
            <w:pPr>
              <w:jc w:val="center"/>
              <w:rPr>
                <w:rFonts w:ascii="Arial" w:hAnsi="Arial" w:cs="Arial"/>
              </w:rPr>
            </w:pPr>
            <w:r w:rsidRPr="00B05055">
              <w:rPr>
                <w:rFonts w:ascii="Arial" w:hAnsi="Arial" w:cs="Arial"/>
              </w:rPr>
              <w:t>Liver</w:t>
            </w:r>
          </w:p>
        </w:tc>
        <w:tc>
          <w:tcPr>
            <w:tcW w:w="2265" w:type="dxa"/>
          </w:tcPr>
          <w:p w14:paraId="738F674A" w14:textId="77777777" w:rsidR="006567CD" w:rsidRPr="00B05055" w:rsidRDefault="006567CD" w:rsidP="003C550B">
            <w:pPr>
              <w:jc w:val="center"/>
              <w:rPr>
                <w:rFonts w:ascii="Arial" w:hAnsi="Arial" w:cs="Arial"/>
              </w:rPr>
            </w:pPr>
            <w:r w:rsidRPr="00B05055">
              <w:rPr>
                <w:rFonts w:ascii="Arial" w:hAnsi="Arial" w:cs="Arial"/>
              </w:rPr>
              <w:t xml:space="preserve">3,19 </w:t>
            </w:r>
            <w:r w:rsidRPr="00B05055">
              <w:rPr>
                <w:rFonts w:ascii="Arial" w:hAnsi="Arial" w:cs="Arial"/>
                <w:bCs/>
              </w:rPr>
              <w:t>± 0,12</w:t>
            </w:r>
          </w:p>
        </w:tc>
        <w:tc>
          <w:tcPr>
            <w:tcW w:w="2266" w:type="dxa"/>
          </w:tcPr>
          <w:p w14:paraId="5F7A71AD" w14:textId="77777777" w:rsidR="006567CD" w:rsidRPr="00B05055" w:rsidRDefault="00D911A0" w:rsidP="003C550B">
            <w:pPr>
              <w:jc w:val="center"/>
              <w:rPr>
                <w:rFonts w:ascii="Arial" w:hAnsi="Arial" w:cs="Arial"/>
              </w:rPr>
            </w:pPr>
            <w:r w:rsidRPr="00B05055">
              <w:rPr>
                <w:rFonts w:ascii="Arial" w:hAnsi="Arial" w:cs="Arial"/>
              </w:rPr>
              <w:t>4</w:t>
            </w:r>
            <w:r w:rsidR="009C6927" w:rsidRPr="00B05055">
              <w:rPr>
                <w:rFonts w:ascii="Arial" w:hAnsi="Arial" w:cs="Arial"/>
              </w:rPr>
              <w:t>,</w:t>
            </w:r>
            <w:r w:rsidRPr="00B05055">
              <w:rPr>
                <w:rFonts w:ascii="Arial" w:hAnsi="Arial" w:cs="Arial"/>
              </w:rPr>
              <w:t>04</w:t>
            </w:r>
            <w:r w:rsidR="009C6927" w:rsidRPr="00B05055">
              <w:rPr>
                <w:rFonts w:ascii="Arial" w:hAnsi="Arial" w:cs="Arial"/>
              </w:rPr>
              <w:t xml:space="preserve"> </w:t>
            </w:r>
            <w:r w:rsidR="009C6927" w:rsidRPr="00B05055">
              <w:rPr>
                <w:rFonts w:ascii="Arial" w:hAnsi="Arial" w:cs="Arial"/>
                <w:bCs/>
              </w:rPr>
              <w:t>± 0,</w:t>
            </w:r>
            <w:r w:rsidRPr="00B05055">
              <w:rPr>
                <w:rFonts w:ascii="Arial" w:hAnsi="Arial" w:cs="Arial"/>
                <w:bCs/>
              </w:rPr>
              <w:t>09</w:t>
            </w:r>
          </w:p>
        </w:tc>
        <w:tc>
          <w:tcPr>
            <w:tcW w:w="2266" w:type="dxa"/>
          </w:tcPr>
          <w:p w14:paraId="7767D3FC" w14:textId="77777777" w:rsidR="006567CD" w:rsidRPr="00B05055" w:rsidRDefault="003C550B" w:rsidP="003C550B">
            <w:pPr>
              <w:jc w:val="center"/>
              <w:rPr>
                <w:rFonts w:ascii="Arial" w:hAnsi="Arial" w:cs="Arial"/>
              </w:rPr>
            </w:pPr>
            <w:r w:rsidRPr="00B05055">
              <w:rPr>
                <w:rFonts w:ascii="Arial" w:hAnsi="Arial" w:cs="Arial"/>
              </w:rPr>
              <w:t>0,1</w:t>
            </w:r>
            <w:r w:rsidR="00D911A0" w:rsidRPr="00B05055">
              <w:rPr>
                <w:rFonts w:ascii="Arial" w:hAnsi="Arial" w:cs="Arial"/>
              </w:rPr>
              <w:t>48</w:t>
            </w:r>
          </w:p>
        </w:tc>
      </w:tr>
      <w:tr w:rsidR="006567CD" w:rsidRPr="00B05055" w14:paraId="64FA63C9" w14:textId="77777777" w:rsidTr="003C550B">
        <w:tc>
          <w:tcPr>
            <w:tcW w:w="2265" w:type="dxa"/>
          </w:tcPr>
          <w:p w14:paraId="570C59C6" w14:textId="77777777" w:rsidR="006567CD" w:rsidRPr="00B05055" w:rsidRDefault="006567CD" w:rsidP="003C550B">
            <w:pPr>
              <w:jc w:val="center"/>
              <w:rPr>
                <w:rFonts w:ascii="Arial" w:hAnsi="Arial" w:cs="Arial"/>
              </w:rPr>
            </w:pPr>
            <w:r w:rsidRPr="00B05055">
              <w:rPr>
                <w:rFonts w:ascii="Arial" w:hAnsi="Arial" w:cs="Arial"/>
              </w:rPr>
              <w:t>Kidneys</w:t>
            </w:r>
          </w:p>
        </w:tc>
        <w:tc>
          <w:tcPr>
            <w:tcW w:w="2265" w:type="dxa"/>
          </w:tcPr>
          <w:p w14:paraId="0FDCDE98" w14:textId="77777777" w:rsidR="006567CD" w:rsidRPr="00B05055" w:rsidRDefault="009C6927" w:rsidP="003C550B">
            <w:pPr>
              <w:jc w:val="center"/>
              <w:rPr>
                <w:rFonts w:ascii="Arial" w:hAnsi="Arial" w:cs="Arial"/>
              </w:rPr>
            </w:pPr>
            <w:r w:rsidRPr="00B05055">
              <w:rPr>
                <w:rFonts w:ascii="Arial" w:hAnsi="Arial" w:cs="Arial"/>
              </w:rPr>
              <w:t xml:space="preserve">0,30 </w:t>
            </w:r>
            <w:r w:rsidRPr="00B05055">
              <w:rPr>
                <w:rFonts w:ascii="Arial" w:hAnsi="Arial" w:cs="Arial"/>
                <w:bCs/>
              </w:rPr>
              <w:t>± 0,02</w:t>
            </w:r>
          </w:p>
        </w:tc>
        <w:tc>
          <w:tcPr>
            <w:tcW w:w="2266" w:type="dxa"/>
          </w:tcPr>
          <w:p w14:paraId="275422A5" w14:textId="77777777" w:rsidR="006567CD" w:rsidRPr="00B05055" w:rsidRDefault="009C6927" w:rsidP="003C550B">
            <w:pPr>
              <w:jc w:val="center"/>
              <w:rPr>
                <w:rFonts w:ascii="Arial" w:hAnsi="Arial" w:cs="Arial"/>
              </w:rPr>
            </w:pPr>
            <w:r w:rsidRPr="00B05055">
              <w:rPr>
                <w:rFonts w:ascii="Arial" w:hAnsi="Arial" w:cs="Arial"/>
              </w:rPr>
              <w:t>0,3</w:t>
            </w:r>
            <w:r w:rsidR="00D911A0" w:rsidRPr="00B05055">
              <w:rPr>
                <w:rFonts w:ascii="Arial" w:hAnsi="Arial" w:cs="Arial"/>
              </w:rPr>
              <w:t>3</w:t>
            </w:r>
            <w:r w:rsidRPr="00B05055">
              <w:rPr>
                <w:rFonts w:ascii="Arial" w:hAnsi="Arial" w:cs="Arial"/>
              </w:rPr>
              <w:t xml:space="preserve"> </w:t>
            </w:r>
            <w:r w:rsidRPr="00B05055">
              <w:rPr>
                <w:rFonts w:ascii="Arial" w:hAnsi="Arial" w:cs="Arial"/>
                <w:bCs/>
              </w:rPr>
              <w:t>± 0,0</w:t>
            </w:r>
            <w:r w:rsidR="00D911A0" w:rsidRPr="00B05055">
              <w:rPr>
                <w:rFonts w:ascii="Arial" w:hAnsi="Arial" w:cs="Arial"/>
                <w:bCs/>
              </w:rPr>
              <w:t>4</w:t>
            </w:r>
          </w:p>
        </w:tc>
        <w:tc>
          <w:tcPr>
            <w:tcW w:w="2266" w:type="dxa"/>
          </w:tcPr>
          <w:p w14:paraId="61C1DAF9" w14:textId="77777777" w:rsidR="006567CD" w:rsidRPr="00B05055" w:rsidRDefault="009C6927" w:rsidP="003C550B">
            <w:pPr>
              <w:jc w:val="center"/>
              <w:rPr>
                <w:rFonts w:ascii="Arial" w:hAnsi="Arial" w:cs="Arial"/>
              </w:rPr>
            </w:pPr>
            <w:r w:rsidRPr="00B05055">
              <w:rPr>
                <w:rFonts w:ascii="Arial" w:hAnsi="Arial" w:cs="Arial"/>
              </w:rPr>
              <w:t>0,</w:t>
            </w:r>
            <w:r w:rsidR="00D911A0" w:rsidRPr="00B05055">
              <w:rPr>
                <w:rFonts w:ascii="Arial" w:hAnsi="Arial" w:cs="Arial"/>
              </w:rPr>
              <w:t>198</w:t>
            </w:r>
          </w:p>
        </w:tc>
      </w:tr>
    </w:tbl>
    <w:p w14:paraId="74D31459" w14:textId="77777777" w:rsidR="003C550B" w:rsidRPr="00B05055" w:rsidRDefault="003C550B" w:rsidP="003C550B">
      <w:pPr>
        <w:jc w:val="both"/>
        <w:rPr>
          <w:rFonts w:ascii="Arial" w:hAnsi="Arial" w:cs="Arial"/>
          <w:sz w:val="20"/>
          <w:szCs w:val="20"/>
        </w:rPr>
      </w:pPr>
      <w:r w:rsidRPr="00B05055">
        <w:rPr>
          <w:rFonts w:ascii="Arial" w:hAnsi="Arial" w:cs="Arial"/>
          <w:sz w:val="20"/>
          <w:szCs w:val="20"/>
        </w:rPr>
        <w:t>Average Results ± Standard Average Error (SEM) ; * = Significant results : p &lt;0.05</w:t>
      </w:r>
    </w:p>
    <w:p w14:paraId="60C07D9C" w14:textId="77777777" w:rsidR="00DD3931" w:rsidRPr="00B05055" w:rsidRDefault="00DD3931" w:rsidP="00DD3931">
      <w:pPr>
        <w:jc w:val="both"/>
        <w:rPr>
          <w:rFonts w:ascii="Arial" w:hAnsi="Arial" w:cs="Arial"/>
          <w:sz w:val="20"/>
          <w:szCs w:val="20"/>
        </w:rPr>
      </w:pPr>
      <w:r w:rsidRPr="00B05055">
        <w:rPr>
          <w:rFonts w:ascii="Arial" w:hAnsi="Arial" w:cs="Arial"/>
          <w:sz w:val="20"/>
          <w:szCs w:val="20"/>
        </w:rPr>
        <w:t>Analysis of Table II reveals that at the end of treatment, relative mass of the organs removed from the treated rats (kidney and liver) did not differ significantly (p &gt; 0.05) from that of the controls. The various extracts did not cause an increase in organ weight.</w:t>
      </w:r>
    </w:p>
    <w:p w14:paraId="539FBD6F" w14:textId="77777777" w:rsidR="00DD3931" w:rsidRPr="00B05055" w:rsidRDefault="00DD3931" w:rsidP="00DD3931">
      <w:pPr>
        <w:jc w:val="both"/>
        <w:rPr>
          <w:rFonts w:ascii="Arial" w:hAnsi="Arial" w:cs="Arial"/>
        </w:rPr>
      </w:pPr>
    </w:p>
    <w:p w14:paraId="32333D84" w14:textId="77777777" w:rsidR="00DD3931" w:rsidRPr="00B05055" w:rsidRDefault="00DD3931" w:rsidP="00DD3931">
      <w:pPr>
        <w:jc w:val="both"/>
        <w:rPr>
          <w:rFonts w:ascii="Arial" w:hAnsi="Arial" w:cs="Arial"/>
          <w:b/>
          <w:bCs/>
          <w:sz w:val="22"/>
          <w:szCs w:val="22"/>
        </w:rPr>
      </w:pPr>
      <w:r w:rsidRPr="00B05055">
        <w:rPr>
          <w:rFonts w:ascii="Arial" w:hAnsi="Arial" w:cs="Arial"/>
          <w:b/>
          <w:bCs/>
          <w:sz w:val="22"/>
          <w:szCs w:val="22"/>
        </w:rPr>
        <w:t>3.1.5 Haematological parameters</w:t>
      </w:r>
    </w:p>
    <w:p w14:paraId="72CBC3E5" w14:textId="77777777" w:rsidR="00DD3931" w:rsidRPr="00B05055" w:rsidRDefault="00DD3931" w:rsidP="00DD3931">
      <w:pPr>
        <w:jc w:val="both"/>
        <w:rPr>
          <w:rFonts w:ascii="Arial" w:hAnsi="Arial" w:cs="Arial"/>
        </w:rPr>
      </w:pPr>
      <w:r w:rsidRPr="00B05055">
        <w:rPr>
          <w:rFonts w:ascii="Arial" w:hAnsi="Arial" w:cs="Arial"/>
          <w:sz w:val="20"/>
          <w:szCs w:val="20"/>
        </w:rPr>
        <w:t>Table 3 above presents the results of the hematological parameters</w:t>
      </w:r>
      <w:r w:rsidRPr="00B05055">
        <w:rPr>
          <w:rFonts w:ascii="Arial" w:hAnsi="Arial" w:cs="Arial"/>
        </w:rPr>
        <w:t>.</w:t>
      </w:r>
    </w:p>
    <w:p w14:paraId="0E272B52" w14:textId="77777777" w:rsidR="00DD3931" w:rsidRPr="00B05055" w:rsidRDefault="00DD3931" w:rsidP="00DD3931">
      <w:pPr>
        <w:jc w:val="both"/>
        <w:rPr>
          <w:rFonts w:ascii="Arial" w:hAnsi="Arial" w:cs="Arial"/>
          <w:sz w:val="22"/>
          <w:szCs w:val="22"/>
        </w:rPr>
      </w:pPr>
      <w:r w:rsidRPr="00B05055">
        <w:rPr>
          <w:rFonts w:ascii="Arial" w:hAnsi="Arial" w:cs="Arial"/>
          <w:b/>
          <w:bCs/>
          <w:sz w:val="22"/>
          <w:szCs w:val="22"/>
        </w:rPr>
        <w:t xml:space="preserve">Table </w:t>
      </w:r>
      <w:r w:rsidR="00646183" w:rsidRPr="00B05055">
        <w:rPr>
          <w:rFonts w:ascii="Arial" w:hAnsi="Arial" w:cs="Arial"/>
          <w:b/>
          <w:bCs/>
          <w:sz w:val="22"/>
          <w:szCs w:val="22"/>
        </w:rPr>
        <w:t>3 :</w:t>
      </w:r>
      <w:r w:rsidRPr="00B05055">
        <w:rPr>
          <w:rFonts w:ascii="Arial" w:hAnsi="Arial" w:cs="Arial"/>
          <w:b/>
          <w:bCs/>
          <w:sz w:val="22"/>
          <w:szCs w:val="22"/>
        </w:rPr>
        <w:t xml:space="preserve"> </w:t>
      </w:r>
      <w:r w:rsidRPr="00B05055">
        <w:rPr>
          <w:rFonts w:ascii="Arial" w:hAnsi="Arial" w:cs="Arial"/>
          <w:sz w:val="22"/>
          <w:szCs w:val="22"/>
        </w:rPr>
        <w:t>Hematological parameters</w:t>
      </w:r>
    </w:p>
    <w:tbl>
      <w:tblPr>
        <w:tblStyle w:val="Style111"/>
        <w:tblW w:w="9350" w:type="dxa"/>
        <w:tblLook w:val="04A0" w:firstRow="1" w:lastRow="0" w:firstColumn="1" w:lastColumn="0" w:noHBand="0" w:noVBand="1"/>
      </w:tblPr>
      <w:tblGrid>
        <w:gridCol w:w="3721"/>
        <w:gridCol w:w="2740"/>
        <w:gridCol w:w="1825"/>
        <w:gridCol w:w="1064"/>
      </w:tblGrid>
      <w:tr w:rsidR="00646183" w:rsidRPr="00B05055" w14:paraId="27E6D5F3" w14:textId="77777777" w:rsidTr="00CE257D">
        <w:trPr>
          <w:cnfStyle w:val="100000000000" w:firstRow="1" w:lastRow="0" w:firstColumn="0" w:lastColumn="0" w:oddVBand="0" w:evenVBand="0" w:oddHBand="0" w:evenHBand="0" w:firstRowFirstColumn="0" w:firstRowLastColumn="0" w:lastRowFirstColumn="0" w:lastRowLastColumn="0"/>
          <w:trHeight w:val="273"/>
        </w:trPr>
        <w:tc>
          <w:tcPr>
            <w:tcW w:w="3721" w:type="dxa"/>
            <w:noWrap/>
            <w:hideMark/>
          </w:tcPr>
          <w:p w14:paraId="0FB59779" w14:textId="77777777" w:rsidR="00646183" w:rsidRPr="00B05055" w:rsidRDefault="00646183" w:rsidP="00646183">
            <w:pPr>
              <w:spacing w:line="360" w:lineRule="auto"/>
              <w:jc w:val="center"/>
              <w:rPr>
                <w:rFonts w:ascii="Arial" w:eastAsia="Times New Roman" w:hAnsi="Arial" w:cs="Arial"/>
                <w:b/>
                <w:color w:val="000000"/>
              </w:rPr>
            </w:pPr>
            <w:r w:rsidRPr="00B05055">
              <w:rPr>
                <w:rFonts w:ascii="Arial" w:eastAsia="Times New Roman" w:hAnsi="Arial" w:cs="Arial"/>
                <w:b/>
                <w:color w:val="000000"/>
              </w:rPr>
              <w:t>Haematological</w:t>
            </w:r>
          </w:p>
          <w:p w14:paraId="4480B6A7" w14:textId="77777777" w:rsidR="00646183" w:rsidRPr="00B05055" w:rsidRDefault="00646183" w:rsidP="00646183">
            <w:pPr>
              <w:spacing w:line="360" w:lineRule="auto"/>
              <w:jc w:val="center"/>
              <w:rPr>
                <w:rFonts w:ascii="Arial" w:eastAsia="Times New Roman" w:hAnsi="Arial" w:cs="Arial"/>
                <w:b/>
                <w:color w:val="000000"/>
              </w:rPr>
            </w:pPr>
            <w:r w:rsidRPr="00B05055">
              <w:rPr>
                <w:rFonts w:ascii="Arial" w:eastAsia="Times New Roman" w:hAnsi="Arial" w:cs="Arial"/>
                <w:b/>
                <w:color w:val="000000"/>
              </w:rPr>
              <w:t>parameters</w:t>
            </w:r>
          </w:p>
        </w:tc>
        <w:tc>
          <w:tcPr>
            <w:tcW w:w="2740" w:type="dxa"/>
            <w:noWrap/>
            <w:hideMark/>
          </w:tcPr>
          <w:p w14:paraId="18EBF944" w14:textId="77777777" w:rsidR="00646183" w:rsidRPr="00B05055" w:rsidRDefault="00646183" w:rsidP="00646183">
            <w:pPr>
              <w:spacing w:line="360" w:lineRule="auto"/>
              <w:jc w:val="center"/>
              <w:rPr>
                <w:rFonts w:ascii="Arial" w:eastAsia="Times New Roman" w:hAnsi="Arial" w:cs="Arial"/>
                <w:b/>
                <w:color w:val="000000"/>
              </w:rPr>
            </w:pPr>
            <w:r w:rsidRPr="00B05055">
              <w:rPr>
                <w:rFonts w:ascii="Arial" w:eastAsia="Times New Roman" w:hAnsi="Arial" w:cs="Arial"/>
                <w:b/>
                <w:color w:val="000000"/>
              </w:rPr>
              <w:t>Control batch</w:t>
            </w:r>
          </w:p>
        </w:tc>
        <w:tc>
          <w:tcPr>
            <w:tcW w:w="1825" w:type="dxa"/>
          </w:tcPr>
          <w:p w14:paraId="2FC65BF4" w14:textId="77777777" w:rsidR="00646183" w:rsidRPr="00B05055" w:rsidRDefault="00646183" w:rsidP="00646183">
            <w:pPr>
              <w:spacing w:line="360" w:lineRule="auto"/>
              <w:jc w:val="center"/>
              <w:rPr>
                <w:rFonts w:ascii="Arial" w:eastAsia="Times New Roman" w:hAnsi="Arial" w:cs="Arial"/>
                <w:b/>
                <w:color w:val="000000"/>
              </w:rPr>
            </w:pPr>
            <w:r w:rsidRPr="00B05055">
              <w:rPr>
                <w:rFonts w:ascii="Arial" w:eastAsia="Times New Roman" w:hAnsi="Arial" w:cs="Arial"/>
                <w:b/>
                <w:color w:val="000000"/>
              </w:rPr>
              <w:t xml:space="preserve">Treated batch </w:t>
            </w:r>
          </w:p>
        </w:tc>
        <w:tc>
          <w:tcPr>
            <w:tcW w:w="1064" w:type="dxa"/>
          </w:tcPr>
          <w:p w14:paraId="67C26698" w14:textId="77777777" w:rsidR="00646183" w:rsidRPr="00B05055" w:rsidRDefault="00646183" w:rsidP="00646183">
            <w:pPr>
              <w:spacing w:line="360" w:lineRule="auto"/>
              <w:jc w:val="center"/>
              <w:rPr>
                <w:rFonts w:ascii="Arial" w:eastAsia="Times New Roman" w:hAnsi="Arial" w:cs="Arial"/>
                <w:b/>
                <w:color w:val="000000"/>
              </w:rPr>
            </w:pPr>
            <w:r w:rsidRPr="00B05055">
              <w:rPr>
                <w:rFonts w:ascii="Arial" w:eastAsia="Times New Roman" w:hAnsi="Arial" w:cs="Arial"/>
                <w:b/>
                <w:color w:val="000000"/>
              </w:rPr>
              <w:t>P- value</w:t>
            </w:r>
          </w:p>
        </w:tc>
      </w:tr>
      <w:tr w:rsidR="003E7F54" w:rsidRPr="00B05055" w14:paraId="49018E34" w14:textId="77777777" w:rsidTr="00F148EC">
        <w:trPr>
          <w:trHeight w:val="273"/>
        </w:trPr>
        <w:tc>
          <w:tcPr>
            <w:tcW w:w="3721" w:type="dxa"/>
            <w:noWrap/>
            <w:hideMark/>
          </w:tcPr>
          <w:p w14:paraId="5DAA8100" w14:textId="77777777" w:rsidR="003E7F54" w:rsidRPr="00B05055" w:rsidRDefault="003E7F54" w:rsidP="003E7F54">
            <w:pPr>
              <w:spacing w:line="360" w:lineRule="auto"/>
              <w:jc w:val="center"/>
              <w:rPr>
                <w:rFonts w:ascii="Arial" w:eastAsia="Times New Roman" w:hAnsi="Arial" w:cs="Arial"/>
                <w:bCs/>
                <w:color w:val="000000"/>
              </w:rPr>
            </w:pPr>
            <w:r w:rsidRPr="00B05055">
              <w:rPr>
                <w:rFonts w:ascii="Arial" w:eastAsia="Times New Roman" w:hAnsi="Arial" w:cs="Arial"/>
                <w:bCs/>
                <w:color w:val="000000"/>
              </w:rPr>
              <w:lastRenderedPageBreak/>
              <w:t>RBC</w:t>
            </w:r>
            <w:r w:rsidRPr="00B05055">
              <w:rPr>
                <w:rFonts w:ascii="Arial" w:eastAsia="Calibri" w:hAnsi="Arial" w:cs="Arial"/>
                <w:bCs/>
              </w:rPr>
              <w:t xml:space="preserve"> (10</w:t>
            </w:r>
            <w:r w:rsidRPr="00B05055">
              <w:rPr>
                <w:rFonts w:ascii="Arial" w:eastAsia="Calibri" w:hAnsi="Arial" w:cs="Arial"/>
                <w:bCs/>
                <w:vertAlign w:val="superscript"/>
              </w:rPr>
              <w:t>8</w:t>
            </w:r>
            <w:r w:rsidRPr="00B05055">
              <w:rPr>
                <w:rFonts w:ascii="Arial" w:eastAsia="Calibri" w:hAnsi="Arial" w:cs="Arial"/>
                <w:bCs/>
              </w:rPr>
              <w:t xml:space="preserve"> / mm</w:t>
            </w:r>
            <w:r w:rsidRPr="00B05055">
              <w:rPr>
                <w:rFonts w:ascii="Arial" w:eastAsia="Calibri" w:hAnsi="Arial" w:cs="Arial"/>
                <w:bCs/>
                <w:vertAlign w:val="superscript"/>
              </w:rPr>
              <w:t>3</w:t>
            </w:r>
            <w:r w:rsidRPr="00B05055">
              <w:rPr>
                <w:rFonts w:ascii="Arial" w:eastAsia="Calibri" w:hAnsi="Arial" w:cs="Arial"/>
                <w:bCs/>
              </w:rPr>
              <w:t>)</w:t>
            </w:r>
          </w:p>
        </w:tc>
        <w:tc>
          <w:tcPr>
            <w:tcW w:w="2740" w:type="dxa"/>
            <w:noWrap/>
            <w:hideMark/>
          </w:tcPr>
          <w:p w14:paraId="7123BFE7" w14:textId="77777777" w:rsidR="003E7F54" w:rsidRPr="00B05055" w:rsidRDefault="003E7F54" w:rsidP="003E7F54">
            <w:pPr>
              <w:spacing w:line="360" w:lineRule="auto"/>
              <w:jc w:val="center"/>
              <w:rPr>
                <w:rFonts w:ascii="Arial" w:eastAsia="Times New Roman" w:hAnsi="Arial" w:cs="Arial"/>
                <w:color w:val="000000"/>
              </w:rPr>
            </w:pPr>
            <w:r w:rsidRPr="00B05055">
              <w:rPr>
                <w:rFonts w:ascii="Arial" w:eastAsia="Times New Roman" w:hAnsi="Arial" w:cs="Arial"/>
                <w:color w:val="000000"/>
              </w:rPr>
              <w:t>4,88±0,90</w:t>
            </w:r>
          </w:p>
        </w:tc>
        <w:tc>
          <w:tcPr>
            <w:tcW w:w="1825" w:type="dxa"/>
            <w:vAlign w:val="bottom"/>
          </w:tcPr>
          <w:p w14:paraId="0385F822" w14:textId="77777777" w:rsidR="003E7F54" w:rsidRPr="00B05055" w:rsidRDefault="003E7F54" w:rsidP="003E7F54">
            <w:pPr>
              <w:spacing w:line="360" w:lineRule="auto"/>
              <w:jc w:val="center"/>
              <w:rPr>
                <w:rFonts w:ascii="Arial" w:eastAsia="Times New Roman" w:hAnsi="Arial" w:cs="Arial"/>
                <w:color w:val="000000"/>
              </w:rPr>
            </w:pPr>
            <w:r w:rsidRPr="00B05055">
              <w:rPr>
                <w:rFonts w:ascii="Arial" w:eastAsia="Times New Roman" w:hAnsi="Arial" w:cs="Arial"/>
                <w:color w:val="000000"/>
              </w:rPr>
              <w:t>5,05±0,67</w:t>
            </w:r>
          </w:p>
        </w:tc>
        <w:tc>
          <w:tcPr>
            <w:tcW w:w="1064" w:type="dxa"/>
          </w:tcPr>
          <w:p w14:paraId="458CE387" w14:textId="77777777" w:rsidR="003E7F54" w:rsidRPr="00B05055" w:rsidRDefault="003E7F54" w:rsidP="003E7F54">
            <w:pPr>
              <w:spacing w:line="360" w:lineRule="auto"/>
              <w:jc w:val="center"/>
              <w:rPr>
                <w:rFonts w:ascii="Arial" w:eastAsia="Times New Roman" w:hAnsi="Arial" w:cs="Arial"/>
                <w:color w:val="000000"/>
              </w:rPr>
            </w:pPr>
            <w:r w:rsidRPr="00B05055">
              <w:rPr>
                <w:rFonts w:ascii="Arial" w:eastAsia="Times New Roman" w:hAnsi="Arial" w:cs="Arial"/>
                <w:color w:val="000000"/>
              </w:rPr>
              <w:t>0,184</w:t>
            </w:r>
          </w:p>
        </w:tc>
      </w:tr>
      <w:tr w:rsidR="003E7F54" w:rsidRPr="00B05055" w14:paraId="50856733" w14:textId="77777777" w:rsidTr="00F148EC">
        <w:trPr>
          <w:trHeight w:val="273"/>
        </w:trPr>
        <w:tc>
          <w:tcPr>
            <w:tcW w:w="3721" w:type="dxa"/>
            <w:noWrap/>
            <w:hideMark/>
          </w:tcPr>
          <w:p w14:paraId="5BB94AC3" w14:textId="77777777" w:rsidR="003E7F54" w:rsidRPr="00B05055" w:rsidRDefault="003E7F54" w:rsidP="003E7F54">
            <w:pPr>
              <w:spacing w:line="360" w:lineRule="auto"/>
              <w:jc w:val="center"/>
              <w:rPr>
                <w:rFonts w:ascii="Arial" w:eastAsia="Times New Roman" w:hAnsi="Arial" w:cs="Arial"/>
                <w:bCs/>
                <w:color w:val="000000"/>
              </w:rPr>
            </w:pPr>
            <w:r w:rsidRPr="00B05055">
              <w:rPr>
                <w:rFonts w:ascii="Arial" w:eastAsia="Times New Roman" w:hAnsi="Arial" w:cs="Arial"/>
                <w:bCs/>
                <w:color w:val="000000"/>
              </w:rPr>
              <w:t>WBC</w:t>
            </w:r>
            <w:r w:rsidRPr="00B05055">
              <w:rPr>
                <w:rFonts w:ascii="Arial" w:eastAsia="Calibri" w:hAnsi="Arial" w:cs="Arial"/>
                <w:bCs/>
              </w:rPr>
              <w:t xml:space="preserve"> (10</w:t>
            </w:r>
            <w:r w:rsidRPr="00B05055">
              <w:rPr>
                <w:rFonts w:ascii="Arial" w:eastAsia="Calibri" w:hAnsi="Arial" w:cs="Arial"/>
                <w:bCs/>
                <w:vertAlign w:val="superscript"/>
              </w:rPr>
              <w:t>3</w:t>
            </w:r>
            <w:r w:rsidRPr="00B05055">
              <w:rPr>
                <w:rFonts w:ascii="Arial" w:eastAsia="Calibri" w:hAnsi="Arial" w:cs="Arial"/>
                <w:bCs/>
              </w:rPr>
              <w:t xml:space="preserve"> / mm</w:t>
            </w:r>
            <w:r w:rsidRPr="00B05055">
              <w:rPr>
                <w:rFonts w:ascii="Arial" w:eastAsia="Calibri" w:hAnsi="Arial" w:cs="Arial"/>
                <w:bCs/>
                <w:vertAlign w:val="superscript"/>
              </w:rPr>
              <w:t>3</w:t>
            </w:r>
            <w:r w:rsidRPr="00B05055">
              <w:rPr>
                <w:rFonts w:ascii="Arial" w:eastAsia="Calibri" w:hAnsi="Arial" w:cs="Arial"/>
                <w:bCs/>
              </w:rPr>
              <w:t>)</w:t>
            </w:r>
          </w:p>
        </w:tc>
        <w:tc>
          <w:tcPr>
            <w:tcW w:w="2740" w:type="dxa"/>
            <w:noWrap/>
            <w:hideMark/>
          </w:tcPr>
          <w:p w14:paraId="6E760DED" w14:textId="77777777" w:rsidR="003E7F54" w:rsidRPr="00B05055" w:rsidRDefault="003E7F54" w:rsidP="003E7F54">
            <w:pPr>
              <w:spacing w:line="360" w:lineRule="auto"/>
              <w:jc w:val="center"/>
              <w:rPr>
                <w:rFonts w:ascii="Arial" w:eastAsia="Times New Roman" w:hAnsi="Arial" w:cs="Arial"/>
                <w:color w:val="000000"/>
              </w:rPr>
            </w:pPr>
            <w:r w:rsidRPr="00B05055">
              <w:rPr>
                <w:rFonts w:ascii="Arial" w:eastAsia="Times New Roman" w:hAnsi="Arial" w:cs="Arial"/>
                <w:color w:val="000000"/>
              </w:rPr>
              <w:t>6,018±2,38</w:t>
            </w:r>
          </w:p>
        </w:tc>
        <w:tc>
          <w:tcPr>
            <w:tcW w:w="1825" w:type="dxa"/>
            <w:vAlign w:val="bottom"/>
          </w:tcPr>
          <w:p w14:paraId="42013D4D" w14:textId="77777777" w:rsidR="003E7F54" w:rsidRPr="00B05055" w:rsidRDefault="003E7F54" w:rsidP="003E7F54">
            <w:pPr>
              <w:spacing w:line="360" w:lineRule="auto"/>
              <w:jc w:val="center"/>
              <w:rPr>
                <w:rFonts w:ascii="Arial" w:eastAsia="Times New Roman" w:hAnsi="Arial" w:cs="Arial"/>
                <w:color w:val="000000"/>
              </w:rPr>
            </w:pPr>
            <w:r w:rsidRPr="00B05055">
              <w:rPr>
                <w:rFonts w:ascii="Arial" w:eastAsia="Times New Roman" w:hAnsi="Arial" w:cs="Arial"/>
                <w:color w:val="000000"/>
              </w:rPr>
              <w:t>4,94±1,89</w:t>
            </w:r>
          </w:p>
        </w:tc>
        <w:tc>
          <w:tcPr>
            <w:tcW w:w="1064" w:type="dxa"/>
          </w:tcPr>
          <w:p w14:paraId="449984B8" w14:textId="77777777" w:rsidR="003E7F54" w:rsidRPr="00B05055" w:rsidRDefault="003E7F54" w:rsidP="003E7F54">
            <w:pPr>
              <w:spacing w:line="360" w:lineRule="auto"/>
              <w:jc w:val="center"/>
              <w:rPr>
                <w:rFonts w:ascii="Arial" w:eastAsia="Times New Roman" w:hAnsi="Arial" w:cs="Arial"/>
                <w:color w:val="000000"/>
              </w:rPr>
            </w:pPr>
            <w:r w:rsidRPr="00B05055">
              <w:rPr>
                <w:rFonts w:ascii="Arial" w:eastAsia="Times New Roman" w:hAnsi="Arial" w:cs="Arial"/>
                <w:color w:val="000000"/>
              </w:rPr>
              <w:t>0,661</w:t>
            </w:r>
          </w:p>
        </w:tc>
      </w:tr>
      <w:tr w:rsidR="003E7F54" w:rsidRPr="00B05055" w14:paraId="1C89B7E1" w14:textId="77777777" w:rsidTr="00F148EC">
        <w:trPr>
          <w:trHeight w:val="273"/>
        </w:trPr>
        <w:tc>
          <w:tcPr>
            <w:tcW w:w="3721" w:type="dxa"/>
            <w:noWrap/>
            <w:hideMark/>
          </w:tcPr>
          <w:p w14:paraId="28D4FFFF" w14:textId="77777777" w:rsidR="003E7F54" w:rsidRPr="00B05055" w:rsidRDefault="003E7F54" w:rsidP="003E7F54">
            <w:pPr>
              <w:spacing w:line="360" w:lineRule="auto"/>
              <w:jc w:val="center"/>
              <w:rPr>
                <w:rFonts w:ascii="Arial" w:eastAsia="Times New Roman" w:hAnsi="Arial" w:cs="Arial"/>
                <w:bCs/>
                <w:color w:val="000000"/>
              </w:rPr>
            </w:pPr>
            <w:r w:rsidRPr="00B05055">
              <w:rPr>
                <w:rFonts w:ascii="Arial" w:eastAsia="Times New Roman" w:hAnsi="Arial" w:cs="Arial"/>
                <w:bCs/>
                <w:color w:val="000000"/>
              </w:rPr>
              <w:t>HGB (g/dl)</w:t>
            </w:r>
          </w:p>
        </w:tc>
        <w:tc>
          <w:tcPr>
            <w:tcW w:w="2740" w:type="dxa"/>
            <w:noWrap/>
            <w:hideMark/>
          </w:tcPr>
          <w:p w14:paraId="0E6DA5C4" w14:textId="77777777" w:rsidR="003E7F54" w:rsidRPr="00B05055" w:rsidRDefault="003E7F54" w:rsidP="003E7F54">
            <w:pPr>
              <w:spacing w:line="360" w:lineRule="auto"/>
              <w:jc w:val="center"/>
              <w:rPr>
                <w:rFonts w:ascii="Arial" w:eastAsia="Times New Roman" w:hAnsi="Arial" w:cs="Arial"/>
                <w:color w:val="000000"/>
              </w:rPr>
            </w:pPr>
            <w:r w:rsidRPr="00B05055">
              <w:rPr>
                <w:rFonts w:ascii="Arial" w:eastAsia="Times New Roman" w:hAnsi="Arial" w:cs="Arial"/>
                <w:color w:val="000000"/>
              </w:rPr>
              <w:t>12,87±0,47</w:t>
            </w:r>
          </w:p>
        </w:tc>
        <w:tc>
          <w:tcPr>
            <w:tcW w:w="1825" w:type="dxa"/>
            <w:vAlign w:val="bottom"/>
          </w:tcPr>
          <w:p w14:paraId="1F7D18A9" w14:textId="77777777" w:rsidR="003E7F54" w:rsidRPr="00B05055" w:rsidRDefault="003E7F54" w:rsidP="003E7F54">
            <w:pPr>
              <w:spacing w:line="360" w:lineRule="auto"/>
              <w:jc w:val="center"/>
              <w:rPr>
                <w:rFonts w:ascii="Arial" w:eastAsia="Times New Roman" w:hAnsi="Arial" w:cs="Arial"/>
                <w:color w:val="000000"/>
              </w:rPr>
            </w:pPr>
            <w:r w:rsidRPr="00B05055">
              <w:rPr>
                <w:rFonts w:ascii="Arial" w:eastAsia="Times New Roman" w:hAnsi="Arial" w:cs="Arial"/>
                <w:color w:val="000000"/>
              </w:rPr>
              <w:t>14,22±0,85</w:t>
            </w:r>
          </w:p>
        </w:tc>
        <w:tc>
          <w:tcPr>
            <w:tcW w:w="1064" w:type="dxa"/>
          </w:tcPr>
          <w:p w14:paraId="1D27D7AD" w14:textId="77777777" w:rsidR="003E7F54" w:rsidRPr="00B05055" w:rsidRDefault="003E7F54" w:rsidP="003E7F54">
            <w:pPr>
              <w:spacing w:line="360" w:lineRule="auto"/>
              <w:jc w:val="center"/>
              <w:rPr>
                <w:rFonts w:ascii="Arial" w:eastAsia="Times New Roman" w:hAnsi="Arial" w:cs="Arial"/>
                <w:color w:val="000000"/>
              </w:rPr>
            </w:pPr>
            <w:r w:rsidRPr="00B05055">
              <w:rPr>
                <w:rFonts w:ascii="Arial" w:eastAsia="Times New Roman" w:hAnsi="Arial" w:cs="Arial"/>
                <w:color w:val="000000"/>
              </w:rPr>
              <w:t>0,134</w:t>
            </w:r>
          </w:p>
        </w:tc>
      </w:tr>
      <w:tr w:rsidR="003E7F54" w:rsidRPr="00B05055" w14:paraId="517F0EE4" w14:textId="77777777" w:rsidTr="00F148EC">
        <w:trPr>
          <w:trHeight w:val="273"/>
        </w:trPr>
        <w:tc>
          <w:tcPr>
            <w:tcW w:w="3721" w:type="dxa"/>
            <w:noWrap/>
            <w:hideMark/>
          </w:tcPr>
          <w:p w14:paraId="6A5FF6C5" w14:textId="77777777" w:rsidR="003E7F54" w:rsidRPr="00B05055" w:rsidRDefault="003E7F54" w:rsidP="003E7F54">
            <w:pPr>
              <w:spacing w:line="360" w:lineRule="auto"/>
              <w:jc w:val="center"/>
              <w:rPr>
                <w:rFonts w:ascii="Arial" w:eastAsia="Times New Roman" w:hAnsi="Arial" w:cs="Arial"/>
                <w:bCs/>
                <w:color w:val="000000"/>
              </w:rPr>
            </w:pPr>
            <w:r w:rsidRPr="00B05055">
              <w:rPr>
                <w:rFonts w:ascii="Arial" w:eastAsia="Times New Roman" w:hAnsi="Arial" w:cs="Arial"/>
                <w:bCs/>
                <w:color w:val="000000"/>
              </w:rPr>
              <w:t>HCT (%)</w:t>
            </w:r>
          </w:p>
        </w:tc>
        <w:tc>
          <w:tcPr>
            <w:tcW w:w="2740" w:type="dxa"/>
            <w:noWrap/>
            <w:hideMark/>
          </w:tcPr>
          <w:p w14:paraId="7E8AE111" w14:textId="77777777" w:rsidR="003E7F54" w:rsidRPr="00B05055" w:rsidRDefault="003E7F54" w:rsidP="003E7F54">
            <w:pPr>
              <w:spacing w:line="360" w:lineRule="auto"/>
              <w:jc w:val="center"/>
              <w:rPr>
                <w:rFonts w:ascii="Arial" w:eastAsia="Times New Roman" w:hAnsi="Arial" w:cs="Arial"/>
                <w:color w:val="000000"/>
              </w:rPr>
            </w:pPr>
            <w:r w:rsidRPr="00B05055">
              <w:rPr>
                <w:rFonts w:ascii="Arial" w:eastAsia="Times New Roman" w:hAnsi="Arial" w:cs="Arial"/>
                <w:color w:val="000000"/>
              </w:rPr>
              <w:t>40,16±1,41</w:t>
            </w:r>
          </w:p>
        </w:tc>
        <w:tc>
          <w:tcPr>
            <w:tcW w:w="1825" w:type="dxa"/>
            <w:vAlign w:val="bottom"/>
          </w:tcPr>
          <w:p w14:paraId="30E952E5" w14:textId="77777777" w:rsidR="003E7F54" w:rsidRPr="00B05055" w:rsidRDefault="003E7F54" w:rsidP="003E7F54">
            <w:pPr>
              <w:spacing w:line="360" w:lineRule="auto"/>
              <w:jc w:val="center"/>
              <w:rPr>
                <w:rFonts w:ascii="Arial" w:eastAsia="Times New Roman" w:hAnsi="Arial" w:cs="Arial"/>
                <w:color w:val="000000"/>
              </w:rPr>
            </w:pPr>
            <w:r w:rsidRPr="00B05055">
              <w:rPr>
                <w:rFonts w:ascii="Arial" w:eastAsia="Times New Roman" w:hAnsi="Arial" w:cs="Arial"/>
                <w:color w:val="000000"/>
              </w:rPr>
              <w:t>43,11 ±1,63</w:t>
            </w:r>
          </w:p>
        </w:tc>
        <w:tc>
          <w:tcPr>
            <w:tcW w:w="1064" w:type="dxa"/>
          </w:tcPr>
          <w:p w14:paraId="021DEFA4" w14:textId="77777777" w:rsidR="003E7F54" w:rsidRPr="00B05055" w:rsidRDefault="003E7F54" w:rsidP="003E7F54">
            <w:pPr>
              <w:spacing w:line="360" w:lineRule="auto"/>
              <w:jc w:val="center"/>
              <w:rPr>
                <w:rFonts w:ascii="Arial" w:eastAsia="Times New Roman" w:hAnsi="Arial" w:cs="Arial"/>
                <w:color w:val="000000"/>
              </w:rPr>
            </w:pPr>
            <w:r w:rsidRPr="00B05055">
              <w:rPr>
                <w:rFonts w:ascii="Arial" w:eastAsia="Times New Roman" w:hAnsi="Arial" w:cs="Arial"/>
                <w:color w:val="000000"/>
              </w:rPr>
              <w:t>0,235</w:t>
            </w:r>
          </w:p>
        </w:tc>
      </w:tr>
      <w:tr w:rsidR="003E7F54" w:rsidRPr="00B05055" w14:paraId="3BAC993B" w14:textId="77777777" w:rsidTr="00F148EC">
        <w:trPr>
          <w:trHeight w:val="273"/>
        </w:trPr>
        <w:tc>
          <w:tcPr>
            <w:tcW w:w="3721" w:type="dxa"/>
            <w:noWrap/>
            <w:hideMark/>
          </w:tcPr>
          <w:p w14:paraId="126B1008" w14:textId="77777777" w:rsidR="003E7F54" w:rsidRPr="00B05055" w:rsidRDefault="003E7F54" w:rsidP="003E7F54">
            <w:pPr>
              <w:spacing w:line="360" w:lineRule="auto"/>
              <w:jc w:val="center"/>
              <w:rPr>
                <w:rFonts w:ascii="Arial" w:eastAsia="Times New Roman" w:hAnsi="Arial" w:cs="Arial"/>
                <w:bCs/>
                <w:color w:val="000000"/>
              </w:rPr>
            </w:pPr>
            <w:r w:rsidRPr="00B05055">
              <w:rPr>
                <w:rFonts w:ascii="Arial" w:eastAsia="Times New Roman" w:hAnsi="Arial" w:cs="Arial"/>
                <w:bCs/>
                <w:color w:val="000000"/>
              </w:rPr>
              <w:t xml:space="preserve">PLT </w:t>
            </w:r>
            <w:r w:rsidRPr="00B05055">
              <w:rPr>
                <w:rFonts w:ascii="Arial" w:eastAsia="Calibri" w:hAnsi="Arial" w:cs="Arial"/>
                <w:bCs/>
              </w:rPr>
              <w:t>(10</w:t>
            </w:r>
            <w:r w:rsidRPr="00B05055">
              <w:rPr>
                <w:rFonts w:ascii="Arial" w:eastAsia="Calibri" w:hAnsi="Arial" w:cs="Arial"/>
                <w:bCs/>
                <w:vertAlign w:val="superscript"/>
              </w:rPr>
              <w:t>3</w:t>
            </w:r>
            <w:r w:rsidRPr="00B05055">
              <w:rPr>
                <w:rFonts w:ascii="Arial" w:eastAsia="Calibri" w:hAnsi="Arial" w:cs="Arial"/>
                <w:bCs/>
              </w:rPr>
              <w:t xml:space="preserve"> / mm</w:t>
            </w:r>
            <w:r w:rsidRPr="00B05055">
              <w:rPr>
                <w:rFonts w:ascii="Arial" w:eastAsia="Calibri" w:hAnsi="Arial" w:cs="Arial"/>
                <w:bCs/>
                <w:vertAlign w:val="superscript"/>
              </w:rPr>
              <w:t>3</w:t>
            </w:r>
            <w:r w:rsidRPr="00B05055">
              <w:rPr>
                <w:rFonts w:ascii="Arial" w:eastAsia="Calibri" w:hAnsi="Arial" w:cs="Arial"/>
                <w:bCs/>
              </w:rPr>
              <w:t>)</w:t>
            </w:r>
          </w:p>
        </w:tc>
        <w:tc>
          <w:tcPr>
            <w:tcW w:w="2740" w:type="dxa"/>
            <w:noWrap/>
            <w:hideMark/>
          </w:tcPr>
          <w:p w14:paraId="3052CD29" w14:textId="77777777" w:rsidR="003E7F54" w:rsidRPr="00B05055" w:rsidRDefault="003E7F54" w:rsidP="003E7F54">
            <w:pPr>
              <w:spacing w:line="360" w:lineRule="auto"/>
              <w:jc w:val="center"/>
              <w:rPr>
                <w:rFonts w:ascii="Arial" w:eastAsia="Times New Roman" w:hAnsi="Arial" w:cs="Arial"/>
                <w:color w:val="000000"/>
              </w:rPr>
            </w:pPr>
            <w:r w:rsidRPr="00B05055">
              <w:rPr>
                <w:rFonts w:ascii="Arial" w:eastAsia="Times New Roman" w:hAnsi="Arial" w:cs="Arial"/>
                <w:color w:val="000000"/>
              </w:rPr>
              <w:t>358±13,55</w:t>
            </w:r>
          </w:p>
        </w:tc>
        <w:tc>
          <w:tcPr>
            <w:tcW w:w="1825" w:type="dxa"/>
            <w:vAlign w:val="bottom"/>
          </w:tcPr>
          <w:p w14:paraId="739577F5" w14:textId="77777777" w:rsidR="003E7F54" w:rsidRPr="00B05055" w:rsidRDefault="003E7F54" w:rsidP="003E7F54">
            <w:pPr>
              <w:spacing w:line="360" w:lineRule="auto"/>
              <w:jc w:val="center"/>
              <w:rPr>
                <w:rFonts w:ascii="Arial" w:eastAsia="Times New Roman" w:hAnsi="Arial" w:cs="Arial"/>
                <w:color w:val="000000"/>
              </w:rPr>
            </w:pPr>
            <w:r w:rsidRPr="00B05055">
              <w:rPr>
                <w:rFonts w:ascii="Arial" w:eastAsia="Times New Roman" w:hAnsi="Arial" w:cs="Arial"/>
                <w:color w:val="000000"/>
              </w:rPr>
              <w:t>402±23,15</w:t>
            </w:r>
          </w:p>
        </w:tc>
        <w:tc>
          <w:tcPr>
            <w:tcW w:w="1064" w:type="dxa"/>
          </w:tcPr>
          <w:p w14:paraId="4827D895" w14:textId="77777777" w:rsidR="003E7F54" w:rsidRPr="00B05055" w:rsidRDefault="003E7F54" w:rsidP="003E7F54">
            <w:pPr>
              <w:spacing w:line="360" w:lineRule="auto"/>
              <w:jc w:val="center"/>
              <w:rPr>
                <w:rFonts w:ascii="Arial" w:eastAsia="Times New Roman" w:hAnsi="Arial" w:cs="Arial"/>
                <w:color w:val="000000"/>
              </w:rPr>
            </w:pPr>
            <w:r w:rsidRPr="00B05055">
              <w:rPr>
                <w:rFonts w:ascii="Arial" w:eastAsia="Times New Roman" w:hAnsi="Arial" w:cs="Arial"/>
                <w:color w:val="000000"/>
              </w:rPr>
              <w:t>0,198</w:t>
            </w:r>
          </w:p>
        </w:tc>
      </w:tr>
    </w:tbl>
    <w:p w14:paraId="677F42C0" w14:textId="77777777" w:rsidR="00CE257D" w:rsidRPr="00B05055" w:rsidRDefault="00CE257D" w:rsidP="00CE257D">
      <w:pPr>
        <w:jc w:val="both"/>
        <w:rPr>
          <w:rFonts w:ascii="Arial" w:hAnsi="Arial" w:cs="Arial"/>
          <w:sz w:val="20"/>
          <w:szCs w:val="20"/>
        </w:rPr>
      </w:pPr>
      <w:r w:rsidRPr="00B05055">
        <w:rPr>
          <w:rFonts w:ascii="Arial" w:hAnsi="Arial" w:cs="Arial"/>
          <w:sz w:val="20"/>
          <w:szCs w:val="20"/>
        </w:rPr>
        <w:t>Average Results ± Standard Average Error (SEM</w:t>
      </w:r>
      <w:r w:rsidR="00C364A7" w:rsidRPr="00B05055">
        <w:rPr>
          <w:rFonts w:ascii="Arial" w:hAnsi="Arial" w:cs="Arial"/>
          <w:sz w:val="20"/>
          <w:szCs w:val="20"/>
        </w:rPr>
        <w:t>) ;</w:t>
      </w:r>
      <w:r w:rsidRPr="00B05055">
        <w:rPr>
          <w:rFonts w:ascii="Arial" w:hAnsi="Arial" w:cs="Arial"/>
          <w:sz w:val="20"/>
          <w:szCs w:val="20"/>
        </w:rPr>
        <w:t xml:space="preserve"> * = Significant </w:t>
      </w:r>
      <w:r w:rsidR="00C364A7" w:rsidRPr="00B05055">
        <w:rPr>
          <w:rFonts w:ascii="Arial" w:hAnsi="Arial" w:cs="Arial"/>
          <w:sz w:val="20"/>
          <w:szCs w:val="20"/>
        </w:rPr>
        <w:t>results :</w:t>
      </w:r>
      <w:r w:rsidRPr="00B05055">
        <w:rPr>
          <w:rFonts w:ascii="Arial" w:hAnsi="Arial" w:cs="Arial"/>
          <w:sz w:val="20"/>
          <w:szCs w:val="20"/>
        </w:rPr>
        <w:t xml:space="preserve"> p &lt;0.05</w:t>
      </w:r>
    </w:p>
    <w:p w14:paraId="1830A32F" w14:textId="77777777" w:rsidR="00CE257D" w:rsidRPr="00B05055" w:rsidRDefault="00CE257D" w:rsidP="00CE257D">
      <w:pPr>
        <w:jc w:val="both"/>
        <w:rPr>
          <w:rFonts w:ascii="Arial" w:hAnsi="Arial" w:cs="Arial"/>
          <w:sz w:val="20"/>
          <w:szCs w:val="20"/>
        </w:rPr>
      </w:pPr>
      <w:r w:rsidRPr="00B05055">
        <w:rPr>
          <w:rFonts w:ascii="Arial" w:hAnsi="Arial" w:cs="Arial"/>
          <w:sz w:val="20"/>
          <w:szCs w:val="20"/>
        </w:rPr>
        <w:t xml:space="preserve">The administration of the ethanolic extract of </w:t>
      </w:r>
      <w:r w:rsidR="00A61B3D" w:rsidRPr="00B05055">
        <w:rPr>
          <w:rFonts w:ascii="Arial" w:hAnsi="Arial" w:cs="Arial"/>
          <w:i/>
          <w:iCs/>
          <w:sz w:val="20"/>
          <w:szCs w:val="20"/>
        </w:rPr>
        <w:t>Jatropha curcas</w:t>
      </w:r>
      <w:r w:rsidRPr="00B05055">
        <w:rPr>
          <w:rFonts w:ascii="Arial" w:hAnsi="Arial" w:cs="Arial"/>
          <w:sz w:val="20"/>
          <w:szCs w:val="20"/>
        </w:rPr>
        <w:t xml:space="preserve"> at the single dose of 5000 mg / kg of body weight did not show any statistically significant difference on the hematological parameters (white blood cells, number of </w:t>
      </w:r>
      <w:proofErr w:type="gramStart"/>
      <w:r w:rsidRPr="00B05055">
        <w:rPr>
          <w:rFonts w:ascii="Arial" w:hAnsi="Arial" w:cs="Arial"/>
          <w:sz w:val="20"/>
          <w:szCs w:val="20"/>
        </w:rPr>
        <w:t>platelets;</w:t>
      </w:r>
      <w:proofErr w:type="gramEnd"/>
      <w:r w:rsidRPr="00B05055">
        <w:rPr>
          <w:rFonts w:ascii="Arial" w:hAnsi="Arial" w:cs="Arial"/>
          <w:sz w:val="20"/>
          <w:szCs w:val="20"/>
        </w:rPr>
        <w:t xml:space="preserve"> red blood cells; hemoglobin) between the treated batch and the control batch.</w:t>
      </w:r>
    </w:p>
    <w:p w14:paraId="1CF0F6FA" w14:textId="77777777" w:rsidR="00AF2D58" w:rsidRPr="00B05055" w:rsidRDefault="00AF2D58" w:rsidP="00AF2D58">
      <w:pPr>
        <w:jc w:val="both"/>
        <w:rPr>
          <w:rFonts w:ascii="Arial" w:hAnsi="Arial" w:cs="Arial"/>
          <w:b/>
          <w:bCs/>
        </w:rPr>
      </w:pPr>
    </w:p>
    <w:p w14:paraId="633F916F" w14:textId="77777777" w:rsidR="00AF2D58" w:rsidRPr="00B05055" w:rsidRDefault="00AF2D58" w:rsidP="00AF2D58">
      <w:pPr>
        <w:jc w:val="both"/>
        <w:rPr>
          <w:rFonts w:ascii="Arial" w:hAnsi="Arial" w:cs="Arial"/>
          <w:b/>
          <w:bCs/>
          <w:sz w:val="22"/>
          <w:szCs w:val="22"/>
        </w:rPr>
      </w:pPr>
      <w:r w:rsidRPr="00B05055">
        <w:rPr>
          <w:rFonts w:ascii="Arial" w:hAnsi="Arial" w:cs="Arial"/>
          <w:b/>
          <w:bCs/>
          <w:sz w:val="22"/>
          <w:szCs w:val="22"/>
        </w:rPr>
        <w:t>3.1.6 Biochemical parameters</w:t>
      </w:r>
    </w:p>
    <w:p w14:paraId="18BB4D82" w14:textId="77777777" w:rsidR="00AF2D58" w:rsidRPr="00B05055" w:rsidRDefault="00AF2D58" w:rsidP="00AF2D58">
      <w:pPr>
        <w:jc w:val="both"/>
        <w:rPr>
          <w:rFonts w:ascii="Arial" w:hAnsi="Arial" w:cs="Arial"/>
          <w:b/>
          <w:bCs/>
          <w:sz w:val="20"/>
          <w:szCs w:val="20"/>
        </w:rPr>
      </w:pPr>
      <w:r w:rsidRPr="00B05055">
        <w:rPr>
          <w:rFonts w:ascii="Arial" w:hAnsi="Arial" w:cs="Arial"/>
          <w:sz w:val="20"/>
          <w:szCs w:val="20"/>
        </w:rPr>
        <w:t>Table 4 presents the results of the biochemical parameters</w:t>
      </w:r>
      <w:r w:rsidRPr="00B05055">
        <w:rPr>
          <w:rFonts w:ascii="Arial" w:hAnsi="Arial" w:cs="Arial"/>
          <w:b/>
          <w:bCs/>
          <w:sz w:val="20"/>
          <w:szCs w:val="20"/>
        </w:rPr>
        <w:t>.</w:t>
      </w:r>
    </w:p>
    <w:p w14:paraId="64992334" w14:textId="77777777" w:rsidR="00AF2D58" w:rsidRPr="00B05055" w:rsidRDefault="00AF2D58" w:rsidP="00AF2D58">
      <w:pPr>
        <w:jc w:val="both"/>
        <w:rPr>
          <w:rFonts w:ascii="Arial" w:hAnsi="Arial" w:cs="Arial"/>
          <w:sz w:val="22"/>
          <w:szCs w:val="22"/>
        </w:rPr>
      </w:pPr>
      <w:r w:rsidRPr="00B05055">
        <w:rPr>
          <w:rFonts w:ascii="Arial" w:hAnsi="Arial" w:cs="Arial"/>
          <w:b/>
          <w:bCs/>
          <w:sz w:val="22"/>
          <w:szCs w:val="22"/>
        </w:rPr>
        <w:t xml:space="preserve">Table 4 : </w:t>
      </w:r>
      <w:r w:rsidRPr="00B05055">
        <w:rPr>
          <w:rFonts w:ascii="Arial" w:hAnsi="Arial" w:cs="Arial"/>
          <w:sz w:val="22"/>
          <w:szCs w:val="22"/>
        </w:rPr>
        <w:t>Biochemical parameters</w:t>
      </w:r>
    </w:p>
    <w:tbl>
      <w:tblPr>
        <w:tblStyle w:val="TableGridLight"/>
        <w:tblW w:w="9105" w:type="dxa"/>
        <w:tblLook w:val="04A0" w:firstRow="1" w:lastRow="0" w:firstColumn="1" w:lastColumn="0" w:noHBand="0" w:noVBand="1"/>
      </w:tblPr>
      <w:tblGrid>
        <w:gridCol w:w="2447"/>
        <w:gridCol w:w="2364"/>
        <w:gridCol w:w="2268"/>
        <w:gridCol w:w="2026"/>
      </w:tblGrid>
      <w:tr w:rsidR="000A5FB3" w:rsidRPr="00B05055" w14:paraId="30AE3843" w14:textId="77777777" w:rsidTr="00EA6B4F">
        <w:trPr>
          <w:trHeight w:val="616"/>
        </w:trPr>
        <w:tc>
          <w:tcPr>
            <w:tcW w:w="2447" w:type="dxa"/>
          </w:tcPr>
          <w:p w14:paraId="61E87DD2" w14:textId="77777777" w:rsidR="000A5FB3" w:rsidRPr="00B05055" w:rsidRDefault="000A5FB3" w:rsidP="00EA6B4F">
            <w:pPr>
              <w:jc w:val="center"/>
              <w:rPr>
                <w:rFonts w:ascii="Arial" w:eastAsia="Times New Roman" w:hAnsi="Arial" w:cs="Arial"/>
                <w:b/>
                <w:bCs/>
                <w:sz w:val="20"/>
                <w:szCs w:val="20"/>
              </w:rPr>
            </w:pPr>
            <w:r w:rsidRPr="00B05055">
              <w:rPr>
                <w:rFonts w:ascii="Arial" w:eastAsia="Times New Roman" w:hAnsi="Arial" w:cs="Arial"/>
                <w:b/>
                <w:bCs/>
                <w:sz w:val="20"/>
                <w:szCs w:val="20"/>
              </w:rPr>
              <w:t>Biochemicals parameters</w:t>
            </w:r>
          </w:p>
        </w:tc>
        <w:tc>
          <w:tcPr>
            <w:tcW w:w="2364" w:type="dxa"/>
          </w:tcPr>
          <w:p w14:paraId="2F2FCBC3" w14:textId="77777777" w:rsidR="000A5FB3" w:rsidRPr="00B05055" w:rsidRDefault="000A5FB3" w:rsidP="00EA6B4F">
            <w:pPr>
              <w:jc w:val="center"/>
              <w:rPr>
                <w:rFonts w:ascii="Arial" w:eastAsia="Times New Roman" w:hAnsi="Arial" w:cs="Arial"/>
                <w:b/>
                <w:bCs/>
                <w:sz w:val="20"/>
                <w:szCs w:val="20"/>
              </w:rPr>
            </w:pPr>
            <w:r w:rsidRPr="00B05055">
              <w:rPr>
                <w:rFonts w:ascii="Arial" w:eastAsia="Times New Roman" w:hAnsi="Arial" w:cs="Arial"/>
                <w:b/>
                <w:bCs/>
                <w:sz w:val="20"/>
                <w:szCs w:val="20"/>
              </w:rPr>
              <w:t>Control batch</w:t>
            </w:r>
          </w:p>
        </w:tc>
        <w:tc>
          <w:tcPr>
            <w:tcW w:w="2268" w:type="dxa"/>
          </w:tcPr>
          <w:p w14:paraId="57A8D5F3" w14:textId="77777777" w:rsidR="000A5FB3" w:rsidRPr="00B05055" w:rsidRDefault="00EA6B4F" w:rsidP="00BE56F0">
            <w:pPr>
              <w:jc w:val="center"/>
              <w:rPr>
                <w:rFonts w:ascii="Arial" w:eastAsia="Times New Roman" w:hAnsi="Arial" w:cs="Arial"/>
                <w:b/>
                <w:bCs/>
                <w:sz w:val="20"/>
                <w:szCs w:val="20"/>
              </w:rPr>
            </w:pPr>
            <w:r w:rsidRPr="00B05055">
              <w:rPr>
                <w:rFonts w:ascii="Arial" w:eastAsia="Times New Roman" w:hAnsi="Arial" w:cs="Arial"/>
                <w:b/>
                <w:bCs/>
                <w:sz w:val="20"/>
                <w:szCs w:val="20"/>
              </w:rPr>
              <w:t>Treated batch</w:t>
            </w:r>
          </w:p>
        </w:tc>
        <w:tc>
          <w:tcPr>
            <w:tcW w:w="2026" w:type="dxa"/>
          </w:tcPr>
          <w:p w14:paraId="0324AA84" w14:textId="77777777" w:rsidR="000A5FB3" w:rsidRPr="00B05055" w:rsidRDefault="000A5FB3" w:rsidP="00EA6B4F">
            <w:pPr>
              <w:jc w:val="center"/>
              <w:rPr>
                <w:rFonts w:ascii="Arial" w:eastAsia="Times New Roman" w:hAnsi="Arial" w:cs="Arial"/>
                <w:b/>
                <w:bCs/>
                <w:i/>
                <w:sz w:val="20"/>
                <w:szCs w:val="20"/>
              </w:rPr>
            </w:pPr>
            <w:r w:rsidRPr="00B05055">
              <w:rPr>
                <w:rFonts w:ascii="Arial" w:eastAsia="Times New Roman" w:hAnsi="Arial" w:cs="Arial"/>
                <w:b/>
                <w:bCs/>
                <w:i/>
                <w:sz w:val="20"/>
                <w:szCs w:val="20"/>
              </w:rPr>
              <w:t>P- value</w:t>
            </w:r>
          </w:p>
        </w:tc>
      </w:tr>
      <w:tr w:rsidR="00721F6A" w:rsidRPr="00B05055" w14:paraId="0385814A" w14:textId="77777777" w:rsidTr="00EA6B4F">
        <w:trPr>
          <w:trHeight w:val="303"/>
        </w:trPr>
        <w:tc>
          <w:tcPr>
            <w:tcW w:w="2447" w:type="dxa"/>
          </w:tcPr>
          <w:p w14:paraId="26B11F8F" w14:textId="77777777" w:rsidR="00721F6A" w:rsidRPr="00B05055" w:rsidRDefault="00721F6A" w:rsidP="00721F6A">
            <w:pPr>
              <w:jc w:val="center"/>
              <w:rPr>
                <w:rFonts w:ascii="Arial" w:eastAsia="Times New Roman" w:hAnsi="Arial" w:cs="Arial"/>
                <w:b/>
                <w:bCs/>
                <w:sz w:val="20"/>
                <w:szCs w:val="20"/>
              </w:rPr>
            </w:pPr>
            <w:r w:rsidRPr="00B05055">
              <w:rPr>
                <w:rFonts w:ascii="Arial" w:eastAsia="Times New Roman" w:hAnsi="Arial" w:cs="Arial"/>
                <w:b/>
                <w:bCs/>
                <w:sz w:val="20"/>
                <w:szCs w:val="20"/>
              </w:rPr>
              <w:t xml:space="preserve">Urea </w:t>
            </w:r>
            <w:r w:rsidRPr="00B05055">
              <w:rPr>
                <w:rFonts w:ascii="Arial" w:hAnsi="Arial" w:cs="Arial"/>
                <w:sz w:val="20"/>
                <w:szCs w:val="20"/>
              </w:rPr>
              <w:t>(g/l)</w:t>
            </w:r>
          </w:p>
        </w:tc>
        <w:tc>
          <w:tcPr>
            <w:tcW w:w="2364" w:type="dxa"/>
          </w:tcPr>
          <w:p w14:paraId="74148AC9" w14:textId="77777777" w:rsidR="00721F6A" w:rsidRPr="00B05055" w:rsidRDefault="00721F6A" w:rsidP="00721F6A">
            <w:pPr>
              <w:jc w:val="center"/>
              <w:rPr>
                <w:rFonts w:ascii="Arial" w:hAnsi="Arial" w:cs="Arial"/>
                <w:color w:val="000000"/>
                <w:sz w:val="20"/>
                <w:szCs w:val="20"/>
              </w:rPr>
            </w:pPr>
            <w:r w:rsidRPr="00B05055">
              <w:rPr>
                <w:rFonts w:ascii="Arial" w:hAnsi="Arial" w:cs="Arial"/>
                <w:color w:val="000000"/>
                <w:sz w:val="20"/>
                <w:szCs w:val="20"/>
              </w:rPr>
              <w:t>0,29 ± 0,012</w:t>
            </w:r>
          </w:p>
        </w:tc>
        <w:tc>
          <w:tcPr>
            <w:tcW w:w="2268" w:type="dxa"/>
          </w:tcPr>
          <w:p w14:paraId="531D390E" w14:textId="77777777" w:rsidR="00721F6A" w:rsidRPr="00B05055" w:rsidRDefault="00721F6A" w:rsidP="00721F6A">
            <w:pPr>
              <w:jc w:val="center"/>
              <w:rPr>
                <w:rFonts w:ascii="Arial" w:hAnsi="Arial" w:cs="Arial"/>
                <w:color w:val="000000"/>
                <w:sz w:val="20"/>
                <w:szCs w:val="20"/>
              </w:rPr>
            </w:pPr>
            <w:r w:rsidRPr="00B05055">
              <w:rPr>
                <w:rFonts w:ascii="Arial" w:hAnsi="Arial" w:cs="Arial"/>
                <w:color w:val="000000"/>
                <w:sz w:val="20"/>
                <w:szCs w:val="20"/>
              </w:rPr>
              <w:t>0,38 ±0,043</w:t>
            </w:r>
          </w:p>
        </w:tc>
        <w:tc>
          <w:tcPr>
            <w:tcW w:w="2026" w:type="dxa"/>
          </w:tcPr>
          <w:p w14:paraId="2322A7A1" w14:textId="77777777" w:rsidR="00721F6A" w:rsidRPr="00B05055" w:rsidRDefault="00721F6A" w:rsidP="00721F6A">
            <w:pPr>
              <w:jc w:val="center"/>
              <w:rPr>
                <w:rFonts w:ascii="Arial" w:eastAsia="Times New Roman" w:hAnsi="Arial" w:cs="Arial"/>
                <w:bCs/>
                <w:sz w:val="20"/>
                <w:szCs w:val="20"/>
              </w:rPr>
            </w:pPr>
            <w:r w:rsidRPr="00B05055">
              <w:rPr>
                <w:rFonts w:ascii="Arial" w:eastAsia="Times New Roman" w:hAnsi="Arial" w:cs="Arial"/>
                <w:bCs/>
                <w:sz w:val="20"/>
                <w:szCs w:val="20"/>
              </w:rPr>
              <w:t>0,125</w:t>
            </w:r>
          </w:p>
        </w:tc>
      </w:tr>
      <w:tr w:rsidR="00721F6A" w:rsidRPr="00B05055" w14:paraId="7073FDC5" w14:textId="77777777" w:rsidTr="00EA6B4F">
        <w:trPr>
          <w:trHeight w:val="313"/>
        </w:trPr>
        <w:tc>
          <w:tcPr>
            <w:tcW w:w="2447" w:type="dxa"/>
          </w:tcPr>
          <w:p w14:paraId="33BDB765" w14:textId="77777777" w:rsidR="00721F6A" w:rsidRPr="00B05055" w:rsidRDefault="00721F6A" w:rsidP="00721F6A">
            <w:pPr>
              <w:jc w:val="center"/>
              <w:rPr>
                <w:rFonts w:ascii="Arial" w:eastAsia="Times New Roman" w:hAnsi="Arial" w:cs="Arial"/>
                <w:b/>
                <w:bCs/>
                <w:sz w:val="20"/>
                <w:szCs w:val="20"/>
              </w:rPr>
            </w:pPr>
            <w:r w:rsidRPr="00B05055">
              <w:rPr>
                <w:rFonts w:ascii="Arial" w:eastAsia="Times New Roman" w:hAnsi="Arial" w:cs="Arial"/>
                <w:b/>
                <w:bCs/>
                <w:sz w:val="20"/>
                <w:szCs w:val="20"/>
              </w:rPr>
              <w:t xml:space="preserve">Creat </w:t>
            </w:r>
            <w:r w:rsidRPr="00B05055">
              <w:rPr>
                <w:rFonts w:ascii="Arial" w:hAnsi="Arial" w:cs="Arial"/>
                <w:sz w:val="20"/>
                <w:szCs w:val="20"/>
              </w:rPr>
              <w:t>(mg/l)</w:t>
            </w:r>
          </w:p>
        </w:tc>
        <w:tc>
          <w:tcPr>
            <w:tcW w:w="2364" w:type="dxa"/>
          </w:tcPr>
          <w:p w14:paraId="10316A6C" w14:textId="77777777" w:rsidR="00721F6A" w:rsidRPr="00B05055" w:rsidRDefault="00721F6A" w:rsidP="00721F6A">
            <w:pPr>
              <w:jc w:val="center"/>
              <w:rPr>
                <w:rFonts w:ascii="Arial" w:hAnsi="Arial" w:cs="Arial"/>
                <w:color w:val="000000"/>
                <w:sz w:val="20"/>
                <w:szCs w:val="20"/>
              </w:rPr>
            </w:pPr>
            <w:r w:rsidRPr="00B05055">
              <w:rPr>
                <w:rFonts w:ascii="Arial" w:hAnsi="Arial" w:cs="Arial"/>
                <w:color w:val="000000"/>
                <w:sz w:val="20"/>
                <w:szCs w:val="20"/>
              </w:rPr>
              <w:t>9,04 ±0,24</w:t>
            </w:r>
          </w:p>
        </w:tc>
        <w:tc>
          <w:tcPr>
            <w:tcW w:w="2268" w:type="dxa"/>
          </w:tcPr>
          <w:p w14:paraId="52CC64B6" w14:textId="77777777" w:rsidR="00721F6A" w:rsidRPr="00B05055" w:rsidRDefault="00721F6A" w:rsidP="00721F6A">
            <w:pPr>
              <w:jc w:val="center"/>
              <w:rPr>
                <w:rFonts w:ascii="Arial" w:hAnsi="Arial" w:cs="Arial"/>
                <w:color w:val="000000"/>
                <w:sz w:val="20"/>
                <w:szCs w:val="20"/>
              </w:rPr>
            </w:pPr>
            <w:r w:rsidRPr="00B05055">
              <w:rPr>
                <w:rFonts w:ascii="Arial" w:hAnsi="Arial" w:cs="Arial"/>
                <w:color w:val="000000"/>
                <w:sz w:val="20"/>
                <w:szCs w:val="20"/>
              </w:rPr>
              <w:t>10,41 ± 0,154</w:t>
            </w:r>
          </w:p>
        </w:tc>
        <w:tc>
          <w:tcPr>
            <w:tcW w:w="2026" w:type="dxa"/>
          </w:tcPr>
          <w:p w14:paraId="06406BCB" w14:textId="77777777" w:rsidR="00721F6A" w:rsidRPr="00B05055" w:rsidRDefault="00721F6A" w:rsidP="00721F6A">
            <w:pPr>
              <w:jc w:val="center"/>
              <w:rPr>
                <w:rFonts w:ascii="Arial" w:eastAsia="Times New Roman" w:hAnsi="Arial" w:cs="Arial"/>
                <w:bCs/>
                <w:sz w:val="20"/>
                <w:szCs w:val="20"/>
              </w:rPr>
            </w:pPr>
            <w:r w:rsidRPr="00B05055">
              <w:rPr>
                <w:rFonts w:ascii="Arial" w:eastAsia="Times New Roman" w:hAnsi="Arial" w:cs="Arial"/>
                <w:bCs/>
                <w:sz w:val="20"/>
                <w:szCs w:val="20"/>
              </w:rPr>
              <w:t>0,211</w:t>
            </w:r>
          </w:p>
        </w:tc>
      </w:tr>
      <w:tr w:rsidR="00721F6A" w:rsidRPr="00B05055" w14:paraId="38CE5A14" w14:textId="77777777" w:rsidTr="00EA6B4F">
        <w:trPr>
          <w:trHeight w:val="606"/>
        </w:trPr>
        <w:tc>
          <w:tcPr>
            <w:tcW w:w="2447" w:type="dxa"/>
          </w:tcPr>
          <w:p w14:paraId="2CDB6328" w14:textId="77777777" w:rsidR="00721F6A" w:rsidRPr="00B05055" w:rsidRDefault="00721F6A" w:rsidP="00721F6A">
            <w:pPr>
              <w:jc w:val="center"/>
              <w:rPr>
                <w:rFonts w:ascii="Arial" w:eastAsia="Times New Roman" w:hAnsi="Arial" w:cs="Arial"/>
                <w:b/>
                <w:bCs/>
                <w:sz w:val="20"/>
                <w:szCs w:val="20"/>
              </w:rPr>
            </w:pPr>
            <w:r w:rsidRPr="00B05055">
              <w:rPr>
                <w:rFonts w:ascii="Arial" w:eastAsia="Times New Roman" w:hAnsi="Arial" w:cs="Arial"/>
                <w:b/>
                <w:bCs/>
                <w:sz w:val="20"/>
                <w:szCs w:val="20"/>
              </w:rPr>
              <w:t xml:space="preserve">ASAT </w:t>
            </w:r>
            <w:r w:rsidRPr="00B05055">
              <w:rPr>
                <w:rFonts w:ascii="Arial" w:hAnsi="Arial" w:cs="Arial"/>
                <w:sz w:val="20"/>
                <w:szCs w:val="20"/>
              </w:rPr>
              <w:t>(UI/l)</w:t>
            </w:r>
          </w:p>
        </w:tc>
        <w:tc>
          <w:tcPr>
            <w:tcW w:w="2364" w:type="dxa"/>
          </w:tcPr>
          <w:p w14:paraId="7777C148" w14:textId="77777777" w:rsidR="00721F6A" w:rsidRPr="00B05055" w:rsidRDefault="00721F6A" w:rsidP="00721F6A">
            <w:pPr>
              <w:jc w:val="center"/>
              <w:rPr>
                <w:rFonts w:ascii="Arial" w:hAnsi="Arial" w:cs="Arial"/>
                <w:bCs/>
                <w:color w:val="000000"/>
                <w:sz w:val="20"/>
                <w:szCs w:val="20"/>
              </w:rPr>
            </w:pPr>
            <w:r w:rsidRPr="00B05055">
              <w:rPr>
                <w:rFonts w:ascii="Arial" w:hAnsi="Arial" w:cs="Arial"/>
                <w:color w:val="000000"/>
                <w:sz w:val="20"/>
                <w:szCs w:val="20"/>
              </w:rPr>
              <w:t>188,64</w:t>
            </w:r>
            <w:r w:rsidRPr="00B05055">
              <w:rPr>
                <w:rFonts w:ascii="Arial" w:hAnsi="Arial" w:cs="Arial"/>
                <w:sz w:val="20"/>
                <w:szCs w:val="20"/>
              </w:rPr>
              <w:t>± 19,22</w:t>
            </w:r>
          </w:p>
        </w:tc>
        <w:tc>
          <w:tcPr>
            <w:tcW w:w="2268" w:type="dxa"/>
          </w:tcPr>
          <w:p w14:paraId="483ED97F" w14:textId="77777777" w:rsidR="00721F6A" w:rsidRPr="00B05055" w:rsidRDefault="00721F6A" w:rsidP="00721F6A">
            <w:pPr>
              <w:jc w:val="center"/>
              <w:rPr>
                <w:rFonts w:ascii="Arial" w:hAnsi="Arial" w:cs="Arial"/>
                <w:color w:val="000000"/>
                <w:sz w:val="20"/>
                <w:szCs w:val="20"/>
              </w:rPr>
            </w:pPr>
            <w:r w:rsidRPr="00B05055">
              <w:rPr>
                <w:rFonts w:ascii="Arial" w:hAnsi="Arial" w:cs="Arial"/>
                <w:color w:val="000000"/>
                <w:sz w:val="20"/>
                <w:szCs w:val="20"/>
              </w:rPr>
              <w:t>189,23±35,25</w:t>
            </w:r>
          </w:p>
        </w:tc>
        <w:tc>
          <w:tcPr>
            <w:tcW w:w="2026" w:type="dxa"/>
          </w:tcPr>
          <w:p w14:paraId="2E2ABE2C" w14:textId="77777777" w:rsidR="00721F6A" w:rsidRPr="00B05055" w:rsidRDefault="00721F6A" w:rsidP="00721F6A">
            <w:pPr>
              <w:jc w:val="center"/>
              <w:rPr>
                <w:rFonts w:ascii="Arial" w:eastAsia="Times New Roman" w:hAnsi="Arial" w:cs="Arial"/>
                <w:bCs/>
                <w:sz w:val="20"/>
                <w:szCs w:val="20"/>
              </w:rPr>
            </w:pPr>
            <w:r w:rsidRPr="00B05055">
              <w:rPr>
                <w:rFonts w:ascii="Arial" w:eastAsia="Times New Roman" w:hAnsi="Arial" w:cs="Arial"/>
                <w:bCs/>
                <w:sz w:val="20"/>
                <w:szCs w:val="20"/>
              </w:rPr>
              <w:t>0,085</w:t>
            </w:r>
          </w:p>
        </w:tc>
      </w:tr>
      <w:tr w:rsidR="00721F6A" w:rsidRPr="00B05055" w14:paraId="5254157D" w14:textId="77777777" w:rsidTr="00EA6B4F">
        <w:trPr>
          <w:trHeight w:val="616"/>
        </w:trPr>
        <w:tc>
          <w:tcPr>
            <w:tcW w:w="2447" w:type="dxa"/>
          </w:tcPr>
          <w:p w14:paraId="5F627EAA" w14:textId="77777777" w:rsidR="00721F6A" w:rsidRPr="00B05055" w:rsidRDefault="00721F6A" w:rsidP="00721F6A">
            <w:pPr>
              <w:jc w:val="center"/>
              <w:rPr>
                <w:rFonts w:ascii="Arial" w:eastAsia="Times New Roman" w:hAnsi="Arial" w:cs="Arial"/>
                <w:b/>
                <w:bCs/>
                <w:sz w:val="20"/>
                <w:szCs w:val="20"/>
              </w:rPr>
            </w:pPr>
            <w:r w:rsidRPr="00B05055">
              <w:rPr>
                <w:rFonts w:ascii="Arial" w:eastAsia="Times New Roman" w:hAnsi="Arial" w:cs="Arial"/>
                <w:b/>
                <w:bCs/>
                <w:sz w:val="20"/>
                <w:szCs w:val="20"/>
              </w:rPr>
              <w:t xml:space="preserve">ALAT </w:t>
            </w:r>
            <w:r w:rsidRPr="00B05055">
              <w:rPr>
                <w:rFonts w:ascii="Arial" w:hAnsi="Arial" w:cs="Arial"/>
                <w:sz w:val="20"/>
                <w:szCs w:val="20"/>
              </w:rPr>
              <w:t>(UI/l)</w:t>
            </w:r>
          </w:p>
        </w:tc>
        <w:tc>
          <w:tcPr>
            <w:tcW w:w="2364" w:type="dxa"/>
          </w:tcPr>
          <w:p w14:paraId="60A231F2" w14:textId="77777777" w:rsidR="00721F6A" w:rsidRPr="00B05055" w:rsidRDefault="00721F6A" w:rsidP="00721F6A">
            <w:pPr>
              <w:jc w:val="center"/>
              <w:rPr>
                <w:rFonts w:ascii="Arial" w:hAnsi="Arial" w:cs="Arial"/>
                <w:bCs/>
                <w:color w:val="000000"/>
                <w:sz w:val="20"/>
                <w:szCs w:val="20"/>
              </w:rPr>
            </w:pPr>
            <w:r w:rsidRPr="00B05055">
              <w:rPr>
                <w:rFonts w:ascii="Arial" w:hAnsi="Arial" w:cs="Arial"/>
                <w:color w:val="000000"/>
                <w:sz w:val="20"/>
                <w:szCs w:val="20"/>
              </w:rPr>
              <w:t xml:space="preserve">104,20 </w:t>
            </w:r>
            <w:r w:rsidRPr="00B05055">
              <w:rPr>
                <w:rFonts w:ascii="Arial" w:hAnsi="Arial" w:cs="Arial"/>
                <w:sz w:val="20"/>
                <w:szCs w:val="20"/>
              </w:rPr>
              <w:t>± 11,04</w:t>
            </w:r>
          </w:p>
        </w:tc>
        <w:tc>
          <w:tcPr>
            <w:tcW w:w="2268" w:type="dxa"/>
          </w:tcPr>
          <w:p w14:paraId="49630A39" w14:textId="77777777" w:rsidR="00721F6A" w:rsidRPr="00B05055" w:rsidRDefault="00721F6A" w:rsidP="00721F6A">
            <w:pPr>
              <w:jc w:val="center"/>
              <w:rPr>
                <w:rFonts w:ascii="Arial" w:hAnsi="Arial" w:cs="Arial"/>
                <w:color w:val="000000"/>
                <w:sz w:val="20"/>
                <w:szCs w:val="20"/>
              </w:rPr>
            </w:pPr>
            <w:r w:rsidRPr="00B05055">
              <w:rPr>
                <w:rFonts w:ascii="Arial" w:hAnsi="Arial" w:cs="Arial"/>
                <w:color w:val="000000"/>
                <w:sz w:val="20"/>
                <w:szCs w:val="20"/>
              </w:rPr>
              <w:t>100,43±18,65</w:t>
            </w:r>
          </w:p>
        </w:tc>
        <w:tc>
          <w:tcPr>
            <w:tcW w:w="2026" w:type="dxa"/>
          </w:tcPr>
          <w:p w14:paraId="778C0977" w14:textId="77777777" w:rsidR="00721F6A" w:rsidRPr="00B05055" w:rsidRDefault="00721F6A" w:rsidP="00721F6A">
            <w:pPr>
              <w:jc w:val="center"/>
              <w:rPr>
                <w:rFonts w:ascii="Arial" w:eastAsia="Times New Roman" w:hAnsi="Arial" w:cs="Arial"/>
                <w:bCs/>
                <w:sz w:val="20"/>
                <w:szCs w:val="20"/>
              </w:rPr>
            </w:pPr>
            <w:r w:rsidRPr="00B05055">
              <w:rPr>
                <w:rFonts w:ascii="Arial" w:eastAsia="Times New Roman" w:hAnsi="Arial" w:cs="Arial"/>
                <w:bCs/>
                <w:sz w:val="20"/>
                <w:szCs w:val="20"/>
              </w:rPr>
              <w:t>0,185</w:t>
            </w:r>
          </w:p>
        </w:tc>
      </w:tr>
    </w:tbl>
    <w:p w14:paraId="7EC92E9A" w14:textId="77777777" w:rsidR="00EA6B4F" w:rsidRPr="00B05055" w:rsidRDefault="00EA6B4F" w:rsidP="00EA6B4F">
      <w:pPr>
        <w:jc w:val="both"/>
        <w:rPr>
          <w:rFonts w:ascii="Arial" w:hAnsi="Arial" w:cs="Arial"/>
          <w:sz w:val="20"/>
          <w:szCs w:val="20"/>
        </w:rPr>
      </w:pPr>
      <w:r w:rsidRPr="00B05055">
        <w:rPr>
          <w:rFonts w:ascii="Arial" w:hAnsi="Arial" w:cs="Arial"/>
          <w:sz w:val="20"/>
          <w:szCs w:val="20"/>
        </w:rPr>
        <w:t>Average Results ± Standard Average Error (SEM) ; * = Significant results : p &lt;0.05</w:t>
      </w:r>
    </w:p>
    <w:p w14:paraId="070DD41E" w14:textId="77777777" w:rsidR="00C364A7" w:rsidRPr="00B05055" w:rsidRDefault="00C364A7" w:rsidP="00C364A7">
      <w:pPr>
        <w:jc w:val="both"/>
        <w:rPr>
          <w:rFonts w:ascii="Arial" w:eastAsia="Times New Roman" w:hAnsi="Arial" w:cs="Arial"/>
          <w:kern w:val="0"/>
          <w:sz w:val="20"/>
          <w:szCs w:val="20"/>
          <w:lang w:eastAsia="fr-FR"/>
          <w14:ligatures w14:val="none"/>
        </w:rPr>
      </w:pPr>
      <w:r w:rsidRPr="00B05055">
        <w:rPr>
          <w:rFonts w:ascii="Arial" w:eastAsia="Times New Roman" w:hAnsi="Arial" w:cs="Arial"/>
          <w:kern w:val="0"/>
          <w:sz w:val="20"/>
          <w:szCs w:val="20"/>
          <w:lang w:eastAsia="fr-FR"/>
          <w14:ligatures w14:val="none"/>
        </w:rPr>
        <w:t xml:space="preserve">The administration of hydroethanolic extract of </w:t>
      </w:r>
      <w:r w:rsidR="00721F6A" w:rsidRPr="00B05055">
        <w:rPr>
          <w:rFonts w:ascii="Arial" w:eastAsia="Times New Roman" w:hAnsi="Arial" w:cs="Arial"/>
          <w:i/>
          <w:iCs/>
          <w:kern w:val="0"/>
          <w:sz w:val="20"/>
          <w:szCs w:val="20"/>
          <w:lang w:eastAsia="fr-FR"/>
          <w14:ligatures w14:val="none"/>
        </w:rPr>
        <w:t>Jatropha curcas</w:t>
      </w:r>
      <w:r w:rsidRPr="00B05055">
        <w:rPr>
          <w:rFonts w:ascii="Arial" w:eastAsia="Times New Roman" w:hAnsi="Arial" w:cs="Arial"/>
          <w:kern w:val="0"/>
          <w:sz w:val="20"/>
          <w:szCs w:val="20"/>
          <w:lang w:eastAsia="fr-FR"/>
          <w14:ligatures w14:val="none"/>
        </w:rPr>
        <w:t xml:space="preserve"> at a single dose of 5000 mg/kg body weight did not result in any statistically significant differences in liver and kidney parameters between the treated group of rats and the control group.</w:t>
      </w:r>
    </w:p>
    <w:p w14:paraId="388F3447" w14:textId="77777777" w:rsidR="009561AD" w:rsidRPr="00B05055" w:rsidRDefault="009561AD" w:rsidP="00EA6B4F">
      <w:pPr>
        <w:jc w:val="both"/>
        <w:rPr>
          <w:rFonts w:ascii="Arial" w:hAnsi="Arial" w:cs="Arial"/>
          <w:b/>
          <w:bCs/>
        </w:rPr>
      </w:pPr>
    </w:p>
    <w:p w14:paraId="68D5562A" w14:textId="77777777" w:rsidR="00EA6B4F" w:rsidRPr="00857775" w:rsidRDefault="009561AD" w:rsidP="00EA6B4F">
      <w:pPr>
        <w:jc w:val="both"/>
        <w:rPr>
          <w:rFonts w:ascii="Arial" w:hAnsi="Arial" w:cs="Arial"/>
          <w:b/>
          <w:bCs/>
          <w:sz w:val="22"/>
          <w:szCs w:val="22"/>
        </w:rPr>
      </w:pPr>
      <w:r w:rsidRPr="00857775">
        <w:rPr>
          <w:rFonts w:ascii="Arial" w:hAnsi="Arial" w:cs="Arial"/>
          <w:b/>
          <w:bCs/>
          <w:sz w:val="22"/>
          <w:szCs w:val="22"/>
        </w:rPr>
        <w:t>3.1.7 Histological examinations</w:t>
      </w:r>
    </w:p>
    <w:p w14:paraId="5B57894F" w14:textId="72D05C64" w:rsidR="00872F1E" w:rsidRPr="00857775" w:rsidRDefault="00872F1E" w:rsidP="00872F1E">
      <w:pPr>
        <w:jc w:val="both"/>
        <w:rPr>
          <w:rFonts w:ascii="Arial" w:hAnsi="Arial" w:cs="Arial"/>
          <w:sz w:val="22"/>
          <w:szCs w:val="22"/>
        </w:rPr>
      </w:pPr>
      <w:r w:rsidRPr="00857775">
        <w:rPr>
          <w:rFonts w:ascii="Arial" w:hAnsi="Arial" w:cs="Arial"/>
          <w:sz w:val="22"/>
          <w:szCs w:val="22"/>
        </w:rPr>
        <w:t xml:space="preserve">Figures </w:t>
      </w:r>
      <w:r w:rsidR="00453DD3">
        <w:rPr>
          <w:rFonts w:ascii="Arial" w:hAnsi="Arial" w:cs="Arial"/>
          <w:sz w:val="22"/>
          <w:szCs w:val="22"/>
        </w:rPr>
        <w:t>3</w:t>
      </w:r>
      <w:r w:rsidRPr="00857775">
        <w:rPr>
          <w:rFonts w:ascii="Arial" w:hAnsi="Arial" w:cs="Arial"/>
          <w:sz w:val="22"/>
          <w:szCs w:val="22"/>
        </w:rPr>
        <w:t xml:space="preserve"> and </w:t>
      </w:r>
      <w:r w:rsidR="00453DD3">
        <w:rPr>
          <w:rFonts w:ascii="Arial" w:hAnsi="Arial" w:cs="Arial"/>
          <w:sz w:val="22"/>
          <w:szCs w:val="22"/>
        </w:rPr>
        <w:t>4</w:t>
      </w:r>
      <w:r w:rsidRPr="00857775">
        <w:rPr>
          <w:rFonts w:ascii="Arial" w:hAnsi="Arial" w:cs="Arial"/>
          <w:sz w:val="22"/>
          <w:szCs w:val="22"/>
        </w:rPr>
        <w:t xml:space="preserve"> presents the results of the histological tests (acute toxicity test) carried out on the liver and the kidneys of the animals.</w:t>
      </w:r>
    </w:p>
    <w:p w14:paraId="483B85CC" w14:textId="77777777" w:rsidR="00B92396" w:rsidRPr="00B05055" w:rsidRDefault="00B92396" w:rsidP="00872F1E">
      <w:pPr>
        <w:jc w:val="both"/>
        <w:rPr>
          <w:rFonts w:ascii="Arial" w:hAnsi="Arial" w:cs="Arial"/>
          <w:noProof/>
        </w:rPr>
      </w:pPr>
    </w:p>
    <w:p w14:paraId="2E88C4BE" w14:textId="5F25AE93" w:rsidR="00B92396" w:rsidRPr="00B05055" w:rsidRDefault="002A57AE" w:rsidP="00872F1E">
      <w:pPr>
        <w:jc w:val="both"/>
        <w:rPr>
          <w:rFonts w:ascii="Arial" w:hAnsi="Arial" w:cs="Arial"/>
        </w:rPr>
      </w:pPr>
      <w:r>
        <w:rPr>
          <w:noProof/>
        </w:rPr>
        <w:lastRenderedPageBreak/>
        <w:drawing>
          <wp:inline distT="0" distB="0" distL="0" distR="0" wp14:anchorId="43A71BAA" wp14:editId="7CDD0F90">
            <wp:extent cx="5467350" cy="3267075"/>
            <wp:effectExtent l="0" t="0" r="0" b="9525"/>
            <wp:docPr id="222855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55854" name=""/>
                    <pic:cNvPicPr/>
                  </pic:nvPicPr>
                  <pic:blipFill>
                    <a:blip r:embed="rId9"/>
                    <a:stretch>
                      <a:fillRect/>
                    </a:stretch>
                  </pic:blipFill>
                  <pic:spPr>
                    <a:xfrm>
                      <a:off x="0" y="0"/>
                      <a:ext cx="5467350" cy="3267075"/>
                    </a:xfrm>
                    <a:prstGeom prst="rect">
                      <a:avLst/>
                    </a:prstGeom>
                  </pic:spPr>
                </pic:pic>
              </a:graphicData>
            </a:graphic>
          </wp:inline>
        </w:drawing>
      </w:r>
    </w:p>
    <w:p w14:paraId="4FF07A80" w14:textId="77777777" w:rsidR="00872F1E" w:rsidRPr="00B05055" w:rsidRDefault="00872F1E" w:rsidP="00F307AE">
      <w:pPr>
        <w:jc w:val="center"/>
        <w:rPr>
          <w:rFonts w:ascii="Arial" w:hAnsi="Arial" w:cs="Arial"/>
        </w:rPr>
      </w:pPr>
    </w:p>
    <w:p w14:paraId="5798534B" w14:textId="1803487B" w:rsidR="00127547" w:rsidRPr="00857775" w:rsidRDefault="00127547" w:rsidP="00127547">
      <w:pPr>
        <w:spacing w:before="120" w:after="120" w:line="360" w:lineRule="auto"/>
        <w:rPr>
          <w:rFonts w:ascii="Arial" w:hAnsi="Arial" w:cs="Arial"/>
          <w:color w:val="000000"/>
          <w:kern w:val="0"/>
          <w:sz w:val="20"/>
          <w:szCs w:val="20"/>
          <w14:ligatures w14:val="none"/>
        </w:rPr>
      </w:pPr>
      <w:r w:rsidRPr="00857775">
        <w:rPr>
          <w:rFonts w:ascii="Arial" w:hAnsi="Arial" w:cs="Arial"/>
          <w:b/>
          <w:bCs/>
          <w:color w:val="000000"/>
          <w:kern w:val="0"/>
          <w:sz w:val="20"/>
          <w:szCs w:val="20"/>
          <w14:ligatures w14:val="none"/>
        </w:rPr>
        <w:t xml:space="preserve">Figure </w:t>
      </w:r>
      <w:r w:rsidR="00453DD3">
        <w:rPr>
          <w:rFonts w:ascii="Arial" w:hAnsi="Arial" w:cs="Arial"/>
          <w:b/>
          <w:bCs/>
          <w:color w:val="000000"/>
          <w:kern w:val="0"/>
          <w:sz w:val="20"/>
          <w:szCs w:val="20"/>
          <w14:ligatures w14:val="none"/>
        </w:rPr>
        <w:t>3</w:t>
      </w:r>
      <w:r w:rsidRPr="00857775">
        <w:rPr>
          <w:rFonts w:ascii="Arial" w:hAnsi="Arial" w:cs="Arial"/>
          <w:b/>
          <w:bCs/>
          <w:color w:val="000000"/>
          <w:kern w:val="0"/>
          <w:sz w:val="20"/>
          <w:szCs w:val="20"/>
          <w14:ligatures w14:val="none"/>
        </w:rPr>
        <w:t xml:space="preserve"> </w:t>
      </w:r>
      <w:r w:rsidRPr="00857775">
        <w:rPr>
          <w:rFonts w:ascii="Arial" w:hAnsi="Arial" w:cs="Arial"/>
          <w:color w:val="000000"/>
          <w:kern w:val="0"/>
          <w:sz w:val="20"/>
          <w:szCs w:val="20"/>
          <w14:ligatures w14:val="none"/>
        </w:rPr>
        <w:t xml:space="preserve">: Liver section of spleens from the control group (A) and group (B) fed with 5000 mg/kg body weight of hydroethanolic extract of </w:t>
      </w:r>
      <w:r w:rsidR="00B92396" w:rsidRPr="00857775">
        <w:rPr>
          <w:rFonts w:ascii="Arial" w:hAnsi="Arial" w:cs="Arial"/>
          <w:i/>
          <w:iCs/>
          <w:color w:val="000000"/>
          <w:kern w:val="0"/>
          <w:sz w:val="20"/>
          <w:szCs w:val="20"/>
          <w14:ligatures w14:val="none"/>
        </w:rPr>
        <w:t>Jatropha curcas</w:t>
      </w:r>
      <w:r w:rsidRPr="00857775">
        <w:rPr>
          <w:rFonts w:ascii="Arial" w:hAnsi="Arial" w:cs="Arial"/>
          <w:color w:val="000000"/>
          <w:kern w:val="0"/>
          <w:sz w:val="20"/>
          <w:szCs w:val="20"/>
          <w14:ligatures w14:val="none"/>
        </w:rPr>
        <w:t xml:space="preserve"> (Gr = 400X). Hepatocytes (arrows</w:t>
      </w:r>
      <w:proofErr w:type="gramStart"/>
      <w:r w:rsidRPr="00857775">
        <w:rPr>
          <w:rFonts w:ascii="Arial" w:hAnsi="Arial" w:cs="Arial"/>
          <w:color w:val="000000"/>
          <w:kern w:val="0"/>
          <w:sz w:val="20"/>
          <w:szCs w:val="20"/>
          <w14:ligatures w14:val="none"/>
        </w:rPr>
        <w:t>);</w:t>
      </w:r>
      <w:proofErr w:type="gramEnd"/>
      <w:r w:rsidRPr="00857775">
        <w:rPr>
          <w:rFonts w:ascii="Arial" w:hAnsi="Arial" w:cs="Arial"/>
          <w:color w:val="000000"/>
          <w:kern w:val="0"/>
          <w:sz w:val="20"/>
          <w:szCs w:val="20"/>
          <w14:ligatures w14:val="none"/>
        </w:rPr>
        <w:t xml:space="preserve"> Centrilobular vein (V) ; Venous sinusoids (S)</w:t>
      </w:r>
    </w:p>
    <w:p w14:paraId="09C05970" w14:textId="3111BD75" w:rsidR="00E56DF6" w:rsidRPr="00857775" w:rsidRDefault="00E56DF6" w:rsidP="00E56DF6">
      <w:pPr>
        <w:spacing w:before="120" w:after="120" w:line="360" w:lineRule="auto"/>
        <w:rPr>
          <w:rFonts w:ascii="Arial" w:eastAsia="Times New Roman" w:hAnsi="Arial" w:cs="Arial"/>
          <w:kern w:val="0"/>
          <w:sz w:val="20"/>
          <w:szCs w:val="20"/>
          <w:lang w:eastAsia="fr-FR"/>
          <w14:ligatures w14:val="none"/>
        </w:rPr>
      </w:pPr>
      <w:r w:rsidRPr="00857775">
        <w:rPr>
          <w:rFonts w:ascii="Arial" w:eastAsia="Times New Roman" w:hAnsi="Arial" w:cs="Arial"/>
          <w:kern w:val="0"/>
          <w:sz w:val="20"/>
          <w:szCs w:val="20"/>
          <w:lang w:eastAsia="fr-FR"/>
          <w14:ligatures w14:val="none"/>
        </w:rPr>
        <w:t xml:space="preserve">The livers of the rats fed the hydroethanolic extract at 5000 mg/kg body weight (Figure </w:t>
      </w:r>
      <w:r w:rsidR="00453DD3">
        <w:rPr>
          <w:rFonts w:ascii="Arial" w:eastAsia="Times New Roman" w:hAnsi="Arial" w:cs="Arial"/>
          <w:kern w:val="0"/>
          <w:sz w:val="20"/>
          <w:szCs w:val="20"/>
          <w:lang w:eastAsia="fr-FR"/>
          <w14:ligatures w14:val="none"/>
        </w:rPr>
        <w:t>3</w:t>
      </w:r>
      <w:r w:rsidRPr="00857775">
        <w:rPr>
          <w:rFonts w:ascii="Arial" w:eastAsia="Times New Roman" w:hAnsi="Arial" w:cs="Arial"/>
          <w:kern w:val="0"/>
          <w:sz w:val="20"/>
          <w:szCs w:val="20"/>
          <w:lang w:eastAsia="fr-FR"/>
          <w14:ligatures w14:val="none"/>
        </w:rPr>
        <w:t xml:space="preserve">B) showed no visible abnormalities compared to the control group (Figure </w:t>
      </w:r>
      <w:r w:rsidR="00453DD3">
        <w:rPr>
          <w:rFonts w:ascii="Arial" w:eastAsia="Times New Roman" w:hAnsi="Arial" w:cs="Arial"/>
          <w:kern w:val="0"/>
          <w:sz w:val="20"/>
          <w:szCs w:val="20"/>
          <w:lang w:eastAsia="fr-FR"/>
          <w14:ligatures w14:val="none"/>
        </w:rPr>
        <w:t>3</w:t>
      </w:r>
      <w:r w:rsidRPr="00857775">
        <w:rPr>
          <w:rFonts w:ascii="Arial" w:eastAsia="Times New Roman" w:hAnsi="Arial" w:cs="Arial"/>
          <w:kern w:val="0"/>
          <w:sz w:val="20"/>
          <w:szCs w:val="20"/>
          <w:lang w:eastAsia="fr-FR"/>
          <w14:ligatures w14:val="none"/>
        </w:rPr>
        <w:t>A).</w:t>
      </w:r>
    </w:p>
    <w:p w14:paraId="3333D476" w14:textId="60355C3E" w:rsidR="00B92396" w:rsidRPr="00B05055" w:rsidRDefault="002A57AE" w:rsidP="00E56DF6">
      <w:pPr>
        <w:spacing w:before="120" w:after="120" w:line="360" w:lineRule="auto"/>
        <w:rPr>
          <w:rFonts w:ascii="Arial" w:eastAsia="Times New Roman" w:hAnsi="Arial" w:cs="Arial"/>
          <w:kern w:val="0"/>
          <w:lang w:eastAsia="fr-FR"/>
          <w14:ligatures w14:val="none"/>
        </w:rPr>
      </w:pPr>
      <w:r>
        <w:rPr>
          <w:noProof/>
        </w:rPr>
        <w:drawing>
          <wp:inline distT="0" distB="0" distL="0" distR="0" wp14:anchorId="7A20A677" wp14:editId="519F0B4E">
            <wp:extent cx="4114800" cy="1914525"/>
            <wp:effectExtent l="0" t="0" r="0" b="9525"/>
            <wp:docPr id="1086946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946698" name=""/>
                    <pic:cNvPicPr/>
                  </pic:nvPicPr>
                  <pic:blipFill>
                    <a:blip r:embed="rId10"/>
                    <a:stretch>
                      <a:fillRect/>
                    </a:stretch>
                  </pic:blipFill>
                  <pic:spPr>
                    <a:xfrm>
                      <a:off x="0" y="0"/>
                      <a:ext cx="4114800" cy="1914525"/>
                    </a:xfrm>
                    <a:prstGeom prst="rect">
                      <a:avLst/>
                    </a:prstGeom>
                  </pic:spPr>
                </pic:pic>
              </a:graphicData>
            </a:graphic>
          </wp:inline>
        </w:drawing>
      </w:r>
    </w:p>
    <w:p w14:paraId="666A843D" w14:textId="63B1DD0E" w:rsidR="00CB7751" w:rsidRPr="00857775" w:rsidRDefault="00CB7751" w:rsidP="00B92396">
      <w:pPr>
        <w:spacing w:before="120" w:after="120" w:line="360" w:lineRule="auto"/>
        <w:jc w:val="both"/>
        <w:rPr>
          <w:rFonts w:ascii="Arial" w:eastAsia="Times New Roman" w:hAnsi="Arial" w:cs="Arial"/>
          <w:kern w:val="0"/>
          <w:sz w:val="20"/>
          <w:szCs w:val="20"/>
          <w:lang w:eastAsia="fr-FR"/>
          <w14:ligatures w14:val="none"/>
        </w:rPr>
      </w:pPr>
      <w:r w:rsidRPr="00857775">
        <w:rPr>
          <w:rFonts w:ascii="Arial" w:eastAsia="Times New Roman" w:hAnsi="Arial" w:cs="Arial"/>
          <w:b/>
          <w:bCs/>
          <w:color w:val="212121"/>
          <w:kern w:val="0"/>
          <w:sz w:val="20"/>
          <w:szCs w:val="20"/>
          <w:lang w:eastAsia="fr-FR"/>
          <w14:ligatures w14:val="none"/>
        </w:rPr>
        <w:t xml:space="preserve">Figure </w:t>
      </w:r>
      <w:r w:rsidR="00453DD3">
        <w:rPr>
          <w:rFonts w:ascii="Arial" w:eastAsia="Times New Roman" w:hAnsi="Arial" w:cs="Arial"/>
          <w:b/>
          <w:bCs/>
          <w:color w:val="212121"/>
          <w:kern w:val="0"/>
          <w:sz w:val="20"/>
          <w:szCs w:val="20"/>
          <w:lang w:eastAsia="fr-FR"/>
          <w14:ligatures w14:val="none"/>
        </w:rPr>
        <w:t>4</w:t>
      </w:r>
      <w:r w:rsidRPr="00857775">
        <w:rPr>
          <w:rFonts w:ascii="Arial" w:eastAsia="Times New Roman" w:hAnsi="Arial" w:cs="Arial"/>
          <w:b/>
          <w:bCs/>
          <w:color w:val="212121"/>
          <w:kern w:val="0"/>
          <w:sz w:val="20"/>
          <w:szCs w:val="20"/>
          <w:lang w:eastAsia="fr-FR"/>
          <w14:ligatures w14:val="none"/>
        </w:rPr>
        <w:t xml:space="preserve"> : </w:t>
      </w:r>
      <w:r w:rsidRPr="00857775">
        <w:rPr>
          <w:rFonts w:ascii="Arial" w:eastAsia="Times New Roman" w:hAnsi="Arial" w:cs="Arial"/>
          <w:color w:val="212121"/>
          <w:kern w:val="0"/>
          <w:sz w:val="20"/>
          <w:szCs w:val="20"/>
          <w:lang w:eastAsia="fr-FR"/>
          <w14:ligatures w14:val="none"/>
        </w:rPr>
        <w:t xml:space="preserve">Renal section of spleens from the control group (A) and group (B) treated with hydroethanolic extract of </w:t>
      </w:r>
      <w:r w:rsidR="00B92396" w:rsidRPr="00857775">
        <w:rPr>
          <w:rFonts w:ascii="Arial" w:eastAsia="Times New Roman" w:hAnsi="Arial" w:cs="Arial"/>
          <w:i/>
          <w:iCs/>
          <w:color w:val="212121"/>
          <w:kern w:val="0"/>
          <w:sz w:val="20"/>
          <w:szCs w:val="20"/>
          <w:lang w:eastAsia="fr-FR"/>
          <w14:ligatures w14:val="none"/>
        </w:rPr>
        <w:t>Jatropha curcas</w:t>
      </w:r>
      <w:r w:rsidRPr="00857775">
        <w:rPr>
          <w:rFonts w:ascii="Arial" w:eastAsia="Times New Roman" w:hAnsi="Arial" w:cs="Arial"/>
          <w:color w:val="212121"/>
          <w:kern w:val="0"/>
          <w:sz w:val="20"/>
          <w:szCs w:val="20"/>
          <w:lang w:eastAsia="fr-FR"/>
          <w14:ligatures w14:val="none"/>
        </w:rPr>
        <w:t xml:space="preserve"> 5000 mg/kg body weight (Gr = 400X). Glomeruli (G</w:t>
      </w:r>
      <w:r w:rsidR="00E56DF6" w:rsidRPr="00857775">
        <w:rPr>
          <w:rFonts w:ascii="Arial" w:eastAsia="Times New Roman" w:hAnsi="Arial" w:cs="Arial"/>
          <w:color w:val="212121"/>
          <w:kern w:val="0"/>
          <w:sz w:val="20"/>
          <w:szCs w:val="20"/>
          <w:lang w:eastAsia="fr-FR"/>
          <w14:ligatures w14:val="none"/>
        </w:rPr>
        <w:t>) ;</w:t>
      </w:r>
      <w:r w:rsidRPr="00857775">
        <w:rPr>
          <w:rFonts w:ascii="Arial" w:eastAsia="Times New Roman" w:hAnsi="Arial" w:cs="Arial"/>
          <w:color w:val="212121"/>
          <w:kern w:val="0"/>
          <w:sz w:val="20"/>
          <w:szCs w:val="20"/>
          <w:lang w:eastAsia="fr-FR"/>
          <w14:ligatures w14:val="none"/>
        </w:rPr>
        <w:t xml:space="preserve"> Proximal Tubules (PT</w:t>
      </w:r>
      <w:r w:rsidR="00E56DF6" w:rsidRPr="00857775">
        <w:rPr>
          <w:rFonts w:ascii="Arial" w:eastAsia="Times New Roman" w:hAnsi="Arial" w:cs="Arial"/>
          <w:color w:val="212121"/>
          <w:kern w:val="0"/>
          <w:sz w:val="20"/>
          <w:szCs w:val="20"/>
          <w:lang w:eastAsia="fr-FR"/>
          <w14:ligatures w14:val="none"/>
        </w:rPr>
        <w:t>) ;</w:t>
      </w:r>
      <w:r w:rsidRPr="00857775">
        <w:rPr>
          <w:rFonts w:ascii="Arial" w:eastAsia="Times New Roman" w:hAnsi="Arial" w:cs="Arial"/>
          <w:color w:val="212121"/>
          <w:kern w:val="0"/>
          <w:sz w:val="20"/>
          <w:szCs w:val="20"/>
          <w:lang w:eastAsia="fr-FR"/>
          <w14:ligatures w14:val="none"/>
        </w:rPr>
        <w:t xml:space="preserve"> Distal Tubules (DT</w:t>
      </w:r>
      <w:r w:rsidR="00E56DF6" w:rsidRPr="00857775">
        <w:rPr>
          <w:rFonts w:ascii="Arial" w:eastAsia="Times New Roman" w:hAnsi="Arial" w:cs="Arial"/>
          <w:color w:val="212121"/>
          <w:kern w:val="0"/>
          <w:sz w:val="20"/>
          <w:szCs w:val="20"/>
          <w:lang w:eastAsia="fr-FR"/>
          <w14:ligatures w14:val="none"/>
        </w:rPr>
        <w:t>) ;</w:t>
      </w:r>
      <w:r w:rsidRPr="00857775">
        <w:rPr>
          <w:rFonts w:ascii="Arial" w:eastAsia="Times New Roman" w:hAnsi="Arial" w:cs="Arial"/>
          <w:color w:val="212121"/>
          <w:kern w:val="0"/>
          <w:sz w:val="20"/>
          <w:szCs w:val="20"/>
          <w:lang w:eastAsia="fr-FR"/>
          <w14:ligatures w14:val="none"/>
        </w:rPr>
        <w:t xml:space="preserve"> Collecting Ducts (CD)</w:t>
      </w:r>
    </w:p>
    <w:p w14:paraId="1F5FFC0B" w14:textId="77777777" w:rsidR="000B72F4" w:rsidRPr="00B05055" w:rsidRDefault="000B72F4" w:rsidP="007F111C">
      <w:pPr>
        <w:jc w:val="both"/>
        <w:rPr>
          <w:rFonts w:ascii="Arial" w:hAnsi="Arial" w:cs="Arial"/>
          <w:b/>
          <w:bCs/>
        </w:rPr>
      </w:pPr>
    </w:p>
    <w:p w14:paraId="4054EA58" w14:textId="77777777" w:rsidR="007F111C" w:rsidRPr="00857775" w:rsidRDefault="007F111C" w:rsidP="007F111C">
      <w:pPr>
        <w:jc w:val="both"/>
        <w:rPr>
          <w:rFonts w:ascii="Arial" w:hAnsi="Arial" w:cs="Arial"/>
          <w:b/>
          <w:bCs/>
          <w:sz w:val="22"/>
          <w:szCs w:val="22"/>
        </w:rPr>
      </w:pPr>
      <w:r w:rsidRPr="00857775">
        <w:rPr>
          <w:rFonts w:ascii="Arial" w:hAnsi="Arial" w:cs="Arial"/>
          <w:b/>
          <w:bCs/>
          <w:sz w:val="22"/>
          <w:szCs w:val="22"/>
        </w:rPr>
        <w:t>3.2 Results of the oral subchronic safety test</w:t>
      </w:r>
    </w:p>
    <w:p w14:paraId="14AEFC3A" w14:textId="77777777" w:rsidR="00872F1E" w:rsidRPr="00857775" w:rsidRDefault="007F111C" w:rsidP="007F111C">
      <w:pPr>
        <w:jc w:val="both"/>
        <w:rPr>
          <w:rFonts w:ascii="Arial" w:hAnsi="Arial" w:cs="Arial"/>
          <w:sz w:val="22"/>
          <w:szCs w:val="22"/>
        </w:rPr>
      </w:pPr>
      <w:r w:rsidRPr="00857775">
        <w:rPr>
          <w:rFonts w:ascii="Arial" w:hAnsi="Arial" w:cs="Arial"/>
          <w:b/>
          <w:bCs/>
          <w:sz w:val="22"/>
          <w:szCs w:val="22"/>
        </w:rPr>
        <w:t>3.2.1 Clinical signs of intoxication</w:t>
      </w:r>
    </w:p>
    <w:p w14:paraId="180EF0C6" w14:textId="77777777" w:rsidR="007F111C" w:rsidRPr="00857775" w:rsidRDefault="007F111C" w:rsidP="007F111C">
      <w:pPr>
        <w:jc w:val="both"/>
        <w:rPr>
          <w:rFonts w:ascii="Arial" w:hAnsi="Arial" w:cs="Arial"/>
          <w:sz w:val="20"/>
          <w:szCs w:val="20"/>
        </w:rPr>
      </w:pPr>
      <w:r w:rsidRPr="00857775">
        <w:rPr>
          <w:rFonts w:ascii="Arial" w:hAnsi="Arial" w:cs="Arial"/>
          <w:sz w:val="20"/>
          <w:szCs w:val="20"/>
        </w:rPr>
        <w:lastRenderedPageBreak/>
        <w:t>During treatment, no changes in behaviour were observed in the treated rats compared to the controls. No mortality was recorded in either the control group or in the groups of rats treated with doses of 500, 750 and 1000 mg/kg.</w:t>
      </w:r>
    </w:p>
    <w:p w14:paraId="10379C25" w14:textId="77777777" w:rsidR="000B72F4" w:rsidRPr="00B05055" w:rsidRDefault="000B72F4" w:rsidP="007F111C">
      <w:pPr>
        <w:jc w:val="both"/>
        <w:rPr>
          <w:rFonts w:ascii="Arial" w:hAnsi="Arial" w:cs="Arial"/>
          <w:b/>
          <w:bCs/>
        </w:rPr>
      </w:pPr>
    </w:p>
    <w:p w14:paraId="406E0478" w14:textId="77777777" w:rsidR="007F111C" w:rsidRPr="00857775" w:rsidRDefault="007F111C" w:rsidP="007F111C">
      <w:pPr>
        <w:jc w:val="both"/>
        <w:rPr>
          <w:rFonts w:ascii="Arial" w:hAnsi="Arial" w:cs="Arial"/>
          <w:b/>
          <w:bCs/>
          <w:sz w:val="22"/>
          <w:szCs w:val="22"/>
        </w:rPr>
      </w:pPr>
      <w:r w:rsidRPr="00857775">
        <w:rPr>
          <w:rFonts w:ascii="Arial" w:hAnsi="Arial" w:cs="Arial"/>
          <w:b/>
          <w:bCs/>
          <w:sz w:val="22"/>
          <w:szCs w:val="22"/>
        </w:rPr>
        <w:t>3.2.2 Changes in the body mass of animals</w:t>
      </w:r>
    </w:p>
    <w:p w14:paraId="57AE3EF1" w14:textId="4242E655" w:rsidR="007F111C" w:rsidRPr="00857775" w:rsidRDefault="007F111C" w:rsidP="007F111C">
      <w:pPr>
        <w:jc w:val="both"/>
        <w:rPr>
          <w:rFonts w:ascii="Arial" w:hAnsi="Arial" w:cs="Arial"/>
          <w:sz w:val="20"/>
          <w:szCs w:val="20"/>
        </w:rPr>
      </w:pPr>
      <w:r w:rsidRPr="00857775">
        <w:rPr>
          <w:rFonts w:ascii="Arial" w:hAnsi="Arial" w:cs="Arial"/>
          <w:sz w:val="20"/>
          <w:szCs w:val="20"/>
        </w:rPr>
        <w:t xml:space="preserve">Figure </w:t>
      </w:r>
      <w:r w:rsidR="00453DD3">
        <w:rPr>
          <w:rFonts w:ascii="Arial" w:hAnsi="Arial" w:cs="Arial"/>
          <w:sz w:val="20"/>
          <w:szCs w:val="20"/>
        </w:rPr>
        <w:t>5</w:t>
      </w:r>
      <w:r w:rsidRPr="00857775">
        <w:rPr>
          <w:rFonts w:ascii="Arial" w:hAnsi="Arial" w:cs="Arial"/>
          <w:sz w:val="20"/>
          <w:szCs w:val="20"/>
        </w:rPr>
        <w:t xml:space="preserve"> below shows the evolution of the body mass of the different batches treated in comparison to the control batch.</w:t>
      </w:r>
    </w:p>
    <w:p w14:paraId="52B18B1A" w14:textId="7560C7BD" w:rsidR="007F111C" w:rsidRPr="00B05055" w:rsidRDefault="002A57AE" w:rsidP="007F111C">
      <w:pPr>
        <w:jc w:val="both"/>
        <w:rPr>
          <w:rFonts w:ascii="Arial" w:hAnsi="Arial" w:cs="Arial"/>
        </w:rPr>
      </w:pPr>
      <w:r>
        <w:rPr>
          <w:noProof/>
        </w:rPr>
        <w:drawing>
          <wp:inline distT="0" distB="0" distL="0" distR="0" wp14:anchorId="1CDB879C" wp14:editId="2CEE3F85">
            <wp:extent cx="5438775" cy="3038475"/>
            <wp:effectExtent l="0" t="0" r="9525" b="9525"/>
            <wp:docPr id="970838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838443" name=""/>
                    <pic:cNvPicPr/>
                  </pic:nvPicPr>
                  <pic:blipFill>
                    <a:blip r:embed="rId11"/>
                    <a:stretch>
                      <a:fillRect/>
                    </a:stretch>
                  </pic:blipFill>
                  <pic:spPr>
                    <a:xfrm>
                      <a:off x="0" y="0"/>
                      <a:ext cx="5438775" cy="3038475"/>
                    </a:xfrm>
                    <a:prstGeom prst="rect">
                      <a:avLst/>
                    </a:prstGeom>
                  </pic:spPr>
                </pic:pic>
              </a:graphicData>
            </a:graphic>
          </wp:inline>
        </w:drawing>
      </w:r>
    </w:p>
    <w:p w14:paraId="00323F56" w14:textId="6E6A1EEC" w:rsidR="007F111C" w:rsidRPr="00857775" w:rsidRDefault="007F111C" w:rsidP="007F111C">
      <w:pPr>
        <w:jc w:val="both"/>
        <w:rPr>
          <w:rFonts w:ascii="Arial" w:hAnsi="Arial" w:cs="Arial"/>
          <w:sz w:val="22"/>
          <w:szCs w:val="22"/>
        </w:rPr>
      </w:pPr>
      <w:r w:rsidRPr="00857775">
        <w:rPr>
          <w:rFonts w:ascii="Arial" w:hAnsi="Arial" w:cs="Arial"/>
          <w:b/>
          <w:bCs/>
          <w:sz w:val="22"/>
          <w:szCs w:val="22"/>
        </w:rPr>
        <w:t xml:space="preserve">Figure </w:t>
      </w:r>
      <w:proofErr w:type="gramStart"/>
      <w:r w:rsidR="00453DD3">
        <w:rPr>
          <w:rFonts w:ascii="Arial" w:hAnsi="Arial" w:cs="Arial"/>
          <w:b/>
          <w:bCs/>
          <w:sz w:val="22"/>
          <w:szCs w:val="22"/>
        </w:rPr>
        <w:t>5</w:t>
      </w:r>
      <w:r w:rsidRPr="00857775">
        <w:rPr>
          <w:rFonts w:ascii="Arial" w:hAnsi="Arial" w:cs="Arial"/>
          <w:b/>
          <w:bCs/>
          <w:sz w:val="22"/>
          <w:szCs w:val="22"/>
        </w:rPr>
        <w:t>:</w:t>
      </w:r>
      <w:proofErr w:type="gramEnd"/>
      <w:r w:rsidRPr="00857775">
        <w:rPr>
          <w:rFonts w:ascii="Arial" w:hAnsi="Arial" w:cs="Arial"/>
          <w:b/>
          <w:bCs/>
          <w:sz w:val="22"/>
          <w:szCs w:val="22"/>
        </w:rPr>
        <w:t xml:space="preserve"> </w:t>
      </w:r>
      <w:r w:rsidRPr="00857775">
        <w:rPr>
          <w:rFonts w:ascii="Arial" w:hAnsi="Arial" w:cs="Arial"/>
          <w:sz w:val="22"/>
          <w:szCs w:val="22"/>
        </w:rPr>
        <w:t>Evolution of body mass subchronic toxicity</w:t>
      </w:r>
    </w:p>
    <w:p w14:paraId="22B48662" w14:textId="77777777" w:rsidR="005F1950" w:rsidRPr="00857775" w:rsidRDefault="005F1950" w:rsidP="005F1950">
      <w:pPr>
        <w:jc w:val="both"/>
        <w:rPr>
          <w:rFonts w:ascii="Arial" w:hAnsi="Arial" w:cs="Arial"/>
          <w:sz w:val="20"/>
          <w:szCs w:val="20"/>
        </w:rPr>
      </w:pPr>
      <w:r w:rsidRPr="00857775">
        <w:rPr>
          <w:rFonts w:ascii="Arial" w:hAnsi="Arial" w:cs="Arial"/>
          <w:sz w:val="20"/>
          <w:szCs w:val="20"/>
        </w:rPr>
        <w:t xml:space="preserve">During the 28 days of treatment, the body weight of all rats was monitored weekly. The body weight of the rats increased gradually over time. The body mass gain in rats treated with different doses of 500, 750, and 1000 mg/kg PC with hydroethanolic extract of </w:t>
      </w:r>
      <w:r w:rsidR="00B92396" w:rsidRPr="00857775">
        <w:rPr>
          <w:rFonts w:ascii="Arial" w:hAnsi="Arial" w:cs="Arial"/>
          <w:sz w:val="20"/>
          <w:szCs w:val="20"/>
        </w:rPr>
        <w:t>leaves of</w:t>
      </w:r>
      <w:r w:rsidR="00B92396" w:rsidRPr="00857775">
        <w:rPr>
          <w:rFonts w:ascii="Arial" w:hAnsi="Arial" w:cs="Arial"/>
          <w:i/>
          <w:iCs/>
          <w:sz w:val="20"/>
          <w:szCs w:val="20"/>
        </w:rPr>
        <w:t xml:space="preserve"> Jatropha curcas</w:t>
      </w:r>
      <w:r w:rsidRPr="00857775">
        <w:rPr>
          <w:rFonts w:ascii="Arial" w:hAnsi="Arial" w:cs="Arial"/>
          <w:sz w:val="20"/>
          <w:szCs w:val="20"/>
        </w:rPr>
        <w:t xml:space="preserve"> was roughly the same, and there was no significant difference (p&gt; 0.05) between the treated rats and the control rats.</w:t>
      </w:r>
    </w:p>
    <w:p w14:paraId="029423AA" w14:textId="77777777" w:rsidR="00885935" w:rsidRPr="00857775" w:rsidRDefault="00885935" w:rsidP="005F1950">
      <w:pPr>
        <w:jc w:val="both"/>
        <w:rPr>
          <w:rFonts w:ascii="Arial" w:hAnsi="Arial" w:cs="Arial"/>
          <w:b/>
          <w:bCs/>
          <w:sz w:val="20"/>
          <w:szCs w:val="20"/>
        </w:rPr>
      </w:pPr>
    </w:p>
    <w:p w14:paraId="0828EC41" w14:textId="77777777" w:rsidR="005F1950" w:rsidRPr="00857775" w:rsidRDefault="005F1950" w:rsidP="005F1950">
      <w:pPr>
        <w:jc w:val="both"/>
        <w:rPr>
          <w:rFonts w:ascii="Arial" w:hAnsi="Arial" w:cs="Arial"/>
          <w:b/>
          <w:bCs/>
          <w:sz w:val="22"/>
          <w:szCs w:val="22"/>
        </w:rPr>
      </w:pPr>
      <w:r w:rsidRPr="00857775">
        <w:rPr>
          <w:rFonts w:ascii="Arial" w:hAnsi="Arial" w:cs="Arial"/>
          <w:b/>
          <w:bCs/>
          <w:sz w:val="22"/>
          <w:szCs w:val="22"/>
        </w:rPr>
        <w:t>3.2.3 Evolution of water consumption</w:t>
      </w:r>
    </w:p>
    <w:p w14:paraId="24FC35A3" w14:textId="77777777" w:rsidR="005F1950" w:rsidRPr="00857775" w:rsidRDefault="005F1950" w:rsidP="005F1950">
      <w:pPr>
        <w:jc w:val="both"/>
        <w:rPr>
          <w:rFonts w:ascii="Arial" w:hAnsi="Arial" w:cs="Arial"/>
          <w:sz w:val="20"/>
          <w:szCs w:val="20"/>
        </w:rPr>
      </w:pPr>
      <w:r w:rsidRPr="00857775">
        <w:rPr>
          <w:rFonts w:ascii="Arial" w:hAnsi="Arial" w:cs="Arial"/>
          <w:sz w:val="20"/>
          <w:szCs w:val="20"/>
        </w:rPr>
        <w:t>Table 6 below shows the evolution of the water consumption of the animals during the 28 days of the experiment</w:t>
      </w:r>
    </w:p>
    <w:p w14:paraId="7AA26546" w14:textId="77777777" w:rsidR="00CE257D" w:rsidRPr="00857775" w:rsidRDefault="005F1950" w:rsidP="005F1950">
      <w:pPr>
        <w:jc w:val="both"/>
        <w:rPr>
          <w:rFonts w:ascii="Arial" w:hAnsi="Arial" w:cs="Arial"/>
          <w:sz w:val="22"/>
          <w:szCs w:val="22"/>
        </w:rPr>
      </w:pPr>
      <w:r w:rsidRPr="00857775">
        <w:rPr>
          <w:rFonts w:ascii="Arial" w:hAnsi="Arial" w:cs="Arial"/>
          <w:b/>
          <w:bCs/>
          <w:sz w:val="22"/>
          <w:szCs w:val="22"/>
        </w:rPr>
        <w:t xml:space="preserve">Table </w:t>
      </w:r>
      <w:r w:rsidR="00885935" w:rsidRPr="00857775">
        <w:rPr>
          <w:rFonts w:ascii="Arial" w:hAnsi="Arial" w:cs="Arial"/>
          <w:b/>
          <w:bCs/>
          <w:sz w:val="22"/>
          <w:szCs w:val="22"/>
        </w:rPr>
        <w:t>5 :</w:t>
      </w:r>
      <w:r w:rsidRPr="00857775">
        <w:rPr>
          <w:rFonts w:ascii="Arial" w:hAnsi="Arial" w:cs="Arial"/>
          <w:b/>
          <w:bCs/>
          <w:sz w:val="22"/>
          <w:szCs w:val="22"/>
        </w:rPr>
        <w:t xml:space="preserve"> </w:t>
      </w:r>
      <w:r w:rsidR="00885935" w:rsidRPr="00857775">
        <w:rPr>
          <w:rFonts w:ascii="Arial" w:hAnsi="Arial" w:cs="Arial"/>
          <w:b/>
          <w:bCs/>
          <w:sz w:val="22"/>
          <w:szCs w:val="22"/>
        </w:rPr>
        <w:t xml:space="preserve"> </w:t>
      </w:r>
      <w:r w:rsidR="00885935" w:rsidRPr="00857775">
        <w:rPr>
          <w:rFonts w:ascii="Arial" w:hAnsi="Arial" w:cs="Arial"/>
          <w:sz w:val="22"/>
          <w:szCs w:val="22"/>
        </w:rPr>
        <w:t>Granules and</w:t>
      </w:r>
      <w:r w:rsidR="00885935" w:rsidRPr="00857775">
        <w:rPr>
          <w:rFonts w:ascii="Arial" w:hAnsi="Arial" w:cs="Arial"/>
          <w:b/>
          <w:bCs/>
          <w:sz w:val="22"/>
          <w:szCs w:val="22"/>
        </w:rPr>
        <w:t xml:space="preserve"> </w:t>
      </w:r>
      <w:r w:rsidR="00885935" w:rsidRPr="00857775">
        <w:rPr>
          <w:rFonts w:ascii="Arial" w:hAnsi="Arial" w:cs="Arial"/>
          <w:sz w:val="22"/>
          <w:szCs w:val="22"/>
        </w:rPr>
        <w:t>w</w:t>
      </w:r>
      <w:r w:rsidRPr="00857775">
        <w:rPr>
          <w:rFonts w:ascii="Arial" w:hAnsi="Arial" w:cs="Arial"/>
          <w:sz w:val="22"/>
          <w:szCs w:val="22"/>
        </w:rPr>
        <w:t>ater consumption</w:t>
      </w:r>
    </w:p>
    <w:tbl>
      <w:tblPr>
        <w:tblStyle w:val="Style1112"/>
        <w:tblW w:w="0" w:type="auto"/>
        <w:tblLook w:val="04A0" w:firstRow="1" w:lastRow="0" w:firstColumn="1" w:lastColumn="0" w:noHBand="0" w:noVBand="1"/>
      </w:tblPr>
      <w:tblGrid>
        <w:gridCol w:w="1778"/>
        <w:gridCol w:w="1370"/>
        <w:gridCol w:w="1468"/>
        <w:gridCol w:w="1468"/>
        <w:gridCol w:w="1468"/>
        <w:gridCol w:w="1520"/>
      </w:tblGrid>
      <w:tr w:rsidR="00885935" w:rsidRPr="00857775" w14:paraId="0C724300" w14:textId="77777777" w:rsidTr="00BE56F0">
        <w:trPr>
          <w:cnfStyle w:val="100000000000" w:firstRow="1" w:lastRow="0" w:firstColumn="0" w:lastColumn="0" w:oddVBand="0" w:evenVBand="0" w:oddHBand="0" w:evenHBand="0" w:firstRowFirstColumn="0" w:firstRowLastColumn="0" w:lastRowFirstColumn="0" w:lastRowLastColumn="0"/>
        </w:trPr>
        <w:tc>
          <w:tcPr>
            <w:tcW w:w="1778" w:type="dxa"/>
          </w:tcPr>
          <w:p w14:paraId="431432CA" w14:textId="77777777" w:rsidR="00885935" w:rsidRPr="00857775" w:rsidRDefault="00885935" w:rsidP="0070524F">
            <w:pPr>
              <w:spacing w:before="120"/>
              <w:jc w:val="center"/>
              <w:rPr>
                <w:rFonts w:ascii="Arial" w:eastAsia="Times New Roman" w:hAnsi="Arial" w:cs="Arial"/>
                <w:b/>
                <w:bCs/>
                <w:sz w:val="20"/>
                <w:szCs w:val="20"/>
              </w:rPr>
            </w:pPr>
            <w:r w:rsidRPr="00857775">
              <w:rPr>
                <w:rFonts w:ascii="Arial" w:eastAsia="Times New Roman" w:hAnsi="Arial" w:cs="Arial"/>
                <w:b/>
                <w:bCs/>
                <w:sz w:val="20"/>
                <w:szCs w:val="20"/>
              </w:rPr>
              <w:t>Consumption</w:t>
            </w:r>
          </w:p>
        </w:tc>
        <w:tc>
          <w:tcPr>
            <w:tcW w:w="1370" w:type="dxa"/>
          </w:tcPr>
          <w:p w14:paraId="78ED5774" w14:textId="77777777" w:rsidR="00885935" w:rsidRPr="00857775" w:rsidRDefault="00885935" w:rsidP="0070524F">
            <w:pPr>
              <w:spacing w:before="120"/>
              <w:jc w:val="center"/>
              <w:rPr>
                <w:rFonts w:ascii="Arial" w:eastAsia="Times New Roman" w:hAnsi="Arial" w:cs="Arial"/>
                <w:b/>
                <w:bCs/>
                <w:sz w:val="20"/>
                <w:szCs w:val="20"/>
              </w:rPr>
            </w:pPr>
            <w:r w:rsidRPr="00857775">
              <w:rPr>
                <w:rFonts w:ascii="Arial" w:eastAsia="Times New Roman" w:hAnsi="Arial" w:cs="Arial"/>
                <w:b/>
                <w:bCs/>
                <w:sz w:val="20"/>
                <w:szCs w:val="20"/>
              </w:rPr>
              <w:t>Week</w:t>
            </w:r>
          </w:p>
        </w:tc>
        <w:tc>
          <w:tcPr>
            <w:tcW w:w="1468" w:type="dxa"/>
          </w:tcPr>
          <w:p w14:paraId="444108CF" w14:textId="77777777" w:rsidR="00885935" w:rsidRPr="00857775" w:rsidRDefault="00885935" w:rsidP="0070524F">
            <w:pPr>
              <w:spacing w:before="120"/>
              <w:jc w:val="center"/>
              <w:rPr>
                <w:rFonts w:ascii="Arial" w:eastAsia="Times New Roman" w:hAnsi="Arial" w:cs="Arial"/>
                <w:b/>
                <w:bCs/>
                <w:sz w:val="20"/>
                <w:szCs w:val="20"/>
              </w:rPr>
            </w:pPr>
          </w:p>
        </w:tc>
        <w:tc>
          <w:tcPr>
            <w:tcW w:w="1468" w:type="dxa"/>
          </w:tcPr>
          <w:p w14:paraId="0DFBB6DB" w14:textId="77777777" w:rsidR="00885935" w:rsidRPr="00857775" w:rsidRDefault="00885935" w:rsidP="0070524F">
            <w:pPr>
              <w:spacing w:before="120"/>
              <w:jc w:val="center"/>
              <w:rPr>
                <w:rFonts w:ascii="Arial" w:eastAsia="Times New Roman" w:hAnsi="Arial" w:cs="Arial"/>
                <w:b/>
                <w:bCs/>
                <w:sz w:val="20"/>
                <w:szCs w:val="20"/>
              </w:rPr>
            </w:pPr>
            <w:r w:rsidRPr="00857775">
              <w:rPr>
                <w:rFonts w:ascii="Arial" w:eastAsia="Times New Roman" w:hAnsi="Arial" w:cs="Arial"/>
                <w:b/>
                <w:bCs/>
                <w:sz w:val="20"/>
                <w:szCs w:val="20"/>
              </w:rPr>
              <w:t>Quantity</w:t>
            </w:r>
          </w:p>
        </w:tc>
        <w:tc>
          <w:tcPr>
            <w:tcW w:w="1468" w:type="dxa"/>
          </w:tcPr>
          <w:p w14:paraId="0CA2B83E" w14:textId="77777777" w:rsidR="00885935" w:rsidRPr="00857775" w:rsidRDefault="00885935" w:rsidP="0070524F">
            <w:pPr>
              <w:spacing w:before="120"/>
              <w:jc w:val="center"/>
              <w:rPr>
                <w:rFonts w:ascii="Arial" w:eastAsia="Times New Roman" w:hAnsi="Arial" w:cs="Arial"/>
                <w:b/>
                <w:bCs/>
                <w:sz w:val="20"/>
                <w:szCs w:val="20"/>
              </w:rPr>
            </w:pPr>
          </w:p>
        </w:tc>
        <w:tc>
          <w:tcPr>
            <w:tcW w:w="1520" w:type="dxa"/>
          </w:tcPr>
          <w:p w14:paraId="5982DD57" w14:textId="77777777" w:rsidR="00885935" w:rsidRPr="00857775" w:rsidRDefault="00885935" w:rsidP="0070524F">
            <w:pPr>
              <w:spacing w:before="120"/>
              <w:jc w:val="center"/>
              <w:rPr>
                <w:rFonts w:ascii="Arial" w:eastAsia="Times New Roman" w:hAnsi="Arial" w:cs="Arial"/>
                <w:b/>
                <w:bCs/>
                <w:sz w:val="20"/>
                <w:szCs w:val="20"/>
              </w:rPr>
            </w:pPr>
          </w:p>
        </w:tc>
      </w:tr>
      <w:tr w:rsidR="00885935" w:rsidRPr="00857775" w14:paraId="5ABFA2D0" w14:textId="77777777" w:rsidTr="00BE56F0">
        <w:tc>
          <w:tcPr>
            <w:tcW w:w="1778" w:type="dxa"/>
          </w:tcPr>
          <w:p w14:paraId="16811C29" w14:textId="77777777" w:rsidR="00885935" w:rsidRPr="00857775" w:rsidRDefault="00885935" w:rsidP="0070524F">
            <w:pPr>
              <w:spacing w:before="120"/>
              <w:jc w:val="both"/>
              <w:rPr>
                <w:rFonts w:ascii="Arial" w:eastAsia="Times New Roman" w:hAnsi="Arial" w:cs="Arial"/>
                <w:b/>
                <w:bCs/>
                <w:sz w:val="20"/>
                <w:szCs w:val="20"/>
              </w:rPr>
            </w:pPr>
          </w:p>
        </w:tc>
        <w:tc>
          <w:tcPr>
            <w:tcW w:w="1370" w:type="dxa"/>
          </w:tcPr>
          <w:p w14:paraId="72221D78" w14:textId="77777777" w:rsidR="00885935" w:rsidRPr="00857775" w:rsidRDefault="00885935" w:rsidP="0070524F">
            <w:pPr>
              <w:spacing w:before="120"/>
              <w:jc w:val="both"/>
              <w:rPr>
                <w:rFonts w:ascii="Arial" w:eastAsia="Times New Roman" w:hAnsi="Arial" w:cs="Arial"/>
                <w:b/>
                <w:bCs/>
                <w:sz w:val="20"/>
                <w:szCs w:val="20"/>
              </w:rPr>
            </w:pPr>
          </w:p>
        </w:tc>
        <w:tc>
          <w:tcPr>
            <w:tcW w:w="1468" w:type="dxa"/>
          </w:tcPr>
          <w:p w14:paraId="21D176DD" w14:textId="77777777" w:rsidR="00885935" w:rsidRPr="00857775" w:rsidRDefault="00885935" w:rsidP="0070524F">
            <w:pPr>
              <w:spacing w:before="120"/>
              <w:jc w:val="both"/>
              <w:rPr>
                <w:rFonts w:ascii="Arial" w:eastAsia="Times New Roman" w:hAnsi="Arial" w:cs="Arial"/>
                <w:b/>
                <w:bCs/>
                <w:sz w:val="20"/>
                <w:szCs w:val="20"/>
              </w:rPr>
            </w:pPr>
            <w:r w:rsidRPr="00857775">
              <w:rPr>
                <w:rFonts w:ascii="Arial" w:eastAsia="Times New Roman" w:hAnsi="Arial" w:cs="Arial"/>
                <w:b/>
                <w:bCs/>
                <w:sz w:val="20"/>
                <w:szCs w:val="20"/>
              </w:rPr>
              <w:t>Control batch</w:t>
            </w:r>
          </w:p>
        </w:tc>
        <w:tc>
          <w:tcPr>
            <w:tcW w:w="1468" w:type="dxa"/>
          </w:tcPr>
          <w:p w14:paraId="7BC9AFE8" w14:textId="77777777" w:rsidR="00885935" w:rsidRPr="00857775" w:rsidRDefault="00885935" w:rsidP="0070524F">
            <w:pPr>
              <w:spacing w:before="120"/>
              <w:jc w:val="both"/>
              <w:rPr>
                <w:rFonts w:ascii="Arial" w:eastAsia="Times New Roman" w:hAnsi="Arial" w:cs="Arial"/>
                <w:b/>
                <w:bCs/>
                <w:sz w:val="20"/>
                <w:szCs w:val="20"/>
              </w:rPr>
            </w:pPr>
            <w:r w:rsidRPr="00857775">
              <w:rPr>
                <w:rFonts w:ascii="Arial" w:eastAsia="Times New Roman" w:hAnsi="Arial" w:cs="Arial"/>
                <w:b/>
                <w:bCs/>
                <w:sz w:val="20"/>
                <w:szCs w:val="20"/>
              </w:rPr>
              <w:t>Treated batch 500mg/Kg</w:t>
            </w:r>
          </w:p>
        </w:tc>
        <w:tc>
          <w:tcPr>
            <w:tcW w:w="1468" w:type="dxa"/>
          </w:tcPr>
          <w:p w14:paraId="036E5D42" w14:textId="77777777" w:rsidR="00885935" w:rsidRPr="00857775" w:rsidRDefault="00885935" w:rsidP="0070524F">
            <w:pPr>
              <w:spacing w:before="120"/>
              <w:jc w:val="both"/>
              <w:rPr>
                <w:rFonts w:ascii="Arial" w:eastAsia="Times New Roman" w:hAnsi="Arial" w:cs="Arial"/>
                <w:b/>
                <w:bCs/>
                <w:sz w:val="20"/>
                <w:szCs w:val="20"/>
              </w:rPr>
            </w:pPr>
            <w:r w:rsidRPr="00857775">
              <w:rPr>
                <w:rFonts w:ascii="Arial" w:eastAsia="Times New Roman" w:hAnsi="Arial" w:cs="Arial"/>
                <w:b/>
                <w:bCs/>
                <w:sz w:val="20"/>
                <w:szCs w:val="20"/>
              </w:rPr>
              <w:t>Treated batch 750mg/Kg</w:t>
            </w:r>
          </w:p>
        </w:tc>
        <w:tc>
          <w:tcPr>
            <w:tcW w:w="1520" w:type="dxa"/>
          </w:tcPr>
          <w:p w14:paraId="3BFC57C3" w14:textId="77777777" w:rsidR="00885935" w:rsidRPr="00857775" w:rsidRDefault="00885935" w:rsidP="0070524F">
            <w:pPr>
              <w:spacing w:before="120"/>
              <w:jc w:val="both"/>
              <w:rPr>
                <w:rFonts w:ascii="Arial" w:eastAsia="Times New Roman" w:hAnsi="Arial" w:cs="Arial"/>
                <w:b/>
                <w:bCs/>
                <w:sz w:val="20"/>
                <w:szCs w:val="20"/>
              </w:rPr>
            </w:pPr>
            <w:r w:rsidRPr="00857775">
              <w:rPr>
                <w:rFonts w:ascii="Arial" w:eastAsia="Times New Roman" w:hAnsi="Arial" w:cs="Arial"/>
                <w:b/>
                <w:bCs/>
                <w:sz w:val="20"/>
                <w:szCs w:val="20"/>
              </w:rPr>
              <w:t>Treated batch 1000mg/kg</w:t>
            </w:r>
          </w:p>
        </w:tc>
      </w:tr>
      <w:tr w:rsidR="007314F5" w:rsidRPr="00857775" w14:paraId="23640CB4" w14:textId="77777777" w:rsidTr="00BE56F0">
        <w:tc>
          <w:tcPr>
            <w:tcW w:w="1778" w:type="dxa"/>
          </w:tcPr>
          <w:p w14:paraId="04D5F0A4" w14:textId="77777777" w:rsidR="007314F5" w:rsidRPr="00857775" w:rsidRDefault="007314F5" w:rsidP="0070524F">
            <w:pPr>
              <w:spacing w:before="120"/>
              <w:jc w:val="both"/>
              <w:rPr>
                <w:rFonts w:ascii="Arial" w:eastAsia="Times New Roman" w:hAnsi="Arial" w:cs="Arial"/>
                <w:b/>
                <w:bCs/>
                <w:sz w:val="20"/>
                <w:szCs w:val="20"/>
              </w:rPr>
            </w:pPr>
            <w:r w:rsidRPr="00857775">
              <w:rPr>
                <w:rFonts w:ascii="Arial" w:eastAsia="Times New Roman" w:hAnsi="Arial" w:cs="Arial"/>
                <w:b/>
                <w:bCs/>
                <w:sz w:val="20"/>
                <w:szCs w:val="20"/>
              </w:rPr>
              <w:t>Granules (g)</w:t>
            </w:r>
          </w:p>
        </w:tc>
        <w:tc>
          <w:tcPr>
            <w:tcW w:w="1370" w:type="dxa"/>
          </w:tcPr>
          <w:p w14:paraId="1E7D6659" w14:textId="77777777" w:rsidR="007314F5" w:rsidRPr="00857775" w:rsidRDefault="007314F5" w:rsidP="0070524F">
            <w:pPr>
              <w:spacing w:before="120"/>
              <w:jc w:val="center"/>
              <w:rPr>
                <w:rFonts w:ascii="Arial" w:eastAsia="Times New Roman" w:hAnsi="Arial" w:cs="Arial"/>
                <w:b/>
                <w:bCs/>
                <w:sz w:val="20"/>
                <w:szCs w:val="20"/>
              </w:rPr>
            </w:pPr>
            <w:r w:rsidRPr="00857775">
              <w:rPr>
                <w:rFonts w:ascii="Arial" w:eastAsia="Times New Roman" w:hAnsi="Arial" w:cs="Arial"/>
                <w:b/>
                <w:bCs/>
                <w:sz w:val="20"/>
                <w:szCs w:val="20"/>
              </w:rPr>
              <w:t>1</w:t>
            </w:r>
          </w:p>
        </w:tc>
        <w:tc>
          <w:tcPr>
            <w:tcW w:w="1468" w:type="dxa"/>
          </w:tcPr>
          <w:p w14:paraId="4BCC2299" w14:textId="77777777" w:rsidR="007314F5" w:rsidRPr="00857775" w:rsidRDefault="007314F5" w:rsidP="0070524F">
            <w:pPr>
              <w:spacing w:before="120" w:after="120"/>
              <w:jc w:val="both"/>
              <w:rPr>
                <w:rFonts w:ascii="Arial" w:eastAsia="Calibri" w:hAnsi="Arial" w:cs="Arial"/>
                <w:sz w:val="20"/>
                <w:szCs w:val="20"/>
              </w:rPr>
            </w:pPr>
            <w:r w:rsidRPr="00857775">
              <w:rPr>
                <w:rFonts w:ascii="Arial" w:eastAsia="Calibri" w:hAnsi="Arial" w:cs="Arial"/>
                <w:sz w:val="20"/>
                <w:szCs w:val="20"/>
              </w:rPr>
              <w:t>56,14±2,30</w:t>
            </w:r>
          </w:p>
        </w:tc>
        <w:tc>
          <w:tcPr>
            <w:tcW w:w="1468" w:type="dxa"/>
          </w:tcPr>
          <w:p w14:paraId="71581F3F" w14:textId="77777777" w:rsidR="007314F5" w:rsidRPr="00857775" w:rsidRDefault="007314F5" w:rsidP="0070524F">
            <w:pPr>
              <w:spacing w:before="120" w:after="120"/>
              <w:jc w:val="both"/>
              <w:rPr>
                <w:rFonts w:ascii="Arial" w:eastAsia="Calibri" w:hAnsi="Arial" w:cs="Arial"/>
                <w:sz w:val="20"/>
                <w:szCs w:val="20"/>
              </w:rPr>
            </w:pPr>
            <w:r w:rsidRPr="00857775">
              <w:rPr>
                <w:rFonts w:ascii="Arial" w:eastAsia="Calibri" w:hAnsi="Arial" w:cs="Arial"/>
                <w:sz w:val="20"/>
                <w:szCs w:val="20"/>
              </w:rPr>
              <w:t>55,11±1,45</w:t>
            </w:r>
          </w:p>
        </w:tc>
        <w:tc>
          <w:tcPr>
            <w:tcW w:w="1468" w:type="dxa"/>
          </w:tcPr>
          <w:p w14:paraId="5CB3A1A8" w14:textId="77777777" w:rsidR="007314F5" w:rsidRPr="00857775" w:rsidRDefault="007314F5" w:rsidP="0070524F">
            <w:pPr>
              <w:spacing w:before="120" w:after="120"/>
              <w:jc w:val="both"/>
              <w:rPr>
                <w:rFonts w:ascii="Arial" w:eastAsia="Calibri" w:hAnsi="Arial" w:cs="Arial"/>
                <w:sz w:val="20"/>
                <w:szCs w:val="20"/>
              </w:rPr>
            </w:pPr>
            <w:r w:rsidRPr="00857775">
              <w:rPr>
                <w:rFonts w:ascii="Arial" w:eastAsia="Calibri" w:hAnsi="Arial" w:cs="Arial"/>
                <w:sz w:val="20"/>
                <w:szCs w:val="20"/>
              </w:rPr>
              <w:t>60,25±3,33</w:t>
            </w:r>
          </w:p>
        </w:tc>
        <w:tc>
          <w:tcPr>
            <w:tcW w:w="1520" w:type="dxa"/>
          </w:tcPr>
          <w:p w14:paraId="724D87EA" w14:textId="77777777" w:rsidR="007314F5" w:rsidRPr="00857775" w:rsidRDefault="007314F5" w:rsidP="0070524F">
            <w:pPr>
              <w:spacing w:before="120" w:after="120"/>
              <w:jc w:val="both"/>
              <w:rPr>
                <w:rFonts w:ascii="Arial" w:eastAsia="Calibri" w:hAnsi="Arial" w:cs="Arial"/>
                <w:sz w:val="20"/>
                <w:szCs w:val="20"/>
              </w:rPr>
            </w:pPr>
            <w:r w:rsidRPr="00857775">
              <w:rPr>
                <w:rFonts w:ascii="Arial" w:eastAsia="Calibri" w:hAnsi="Arial" w:cs="Arial"/>
                <w:sz w:val="20"/>
                <w:szCs w:val="20"/>
              </w:rPr>
              <w:t>64,11±3,18</w:t>
            </w:r>
          </w:p>
        </w:tc>
      </w:tr>
      <w:tr w:rsidR="007314F5" w:rsidRPr="00857775" w14:paraId="387AA508" w14:textId="77777777" w:rsidTr="00BE56F0">
        <w:tc>
          <w:tcPr>
            <w:tcW w:w="1778" w:type="dxa"/>
          </w:tcPr>
          <w:p w14:paraId="5048100F" w14:textId="77777777" w:rsidR="007314F5" w:rsidRPr="00857775" w:rsidRDefault="007314F5" w:rsidP="0070524F">
            <w:pPr>
              <w:spacing w:before="120"/>
              <w:jc w:val="both"/>
              <w:rPr>
                <w:rFonts w:ascii="Arial" w:eastAsia="Times New Roman" w:hAnsi="Arial" w:cs="Arial"/>
                <w:b/>
                <w:bCs/>
                <w:sz w:val="20"/>
                <w:szCs w:val="20"/>
              </w:rPr>
            </w:pPr>
          </w:p>
        </w:tc>
        <w:tc>
          <w:tcPr>
            <w:tcW w:w="1370" w:type="dxa"/>
          </w:tcPr>
          <w:p w14:paraId="779CF1E7" w14:textId="77777777" w:rsidR="007314F5" w:rsidRPr="00857775" w:rsidRDefault="007314F5" w:rsidP="0070524F">
            <w:pPr>
              <w:spacing w:before="120"/>
              <w:jc w:val="center"/>
              <w:rPr>
                <w:rFonts w:ascii="Arial" w:eastAsia="Times New Roman" w:hAnsi="Arial" w:cs="Arial"/>
                <w:b/>
                <w:bCs/>
                <w:sz w:val="20"/>
                <w:szCs w:val="20"/>
              </w:rPr>
            </w:pPr>
            <w:r w:rsidRPr="00857775">
              <w:rPr>
                <w:rFonts w:ascii="Arial" w:eastAsia="Times New Roman" w:hAnsi="Arial" w:cs="Arial"/>
                <w:b/>
                <w:bCs/>
                <w:sz w:val="20"/>
                <w:szCs w:val="20"/>
              </w:rPr>
              <w:t>2</w:t>
            </w:r>
          </w:p>
        </w:tc>
        <w:tc>
          <w:tcPr>
            <w:tcW w:w="1468" w:type="dxa"/>
          </w:tcPr>
          <w:p w14:paraId="5AF91EAE" w14:textId="77777777" w:rsidR="007314F5" w:rsidRPr="00857775" w:rsidRDefault="007314F5" w:rsidP="0070524F">
            <w:pPr>
              <w:spacing w:before="120" w:after="120"/>
              <w:jc w:val="both"/>
              <w:rPr>
                <w:rFonts w:ascii="Arial" w:eastAsia="Calibri" w:hAnsi="Arial" w:cs="Arial"/>
                <w:sz w:val="20"/>
                <w:szCs w:val="20"/>
              </w:rPr>
            </w:pPr>
            <w:r w:rsidRPr="00857775">
              <w:rPr>
                <w:rFonts w:ascii="Arial" w:eastAsia="Calibri" w:hAnsi="Arial" w:cs="Arial"/>
                <w:sz w:val="20"/>
                <w:szCs w:val="20"/>
              </w:rPr>
              <w:t>58±2,33</w:t>
            </w:r>
          </w:p>
        </w:tc>
        <w:tc>
          <w:tcPr>
            <w:tcW w:w="1468" w:type="dxa"/>
          </w:tcPr>
          <w:p w14:paraId="221AEB7B" w14:textId="77777777" w:rsidR="007314F5" w:rsidRPr="00857775" w:rsidRDefault="007314F5" w:rsidP="0070524F">
            <w:pPr>
              <w:spacing w:before="120" w:after="120"/>
              <w:jc w:val="both"/>
              <w:rPr>
                <w:rFonts w:ascii="Arial" w:eastAsia="Calibri" w:hAnsi="Arial" w:cs="Arial"/>
                <w:sz w:val="20"/>
                <w:szCs w:val="20"/>
              </w:rPr>
            </w:pPr>
            <w:r w:rsidRPr="00857775">
              <w:rPr>
                <w:rFonts w:ascii="Arial" w:eastAsia="Calibri" w:hAnsi="Arial" w:cs="Arial"/>
                <w:sz w:val="20"/>
                <w:szCs w:val="20"/>
              </w:rPr>
              <w:t>58,55±2,23</w:t>
            </w:r>
          </w:p>
        </w:tc>
        <w:tc>
          <w:tcPr>
            <w:tcW w:w="1468" w:type="dxa"/>
          </w:tcPr>
          <w:p w14:paraId="7DC8813B" w14:textId="77777777" w:rsidR="007314F5" w:rsidRPr="00857775" w:rsidRDefault="007314F5" w:rsidP="0070524F">
            <w:pPr>
              <w:spacing w:before="120" w:after="120"/>
              <w:jc w:val="both"/>
              <w:rPr>
                <w:rFonts w:ascii="Arial" w:eastAsia="Calibri" w:hAnsi="Arial" w:cs="Arial"/>
                <w:sz w:val="20"/>
                <w:szCs w:val="20"/>
              </w:rPr>
            </w:pPr>
            <w:r w:rsidRPr="00857775">
              <w:rPr>
                <w:rFonts w:ascii="Arial" w:eastAsia="Calibri" w:hAnsi="Arial" w:cs="Arial"/>
                <w:sz w:val="20"/>
                <w:szCs w:val="20"/>
              </w:rPr>
              <w:t>62,22±3,07</w:t>
            </w:r>
          </w:p>
        </w:tc>
        <w:tc>
          <w:tcPr>
            <w:tcW w:w="1520" w:type="dxa"/>
          </w:tcPr>
          <w:p w14:paraId="1012B371" w14:textId="77777777" w:rsidR="007314F5" w:rsidRPr="00857775" w:rsidRDefault="007314F5" w:rsidP="0070524F">
            <w:pPr>
              <w:spacing w:before="120" w:after="120"/>
              <w:jc w:val="both"/>
              <w:rPr>
                <w:rFonts w:ascii="Arial" w:eastAsia="Calibri" w:hAnsi="Arial" w:cs="Arial"/>
                <w:sz w:val="20"/>
                <w:szCs w:val="20"/>
              </w:rPr>
            </w:pPr>
            <w:r w:rsidRPr="00857775">
              <w:rPr>
                <w:rFonts w:ascii="Arial" w:eastAsia="Calibri" w:hAnsi="Arial" w:cs="Arial"/>
                <w:sz w:val="20"/>
                <w:szCs w:val="20"/>
              </w:rPr>
              <w:t>68,33±3,03</w:t>
            </w:r>
          </w:p>
        </w:tc>
      </w:tr>
      <w:tr w:rsidR="007314F5" w:rsidRPr="00857775" w14:paraId="21243719" w14:textId="77777777" w:rsidTr="00BE56F0">
        <w:tc>
          <w:tcPr>
            <w:tcW w:w="1778" w:type="dxa"/>
          </w:tcPr>
          <w:p w14:paraId="5419F979" w14:textId="77777777" w:rsidR="007314F5" w:rsidRPr="00857775" w:rsidRDefault="007314F5" w:rsidP="0070524F">
            <w:pPr>
              <w:spacing w:before="120"/>
              <w:jc w:val="both"/>
              <w:rPr>
                <w:rFonts w:ascii="Arial" w:eastAsia="Times New Roman" w:hAnsi="Arial" w:cs="Arial"/>
                <w:b/>
                <w:bCs/>
                <w:sz w:val="20"/>
                <w:szCs w:val="20"/>
              </w:rPr>
            </w:pPr>
          </w:p>
        </w:tc>
        <w:tc>
          <w:tcPr>
            <w:tcW w:w="1370" w:type="dxa"/>
          </w:tcPr>
          <w:p w14:paraId="0384816F" w14:textId="77777777" w:rsidR="007314F5" w:rsidRPr="00857775" w:rsidRDefault="007314F5" w:rsidP="0070524F">
            <w:pPr>
              <w:spacing w:before="120"/>
              <w:jc w:val="center"/>
              <w:rPr>
                <w:rFonts w:ascii="Arial" w:eastAsia="Times New Roman" w:hAnsi="Arial" w:cs="Arial"/>
                <w:b/>
                <w:bCs/>
                <w:sz w:val="20"/>
                <w:szCs w:val="20"/>
              </w:rPr>
            </w:pPr>
            <w:r w:rsidRPr="00857775">
              <w:rPr>
                <w:rFonts w:ascii="Arial" w:eastAsia="Times New Roman" w:hAnsi="Arial" w:cs="Arial"/>
                <w:b/>
                <w:bCs/>
                <w:sz w:val="20"/>
                <w:szCs w:val="20"/>
              </w:rPr>
              <w:t>3</w:t>
            </w:r>
          </w:p>
        </w:tc>
        <w:tc>
          <w:tcPr>
            <w:tcW w:w="1468" w:type="dxa"/>
          </w:tcPr>
          <w:p w14:paraId="0D663713" w14:textId="77777777" w:rsidR="007314F5" w:rsidRPr="00857775" w:rsidRDefault="007314F5" w:rsidP="0070524F">
            <w:pPr>
              <w:spacing w:before="120" w:after="120"/>
              <w:jc w:val="both"/>
              <w:rPr>
                <w:rFonts w:ascii="Arial" w:eastAsia="Calibri" w:hAnsi="Arial" w:cs="Arial"/>
                <w:sz w:val="20"/>
                <w:szCs w:val="20"/>
              </w:rPr>
            </w:pPr>
            <w:r w:rsidRPr="00857775">
              <w:rPr>
                <w:rFonts w:ascii="Arial" w:eastAsia="Calibri" w:hAnsi="Arial" w:cs="Arial"/>
                <w:sz w:val="20"/>
                <w:szCs w:val="20"/>
              </w:rPr>
              <w:t>65±3,75</w:t>
            </w:r>
          </w:p>
        </w:tc>
        <w:tc>
          <w:tcPr>
            <w:tcW w:w="1468" w:type="dxa"/>
          </w:tcPr>
          <w:p w14:paraId="255B8CC6" w14:textId="77777777" w:rsidR="007314F5" w:rsidRPr="00857775" w:rsidRDefault="007314F5" w:rsidP="0070524F">
            <w:pPr>
              <w:spacing w:before="120" w:after="120"/>
              <w:jc w:val="both"/>
              <w:rPr>
                <w:rFonts w:ascii="Arial" w:eastAsia="Calibri" w:hAnsi="Arial" w:cs="Arial"/>
                <w:sz w:val="20"/>
                <w:szCs w:val="20"/>
              </w:rPr>
            </w:pPr>
            <w:r w:rsidRPr="00857775">
              <w:rPr>
                <w:rFonts w:ascii="Arial" w:eastAsia="Calibri" w:hAnsi="Arial" w:cs="Arial"/>
                <w:sz w:val="20"/>
                <w:szCs w:val="20"/>
              </w:rPr>
              <w:t>64,74±3,67</w:t>
            </w:r>
          </w:p>
        </w:tc>
        <w:tc>
          <w:tcPr>
            <w:tcW w:w="1468" w:type="dxa"/>
          </w:tcPr>
          <w:p w14:paraId="44345C99" w14:textId="77777777" w:rsidR="007314F5" w:rsidRPr="00857775" w:rsidRDefault="007314F5" w:rsidP="0070524F">
            <w:pPr>
              <w:spacing w:before="120" w:after="120"/>
              <w:jc w:val="both"/>
              <w:rPr>
                <w:rFonts w:ascii="Arial" w:eastAsia="Calibri" w:hAnsi="Arial" w:cs="Arial"/>
                <w:sz w:val="20"/>
                <w:szCs w:val="20"/>
              </w:rPr>
            </w:pPr>
            <w:r w:rsidRPr="00857775">
              <w:rPr>
                <w:rFonts w:ascii="Arial" w:eastAsia="Calibri" w:hAnsi="Arial" w:cs="Arial"/>
                <w:sz w:val="20"/>
                <w:szCs w:val="20"/>
              </w:rPr>
              <w:t>68,28±3,65</w:t>
            </w:r>
          </w:p>
        </w:tc>
        <w:tc>
          <w:tcPr>
            <w:tcW w:w="1520" w:type="dxa"/>
          </w:tcPr>
          <w:p w14:paraId="27D13D2A" w14:textId="77777777" w:rsidR="007314F5" w:rsidRPr="00857775" w:rsidRDefault="007314F5" w:rsidP="0070524F">
            <w:pPr>
              <w:spacing w:before="120" w:after="120"/>
              <w:jc w:val="both"/>
              <w:rPr>
                <w:rFonts w:ascii="Arial" w:eastAsia="Calibri" w:hAnsi="Arial" w:cs="Arial"/>
                <w:sz w:val="20"/>
                <w:szCs w:val="20"/>
              </w:rPr>
            </w:pPr>
            <w:r w:rsidRPr="00857775">
              <w:rPr>
                <w:rFonts w:ascii="Arial" w:eastAsia="Calibri" w:hAnsi="Arial" w:cs="Arial"/>
                <w:sz w:val="20"/>
                <w:szCs w:val="20"/>
              </w:rPr>
              <w:t>75,22±2,90</w:t>
            </w:r>
          </w:p>
        </w:tc>
      </w:tr>
      <w:tr w:rsidR="007314F5" w:rsidRPr="00857775" w14:paraId="4FBACCEF" w14:textId="77777777" w:rsidTr="00BE56F0">
        <w:tc>
          <w:tcPr>
            <w:tcW w:w="1778" w:type="dxa"/>
          </w:tcPr>
          <w:p w14:paraId="05626E76" w14:textId="77777777" w:rsidR="007314F5" w:rsidRPr="00857775" w:rsidRDefault="007314F5" w:rsidP="0070524F">
            <w:pPr>
              <w:spacing w:before="120"/>
              <w:jc w:val="both"/>
              <w:rPr>
                <w:rFonts w:ascii="Arial" w:eastAsia="Times New Roman" w:hAnsi="Arial" w:cs="Arial"/>
                <w:b/>
                <w:bCs/>
                <w:sz w:val="20"/>
                <w:szCs w:val="20"/>
              </w:rPr>
            </w:pPr>
          </w:p>
        </w:tc>
        <w:tc>
          <w:tcPr>
            <w:tcW w:w="1370" w:type="dxa"/>
          </w:tcPr>
          <w:p w14:paraId="2C345712" w14:textId="77777777" w:rsidR="007314F5" w:rsidRPr="00857775" w:rsidRDefault="007314F5" w:rsidP="0070524F">
            <w:pPr>
              <w:spacing w:before="120"/>
              <w:jc w:val="center"/>
              <w:rPr>
                <w:rFonts w:ascii="Arial" w:eastAsia="Times New Roman" w:hAnsi="Arial" w:cs="Arial"/>
                <w:b/>
                <w:bCs/>
                <w:sz w:val="20"/>
                <w:szCs w:val="20"/>
              </w:rPr>
            </w:pPr>
            <w:r w:rsidRPr="00857775">
              <w:rPr>
                <w:rFonts w:ascii="Arial" w:eastAsia="Times New Roman" w:hAnsi="Arial" w:cs="Arial"/>
                <w:b/>
                <w:bCs/>
                <w:sz w:val="20"/>
                <w:szCs w:val="20"/>
              </w:rPr>
              <w:t>4</w:t>
            </w:r>
          </w:p>
        </w:tc>
        <w:tc>
          <w:tcPr>
            <w:tcW w:w="1468" w:type="dxa"/>
          </w:tcPr>
          <w:p w14:paraId="6EFD1BD6" w14:textId="77777777" w:rsidR="007314F5" w:rsidRPr="00857775" w:rsidRDefault="007314F5" w:rsidP="0070524F">
            <w:pPr>
              <w:spacing w:before="120" w:after="120"/>
              <w:jc w:val="both"/>
              <w:rPr>
                <w:rFonts w:ascii="Arial" w:eastAsia="Calibri" w:hAnsi="Arial" w:cs="Arial"/>
                <w:sz w:val="20"/>
                <w:szCs w:val="20"/>
              </w:rPr>
            </w:pPr>
            <w:r w:rsidRPr="00857775">
              <w:rPr>
                <w:rFonts w:ascii="Arial" w:eastAsia="Calibri" w:hAnsi="Arial" w:cs="Arial"/>
                <w:sz w:val="20"/>
                <w:szCs w:val="20"/>
              </w:rPr>
              <w:t>68,35±4,05</w:t>
            </w:r>
          </w:p>
        </w:tc>
        <w:tc>
          <w:tcPr>
            <w:tcW w:w="1468" w:type="dxa"/>
          </w:tcPr>
          <w:p w14:paraId="7F21D9D3" w14:textId="77777777" w:rsidR="007314F5" w:rsidRPr="00857775" w:rsidRDefault="007314F5" w:rsidP="0070524F">
            <w:pPr>
              <w:spacing w:before="120" w:after="120"/>
              <w:jc w:val="both"/>
              <w:rPr>
                <w:rFonts w:ascii="Arial" w:eastAsia="Calibri" w:hAnsi="Arial" w:cs="Arial"/>
                <w:sz w:val="20"/>
                <w:szCs w:val="20"/>
              </w:rPr>
            </w:pPr>
            <w:r w:rsidRPr="00857775">
              <w:rPr>
                <w:rFonts w:ascii="Arial" w:eastAsia="Calibri" w:hAnsi="Arial" w:cs="Arial"/>
                <w:sz w:val="20"/>
                <w:szCs w:val="20"/>
              </w:rPr>
              <w:t>66,44±1,23</w:t>
            </w:r>
          </w:p>
        </w:tc>
        <w:tc>
          <w:tcPr>
            <w:tcW w:w="1468" w:type="dxa"/>
          </w:tcPr>
          <w:p w14:paraId="50AE61DF" w14:textId="77777777" w:rsidR="007314F5" w:rsidRPr="00857775" w:rsidRDefault="007314F5" w:rsidP="0070524F">
            <w:pPr>
              <w:spacing w:before="120" w:after="120"/>
              <w:jc w:val="both"/>
              <w:rPr>
                <w:rFonts w:ascii="Arial" w:eastAsia="Calibri" w:hAnsi="Arial" w:cs="Arial"/>
                <w:sz w:val="20"/>
                <w:szCs w:val="20"/>
              </w:rPr>
            </w:pPr>
            <w:r w:rsidRPr="00857775">
              <w:rPr>
                <w:rFonts w:ascii="Arial" w:eastAsia="Calibri" w:hAnsi="Arial" w:cs="Arial"/>
                <w:sz w:val="20"/>
                <w:szCs w:val="20"/>
              </w:rPr>
              <w:t>73,71±2,35</w:t>
            </w:r>
          </w:p>
        </w:tc>
        <w:tc>
          <w:tcPr>
            <w:tcW w:w="1520" w:type="dxa"/>
          </w:tcPr>
          <w:p w14:paraId="4CED8958" w14:textId="77777777" w:rsidR="007314F5" w:rsidRPr="00857775" w:rsidRDefault="007314F5" w:rsidP="0070524F">
            <w:pPr>
              <w:spacing w:before="120" w:after="120"/>
              <w:jc w:val="both"/>
              <w:rPr>
                <w:rFonts w:ascii="Arial" w:eastAsia="Calibri" w:hAnsi="Arial" w:cs="Arial"/>
                <w:sz w:val="20"/>
                <w:szCs w:val="20"/>
              </w:rPr>
            </w:pPr>
            <w:r w:rsidRPr="00857775">
              <w:rPr>
                <w:rFonts w:ascii="Arial" w:eastAsia="Calibri" w:hAnsi="Arial" w:cs="Arial"/>
                <w:sz w:val="20"/>
                <w:szCs w:val="20"/>
              </w:rPr>
              <w:t>80,14±3,21</w:t>
            </w:r>
          </w:p>
        </w:tc>
      </w:tr>
      <w:tr w:rsidR="00885935" w:rsidRPr="00857775" w14:paraId="4D8DC2E7" w14:textId="77777777" w:rsidTr="00BE56F0">
        <w:tc>
          <w:tcPr>
            <w:tcW w:w="1778" w:type="dxa"/>
          </w:tcPr>
          <w:p w14:paraId="4C54D01B" w14:textId="77777777" w:rsidR="00885935" w:rsidRPr="00857775" w:rsidRDefault="00885935" w:rsidP="0070524F">
            <w:pPr>
              <w:spacing w:before="120"/>
              <w:jc w:val="both"/>
              <w:rPr>
                <w:rFonts w:ascii="Arial" w:eastAsia="Times New Roman" w:hAnsi="Arial" w:cs="Arial"/>
                <w:b/>
                <w:bCs/>
                <w:sz w:val="20"/>
                <w:szCs w:val="20"/>
              </w:rPr>
            </w:pPr>
            <w:r w:rsidRPr="00857775">
              <w:rPr>
                <w:rFonts w:ascii="Arial" w:eastAsia="Times New Roman" w:hAnsi="Arial" w:cs="Arial"/>
                <w:b/>
                <w:bCs/>
                <w:sz w:val="20"/>
                <w:szCs w:val="20"/>
              </w:rPr>
              <w:t>Monthly average</w:t>
            </w:r>
          </w:p>
          <w:p w14:paraId="6CC06922" w14:textId="77777777" w:rsidR="00885935" w:rsidRPr="00857775" w:rsidRDefault="00885935" w:rsidP="0070524F">
            <w:pPr>
              <w:spacing w:before="120"/>
              <w:jc w:val="both"/>
              <w:rPr>
                <w:rFonts w:ascii="Arial" w:eastAsia="Times New Roman" w:hAnsi="Arial" w:cs="Arial"/>
                <w:b/>
                <w:bCs/>
                <w:sz w:val="20"/>
                <w:szCs w:val="20"/>
              </w:rPr>
            </w:pPr>
          </w:p>
        </w:tc>
        <w:tc>
          <w:tcPr>
            <w:tcW w:w="1370" w:type="dxa"/>
          </w:tcPr>
          <w:p w14:paraId="2C8E2893" w14:textId="77777777" w:rsidR="00885935" w:rsidRPr="00857775" w:rsidRDefault="00885935" w:rsidP="0070524F">
            <w:pPr>
              <w:spacing w:before="120"/>
              <w:jc w:val="both"/>
              <w:rPr>
                <w:rFonts w:ascii="Arial" w:eastAsia="Times New Roman" w:hAnsi="Arial" w:cs="Arial"/>
                <w:b/>
                <w:bCs/>
                <w:sz w:val="20"/>
                <w:szCs w:val="20"/>
              </w:rPr>
            </w:pPr>
          </w:p>
        </w:tc>
        <w:tc>
          <w:tcPr>
            <w:tcW w:w="1468" w:type="dxa"/>
          </w:tcPr>
          <w:p w14:paraId="64B7668B" w14:textId="77777777" w:rsidR="00885935" w:rsidRPr="00857775" w:rsidRDefault="00885935" w:rsidP="0070524F">
            <w:pPr>
              <w:spacing w:before="120" w:after="120"/>
              <w:jc w:val="both"/>
              <w:rPr>
                <w:rFonts w:ascii="Arial" w:eastAsia="Calibri" w:hAnsi="Arial" w:cs="Arial"/>
                <w:sz w:val="20"/>
                <w:szCs w:val="20"/>
              </w:rPr>
            </w:pPr>
            <w:r w:rsidRPr="00857775">
              <w:rPr>
                <w:rFonts w:ascii="Arial" w:eastAsia="Calibri" w:hAnsi="Arial" w:cs="Arial"/>
                <w:sz w:val="20"/>
                <w:szCs w:val="20"/>
              </w:rPr>
              <w:t>61,87±3,46</w:t>
            </w:r>
          </w:p>
        </w:tc>
        <w:tc>
          <w:tcPr>
            <w:tcW w:w="1468" w:type="dxa"/>
          </w:tcPr>
          <w:p w14:paraId="6AE5C5D9" w14:textId="77777777" w:rsidR="00885935" w:rsidRPr="00857775" w:rsidRDefault="00E51392" w:rsidP="0070524F">
            <w:pPr>
              <w:spacing w:before="120"/>
              <w:jc w:val="both"/>
              <w:rPr>
                <w:rFonts w:ascii="Arial" w:eastAsia="Times New Roman" w:hAnsi="Arial" w:cs="Arial"/>
                <w:bCs/>
                <w:sz w:val="20"/>
                <w:szCs w:val="20"/>
              </w:rPr>
            </w:pPr>
            <w:r w:rsidRPr="00857775">
              <w:rPr>
                <w:rFonts w:ascii="Arial" w:eastAsia="Times New Roman" w:hAnsi="Arial" w:cs="Arial"/>
                <w:bCs/>
                <w:sz w:val="20"/>
                <w:szCs w:val="20"/>
              </w:rPr>
              <w:t>61,21±2,21</w:t>
            </w:r>
          </w:p>
        </w:tc>
        <w:tc>
          <w:tcPr>
            <w:tcW w:w="1468" w:type="dxa"/>
          </w:tcPr>
          <w:p w14:paraId="0BE4107E" w14:textId="77777777" w:rsidR="00885935" w:rsidRPr="00857775" w:rsidRDefault="007314F5" w:rsidP="0070524F">
            <w:pPr>
              <w:spacing w:before="120"/>
              <w:jc w:val="both"/>
              <w:rPr>
                <w:rFonts w:ascii="Arial" w:eastAsia="Times New Roman" w:hAnsi="Arial" w:cs="Arial"/>
                <w:b/>
                <w:bCs/>
                <w:sz w:val="20"/>
                <w:szCs w:val="20"/>
              </w:rPr>
            </w:pPr>
            <w:r w:rsidRPr="00857775">
              <w:rPr>
                <w:rFonts w:ascii="Arial" w:eastAsia="Times New Roman" w:hAnsi="Arial" w:cs="Arial"/>
                <w:bCs/>
                <w:sz w:val="20"/>
                <w:szCs w:val="20"/>
              </w:rPr>
              <w:t>66,11</w:t>
            </w:r>
            <w:r w:rsidRPr="00857775">
              <w:rPr>
                <w:rFonts w:ascii="Arial" w:eastAsia="Calibri" w:hAnsi="Arial" w:cs="Arial"/>
                <w:sz w:val="20"/>
                <w:szCs w:val="20"/>
              </w:rPr>
              <w:t>±1,78</w:t>
            </w:r>
          </w:p>
        </w:tc>
        <w:tc>
          <w:tcPr>
            <w:tcW w:w="1520" w:type="dxa"/>
          </w:tcPr>
          <w:p w14:paraId="47597296" w14:textId="77777777" w:rsidR="00885935" w:rsidRPr="00857775" w:rsidRDefault="007314F5" w:rsidP="0070524F">
            <w:pPr>
              <w:spacing w:before="120"/>
              <w:jc w:val="both"/>
              <w:rPr>
                <w:rFonts w:ascii="Arial" w:eastAsia="Times New Roman" w:hAnsi="Arial" w:cs="Arial"/>
                <w:b/>
                <w:bCs/>
                <w:sz w:val="20"/>
                <w:szCs w:val="20"/>
              </w:rPr>
            </w:pPr>
            <w:r w:rsidRPr="00857775">
              <w:rPr>
                <w:rFonts w:ascii="Arial" w:eastAsia="Times New Roman" w:hAnsi="Arial" w:cs="Arial"/>
                <w:bCs/>
                <w:sz w:val="20"/>
                <w:szCs w:val="20"/>
              </w:rPr>
              <w:t>71,95</w:t>
            </w:r>
            <w:r w:rsidRPr="00857775">
              <w:rPr>
                <w:rFonts w:ascii="Arial" w:eastAsia="Calibri" w:hAnsi="Arial" w:cs="Arial"/>
                <w:sz w:val="20"/>
                <w:szCs w:val="20"/>
              </w:rPr>
              <w:t>±2,76</w:t>
            </w:r>
          </w:p>
        </w:tc>
      </w:tr>
      <w:tr w:rsidR="00885935" w:rsidRPr="00857775" w14:paraId="1E8C19A3" w14:textId="77777777" w:rsidTr="00BE56F0">
        <w:tc>
          <w:tcPr>
            <w:tcW w:w="1778" w:type="dxa"/>
          </w:tcPr>
          <w:p w14:paraId="527AECA9" w14:textId="77777777" w:rsidR="00885935" w:rsidRPr="00857775" w:rsidRDefault="00885935" w:rsidP="0070524F">
            <w:pPr>
              <w:spacing w:before="120"/>
              <w:jc w:val="both"/>
              <w:rPr>
                <w:rFonts w:ascii="Arial" w:eastAsia="Times New Roman" w:hAnsi="Arial" w:cs="Arial"/>
                <w:b/>
                <w:bCs/>
                <w:sz w:val="20"/>
                <w:szCs w:val="20"/>
              </w:rPr>
            </w:pPr>
            <w:r w:rsidRPr="00857775">
              <w:rPr>
                <w:rFonts w:ascii="Arial" w:eastAsia="Times New Roman" w:hAnsi="Arial" w:cs="Arial"/>
                <w:b/>
                <w:bCs/>
                <w:sz w:val="20"/>
                <w:szCs w:val="20"/>
              </w:rPr>
              <w:t>P- value</w:t>
            </w:r>
          </w:p>
        </w:tc>
        <w:tc>
          <w:tcPr>
            <w:tcW w:w="1370" w:type="dxa"/>
          </w:tcPr>
          <w:p w14:paraId="50D5F9F1" w14:textId="77777777" w:rsidR="00885935" w:rsidRPr="00857775" w:rsidRDefault="00885935" w:rsidP="0070524F">
            <w:pPr>
              <w:spacing w:before="120"/>
              <w:jc w:val="both"/>
              <w:rPr>
                <w:rFonts w:ascii="Arial" w:eastAsia="Times New Roman" w:hAnsi="Arial" w:cs="Arial"/>
                <w:b/>
                <w:bCs/>
                <w:sz w:val="20"/>
                <w:szCs w:val="20"/>
              </w:rPr>
            </w:pPr>
          </w:p>
        </w:tc>
        <w:tc>
          <w:tcPr>
            <w:tcW w:w="1468" w:type="dxa"/>
          </w:tcPr>
          <w:p w14:paraId="3BE277A1" w14:textId="77777777" w:rsidR="00885935" w:rsidRPr="00857775" w:rsidRDefault="00885935" w:rsidP="0070524F">
            <w:pPr>
              <w:spacing w:before="120"/>
              <w:jc w:val="both"/>
              <w:rPr>
                <w:rFonts w:ascii="Arial" w:eastAsia="Times New Roman" w:hAnsi="Arial" w:cs="Arial"/>
                <w:b/>
                <w:bCs/>
                <w:sz w:val="20"/>
                <w:szCs w:val="20"/>
              </w:rPr>
            </w:pPr>
          </w:p>
        </w:tc>
        <w:tc>
          <w:tcPr>
            <w:tcW w:w="1468" w:type="dxa"/>
          </w:tcPr>
          <w:p w14:paraId="7A143699" w14:textId="77777777" w:rsidR="00885935" w:rsidRPr="00857775" w:rsidRDefault="00E51392" w:rsidP="0070524F">
            <w:pPr>
              <w:spacing w:before="120"/>
              <w:jc w:val="both"/>
              <w:rPr>
                <w:rFonts w:ascii="Arial" w:eastAsia="Times New Roman" w:hAnsi="Arial" w:cs="Arial"/>
                <w:bCs/>
                <w:sz w:val="20"/>
                <w:szCs w:val="20"/>
              </w:rPr>
            </w:pPr>
            <w:r w:rsidRPr="00857775">
              <w:rPr>
                <w:rFonts w:ascii="Arial" w:eastAsia="Times New Roman" w:hAnsi="Arial" w:cs="Arial"/>
                <w:bCs/>
                <w:sz w:val="20"/>
                <w:szCs w:val="20"/>
              </w:rPr>
              <w:t>0,135</w:t>
            </w:r>
          </w:p>
        </w:tc>
        <w:tc>
          <w:tcPr>
            <w:tcW w:w="1468" w:type="dxa"/>
          </w:tcPr>
          <w:p w14:paraId="747F86FC" w14:textId="77777777" w:rsidR="00885935" w:rsidRPr="00857775" w:rsidRDefault="007314F5" w:rsidP="0070524F">
            <w:pPr>
              <w:spacing w:before="120"/>
              <w:jc w:val="both"/>
              <w:rPr>
                <w:rFonts w:ascii="Arial" w:eastAsia="Times New Roman" w:hAnsi="Arial" w:cs="Arial"/>
                <w:bCs/>
                <w:sz w:val="20"/>
                <w:szCs w:val="20"/>
              </w:rPr>
            </w:pPr>
            <w:r w:rsidRPr="00857775">
              <w:rPr>
                <w:rFonts w:ascii="Arial" w:eastAsia="Times New Roman" w:hAnsi="Arial" w:cs="Arial"/>
                <w:bCs/>
                <w:sz w:val="20"/>
                <w:szCs w:val="20"/>
              </w:rPr>
              <w:t>0,105</w:t>
            </w:r>
          </w:p>
        </w:tc>
        <w:tc>
          <w:tcPr>
            <w:tcW w:w="1520" w:type="dxa"/>
          </w:tcPr>
          <w:p w14:paraId="5B6A780B" w14:textId="77777777" w:rsidR="00885935" w:rsidRPr="00857775" w:rsidRDefault="00885935" w:rsidP="0070524F">
            <w:pPr>
              <w:spacing w:before="120"/>
              <w:jc w:val="both"/>
              <w:rPr>
                <w:rFonts w:ascii="Arial" w:eastAsia="Times New Roman" w:hAnsi="Arial" w:cs="Arial"/>
                <w:bCs/>
                <w:sz w:val="20"/>
                <w:szCs w:val="20"/>
              </w:rPr>
            </w:pPr>
            <w:r w:rsidRPr="00857775">
              <w:rPr>
                <w:rFonts w:ascii="Arial" w:eastAsia="Times New Roman" w:hAnsi="Arial" w:cs="Arial"/>
                <w:bCs/>
                <w:sz w:val="20"/>
                <w:szCs w:val="20"/>
              </w:rPr>
              <w:t>0,2</w:t>
            </w:r>
            <w:r w:rsidR="007314F5" w:rsidRPr="00857775">
              <w:rPr>
                <w:rFonts w:ascii="Arial" w:eastAsia="Times New Roman" w:hAnsi="Arial" w:cs="Arial"/>
                <w:bCs/>
                <w:sz w:val="20"/>
                <w:szCs w:val="20"/>
              </w:rPr>
              <w:t>3</w:t>
            </w:r>
            <w:r w:rsidRPr="00857775">
              <w:rPr>
                <w:rFonts w:ascii="Arial" w:eastAsia="Times New Roman" w:hAnsi="Arial" w:cs="Arial"/>
                <w:bCs/>
                <w:sz w:val="20"/>
                <w:szCs w:val="20"/>
              </w:rPr>
              <w:t>1</w:t>
            </w:r>
          </w:p>
        </w:tc>
      </w:tr>
      <w:tr w:rsidR="00885935" w:rsidRPr="00857775" w14:paraId="57E2507C" w14:textId="77777777" w:rsidTr="00BE56F0">
        <w:tc>
          <w:tcPr>
            <w:tcW w:w="1778" w:type="dxa"/>
          </w:tcPr>
          <w:p w14:paraId="7FC03B4E" w14:textId="77777777" w:rsidR="00885935" w:rsidRPr="00857775" w:rsidRDefault="00885935" w:rsidP="0070524F">
            <w:pPr>
              <w:spacing w:before="120"/>
              <w:jc w:val="both"/>
              <w:rPr>
                <w:rFonts w:ascii="Arial" w:eastAsia="Times New Roman" w:hAnsi="Arial" w:cs="Arial"/>
                <w:b/>
                <w:bCs/>
                <w:sz w:val="20"/>
                <w:szCs w:val="20"/>
              </w:rPr>
            </w:pPr>
          </w:p>
        </w:tc>
        <w:tc>
          <w:tcPr>
            <w:tcW w:w="1370" w:type="dxa"/>
          </w:tcPr>
          <w:p w14:paraId="0CB02F47" w14:textId="77777777" w:rsidR="00885935" w:rsidRPr="00857775" w:rsidRDefault="00885935" w:rsidP="0070524F">
            <w:pPr>
              <w:spacing w:before="120"/>
              <w:jc w:val="both"/>
              <w:rPr>
                <w:rFonts w:ascii="Arial" w:eastAsia="Times New Roman" w:hAnsi="Arial" w:cs="Arial"/>
                <w:b/>
                <w:bCs/>
                <w:sz w:val="20"/>
                <w:szCs w:val="20"/>
              </w:rPr>
            </w:pPr>
          </w:p>
        </w:tc>
        <w:tc>
          <w:tcPr>
            <w:tcW w:w="1468" w:type="dxa"/>
          </w:tcPr>
          <w:p w14:paraId="5E1267B8" w14:textId="77777777" w:rsidR="00885935" w:rsidRPr="00857775" w:rsidRDefault="00885935" w:rsidP="0070524F">
            <w:pPr>
              <w:spacing w:before="120"/>
              <w:jc w:val="both"/>
              <w:rPr>
                <w:rFonts w:ascii="Arial" w:eastAsia="Times New Roman" w:hAnsi="Arial" w:cs="Arial"/>
                <w:b/>
                <w:bCs/>
                <w:sz w:val="20"/>
                <w:szCs w:val="20"/>
              </w:rPr>
            </w:pPr>
          </w:p>
        </w:tc>
        <w:tc>
          <w:tcPr>
            <w:tcW w:w="1468" w:type="dxa"/>
          </w:tcPr>
          <w:p w14:paraId="0321EF24" w14:textId="77777777" w:rsidR="00885935" w:rsidRPr="00857775" w:rsidRDefault="00885935" w:rsidP="0070524F">
            <w:pPr>
              <w:spacing w:before="120"/>
              <w:jc w:val="both"/>
              <w:rPr>
                <w:rFonts w:ascii="Arial" w:eastAsia="Times New Roman" w:hAnsi="Arial" w:cs="Arial"/>
                <w:b/>
                <w:bCs/>
                <w:sz w:val="20"/>
                <w:szCs w:val="20"/>
              </w:rPr>
            </w:pPr>
          </w:p>
        </w:tc>
        <w:tc>
          <w:tcPr>
            <w:tcW w:w="1468" w:type="dxa"/>
          </w:tcPr>
          <w:p w14:paraId="47DFDDC4" w14:textId="77777777" w:rsidR="00885935" w:rsidRPr="00857775" w:rsidRDefault="00885935" w:rsidP="0070524F">
            <w:pPr>
              <w:spacing w:before="120"/>
              <w:jc w:val="both"/>
              <w:rPr>
                <w:rFonts w:ascii="Arial" w:eastAsia="Times New Roman" w:hAnsi="Arial" w:cs="Arial"/>
                <w:b/>
                <w:bCs/>
                <w:sz w:val="20"/>
                <w:szCs w:val="20"/>
              </w:rPr>
            </w:pPr>
          </w:p>
        </w:tc>
        <w:tc>
          <w:tcPr>
            <w:tcW w:w="1520" w:type="dxa"/>
          </w:tcPr>
          <w:p w14:paraId="724B900E" w14:textId="77777777" w:rsidR="00885935" w:rsidRPr="00857775" w:rsidRDefault="00885935" w:rsidP="0070524F">
            <w:pPr>
              <w:spacing w:before="120"/>
              <w:jc w:val="both"/>
              <w:rPr>
                <w:rFonts w:ascii="Arial" w:eastAsia="Times New Roman" w:hAnsi="Arial" w:cs="Arial"/>
                <w:b/>
                <w:bCs/>
                <w:sz w:val="20"/>
                <w:szCs w:val="20"/>
              </w:rPr>
            </w:pPr>
          </w:p>
        </w:tc>
      </w:tr>
      <w:tr w:rsidR="0070524F" w:rsidRPr="00857775" w14:paraId="5FBC10ED" w14:textId="77777777" w:rsidTr="00BE56F0">
        <w:tc>
          <w:tcPr>
            <w:tcW w:w="1778" w:type="dxa"/>
          </w:tcPr>
          <w:p w14:paraId="2036985D" w14:textId="77777777" w:rsidR="0070524F" w:rsidRPr="00857775" w:rsidRDefault="0070524F" w:rsidP="0070524F">
            <w:pPr>
              <w:spacing w:before="120"/>
              <w:jc w:val="both"/>
              <w:rPr>
                <w:rFonts w:ascii="Arial" w:eastAsia="Times New Roman" w:hAnsi="Arial" w:cs="Arial"/>
                <w:b/>
                <w:bCs/>
                <w:sz w:val="20"/>
                <w:szCs w:val="20"/>
              </w:rPr>
            </w:pPr>
            <w:r w:rsidRPr="00857775">
              <w:rPr>
                <w:rFonts w:ascii="Arial" w:eastAsia="Times New Roman" w:hAnsi="Arial" w:cs="Arial"/>
                <w:b/>
                <w:bCs/>
                <w:sz w:val="20"/>
                <w:szCs w:val="20"/>
              </w:rPr>
              <w:t>Water (ml)</w:t>
            </w:r>
          </w:p>
        </w:tc>
        <w:tc>
          <w:tcPr>
            <w:tcW w:w="1370" w:type="dxa"/>
          </w:tcPr>
          <w:p w14:paraId="697FF02A" w14:textId="77777777" w:rsidR="0070524F" w:rsidRPr="00857775" w:rsidRDefault="0070524F" w:rsidP="0070524F">
            <w:pPr>
              <w:spacing w:before="120"/>
              <w:jc w:val="center"/>
              <w:rPr>
                <w:rFonts w:ascii="Arial" w:eastAsia="Times New Roman" w:hAnsi="Arial" w:cs="Arial"/>
                <w:b/>
                <w:bCs/>
                <w:sz w:val="20"/>
                <w:szCs w:val="20"/>
              </w:rPr>
            </w:pPr>
            <w:r w:rsidRPr="00857775">
              <w:rPr>
                <w:rFonts w:ascii="Arial" w:eastAsia="Times New Roman" w:hAnsi="Arial" w:cs="Arial"/>
                <w:b/>
                <w:bCs/>
                <w:sz w:val="20"/>
                <w:szCs w:val="20"/>
              </w:rPr>
              <w:t>1</w:t>
            </w:r>
          </w:p>
        </w:tc>
        <w:tc>
          <w:tcPr>
            <w:tcW w:w="1468" w:type="dxa"/>
          </w:tcPr>
          <w:p w14:paraId="6C2D66ED" w14:textId="77777777" w:rsidR="0070524F" w:rsidRPr="00857775" w:rsidRDefault="0070524F" w:rsidP="0070524F">
            <w:pPr>
              <w:spacing w:before="120" w:after="200"/>
              <w:jc w:val="both"/>
              <w:rPr>
                <w:rFonts w:ascii="Arial" w:eastAsia="Calibri" w:hAnsi="Arial" w:cs="Arial"/>
                <w:sz w:val="20"/>
                <w:szCs w:val="20"/>
              </w:rPr>
            </w:pPr>
            <w:r w:rsidRPr="00857775">
              <w:rPr>
                <w:rFonts w:ascii="Arial" w:eastAsia="Calibri" w:hAnsi="Arial" w:cs="Arial"/>
                <w:color w:val="000000"/>
                <w:sz w:val="20"/>
                <w:szCs w:val="20"/>
              </w:rPr>
              <w:t>81,48±2,89</w:t>
            </w:r>
          </w:p>
        </w:tc>
        <w:tc>
          <w:tcPr>
            <w:tcW w:w="1468" w:type="dxa"/>
          </w:tcPr>
          <w:p w14:paraId="24D292FA" w14:textId="77777777" w:rsidR="0070524F" w:rsidRPr="00857775" w:rsidRDefault="0070524F" w:rsidP="0070524F">
            <w:pPr>
              <w:spacing w:before="120" w:after="200"/>
              <w:jc w:val="both"/>
              <w:rPr>
                <w:rFonts w:ascii="Arial" w:eastAsia="Calibri" w:hAnsi="Arial" w:cs="Arial"/>
                <w:sz w:val="20"/>
                <w:szCs w:val="20"/>
              </w:rPr>
            </w:pPr>
            <w:r w:rsidRPr="00857775">
              <w:rPr>
                <w:rFonts w:ascii="Arial" w:eastAsia="Calibri" w:hAnsi="Arial" w:cs="Arial"/>
                <w:color w:val="000000"/>
                <w:sz w:val="20"/>
                <w:szCs w:val="20"/>
              </w:rPr>
              <w:t>82,41±3,33</w:t>
            </w:r>
          </w:p>
        </w:tc>
        <w:tc>
          <w:tcPr>
            <w:tcW w:w="1468" w:type="dxa"/>
          </w:tcPr>
          <w:p w14:paraId="3D5D447B" w14:textId="77777777" w:rsidR="0070524F" w:rsidRPr="00857775" w:rsidRDefault="0070524F" w:rsidP="0070524F">
            <w:pPr>
              <w:spacing w:before="120" w:after="200"/>
              <w:jc w:val="both"/>
              <w:rPr>
                <w:rFonts w:ascii="Arial" w:eastAsia="Calibri" w:hAnsi="Arial" w:cs="Arial"/>
                <w:sz w:val="20"/>
                <w:szCs w:val="20"/>
              </w:rPr>
            </w:pPr>
            <w:r w:rsidRPr="00857775">
              <w:rPr>
                <w:rFonts w:ascii="Arial" w:eastAsia="Calibri" w:hAnsi="Arial" w:cs="Arial"/>
                <w:color w:val="000000"/>
                <w:sz w:val="20"/>
                <w:szCs w:val="20"/>
              </w:rPr>
              <w:t>85,51±4,33</w:t>
            </w:r>
          </w:p>
        </w:tc>
        <w:tc>
          <w:tcPr>
            <w:tcW w:w="1520" w:type="dxa"/>
          </w:tcPr>
          <w:p w14:paraId="3E18FD59" w14:textId="77777777" w:rsidR="0070524F" w:rsidRPr="00857775" w:rsidRDefault="0070524F" w:rsidP="0070524F">
            <w:pPr>
              <w:spacing w:before="120" w:after="200"/>
              <w:jc w:val="both"/>
              <w:rPr>
                <w:rFonts w:ascii="Arial" w:eastAsia="Calibri" w:hAnsi="Arial" w:cs="Arial"/>
                <w:sz w:val="20"/>
                <w:szCs w:val="20"/>
              </w:rPr>
            </w:pPr>
            <w:r w:rsidRPr="00857775">
              <w:rPr>
                <w:rFonts w:ascii="Arial" w:eastAsia="Calibri" w:hAnsi="Arial" w:cs="Arial"/>
                <w:color w:val="000000"/>
                <w:sz w:val="20"/>
                <w:szCs w:val="20"/>
              </w:rPr>
              <w:t>83,31±3,26</w:t>
            </w:r>
          </w:p>
        </w:tc>
      </w:tr>
      <w:tr w:rsidR="0070524F" w:rsidRPr="00857775" w14:paraId="2166847A" w14:textId="77777777" w:rsidTr="00BE56F0">
        <w:tc>
          <w:tcPr>
            <w:tcW w:w="1778" w:type="dxa"/>
          </w:tcPr>
          <w:p w14:paraId="4CE24CE2" w14:textId="77777777" w:rsidR="0070524F" w:rsidRPr="00857775" w:rsidRDefault="0070524F" w:rsidP="0070524F">
            <w:pPr>
              <w:spacing w:before="120"/>
              <w:jc w:val="both"/>
              <w:rPr>
                <w:rFonts w:ascii="Arial" w:eastAsia="Times New Roman" w:hAnsi="Arial" w:cs="Arial"/>
                <w:b/>
                <w:bCs/>
                <w:sz w:val="20"/>
                <w:szCs w:val="20"/>
              </w:rPr>
            </w:pPr>
          </w:p>
        </w:tc>
        <w:tc>
          <w:tcPr>
            <w:tcW w:w="1370" w:type="dxa"/>
          </w:tcPr>
          <w:p w14:paraId="20AC4C73" w14:textId="77777777" w:rsidR="0070524F" w:rsidRPr="00857775" w:rsidRDefault="0070524F" w:rsidP="0070524F">
            <w:pPr>
              <w:spacing w:before="120"/>
              <w:jc w:val="center"/>
              <w:rPr>
                <w:rFonts w:ascii="Arial" w:eastAsia="Times New Roman" w:hAnsi="Arial" w:cs="Arial"/>
                <w:b/>
                <w:bCs/>
                <w:sz w:val="20"/>
                <w:szCs w:val="20"/>
              </w:rPr>
            </w:pPr>
            <w:r w:rsidRPr="00857775">
              <w:rPr>
                <w:rFonts w:ascii="Arial" w:eastAsia="Times New Roman" w:hAnsi="Arial" w:cs="Arial"/>
                <w:b/>
                <w:bCs/>
                <w:sz w:val="20"/>
                <w:szCs w:val="20"/>
              </w:rPr>
              <w:t>2</w:t>
            </w:r>
          </w:p>
        </w:tc>
        <w:tc>
          <w:tcPr>
            <w:tcW w:w="1468" w:type="dxa"/>
          </w:tcPr>
          <w:p w14:paraId="0CFDA329" w14:textId="77777777" w:rsidR="0070524F" w:rsidRPr="00857775" w:rsidRDefault="0070524F" w:rsidP="0070524F">
            <w:pPr>
              <w:spacing w:before="120" w:after="200"/>
              <w:jc w:val="both"/>
              <w:rPr>
                <w:rFonts w:ascii="Arial" w:eastAsia="Calibri" w:hAnsi="Arial" w:cs="Arial"/>
                <w:sz w:val="20"/>
                <w:szCs w:val="20"/>
              </w:rPr>
            </w:pPr>
            <w:r w:rsidRPr="00857775">
              <w:rPr>
                <w:rFonts w:ascii="Arial" w:eastAsia="Calibri" w:hAnsi="Arial" w:cs="Arial"/>
                <w:color w:val="000000"/>
                <w:sz w:val="20"/>
                <w:szCs w:val="20"/>
              </w:rPr>
              <w:t>88,33±3,34</w:t>
            </w:r>
          </w:p>
        </w:tc>
        <w:tc>
          <w:tcPr>
            <w:tcW w:w="1468" w:type="dxa"/>
          </w:tcPr>
          <w:p w14:paraId="79690507" w14:textId="77777777" w:rsidR="0070524F" w:rsidRPr="00857775" w:rsidRDefault="0070524F" w:rsidP="0070524F">
            <w:pPr>
              <w:spacing w:before="120" w:after="200"/>
              <w:jc w:val="both"/>
              <w:rPr>
                <w:rFonts w:ascii="Arial" w:eastAsia="Calibri" w:hAnsi="Arial" w:cs="Arial"/>
                <w:sz w:val="20"/>
                <w:szCs w:val="20"/>
              </w:rPr>
            </w:pPr>
            <w:r w:rsidRPr="00857775">
              <w:rPr>
                <w:rFonts w:ascii="Arial" w:eastAsia="Calibri" w:hAnsi="Arial" w:cs="Arial"/>
                <w:color w:val="000000"/>
                <w:sz w:val="20"/>
                <w:szCs w:val="20"/>
              </w:rPr>
              <w:t>84,25±2,87</w:t>
            </w:r>
          </w:p>
        </w:tc>
        <w:tc>
          <w:tcPr>
            <w:tcW w:w="1468" w:type="dxa"/>
          </w:tcPr>
          <w:p w14:paraId="4CF2D308" w14:textId="77777777" w:rsidR="0070524F" w:rsidRPr="00857775" w:rsidRDefault="0070524F" w:rsidP="0070524F">
            <w:pPr>
              <w:spacing w:before="120" w:after="200"/>
              <w:jc w:val="both"/>
              <w:rPr>
                <w:rFonts w:ascii="Arial" w:eastAsia="Calibri" w:hAnsi="Arial" w:cs="Arial"/>
                <w:sz w:val="20"/>
                <w:szCs w:val="20"/>
              </w:rPr>
            </w:pPr>
            <w:r w:rsidRPr="00857775">
              <w:rPr>
                <w:rFonts w:ascii="Arial" w:eastAsia="Calibri" w:hAnsi="Arial" w:cs="Arial"/>
                <w:color w:val="000000"/>
                <w:sz w:val="20"/>
                <w:szCs w:val="20"/>
              </w:rPr>
              <w:t>85,24±1,03</w:t>
            </w:r>
          </w:p>
        </w:tc>
        <w:tc>
          <w:tcPr>
            <w:tcW w:w="1520" w:type="dxa"/>
          </w:tcPr>
          <w:p w14:paraId="1A96AC8E" w14:textId="77777777" w:rsidR="0070524F" w:rsidRPr="00857775" w:rsidRDefault="0070524F" w:rsidP="0070524F">
            <w:pPr>
              <w:spacing w:before="120" w:after="200"/>
              <w:jc w:val="both"/>
              <w:rPr>
                <w:rFonts w:ascii="Arial" w:eastAsia="Calibri" w:hAnsi="Arial" w:cs="Arial"/>
                <w:sz w:val="20"/>
                <w:szCs w:val="20"/>
              </w:rPr>
            </w:pPr>
            <w:r w:rsidRPr="00857775">
              <w:rPr>
                <w:rFonts w:ascii="Arial" w:eastAsia="Calibri" w:hAnsi="Arial" w:cs="Arial"/>
                <w:color w:val="000000"/>
                <w:sz w:val="20"/>
                <w:szCs w:val="20"/>
              </w:rPr>
              <w:t>84,15±1,32</w:t>
            </w:r>
          </w:p>
        </w:tc>
      </w:tr>
      <w:tr w:rsidR="0070524F" w:rsidRPr="00857775" w14:paraId="4D581B28" w14:textId="77777777" w:rsidTr="00BE56F0">
        <w:tc>
          <w:tcPr>
            <w:tcW w:w="1778" w:type="dxa"/>
          </w:tcPr>
          <w:p w14:paraId="74F4FB55" w14:textId="77777777" w:rsidR="0070524F" w:rsidRPr="00857775" w:rsidRDefault="0070524F" w:rsidP="0070524F">
            <w:pPr>
              <w:spacing w:before="120"/>
              <w:jc w:val="both"/>
              <w:rPr>
                <w:rFonts w:ascii="Arial" w:eastAsia="Times New Roman" w:hAnsi="Arial" w:cs="Arial"/>
                <w:b/>
                <w:bCs/>
                <w:sz w:val="20"/>
                <w:szCs w:val="20"/>
              </w:rPr>
            </w:pPr>
          </w:p>
        </w:tc>
        <w:tc>
          <w:tcPr>
            <w:tcW w:w="1370" w:type="dxa"/>
          </w:tcPr>
          <w:p w14:paraId="755AE2DD" w14:textId="77777777" w:rsidR="0070524F" w:rsidRPr="00857775" w:rsidRDefault="0070524F" w:rsidP="0070524F">
            <w:pPr>
              <w:spacing w:before="120"/>
              <w:jc w:val="center"/>
              <w:rPr>
                <w:rFonts w:ascii="Arial" w:eastAsia="Times New Roman" w:hAnsi="Arial" w:cs="Arial"/>
                <w:b/>
                <w:bCs/>
                <w:sz w:val="20"/>
                <w:szCs w:val="20"/>
              </w:rPr>
            </w:pPr>
            <w:r w:rsidRPr="00857775">
              <w:rPr>
                <w:rFonts w:ascii="Arial" w:eastAsia="Times New Roman" w:hAnsi="Arial" w:cs="Arial"/>
                <w:b/>
                <w:bCs/>
                <w:sz w:val="20"/>
                <w:szCs w:val="20"/>
              </w:rPr>
              <w:t>3</w:t>
            </w:r>
          </w:p>
        </w:tc>
        <w:tc>
          <w:tcPr>
            <w:tcW w:w="1468" w:type="dxa"/>
          </w:tcPr>
          <w:p w14:paraId="3ABE2335" w14:textId="77777777" w:rsidR="0070524F" w:rsidRPr="00857775" w:rsidRDefault="0070524F" w:rsidP="0070524F">
            <w:pPr>
              <w:spacing w:before="120" w:after="200"/>
              <w:jc w:val="both"/>
              <w:rPr>
                <w:rFonts w:ascii="Arial" w:eastAsia="Calibri" w:hAnsi="Arial" w:cs="Arial"/>
                <w:sz w:val="20"/>
                <w:szCs w:val="20"/>
              </w:rPr>
            </w:pPr>
            <w:r w:rsidRPr="00857775">
              <w:rPr>
                <w:rFonts w:ascii="Arial" w:eastAsia="Calibri" w:hAnsi="Arial" w:cs="Arial"/>
                <w:color w:val="000000"/>
                <w:sz w:val="20"/>
                <w:szCs w:val="20"/>
              </w:rPr>
              <w:t>92,45±2,45</w:t>
            </w:r>
          </w:p>
        </w:tc>
        <w:tc>
          <w:tcPr>
            <w:tcW w:w="1468" w:type="dxa"/>
          </w:tcPr>
          <w:p w14:paraId="2B5989E3" w14:textId="77777777" w:rsidR="0070524F" w:rsidRPr="00857775" w:rsidRDefault="0070524F" w:rsidP="0070524F">
            <w:pPr>
              <w:spacing w:before="120" w:after="200"/>
              <w:jc w:val="both"/>
              <w:rPr>
                <w:rFonts w:ascii="Arial" w:eastAsia="Calibri" w:hAnsi="Arial" w:cs="Arial"/>
                <w:sz w:val="20"/>
                <w:szCs w:val="20"/>
              </w:rPr>
            </w:pPr>
            <w:r w:rsidRPr="00857775">
              <w:rPr>
                <w:rFonts w:ascii="Arial" w:eastAsia="Calibri" w:hAnsi="Arial" w:cs="Arial"/>
                <w:color w:val="000000"/>
                <w:sz w:val="20"/>
                <w:szCs w:val="20"/>
              </w:rPr>
              <w:t>91,85±1,84</w:t>
            </w:r>
          </w:p>
        </w:tc>
        <w:tc>
          <w:tcPr>
            <w:tcW w:w="1468" w:type="dxa"/>
          </w:tcPr>
          <w:p w14:paraId="250B96F1" w14:textId="77777777" w:rsidR="0070524F" w:rsidRPr="00857775" w:rsidRDefault="0070524F" w:rsidP="0070524F">
            <w:pPr>
              <w:spacing w:before="120" w:after="200"/>
              <w:jc w:val="both"/>
              <w:rPr>
                <w:rFonts w:ascii="Arial" w:eastAsia="Calibri" w:hAnsi="Arial" w:cs="Arial"/>
                <w:sz w:val="20"/>
                <w:szCs w:val="20"/>
              </w:rPr>
            </w:pPr>
            <w:r w:rsidRPr="00857775">
              <w:rPr>
                <w:rFonts w:ascii="Arial" w:eastAsia="Calibri" w:hAnsi="Arial" w:cs="Arial"/>
                <w:color w:val="000000"/>
                <w:sz w:val="20"/>
                <w:szCs w:val="20"/>
              </w:rPr>
              <w:t>92±1,66</w:t>
            </w:r>
          </w:p>
        </w:tc>
        <w:tc>
          <w:tcPr>
            <w:tcW w:w="1520" w:type="dxa"/>
          </w:tcPr>
          <w:p w14:paraId="48AA6E59" w14:textId="77777777" w:rsidR="0070524F" w:rsidRPr="00857775" w:rsidRDefault="0070524F" w:rsidP="0070524F">
            <w:pPr>
              <w:spacing w:before="120" w:after="200"/>
              <w:jc w:val="both"/>
              <w:rPr>
                <w:rFonts w:ascii="Arial" w:eastAsia="Calibri" w:hAnsi="Arial" w:cs="Arial"/>
                <w:sz w:val="20"/>
                <w:szCs w:val="20"/>
              </w:rPr>
            </w:pPr>
            <w:r w:rsidRPr="00857775">
              <w:rPr>
                <w:rFonts w:ascii="Arial" w:eastAsia="Calibri" w:hAnsi="Arial" w:cs="Arial"/>
                <w:color w:val="000000"/>
                <w:sz w:val="20"/>
                <w:szCs w:val="20"/>
              </w:rPr>
              <w:t>92,64±2,53</w:t>
            </w:r>
          </w:p>
        </w:tc>
      </w:tr>
      <w:tr w:rsidR="0070524F" w:rsidRPr="00857775" w14:paraId="6DF29751" w14:textId="77777777" w:rsidTr="00BE56F0">
        <w:tc>
          <w:tcPr>
            <w:tcW w:w="1778" w:type="dxa"/>
          </w:tcPr>
          <w:p w14:paraId="4816AAAB" w14:textId="77777777" w:rsidR="0070524F" w:rsidRPr="00857775" w:rsidRDefault="0070524F" w:rsidP="0070524F">
            <w:pPr>
              <w:spacing w:before="120"/>
              <w:jc w:val="both"/>
              <w:rPr>
                <w:rFonts w:ascii="Arial" w:eastAsia="Times New Roman" w:hAnsi="Arial" w:cs="Arial"/>
                <w:b/>
                <w:bCs/>
                <w:sz w:val="20"/>
                <w:szCs w:val="20"/>
              </w:rPr>
            </w:pPr>
          </w:p>
        </w:tc>
        <w:tc>
          <w:tcPr>
            <w:tcW w:w="1370" w:type="dxa"/>
          </w:tcPr>
          <w:p w14:paraId="289E337F" w14:textId="77777777" w:rsidR="0070524F" w:rsidRPr="00857775" w:rsidRDefault="0070524F" w:rsidP="0070524F">
            <w:pPr>
              <w:spacing w:before="120"/>
              <w:jc w:val="center"/>
              <w:rPr>
                <w:rFonts w:ascii="Arial" w:eastAsia="Times New Roman" w:hAnsi="Arial" w:cs="Arial"/>
                <w:b/>
                <w:bCs/>
                <w:sz w:val="20"/>
                <w:szCs w:val="20"/>
              </w:rPr>
            </w:pPr>
            <w:r w:rsidRPr="00857775">
              <w:rPr>
                <w:rFonts w:ascii="Arial" w:eastAsia="Times New Roman" w:hAnsi="Arial" w:cs="Arial"/>
                <w:b/>
                <w:bCs/>
                <w:sz w:val="20"/>
                <w:szCs w:val="20"/>
              </w:rPr>
              <w:t>4</w:t>
            </w:r>
          </w:p>
        </w:tc>
        <w:tc>
          <w:tcPr>
            <w:tcW w:w="1468" w:type="dxa"/>
          </w:tcPr>
          <w:p w14:paraId="582A4CA7" w14:textId="77777777" w:rsidR="0070524F" w:rsidRPr="00857775" w:rsidRDefault="0070524F" w:rsidP="0070524F">
            <w:pPr>
              <w:spacing w:before="120" w:after="120"/>
              <w:jc w:val="both"/>
              <w:rPr>
                <w:rFonts w:ascii="Arial" w:eastAsia="Calibri" w:hAnsi="Arial" w:cs="Arial"/>
                <w:color w:val="000000"/>
                <w:sz w:val="20"/>
                <w:szCs w:val="20"/>
              </w:rPr>
            </w:pPr>
            <w:r w:rsidRPr="00857775">
              <w:rPr>
                <w:rFonts w:ascii="Arial" w:eastAsia="Calibri" w:hAnsi="Arial" w:cs="Arial"/>
                <w:color w:val="000000"/>
                <w:sz w:val="20"/>
                <w:szCs w:val="20"/>
              </w:rPr>
              <w:t>97,55±2,77</w:t>
            </w:r>
          </w:p>
        </w:tc>
        <w:tc>
          <w:tcPr>
            <w:tcW w:w="1468" w:type="dxa"/>
          </w:tcPr>
          <w:p w14:paraId="69CB8160" w14:textId="77777777" w:rsidR="0070524F" w:rsidRPr="00857775" w:rsidRDefault="0070524F" w:rsidP="0070524F">
            <w:pPr>
              <w:spacing w:before="120" w:after="200"/>
              <w:jc w:val="both"/>
              <w:rPr>
                <w:rFonts w:ascii="Arial" w:eastAsia="Calibri" w:hAnsi="Arial" w:cs="Arial"/>
                <w:sz w:val="20"/>
                <w:szCs w:val="20"/>
              </w:rPr>
            </w:pPr>
            <w:r w:rsidRPr="00857775">
              <w:rPr>
                <w:rFonts w:ascii="Arial" w:eastAsia="Calibri" w:hAnsi="Arial" w:cs="Arial"/>
                <w:color w:val="000000"/>
                <w:sz w:val="20"/>
                <w:szCs w:val="20"/>
              </w:rPr>
              <w:t>98,25±2,38</w:t>
            </w:r>
          </w:p>
        </w:tc>
        <w:tc>
          <w:tcPr>
            <w:tcW w:w="1468" w:type="dxa"/>
          </w:tcPr>
          <w:p w14:paraId="3F2F307E" w14:textId="77777777" w:rsidR="0070524F" w:rsidRPr="00857775" w:rsidRDefault="0070524F" w:rsidP="0070524F">
            <w:pPr>
              <w:spacing w:before="120" w:after="200"/>
              <w:jc w:val="both"/>
              <w:rPr>
                <w:rFonts w:ascii="Arial" w:eastAsia="Calibri" w:hAnsi="Arial" w:cs="Arial"/>
                <w:sz w:val="20"/>
                <w:szCs w:val="20"/>
              </w:rPr>
            </w:pPr>
            <w:r w:rsidRPr="00857775">
              <w:rPr>
                <w:rFonts w:ascii="Arial" w:eastAsia="Calibri" w:hAnsi="Arial" w:cs="Arial"/>
                <w:color w:val="000000"/>
                <w:sz w:val="20"/>
                <w:szCs w:val="20"/>
              </w:rPr>
              <w:t>98,28±1,86</w:t>
            </w:r>
          </w:p>
        </w:tc>
        <w:tc>
          <w:tcPr>
            <w:tcW w:w="1520" w:type="dxa"/>
          </w:tcPr>
          <w:p w14:paraId="10642BD7" w14:textId="77777777" w:rsidR="0070524F" w:rsidRPr="00857775" w:rsidRDefault="0070524F" w:rsidP="0070524F">
            <w:pPr>
              <w:spacing w:before="120" w:after="200"/>
              <w:jc w:val="both"/>
              <w:rPr>
                <w:rFonts w:ascii="Arial" w:eastAsia="Calibri" w:hAnsi="Arial" w:cs="Arial"/>
                <w:sz w:val="20"/>
                <w:szCs w:val="20"/>
              </w:rPr>
            </w:pPr>
            <w:r w:rsidRPr="00857775">
              <w:rPr>
                <w:rFonts w:ascii="Arial" w:eastAsia="Calibri" w:hAnsi="Arial" w:cs="Arial"/>
                <w:color w:val="000000"/>
                <w:sz w:val="20"/>
                <w:szCs w:val="20"/>
              </w:rPr>
              <w:t>97,05±2,90</w:t>
            </w:r>
          </w:p>
        </w:tc>
      </w:tr>
      <w:tr w:rsidR="0070524F" w:rsidRPr="00857775" w14:paraId="1EFF3DEA" w14:textId="77777777" w:rsidTr="00BE56F0">
        <w:tc>
          <w:tcPr>
            <w:tcW w:w="1778" w:type="dxa"/>
          </w:tcPr>
          <w:p w14:paraId="0EA3F1D2" w14:textId="77777777" w:rsidR="0070524F" w:rsidRPr="00857775" w:rsidRDefault="0070524F" w:rsidP="0070524F">
            <w:pPr>
              <w:spacing w:before="120"/>
              <w:jc w:val="both"/>
              <w:rPr>
                <w:rFonts w:ascii="Arial" w:eastAsia="Times New Roman" w:hAnsi="Arial" w:cs="Arial"/>
                <w:b/>
                <w:bCs/>
                <w:sz w:val="20"/>
                <w:szCs w:val="20"/>
              </w:rPr>
            </w:pPr>
            <w:r w:rsidRPr="00857775">
              <w:rPr>
                <w:rFonts w:ascii="Arial" w:eastAsia="Times New Roman" w:hAnsi="Arial" w:cs="Arial"/>
                <w:b/>
                <w:bCs/>
                <w:sz w:val="20"/>
                <w:szCs w:val="20"/>
              </w:rPr>
              <w:t>Monthly average</w:t>
            </w:r>
          </w:p>
          <w:p w14:paraId="4280AE46" w14:textId="77777777" w:rsidR="0070524F" w:rsidRPr="00857775" w:rsidRDefault="0070524F" w:rsidP="0070524F">
            <w:pPr>
              <w:spacing w:before="120"/>
              <w:jc w:val="both"/>
              <w:rPr>
                <w:rFonts w:ascii="Arial" w:eastAsia="Times New Roman" w:hAnsi="Arial" w:cs="Arial"/>
                <w:b/>
                <w:bCs/>
                <w:sz w:val="20"/>
                <w:szCs w:val="20"/>
              </w:rPr>
            </w:pPr>
          </w:p>
        </w:tc>
        <w:tc>
          <w:tcPr>
            <w:tcW w:w="1370" w:type="dxa"/>
          </w:tcPr>
          <w:p w14:paraId="5DAA9AFB" w14:textId="77777777" w:rsidR="0070524F" w:rsidRPr="00857775" w:rsidRDefault="0070524F" w:rsidP="0070524F">
            <w:pPr>
              <w:spacing w:before="120"/>
              <w:jc w:val="both"/>
              <w:rPr>
                <w:rFonts w:ascii="Arial" w:eastAsia="Times New Roman" w:hAnsi="Arial" w:cs="Arial"/>
                <w:b/>
                <w:bCs/>
                <w:sz w:val="20"/>
                <w:szCs w:val="20"/>
              </w:rPr>
            </w:pPr>
          </w:p>
        </w:tc>
        <w:tc>
          <w:tcPr>
            <w:tcW w:w="1468" w:type="dxa"/>
          </w:tcPr>
          <w:p w14:paraId="75086A12" w14:textId="77777777" w:rsidR="0070524F" w:rsidRPr="00857775" w:rsidRDefault="0070524F" w:rsidP="0070524F">
            <w:pPr>
              <w:spacing w:before="120"/>
              <w:jc w:val="both"/>
              <w:rPr>
                <w:rFonts w:ascii="Arial" w:eastAsia="Times New Roman" w:hAnsi="Arial" w:cs="Arial"/>
                <w:bCs/>
                <w:sz w:val="20"/>
                <w:szCs w:val="20"/>
              </w:rPr>
            </w:pPr>
            <w:r w:rsidRPr="00857775">
              <w:rPr>
                <w:rFonts w:ascii="Arial" w:eastAsia="Times New Roman" w:hAnsi="Arial" w:cs="Arial"/>
                <w:bCs/>
                <w:sz w:val="20"/>
                <w:szCs w:val="20"/>
              </w:rPr>
              <w:t>89,95</w:t>
            </w:r>
            <w:r w:rsidRPr="00857775">
              <w:rPr>
                <w:rFonts w:ascii="Arial" w:eastAsia="Calibri" w:hAnsi="Arial" w:cs="Arial"/>
                <w:color w:val="000000"/>
                <w:sz w:val="20"/>
                <w:szCs w:val="20"/>
              </w:rPr>
              <w:t>±1,66</w:t>
            </w:r>
          </w:p>
        </w:tc>
        <w:tc>
          <w:tcPr>
            <w:tcW w:w="1468" w:type="dxa"/>
          </w:tcPr>
          <w:p w14:paraId="5EDA1B0A" w14:textId="77777777" w:rsidR="0070524F" w:rsidRPr="00857775" w:rsidRDefault="0070524F" w:rsidP="0070524F">
            <w:pPr>
              <w:spacing w:before="120"/>
              <w:jc w:val="both"/>
              <w:rPr>
                <w:rFonts w:ascii="Arial" w:eastAsia="Times New Roman" w:hAnsi="Arial" w:cs="Arial"/>
                <w:bCs/>
                <w:sz w:val="20"/>
                <w:szCs w:val="20"/>
              </w:rPr>
            </w:pPr>
            <w:r w:rsidRPr="00857775">
              <w:rPr>
                <w:rFonts w:ascii="Arial" w:eastAsia="Times New Roman" w:hAnsi="Arial" w:cs="Arial"/>
                <w:bCs/>
                <w:sz w:val="20"/>
                <w:szCs w:val="20"/>
              </w:rPr>
              <w:t>89,19</w:t>
            </w:r>
            <w:r w:rsidRPr="00857775">
              <w:rPr>
                <w:rFonts w:ascii="Arial" w:eastAsia="Calibri" w:hAnsi="Arial" w:cs="Arial"/>
                <w:color w:val="000000"/>
                <w:sz w:val="20"/>
                <w:szCs w:val="20"/>
              </w:rPr>
              <w:t>±2,23</w:t>
            </w:r>
          </w:p>
        </w:tc>
        <w:tc>
          <w:tcPr>
            <w:tcW w:w="1468" w:type="dxa"/>
          </w:tcPr>
          <w:p w14:paraId="704C3B0D" w14:textId="77777777" w:rsidR="0070524F" w:rsidRPr="00857775" w:rsidRDefault="0070524F" w:rsidP="0070524F">
            <w:pPr>
              <w:spacing w:before="120"/>
              <w:jc w:val="both"/>
              <w:rPr>
                <w:rFonts w:ascii="Arial" w:eastAsia="Times New Roman" w:hAnsi="Arial" w:cs="Arial"/>
                <w:bCs/>
                <w:sz w:val="20"/>
                <w:szCs w:val="20"/>
              </w:rPr>
            </w:pPr>
            <w:r w:rsidRPr="00857775">
              <w:rPr>
                <w:rFonts w:ascii="Arial" w:eastAsia="Times New Roman" w:hAnsi="Arial" w:cs="Arial"/>
                <w:bCs/>
                <w:sz w:val="20"/>
                <w:szCs w:val="20"/>
              </w:rPr>
              <w:t>90,25</w:t>
            </w:r>
            <w:r w:rsidRPr="00857775">
              <w:rPr>
                <w:rFonts w:ascii="Arial" w:eastAsia="Calibri" w:hAnsi="Arial" w:cs="Arial"/>
                <w:color w:val="000000"/>
                <w:sz w:val="20"/>
                <w:szCs w:val="20"/>
              </w:rPr>
              <w:t>±1,27</w:t>
            </w:r>
          </w:p>
        </w:tc>
        <w:tc>
          <w:tcPr>
            <w:tcW w:w="1520" w:type="dxa"/>
          </w:tcPr>
          <w:p w14:paraId="37825B8F" w14:textId="77777777" w:rsidR="0070524F" w:rsidRPr="00857775" w:rsidRDefault="0070524F" w:rsidP="0070524F">
            <w:pPr>
              <w:spacing w:before="120"/>
              <w:jc w:val="both"/>
              <w:rPr>
                <w:rFonts w:ascii="Arial" w:eastAsia="Times New Roman" w:hAnsi="Arial" w:cs="Arial"/>
                <w:bCs/>
                <w:sz w:val="20"/>
                <w:szCs w:val="20"/>
              </w:rPr>
            </w:pPr>
            <w:r w:rsidRPr="00857775">
              <w:rPr>
                <w:rFonts w:ascii="Arial" w:eastAsia="Times New Roman" w:hAnsi="Arial" w:cs="Arial"/>
                <w:bCs/>
                <w:sz w:val="20"/>
                <w:szCs w:val="20"/>
              </w:rPr>
              <w:t>89,28</w:t>
            </w:r>
            <w:r w:rsidRPr="00857775">
              <w:rPr>
                <w:rFonts w:ascii="Arial" w:eastAsia="Calibri" w:hAnsi="Arial" w:cs="Arial"/>
                <w:color w:val="000000"/>
                <w:sz w:val="20"/>
                <w:szCs w:val="20"/>
              </w:rPr>
              <w:t>±2,15</w:t>
            </w:r>
          </w:p>
        </w:tc>
      </w:tr>
      <w:tr w:rsidR="00885935" w:rsidRPr="00857775" w14:paraId="17565F95" w14:textId="77777777" w:rsidTr="00BE56F0">
        <w:tc>
          <w:tcPr>
            <w:tcW w:w="1778" w:type="dxa"/>
          </w:tcPr>
          <w:p w14:paraId="40F6FFFE" w14:textId="77777777" w:rsidR="00885935" w:rsidRPr="00857775" w:rsidRDefault="00885935" w:rsidP="0070524F">
            <w:pPr>
              <w:spacing w:before="120"/>
              <w:jc w:val="both"/>
              <w:rPr>
                <w:rFonts w:ascii="Arial" w:eastAsia="Times New Roman" w:hAnsi="Arial" w:cs="Arial"/>
                <w:b/>
                <w:bCs/>
                <w:sz w:val="20"/>
                <w:szCs w:val="20"/>
              </w:rPr>
            </w:pPr>
            <w:r w:rsidRPr="00857775">
              <w:rPr>
                <w:rFonts w:ascii="Arial" w:eastAsia="Times New Roman" w:hAnsi="Arial" w:cs="Arial"/>
                <w:b/>
                <w:bCs/>
                <w:sz w:val="20"/>
                <w:szCs w:val="20"/>
              </w:rPr>
              <w:t>P. value</w:t>
            </w:r>
          </w:p>
        </w:tc>
        <w:tc>
          <w:tcPr>
            <w:tcW w:w="1370" w:type="dxa"/>
          </w:tcPr>
          <w:p w14:paraId="5EC77FC6" w14:textId="77777777" w:rsidR="00885935" w:rsidRPr="00857775" w:rsidRDefault="00885935" w:rsidP="0070524F">
            <w:pPr>
              <w:spacing w:before="120"/>
              <w:jc w:val="both"/>
              <w:rPr>
                <w:rFonts w:ascii="Arial" w:eastAsia="Times New Roman" w:hAnsi="Arial" w:cs="Arial"/>
                <w:b/>
                <w:bCs/>
                <w:sz w:val="20"/>
                <w:szCs w:val="20"/>
              </w:rPr>
            </w:pPr>
          </w:p>
        </w:tc>
        <w:tc>
          <w:tcPr>
            <w:tcW w:w="1468" w:type="dxa"/>
          </w:tcPr>
          <w:p w14:paraId="267DBA3B" w14:textId="77777777" w:rsidR="00885935" w:rsidRPr="00857775" w:rsidRDefault="00885935" w:rsidP="0070524F">
            <w:pPr>
              <w:spacing w:before="120"/>
              <w:jc w:val="both"/>
              <w:rPr>
                <w:rFonts w:ascii="Arial" w:eastAsia="Times New Roman" w:hAnsi="Arial" w:cs="Arial"/>
                <w:b/>
                <w:bCs/>
                <w:sz w:val="20"/>
                <w:szCs w:val="20"/>
              </w:rPr>
            </w:pPr>
          </w:p>
        </w:tc>
        <w:tc>
          <w:tcPr>
            <w:tcW w:w="1468" w:type="dxa"/>
          </w:tcPr>
          <w:p w14:paraId="405E211B" w14:textId="77777777" w:rsidR="00885935" w:rsidRPr="00857775" w:rsidRDefault="00885935" w:rsidP="0070524F">
            <w:pPr>
              <w:spacing w:before="120"/>
              <w:jc w:val="center"/>
              <w:rPr>
                <w:rFonts w:ascii="Arial" w:eastAsia="Times New Roman" w:hAnsi="Arial" w:cs="Arial"/>
                <w:bCs/>
                <w:sz w:val="20"/>
                <w:szCs w:val="20"/>
              </w:rPr>
            </w:pPr>
            <w:r w:rsidRPr="00857775">
              <w:rPr>
                <w:rFonts w:ascii="Arial" w:eastAsia="Times New Roman" w:hAnsi="Arial" w:cs="Arial"/>
                <w:bCs/>
                <w:sz w:val="20"/>
                <w:szCs w:val="20"/>
              </w:rPr>
              <w:t>0,18</w:t>
            </w:r>
            <w:r w:rsidR="00E51392" w:rsidRPr="00857775">
              <w:rPr>
                <w:rFonts w:ascii="Arial" w:eastAsia="Times New Roman" w:hAnsi="Arial" w:cs="Arial"/>
                <w:bCs/>
                <w:sz w:val="20"/>
                <w:szCs w:val="20"/>
              </w:rPr>
              <w:t>8</w:t>
            </w:r>
          </w:p>
        </w:tc>
        <w:tc>
          <w:tcPr>
            <w:tcW w:w="1468" w:type="dxa"/>
          </w:tcPr>
          <w:p w14:paraId="7628E112" w14:textId="77777777" w:rsidR="00885935" w:rsidRPr="00857775" w:rsidRDefault="00885935" w:rsidP="0070524F">
            <w:pPr>
              <w:spacing w:before="120"/>
              <w:jc w:val="both"/>
              <w:rPr>
                <w:rFonts w:ascii="Arial" w:eastAsia="Times New Roman" w:hAnsi="Arial" w:cs="Arial"/>
                <w:bCs/>
                <w:sz w:val="20"/>
                <w:szCs w:val="20"/>
              </w:rPr>
            </w:pPr>
            <w:r w:rsidRPr="00857775">
              <w:rPr>
                <w:rFonts w:ascii="Arial" w:eastAsia="Times New Roman" w:hAnsi="Arial" w:cs="Arial"/>
                <w:bCs/>
                <w:sz w:val="20"/>
                <w:szCs w:val="20"/>
              </w:rPr>
              <w:t>0,</w:t>
            </w:r>
            <w:r w:rsidR="007314F5" w:rsidRPr="00857775">
              <w:rPr>
                <w:rFonts w:ascii="Arial" w:eastAsia="Times New Roman" w:hAnsi="Arial" w:cs="Arial"/>
                <w:bCs/>
                <w:sz w:val="20"/>
                <w:szCs w:val="20"/>
              </w:rPr>
              <w:t>215</w:t>
            </w:r>
          </w:p>
        </w:tc>
        <w:tc>
          <w:tcPr>
            <w:tcW w:w="1520" w:type="dxa"/>
          </w:tcPr>
          <w:p w14:paraId="194F6EB2" w14:textId="77777777" w:rsidR="00885935" w:rsidRPr="00857775" w:rsidRDefault="0070524F" w:rsidP="0070524F">
            <w:pPr>
              <w:spacing w:before="120"/>
              <w:jc w:val="center"/>
              <w:rPr>
                <w:rFonts w:ascii="Arial" w:eastAsia="Times New Roman" w:hAnsi="Arial" w:cs="Arial"/>
                <w:bCs/>
                <w:sz w:val="20"/>
                <w:szCs w:val="20"/>
              </w:rPr>
            </w:pPr>
            <w:r w:rsidRPr="00857775">
              <w:rPr>
                <w:rFonts w:ascii="Arial" w:eastAsia="Times New Roman" w:hAnsi="Arial" w:cs="Arial"/>
                <w:bCs/>
                <w:sz w:val="20"/>
                <w:szCs w:val="20"/>
              </w:rPr>
              <w:t>0,235</w:t>
            </w:r>
          </w:p>
        </w:tc>
      </w:tr>
    </w:tbl>
    <w:p w14:paraId="679DA474" w14:textId="77777777" w:rsidR="00885935" w:rsidRPr="00857775" w:rsidRDefault="00885935" w:rsidP="00885935">
      <w:pPr>
        <w:jc w:val="both"/>
        <w:rPr>
          <w:rFonts w:ascii="Arial" w:hAnsi="Arial" w:cs="Arial"/>
          <w:sz w:val="20"/>
          <w:szCs w:val="20"/>
        </w:rPr>
      </w:pPr>
      <w:r w:rsidRPr="00857775">
        <w:rPr>
          <w:rFonts w:ascii="Arial" w:hAnsi="Arial" w:cs="Arial"/>
          <w:sz w:val="20"/>
          <w:szCs w:val="20"/>
        </w:rPr>
        <w:t>Results as mean ± standard error of the mean (SEM</w:t>
      </w:r>
      <w:proofErr w:type="gramStart"/>
      <w:r w:rsidRPr="00857775">
        <w:rPr>
          <w:rFonts w:ascii="Arial" w:hAnsi="Arial" w:cs="Arial"/>
          <w:sz w:val="20"/>
          <w:szCs w:val="20"/>
        </w:rPr>
        <w:t>);</w:t>
      </w:r>
      <w:proofErr w:type="gramEnd"/>
      <w:r w:rsidRPr="00857775">
        <w:rPr>
          <w:rFonts w:ascii="Arial" w:hAnsi="Arial" w:cs="Arial"/>
          <w:sz w:val="20"/>
          <w:szCs w:val="20"/>
        </w:rPr>
        <w:t xml:space="preserve"> *Significant </w:t>
      </w:r>
      <w:r w:rsidR="0043587E" w:rsidRPr="00857775">
        <w:rPr>
          <w:rFonts w:ascii="Arial" w:hAnsi="Arial" w:cs="Arial"/>
          <w:sz w:val="20"/>
          <w:szCs w:val="20"/>
        </w:rPr>
        <w:t>results :</w:t>
      </w:r>
      <w:r w:rsidRPr="00857775">
        <w:rPr>
          <w:rFonts w:ascii="Arial" w:hAnsi="Arial" w:cs="Arial"/>
          <w:sz w:val="20"/>
          <w:szCs w:val="20"/>
        </w:rPr>
        <w:t xml:space="preserve"> p&lt;0.05 </w:t>
      </w:r>
    </w:p>
    <w:p w14:paraId="25BAE15D" w14:textId="77777777" w:rsidR="00885935" w:rsidRPr="00857775" w:rsidRDefault="00885935" w:rsidP="00885935">
      <w:pPr>
        <w:jc w:val="both"/>
        <w:rPr>
          <w:rFonts w:ascii="Arial" w:hAnsi="Arial" w:cs="Arial"/>
          <w:sz w:val="20"/>
          <w:szCs w:val="20"/>
        </w:rPr>
      </w:pPr>
      <w:r w:rsidRPr="00857775">
        <w:rPr>
          <w:rFonts w:ascii="Arial" w:hAnsi="Arial" w:cs="Arial"/>
          <w:sz w:val="20"/>
          <w:szCs w:val="20"/>
        </w:rPr>
        <w:t>Analysis of Tables 5 shows no statistically significant difference in pellet and water consumption between the different treated groups and the control group, p&gt;0.05.</w:t>
      </w:r>
    </w:p>
    <w:p w14:paraId="0D6483DB" w14:textId="77777777" w:rsidR="0033155B" w:rsidRPr="00857775" w:rsidRDefault="0033155B" w:rsidP="00C322D8">
      <w:pPr>
        <w:jc w:val="both"/>
        <w:rPr>
          <w:rFonts w:ascii="Arial" w:hAnsi="Arial" w:cs="Arial"/>
          <w:b/>
          <w:bCs/>
          <w:sz w:val="20"/>
          <w:szCs w:val="20"/>
        </w:rPr>
      </w:pPr>
    </w:p>
    <w:p w14:paraId="64231E94" w14:textId="77777777" w:rsidR="00C322D8" w:rsidRPr="00857775" w:rsidRDefault="00C322D8" w:rsidP="00C322D8">
      <w:pPr>
        <w:jc w:val="both"/>
        <w:rPr>
          <w:rFonts w:ascii="Arial" w:hAnsi="Arial" w:cs="Arial"/>
          <w:b/>
          <w:bCs/>
          <w:sz w:val="22"/>
          <w:szCs w:val="22"/>
        </w:rPr>
      </w:pPr>
      <w:r w:rsidRPr="00857775">
        <w:rPr>
          <w:rFonts w:ascii="Arial" w:hAnsi="Arial" w:cs="Arial"/>
          <w:b/>
          <w:bCs/>
          <w:sz w:val="22"/>
          <w:szCs w:val="22"/>
        </w:rPr>
        <w:t>3.2.4. Hematological parameters</w:t>
      </w:r>
    </w:p>
    <w:p w14:paraId="3259128C" w14:textId="77777777" w:rsidR="00C322D8" w:rsidRPr="00857775" w:rsidRDefault="00C322D8" w:rsidP="00C322D8">
      <w:pPr>
        <w:jc w:val="both"/>
        <w:rPr>
          <w:rFonts w:ascii="Arial" w:hAnsi="Arial" w:cs="Arial"/>
          <w:sz w:val="20"/>
          <w:szCs w:val="20"/>
        </w:rPr>
      </w:pPr>
      <w:r w:rsidRPr="00857775">
        <w:rPr>
          <w:rFonts w:ascii="Arial" w:hAnsi="Arial" w:cs="Arial"/>
          <w:sz w:val="20"/>
          <w:szCs w:val="20"/>
        </w:rPr>
        <w:t xml:space="preserve">The table </w:t>
      </w:r>
      <w:r w:rsidR="007D0001" w:rsidRPr="00857775">
        <w:rPr>
          <w:rFonts w:ascii="Arial" w:hAnsi="Arial" w:cs="Arial"/>
          <w:sz w:val="20"/>
          <w:szCs w:val="20"/>
        </w:rPr>
        <w:t xml:space="preserve">6 </w:t>
      </w:r>
      <w:r w:rsidRPr="00857775">
        <w:rPr>
          <w:rFonts w:ascii="Arial" w:hAnsi="Arial" w:cs="Arial"/>
          <w:sz w:val="20"/>
          <w:szCs w:val="20"/>
        </w:rPr>
        <w:t>presents the results of the hematological tests carried out on animals.</w:t>
      </w:r>
    </w:p>
    <w:tbl>
      <w:tblPr>
        <w:tblpPr w:leftFromText="141" w:rightFromText="141" w:vertAnchor="text" w:horzAnchor="margin" w:tblpY="184"/>
        <w:tblW w:w="9881" w:type="dxa"/>
        <w:tblBorders>
          <w:top w:val="single" w:sz="12" w:space="0" w:color="008000"/>
          <w:bottom w:val="single" w:sz="12" w:space="0" w:color="008000"/>
        </w:tblBorders>
        <w:tblLook w:val="04A0" w:firstRow="1" w:lastRow="0" w:firstColumn="1" w:lastColumn="0" w:noHBand="0" w:noVBand="1"/>
      </w:tblPr>
      <w:tblGrid>
        <w:gridCol w:w="1729"/>
        <w:gridCol w:w="1062"/>
        <w:gridCol w:w="1094"/>
        <w:gridCol w:w="2023"/>
        <w:gridCol w:w="1924"/>
        <w:gridCol w:w="2049"/>
      </w:tblGrid>
      <w:tr w:rsidR="00C322D8" w:rsidRPr="00857775" w14:paraId="540D3887" w14:textId="77777777" w:rsidTr="0043587E">
        <w:trPr>
          <w:trHeight w:val="304"/>
        </w:trPr>
        <w:tc>
          <w:tcPr>
            <w:tcW w:w="1729" w:type="dxa"/>
            <w:tcBorders>
              <w:top w:val="single" w:sz="4" w:space="0" w:color="auto"/>
              <w:bottom w:val="single" w:sz="4" w:space="0" w:color="auto"/>
            </w:tcBorders>
            <w:noWrap/>
            <w:hideMark/>
          </w:tcPr>
          <w:p w14:paraId="1E29453A" w14:textId="77777777" w:rsidR="00C322D8" w:rsidRPr="00857775" w:rsidRDefault="00C322D8" w:rsidP="00BE56F0">
            <w:pPr>
              <w:spacing w:line="240" w:lineRule="auto"/>
              <w:jc w:val="center"/>
              <w:rPr>
                <w:rFonts w:ascii="Arial" w:hAnsi="Arial" w:cs="Arial"/>
                <w:b/>
                <w:i/>
                <w:color w:val="000000"/>
                <w:sz w:val="20"/>
                <w:szCs w:val="20"/>
                <w:lang w:eastAsia="fr-FR"/>
              </w:rPr>
            </w:pPr>
          </w:p>
        </w:tc>
        <w:tc>
          <w:tcPr>
            <w:tcW w:w="1062" w:type="dxa"/>
            <w:tcBorders>
              <w:top w:val="single" w:sz="4" w:space="0" w:color="auto"/>
              <w:bottom w:val="single" w:sz="4" w:space="0" w:color="auto"/>
            </w:tcBorders>
            <w:noWrap/>
            <w:hideMark/>
          </w:tcPr>
          <w:p w14:paraId="305176AC" w14:textId="77777777" w:rsidR="00C322D8" w:rsidRPr="00857775" w:rsidRDefault="00C322D8" w:rsidP="00BE56F0">
            <w:pPr>
              <w:spacing w:line="240" w:lineRule="auto"/>
              <w:jc w:val="center"/>
              <w:rPr>
                <w:rFonts w:ascii="Arial" w:hAnsi="Arial" w:cs="Arial"/>
                <w:b/>
                <w:i/>
                <w:color w:val="000000"/>
                <w:sz w:val="20"/>
                <w:szCs w:val="20"/>
                <w:lang w:eastAsia="fr-FR"/>
              </w:rPr>
            </w:pPr>
          </w:p>
        </w:tc>
        <w:tc>
          <w:tcPr>
            <w:tcW w:w="3117" w:type="dxa"/>
            <w:gridSpan w:val="2"/>
            <w:tcBorders>
              <w:top w:val="single" w:sz="4" w:space="0" w:color="auto"/>
              <w:bottom w:val="single" w:sz="4" w:space="0" w:color="auto"/>
            </w:tcBorders>
            <w:noWrap/>
            <w:hideMark/>
          </w:tcPr>
          <w:p w14:paraId="40426B97" w14:textId="77777777" w:rsidR="00C322D8" w:rsidRPr="00857775" w:rsidRDefault="00C322D8" w:rsidP="00C322D8">
            <w:pPr>
              <w:spacing w:line="240" w:lineRule="auto"/>
              <w:jc w:val="right"/>
              <w:rPr>
                <w:rFonts w:ascii="Arial" w:hAnsi="Arial" w:cs="Arial"/>
                <w:b/>
                <w:i/>
                <w:color w:val="000000"/>
                <w:sz w:val="20"/>
                <w:szCs w:val="20"/>
                <w:lang w:eastAsia="fr-FR"/>
              </w:rPr>
            </w:pPr>
            <w:r w:rsidRPr="00857775">
              <w:rPr>
                <w:rFonts w:ascii="Arial" w:hAnsi="Arial" w:cs="Arial"/>
                <w:b/>
                <w:i/>
                <w:color w:val="000000"/>
                <w:sz w:val="20"/>
                <w:szCs w:val="20"/>
                <w:lang w:eastAsia="fr-FR"/>
              </w:rPr>
              <w:t>Dose</w:t>
            </w:r>
          </w:p>
        </w:tc>
        <w:tc>
          <w:tcPr>
            <w:tcW w:w="1924" w:type="dxa"/>
            <w:tcBorders>
              <w:top w:val="single" w:sz="4" w:space="0" w:color="auto"/>
              <w:bottom w:val="single" w:sz="4" w:space="0" w:color="auto"/>
            </w:tcBorders>
            <w:noWrap/>
            <w:hideMark/>
          </w:tcPr>
          <w:p w14:paraId="4F266828" w14:textId="77777777" w:rsidR="00C322D8" w:rsidRPr="00857775" w:rsidRDefault="00C322D8" w:rsidP="00BE56F0">
            <w:pPr>
              <w:spacing w:line="240" w:lineRule="auto"/>
              <w:jc w:val="center"/>
              <w:rPr>
                <w:rFonts w:ascii="Arial" w:hAnsi="Arial" w:cs="Arial"/>
                <w:color w:val="000000"/>
                <w:sz w:val="20"/>
                <w:szCs w:val="20"/>
                <w:lang w:eastAsia="fr-FR"/>
              </w:rPr>
            </w:pPr>
          </w:p>
        </w:tc>
        <w:tc>
          <w:tcPr>
            <w:tcW w:w="2049" w:type="dxa"/>
            <w:tcBorders>
              <w:top w:val="single" w:sz="4" w:space="0" w:color="auto"/>
              <w:bottom w:val="single" w:sz="4" w:space="0" w:color="auto"/>
            </w:tcBorders>
            <w:noWrap/>
            <w:hideMark/>
          </w:tcPr>
          <w:p w14:paraId="0F769A61" w14:textId="77777777" w:rsidR="00C322D8" w:rsidRPr="00857775" w:rsidRDefault="00C322D8" w:rsidP="00BE56F0">
            <w:pPr>
              <w:spacing w:line="240" w:lineRule="auto"/>
              <w:jc w:val="center"/>
              <w:rPr>
                <w:rFonts w:ascii="Arial" w:hAnsi="Arial" w:cs="Arial"/>
                <w:color w:val="000000"/>
                <w:sz w:val="20"/>
                <w:szCs w:val="20"/>
                <w:lang w:eastAsia="fr-FR"/>
              </w:rPr>
            </w:pPr>
          </w:p>
        </w:tc>
      </w:tr>
      <w:tr w:rsidR="00C322D8" w:rsidRPr="00857775" w14:paraId="1A09063E" w14:textId="77777777" w:rsidTr="0043587E">
        <w:trPr>
          <w:trHeight w:val="304"/>
        </w:trPr>
        <w:tc>
          <w:tcPr>
            <w:tcW w:w="1729" w:type="dxa"/>
            <w:tcBorders>
              <w:top w:val="single" w:sz="4" w:space="0" w:color="auto"/>
            </w:tcBorders>
            <w:noWrap/>
            <w:hideMark/>
          </w:tcPr>
          <w:p w14:paraId="1A3E8337" w14:textId="77777777" w:rsidR="00C322D8" w:rsidRPr="00857775" w:rsidRDefault="00C322D8" w:rsidP="0043587E">
            <w:pPr>
              <w:spacing w:line="240" w:lineRule="auto"/>
              <w:jc w:val="center"/>
              <w:rPr>
                <w:rFonts w:ascii="Arial" w:hAnsi="Arial" w:cs="Arial"/>
                <w:b/>
                <w:iCs/>
                <w:color w:val="000000"/>
                <w:sz w:val="20"/>
                <w:szCs w:val="20"/>
                <w:lang w:eastAsia="fr-FR"/>
              </w:rPr>
            </w:pPr>
            <w:r w:rsidRPr="00857775">
              <w:rPr>
                <w:rFonts w:ascii="Arial" w:hAnsi="Arial" w:cs="Arial"/>
                <w:b/>
                <w:iCs/>
                <w:color w:val="000000"/>
                <w:sz w:val="20"/>
                <w:szCs w:val="20"/>
                <w:lang w:eastAsia="fr-FR"/>
              </w:rPr>
              <w:t>Parameters</w:t>
            </w:r>
          </w:p>
        </w:tc>
        <w:tc>
          <w:tcPr>
            <w:tcW w:w="2156" w:type="dxa"/>
            <w:gridSpan w:val="2"/>
            <w:tcBorders>
              <w:top w:val="single" w:sz="4" w:space="0" w:color="auto"/>
            </w:tcBorders>
            <w:noWrap/>
            <w:hideMark/>
          </w:tcPr>
          <w:p w14:paraId="6B3C853B" w14:textId="77777777" w:rsidR="00C322D8" w:rsidRPr="00857775" w:rsidRDefault="00C322D8" w:rsidP="00BE56F0">
            <w:pPr>
              <w:spacing w:line="240" w:lineRule="auto"/>
              <w:jc w:val="center"/>
              <w:rPr>
                <w:rFonts w:ascii="Arial" w:hAnsi="Arial" w:cs="Arial"/>
                <w:b/>
                <w:iCs/>
                <w:color w:val="000000"/>
                <w:sz w:val="20"/>
                <w:szCs w:val="20"/>
                <w:lang w:eastAsia="fr-FR"/>
              </w:rPr>
            </w:pPr>
            <w:r w:rsidRPr="00857775">
              <w:rPr>
                <w:rFonts w:ascii="Arial" w:hAnsi="Arial" w:cs="Arial"/>
                <w:b/>
                <w:iCs/>
                <w:color w:val="000000"/>
                <w:sz w:val="20"/>
                <w:szCs w:val="20"/>
                <w:lang w:eastAsia="fr-FR"/>
              </w:rPr>
              <w:t>Control batch</w:t>
            </w:r>
          </w:p>
        </w:tc>
        <w:tc>
          <w:tcPr>
            <w:tcW w:w="2023" w:type="dxa"/>
            <w:tcBorders>
              <w:top w:val="single" w:sz="4" w:space="0" w:color="auto"/>
            </w:tcBorders>
            <w:noWrap/>
            <w:hideMark/>
          </w:tcPr>
          <w:p w14:paraId="0BD027BE" w14:textId="77777777" w:rsidR="00C322D8" w:rsidRPr="00857775" w:rsidRDefault="00C322D8" w:rsidP="00BE56F0">
            <w:pPr>
              <w:spacing w:line="240" w:lineRule="auto"/>
              <w:jc w:val="center"/>
              <w:rPr>
                <w:rFonts w:ascii="Arial" w:hAnsi="Arial" w:cs="Arial"/>
                <w:b/>
                <w:iCs/>
                <w:color w:val="000000"/>
                <w:sz w:val="20"/>
                <w:szCs w:val="20"/>
                <w:lang w:eastAsia="fr-FR"/>
              </w:rPr>
            </w:pPr>
            <w:r w:rsidRPr="00857775">
              <w:rPr>
                <w:rFonts w:ascii="Arial" w:hAnsi="Arial" w:cs="Arial"/>
                <w:b/>
                <w:iCs/>
                <w:color w:val="000000"/>
                <w:sz w:val="20"/>
                <w:szCs w:val="20"/>
                <w:lang w:eastAsia="fr-FR"/>
              </w:rPr>
              <w:t>500mg/Kg</w:t>
            </w:r>
          </w:p>
        </w:tc>
        <w:tc>
          <w:tcPr>
            <w:tcW w:w="1924" w:type="dxa"/>
            <w:tcBorders>
              <w:top w:val="single" w:sz="4" w:space="0" w:color="auto"/>
            </w:tcBorders>
            <w:noWrap/>
            <w:hideMark/>
          </w:tcPr>
          <w:p w14:paraId="4B914883" w14:textId="77777777" w:rsidR="00C322D8" w:rsidRPr="00857775" w:rsidRDefault="00C322D8" w:rsidP="00BE56F0">
            <w:pPr>
              <w:spacing w:line="240" w:lineRule="auto"/>
              <w:jc w:val="center"/>
              <w:rPr>
                <w:rFonts w:ascii="Arial" w:hAnsi="Arial" w:cs="Arial"/>
                <w:b/>
                <w:iCs/>
                <w:color w:val="000000"/>
                <w:sz w:val="20"/>
                <w:szCs w:val="20"/>
                <w:lang w:eastAsia="fr-FR"/>
              </w:rPr>
            </w:pPr>
            <w:r w:rsidRPr="00857775">
              <w:rPr>
                <w:rFonts w:ascii="Arial" w:hAnsi="Arial" w:cs="Arial"/>
                <w:b/>
                <w:iCs/>
                <w:color w:val="000000"/>
                <w:sz w:val="20"/>
                <w:szCs w:val="20"/>
                <w:lang w:eastAsia="fr-FR"/>
              </w:rPr>
              <w:t>750mg/Kg</w:t>
            </w:r>
          </w:p>
        </w:tc>
        <w:tc>
          <w:tcPr>
            <w:tcW w:w="2049" w:type="dxa"/>
            <w:tcBorders>
              <w:top w:val="single" w:sz="4" w:space="0" w:color="auto"/>
            </w:tcBorders>
            <w:noWrap/>
            <w:hideMark/>
          </w:tcPr>
          <w:p w14:paraId="1F97B50A" w14:textId="77777777" w:rsidR="00C322D8" w:rsidRPr="00857775" w:rsidRDefault="00C322D8" w:rsidP="00BE56F0">
            <w:pPr>
              <w:spacing w:line="240" w:lineRule="auto"/>
              <w:jc w:val="center"/>
              <w:rPr>
                <w:rFonts w:ascii="Arial" w:hAnsi="Arial" w:cs="Arial"/>
                <w:b/>
                <w:iCs/>
                <w:color w:val="000000"/>
                <w:sz w:val="20"/>
                <w:szCs w:val="20"/>
                <w:lang w:eastAsia="fr-FR"/>
              </w:rPr>
            </w:pPr>
            <w:r w:rsidRPr="00857775">
              <w:rPr>
                <w:rFonts w:ascii="Arial" w:hAnsi="Arial" w:cs="Arial"/>
                <w:b/>
                <w:iCs/>
                <w:color w:val="000000"/>
                <w:sz w:val="20"/>
                <w:szCs w:val="20"/>
                <w:lang w:eastAsia="fr-FR"/>
              </w:rPr>
              <w:t>1000mg/Kg</w:t>
            </w:r>
          </w:p>
        </w:tc>
      </w:tr>
      <w:tr w:rsidR="0070524F" w:rsidRPr="00857775" w14:paraId="7936244D" w14:textId="77777777" w:rsidTr="0043587E">
        <w:trPr>
          <w:trHeight w:val="304"/>
        </w:trPr>
        <w:tc>
          <w:tcPr>
            <w:tcW w:w="1729" w:type="dxa"/>
            <w:noWrap/>
            <w:hideMark/>
          </w:tcPr>
          <w:p w14:paraId="6741488B" w14:textId="77777777" w:rsidR="0070524F" w:rsidRPr="00857775" w:rsidRDefault="0070524F" w:rsidP="0070524F">
            <w:pPr>
              <w:spacing w:line="240" w:lineRule="auto"/>
              <w:jc w:val="center"/>
              <w:rPr>
                <w:rFonts w:ascii="Arial" w:hAnsi="Arial" w:cs="Arial"/>
                <w:b/>
                <w:i/>
                <w:color w:val="000000"/>
                <w:sz w:val="20"/>
                <w:szCs w:val="20"/>
                <w:lang w:eastAsia="fr-FR"/>
              </w:rPr>
            </w:pPr>
            <w:r w:rsidRPr="00857775">
              <w:rPr>
                <w:rFonts w:ascii="Arial" w:eastAsia="Times New Roman" w:hAnsi="Arial" w:cs="Arial"/>
                <w:bCs/>
                <w:color w:val="000000"/>
                <w:kern w:val="0"/>
                <w:sz w:val="20"/>
                <w:szCs w:val="20"/>
                <w:lang w:eastAsia="fr-FR"/>
                <w14:ligatures w14:val="none"/>
              </w:rPr>
              <w:t>RBC</w:t>
            </w:r>
            <w:r w:rsidRPr="00857775">
              <w:rPr>
                <w:rFonts w:ascii="Arial" w:eastAsia="Calibri" w:hAnsi="Arial" w:cs="Arial"/>
                <w:bCs/>
                <w:kern w:val="0"/>
                <w:sz w:val="20"/>
                <w:szCs w:val="20"/>
                <w14:ligatures w14:val="none"/>
              </w:rPr>
              <w:t xml:space="preserve"> (10</w:t>
            </w:r>
            <w:r w:rsidRPr="00857775">
              <w:rPr>
                <w:rFonts w:ascii="Arial" w:eastAsia="Calibri" w:hAnsi="Arial" w:cs="Arial"/>
                <w:bCs/>
                <w:kern w:val="0"/>
                <w:sz w:val="20"/>
                <w:szCs w:val="20"/>
                <w:vertAlign w:val="superscript"/>
                <w14:ligatures w14:val="none"/>
              </w:rPr>
              <w:t>8</w:t>
            </w:r>
            <w:r w:rsidRPr="00857775">
              <w:rPr>
                <w:rFonts w:ascii="Arial" w:eastAsia="Calibri" w:hAnsi="Arial" w:cs="Arial"/>
                <w:bCs/>
                <w:kern w:val="0"/>
                <w:sz w:val="20"/>
                <w:szCs w:val="20"/>
                <w14:ligatures w14:val="none"/>
              </w:rPr>
              <w:t>/mm</w:t>
            </w:r>
            <w:r w:rsidRPr="00857775">
              <w:rPr>
                <w:rFonts w:ascii="Arial" w:eastAsia="Calibri" w:hAnsi="Arial" w:cs="Arial"/>
                <w:bCs/>
                <w:kern w:val="0"/>
                <w:sz w:val="20"/>
                <w:szCs w:val="20"/>
                <w:vertAlign w:val="superscript"/>
                <w14:ligatures w14:val="none"/>
              </w:rPr>
              <w:t>3</w:t>
            </w:r>
            <w:r w:rsidRPr="00857775">
              <w:rPr>
                <w:rFonts w:ascii="Arial" w:eastAsia="Calibri" w:hAnsi="Arial" w:cs="Arial"/>
                <w:bCs/>
                <w:kern w:val="0"/>
                <w:sz w:val="20"/>
                <w:szCs w:val="20"/>
                <w14:ligatures w14:val="none"/>
              </w:rPr>
              <w:t>)</w:t>
            </w:r>
          </w:p>
        </w:tc>
        <w:tc>
          <w:tcPr>
            <w:tcW w:w="2156" w:type="dxa"/>
            <w:gridSpan w:val="2"/>
            <w:noWrap/>
            <w:hideMark/>
          </w:tcPr>
          <w:p w14:paraId="4E88FC66" w14:textId="77777777" w:rsidR="0070524F" w:rsidRPr="00857775" w:rsidRDefault="0070524F" w:rsidP="0070524F">
            <w:pPr>
              <w:spacing w:line="240" w:lineRule="auto"/>
              <w:jc w:val="center"/>
              <w:rPr>
                <w:rFonts w:ascii="Arial" w:hAnsi="Arial" w:cs="Arial"/>
                <w:sz w:val="20"/>
                <w:szCs w:val="20"/>
              </w:rPr>
            </w:pPr>
            <w:r w:rsidRPr="00857775">
              <w:rPr>
                <w:rFonts w:ascii="Arial" w:hAnsi="Arial" w:cs="Arial"/>
                <w:sz w:val="20"/>
                <w:szCs w:val="20"/>
              </w:rPr>
              <w:t>4,65±0,07</w:t>
            </w:r>
          </w:p>
        </w:tc>
        <w:tc>
          <w:tcPr>
            <w:tcW w:w="2023" w:type="dxa"/>
            <w:noWrap/>
            <w:hideMark/>
          </w:tcPr>
          <w:p w14:paraId="7847B137" w14:textId="77777777" w:rsidR="0070524F" w:rsidRPr="00857775" w:rsidRDefault="0070524F" w:rsidP="0070524F">
            <w:pPr>
              <w:spacing w:line="240" w:lineRule="auto"/>
              <w:jc w:val="center"/>
              <w:rPr>
                <w:rFonts w:ascii="Arial" w:hAnsi="Arial" w:cs="Arial"/>
                <w:color w:val="000000"/>
                <w:sz w:val="20"/>
                <w:szCs w:val="20"/>
                <w:lang w:eastAsia="fr-FR"/>
              </w:rPr>
            </w:pPr>
            <w:r w:rsidRPr="00857775">
              <w:rPr>
                <w:rFonts w:ascii="Arial" w:hAnsi="Arial" w:cs="Arial"/>
                <w:color w:val="000000"/>
                <w:sz w:val="20"/>
                <w:szCs w:val="20"/>
                <w:lang w:eastAsia="fr-FR"/>
              </w:rPr>
              <w:t>4,88±0,25</w:t>
            </w:r>
          </w:p>
        </w:tc>
        <w:tc>
          <w:tcPr>
            <w:tcW w:w="1924" w:type="dxa"/>
            <w:noWrap/>
            <w:hideMark/>
          </w:tcPr>
          <w:p w14:paraId="716674DA" w14:textId="77777777" w:rsidR="0070524F" w:rsidRPr="00857775" w:rsidRDefault="0070524F" w:rsidP="0070524F">
            <w:pPr>
              <w:spacing w:line="240" w:lineRule="auto"/>
              <w:jc w:val="center"/>
              <w:rPr>
                <w:rFonts w:ascii="Arial" w:hAnsi="Arial" w:cs="Arial"/>
                <w:color w:val="000000"/>
                <w:sz w:val="20"/>
                <w:szCs w:val="20"/>
                <w:lang w:eastAsia="fr-FR"/>
              </w:rPr>
            </w:pPr>
            <w:r w:rsidRPr="00857775">
              <w:rPr>
                <w:rFonts w:ascii="Arial" w:hAnsi="Arial" w:cs="Arial"/>
                <w:color w:val="000000"/>
                <w:sz w:val="20"/>
                <w:szCs w:val="20"/>
                <w:lang w:eastAsia="fr-FR"/>
              </w:rPr>
              <w:t>4,96±0,28</w:t>
            </w:r>
          </w:p>
        </w:tc>
        <w:tc>
          <w:tcPr>
            <w:tcW w:w="2049" w:type="dxa"/>
            <w:noWrap/>
            <w:hideMark/>
          </w:tcPr>
          <w:p w14:paraId="029DC25D" w14:textId="77777777" w:rsidR="0070524F" w:rsidRPr="00857775" w:rsidRDefault="0070524F" w:rsidP="0070524F">
            <w:pPr>
              <w:spacing w:line="240" w:lineRule="auto"/>
              <w:jc w:val="center"/>
              <w:rPr>
                <w:rFonts w:ascii="Arial" w:hAnsi="Arial" w:cs="Arial"/>
                <w:color w:val="000000"/>
                <w:sz w:val="20"/>
                <w:szCs w:val="20"/>
                <w:lang w:eastAsia="fr-FR"/>
              </w:rPr>
            </w:pPr>
            <w:r w:rsidRPr="00857775">
              <w:rPr>
                <w:rFonts w:ascii="Arial" w:hAnsi="Arial" w:cs="Arial"/>
                <w:color w:val="000000"/>
                <w:sz w:val="20"/>
                <w:szCs w:val="20"/>
                <w:lang w:eastAsia="fr-FR"/>
              </w:rPr>
              <w:t>5,11±0,23</w:t>
            </w:r>
          </w:p>
        </w:tc>
      </w:tr>
      <w:tr w:rsidR="0070524F" w:rsidRPr="00857775" w14:paraId="3CD5DFD4" w14:textId="77777777" w:rsidTr="0043587E">
        <w:trPr>
          <w:trHeight w:val="304"/>
        </w:trPr>
        <w:tc>
          <w:tcPr>
            <w:tcW w:w="1729" w:type="dxa"/>
            <w:noWrap/>
            <w:hideMark/>
          </w:tcPr>
          <w:p w14:paraId="2D1B98DC" w14:textId="77777777" w:rsidR="0070524F" w:rsidRPr="00857775" w:rsidRDefault="0070524F" w:rsidP="0070524F">
            <w:pPr>
              <w:spacing w:after="0" w:line="360" w:lineRule="auto"/>
              <w:jc w:val="center"/>
              <w:rPr>
                <w:rFonts w:ascii="Arial" w:eastAsia="Times New Roman" w:hAnsi="Arial" w:cs="Arial"/>
                <w:bCs/>
                <w:color w:val="000000"/>
                <w:kern w:val="0"/>
                <w:sz w:val="20"/>
                <w:szCs w:val="20"/>
                <w:lang w:eastAsia="fr-FR"/>
                <w14:ligatures w14:val="none"/>
              </w:rPr>
            </w:pPr>
            <w:r w:rsidRPr="00857775">
              <w:rPr>
                <w:rFonts w:ascii="Arial" w:eastAsia="Times New Roman" w:hAnsi="Arial" w:cs="Arial"/>
                <w:bCs/>
                <w:color w:val="000000"/>
                <w:kern w:val="0"/>
                <w:sz w:val="20"/>
                <w:szCs w:val="20"/>
                <w:lang w:eastAsia="fr-FR"/>
                <w14:ligatures w14:val="none"/>
              </w:rPr>
              <w:t>WBC</w:t>
            </w:r>
            <w:r w:rsidRPr="00857775">
              <w:rPr>
                <w:rFonts w:ascii="Arial" w:eastAsia="Calibri" w:hAnsi="Arial" w:cs="Arial"/>
                <w:bCs/>
                <w:kern w:val="0"/>
                <w:sz w:val="20"/>
                <w:szCs w:val="20"/>
                <w14:ligatures w14:val="none"/>
              </w:rPr>
              <w:t xml:space="preserve"> 10</w:t>
            </w:r>
            <w:r w:rsidRPr="00857775">
              <w:rPr>
                <w:rFonts w:ascii="Arial" w:eastAsia="Calibri" w:hAnsi="Arial" w:cs="Arial"/>
                <w:bCs/>
                <w:kern w:val="0"/>
                <w:sz w:val="20"/>
                <w:szCs w:val="20"/>
                <w:vertAlign w:val="superscript"/>
                <w14:ligatures w14:val="none"/>
              </w:rPr>
              <w:t>3</w:t>
            </w:r>
            <w:r w:rsidRPr="00857775">
              <w:rPr>
                <w:rFonts w:ascii="Arial" w:eastAsia="Calibri" w:hAnsi="Arial" w:cs="Arial"/>
                <w:bCs/>
                <w:kern w:val="0"/>
                <w:sz w:val="20"/>
                <w:szCs w:val="20"/>
                <w14:ligatures w14:val="none"/>
              </w:rPr>
              <w:t>/mm</w:t>
            </w:r>
            <w:r w:rsidRPr="00857775">
              <w:rPr>
                <w:rFonts w:ascii="Arial" w:eastAsia="Calibri" w:hAnsi="Arial" w:cs="Arial"/>
                <w:bCs/>
                <w:kern w:val="0"/>
                <w:sz w:val="20"/>
                <w:szCs w:val="20"/>
                <w:vertAlign w:val="superscript"/>
                <w14:ligatures w14:val="none"/>
              </w:rPr>
              <w:t>3</w:t>
            </w:r>
            <w:r w:rsidRPr="00857775">
              <w:rPr>
                <w:rFonts w:ascii="Arial" w:eastAsia="Calibri" w:hAnsi="Arial" w:cs="Arial"/>
                <w:bCs/>
                <w:kern w:val="0"/>
                <w:sz w:val="20"/>
                <w:szCs w:val="20"/>
                <w14:ligatures w14:val="none"/>
              </w:rPr>
              <w:t>)</w:t>
            </w:r>
          </w:p>
        </w:tc>
        <w:tc>
          <w:tcPr>
            <w:tcW w:w="2156" w:type="dxa"/>
            <w:gridSpan w:val="2"/>
            <w:noWrap/>
            <w:hideMark/>
          </w:tcPr>
          <w:p w14:paraId="16C3F648" w14:textId="77777777" w:rsidR="0070524F" w:rsidRPr="00857775" w:rsidRDefault="0070524F" w:rsidP="0070524F">
            <w:pPr>
              <w:spacing w:line="240" w:lineRule="auto"/>
              <w:jc w:val="center"/>
              <w:rPr>
                <w:rFonts w:ascii="Arial" w:hAnsi="Arial" w:cs="Arial"/>
                <w:sz w:val="20"/>
                <w:szCs w:val="20"/>
              </w:rPr>
            </w:pPr>
            <w:r w:rsidRPr="00857775">
              <w:rPr>
                <w:rFonts w:ascii="Arial" w:hAnsi="Arial" w:cs="Arial"/>
                <w:sz w:val="20"/>
                <w:szCs w:val="20"/>
              </w:rPr>
              <w:t>6,84±0,33</w:t>
            </w:r>
          </w:p>
        </w:tc>
        <w:tc>
          <w:tcPr>
            <w:tcW w:w="2023" w:type="dxa"/>
            <w:noWrap/>
            <w:hideMark/>
          </w:tcPr>
          <w:p w14:paraId="76CBF122" w14:textId="77777777" w:rsidR="0070524F" w:rsidRPr="00857775" w:rsidRDefault="0070524F" w:rsidP="0070524F">
            <w:pPr>
              <w:spacing w:line="240" w:lineRule="auto"/>
              <w:jc w:val="center"/>
              <w:rPr>
                <w:rFonts w:ascii="Arial" w:hAnsi="Arial" w:cs="Arial"/>
                <w:color w:val="000000"/>
                <w:sz w:val="20"/>
                <w:szCs w:val="20"/>
                <w:lang w:eastAsia="fr-FR"/>
              </w:rPr>
            </w:pPr>
            <w:r w:rsidRPr="00857775">
              <w:rPr>
                <w:rFonts w:ascii="Arial" w:hAnsi="Arial" w:cs="Arial"/>
                <w:color w:val="000000"/>
                <w:sz w:val="20"/>
                <w:szCs w:val="20"/>
                <w:lang w:eastAsia="fr-FR"/>
              </w:rPr>
              <w:t>5,95±0,83</w:t>
            </w:r>
          </w:p>
        </w:tc>
        <w:tc>
          <w:tcPr>
            <w:tcW w:w="1924" w:type="dxa"/>
            <w:noWrap/>
            <w:hideMark/>
          </w:tcPr>
          <w:p w14:paraId="08EEA269" w14:textId="77777777" w:rsidR="0070524F" w:rsidRPr="00857775" w:rsidRDefault="0070524F" w:rsidP="0070524F">
            <w:pPr>
              <w:spacing w:line="240" w:lineRule="auto"/>
              <w:jc w:val="center"/>
              <w:rPr>
                <w:rFonts w:ascii="Arial" w:hAnsi="Arial" w:cs="Arial"/>
                <w:color w:val="000000"/>
                <w:sz w:val="20"/>
                <w:szCs w:val="20"/>
                <w:lang w:eastAsia="fr-FR"/>
              </w:rPr>
            </w:pPr>
            <w:r w:rsidRPr="00857775">
              <w:rPr>
                <w:rFonts w:ascii="Arial" w:hAnsi="Arial" w:cs="Arial"/>
                <w:color w:val="000000"/>
                <w:sz w:val="20"/>
                <w:szCs w:val="20"/>
                <w:lang w:eastAsia="fr-FR"/>
              </w:rPr>
              <w:t>5,89±0,42</w:t>
            </w:r>
          </w:p>
        </w:tc>
        <w:tc>
          <w:tcPr>
            <w:tcW w:w="2049" w:type="dxa"/>
            <w:noWrap/>
            <w:hideMark/>
          </w:tcPr>
          <w:p w14:paraId="45D94FC4" w14:textId="77777777" w:rsidR="0070524F" w:rsidRPr="00857775" w:rsidRDefault="0070524F" w:rsidP="0070524F">
            <w:pPr>
              <w:spacing w:line="240" w:lineRule="auto"/>
              <w:rPr>
                <w:rFonts w:ascii="Arial" w:hAnsi="Arial" w:cs="Arial"/>
                <w:color w:val="000000"/>
                <w:sz w:val="20"/>
                <w:szCs w:val="20"/>
                <w:lang w:eastAsia="fr-FR"/>
              </w:rPr>
            </w:pPr>
            <w:r w:rsidRPr="00857775">
              <w:rPr>
                <w:rFonts w:ascii="Arial" w:hAnsi="Arial" w:cs="Arial"/>
                <w:color w:val="000000"/>
                <w:sz w:val="20"/>
                <w:szCs w:val="20"/>
                <w:lang w:eastAsia="fr-FR"/>
              </w:rPr>
              <w:t xml:space="preserve">      5,25±1,13</w:t>
            </w:r>
          </w:p>
        </w:tc>
      </w:tr>
      <w:tr w:rsidR="0070524F" w:rsidRPr="00857775" w14:paraId="7A994C8C" w14:textId="77777777" w:rsidTr="0043587E">
        <w:trPr>
          <w:trHeight w:val="304"/>
        </w:trPr>
        <w:tc>
          <w:tcPr>
            <w:tcW w:w="1729" w:type="dxa"/>
            <w:noWrap/>
            <w:hideMark/>
          </w:tcPr>
          <w:p w14:paraId="73F8A8BF" w14:textId="77777777" w:rsidR="0070524F" w:rsidRPr="00857775" w:rsidRDefault="0070524F" w:rsidP="0070524F">
            <w:pPr>
              <w:spacing w:after="0" w:line="360" w:lineRule="auto"/>
              <w:jc w:val="center"/>
              <w:rPr>
                <w:rFonts w:ascii="Arial" w:eastAsia="Times New Roman" w:hAnsi="Arial" w:cs="Arial"/>
                <w:bCs/>
                <w:color w:val="000000"/>
                <w:kern w:val="0"/>
                <w:sz w:val="20"/>
                <w:szCs w:val="20"/>
                <w:lang w:eastAsia="fr-FR"/>
                <w14:ligatures w14:val="none"/>
              </w:rPr>
            </w:pPr>
            <w:r w:rsidRPr="00857775">
              <w:rPr>
                <w:rFonts w:ascii="Arial" w:eastAsia="Times New Roman" w:hAnsi="Arial" w:cs="Arial"/>
                <w:bCs/>
                <w:color w:val="000000"/>
                <w:kern w:val="0"/>
                <w:sz w:val="20"/>
                <w:szCs w:val="20"/>
                <w:lang w:eastAsia="fr-FR"/>
                <w14:ligatures w14:val="none"/>
              </w:rPr>
              <w:t>HGB (g/dl)</w:t>
            </w:r>
          </w:p>
        </w:tc>
        <w:tc>
          <w:tcPr>
            <w:tcW w:w="2156" w:type="dxa"/>
            <w:gridSpan w:val="2"/>
            <w:noWrap/>
            <w:hideMark/>
          </w:tcPr>
          <w:p w14:paraId="256E9456" w14:textId="77777777" w:rsidR="0070524F" w:rsidRPr="00857775" w:rsidRDefault="0070524F" w:rsidP="0070524F">
            <w:pPr>
              <w:spacing w:line="240" w:lineRule="auto"/>
              <w:jc w:val="center"/>
              <w:rPr>
                <w:rFonts w:ascii="Arial" w:hAnsi="Arial" w:cs="Arial"/>
                <w:sz w:val="20"/>
                <w:szCs w:val="20"/>
              </w:rPr>
            </w:pPr>
            <w:r w:rsidRPr="00857775">
              <w:rPr>
                <w:rFonts w:ascii="Arial" w:hAnsi="Arial" w:cs="Arial"/>
                <w:sz w:val="20"/>
                <w:szCs w:val="20"/>
              </w:rPr>
              <w:t>12,85±0,38</w:t>
            </w:r>
          </w:p>
        </w:tc>
        <w:tc>
          <w:tcPr>
            <w:tcW w:w="2023" w:type="dxa"/>
            <w:noWrap/>
            <w:hideMark/>
          </w:tcPr>
          <w:p w14:paraId="1E3D5EEB" w14:textId="77777777" w:rsidR="0070524F" w:rsidRPr="00857775" w:rsidRDefault="0070524F" w:rsidP="0070524F">
            <w:pPr>
              <w:spacing w:line="240" w:lineRule="auto"/>
              <w:jc w:val="center"/>
              <w:rPr>
                <w:rFonts w:ascii="Arial" w:hAnsi="Arial" w:cs="Arial"/>
                <w:color w:val="000000"/>
                <w:sz w:val="20"/>
                <w:szCs w:val="20"/>
                <w:lang w:eastAsia="fr-FR"/>
              </w:rPr>
            </w:pPr>
            <w:r w:rsidRPr="00857775">
              <w:rPr>
                <w:rFonts w:ascii="Arial" w:hAnsi="Arial" w:cs="Arial"/>
                <w:color w:val="000000"/>
                <w:sz w:val="20"/>
                <w:szCs w:val="20"/>
                <w:lang w:eastAsia="fr-FR"/>
              </w:rPr>
              <w:t>13,02±0,23</w:t>
            </w:r>
          </w:p>
        </w:tc>
        <w:tc>
          <w:tcPr>
            <w:tcW w:w="1924" w:type="dxa"/>
            <w:noWrap/>
            <w:hideMark/>
          </w:tcPr>
          <w:p w14:paraId="336F0F46" w14:textId="77777777" w:rsidR="0070524F" w:rsidRPr="00857775" w:rsidRDefault="0070524F" w:rsidP="0070524F">
            <w:pPr>
              <w:spacing w:line="240" w:lineRule="auto"/>
              <w:jc w:val="center"/>
              <w:rPr>
                <w:rFonts w:ascii="Arial" w:hAnsi="Arial" w:cs="Arial"/>
                <w:color w:val="000000"/>
                <w:sz w:val="20"/>
                <w:szCs w:val="20"/>
                <w:lang w:eastAsia="fr-FR"/>
              </w:rPr>
            </w:pPr>
            <w:r w:rsidRPr="00857775">
              <w:rPr>
                <w:rFonts w:ascii="Arial" w:hAnsi="Arial" w:cs="Arial"/>
                <w:color w:val="000000"/>
                <w:sz w:val="20"/>
                <w:szCs w:val="20"/>
                <w:lang w:eastAsia="fr-FR"/>
              </w:rPr>
              <w:t>13,25±0,18</w:t>
            </w:r>
          </w:p>
        </w:tc>
        <w:tc>
          <w:tcPr>
            <w:tcW w:w="2049" w:type="dxa"/>
            <w:noWrap/>
            <w:hideMark/>
          </w:tcPr>
          <w:p w14:paraId="46A9C938" w14:textId="77777777" w:rsidR="0070524F" w:rsidRPr="00857775" w:rsidRDefault="0070524F" w:rsidP="0070524F">
            <w:pPr>
              <w:spacing w:line="240" w:lineRule="auto"/>
              <w:jc w:val="center"/>
              <w:rPr>
                <w:rFonts w:ascii="Arial" w:hAnsi="Arial" w:cs="Arial"/>
                <w:color w:val="000000"/>
                <w:sz w:val="20"/>
                <w:szCs w:val="20"/>
                <w:lang w:eastAsia="fr-FR"/>
              </w:rPr>
            </w:pPr>
            <w:r w:rsidRPr="00857775">
              <w:rPr>
                <w:rFonts w:ascii="Arial" w:hAnsi="Arial" w:cs="Arial"/>
                <w:color w:val="000000"/>
                <w:sz w:val="20"/>
                <w:szCs w:val="20"/>
                <w:lang w:eastAsia="fr-FR"/>
              </w:rPr>
              <w:t>14,02±0,33</w:t>
            </w:r>
          </w:p>
        </w:tc>
      </w:tr>
      <w:tr w:rsidR="0070524F" w:rsidRPr="00857775" w14:paraId="268E7283" w14:textId="77777777" w:rsidTr="0043587E">
        <w:trPr>
          <w:trHeight w:val="304"/>
        </w:trPr>
        <w:tc>
          <w:tcPr>
            <w:tcW w:w="1729" w:type="dxa"/>
            <w:noWrap/>
            <w:hideMark/>
          </w:tcPr>
          <w:p w14:paraId="661A8394" w14:textId="77777777" w:rsidR="0070524F" w:rsidRPr="00857775" w:rsidRDefault="0070524F" w:rsidP="0070524F">
            <w:pPr>
              <w:spacing w:after="0" w:line="360" w:lineRule="auto"/>
              <w:jc w:val="center"/>
              <w:rPr>
                <w:rFonts w:ascii="Arial" w:eastAsia="Times New Roman" w:hAnsi="Arial" w:cs="Arial"/>
                <w:bCs/>
                <w:color w:val="000000"/>
                <w:kern w:val="0"/>
                <w:sz w:val="20"/>
                <w:szCs w:val="20"/>
                <w:lang w:eastAsia="fr-FR"/>
                <w14:ligatures w14:val="none"/>
              </w:rPr>
            </w:pPr>
            <w:r w:rsidRPr="00857775">
              <w:rPr>
                <w:rFonts w:ascii="Arial" w:eastAsia="Times New Roman" w:hAnsi="Arial" w:cs="Arial"/>
                <w:bCs/>
                <w:color w:val="000000"/>
                <w:kern w:val="0"/>
                <w:sz w:val="20"/>
                <w:szCs w:val="20"/>
                <w:lang w:eastAsia="fr-FR"/>
                <w14:ligatures w14:val="none"/>
              </w:rPr>
              <w:t>HCT (%)</w:t>
            </w:r>
          </w:p>
        </w:tc>
        <w:tc>
          <w:tcPr>
            <w:tcW w:w="2156" w:type="dxa"/>
            <w:gridSpan w:val="2"/>
            <w:noWrap/>
            <w:hideMark/>
          </w:tcPr>
          <w:p w14:paraId="2236B430" w14:textId="77777777" w:rsidR="0070524F" w:rsidRPr="00857775" w:rsidRDefault="0070524F" w:rsidP="0070524F">
            <w:pPr>
              <w:spacing w:line="240" w:lineRule="auto"/>
              <w:jc w:val="center"/>
              <w:rPr>
                <w:rFonts w:ascii="Arial" w:hAnsi="Arial" w:cs="Arial"/>
                <w:sz w:val="20"/>
                <w:szCs w:val="20"/>
              </w:rPr>
            </w:pPr>
            <w:r w:rsidRPr="00857775">
              <w:rPr>
                <w:rFonts w:ascii="Arial" w:hAnsi="Arial" w:cs="Arial"/>
                <w:sz w:val="20"/>
                <w:szCs w:val="20"/>
              </w:rPr>
              <w:t>39,55±1,25</w:t>
            </w:r>
          </w:p>
        </w:tc>
        <w:tc>
          <w:tcPr>
            <w:tcW w:w="2023" w:type="dxa"/>
            <w:noWrap/>
            <w:hideMark/>
          </w:tcPr>
          <w:p w14:paraId="27AB4CBD" w14:textId="77777777" w:rsidR="0070524F" w:rsidRPr="00857775" w:rsidRDefault="0070524F" w:rsidP="0070524F">
            <w:pPr>
              <w:spacing w:line="240" w:lineRule="auto"/>
              <w:jc w:val="center"/>
              <w:rPr>
                <w:rFonts w:ascii="Arial" w:hAnsi="Arial" w:cs="Arial"/>
                <w:color w:val="000000"/>
                <w:sz w:val="20"/>
                <w:szCs w:val="20"/>
                <w:lang w:eastAsia="fr-FR"/>
              </w:rPr>
            </w:pPr>
            <w:r w:rsidRPr="00857775">
              <w:rPr>
                <w:rFonts w:ascii="Arial" w:hAnsi="Arial" w:cs="Arial"/>
                <w:color w:val="000000"/>
                <w:sz w:val="20"/>
                <w:szCs w:val="20"/>
                <w:lang w:eastAsia="fr-FR"/>
              </w:rPr>
              <w:t>40,1±1,11</w:t>
            </w:r>
          </w:p>
        </w:tc>
        <w:tc>
          <w:tcPr>
            <w:tcW w:w="1924" w:type="dxa"/>
            <w:noWrap/>
            <w:hideMark/>
          </w:tcPr>
          <w:p w14:paraId="71ABA415" w14:textId="77777777" w:rsidR="0070524F" w:rsidRPr="00857775" w:rsidRDefault="0070524F" w:rsidP="0070524F">
            <w:pPr>
              <w:spacing w:line="240" w:lineRule="auto"/>
              <w:jc w:val="center"/>
              <w:rPr>
                <w:rFonts w:ascii="Arial" w:hAnsi="Arial" w:cs="Arial"/>
                <w:color w:val="000000"/>
                <w:sz w:val="20"/>
                <w:szCs w:val="20"/>
                <w:lang w:eastAsia="fr-FR"/>
              </w:rPr>
            </w:pPr>
            <w:r w:rsidRPr="00857775">
              <w:rPr>
                <w:rFonts w:ascii="Arial" w:hAnsi="Arial" w:cs="Arial"/>
                <w:color w:val="000000"/>
                <w:sz w:val="20"/>
                <w:szCs w:val="20"/>
                <w:lang w:eastAsia="fr-FR"/>
              </w:rPr>
              <w:t>42,15±0,17</w:t>
            </w:r>
          </w:p>
        </w:tc>
        <w:tc>
          <w:tcPr>
            <w:tcW w:w="2049" w:type="dxa"/>
            <w:noWrap/>
            <w:hideMark/>
          </w:tcPr>
          <w:p w14:paraId="60C2A706" w14:textId="77777777" w:rsidR="0070524F" w:rsidRPr="00857775" w:rsidRDefault="0070524F" w:rsidP="0070524F">
            <w:pPr>
              <w:spacing w:line="240" w:lineRule="auto"/>
              <w:jc w:val="center"/>
              <w:rPr>
                <w:rFonts w:ascii="Arial" w:hAnsi="Arial" w:cs="Arial"/>
                <w:color w:val="000000"/>
                <w:sz w:val="20"/>
                <w:szCs w:val="20"/>
                <w:lang w:eastAsia="fr-FR"/>
              </w:rPr>
            </w:pPr>
            <w:r w:rsidRPr="00857775">
              <w:rPr>
                <w:rFonts w:ascii="Arial" w:hAnsi="Arial" w:cs="Arial"/>
                <w:color w:val="000000"/>
                <w:sz w:val="20"/>
                <w:szCs w:val="20"/>
                <w:lang w:eastAsia="fr-FR"/>
              </w:rPr>
              <w:t>43,31±1,41</w:t>
            </w:r>
          </w:p>
        </w:tc>
      </w:tr>
      <w:tr w:rsidR="0070524F" w:rsidRPr="00857775" w14:paraId="50639B2E" w14:textId="77777777" w:rsidTr="0043587E">
        <w:trPr>
          <w:trHeight w:val="304"/>
        </w:trPr>
        <w:tc>
          <w:tcPr>
            <w:tcW w:w="1729" w:type="dxa"/>
            <w:noWrap/>
            <w:hideMark/>
          </w:tcPr>
          <w:p w14:paraId="41CBE38E" w14:textId="77777777" w:rsidR="0070524F" w:rsidRPr="00857775" w:rsidRDefault="0070524F" w:rsidP="0070524F">
            <w:pPr>
              <w:spacing w:after="0" w:line="360" w:lineRule="auto"/>
              <w:jc w:val="center"/>
              <w:rPr>
                <w:rFonts w:ascii="Arial" w:eastAsia="Times New Roman" w:hAnsi="Arial" w:cs="Arial"/>
                <w:bCs/>
                <w:color w:val="000000"/>
                <w:kern w:val="0"/>
                <w:sz w:val="20"/>
                <w:szCs w:val="20"/>
                <w:lang w:eastAsia="fr-FR"/>
                <w14:ligatures w14:val="none"/>
              </w:rPr>
            </w:pPr>
            <w:r w:rsidRPr="00857775">
              <w:rPr>
                <w:rFonts w:ascii="Arial" w:eastAsia="Times New Roman" w:hAnsi="Arial" w:cs="Arial"/>
                <w:bCs/>
                <w:color w:val="000000"/>
                <w:kern w:val="0"/>
                <w:sz w:val="20"/>
                <w:szCs w:val="20"/>
                <w:lang w:eastAsia="fr-FR"/>
                <w14:ligatures w14:val="none"/>
              </w:rPr>
              <w:t xml:space="preserve">PLT </w:t>
            </w:r>
            <w:r w:rsidRPr="00857775">
              <w:rPr>
                <w:rFonts w:ascii="Arial" w:eastAsia="Calibri" w:hAnsi="Arial" w:cs="Arial"/>
                <w:bCs/>
                <w:kern w:val="0"/>
                <w:sz w:val="20"/>
                <w:szCs w:val="20"/>
                <w14:ligatures w14:val="none"/>
              </w:rPr>
              <w:t>(10</w:t>
            </w:r>
            <w:r w:rsidRPr="00857775">
              <w:rPr>
                <w:rFonts w:ascii="Arial" w:eastAsia="Calibri" w:hAnsi="Arial" w:cs="Arial"/>
                <w:bCs/>
                <w:kern w:val="0"/>
                <w:sz w:val="20"/>
                <w:szCs w:val="20"/>
                <w:vertAlign w:val="superscript"/>
                <w14:ligatures w14:val="none"/>
              </w:rPr>
              <w:t>3</w:t>
            </w:r>
            <w:r w:rsidRPr="00857775">
              <w:rPr>
                <w:rFonts w:ascii="Arial" w:eastAsia="Calibri" w:hAnsi="Arial" w:cs="Arial"/>
                <w:bCs/>
                <w:kern w:val="0"/>
                <w:sz w:val="20"/>
                <w:szCs w:val="20"/>
                <w14:ligatures w14:val="none"/>
              </w:rPr>
              <w:t>/ mm</w:t>
            </w:r>
            <w:r w:rsidRPr="00857775">
              <w:rPr>
                <w:rFonts w:ascii="Arial" w:eastAsia="Calibri" w:hAnsi="Arial" w:cs="Arial"/>
                <w:bCs/>
                <w:kern w:val="0"/>
                <w:sz w:val="20"/>
                <w:szCs w:val="20"/>
                <w:vertAlign w:val="superscript"/>
                <w14:ligatures w14:val="none"/>
              </w:rPr>
              <w:t>3</w:t>
            </w:r>
            <w:r w:rsidRPr="00857775">
              <w:rPr>
                <w:rFonts w:ascii="Arial" w:eastAsia="Calibri" w:hAnsi="Arial" w:cs="Arial"/>
                <w:bCs/>
                <w:kern w:val="0"/>
                <w:sz w:val="20"/>
                <w:szCs w:val="20"/>
                <w14:ligatures w14:val="none"/>
              </w:rPr>
              <w:t>)</w:t>
            </w:r>
          </w:p>
        </w:tc>
        <w:tc>
          <w:tcPr>
            <w:tcW w:w="2156" w:type="dxa"/>
            <w:gridSpan w:val="2"/>
            <w:noWrap/>
            <w:hideMark/>
          </w:tcPr>
          <w:p w14:paraId="45E5A1DE" w14:textId="77777777" w:rsidR="0070524F" w:rsidRPr="00857775" w:rsidRDefault="0070524F" w:rsidP="0070524F">
            <w:pPr>
              <w:spacing w:line="240" w:lineRule="auto"/>
              <w:jc w:val="center"/>
              <w:rPr>
                <w:rFonts w:ascii="Arial" w:hAnsi="Arial" w:cs="Arial"/>
                <w:sz w:val="20"/>
                <w:szCs w:val="20"/>
              </w:rPr>
            </w:pPr>
            <w:r w:rsidRPr="00857775">
              <w:rPr>
                <w:rFonts w:ascii="Arial" w:hAnsi="Arial" w:cs="Arial"/>
                <w:sz w:val="20"/>
                <w:szCs w:val="20"/>
              </w:rPr>
              <w:t>320,15±25,14</w:t>
            </w:r>
          </w:p>
        </w:tc>
        <w:tc>
          <w:tcPr>
            <w:tcW w:w="2023" w:type="dxa"/>
            <w:noWrap/>
            <w:hideMark/>
          </w:tcPr>
          <w:p w14:paraId="157F8EFA" w14:textId="77777777" w:rsidR="0070524F" w:rsidRPr="00857775" w:rsidRDefault="0070524F" w:rsidP="0070524F">
            <w:pPr>
              <w:spacing w:line="240" w:lineRule="auto"/>
              <w:jc w:val="center"/>
              <w:rPr>
                <w:rFonts w:ascii="Arial" w:hAnsi="Arial" w:cs="Arial"/>
                <w:color w:val="000000"/>
                <w:sz w:val="20"/>
                <w:szCs w:val="20"/>
                <w:lang w:eastAsia="fr-FR"/>
              </w:rPr>
            </w:pPr>
            <w:r w:rsidRPr="00857775">
              <w:rPr>
                <w:rFonts w:ascii="Arial" w:hAnsi="Arial" w:cs="Arial"/>
                <w:color w:val="000000"/>
                <w:sz w:val="20"/>
                <w:szCs w:val="20"/>
                <w:lang w:eastAsia="fr-FR"/>
              </w:rPr>
              <w:t>335,5±34,83</w:t>
            </w:r>
          </w:p>
        </w:tc>
        <w:tc>
          <w:tcPr>
            <w:tcW w:w="1924" w:type="dxa"/>
            <w:noWrap/>
            <w:hideMark/>
          </w:tcPr>
          <w:p w14:paraId="599CD1AE" w14:textId="77777777" w:rsidR="0070524F" w:rsidRPr="00857775" w:rsidRDefault="0070524F" w:rsidP="0070524F">
            <w:pPr>
              <w:spacing w:line="240" w:lineRule="auto"/>
              <w:jc w:val="center"/>
              <w:rPr>
                <w:rFonts w:ascii="Arial" w:hAnsi="Arial" w:cs="Arial"/>
                <w:color w:val="000000"/>
                <w:sz w:val="20"/>
                <w:szCs w:val="20"/>
                <w:lang w:eastAsia="fr-FR"/>
              </w:rPr>
            </w:pPr>
            <w:r w:rsidRPr="00857775">
              <w:rPr>
                <w:rFonts w:ascii="Arial" w:hAnsi="Arial" w:cs="Arial"/>
                <w:color w:val="000000"/>
                <w:sz w:val="20"/>
                <w:szCs w:val="20"/>
                <w:lang w:eastAsia="fr-FR"/>
              </w:rPr>
              <w:t>312±32,45</w:t>
            </w:r>
          </w:p>
        </w:tc>
        <w:tc>
          <w:tcPr>
            <w:tcW w:w="2049" w:type="dxa"/>
            <w:noWrap/>
            <w:hideMark/>
          </w:tcPr>
          <w:p w14:paraId="7024D746" w14:textId="77777777" w:rsidR="0070524F" w:rsidRPr="00857775" w:rsidRDefault="0070524F" w:rsidP="0070524F">
            <w:pPr>
              <w:spacing w:line="240" w:lineRule="auto"/>
              <w:jc w:val="center"/>
              <w:rPr>
                <w:rFonts w:ascii="Arial" w:hAnsi="Arial" w:cs="Arial"/>
                <w:color w:val="000000"/>
                <w:sz w:val="20"/>
                <w:szCs w:val="20"/>
                <w:lang w:eastAsia="fr-FR"/>
              </w:rPr>
            </w:pPr>
            <w:r w:rsidRPr="00857775">
              <w:rPr>
                <w:rFonts w:ascii="Arial" w:hAnsi="Arial" w:cs="Arial"/>
                <w:color w:val="000000"/>
                <w:sz w:val="20"/>
                <w:szCs w:val="20"/>
                <w:lang w:eastAsia="fr-FR"/>
              </w:rPr>
              <w:t>302±28,78</w:t>
            </w:r>
          </w:p>
        </w:tc>
      </w:tr>
    </w:tbl>
    <w:p w14:paraId="18450C34" w14:textId="77777777" w:rsidR="007D0001" w:rsidRPr="00857775" w:rsidRDefault="007D0001" w:rsidP="007D0001">
      <w:pPr>
        <w:jc w:val="both"/>
        <w:rPr>
          <w:rFonts w:ascii="Arial" w:hAnsi="Arial" w:cs="Arial"/>
          <w:sz w:val="20"/>
          <w:szCs w:val="20"/>
        </w:rPr>
      </w:pPr>
      <w:r w:rsidRPr="00857775">
        <w:rPr>
          <w:rFonts w:ascii="Arial" w:hAnsi="Arial" w:cs="Arial"/>
          <w:sz w:val="20"/>
          <w:szCs w:val="20"/>
        </w:rPr>
        <w:t>Results as mean ± standard error of the mean (SEM) ; *Significant results : p&lt;0.05</w:t>
      </w:r>
    </w:p>
    <w:p w14:paraId="2BF1EE39" w14:textId="77777777" w:rsidR="007D0001" w:rsidRPr="00857775" w:rsidRDefault="0033155B" w:rsidP="007D0001">
      <w:pPr>
        <w:jc w:val="both"/>
        <w:rPr>
          <w:rFonts w:ascii="Arial" w:hAnsi="Arial" w:cs="Arial"/>
          <w:sz w:val="20"/>
          <w:szCs w:val="20"/>
        </w:rPr>
      </w:pPr>
      <w:r w:rsidRPr="00857775">
        <w:rPr>
          <w:rFonts w:ascii="Arial" w:hAnsi="Arial" w:cs="Arial"/>
          <w:sz w:val="20"/>
          <w:szCs w:val="20"/>
        </w:rPr>
        <w:t xml:space="preserve">Analysis of the table shows no significant difference between the treated spleen batch and the control batch. </w:t>
      </w:r>
    </w:p>
    <w:p w14:paraId="7B4CD78C" w14:textId="77777777" w:rsidR="0033155B" w:rsidRPr="00B05055" w:rsidRDefault="0033155B" w:rsidP="0033155B">
      <w:pPr>
        <w:jc w:val="both"/>
        <w:rPr>
          <w:rFonts w:ascii="Arial" w:hAnsi="Arial" w:cs="Arial"/>
          <w:b/>
          <w:bCs/>
        </w:rPr>
      </w:pPr>
    </w:p>
    <w:p w14:paraId="4DF603B4" w14:textId="77777777" w:rsidR="0033155B" w:rsidRPr="00857775" w:rsidRDefault="0033155B" w:rsidP="0033155B">
      <w:pPr>
        <w:jc w:val="both"/>
        <w:rPr>
          <w:rFonts w:ascii="Arial" w:hAnsi="Arial" w:cs="Arial"/>
          <w:b/>
          <w:bCs/>
          <w:sz w:val="22"/>
          <w:szCs w:val="22"/>
        </w:rPr>
      </w:pPr>
      <w:r w:rsidRPr="00857775">
        <w:rPr>
          <w:rFonts w:ascii="Arial" w:hAnsi="Arial" w:cs="Arial"/>
          <w:b/>
          <w:bCs/>
          <w:sz w:val="22"/>
          <w:szCs w:val="22"/>
        </w:rPr>
        <w:t>3.2.4. Biochemical parameters</w:t>
      </w:r>
    </w:p>
    <w:p w14:paraId="71F8F551" w14:textId="77777777" w:rsidR="0033155B" w:rsidRPr="00857775" w:rsidRDefault="0033155B" w:rsidP="0033155B">
      <w:pPr>
        <w:jc w:val="both"/>
        <w:rPr>
          <w:rFonts w:ascii="Arial" w:hAnsi="Arial" w:cs="Arial"/>
          <w:sz w:val="20"/>
          <w:szCs w:val="20"/>
        </w:rPr>
      </w:pPr>
      <w:r w:rsidRPr="00857775">
        <w:rPr>
          <w:rFonts w:ascii="Arial" w:hAnsi="Arial" w:cs="Arial"/>
          <w:sz w:val="20"/>
          <w:szCs w:val="20"/>
        </w:rPr>
        <w:t>Table 7 below shows the results of the biochemical parameters.</w:t>
      </w:r>
    </w:p>
    <w:p w14:paraId="76E817F6" w14:textId="77777777" w:rsidR="0033155B" w:rsidRPr="00857775" w:rsidRDefault="006D4E92" w:rsidP="0033155B">
      <w:pPr>
        <w:jc w:val="both"/>
        <w:rPr>
          <w:rFonts w:ascii="Arial" w:hAnsi="Arial" w:cs="Arial"/>
          <w:sz w:val="20"/>
          <w:szCs w:val="20"/>
        </w:rPr>
      </w:pPr>
      <w:r w:rsidRPr="00857775">
        <w:rPr>
          <w:rFonts w:ascii="Arial" w:hAnsi="Arial" w:cs="Arial"/>
          <w:sz w:val="20"/>
          <w:szCs w:val="20"/>
        </w:rPr>
        <w:t>Table 7 : Results of the biochemical parameters</w:t>
      </w:r>
    </w:p>
    <w:tbl>
      <w:tblPr>
        <w:tblW w:w="9233" w:type="dxa"/>
        <w:tblInd w:w="55" w:type="dxa"/>
        <w:tblCellMar>
          <w:left w:w="70" w:type="dxa"/>
          <w:right w:w="70" w:type="dxa"/>
        </w:tblCellMar>
        <w:tblLook w:val="04A0" w:firstRow="1" w:lastRow="0" w:firstColumn="1" w:lastColumn="0" w:noHBand="0" w:noVBand="1"/>
      </w:tblPr>
      <w:tblGrid>
        <w:gridCol w:w="2204"/>
        <w:gridCol w:w="1788"/>
        <w:gridCol w:w="1694"/>
        <w:gridCol w:w="1704"/>
        <w:gridCol w:w="1843"/>
      </w:tblGrid>
      <w:tr w:rsidR="006D4E92" w:rsidRPr="00857775" w14:paraId="10A3CEEC" w14:textId="77777777" w:rsidTr="006D4E92">
        <w:trPr>
          <w:trHeight w:val="494"/>
        </w:trPr>
        <w:tc>
          <w:tcPr>
            <w:tcW w:w="2204" w:type="dxa"/>
            <w:tcBorders>
              <w:top w:val="single" w:sz="4" w:space="0" w:color="auto"/>
              <w:left w:val="nil"/>
              <w:bottom w:val="single" w:sz="4" w:space="0" w:color="auto"/>
              <w:right w:val="nil"/>
            </w:tcBorders>
            <w:noWrap/>
            <w:vAlign w:val="bottom"/>
            <w:hideMark/>
          </w:tcPr>
          <w:p w14:paraId="40EC3C2B" w14:textId="77777777" w:rsidR="006D4E92" w:rsidRPr="00857775" w:rsidRDefault="006D4E92" w:rsidP="00BE56F0">
            <w:pPr>
              <w:widowControl w:val="0"/>
              <w:autoSpaceDE w:val="0"/>
              <w:autoSpaceDN w:val="0"/>
              <w:spacing w:after="0"/>
              <w:jc w:val="center"/>
              <w:rPr>
                <w:rFonts w:ascii="Arial" w:eastAsia="Times New Roman" w:hAnsi="Arial" w:cs="Arial"/>
                <w:b/>
                <w:iCs/>
                <w:color w:val="000000"/>
                <w:sz w:val="20"/>
                <w:szCs w:val="20"/>
                <w:lang w:eastAsia="fr-FR"/>
              </w:rPr>
            </w:pPr>
            <w:r w:rsidRPr="00857775">
              <w:rPr>
                <w:rFonts w:ascii="Arial" w:eastAsia="Times New Roman" w:hAnsi="Arial" w:cs="Arial"/>
                <w:b/>
                <w:iCs/>
                <w:color w:val="000000"/>
                <w:sz w:val="20"/>
                <w:szCs w:val="20"/>
                <w:lang w:eastAsia="fr-FR"/>
              </w:rPr>
              <w:lastRenderedPageBreak/>
              <w:t>Paramètres</w:t>
            </w:r>
          </w:p>
        </w:tc>
        <w:tc>
          <w:tcPr>
            <w:tcW w:w="1788" w:type="dxa"/>
            <w:tcBorders>
              <w:top w:val="single" w:sz="4" w:space="0" w:color="auto"/>
              <w:left w:val="nil"/>
              <w:bottom w:val="single" w:sz="4" w:space="0" w:color="auto"/>
              <w:right w:val="nil"/>
            </w:tcBorders>
            <w:noWrap/>
            <w:vAlign w:val="bottom"/>
            <w:hideMark/>
          </w:tcPr>
          <w:p w14:paraId="41CD0494" w14:textId="77777777" w:rsidR="006D4E92" w:rsidRPr="00857775" w:rsidRDefault="006D4E92" w:rsidP="00BE56F0">
            <w:pPr>
              <w:widowControl w:val="0"/>
              <w:autoSpaceDE w:val="0"/>
              <w:autoSpaceDN w:val="0"/>
              <w:spacing w:after="0"/>
              <w:jc w:val="center"/>
              <w:rPr>
                <w:rFonts w:ascii="Arial" w:eastAsia="Times New Roman" w:hAnsi="Arial" w:cs="Arial"/>
                <w:b/>
                <w:iCs/>
                <w:color w:val="000000"/>
                <w:sz w:val="20"/>
                <w:szCs w:val="20"/>
                <w:lang w:eastAsia="fr-FR"/>
              </w:rPr>
            </w:pPr>
            <w:r w:rsidRPr="00857775">
              <w:rPr>
                <w:rFonts w:ascii="Arial" w:eastAsia="Times New Roman" w:hAnsi="Arial" w:cs="Arial"/>
                <w:b/>
                <w:iCs/>
                <w:color w:val="000000"/>
                <w:sz w:val="20"/>
                <w:szCs w:val="20"/>
                <w:lang w:eastAsia="fr-FR"/>
              </w:rPr>
              <w:t>Control</w:t>
            </w:r>
          </w:p>
        </w:tc>
        <w:tc>
          <w:tcPr>
            <w:tcW w:w="1694" w:type="dxa"/>
            <w:tcBorders>
              <w:top w:val="single" w:sz="4" w:space="0" w:color="auto"/>
              <w:left w:val="nil"/>
              <w:bottom w:val="single" w:sz="4" w:space="0" w:color="auto"/>
              <w:right w:val="nil"/>
            </w:tcBorders>
            <w:noWrap/>
            <w:vAlign w:val="bottom"/>
            <w:hideMark/>
          </w:tcPr>
          <w:p w14:paraId="71357C20" w14:textId="77777777" w:rsidR="006D4E92" w:rsidRPr="00857775" w:rsidRDefault="006D4E92" w:rsidP="00BE56F0">
            <w:pPr>
              <w:widowControl w:val="0"/>
              <w:autoSpaceDE w:val="0"/>
              <w:autoSpaceDN w:val="0"/>
              <w:spacing w:after="0"/>
              <w:jc w:val="center"/>
              <w:rPr>
                <w:rFonts w:ascii="Arial" w:eastAsia="Times New Roman" w:hAnsi="Arial" w:cs="Arial"/>
                <w:b/>
                <w:iCs/>
                <w:color w:val="000000"/>
                <w:sz w:val="20"/>
                <w:szCs w:val="20"/>
                <w:lang w:eastAsia="fr-FR"/>
              </w:rPr>
            </w:pPr>
            <w:r w:rsidRPr="00857775">
              <w:rPr>
                <w:rFonts w:ascii="Arial" w:eastAsia="Times New Roman" w:hAnsi="Arial" w:cs="Arial"/>
                <w:b/>
                <w:iCs/>
                <w:color w:val="000000"/>
                <w:sz w:val="20"/>
                <w:szCs w:val="20"/>
                <w:lang w:eastAsia="fr-FR"/>
              </w:rPr>
              <w:t>500mg/kg</w:t>
            </w:r>
          </w:p>
        </w:tc>
        <w:tc>
          <w:tcPr>
            <w:tcW w:w="1704" w:type="dxa"/>
            <w:tcBorders>
              <w:top w:val="single" w:sz="4" w:space="0" w:color="auto"/>
              <w:left w:val="nil"/>
              <w:bottom w:val="single" w:sz="4" w:space="0" w:color="auto"/>
              <w:right w:val="nil"/>
            </w:tcBorders>
            <w:noWrap/>
            <w:vAlign w:val="bottom"/>
            <w:hideMark/>
          </w:tcPr>
          <w:p w14:paraId="2BE7DA14" w14:textId="77777777" w:rsidR="006D4E92" w:rsidRPr="00857775" w:rsidRDefault="006D4E92" w:rsidP="00BE56F0">
            <w:pPr>
              <w:widowControl w:val="0"/>
              <w:autoSpaceDE w:val="0"/>
              <w:autoSpaceDN w:val="0"/>
              <w:spacing w:after="0"/>
              <w:jc w:val="center"/>
              <w:rPr>
                <w:rFonts w:ascii="Arial" w:eastAsia="Times New Roman" w:hAnsi="Arial" w:cs="Arial"/>
                <w:b/>
                <w:iCs/>
                <w:color w:val="000000"/>
                <w:sz w:val="20"/>
                <w:szCs w:val="20"/>
                <w:lang w:eastAsia="fr-FR"/>
              </w:rPr>
            </w:pPr>
            <w:r w:rsidRPr="00857775">
              <w:rPr>
                <w:rFonts w:ascii="Arial" w:eastAsia="Times New Roman" w:hAnsi="Arial" w:cs="Arial"/>
                <w:b/>
                <w:iCs/>
                <w:color w:val="000000"/>
                <w:sz w:val="20"/>
                <w:szCs w:val="20"/>
                <w:lang w:eastAsia="fr-FR"/>
              </w:rPr>
              <w:t>750 mg/kg</w:t>
            </w:r>
          </w:p>
        </w:tc>
        <w:tc>
          <w:tcPr>
            <w:tcW w:w="1843" w:type="dxa"/>
            <w:tcBorders>
              <w:top w:val="single" w:sz="4" w:space="0" w:color="auto"/>
              <w:left w:val="nil"/>
              <w:bottom w:val="single" w:sz="4" w:space="0" w:color="auto"/>
              <w:right w:val="nil"/>
            </w:tcBorders>
            <w:noWrap/>
            <w:vAlign w:val="bottom"/>
            <w:hideMark/>
          </w:tcPr>
          <w:p w14:paraId="78A5EDE1" w14:textId="77777777" w:rsidR="006D4E92" w:rsidRPr="00857775" w:rsidRDefault="006D4E92" w:rsidP="00BE56F0">
            <w:pPr>
              <w:widowControl w:val="0"/>
              <w:autoSpaceDE w:val="0"/>
              <w:autoSpaceDN w:val="0"/>
              <w:spacing w:after="0"/>
              <w:jc w:val="center"/>
              <w:rPr>
                <w:rFonts w:ascii="Arial" w:eastAsia="Times New Roman" w:hAnsi="Arial" w:cs="Arial"/>
                <w:b/>
                <w:iCs/>
                <w:color w:val="000000"/>
                <w:sz w:val="20"/>
                <w:szCs w:val="20"/>
                <w:lang w:eastAsia="fr-FR"/>
              </w:rPr>
            </w:pPr>
            <w:r w:rsidRPr="00857775">
              <w:rPr>
                <w:rFonts w:ascii="Arial" w:eastAsia="Times New Roman" w:hAnsi="Arial" w:cs="Arial"/>
                <w:b/>
                <w:iCs/>
                <w:color w:val="000000"/>
                <w:sz w:val="20"/>
                <w:szCs w:val="20"/>
                <w:lang w:eastAsia="fr-FR"/>
              </w:rPr>
              <w:t>1000mg/kg</w:t>
            </w:r>
          </w:p>
        </w:tc>
      </w:tr>
      <w:tr w:rsidR="006812B9" w:rsidRPr="00857775" w14:paraId="0A339C05" w14:textId="77777777" w:rsidTr="006D4E92">
        <w:trPr>
          <w:trHeight w:val="194"/>
        </w:trPr>
        <w:tc>
          <w:tcPr>
            <w:tcW w:w="2204" w:type="dxa"/>
            <w:tcBorders>
              <w:top w:val="single" w:sz="4" w:space="0" w:color="auto"/>
              <w:left w:val="nil"/>
              <w:bottom w:val="nil"/>
              <w:right w:val="nil"/>
            </w:tcBorders>
            <w:noWrap/>
            <w:vAlign w:val="bottom"/>
            <w:hideMark/>
          </w:tcPr>
          <w:p w14:paraId="7745E2B6" w14:textId="77777777" w:rsidR="006812B9" w:rsidRPr="00857775" w:rsidRDefault="006812B9" w:rsidP="006812B9">
            <w:pPr>
              <w:widowControl w:val="0"/>
              <w:autoSpaceDE w:val="0"/>
              <w:autoSpaceDN w:val="0"/>
              <w:spacing w:after="0"/>
              <w:jc w:val="center"/>
              <w:rPr>
                <w:rFonts w:ascii="Arial" w:eastAsia="Times New Roman" w:hAnsi="Arial" w:cs="Arial"/>
                <w:bCs/>
                <w:iCs/>
                <w:color w:val="000000"/>
                <w:sz w:val="20"/>
                <w:szCs w:val="20"/>
                <w:lang w:eastAsia="fr-FR"/>
              </w:rPr>
            </w:pPr>
            <w:r w:rsidRPr="00857775">
              <w:rPr>
                <w:rFonts w:ascii="Arial" w:eastAsia="Times New Roman" w:hAnsi="Arial" w:cs="Arial"/>
                <w:bCs/>
                <w:iCs/>
                <w:color w:val="000000"/>
                <w:sz w:val="20"/>
                <w:szCs w:val="20"/>
                <w:lang w:eastAsia="fr-FR"/>
              </w:rPr>
              <w:t>Urea (g/L)</w:t>
            </w:r>
          </w:p>
        </w:tc>
        <w:tc>
          <w:tcPr>
            <w:tcW w:w="1788" w:type="dxa"/>
            <w:tcBorders>
              <w:top w:val="single" w:sz="4" w:space="0" w:color="auto"/>
              <w:left w:val="nil"/>
              <w:bottom w:val="nil"/>
              <w:right w:val="nil"/>
            </w:tcBorders>
            <w:noWrap/>
            <w:vAlign w:val="bottom"/>
            <w:hideMark/>
          </w:tcPr>
          <w:p w14:paraId="4F175C0C" w14:textId="77777777" w:rsidR="006812B9" w:rsidRPr="00857775" w:rsidRDefault="006812B9" w:rsidP="006812B9">
            <w:pPr>
              <w:widowControl w:val="0"/>
              <w:autoSpaceDE w:val="0"/>
              <w:autoSpaceDN w:val="0"/>
              <w:spacing w:after="0"/>
              <w:jc w:val="center"/>
              <w:rPr>
                <w:rFonts w:ascii="Arial" w:eastAsia="Times New Roman" w:hAnsi="Arial" w:cs="Arial"/>
                <w:iCs/>
                <w:color w:val="000000"/>
                <w:sz w:val="20"/>
                <w:szCs w:val="20"/>
                <w:lang w:eastAsia="fr-FR"/>
              </w:rPr>
            </w:pPr>
            <w:r w:rsidRPr="00857775">
              <w:rPr>
                <w:rFonts w:ascii="Arial" w:eastAsia="Times New Roman" w:hAnsi="Arial" w:cs="Arial"/>
                <w:iCs/>
                <w:color w:val="000000"/>
                <w:sz w:val="20"/>
                <w:szCs w:val="20"/>
                <w:lang w:eastAsia="fr-FR"/>
              </w:rPr>
              <w:t>0,30±0,04</w:t>
            </w:r>
          </w:p>
        </w:tc>
        <w:tc>
          <w:tcPr>
            <w:tcW w:w="1694" w:type="dxa"/>
            <w:tcBorders>
              <w:top w:val="single" w:sz="4" w:space="0" w:color="auto"/>
              <w:left w:val="nil"/>
              <w:bottom w:val="nil"/>
              <w:right w:val="nil"/>
            </w:tcBorders>
            <w:noWrap/>
            <w:vAlign w:val="bottom"/>
            <w:hideMark/>
          </w:tcPr>
          <w:p w14:paraId="4E3322FB" w14:textId="77777777" w:rsidR="006812B9" w:rsidRPr="00857775" w:rsidRDefault="006812B9" w:rsidP="006812B9">
            <w:pPr>
              <w:widowControl w:val="0"/>
              <w:autoSpaceDE w:val="0"/>
              <w:autoSpaceDN w:val="0"/>
              <w:spacing w:after="0" w:line="360" w:lineRule="auto"/>
              <w:jc w:val="center"/>
              <w:rPr>
                <w:rFonts w:ascii="Arial" w:eastAsia="Times New Roman" w:hAnsi="Arial" w:cs="Arial"/>
                <w:iCs/>
                <w:color w:val="000000"/>
                <w:kern w:val="0"/>
                <w:sz w:val="20"/>
                <w:szCs w:val="20"/>
                <w:lang w:eastAsia="fr-FR"/>
                <w14:ligatures w14:val="none"/>
              </w:rPr>
            </w:pPr>
            <w:r w:rsidRPr="00857775">
              <w:rPr>
                <w:rFonts w:ascii="Arial" w:eastAsia="Times New Roman" w:hAnsi="Arial" w:cs="Arial"/>
                <w:iCs/>
                <w:color w:val="000000"/>
                <w:kern w:val="0"/>
                <w:sz w:val="20"/>
                <w:szCs w:val="20"/>
                <w:lang w:eastAsia="fr-FR"/>
                <w14:ligatures w14:val="none"/>
              </w:rPr>
              <w:t>0,37±010</w:t>
            </w:r>
          </w:p>
        </w:tc>
        <w:tc>
          <w:tcPr>
            <w:tcW w:w="1704" w:type="dxa"/>
            <w:tcBorders>
              <w:top w:val="single" w:sz="4" w:space="0" w:color="auto"/>
              <w:left w:val="nil"/>
              <w:bottom w:val="nil"/>
              <w:right w:val="nil"/>
            </w:tcBorders>
            <w:noWrap/>
            <w:vAlign w:val="bottom"/>
            <w:hideMark/>
          </w:tcPr>
          <w:p w14:paraId="1AD1E33C" w14:textId="77777777" w:rsidR="006812B9" w:rsidRPr="00857775" w:rsidRDefault="006812B9" w:rsidP="006812B9">
            <w:pPr>
              <w:widowControl w:val="0"/>
              <w:autoSpaceDE w:val="0"/>
              <w:autoSpaceDN w:val="0"/>
              <w:spacing w:after="0" w:line="360" w:lineRule="auto"/>
              <w:jc w:val="center"/>
              <w:rPr>
                <w:rFonts w:ascii="Arial" w:eastAsia="Times New Roman" w:hAnsi="Arial" w:cs="Arial"/>
                <w:iCs/>
                <w:color w:val="000000"/>
                <w:kern w:val="0"/>
                <w:sz w:val="20"/>
                <w:szCs w:val="20"/>
                <w:lang w:eastAsia="fr-FR"/>
                <w14:ligatures w14:val="none"/>
              </w:rPr>
            </w:pPr>
            <w:r w:rsidRPr="00857775">
              <w:rPr>
                <w:rFonts w:ascii="Arial" w:eastAsia="Times New Roman" w:hAnsi="Arial" w:cs="Arial"/>
                <w:iCs/>
                <w:color w:val="000000"/>
                <w:kern w:val="0"/>
                <w:sz w:val="20"/>
                <w:szCs w:val="20"/>
                <w:lang w:eastAsia="fr-FR"/>
                <w14:ligatures w14:val="none"/>
              </w:rPr>
              <w:t>0,71±0,08</w:t>
            </w:r>
            <w:r w:rsidRPr="00857775">
              <w:rPr>
                <w:rFonts w:ascii="Arial" w:eastAsia="Times New Roman" w:hAnsi="Arial" w:cs="Arial"/>
                <w:iCs/>
                <w:color w:val="FF0000"/>
                <w:kern w:val="0"/>
                <w:sz w:val="20"/>
                <w:szCs w:val="20"/>
                <w:lang w:eastAsia="fr-FR"/>
                <w14:ligatures w14:val="none"/>
              </w:rPr>
              <w:t>*</w:t>
            </w:r>
          </w:p>
        </w:tc>
        <w:tc>
          <w:tcPr>
            <w:tcW w:w="1843" w:type="dxa"/>
            <w:tcBorders>
              <w:top w:val="single" w:sz="4" w:space="0" w:color="auto"/>
              <w:left w:val="nil"/>
              <w:bottom w:val="nil"/>
              <w:right w:val="nil"/>
            </w:tcBorders>
            <w:noWrap/>
            <w:vAlign w:val="bottom"/>
            <w:hideMark/>
          </w:tcPr>
          <w:p w14:paraId="0107256E" w14:textId="77777777" w:rsidR="006812B9" w:rsidRPr="00857775" w:rsidRDefault="006812B9" w:rsidP="006812B9">
            <w:pPr>
              <w:widowControl w:val="0"/>
              <w:autoSpaceDE w:val="0"/>
              <w:autoSpaceDN w:val="0"/>
              <w:spacing w:after="0"/>
              <w:jc w:val="center"/>
              <w:rPr>
                <w:rFonts w:ascii="Arial" w:eastAsia="Times New Roman" w:hAnsi="Arial" w:cs="Arial"/>
                <w:iCs/>
                <w:color w:val="000000"/>
                <w:sz w:val="20"/>
                <w:szCs w:val="20"/>
                <w:lang w:eastAsia="fr-FR"/>
              </w:rPr>
            </w:pPr>
            <w:r w:rsidRPr="00857775">
              <w:rPr>
                <w:rFonts w:ascii="Arial" w:eastAsia="Times New Roman" w:hAnsi="Arial" w:cs="Arial"/>
                <w:iCs/>
                <w:color w:val="000000"/>
                <w:sz w:val="20"/>
                <w:szCs w:val="20"/>
                <w:lang w:eastAsia="fr-FR"/>
              </w:rPr>
              <w:t>0,88±0,015</w:t>
            </w:r>
            <w:r w:rsidRPr="00857775">
              <w:rPr>
                <w:rFonts w:ascii="Arial" w:eastAsia="Times New Roman" w:hAnsi="Arial" w:cs="Arial"/>
                <w:iCs/>
                <w:color w:val="FF0000"/>
                <w:sz w:val="20"/>
                <w:szCs w:val="20"/>
                <w:lang w:eastAsia="fr-FR"/>
              </w:rPr>
              <w:t>*</w:t>
            </w:r>
          </w:p>
        </w:tc>
      </w:tr>
      <w:tr w:rsidR="006812B9" w:rsidRPr="00857775" w14:paraId="02FE1F35" w14:textId="77777777" w:rsidTr="006D4E92">
        <w:trPr>
          <w:trHeight w:val="194"/>
        </w:trPr>
        <w:tc>
          <w:tcPr>
            <w:tcW w:w="2204" w:type="dxa"/>
            <w:tcBorders>
              <w:top w:val="nil"/>
              <w:left w:val="nil"/>
              <w:bottom w:val="nil"/>
              <w:right w:val="nil"/>
            </w:tcBorders>
            <w:noWrap/>
            <w:vAlign w:val="bottom"/>
            <w:hideMark/>
          </w:tcPr>
          <w:p w14:paraId="78F521FD" w14:textId="77777777" w:rsidR="006812B9" w:rsidRPr="00857775" w:rsidRDefault="006812B9" w:rsidP="006812B9">
            <w:pPr>
              <w:widowControl w:val="0"/>
              <w:autoSpaceDE w:val="0"/>
              <w:autoSpaceDN w:val="0"/>
              <w:spacing w:after="0"/>
              <w:jc w:val="center"/>
              <w:rPr>
                <w:rFonts w:ascii="Arial" w:eastAsia="Times New Roman" w:hAnsi="Arial" w:cs="Arial"/>
                <w:bCs/>
                <w:iCs/>
                <w:color w:val="000000"/>
                <w:sz w:val="20"/>
                <w:szCs w:val="20"/>
                <w:lang w:eastAsia="fr-FR"/>
              </w:rPr>
            </w:pPr>
            <w:r w:rsidRPr="00857775">
              <w:rPr>
                <w:rFonts w:ascii="Arial" w:eastAsia="Times New Roman" w:hAnsi="Arial" w:cs="Arial"/>
                <w:bCs/>
                <w:iCs/>
                <w:color w:val="000000"/>
                <w:sz w:val="20"/>
                <w:szCs w:val="20"/>
                <w:lang w:eastAsia="fr-FR"/>
              </w:rPr>
              <w:t>Creatinine (mg/L)</w:t>
            </w:r>
          </w:p>
        </w:tc>
        <w:tc>
          <w:tcPr>
            <w:tcW w:w="1788" w:type="dxa"/>
            <w:tcBorders>
              <w:top w:val="nil"/>
              <w:left w:val="nil"/>
              <w:bottom w:val="nil"/>
              <w:right w:val="nil"/>
            </w:tcBorders>
            <w:noWrap/>
            <w:vAlign w:val="bottom"/>
            <w:hideMark/>
          </w:tcPr>
          <w:p w14:paraId="6F25D8C3" w14:textId="77777777" w:rsidR="006812B9" w:rsidRPr="00857775" w:rsidRDefault="006812B9" w:rsidP="006812B9">
            <w:pPr>
              <w:widowControl w:val="0"/>
              <w:autoSpaceDE w:val="0"/>
              <w:autoSpaceDN w:val="0"/>
              <w:spacing w:after="0"/>
              <w:jc w:val="center"/>
              <w:rPr>
                <w:rFonts w:ascii="Arial" w:eastAsia="Times New Roman" w:hAnsi="Arial" w:cs="Arial"/>
                <w:iCs/>
                <w:color w:val="000000"/>
                <w:sz w:val="20"/>
                <w:szCs w:val="20"/>
                <w:lang w:eastAsia="fr-FR"/>
              </w:rPr>
            </w:pPr>
            <w:r w:rsidRPr="00857775">
              <w:rPr>
                <w:rFonts w:ascii="Arial" w:eastAsia="Times New Roman" w:hAnsi="Arial" w:cs="Arial"/>
                <w:iCs/>
                <w:color w:val="000000"/>
                <w:sz w:val="20"/>
                <w:szCs w:val="20"/>
                <w:lang w:eastAsia="fr-FR"/>
              </w:rPr>
              <w:t>8,24±0,28</w:t>
            </w:r>
          </w:p>
        </w:tc>
        <w:tc>
          <w:tcPr>
            <w:tcW w:w="1694" w:type="dxa"/>
            <w:tcBorders>
              <w:top w:val="nil"/>
              <w:left w:val="nil"/>
              <w:bottom w:val="nil"/>
              <w:right w:val="nil"/>
            </w:tcBorders>
            <w:noWrap/>
            <w:vAlign w:val="bottom"/>
            <w:hideMark/>
          </w:tcPr>
          <w:p w14:paraId="19F99E03" w14:textId="77777777" w:rsidR="006812B9" w:rsidRPr="00857775" w:rsidRDefault="006812B9" w:rsidP="006812B9">
            <w:pPr>
              <w:widowControl w:val="0"/>
              <w:autoSpaceDE w:val="0"/>
              <w:autoSpaceDN w:val="0"/>
              <w:spacing w:after="0" w:line="360" w:lineRule="auto"/>
              <w:jc w:val="center"/>
              <w:rPr>
                <w:rFonts w:ascii="Arial" w:eastAsia="Times New Roman" w:hAnsi="Arial" w:cs="Arial"/>
                <w:iCs/>
                <w:color w:val="000000"/>
                <w:kern w:val="0"/>
                <w:sz w:val="20"/>
                <w:szCs w:val="20"/>
                <w:lang w:eastAsia="fr-FR"/>
                <w14:ligatures w14:val="none"/>
              </w:rPr>
            </w:pPr>
            <w:r w:rsidRPr="00857775">
              <w:rPr>
                <w:rFonts w:ascii="Arial" w:eastAsia="Times New Roman" w:hAnsi="Arial" w:cs="Arial"/>
                <w:iCs/>
                <w:color w:val="000000"/>
                <w:kern w:val="0"/>
                <w:sz w:val="20"/>
                <w:szCs w:val="20"/>
                <w:lang w:eastAsia="fr-FR"/>
                <w14:ligatures w14:val="none"/>
              </w:rPr>
              <w:t>6,87±0,11</w:t>
            </w:r>
          </w:p>
        </w:tc>
        <w:tc>
          <w:tcPr>
            <w:tcW w:w="1704" w:type="dxa"/>
            <w:tcBorders>
              <w:top w:val="nil"/>
              <w:left w:val="nil"/>
              <w:bottom w:val="nil"/>
              <w:right w:val="nil"/>
            </w:tcBorders>
            <w:noWrap/>
            <w:vAlign w:val="bottom"/>
            <w:hideMark/>
          </w:tcPr>
          <w:p w14:paraId="182FA598" w14:textId="77777777" w:rsidR="006812B9" w:rsidRPr="00857775" w:rsidRDefault="006812B9" w:rsidP="006812B9">
            <w:pPr>
              <w:widowControl w:val="0"/>
              <w:autoSpaceDE w:val="0"/>
              <w:autoSpaceDN w:val="0"/>
              <w:spacing w:after="0" w:line="360" w:lineRule="auto"/>
              <w:jc w:val="center"/>
              <w:rPr>
                <w:rFonts w:ascii="Arial" w:eastAsia="Times New Roman" w:hAnsi="Arial" w:cs="Arial"/>
                <w:iCs/>
                <w:color w:val="000000"/>
                <w:kern w:val="0"/>
                <w:sz w:val="20"/>
                <w:szCs w:val="20"/>
                <w:lang w:eastAsia="fr-FR"/>
                <w14:ligatures w14:val="none"/>
              </w:rPr>
            </w:pPr>
            <w:r w:rsidRPr="00857775">
              <w:rPr>
                <w:rFonts w:ascii="Arial" w:eastAsia="Times New Roman" w:hAnsi="Arial" w:cs="Arial"/>
                <w:iCs/>
                <w:color w:val="000000"/>
                <w:kern w:val="0"/>
                <w:sz w:val="20"/>
                <w:szCs w:val="20"/>
                <w:lang w:eastAsia="fr-FR"/>
                <w14:ligatures w14:val="none"/>
              </w:rPr>
              <w:t>8,22±0,15</w:t>
            </w:r>
          </w:p>
        </w:tc>
        <w:tc>
          <w:tcPr>
            <w:tcW w:w="1843" w:type="dxa"/>
            <w:tcBorders>
              <w:top w:val="nil"/>
              <w:left w:val="nil"/>
              <w:bottom w:val="nil"/>
              <w:right w:val="nil"/>
            </w:tcBorders>
            <w:noWrap/>
            <w:vAlign w:val="bottom"/>
            <w:hideMark/>
          </w:tcPr>
          <w:p w14:paraId="76F07D26" w14:textId="77777777" w:rsidR="006812B9" w:rsidRPr="00857775" w:rsidRDefault="006812B9" w:rsidP="006812B9">
            <w:pPr>
              <w:widowControl w:val="0"/>
              <w:autoSpaceDE w:val="0"/>
              <w:autoSpaceDN w:val="0"/>
              <w:spacing w:after="0"/>
              <w:jc w:val="center"/>
              <w:rPr>
                <w:rFonts w:ascii="Arial" w:eastAsia="Times New Roman" w:hAnsi="Arial" w:cs="Arial"/>
                <w:iCs/>
                <w:color w:val="000000"/>
                <w:sz w:val="20"/>
                <w:szCs w:val="20"/>
                <w:lang w:eastAsia="fr-FR"/>
              </w:rPr>
            </w:pPr>
            <w:r w:rsidRPr="00857775">
              <w:rPr>
                <w:rFonts w:ascii="Arial" w:eastAsia="Times New Roman" w:hAnsi="Arial" w:cs="Arial"/>
                <w:iCs/>
                <w:color w:val="000000"/>
                <w:sz w:val="20"/>
                <w:szCs w:val="20"/>
                <w:lang w:eastAsia="fr-FR"/>
              </w:rPr>
              <w:t>6,28±0,18</w:t>
            </w:r>
          </w:p>
        </w:tc>
      </w:tr>
      <w:tr w:rsidR="006812B9" w:rsidRPr="00857775" w14:paraId="3616A51E" w14:textId="77777777" w:rsidTr="006D4E92">
        <w:trPr>
          <w:trHeight w:val="194"/>
        </w:trPr>
        <w:tc>
          <w:tcPr>
            <w:tcW w:w="2204" w:type="dxa"/>
            <w:tcBorders>
              <w:top w:val="nil"/>
              <w:left w:val="nil"/>
              <w:right w:val="nil"/>
            </w:tcBorders>
            <w:noWrap/>
            <w:vAlign w:val="bottom"/>
            <w:hideMark/>
          </w:tcPr>
          <w:p w14:paraId="69FFE63B" w14:textId="77777777" w:rsidR="006812B9" w:rsidRPr="00857775" w:rsidRDefault="006812B9" w:rsidP="006812B9">
            <w:pPr>
              <w:widowControl w:val="0"/>
              <w:autoSpaceDE w:val="0"/>
              <w:autoSpaceDN w:val="0"/>
              <w:spacing w:after="0"/>
              <w:jc w:val="center"/>
              <w:rPr>
                <w:rFonts w:ascii="Arial" w:eastAsia="Times New Roman" w:hAnsi="Arial" w:cs="Arial"/>
                <w:bCs/>
                <w:iCs/>
                <w:color w:val="000000"/>
                <w:sz w:val="20"/>
                <w:szCs w:val="20"/>
                <w:lang w:eastAsia="fr-FR"/>
              </w:rPr>
            </w:pPr>
            <w:r w:rsidRPr="00857775">
              <w:rPr>
                <w:rFonts w:ascii="Arial" w:eastAsia="Times New Roman" w:hAnsi="Arial" w:cs="Arial"/>
                <w:bCs/>
                <w:iCs/>
                <w:color w:val="000000"/>
                <w:sz w:val="20"/>
                <w:szCs w:val="20"/>
                <w:lang w:eastAsia="fr-FR"/>
              </w:rPr>
              <w:t>ASAT (UI/L)</w:t>
            </w:r>
          </w:p>
        </w:tc>
        <w:tc>
          <w:tcPr>
            <w:tcW w:w="1788" w:type="dxa"/>
            <w:tcBorders>
              <w:top w:val="nil"/>
              <w:left w:val="nil"/>
              <w:right w:val="nil"/>
            </w:tcBorders>
            <w:noWrap/>
            <w:vAlign w:val="bottom"/>
            <w:hideMark/>
          </w:tcPr>
          <w:p w14:paraId="19304532" w14:textId="77777777" w:rsidR="006812B9" w:rsidRPr="00857775" w:rsidRDefault="006812B9" w:rsidP="006812B9">
            <w:pPr>
              <w:widowControl w:val="0"/>
              <w:autoSpaceDE w:val="0"/>
              <w:autoSpaceDN w:val="0"/>
              <w:spacing w:after="0"/>
              <w:jc w:val="center"/>
              <w:rPr>
                <w:rFonts w:ascii="Arial" w:eastAsia="Times New Roman" w:hAnsi="Arial" w:cs="Arial"/>
                <w:iCs/>
                <w:color w:val="000000"/>
                <w:sz w:val="20"/>
                <w:szCs w:val="20"/>
                <w:lang w:eastAsia="fr-FR"/>
              </w:rPr>
            </w:pPr>
            <w:r w:rsidRPr="00857775">
              <w:rPr>
                <w:rFonts w:ascii="Arial" w:eastAsia="Times New Roman" w:hAnsi="Arial" w:cs="Arial"/>
                <w:iCs/>
                <w:color w:val="000000"/>
                <w:sz w:val="20"/>
                <w:szCs w:val="20"/>
                <w:lang w:eastAsia="fr-FR"/>
              </w:rPr>
              <w:t>144,33±11,24</w:t>
            </w:r>
          </w:p>
        </w:tc>
        <w:tc>
          <w:tcPr>
            <w:tcW w:w="1694" w:type="dxa"/>
            <w:tcBorders>
              <w:top w:val="nil"/>
              <w:left w:val="nil"/>
              <w:right w:val="nil"/>
            </w:tcBorders>
            <w:noWrap/>
            <w:vAlign w:val="bottom"/>
            <w:hideMark/>
          </w:tcPr>
          <w:p w14:paraId="6BDB5EE3" w14:textId="77777777" w:rsidR="006812B9" w:rsidRPr="00857775" w:rsidRDefault="006812B9" w:rsidP="006812B9">
            <w:pPr>
              <w:widowControl w:val="0"/>
              <w:autoSpaceDE w:val="0"/>
              <w:autoSpaceDN w:val="0"/>
              <w:spacing w:after="0" w:line="360" w:lineRule="auto"/>
              <w:jc w:val="center"/>
              <w:rPr>
                <w:rFonts w:ascii="Arial" w:eastAsia="Times New Roman" w:hAnsi="Arial" w:cs="Arial"/>
                <w:iCs/>
                <w:color w:val="000000"/>
                <w:kern w:val="0"/>
                <w:sz w:val="20"/>
                <w:szCs w:val="20"/>
                <w:lang w:eastAsia="fr-FR"/>
                <w14:ligatures w14:val="none"/>
              </w:rPr>
            </w:pPr>
            <w:r w:rsidRPr="00857775">
              <w:rPr>
                <w:rFonts w:ascii="Arial" w:eastAsia="Times New Roman" w:hAnsi="Arial" w:cs="Arial"/>
                <w:iCs/>
                <w:color w:val="000000"/>
                <w:kern w:val="0"/>
                <w:sz w:val="20"/>
                <w:szCs w:val="20"/>
                <w:lang w:eastAsia="fr-FR"/>
                <w14:ligatures w14:val="none"/>
              </w:rPr>
              <w:t>129,42±11,36</w:t>
            </w:r>
          </w:p>
        </w:tc>
        <w:tc>
          <w:tcPr>
            <w:tcW w:w="1704" w:type="dxa"/>
            <w:tcBorders>
              <w:top w:val="nil"/>
              <w:left w:val="nil"/>
              <w:right w:val="nil"/>
            </w:tcBorders>
            <w:noWrap/>
            <w:vAlign w:val="bottom"/>
            <w:hideMark/>
          </w:tcPr>
          <w:p w14:paraId="59D40E7E" w14:textId="77777777" w:rsidR="006812B9" w:rsidRPr="00857775" w:rsidRDefault="006812B9" w:rsidP="006812B9">
            <w:pPr>
              <w:widowControl w:val="0"/>
              <w:autoSpaceDE w:val="0"/>
              <w:autoSpaceDN w:val="0"/>
              <w:spacing w:after="0" w:line="360" w:lineRule="auto"/>
              <w:jc w:val="center"/>
              <w:rPr>
                <w:rFonts w:ascii="Arial" w:eastAsia="Times New Roman" w:hAnsi="Arial" w:cs="Arial"/>
                <w:iCs/>
                <w:color w:val="000000"/>
                <w:kern w:val="0"/>
                <w:sz w:val="20"/>
                <w:szCs w:val="20"/>
                <w:lang w:eastAsia="fr-FR"/>
                <w14:ligatures w14:val="none"/>
              </w:rPr>
            </w:pPr>
            <w:r w:rsidRPr="00857775">
              <w:rPr>
                <w:rFonts w:ascii="Arial" w:eastAsia="Times New Roman" w:hAnsi="Arial" w:cs="Arial"/>
                <w:iCs/>
                <w:color w:val="000000"/>
                <w:kern w:val="0"/>
                <w:sz w:val="20"/>
                <w:szCs w:val="20"/>
                <w:lang w:eastAsia="fr-FR"/>
                <w14:ligatures w14:val="none"/>
              </w:rPr>
              <w:t>108,99±0</w:t>
            </w:r>
          </w:p>
        </w:tc>
        <w:tc>
          <w:tcPr>
            <w:tcW w:w="1843" w:type="dxa"/>
            <w:tcBorders>
              <w:top w:val="nil"/>
              <w:left w:val="nil"/>
              <w:right w:val="nil"/>
            </w:tcBorders>
            <w:noWrap/>
            <w:vAlign w:val="bottom"/>
            <w:hideMark/>
          </w:tcPr>
          <w:p w14:paraId="373CE47F" w14:textId="77777777" w:rsidR="006812B9" w:rsidRPr="00857775" w:rsidRDefault="006812B9" w:rsidP="006812B9">
            <w:pPr>
              <w:widowControl w:val="0"/>
              <w:autoSpaceDE w:val="0"/>
              <w:autoSpaceDN w:val="0"/>
              <w:spacing w:after="0"/>
              <w:jc w:val="center"/>
              <w:rPr>
                <w:rFonts w:ascii="Arial" w:eastAsia="Times New Roman" w:hAnsi="Arial" w:cs="Arial"/>
                <w:iCs/>
                <w:color w:val="000000"/>
                <w:sz w:val="20"/>
                <w:szCs w:val="20"/>
                <w:lang w:eastAsia="fr-FR"/>
              </w:rPr>
            </w:pPr>
            <w:r w:rsidRPr="00857775">
              <w:rPr>
                <w:rFonts w:ascii="Arial" w:eastAsia="Times New Roman" w:hAnsi="Arial" w:cs="Arial"/>
                <w:iCs/>
                <w:color w:val="000000"/>
                <w:sz w:val="20"/>
                <w:szCs w:val="20"/>
                <w:lang w:eastAsia="fr-FR"/>
              </w:rPr>
              <w:t>82,13±0,71</w:t>
            </w:r>
          </w:p>
        </w:tc>
      </w:tr>
      <w:tr w:rsidR="006812B9" w:rsidRPr="00857775" w14:paraId="7D90CAA5" w14:textId="77777777" w:rsidTr="006D4E92">
        <w:trPr>
          <w:trHeight w:val="194"/>
        </w:trPr>
        <w:tc>
          <w:tcPr>
            <w:tcW w:w="2204" w:type="dxa"/>
            <w:tcBorders>
              <w:top w:val="nil"/>
              <w:left w:val="nil"/>
              <w:bottom w:val="single" w:sz="4" w:space="0" w:color="auto"/>
              <w:right w:val="nil"/>
            </w:tcBorders>
            <w:noWrap/>
            <w:vAlign w:val="bottom"/>
            <w:hideMark/>
          </w:tcPr>
          <w:p w14:paraId="1DC94698" w14:textId="77777777" w:rsidR="006812B9" w:rsidRPr="00857775" w:rsidRDefault="006812B9" w:rsidP="006812B9">
            <w:pPr>
              <w:widowControl w:val="0"/>
              <w:autoSpaceDE w:val="0"/>
              <w:autoSpaceDN w:val="0"/>
              <w:spacing w:after="0"/>
              <w:jc w:val="center"/>
              <w:rPr>
                <w:rFonts w:ascii="Arial" w:eastAsia="Times New Roman" w:hAnsi="Arial" w:cs="Arial"/>
                <w:bCs/>
                <w:iCs/>
                <w:color w:val="000000"/>
                <w:sz w:val="20"/>
                <w:szCs w:val="20"/>
                <w:lang w:eastAsia="fr-FR"/>
              </w:rPr>
            </w:pPr>
            <w:r w:rsidRPr="00857775">
              <w:rPr>
                <w:rFonts w:ascii="Arial" w:eastAsia="Times New Roman" w:hAnsi="Arial" w:cs="Arial"/>
                <w:bCs/>
                <w:iCs/>
                <w:color w:val="000000"/>
                <w:sz w:val="20"/>
                <w:szCs w:val="20"/>
                <w:lang w:eastAsia="fr-FR"/>
              </w:rPr>
              <w:t>ALAT (UI/L)</w:t>
            </w:r>
          </w:p>
        </w:tc>
        <w:tc>
          <w:tcPr>
            <w:tcW w:w="1788" w:type="dxa"/>
            <w:tcBorders>
              <w:top w:val="nil"/>
              <w:left w:val="nil"/>
              <w:bottom w:val="single" w:sz="4" w:space="0" w:color="auto"/>
              <w:right w:val="nil"/>
            </w:tcBorders>
            <w:noWrap/>
            <w:vAlign w:val="bottom"/>
            <w:hideMark/>
          </w:tcPr>
          <w:p w14:paraId="4DA5EEC3" w14:textId="77777777" w:rsidR="006812B9" w:rsidRPr="00857775" w:rsidRDefault="006812B9" w:rsidP="006812B9">
            <w:pPr>
              <w:widowControl w:val="0"/>
              <w:autoSpaceDE w:val="0"/>
              <w:autoSpaceDN w:val="0"/>
              <w:spacing w:after="0"/>
              <w:jc w:val="center"/>
              <w:rPr>
                <w:rFonts w:ascii="Arial" w:eastAsia="Times New Roman" w:hAnsi="Arial" w:cs="Arial"/>
                <w:iCs/>
                <w:color w:val="000000"/>
                <w:sz w:val="20"/>
                <w:szCs w:val="20"/>
                <w:lang w:eastAsia="fr-FR"/>
              </w:rPr>
            </w:pPr>
            <w:r w:rsidRPr="00857775">
              <w:rPr>
                <w:rFonts w:ascii="Arial" w:eastAsia="Times New Roman" w:hAnsi="Arial" w:cs="Arial"/>
                <w:iCs/>
                <w:color w:val="000000"/>
                <w:sz w:val="20"/>
                <w:szCs w:val="20"/>
                <w:lang w:eastAsia="fr-FR"/>
              </w:rPr>
              <w:t>82,33±9,13</w:t>
            </w:r>
          </w:p>
        </w:tc>
        <w:tc>
          <w:tcPr>
            <w:tcW w:w="1694" w:type="dxa"/>
            <w:tcBorders>
              <w:top w:val="nil"/>
              <w:left w:val="nil"/>
              <w:bottom w:val="single" w:sz="4" w:space="0" w:color="auto"/>
              <w:right w:val="nil"/>
            </w:tcBorders>
            <w:noWrap/>
            <w:vAlign w:val="bottom"/>
            <w:hideMark/>
          </w:tcPr>
          <w:p w14:paraId="71C59BDC" w14:textId="77777777" w:rsidR="006812B9" w:rsidRPr="00857775" w:rsidRDefault="006812B9" w:rsidP="006812B9">
            <w:pPr>
              <w:widowControl w:val="0"/>
              <w:autoSpaceDE w:val="0"/>
              <w:autoSpaceDN w:val="0"/>
              <w:spacing w:after="0" w:line="360" w:lineRule="auto"/>
              <w:jc w:val="center"/>
              <w:rPr>
                <w:rFonts w:ascii="Arial" w:eastAsia="Times New Roman" w:hAnsi="Arial" w:cs="Arial"/>
                <w:iCs/>
                <w:color w:val="000000"/>
                <w:kern w:val="0"/>
                <w:sz w:val="20"/>
                <w:szCs w:val="20"/>
                <w:lang w:eastAsia="fr-FR"/>
                <w14:ligatures w14:val="none"/>
              </w:rPr>
            </w:pPr>
            <w:r w:rsidRPr="00857775">
              <w:rPr>
                <w:rFonts w:ascii="Arial" w:eastAsia="Times New Roman" w:hAnsi="Arial" w:cs="Arial"/>
                <w:iCs/>
                <w:color w:val="000000"/>
                <w:kern w:val="0"/>
                <w:sz w:val="20"/>
                <w:szCs w:val="20"/>
                <w:lang w:eastAsia="fr-FR"/>
                <w14:ligatures w14:val="none"/>
              </w:rPr>
              <w:t>152,36±10,040</w:t>
            </w:r>
            <w:r w:rsidRPr="00857775">
              <w:rPr>
                <w:rFonts w:ascii="Arial" w:eastAsia="Times New Roman" w:hAnsi="Arial" w:cs="Arial"/>
                <w:iCs/>
                <w:color w:val="FF0000"/>
                <w:kern w:val="0"/>
                <w:sz w:val="20"/>
                <w:szCs w:val="20"/>
                <w:lang w:eastAsia="fr-FR"/>
                <w14:ligatures w14:val="none"/>
              </w:rPr>
              <w:t>*</w:t>
            </w:r>
          </w:p>
        </w:tc>
        <w:tc>
          <w:tcPr>
            <w:tcW w:w="1704" w:type="dxa"/>
            <w:tcBorders>
              <w:top w:val="nil"/>
              <w:left w:val="nil"/>
              <w:bottom w:val="single" w:sz="4" w:space="0" w:color="auto"/>
              <w:right w:val="nil"/>
            </w:tcBorders>
            <w:noWrap/>
            <w:vAlign w:val="bottom"/>
            <w:hideMark/>
          </w:tcPr>
          <w:p w14:paraId="44F92BC7" w14:textId="77777777" w:rsidR="006812B9" w:rsidRPr="00857775" w:rsidRDefault="006812B9" w:rsidP="006812B9">
            <w:pPr>
              <w:widowControl w:val="0"/>
              <w:autoSpaceDE w:val="0"/>
              <w:autoSpaceDN w:val="0"/>
              <w:spacing w:after="0" w:line="360" w:lineRule="auto"/>
              <w:jc w:val="center"/>
              <w:rPr>
                <w:rFonts w:ascii="Arial" w:eastAsia="Times New Roman" w:hAnsi="Arial" w:cs="Arial"/>
                <w:iCs/>
                <w:color w:val="000000"/>
                <w:kern w:val="0"/>
                <w:sz w:val="20"/>
                <w:szCs w:val="20"/>
                <w:lang w:eastAsia="fr-FR"/>
                <w14:ligatures w14:val="none"/>
              </w:rPr>
            </w:pPr>
            <w:r w:rsidRPr="00857775">
              <w:rPr>
                <w:rFonts w:ascii="Arial" w:eastAsia="Times New Roman" w:hAnsi="Arial" w:cs="Arial"/>
                <w:iCs/>
                <w:color w:val="000000"/>
                <w:kern w:val="0"/>
                <w:sz w:val="20"/>
                <w:szCs w:val="20"/>
                <w:lang w:eastAsia="fr-FR"/>
                <w14:ligatures w14:val="none"/>
              </w:rPr>
              <w:t>528,68±5,76</w:t>
            </w:r>
            <w:r w:rsidRPr="00857775">
              <w:rPr>
                <w:rFonts w:ascii="Arial" w:eastAsia="Times New Roman" w:hAnsi="Arial" w:cs="Arial"/>
                <w:iCs/>
                <w:color w:val="FF0000"/>
                <w:kern w:val="0"/>
                <w:sz w:val="20"/>
                <w:szCs w:val="20"/>
                <w:lang w:eastAsia="fr-FR"/>
                <w14:ligatures w14:val="none"/>
              </w:rPr>
              <w:t>*</w:t>
            </w:r>
          </w:p>
        </w:tc>
        <w:tc>
          <w:tcPr>
            <w:tcW w:w="1843" w:type="dxa"/>
            <w:tcBorders>
              <w:top w:val="nil"/>
              <w:left w:val="nil"/>
              <w:bottom w:val="single" w:sz="4" w:space="0" w:color="auto"/>
              <w:right w:val="nil"/>
            </w:tcBorders>
            <w:noWrap/>
            <w:vAlign w:val="bottom"/>
            <w:hideMark/>
          </w:tcPr>
          <w:p w14:paraId="261137A7" w14:textId="77777777" w:rsidR="006812B9" w:rsidRPr="00857775" w:rsidRDefault="006812B9" w:rsidP="006812B9">
            <w:pPr>
              <w:widowControl w:val="0"/>
              <w:autoSpaceDE w:val="0"/>
              <w:autoSpaceDN w:val="0"/>
              <w:spacing w:after="0"/>
              <w:jc w:val="center"/>
              <w:rPr>
                <w:rFonts w:ascii="Arial" w:eastAsia="Times New Roman" w:hAnsi="Arial" w:cs="Arial"/>
                <w:iCs/>
                <w:color w:val="000000"/>
                <w:sz w:val="20"/>
                <w:szCs w:val="20"/>
                <w:lang w:eastAsia="fr-FR"/>
              </w:rPr>
            </w:pPr>
            <w:r w:rsidRPr="00857775">
              <w:rPr>
                <w:rFonts w:ascii="Arial" w:eastAsia="Times New Roman" w:hAnsi="Arial" w:cs="Arial"/>
                <w:iCs/>
                <w:color w:val="000000"/>
                <w:sz w:val="20"/>
                <w:szCs w:val="20"/>
                <w:lang w:eastAsia="fr-FR"/>
              </w:rPr>
              <w:t>200,36±12,61</w:t>
            </w:r>
            <w:r w:rsidRPr="00857775">
              <w:rPr>
                <w:rFonts w:ascii="Arial" w:eastAsia="Times New Roman" w:hAnsi="Arial" w:cs="Arial"/>
                <w:iCs/>
                <w:color w:val="FF0000"/>
                <w:sz w:val="20"/>
                <w:szCs w:val="20"/>
                <w:lang w:eastAsia="fr-FR"/>
              </w:rPr>
              <w:t>*</w:t>
            </w:r>
          </w:p>
        </w:tc>
      </w:tr>
    </w:tbl>
    <w:p w14:paraId="36BB18FF" w14:textId="77777777" w:rsidR="00A21ECB" w:rsidRPr="00857775" w:rsidRDefault="00A21ECB" w:rsidP="00A21ECB">
      <w:pPr>
        <w:jc w:val="both"/>
        <w:rPr>
          <w:rFonts w:ascii="Arial" w:hAnsi="Arial" w:cs="Arial"/>
          <w:sz w:val="20"/>
          <w:szCs w:val="20"/>
        </w:rPr>
      </w:pPr>
      <w:r w:rsidRPr="00857775">
        <w:rPr>
          <w:rFonts w:ascii="Arial" w:hAnsi="Arial" w:cs="Arial"/>
          <w:sz w:val="20"/>
          <w:szCs w:val="20"/>
        </w:rPr>
        <w:t>Results in Mean ± Standard Error Mean (SEM) * = Significant difference (P &lt; 0.05)</w:t>
      </w:r>
    </w:p>
    <w:p w14:paraId="42BACE9F" w14:textId="77777777" w:rsidR="004541C9" w:rsidRPr="00857775" w:rsidRDefault="00A21ECB" w:rsidP="004541C9">
      <w:pPr>
        <w:jc w:val="both"/>
        <w:rPr>
          <w:rFonts w:ascii="Arial" w:hAnsi="Arial" w:cs="Arial"/>
          <w:sz w:val="20"/>
          <w:szCs w:val="20"/>
        </w:rPr>
      </w:pPr>
      <w:r w:rsidRPr="00857775">
        <w:rPr>
          <w:rFonts w:ascii="Arial" w:hAnsi="Arial" w:cs="Arial"/>
          <w:sz w:val="20"/>
          <w:szCs w:val="20"/>
        </w:rPr>
        <w:t xml:space="preserve">Daily oral administration of hydroethanolic extract from the </w:t>
      </w:r>
      <w:r w:rsidR="00B86223" w:rsidRPr="00857775">
        <w:rPr>
          <w:rFonts w:ascii="Arial" w:hAnsi="Arial" w:cs="Arial"/>
          <w:sz w:val="20"/>
          <w:szCs w:val="20"/>
        </w:rPr>
        <w:t xml:space="preserve">leaves </w:t>
      </w:r>
      <w:r w:rsidRPr="00857775">
        <w:rPr>
          <w:rFonts w:ascii="Arial" w:hAnsi="Arial" w:cs="Arial"/>
          <w:sz w:val="20"/>
          <w:szCs w:val="20"/>
        </w:rPr>
        <w:t xml:space="preserve">of </w:t>
      </w:r>
      <w:r w:rsidR="00B86223" w:rsidRPr="00857775">
        <w:rPr>
          <w:rFonts w:ascii="Arial" w:hAnsi="Arial" w:cs="Arial"/>
          <w:i/>
          <w:iCs/>
          <w:sz w:val="20"/>
          <w:szCs w:val="20"/>
        </w:rPr>
        <w:t>Jatropha curcas</w:t>
      </w:r>
      <w:r w:rsidRPr="00857775">
        <w:rPr>
          <w:rFonts w:ascii="Arial" w:hAnsi="Arial" w:cs="Arial"/>
          <w:sz w:val="20"/>
          <w:szCs w:val="20"/>
        </w:rPr>
        <w:t xml:space="preserve"> to rats for 28 days altered the values of biochemical parameters. Indeed, urea and ALAT levels at doses of 750 and 1000 mg/kg varied significantly compared to control rats.</w:t>
      </w:r>
      <w:r w:rsidR="004541C9" w:rsidRPr="00857775">
        <w:rPr>
          <w:rFonts w:ascii="Arial" w:eastAsia="Times New Roman" w:hAnsi="Arial" w:cs="Arial"/>
          <w:kern w:val="0"/>
          <w:sz w:val="20"/>
          <w:szCs w:val="20"/>
          <w:lang w:eastAsia="fr-FR"/>
          <w14:ligatures w14:val="none"/>
        </w:rPr>
        <w:t xml:space="preserve"> </w:t>
      </w:r>
      <w:r w:rsidR="004541C9" w:rsidRPr="00857775">
        <w:rPr>
          <w:rFonts w:ascii="Arial" w:hAnsi="Arial" w:cs="Arial"/>
          <w:sz w:val="20"/>
          <w:szCs w:val="20"/>
        </w:rPr>
        <w:t>At a dose of 500 mg/kg, only the ALAT (TGP) level showed a significant difference compared to the control group.</w:t>
      </w:r>
    </w:p>
    <w:p w14:paraId="13957764" w14:textId="77777777" w:rsidR="009F7EDA" w:rsidRPr="00857775" w:rsidRDefault="009F7EDA" w:rsidP="00A21ECB">
      <w:pPr>
        <w:jc w:val="both"/>
        <w:rPr>
          <w:rFonts w:ascii="Arial" w:hAnsi="Arial" w:cs="Arial"/>
          <w:b/>
          <w:bCs/>
          <w:sz w:val="20"/>
          <w:szCs w:val="20"/>
        </w:rPr>
      </w:pPr>
    </w:p>
    <w:p w14:paraId="6811F1B2" w14:textId="77777777" w:rsidR="00A21ECB" w:rsidRPr="00857775" w:rsidRDefault="00A21ECB" w:rsidP="00A21ECB">
      <w:pPr>
        <w:jc w:val="both"/>
        <w:rPr>
          <w:rFonts w:ascii="Arial" w:hAnsi="Arial" w:cs="Arial"/>
          <w:b/>
          <w:bCs/>
          <w:sz w:val="22"/>
          <w:szCs w:val="22"/>
        </w:rPr>
      </w:pPr>
      <w:r w:rsidRPr="00857775">
        <w:rPr>
          <w:rFonts w:ascii="Arial" w:hAnsi="Arial" w:cs="Arial"/>
          <w:b/>
          <w:bCs/>
          <w:sz w:val="22"/>
          <w:szCs w:val="22"/>
        </w:rPr>
        <w:t>3.2.5. Relative organ mass</w:t>
      </w:r>
    </w:p>
    <w:p w14:paraId="1372269D" w14:textId="77777777" w:rsidR="00A21ECB" w:rsidRPr="00857775" w:rsidRDefault="00A21ECB" w:rsidP="00A21ECB">
      <w:pPr>
        <w:jc w:val="both"/>
        <w:rPr>
          <w:rFonts w:ascii="Arial" w:hAnsi="Arial" w:cs="Arial"/>
          <w:sz w:val="20"/>
          <w:szCs w:val="20"/>
        </w:rPr>
      </w:pPr>
      <w:r w:rsidRPr="00857775">
        <w:rPr>
          <w:rFonts w:ascii="Arial" w:hAnsi="Arial" w:cs="Arial"/>
          <w:sz w:val="20"/>
          <w:szCs w:val="20"/>
        </w:rPr>
        <w:t xml:space="preserve">The table below shows the relative mass of organs taken from animals at different doses of hydroethanolic extract of </w:t>
      </w:r>
      <w:r w:rsidRPr="00857775">
        <w:rPr>
          <w:rFonts w:ascii="Arial" w:hAnsi="Arial" w:cs="Arial"/>
          <w:i/>
          <w:iCs/>
          <w:sz w:val="20"/>
          <w:szCs w:val="20"/>
        </w:rPr>
        <w:t>Uvaria chamae</w:t>
      </w:r>
      <w:r w:rsidRPr="00857775">
        <w:rPr>
          <w:rFonts w:ascii="Arial" w:hAnsi="Arial" w:cs="Arial"/>
          <w:sz w:val="20"/>
          <w:szCs w:val="20"/>
        </w:rPr>
        <w:t xml:space="preserve"> after 28 days.</w:t>
      </w:r>
    </w:p>
    <w:p w14:paraId="1D400C8F" w14:textId="77777777" w:rsidR="00A21ECB" w:rsidRPr="00857775" w:rsidRDefault="00A21ECB" w:rsidP="00A21ECB">
      <w:pPr>
        <w:jc w:val="both"/>
        <w:rPr>
          <w:rFonts w:ascii="Arial" w:hAnsi="Arial" w:cs="Arial"/>
          <w:sz w:val="20"/>
          <w:szCs w:val="20"/>
        </w:rPr>
      </w:pPr>
      <w:r w:rsidRPr="00857775">
        <w:rPr>
          <w:rFonts w:ascii="Arial" w:hAnsi="Arial" w:cs="Arial"/>
          <w:sz w:val="20"/>
          <w:szCs w:val="20"/>
        </w:rPr>
        <w:t>Table 8 : Relative mass of organs taken from animals at different doses</w:t>
      </w:r>
    </w:p>
    <w:tbl>
      <w:tblPr>
        <w:tblStyle w:val="Tableausimple22"/>
        <w:tblW w:w="0" w:type="auto"/>
        <w:tblLook w:val="04A0" w:firstRow="1" w:lastRow="0" w:firstColumn="1" w:lastColumn="0" w:noHBand="0" w:noVBand="1"/>
      </w:tblPr>
      <w:tblGrid>
        <w:gridCol w:w="1812"/>
        <w:gridCol w:w="1812"/>
        <w:gridCol w:w="1812"/>
        <w:gridCol w:w="1813"/>
        <w:gridCol w:w="1813"/>
      </w:tblGrid>
      <w:tr w:rsidR="00780EE0" w:rsidRPr="00857775" w14:paraId="3EFB48D3" w14:textId="77777777" w:rsidTr="00BE56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5"/>
          </w:tcPr>
          <w:p w14:paraId="3D2E9447" w14:textId="77777777" w:rsidR="00780EE0" w:rsidRPr="00857775" w:rsidRDefault="00780EE0" w:rsidP="00BE56F0">
            <w:pPr>
              <w:spacing w:before="120" w:after="120"/>
              <w:jc w:val="center"/>
              <w:rPr>
                <w:rFonts w:ascii="Arial" w:eastAsia="Calibri" w:hAnsi="Arial" w:cs="Arial"/>
                <w:sz w:val="20"/>
                <w:szCs w:val="20"/>
              </w:rPr>
            </w:pPr>
            <w:r w:rsidRPr="00857775">
              <w:rPr>
                <w:rFonts w:ascii="Arial" w:eastAsia="Calibri" w:hAnsi="Arial" w:cs="Arial"/>
                <w:sz w:val="20"/>
                <w:szCs w:val="20"/>
              </w:rPr>
              <w:t>Relative organ weights (g/100 g BW) Subacute toxicity</w:t>
            </w:r>
          </w:p>
        </w:tc>
      </w:tr>
      <w:tr w:rsidR="00780EE0" w:rsidRPr="00857775" w14:paraId="50A21FE5" w14:textId="77777777" w:rsidTr="00BE56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4925A91C" w14:textId="77777777" w:rsidR="00780EE0" w:rsidRPr="00857775" w:rsidRDefault="00780EE0" w:rsidP="00BE56F0">
            <w:pPr>
              <w:spacing w:before="120" w:after="120"/>
              <w:jc w:val="center"/>
              <w:rPr>
                <w:rFonts w:ascii="Arial" w:eastAsia="Calibri" w:hAnsi="Arial" w:cs="Arial"/>
                <w:sz w:val="20"/>
                <w:szCs w:val="20"/>
              </w:rPr>
            </w:pPr>
            <w:r w:rsidRPr="00857775">
              <w:rPr>
                <w:rFonts w:ascii="Arial" w:eastAsia="Calibri" w:hAnsi="Arial" w:cs="Arial"/>
                <w:sz w:val="20"/>
                <w:szCs w:val="20"/>
              </w:rPr>
              <w:t>Organs</w:t>
            </w:r>
          </w:p>
        </w:tc>
        <w:tc>
          <w:tcPr>
            <w:tcW w:w="1812" w:type="dxa"/>
          </w:tcPr>
          <w:p w14:paraId="44D56493" w14:textId="77777777" w:rsidR="00780EE0" w:rsidRPr="00857775" w:rsidRDefault="00780EE0" w:rsidP="00BE56F0">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0"/>
                <w:szCs w:val="20"/>
              </w:rPr>
            </w:pPr>
            <w:r w:rsidRPr="00857775">
              <w:rPr>
                <w:rFonts w:ascii="Arial" w:eastAsia="Calibri" w:hAnsi="Arial" w:cs="Arial"/>
                <w:b/>
                <w:bCs/>
                <w:sz w:val="20"/>
                <w:szCs w:val="20"/>
              </w:rPr>
              <w:t>Control batch</w:t>
            </w:r>
          </w:p>
        </w:tc>
        <w:tc>
          <w:tcPr>
            <w:tcW w:w="1812" w:type="dxa"/>
          </w:tcPr>
          <w:p w14:paraId="4980273B" w14:textId="77777777" w:rsidR="00780EE0" w:rsidRPr="00857775" w:rsidRDefault="00780EE0" w:rsidP="00BE56F0">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0"/>
                <w:szCs w:val="20"/>
              </w:rPr>
            </w:pPr>
            <w:r w:rsidRPr="00857775">
              <w:rPr>
                <w:rFonts w:ascii="Arial" w:eastAsia="Calibri" w:hAnsi="Arial" w:cs="Arial"/>
                <w:b/>
                <w:bCs/>
                <w:sz w:val="20"/>
                <w:szCs w:val="20"/>
              </w:rPr>
              <w:t>500mg/kg pc</w:t>
            </w:r>
          </w:p>
        </w:tc>
        <w:tc>
          <w:tcPr>
            <w:tcW w:w="1813" w:type="dxa"/>
          </w:tcPr>
          <w:p w14:paraId="546DD561" w14:textId="77777777" w:rsidR="00780EE0" w:rsidRPr="00857775" w:rsidRDefault="00780EE0" w:rsidP="00BE56F0">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0"/>
                <w:szCs w:val="20"/>
              </w:rPr>
            </w:pPr>
            <w:r w:rsidRPr="00857775">
              <w:rPr>
                <w:rFonts w:ascii="Arial" w:eastAsia="Calibri" w:hAnsi="Arial" w:cs="Arial"/>
                <w:b/>
                <w:bCs/>
                <w:sz w:val="20"/>
                <w:szCs w:val="20"/>
              </w:rPr>
              <w:t>750 mg/kg pc</w:t>
            </w:r>
          </w:p>
        </w:tc>
        <w:tc>
          <w:tcPr>
            <w:tcW w:w="1813" w:type="dxa"/>
          </w:tcPr>
          <w:p w14:paraId="149FC701" w14:textId="77777777" w:rsidR="00780EE0" w:rsidRPr="00857775" w:rsidRDefault="00780EE0" w:rsidP="00BE56F0">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0"/>
                <w:szCs w:val="20"/>
              </w:rPr>
            </w:pPr>
            <w:r w:rsidRPr="00857775">
              <w:rPr>
                <w:rFonts w:ascii="Arial" w:eastAsia="Calibri" w:hAnsi="Arial" w:cs="Arial"/>
                <w:b/>
                <w:bCs/>
                <w:sz w:val="20"/>
                <w:szCs w:val="20"/>
              </w:rPr>
              <w:t>1000 mg/kg pc</w:t>
            </w:r>
          </w:p>
        </w:tc>
      </w:tr>
      <w:tr w:rsidR="00780EE0" w:rsidRPr="00857775" w14:paraId="093D1741" w14:textId="77777777" w:rsidTr="00BE56F0">
        <w:tc>
          <w:tcPr>
            <w:cnfStyle w:val="001000000000" w:firstRow="0" w:lastRow="0" w:firstColumn="1" w:lastColumn="0" w:oddVBand="0" w:evenVBand="0" w:oddHBand="0" w:evenHBand="0" w:firstRowFirstColumn="0" w:firstRowLastColumn="0" w:lastRowFirstColumn="0" w:lastRowLastColumn="0"/>
            <w:tcW w:w="1812" w:type="dxa"/>
          </w:tcPr>
          <w:p w14:paraId="76AE664F" w14:textId="77777777" w:rsidR="00780EE0" w:rsidRPr="00857775" w:rsidRDefault="00780EE0" w:rsidP="00BE56F0">
            <w:pPr>
              <w:spacing w:before="120" w:after="120"/>
              <w:jc w:val="center"/>
              <w:rPr>
                <w:rFonts w:ascii="Arial" w:eastAsia="Calibri" w:hAnsi="Arial" w:cs="Arial"/>
                <w:sz w:val="20"/>
                <w:szCs w:val="20"/>
              </w:rPr>
            </w:pPr>
            <w:r w:rsidRPr="00857775">
              <w:rPr>
                <w:rFonts w:ascii="Arial" w:eastAsia="Calibri" w:hAnsi="Arial" w:cs="Arial"/>
                <w:b w:val="0"/>
                <w:bCs w:val="0"/>
                <w:sz w:val="20"/>
                <w:szCs w:val="20"/>
              </w:rPr>
              <w:t>Kidneys</w:t>
            </w:r>
          </w:p>
        </w:tc>
        <w:tc>
          <w:tcPr>
            <w:tcW w:w="1812" w:type="dxa"/>
          </w:tcPr>
          <w:p w14:paraId="1B97E7E7" w14:textId="77777777" w:rsidR="00780EE0" w:rsidRPr="00857775" w:rsidRDefault="00780EE0" w:rsidP="00BE56F0">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857775">
              <w:rPr>
                <w:rFonts w:ascii="Arial" w:eastAsia="Calibri" w:hAnsi="Arial" w:cs="Arial"/>
                <w:sz w:val="20"/>
                <w:szCs w:val="20"/>
              </w:rPr>
              <w:t xml:space="preserve">0,22 </w:t>
            </w:r>
            <w:r w:rsidRPr="00857775">
              <w:rPr>
                <w:rFonts w:ascii="Arial" w:eastAsia="Calibri" w:hAnsi="Arial" w:cs="Arial"/>
                <w:bCs/>
                <w:sz w:val="20"/>
                <w:szCs w:val="20"/>
              </w:rPr>
              <w:t>± 0,04</w:t>
            </w:r>
          </w:p>
        </w:tc>
        <w:tc>
          <w:tcPr>
            <w:tcW w:w="1812" w:type="dxa"/>
          </w:tcPr>
          <w:p w14:paraId="2DA83E7E" w14:textId="77777777" w:rsidR="00780EE0" w:rsidRPr="00857775" w:rsidRDefault="00780EE0" w:rsidP="00BE56F0">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857775">
              <w:rPr>
                <w:rFonts w:ascii="Arial" w:eastAsia="Calibri" w:hAnsi="Arial" w:cs="Arial"/>
                <w:sz w:val="20"/>
                <w:szCs w:val="20"/>
              </w:rPr>
              <w:t xml:space="preserve">0,23 </w:t>
            </w:r>
            <w:r w:rsidRPr="00857775">
              <w:rPr>
                <w:rFonts w:ascii="Arial" w:eastAsia="Calibri" w:hAnsi="Arial" w:cs="Arial"/>
                <w:bCs/>
                <w:sz w:val="20"/>
                <w:szCs w:val="20"/>
              </w:rPr>
              <w:t>± 0,04</w:t>
            </w:r>
          </w:p>
        </w:tc>
        <w:tc>
          <w:tcPr>
            <w:tcW w:w="1813" w:type="dxa"/>
          </w:tcPr>
          <w:p w14:paraId="2A723CBE" w14:textId="77777777" w:rsidR="00780EE0" w:rsidRPr="00857775" w:rsidRDefault="00780EE0" w:rsidP="00BE56F0">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857775">
              <w:rPr>
                <w:rFonts w:ascii="Arial" w:eastAsia="Calibri" w:hAnsi="Arial" w:cs="Arial"/>
                <w:sz w:val="20"/>
                <w:szCs w:val="20"/>
              </w:rPr>
              <w:t xml:space="preserve">0,26 </w:t>
            </w:r>
            <w:r w:rsidRPr="00857775">
              <w:rPr>
                <w:rFonts w:ascii="Arial" w:eastAsia="Calibri" w:hAnsi="Arial" w:cs="Arial"/>
                <w:bCs/>
                <w:sz w:val="20"/>
                <w:szCs w:val="20"/>
              </w:rPr>
              <w:t>± 0,03</w:t>
            </w:r>
          </w:p>
        </w:tc>
        <w:tc>
          <w:tcPr>
            <w:tcW w:w="1813" w:type="dxa"/>
          </w:tcPr>
          <w:p w14:paraId="7B911E1C" w14:textId="77777777" w:rsidR="00780EE0" w:rsidRPr="00857775" w:rsidRDefault="00780EE0" w:rsidP="00BE56F0">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857775">
              <w:rPr>
                <w:rFonts w:ascii="Arial" w:eastAsia="Calibri" w:hAnsi="Arial" w:cs="Arial"/>
                <w:sz w:val="20"/>
                <w:szCs w:val="20"/>
              </w:rPr>
              <w:t xml:space="preserve">0,25 </w:t>
            </w:r>
            <w:r w:rsidRPr="00857775">
              <w:rPr>
                <w:rFonts w:ascii="Arial" w:eastAsia="Calibri" w:hAnsi="Arial" w:cs="Arial"/>
                <w:bCs/>
                <w:sz w:val="20"/>
                <w:szCs w:val="20"/>
              </w:rPr>
              <w:t>± 0,02</w:t>
            </w:r>
          </w:p>
        </w:tc>
      </w:tr>
      <w:tr w:rsidR="00780EE0" w:rsidRPr="00857775" w14:paraId="2A41274E" w14:textId="77777777" w:rsidTr="00BE56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07B1CE7E" w14:textId="77777777" w:rsidR="00780EE0" w:rsidRPr="00857775" w:rsidRDefault="00780EE0" w:rsidP="00BE56F0">
            <w:pPr>
              <w:spacing w:before="120" w:after="120"/>
              <w:jc w:val="center"/>
              <w:rPr>
                <w:rFonts w:ascii="Arial" w:eastAsia="Calibri" w:hAnsi="Arial" w:cs="Arial"/>
                <w:sz w:val="20"/>
                <w:szCs w:val="20"/>
              </w:rPr>
            </w:pPr>
            <w:r w:rsidRPr="00857775">
              <w:rPr>
                <w:rFonts w:ascii="Arial" w:eastAsia="Calibri" w:hAnsi="Arial" w:cs="Arial"/>
                <w:sz w:val="20"/>
                <w:szCs w:val="20"/>
              </w:rPr>
              <w:t>P- value</w:t>
            </w:r>
          </w:p>
        </w:tc>
        <w:tc>
          <w:tcPr>
            <w:tcW w:w="1812" w:type="dxa"/>
          </w:tcPr>
          <w:p w14:paraId="4B4B5BE3" w14:textId="77777777" w:rsidR="00780EE0" w:rsidRPr="00857775" w:rsidRDefault="00780EE0" w:rsidP="00BE56F0">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p>
        </w:tc>
        <w:tc>
          <w:tcPr>
            <w:tcW w:w="1812" w:type="dxa"/>
          </w:tcPr>
          <w:p w14:paraId="25110270" w14:textId="77777777" w:rsidR="00780EE0" w:rsidRPr="00857775" w:rsidRDefault="00780EE0" w:rsidP="00BE56F0">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857775">
              <w:rPr>
                <w:rFonts w:ascii="Arial" w:eastAsia="Calibri" w:hAnsi="Arial" w:cs="Arial"/>
                <w:sz w:val="20"/>
                <w:szCs w:val="20"/>
              </w:rPr>
              <w:t>0,198</w:t>
            </w:r>
          </w:p>
        </w:tc>
        <w:tc>
          <w:tcPr>
            <w:tcW w:w="1813" w:type="dxa"/>
          </w:tcPr>
          <w:p w14:paraId="1897368A" w14:textId="77777777" w:rsidR="00780EE0" w:rsidRPr="00857775" w:rsidRDefault="00780EE0" w:rsidP="00BE56F0">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857775">
              <w:rPr>
                <w:rFonts w:ascii="Arial" w:eastAsia="Calibri" w:hAnsi="Arial" w:cs="Arial"/>
                <w:sz w:val="20"/>
                <w:szCs w:val="20"/>
              </w:rPr>
              <w:t>0,205</w:t>
            </w:r>
          </w:p>
        </w:tc>
        <w:tc>
          <w:tcPr>
            <w:tcW w:w="1813" w:type="dxa"/>
          </w:tcPr>
          <w:p w14:paraId="7C141A48" w14:textId="77777777" w:rsidR="00780EE0" w:rsidRPr="00857775" w:rsidRDefault="00780EE0" w:rsidP="00BE56F0">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857775">
              <w:rPr>
                <w:rFonts w:ascii="Arial" w:eastAsia="Calibri" w:hAnsi="Arial" w:cs="Arial"/>
                <w:sz w:val="20"/>
                <w:szCs w:val="20"/>
              </w:rPr>
              <w:t>0,147</w:t>
            </w:r>
          </w:p>
        </w:tc>
      </w:tr>
      <w:tr w:rsidR="00780EE0" w:rsidRPr="00857775" w14:paraId="5E57917A" w14:textId="77777777" w:rsidTr="00BE56F0">
        <w:tc>
          <w:tcPr>
            <w:cnfStyle w:val="001000000000" w:firstRow="0" w:lastRow="0" w:firstColumn="1" w:lastColumn="0" w:oddVBand="0" w:evenVBand="0" w:oddHBand="0" w:evenHBand="0" w:firstRowFirstColumn="0" w:firstRowLastColumn="0" w:lastRowFirstColumn="0" w:lastRowLastColumn="0"/>
            <w:tcW w:w="1812" w:type="dxa"/>
          </w:tcPr>
          <w:p w14:paraId="208DAB96" w14:textId="77777777" w:rsidR="00780EE0" w:rsidRPr="00857775" w:rsidRDefault="00780EE0" w:rsidP="00BE56F0">
            <w:pPr>
              <w:spacing w:before="120" w:after="120"/>
              <w:jc w:val="center"/>
              <w:rPr>
                <w:rFonts w:ascii="Arial" w:eastAsia="Calibri" w:hAnsi="Arial" w:cs="Arial"/>
                <w:sz w:val="20"/>
                <w:szCs w:val="20"/>
              </w:rPr>
            </w:pPr>
            <w:r w:rsidRPr="00857775">
              <w:rPr>
                <w:rFonts w:ascii="Arial" w:eastAsia="Calibri" w:hAnsi="Arial" w:cs="Arial"/>
                <w:b w:val="0"/>
                <w:bCs w:val="0"/>
                <w:sz w:val="20"/>
                <w:szCs w:val="20"/>
              </w:rPr>
              <w:t>Liver</w:t>
            </w:r>
          </w:p>
        </w:tc>
        <w:tc>
          <w:tcPr>
            <w:tcW w:w="1812" w:type="dxa"/>
          </w:tcPr>
          <w:p w14:paraId="75FC6192" w14:textId="77777777" w:rsidR="00780EE0" w:rsidRPr="00857775" w:rsidRDefault="00780EE0" w:rsidP="00BE56F0">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857775">
              <w:rPr>
                <w:rFonts w:ascii="Arial" w:eastAsia="Calibri" w:hAnsi="Arial" w:cs="Arial"/>
                <w:sz w:val="20"/>
                <w:szCs w:val="20"/>
              </w:rPr>
              <w:t xml:space="preserve">2,84 </w:t>
            </w:r>
            <w:r w:rsidRPr="00857775">
              <w:rPr>
                <w:rFonts w:ascii="Arial" w:eastAsia="Calibri" w:hAnsi="Arial" w:cs="Arial"/>
                <w:bCs/>
                <w:sz w:val="20"/>
                <w:szCs w:val="20"/>
              </w:rPr>
              <w:t>± 0,13</w:t>
            </w:r>
          </w:p>
        </w:tc>
        <w:tc>
          <w:tcPr>
            <w:tcW w:w="1812" w:type="dxa"/>
          </w:tcPr>
          <w:p w14:paraId="6E381433" w14:textId="77777777" w:rsidR="00780EE0" w:rsidRPr="00857775" w:rsidRDefault="00780EE0" w:rsidP="00BE56F0">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857775">
              <w:rPr>
                <w:rFonts w:ascii="Arial" w:eastAsia="Calibri" w:hAnsi="Arial" w:cs="Arial"/>
                <w:sz w:val="20"/>
                <w:szCs w:val="20"/>
              </w:rPr>
              <w:t xml:space="preserve">2,24 </w:t>
            </w:r>
            <w:r w:rsidRPr="00857775">
              <w:rPr>
                <w:rFonts w:ascii="Arial" w:eastAsia="Calibri" w:hAnsi="Arial" w:cs="Arial"/>
                <w:bCs/>
                <w:sz w:val="20"/>
                <w:szCs w:val="20"/>
              </w:rPr>
              <w:t>± 0,15</w:t>
            </w:r>
          </w:p>
        </w:tc>
        <w:tc>
          <w:tcPr>
            <w:tcW w:w="1813" w:type="dxa"/>
          </w:tcPr>
          <w:p w14:paraId="786BD399" w14:textId="77777777" w:rsidR="00780EE0" w:rsidRPr="00857775" w:rsidRDefault="00780EE0" w:rsidP="00BE56F0">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857775">
              <w:rPr>
                <w:rFonts w:ascii="Arial" w:eastAsia="Calibri" w:hAnsi="Arial" w:cs="Arial"/>
                <w:sz w:val="20"/>
                <w:szCs w:val="20"/>
              </w:rPr>
              <w:t xml:space="preserve">2,72 </w:t>
            </w:r>
            <w:r w:rsidRPr="00857775">
              <w:rPr>
                <w:rFonts w:ascii="Arial" w:eastAsia="Calibri" w:hAnsi="Arial" w:cs="Arial"/>
                <w:bCs/>
                <w:sz w:val="20"/>
                <w:szCs w:val="20"/>
              </w:rPr>
              <w:t>± 0,17</w:t>
            </w:r>
          </w:p>
        </w:tc>
        <w:tc>
          <w:tcPr>
            <w:tcW w:w="1813" w:type="dxa"/>
          </w:tcPr>
          <w:p w14:paraId="5BA18426" w14:textId="77777777" w:rsidR="00780EE0" w:rsidRPr="00857775" w:rsidRDefault="00780EE0" w:rsidP="00BE56F0">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857775">
              <w:rPr>
                <w:rFonts w:ascii="Arial" w:eastAsia="Calibri" w:hAnsi="Arial" w:cs="Arial"/>
                <w:sz w:val="20"/>
                <w:szCs w:val="20"/>
              </w:rPr>
              <w:t>2,42</w:t>
            </w:r>
            <w:r w:rsidRPr="00857775">
              <w:rPr>
                <w:rFonts w:ascii="Arial" w:eastAsia="Calibri" w:hAnsi="Arial" w:cs="Arial"/>
                <w:bCs/>
                <w:sz w:val="20"/>
                <w:szCs w:val="20"/>
              </w:rPr>
              <w:t>± 0,12</w:t>
            </w:r>
          </w:p>
        </w:tc>
      </w:tr>
      <w:tr w:rsidR="00780EE0" w:rsidRPr="00857775" w14:paraId="10A507E7" w14:textId="77777777" w:rsidTr="00BE56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tcPr>
          <w:p w14:paraId="6074CFD5" w14:textId="77777777" w:rsidR="00780EE0" w:rsidRPr="00857775" w:rsidRDefault="00780EE0" w:rsidP="00BE56F0">
            <w:pPr>
              <w:spacing w:before="120" w:after="120"/>
              <w:jc w:val="center"/>
              <w:rPr>
                <w:rFonts w:ascii="Arial" w:eastAsia="Calibri" w:hAnsi="Arial" w:cs="Arial"/>
                <w:i/>
                <w:iCs/>
                <w:sz w:val="20"/>
                <w:szCs w:val="20"/>
              </w:rPr>
            </w:pPr>
            <w:r w:rsidRPr="00857775">
              <w:rPr>
                <w:rFonts w:ascii="Arial" w:eastAsia="Calibri" w:hAnsi="Arial" w:cs="Arial"/>
                <w:sz w:val="20"/>
                <w:szCs w:val="20"/>
              </w:rPr>
              <w:t>P- value</w:t>
            </w:r>
          </w:p>
        </w:tc>
        <w:tc>
          <w:tcPr>
            <w:tcW w:w="1812" w:type="dxa"/>
          </w:tcPr>
          <w:p w14:paraId="7C560866" w14:textId="77777777" w:rsidR="00780EE0" w:rsidRPr="00857775" w:rsidRDefault="00780EE0" w:rsidP="00BE56F0">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p>
        </w:tc>
        <w:tc>
          <w:tcPr>
            <w:tcW w:w="1812" w:type="dxa"/>
          </w:tcPr>
          <w:p w14:paraId="0B8D3216" w14:textId="77777777" w:rsidR="00780EE0" w:rsidRPr="00857775" w:rsidRDefault="00780EE0" w:rsidP="00BE56F0">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857775">
              <w:rPr>
                <w:rFonts w:ascii="Arial" w:eastAsia="Calibri" w:hAnsi="Arial" w:cs="Arial"/>
                <w:sz w:val="20"/>
                <w:szCs w:val="20"/>
              </w:rPr>
              <w:t>0,148</w:t>
            </w:r>
          </w:p>
        </w:tc>
        <w:tc>
          <w:tcPr>
            <w:tcW w:w="1813" w:type="dxa"/>
          </w:tcPr>
          <w:p w14:paraId="42C72160" w14:textId="77777777" w:rsidR="00780EE0" w:rsidRPr="00857775" w:rsidRDefault="00780EE0" w:rsidP="00BE56F0">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857775">
              <w:rPr>
                <w:rFonts w:ascii="Arial" w:eastAsia="Calibri" w:hAnsi="Arial" w:cs="Arial"/>
                <w:sz w:val="20"/>
                <w:szCs w:val="20"/>
              </w:rPr>
              <w:t>0,133</w:t>
            </w:r>
          </w:p>
        </w:tc>
        <w:tc>
          <w:tcPr>
            <w:tcW w:w="1813" w:type="dxa"/>
          </w:tcPr>
          <w:p w14:paraId="6C58403B" w14:textId="77777777" w:rsidR="00780EE0" w:rsidRPr="00857775" w:rsidRDefault="00780EE0" w:rsidP="00BE56F0">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857775">
              <w:rPr>
                <w:rFonts w:ascii="Arial" w:eastAsia="Calibri" w:hAnsi="Arial" w:cs="Arial"/>
                <w:sz w:val="20"/>
                <w:szCs w:val="20"/>
              </w:rPr>
              <w:t>0,166</w:t>
            </w:r>
          </w:p>
        </w:tc>
      </w:tr>
    </w:tbl>
    <w:p w14:paraId="262CF51F" w14:textId="77777777" w:rsidR="00417C3C" w:rsidRPr="00857775" w:rsidRDefault="00417C3C" w:rsidP="00417C3C">
      <w:pPr>
        <w:jc w:val="both"/>
        <w:rPr>
          <w:rFonts w:ascii="Arial" w:hAnsi="Arial" w:cs="Arial"/>
          <w:sz w:val="20"/>
          <w:szCs w:val="20"/>
        </w:rPr>
      </w:pPr>
      <w:r w:rsidRPr="00857775">
        <w:rPr>
          <w:rFonts w:ascii="Arial" w:hAnsi="Arial" w:cs="Arial"/>
          <w:sz w:val="20"/>
          <w:szCs w:val="20"/>
        </w:rPr>
        <w:t xml:space="preserve">Results as mean ± standard error of the mean (SEM) </w:t>
      </w:r>
      <w:proofErr w:type="gramStart"/>
      <w:r w:rsidRPr="00857775">
        <w:rPr>
          <w:rFonts w:ascii="Arial" w:hAnsi="Arial" w:cs="Arial"/>
          <w:sz w:val="20"/>
          <w:szCs w:val="20"/>
        </w:rPr>
        <w:t>; .</w:t>
      </w:r>
      <w:proofErr w:type="gramEnd"/>
      <w:r w:rsidRPr="00857775">
        <w:rPr>
          <w:rFonts w:ascii="Arial" w:hAnsi="Arial" w:cs="Arial"/>
          <w:sz w:val="20"/>
          <w:szCs w:val="20"/>
        </w:rPr>
        <w:t xml:space="preserve"> (</w:t>
      </w:r>
      <w:proofErr w:type="gramStart"/>
      <w:r w:rsidRPr="00857775">
        <w:rPr>
          <w:rFonts w:ascii="Arial" w:hAnsi="Arial" w:cs="Arial"/>
          <w:sz w:val="20"/>
          <w:szCs w:val="20"/>
        </w:rPr>
        <w:t>ns</w:t>
      </w:r>
      <w:proofErr w:type="gramEnd"/>
      <w:r w:rsidRPr="00857775">
        <w:rPr>
          <w:rFonts w:ascii="Arial" w:hAnsi="Arial" w:cs="Arial"/>
          <w:sz w:val="20"/>
          <w:szCs w:val="20"/>
        </w:rPr>
        <w:t>) not significant if p &gt; 0.05</w:t>
      </w:r>
    </w:p>
    <w:p w14:paraId="25C475B0" w14:textId="77777777" w:rsidR="00417C3C" w:rsidRPr="00857775" w:rsidRDefault="00417C3C" w:rsidP="00417C3C">
      <w:pPr>
        <w:jc w:val="both"/>
        <w:rPr>
          <w:rFonts w:ascii="Arial" w:hAnsi="Arial" w:cs="Arial"/>
          <w:sz w:val="20"/>
          <w:szCs w:val="20"/>
        </w:rPr>
      </w:pPr>
      <w:r w:rsidRPr="00857775">
        <w:rPr>
          <w:rFonts w:ascii="Arial" w:hAnsi="Arial" w:cs="Arial"/>
          <w:sz w:val="20"/>
          <w:szCs w:val="20"/>
        </w:rPr>
        <w:t>Analysis of the table reveals that at the end of the experiment, the weight of the organs removed from the treated rats (kidney and liver) did not differ significantly (p &gt; 0.05) from that of the controls. The various extracts did not cause an increase in organ weight.</w:t>
      </w:r>
    </w:p>
    <w:p w14:paraId="7CE3A917" w14:textId="77777777" w:rsidR="00A8001D" w:rsidRPr="00857775" w:rsidRDefault="00A8001D" w:rsidP="00A8001D">
      <w:pPr>
        <w:jc w:val="both"/>
        <w:rPr>
          <w:rFonts w:ascii="Arial" w:hAnsi="Arial" w:cs="Arial"/>
          <w:sz w:val="20"/>
          <w:szCs w:val="20"/>
        </w:rPr>
      </w:pPr>
      <w:proofErr w:type="gramStart"/>
      <w:r w:rsidRPr="00857775">
        <w:rPr>
          <w:rFonts w:ascii="Arial" w:hAnsi="Arial" w:cs="Arial"/>
          <w:b/>
          <w:bCs/>
          <w:sz w:val="20"/>
          <w:szCs w:val="20"/>
        </w:rPr>
        <w:t>Abbreviations</w:t>
      </w:r>
      <w:r w:rsidRPr="00857775">
        <w:rPr>
          <w:rFonts w:ascii="Arial" w:hAnsi="Arial" w:cs="Arial"/>
          <w:sz w:val="20"/>
          <w:szCs w:val="20"/>
        </w:rPr>
        <w:t>:</w:t>
      </w:r>
      <w:proofErr w:type="gramEnd"/>
      <w:r w:rsidRPr="00857775">
        <w:rPr>
          <w:rFonts w:ascii="Arial" w:hAnsi="Arial" w:cs="Arial"/>
          <w:sz w:val="20"/>
          <w:szCs w:val="20"/>
        </w:rPr>
        <w:t xml:space="preserve"> Crea, Creatinine; ASAT, aspartate aminotransferase ; ALAT, alanine aminotransferase, RBC, red blood cells; WBC, White blood cell count; HGB, hemoglobin concentration ; HCT, haematocrit ; PLT, platelet count.</w:t>
      </w:r>
    </w:p>
    <w:p w14:paraId="44DAD47C" w14:textId="77777777" w:rsidR="00780EE0" w:rsidRPr="00B05055" w:rsidRDefault="00780EE0" w:rsidP="00B11D09">
      <w:pPr>
        <w:jc w:val="both"/>
        <w:rPr>
          <w:rFonts w:ascii="Arial" w:hAnsi="Arial" w:cs="Arial"/>
          <w:b/>
          <w:bCs/>
        </w:rPr>
      </w:pPr>
    </w:p>
    <w:p w14:paraId="1A168013" w14:textId="77777777" w:rsidR="00B11D09" w:rsidRPr="00857775" w:rsidRDefault="00B11D09" w:rsidP="00B11D09">
      <w:pPr>
        <w:jc w:val="both"/>
        <w:rPr>
          <w:rFonts w:ascii="Arial" w:hAnsi="Arial" w:cs="Arial"/>
          <w:b/>
          <w:bCs/>
          <w:sz w:val="22"/>
          <w:szCs w:val="22"/>
        </w:rPr>
      </w:pPr>
      <w:r w:rsidRPr="00857775">
        <w:rPr>
          <w:rFonts w:ascii="Arial" w:hAnsi="Arial" w:cs="Arial"/>
          <w:b/>
          <w:bCs/>
          <w:sz w:val="22"/>
          <w:szCs w:val="22"/>
        </w:rPr>
        <w:t>3.2.6. Histological examinations</w:t>
      </w:r>
    </w:p>
    <w:p w14:paraId="6C3C295F" w14:textId="3B30DA22" w:rsidR="00B11D09" w:rsidRPr="00857775" w:rsidRDefault="00B11D09" w:rsidP="00B11D09">
      <w:pPr>
        <w:jc w:val="both"/>
        <w:rPr>
          <w:rFonts w:ascii="Arial" w:hAnsi="Arial" w:cs="Arial"/>
          <w:sz w:val="22"/>
          <w:szCs w:val="22"/>
        </w:rPr>
      </w:pPr>
      <w:r w:rsidRPr="00857775">
        <w:rPr>
          <w:rFonts w:ascii="Arial" w:hAnsi="Arial" w:cs="Arial"/>
          <w:sz w:val="22"/>
          <w:szCs w:val="22"/>
        </w:rPr>
        <w:t xml:space="preserve">Figures </w:t>
      </w:r>
      <w:r w:rsidR="00453DD3">
        <w:rPr>
          <w:rFonts w:ascii="Arial" w:hAnsi="Arial" w:cs="Arial"/>
          <w:sz w:val="22"/>
          <w:szCs w:val="22"/>
        </w:rPr>
        <w:t>6</w:t>
      </w:r>
      <w:r w:rsidRPr="00857775">
        <w:rPr>
          <w:rFonts w:ascii="Arial" w:hAnsi="Arial" w:cs="Arial"/>
          <w:sz w:val="22"/>
          <w:szCs w:val="22"/>
        </w:rPr>
        <w:t xml:space="preserve"> and </w:t>
      </w:r>
      <w:r w:rsidR="00453DD3">
        <w:rPr>
          <w:rFonts w:ascii="Arial" w:hAnsi="Arial" w:cs="Arial"/>
          <w:sz w:val="22"/>
          <w:szCs w:val="22"/>
        </w:rPr>
        <w:t>7</w:t>
      </w:r>
      <w:r w:rsidRPr="00857775">
        <w:rPr>
          <w:rFonts w:ascii="Arial" w:hAnsi="Arial" w:cs="Arial"/>
          <w:sz w:val="22"/>
          <w:szCs w:val="22"/>
        </w:rPr>
        <w:t xml:space="preserve"> presents the results of the histological tests (subchronic toxicity test) carried out on the liver and the kidneys of the animals.</w:t>
      </w:r>
    </w:p>
    <w:p w14:paraId="5B0C24DC" w14:textId="1633A603" w:rsidR="00B11D09" w:rsidRPr="00B05055" w:rsidRDefault="002A57AE" w:rsidP="00B11D09">
      <w:pPr>
        <w:jc w:val="both"/>
        <w:rPr>
          <w:rFonts w:ascii="Arial" w:hAnsi="Arial" w:cs="Arial"/>
        </w:rPr>
      </w:pPr>
      <w:r>
        <w:rPr>
          <w:noProof/>
        </w:rPr>
        <w:lastRenderedPageBreak/>
        <w:drawing>
          <wp:inline distT="0" distB="0" distL="0" distR="0" wp14:anchorId="56748B91" wp14:editId="501B28A5">
            <wp:extent cx="3743325" cy="3581400"/>
            <wp:effectExtent l="0" t="0" r="9525" b="0"/>
            <wp:docPr id="45260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60632" name=""/>
                    <pic:cNvPicPr/>
                  </pic:nvPicPr>
                  <pic:blipFill>
                    <a:blip r:embed="rId12"/>
                    <a:stretch>
                      <a:fillRect/>
                    </a:stretch>
                  </pic:blipFill>
                  <pic:spPr>
                    <a:xfrm>
                      <a:off x="0" y="0"/>
                      <a:ext cx="3743325" cy="3581400"/>
                    </a:xfrm>
                    <a:prstGeom prst="rect">
                      <a:avLst/>
                    </a:prstGeom>
                  </pic:spPr>
                </pic:pic>
              </a:graphicData>
            </a:graphic>
          </wp:inline>
        </w:drawing>
      </w:r>
    </w:p>
    <w:p w14:paraId="7BEEF5CB" w14:textId="686DEA59" w:rsidR="00692AA7" w:rsidRPr="00857775" w:rsidRDefault="00511D60" w:rsidP="00AA59DE">
      <w:pPr>
        <w:spacing w:after="0"/>
        <w:jc w:val="both"/>
        <w:rPr>
          <w:rFonts w:ascii="Arial" w:hAnsi="Arial" w:cs="Arial"/>
          <w:sz w:val="20"/>
          <w:szCs w:val="20"/>
          <w:lang w:val="x-none"/>
        </w:rPr>
      </w:pPr>
      <w:r w:rsidRPr="00857775">
        <w:rPr>
          <w:rFonts w:ascii="Arial" w:hAnsi="Arial" w:cs="Arial"/>
          <w:b/>
          <w:bCs/>
          <w:sz w:val="20"/>
          <w:szCs w:val="20"/>
          <w:u w:val="single"/>
        </w:rPr>
        <w:t xml:space="preserve">Figure </w:t>
      </w:r>
      <w:proofErr w:type="gramStart"/>
      <w:r w:rsidR="00453DD3">
        <w:rPr>
          <w:rFonts w:ascii="Arial" w:hAnsi="Arial" w:cs="Arial"/>
          <w:b/>
          <w:bCs/>
          <w:sz w:val="20"/>
          <w:szCs w:val="20"/>
          <w:u w:val="single"/>
        </w:rPr>
        <w:t>6</w:t>
      </w:r>
      <w:r w:rsidRPr="00857775">
        <w:rPr>
          <w:rFonts w:ascii="Arial" w:hAnsi="Arial" w:cs="Arial"/>
          <w:sz w:val="20"/>
          <w:szCs w:val="20"/>
        </w:rPr>
        <w:t>:</w:t>
      </w:r>
      <w:proofErr w:type="gramEnd"/>
      <w:r w:rsidRPr="00857775">
        <w:rPr>
          <w:rFonts w:ascii="Arial" w:hAnsi="Arial" w:cs="Arial"/>
          <w:sz w:val="20"/>
          <w:szCs w:val="20"/>
        </w:rPr>
        <w:t xml:space="preserve"> </w:t>
      </w:r>
      <w:r w:rsidR="00C328DC" w:rsidRPr="00857775">
        <w:rPr>
          <w:rFonts w:ascii="Arial" w:hAnsi="Arial" w:cs="Arial"/>
          <w:sz w:val="20"/>
          <w:szCs w:val="20"/>
        </w:rPr>
        <w:t xml:space="preserve">Liver histology of control rats (A) and rats fed with ethanol extract of </w:t>
      </w:r>
      <w:r w:rsidR="00AA59DE" w:rsidRPr="00857775">
        <w:rPr>
          <w:rFonts w:ascii="Arial" w:hAnsi="Arial" w:cs="Arial"/>
          <w:i/>
          <w:iCs/>
          <w:sz w:val="20"/>
          <w:szCs w:val="20"/>
        </w:rPr>
        <w:t>Jatropha curcas</w:t>
      </w:r>
      <w:r w:rsidR="00C328DC" w:rsidRPr="00857775">
        <w:rPr>
          <w:rFonts w:ascii="Arial" w:hAnsi="Arial" w:cs="Arial"/>
          <w:sz w:val="20"/>
          <w:szCs w:val="20"/>
        </w:rPr>
        <w:t xml:space="preserve"> at 500 mg/kg (B), 750 mg/kg (C), and 1000 mg/kg (D) of body weight. Magnification = 400X. Venous sinusoids (S</w:t>
      </w:r>
      <w:proofErr w:type="gramStart"/>
      <w:r w:rsidR="00C328DC" w:rsidRPr="00857775">
        <w:rPr>
          <w:rFonts w:ascii="Arial" w:hAnsi="Arial" w:cs="Arial"/>
          <w:sz w:val="20"/>
          <w:szCs w:val="20"/>
        </w:rPr>
        <w:t>);</w:t>
      </w:r>
      <w:proofErr w:type="gramEnd"/>
      <w:r w:rsidR="00C328DC" w:rsidRPr="00857775">
        <w:rPr>
          <w:rFonts w:ascii="Arial" w:hAnsi="Arial" w:cs="Arial"/>
          <w:sz w:val="20"/>
          <w:szCs w:val="20"/>
        </w:rPr>
        <w:t xml:space="preserve"> Hepatocytes (arrows); Centrilobular vein (V)</w:t>
      </w:r>
    </w:p>
    <w:p w14:paraId="19585FD7" w14:textId="77777777" w:rsidR="00B11D09" w:rsidRPr="00B05055" w:rsidRDefault="00B11D09" w:rsidP="00B11D09">
      <w:pPr>
        <w:jc w:val="both"/>
        <w:rPr>
          <w:rFonts w:ascii="Arial" w:hAnsi="Arial" w:cs="Arial"/>
          <w:b/>
          <w:bCs/>
          <w:noProof/>
        </w:rPr>
      </w:pPr>
    </w:p>
    <w:p w14:paraId="6E616E94" w14:textId="4ABFE446" w:rsidR="001A7D48" w:rsidRPr="00B05055" w:rsidRDefault="002A57AE" w:rsidP="00B11D09">
      <w:pPr>
        <w:jc w:val="both"/>
        <w:rPr>
          <w:rFonts w:ascii="Arial" w:hAnsi="Arial" w:cs="Arial"/>
        </w:rPr>
      </w:pPr>
      <w:r>
        <w:rPr>
          <w:noProof/>
        </w:rPr>
        <w:lastRenderedPageBreak/>
        <w:drawing>
          <wp:inline distT="0" distB="0" distL="0" distR="0" wp14:anchorId="3EA53011" wp14:editId="6231BF76">
            <wp:extent cx="4695825" cy="4429125"/>
            <wp:effectExtent l="0" t="0" r="9525" b="9525"/>
            <wp:docPr id="954989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989696" name=""/>
                    <pic:cNvPicPr/>
                  </pic:nvPicPr>
                  <pic:blipFill>
                    <a:blip r:embed="rId13"/>
                    <a:stretch>
                      <a:fillRect/>
                    </a:stretch>
                  </pic:blipFill>
                  <pic:spPr>
                    <a:xfrm>
                      <a:off x="0" y="0"/>
                      <a:ext cx="4695825" cy="4429125"/>
                    </a:xfrm>
                    <a:prstGeom prst="rect">
                      <a:avLst/>
                    </a:prstGeom>
                  </pic:spPr>
                </pic:pic>
              </a:graphicData>
            </a:graphic>
          </wp:inline>
        </w:drawing>
      </w:r>
    </w:p>
    <w:p w14:paraId="2ADC1BCD" w14:textId="03C72097" w:rsidR="00692AA7" w:rsidRPr="00857775" w:rsidRDefault="00C328DC" w:rsidP="00B11D09">
      <w:pPr>
        <w:jc w:val="both"/>
        <w:rPr>
          <w:rFonts w:ascii="Arial" w:hAnsi="Arial" w:cs="Arial"/>
          <w:sz w:val="20"/>
          <w:szCs w:val="20"/>
        </w:rPr>
      </w:pPr>
      <w:r w:rsidRPr="00857775">
        <w:rPr>
          <w:rFonts w:ascii="Arial" w:hAnsi="Arial" w:cs="Arial"/>
          <w:b/>
          <w:bCs/>
          <w:sz w:val="20"/>
          <w:szCs w:val="20"/>
          <w:u w:val="single"/>
        </w:rPr>
        <w:t xml:space="preserve">Figure </w:t>
      </w:r>
      <w:proofErr w:type="gramStart"/>
      <w:r w:rsidR="00453DD3">
        <w:rPr>
          <w:rFonts w:ascii="Arial" w:hAnsi="Arial" w:cs="Arial"/>
          <w:b/>
          <w:bCs/>
          <w:sz w:val="20"/>
          <w:szCs w:val="20"/>
          <w:u w:val="single"/>
        </w:rPr>
        <w:t>7</w:t>
      </w:r>
      <w:r w:rsidRPr="00857775">
        <w:rPr>
          <w:rFonts w:ascii="Arial" w:hAnsi="Arial" w:cs="Arial"/>
          <w:sz w:val="20"/>
          <w:szCs w:val="20"/>
        </w:rPr>
        <w:t>:</w:t>
      </w:r>
      <w:proofErr w:type="gramEnd"/>
      <w:r w:rsidRPr="00857775">
        <w:rPr>
          <w:rFonts w:ascii="Arial" w:hAnsi="Arial" w:cs="Arial"/>
          <w:sz w:val="20"/>
          <w:szCs w:val="20"/>
        </w:rPr>
        <w:t xml:space="preserve"> Renal histology of control rats (A) and rats fed with Uvaria chamae ethanol extract at 500 mg/kg (B), 750 mg/kg (C) and 1000 mg/kg (D) of body weight. Magnification = 400X.   Proximal tubules (PT</w:t>
      </w:r>
      <w:proofErr w:type="gramStart"/>
      <w:r w:rsidRPr="00857775">
        <w:rPr>
          <w:rFonts w:ascii="Arial" w:hAnsi="Arial" w:cs="Arial"/>
          <w:sz w:val="20"/>
          <w:szCs w:val="20"/>
        </w:rPr>
        <w:t>);</w:t>
      </w:r>
      <w:proofErr w:type="gramEnd"/>
      <w:r w:rsidRPr="00857775">
        <w:rPr>
          <w:rFonts w:ascii="Arial" w:hAnsi="Arial" w:cs="Arial"/>
          <w:sz w:val="20"/>
          <w:szCs w:val="20"/>
        </w:rPr>
        <w:t xml:space="preserve"> Collecting ducts (CD); Glomeruli (G); Distal tubules (DT) ; Gr 400X.</w:t>
      </w:r>
    </w:p>
    <w:p w14:paraId="59236103" w14:textId="77777777" w:rsidR="001A7D48" w:rsidRPr="00B05055" w:rsidRDefault="001A7D48" w:rsidP="00AF0488">
      <w:pPr>
        <w:jc w:val="both"/>
        <w:rPr>
          <w:rFonts w:ascii="Arial" w:hAnsi="Arial" w:cs="Arial"/>
        </w:rPr>
      </w:pPr>
    </w:p>
    <w:p w14:paraId="3D4D8C41" w14:textId="77777777" w:rsidR="00AF0488" w:rsidRPr="00857775" w:rsidRDefault="001A7D48" w:rsidP="00AF0488">
      <w:pPr>
        <w:jc w:val="both"/>
        <w:rPr>
          <w:rFonts w:ascii="Arial" w:hAnsi="Arial" w:cs="Arial"/>
          <w:b/>
          <w:bCs/>
          <w:sz w:val="22"/>
          <w:szCs w:val="22"/>
        </w:rPr>
      </w:pPr>
      <w:r w:rsidRPr="00857775">
        <w:rPr>
          <w:rFonts w:ascii="Arial" w:hAnsi="Arial" w:cs="Arial"/>
          <w:b/>
          <w:bCs/>
          <w:sz w:val="22"/>
          <w:szCs w:val="22"/>
        </w:rPr>
        <w:t>4- Disscussion</w:t>
      </w:r>
    </w:p>
    <w:p w14:paraId="630A5D1F" w14:textId="77777777" w:rsidR="00751626" w:rsidRPr="00857775" w:rsidRDefault="00792427" w:rsidP="00751626">
      <w:pPr>
        <w:jc w:val="both"/>
        <w:rPr>
          <w:rFonts w:ascii="Arial" w:hAnsi="Arial" w:cs="Arial"/>
          <w:kern w:val="0"/>
          <w:sz w:val="20"/>
          <w:szCs w:val="20"/>
        </w:rPr>
      </w:pPr>
      <w:r w:rsidRPr="00857775">
        <w:rPr>
          <w:rFonts w:ascii="Arial" w:eastAsia="Calibri" w:hAnsi="Arial" w:cs="Arial"/>
          <w:sz w:val="20"/>
          <w:szCs w:val="20"/>
        </w:rPr>
        <w:t xml:space="preserve">The toxicity test results show that all of the animals experienced weight gain during the experiment. Weight change is used as a general indicator of the adverse effects of chemical compounds </w:t>
      </w:r>
      <w:r w:rsidRPr="00857775">
        <w:rPr>
          <w:rFonts w:ascii="Arial" w:eastAsia="Calibri" w:hAnsi="Arial" w:cs="Arial"/>
          <w:sz w:val="20"/>
          <w:szCs w:val="20"/>
        </w:rPr>
        <w:fldChar w:fldCharType="begin"/>
      </w:r>
      <w:r w:rsidR="002B341C">
        <w:rPr>
          <w:rFonts w:ascii="Arial" w:eastAsia="Calibri" w:hAnsi="Arial" w:cs="Arial"/>
          <w:sz w:val="20"/>
          <w:szCs w:val="20"/>
        </w:rPr>
        <w:instrText xml:space="preserve"> ADDIN ZOTERO_ITEM CSL_CITATION {"citationID":"JxOIKR7N","properties":{"formattedCitation":"(Van Berlo et al., 2022)","plainCitation":"(Van Berlo et al., 2022)","noteIndex":0},"citationItems":[{"id":542,"uris":["http://zotero.org/users/13923419/items/SPNCEMZS"],"itemData":{"id":542,"type":"article-journal","abstract":"The concept of the Maximum Tolerated Dose (MTD) was introduced in the seventies for carcinogenicity testing and was defined as the highest dose inducing clear toxicity, but not mortality by causes other than cancer. As estimation of the MTD in a carcinogenicity study, the highest dose that causes a 10% decrease in body weight compared to control animals over the course of a 90-day study, was formulated as a suitable criterion. This criterion was not seen as indicator of excessive toxicity but as a means to avoid false negative outcomes in a carcinogenicity study, as tumor formation may be reduced when body weight is significantly decreased. The body weight-based MTD criterion, however, turned up in carcinogenicity test guidelines and guidance (e.g., from OECD) as the highest dose that causes a 10% decrease in body weight gain relative to controls. Moreover, the 10% decrease in body weight gain criterion for MTD also ended up in test guidelines and guidances for toxicity endpoints other than carcinogenicity, so outside the context it was intended for. A 10% decrease in body weight gain relative to controls is however not a biologically relevant effect as it corresponds to less than 3% body weight reduction relative to controls in a 90-day study, which is within the normal variation in body weight. It therefore should certainly not be considered as a condition of excessive toxicity. Using the 10% lower weight gain criterion and incorrectly associating it with excessive toxicity has major implications for top dose selection in regulatory safety studies, resulting in tests performed at doses too low to elicit toxicity. This negatively impacts the reliability of studies and their regulatory usability; moreover, it results in a waste of experimental animals, which is ethically highly undesirable. Hence, our plea is to remove this MTD criterion for top dose selection in test guidelines and guidances for toxicity endpoints other than carcinogenicity and to reinstall the original 10% decrease in body weight criterion in test guidelines and guidances for carcinogenicity.","container-title":"Regulatory Toxicology and Pharmacology","DOI":"10.1016/j.yrtph.2022.105235","ISSN":"02732300","journalAbbreviation":"Regulatory Toxicology and Pharmacology","language":"en","page":"105235","source":"DOI.org (Crossref)","title":"10% Body weight (gain) change as criterion for the maximum tolerated dose: A critical analysis","title-short":"10% Body weight (gain) change as criterion for the maximum tolerated dose","volume":"134","author":[{"family":"Van Berlo","given":"Damiën"},{"family":"Woutersen","given":"Marjolijn"},{"family":"Muller","given":"Andre"},{"family":"Pronk","given":"Marja"},{"family":"Vriend","given":"Jelle"},{"family":"Hakkert","given":"Betty"}],"issued":{"date-parts":[["2022",10]]}}}],"schema":"https://github.com/citation-style-language/schema/raw/master/csl-citation.json"} </w:instrText>
      </w:r>
      <w:r w:rsidRPr="00857775">
        <w:rPr>
          <w:rFonts w:ascii="Arial" w:eastAsia="Calibri" w:hAnsi="Arial" w:cs="Arial"/>
          <w:sz w:val="20"/>
          <w:szCs w:val="20"/>
        </w:rPr>
        <w:fldChar w:fldCharType="separate"/>
      </w:r>
      <w:r w:rsidR="002B341C" w:rsidRPr="002B341C">
        <w:rPr>
          <w:rFonts w:ascii="Arial" w:hAnsi="Arial" w:cs="Arial"/>
          <w:sz w:val="20"/>
        </w:rPr>
        <w:t>(Van Berlo et al., 2022)</w:t>
      </w:r>
      <w:r w:rsidRPr="00857775">
        <w:rPr>
          <w:rFonts w:ascii="Arial" w:eastAsia="Calibri" w:hAnsi="Arial" w:cs="Arial"/>
          <w:sz w:val="20"/>
          <w:szCs w:val="20"/>
        </w:rPr>
        <w:fldChar w:fldCharType="end"/>
      </w:r>
      <w:r w:rsidRPr="00857775">
        <w:rPr>
          <w:rFonts w:ascii="Arial" w:eastAsia="Calibri" w:hAnsi="Arial" w:cs="Arial"/>
          <w:sz w:val="20"/>
          <w:szCs w:val="20"/>
        </w:rPr>
        <w:t xml:space="preserve">. Thus weight gain is correlated with the physiological state of the animal and can be explained by the absence of clinical signs of toxicity such as drowsiness, anorexia </w:t>
      </w:r>
      <w:r w:rsidRPr="00857775">
        <w:rPr>
          <w:rFonts w:ascii="Arial" w:eastAsia="Calibri" w:hAnsi="Arial" w:cs="Arial"/>
          <w:sz w:val="20"/>
          <w:szCs w:val="20"/>
        </w:rPr>
        <w:fldChar w:fldCharType="begin"/>
      </w:r>
      <w:r w:rsidR="002B341C">
        <w:rPr>
          <w:rFonts w:ascii="Arial" w:eastAsia="Calibri" w:hAnsi="Arial" w:cs="Arial"/>
          <w:sz w:val="20"/>
          <w:szCs w:val="20"/>
        </w:rPr>
        <w:instrText xml:space="preserve"> ADDIN ZOTERO_ITEM CSL_CITATION {"citationID":"QWhZdWmA","properties":{"formattedCitation":"(Betti et al., 2012)","plainCitation":"(Betti et al., 2012)","noteIndex":0},"citationItems":[{"id":544,"uris":["http://zotero.org/users/13923419/items/EIJM2XK8"],"itemData":{"id":544,"type":"article-journal","abstract":"Hypericum polyanthemum, a South Brazilian species showed antidepressant-like and antinociceptive effects in rodents. Since limited information is available on the toxicity and safety proﬁle of the Hypericum genus, we therefore investigated whether H. polyanthemum cyclo-hexane extract (POL) treatment could be associated with toxicity in preclinical setting using mice as an experimental model. These toxicity studies were based on the guidelines of the Organization for Economic Cooperation and Development (OECD-guidelines 423 and 407). Animals received POL single dose (2000 mg/kg, p.o.) or daily for 28-days (90, 450 and 900 mg/kg, p.o.). Acute toxicity study did not detect any clinical signs, changes in behavior or mortality. In repeated dose toxicity study, POL affected the body weight gain and induced biochemical, hematological and liver histological changes at 450 and 900 mg/kg. Mice treated with POL 90 mg/kg did not show any toxicity signs. In conclusion H. polyanthemum can be classiﬁed as safe (category 5) according to OECD acute toxicity parameters. However, the alterations observed after repeated treatment with high doses suggest that the liver could be the target organ on potential H. polyanthemum toxicity and point to the need of further toxicity studies.","container-title":"Food and Chemical Toxicology","DOI":"10.1016/j.fct.2012.04.012","ISSN":"02786915","issue":"7","journalAbbreviation":"Food and Chemical Toxicology","language":"en","license":"https://www.elsevier.com/tdm/userlicense/1.0/","page":"2349-2355","source":"DOI.org (Crossref)","title":"Acute and repeated-doses (28 days) toxicity study of Hypericum polyanthemum Klotzsch ex Reichardt (Guttiferare) in mice","volume":"50","author":[{"family":"Betti","given":"Andresa Heemann"},{"family":"Stein","given":"Ana Cristina"},{"family":"Dallegrave","given":"Eliane"},{"family":"Wouters","given":"Angelica Terezinha Barth"},{"family":"Watanabe","given":"Tatiane Terumi Negrão"},{"family":"Driemeier","given":"Davi"},{"family":"Buffon","given":"Andréia"},{"family":"Rates","given":"Stela Maris Kuze"}],"issued":{"date-parts":[["2012",7]]}}}],"schema":"https://github.com/citation-style-language/schema/raw/master/csl-citation.json"} </w:instrText>
      </w:r>
      <w:r w:rsidRPr="00857775">
        <w:rPr>
          <w:rFonts w:ascii="Arial" w:eastAsia="Calibri" w:hAnsi="Arial" w:cs="Arial"/>
          <w:sz w:val="20"/>
          <w:szCs w:val="20"/>
        </w:rPr>
        <w:fldChar w:fldCharType="separate"/>
      </w:r>
      <w:r w:rsidR="002B341C" w:rsidRPr="002B341C">
        <w:rPr>
          <w:rFonts w:ascii="Arial" w:hAnsi="Arial" w:cs="Arial"/>
          <w:sz w:val="20"/>
        </w:rPr>
        <w:t>(Betti et al., 2012)</w:t>
      </w:r>
      <w:r w:rsidRPr="00857775">
        <w:rPr>
          <w:rFonts w:ascii="Arial" w:eastAsia="Calibri" w:hAnsi="Arial" w:cs="Arial"/>
          <w:sz w:val="20"/>
          <w:szCs w:val="20"/>
        </w:rPr>
        <w:fldChar w:fldCharType="end"/>
      </w:r>
      <w:r w:rsidRPr="00857775">
        <w:rPr>
          <w:rFonts w:ascii="Arial" w:eastAsia="Calibri" w:hAnsi="Arial" w:cs="Arial"/>
          <w:sz w:val="20"/>
          <w:szCs w:val="20"/>
        </w:rPr>
        <w:t xml:space="preserve">. </w:t>
      </w:r>
      <w:r w:rsidR="001A7D48" w:rsidRPr="00857775">
        <w:rPr>
          <w:rFonts w:ascii="Arial" w:hAnsi="Arial" w:cs="Arial"/>
          <w:sz w:val="20"/>
          <w:szCs w:val="20"/>
        </w:rPr>
        <w:t xml:space="preserve">Observation of the behavior of the animals during the study period made it possible to observe that, whatever the dose of the extract administered, no abnormal behavior was observed. No deaths were also observed in both the acute and subacute toxicity batches. This testifies to the nonlethality of the extract of </w:t>
      </w:r>
      <w:r w:rsidR="001A7D48" w:rsidRPr="00857775">
        <w:rPr>
          <w:rFonts w:ascii="Arial" w:hAnsi="Arial" w:cs="Arial"/>
          <w:i/>
          <w:iCs/>
          <w:sz w:val="20"/>
          <w:szCs w:val="20"/>
        </w:rPr>
        <w:t xml:space="preserve">Jatropha curcas </w:t>
      </w:r>
      <w:r w:rsidR="001A7D48" w:rsidRPr="00857775">
        <w:rPr>
          <w:rFonts w:ascii="Arial" w:hAnsi="Arial" w:cs="Arial"/>
          <w:sz w:val="20"/>
          <w:szCs w:val="20"/>
        </w:rPr>
        <w:t>at the doses used. The lethal dose of the extract is greater than 5000mg / kg of body weight.</w:t>
      </w:r>
      <w:r w:rsidR="001A7D48" w:rsidRPr="00857775">
        <w:rPr>
          <w:rFonts w:ascii="Arial" w:hAnsi="Arial" w:cs="Arial"/>
          <w:kern w:val="0"/>
          <w:sz w:val="20"/>
          <w:szCs w:val="20"/>
        </w:rPr>
        <w:t xml:space="preserve"> </w:t>
      </w:r>
      <w:r w:rsidR="001A7D48" w:rsidRPr="00857775">
        <w:rPr>
          <w:rFonts w:ascii="Arial" w:hAnsi="Arial" w:cs="Arial"/>
          <w:sz w:val="20"/>
          <w:szCs w:val="20"/>
        </w:rPr>
        <w:t>These results confirm those of</w:t>
      </w:r>
      <w:r w:rsidR="00C002D5" w:rsidRPr="00857775">
        <w:rPr>
          <w:rFonts w:ascii="Arial" w:hAnsi="Arial" w:cs="Arial"/>
          <w:sz w:val="20"/>
          <w:szCs w:val="20"/>
        </w:rPr>
        <w:t xml:space="preserve"> </w:t>
      </w:r>
      <w:r w:rsidR="00C002D5" w:rsidRPr="00857775">
        <w:rPr>
          <w:rFonts w:ascii="Arial" w:eastAsia="Calibri" w:hAnsi="Arial" w:cs="Arial"/>
          <w:sz w:val="20"/>
          <w:szCs w:val="20"/>
        </w:rPr>
        <w:fldChar w:fldCharType="begin"/>
      </w:r>
      <w:r w:rsidR="00C507A7" w:rsidRPr="00857775">
        <w:rPr>
          <w:rFonts w:ascii="Arial" w:eastAsia="Calibri" w:hAnsi="Arial" w:cs="Arial"/>
          <w:sz w:val="20"/>
          <w:szCs w:val="20"/>
        </w:rPr>
        <w:instrText xml:space="preserve"> ADDIN ZOTERO_ITEM CSL_CITATION {"citationID":"Vp6C8C0t","properties":{"formattedCitation":"(Sawadogo, Sanou, Dabire, et al., 2018)","plainCitation":"(Sawadogo, Sanou, Dabire, et al., 2018)","dontUpdate":true,"noteIndex":0},"citationItems":[{"id":207,"uris":["http://zotero.org/users/13923419/items/WG78ZNN2"],"itemData":{"id":207,"type":"article-journal","container-title":"International Journal of Biological and Chemical Sciences","DOI":"10.4314/ijbcs.v11i5.7","ISSN":"1997-342X, 1991-8631","issue":"5","journalAbbreviation":"Int. J. Bio. Chem. Sci","page":"2016","source":"DOI.org (Crossref)","title":"Activité antifalcémiante d’extraits de trois plantes médicinales du Bukina Faso: &lt;i&gt;Jatropha curcas&lt;/i&gt;, &lt;i&gt;Khaya senegalensis&lt;/i&gt; et &lt;i&gt;Dichrostachys cinerea&lt;/i&gt;","title-short":"Activité antifalcémiante d’extraits de trois plantes médicinales du Bukina Faso","volume":"11","author":[{"family":"Sawadogo","given":"Stanislas"},{"family":"Sanou","given":"Sagazaga Drissa"},{"family":"Dabire","given":"Prosper"},{"family":"Belemtougri","given":"Gourounga Raymond"},{"family":"Sawadogo","given":"Laya"},{"family":"De Leiris","given":"Joël"},{"family":"Tanguy","given":"Stéphane"},{"family":"Boucher","given":"François"}],"issued":{"date-parts":[["2018",1,11]]}}}],"schema":"https://github.com/citation-style-language/schema/raw/master/csl-citation.json"} </w:instrText>
      </w:r>
      <w:r w:rsidR="00C002D5" w:rsidRPr="00857775">
        <w:rPr>
          <w:rFonts w:ascii="Arial" w:eastAsia="Calibri" w:hAnsi="Arial" w:cs="Arial"/>
          <w:sz w:val="20"/>
          <w:szCs w:val="20"/>
        </w:rPr>
        <w:fldChar w:fldCharType="separate"/>
      </w:r>
      <w:r w:rsidR="0000454C" w:rsidRPr="00857775">
        <w:rPr>
          <w:rFonts w:ascii="Arial" w:hAnsi="Arial" w:cs="Arial"/>
          <w:sz w:val="20"/>
          <w:szCs w:val="20"/>
        </w:rPr>
        <w:t>(Sawadogo</w:t>
      </w:r>
      <w:r w:rsidR="00A107D9" w:rsidRPr="00857775">
        <w:rPr>
          <w:rFonts w:ascii="Arial" w:hAnsi="Arial" w:cs="Arial"/>
          <w:sz w:val="20"/>
          <w:szCs w:val="20"/>
        </w:rPr>
        <w:t xml:space="preserve"> </w:t>
      </w:r>
      <w:r w:rsidR="0000454C" w:rsidRPr="00857775">
        <w:rPr>
          <w:rFonts w:ascii="Arial" w:hAnsi="Arial" w:cs="Arial"/>
          <w:sz w:val="20"/>
          <w:szCs w:val="20"/>
        </w:rPr>
        <w:t>et al., 2018)</w:t>
      </w:r>
      <w:r w:rsidR="00C002D5" w:rsidRPr="00857775">
        <w:rPr>
          <w:rFonts w:ascii="Arial" w:eastAsia="Calibri" w:hAnsi="Arial" w:cs="Arial"/>
          <w:sz w:val="20"/>
          <w:szCs w:val="20"/>
        </w:rPr>
        <w:fldChar w:fldCharType="end"/>
      </w:r>
      <w:r w:rsidR="001A7853" w:rsidRPr="00857775">
        <w:rPr>
          <w:rFonts w:ascii="Arial" w:eastAsia="Calibri" w:hAnsi="Arial" w:cs="Arial"/>
          <w:sz w:val="20"/>
          <w:szCs w:val="20"/>
        </w:rPr>
        <w:t>.</w:t>
      </w:r>
      <w:r w:rsidR="001A7853" w:rsidRPr="00857775">
        <w:rPr>
          <w:rFonts w:ascii="Arial" w:eastAsia="Calibri" w:hAnsi="Arial" w:cs="Arial"/>
          <w:sz w:val="20"/>
          <w:szCs w:val="20"/>
        </w:rPr>
        <w:fldChar w:fldCharType="begin"/>
      </w:r>
      <w:r w:rsidR="00030B7B" w:rsidRPr="00857775">
        <w:rPr>
          <w:rFonts w:ascii="Arial" w:eastAsia="Calibri" w:hAnsi="Arial" w:cs="Arial"/>
          <w:sz w:val="20"/>
          <w:szCs w:val="20"/>
        </w:rPr>
        <w:instrText xml:space="preserve"> ADDIN ZOTERO_ITEM CSL_CITATION {"citationID":"jZ0PGU1n","properties":{"formattedCitation":"(Nga et al., 2017)","plainCitation":"(Nga et al., 2017)","dontUpdate":true,"noteIndex":0},"citationItems":[{"id":530,"uris":["http://zotero.org/users/13923419/items/IBFJYT3L"],"itemData":{"id":530,"type":"article-journal","abstract":"Objective: hemorrhoidal disease means all conditions resulting from the gradual expansion or rupture of hemorrhoidal venous plexus. Many plants are mentioned in traditional medicine against hemorrhoidal ailments like Mangifera indica and Alchornea cordifolia.\nMethodology and Results: The plant material was collected and prepared by aqueous decoction. The phytochemical study of extracts resulted firstly by characterizing secondary metabolites revealed by the tests of phytochemical screening and secondly by the assay by the method flavonoids aluminum trichloride. Animal material (rats and female mice) was prepared for the pharmacological study. The reducing activity of the free radical 2,2-diphenyl-1-picrylhydrazine extracts, the acute toxicity limits tests on female mice and determination of anti-inflammatory activity in vivo extracts taken along the induction method edema by carrageenin in female rats. The tannins and flavonoids were revealed in the aqueous extracts. The contents of Alchornea cordifolia and Mangifera indica Flavonoids are 241 and 194 mg equivalent of catechin respectively. The CE 50 extracts showed an antioxidant (0.02 mg/ml and 0.03 mg/ml) relatively low compared to the ascorbic acid with an CE 50 of 0.003 50 mg/ml. The safety of aqueous extracts of Alchornea cordifolia and Mangifera indica is demonstrated for DL 50&gt; 5000 mg/ ml. The anti-inflammatory test with 500 mg/kg and 1000 mg/kg of extracts confirmed the inhibitory power of the extracts on inflammatory mediators : histamine, 5-hydroxytryptamine, kinins and prostaglandins.\nConclusion and application of the Results: The rich aqueous extracts of Alchornea cordifolia and Mangifera indica polyphenolic constituents capable of trapping free radicals and increasing venous tone, also prevent the formation of mediators that cause inflammation.","container-title":"Journal of Applied Biosciences","DOI":"10.4314/jab.v109i1.9","ISSN":"1997-5902","issue":"1","journalAbbreviation":"J. App. Bioscience.","language":"fr","page":"10649","source":"DOI.org (Crossref)","title":"Étude phytochimique et pharmacologique d’&lt;i&gt;Alchornea cordifolia&lt;/i&gt; (Schum. &amp; Thonn.) Mull. Arg. et de &lt;i&gt;Mangifera indica&lt;/i&gt; dans le traitement traditionnel de la maladie hémorroïdaire","volume":"109","author":[{"family":"Nga","given":"Emmanuel Nnanga"},{"family":"Yinyang","given":"Jacques"},{"family":"Baran À Bidias","given":"Elisabeth"},{"family":"Etame-Loe","given":"Gisèle"},{"family":"Dibong","given":"Siegfried Didier"}],"issued":{"date-parts":[["2017",4,19]]}}}],"schema":"https://github.com/citation-style-language/schema/raw/master/csl-citation.json"} </w:instrText>
      </w:r>
      <w:r w:rsidR="001A7853" w:rsidRPr="00857775">
        <w:rPr>
          <w:rFonts w:ascii="Arial" w:eastAsia="Calibri" w:hAnsi="Arial" w:cs="Arial"/>
          <w:sz w:val="20"/>
          <w:szCs w:val="20"/>
        </w:rPr>
        <w:fldChar w:fldCharType="separate"/>
      </w:r>
      <w:r w:rsidR="001A7853" w:rsidRPr="00857775">
        <w:rPr>
          <w:rFonts w:ascii="Arial" w:hAnsi="Arial" w:cs="Arial"/>
          <w:sz w:val="20"/>
          <w:szCs w:val="20"/>
        </w:rPr>
        <w:t>Nga et al.</w:t>
      </w:r>
      <w:r w:rsidR="00496F6D" w:rsidRPr="00857775">
        <w:rPr>
          <w:rFonts w:ascii="Arial" w:hAnsi="Arial" w:cs="Arial"/>
          <w:sz w:val="20"/>
          <w:szCs w:val="20"/>
        </w:rPr>
        <w:t>(</w:t>
      </w:r>
      <w:r w:rsidR="001A7853" w:rsidRPr="00857775">
        <w:rPr>
          <w:rFonts w:ascii="Arial" w:hAnsi="Arial" w:cs="Arial"/>
          <w:sz w:val="20"/>
          <w:szCs w:val="20"/>
        </w:rPr>
        <w:t>2017)</w:t>
      </w:r>
      <w:r w:rsidR="001A7853" w:rsidRPr="00857775">
        <w:rPr>
          <w:rFonts w:ascii="Arial" w:eastAsia="Calibri" w:hAnsi="Arial" w:cs="Arial"/>
          <w:sz w:val="20"/>
          <w:szCs w:val="20"/>
        </w:rPr>
        <w:fldChar w:fldCharType="end"/>
      </w:r>
      <w:r w:rsidR="001A7853" w:rsidRPr="00857775">
        <w:rPr>
          <w:rFonts w:ascii="Arial" w:eastAsia="Calibri" w:hAnsi="Arial" w:cs="Arial"/>
          <w:sz w:val="20"/>
          <w:szCs w:val="20"/>
        </w:rPr>
        <w:t> </w:t>
      </w:r>
      <w:r w:rsidR="000B1D9A" w:rsidRPr="00857775">
        <w:rPr>
          <w:rFonts w:ascii="Arial" w:eastAsia="Calibri" w:hAnsi="Arial" w:cs="Arial"/>
          <w:sz w:val="20"/>
          <w:szCs w:val="20"/>
        </w:rPr>
        <w:t>used the same method and showed that LD50 of Alchornea cordifolia (Euphorbiaceae) leaves extract is greater than 5000 mg/kg body weight.</w:t>
      </w:r>
      <w:r w:rsidR="001A7853" w:rsidRPr="00857775">
        <w:rPr>
          <w:rFonts w:ascii="Arial" w:eastAsia="Calibri" w:hAnsi="Arial" w:cs="Arial"/>
          <w:sz w:val="20"/>
          <w:szCs w:val="20"/>
        </w:rPr>
        <w:t xml:space="preserve"> </w:t>
      </w:r>
      <w:r w:rsidR="00496F6D" w:rsidRPr="00857775">
        <w:rPr>
          <w:rFonts w:ascii="Arial" w:eastAsia="Calibri" w:hAnsi="Arial" w:cs="Arial"/>
          <w:sz w:val="20"/>
          <w:szCs w:val="20"/>
        </w:rPr>
        <w:fldChar w:fldCharType="begin"/>
      </w:r>
      <w:r w:rsidR="00030B7B" w:rsidRPr="00857775">
        <w:rPr>
          <w:rFonts w:ascii="Arial" w:eastAsia="Calibri" w:hAnsi="Arial" w:cs="Arial"/>
          <w:sz w:val="20"/>
          <w:szCs w:val="20"/>
        </w:rPr>
        <w:instrText xml:space="preserve"> ADDIN ZOTERO_ITEM CSL_CITATION {"citationID":"iwo36EbB","properties":{"formattedCitation":"(Mignanwand\\uc0\\u233{} et al., 2020)","plainCitation":"(Mignanwandé et al., 2020)","dontUpdate":true,"noteIndex":0},"citationItems":[{"id":526,"uris":["http://zotero.org/users/13923419/items/5AJD8KWG"],"itemData":{"id":526,"type":"article-journal","abstract":"Medicinal plants are widely used worldwide by populations and are a source of new active components. The objective of this work is to assess the toxicity of the ethanolic extract of this plant in order to promote its use in traditional medicine in Benin. Method: The ethanolic extract was obtained after evaporation of the filtrate under vacuum on a rotary evaporator. The toxicity studie s took into account on the one hand the determination of heavy metals (Pb, Cd and As) on the other hand the Acute and subacute Toxicities which were carried out according to the OECD guidelines respectively Standards 423 and 407 on Wistar strain female rats. Blood samp les were taken from animals for hematological and biochemical analyzes. Finally the organs (liver and kidney) were removed for histological readings. Results: The study of the acute oral toxicity of the ethanolic extract of Crateva adansonii at the single dose of 5.000 mg.kg-1 of body weight recorded no death or sign of toxicity during the 14 days of the experimental period. . This shows that the LD50 of our extract is greater than 5.000 mg.kg-1 pc. As for the subchronic toxicity, it revealed that whatever the dose of the extract administered, no signs of intoxication were observed during the 28 days. The extract Crateva adansonii is therefore not lethal. With the exception of a few rare tubular vacuolar degenerations, rats present a hepatic and renal histological appearance within norma l limits. Conclusion: This allows us to conclude the ad hoc use of Crateva adansonii is safe but its prolonged use can be harmful to the human organism.","issue":"5","language":"en","source":"Zotero","title":"Safety of the Ethanolic Extract Crateva adansonii DC. (Capparidaceae) Harvested at Dassa-Zounmè in Central Benin","volume":"9","author":[{"family":"Mignanwandé","given":"Zinsou Franck"},{"family":"Hounkpatin","given":"Armelle Sabine Yélignan"},{"family":"Johnson","given":"Roch Christian"},{"family":"Houndeton","given":"Armel Géraldo"},{"family":"Houéto","given":"Eustache Enock"}],"issued":{"date-parts":[["2020"]]}}}],"schema":"https://github.com/citation-style-language/schema/raw/master/csl-citation.json"} </w:instrText>
      </w:r>
      <w:r w:rsidR="00496F6D" w:rsidRPr="00857775">
        <w:rPr>
          <w:rFonts w:ascii="Arial" w:eastAsia="Calibri" w:hAnsi="Arial" w:cs="Arial"/>
          <w:sz w:val="20"/>
          <w:szCs w:val="20"/>
        </w:rPr>
        <w:fldChar w:fldCharType="separate"/>
      </w:r>
      <w:r w:rsidR="00496F6D" w:rsidRPr="00857775">
        <w:rPr>
          <w:rFonts w:ascii="Arial" w:hAnsi="Arial" w:cs="Arial"/>
          <w:kern w:val="0"/>
          <w:sz w:val="20"/>
          <w:szCs w:val="20"/>
        </w:rPr>
        <w:t>Mignanwandé et al.(2020)</w:t>
      </w:r>
      <w:r w:rsidR="00496F6D" w:rsidRPr="00857775">
        <w:rPr>
          <w:rFonts w:ascii="Arial" w:eastAsia="Calibri" w:hAnsi="Arial" w:cs="Arial"/>
          <w:sz w:val="20"/>
          <w:szCs w:val="20"/>
        </w:rPr>
        <w:fldChar w:fldCharType="end"/>
      </w:r>
      <w:r w:rsidR="00496F6D" w:rsidRPr="00857775">
        <w:rPr>
          <w:rFonts w:ascii="Arial" w:eastAsia="Calibri" w:hAnsi="Arial" w:cs="Arial"/>
          <w:sz w:val="20"/>
          <w:szCs w:val="20"/>
        </w:rPr>
        <w:t xml:space="preserve"> and </w:t>
      </w:r>
      <w:r w:rsidR="00496F6D" w:rsidRPr="00857775">
        <w:rPr>
          <w:rFonts w:ascii="Arial" w:eastAsia="Calibri" w:hAnsi="Arial" w:cs="Arial"/>
          <w:sz w:val="20"/>
          <w:szCs w:val="20"/>
        </w:rPr>
        <w:fldChar w:fldCharType="begin"/>
      </w:r>
      <w:r w:rsidR="000C33DF" w:rsidRPr="00857775">
        <w:rPr>
          <w:rFonts w:ascii="Arial" w:eastAsia="Calibri" w:hAnsi="Arial" w:cs="Arial"/>
          <w:sz w:val="20"/>
          <w:szCs w:val="20"/>
        </w:rPr>
        <w:instrText xml:space="preserve"> ADDIN ZOTERO_ITEM CSL_CITATION {"citationID":"qE3Rf2GM","properties":{"formattedCitation":"(Oluremi et al., 2024)","plainCitation":"(Oluremi et al., 2024)","dontUpdate":true,"noteIndex":0},"citationItems":[{"id":534,"uris":["http://zotero.org/users/13923419/items/UABJ8WXC"],"itemData":{"id":534,"type":"article-journal","abstract":"Background: Bacteria biofilms are a serious global health concern. The rapid increase of antimicrobial resistance in diarrheagenic bacteria due to biofilm formation has limited the clinical usefulness of some antibiotics in circulation.\nObjectives: Uvaria chamae has shown broad spectrum antibacterial activity, hence the need to study its antibiofilm activity against enteroaggregative Escherichia coli (EAEC) strains implicated in paediatric diarrhoea.\nMethods: Samples of authenticated U. chamae root, stem and leaf were collected, air-dried, ground and extracted by cold maceration in dichloromethane and methanol separately. The EAEC strains tested were; O42, DH5α, MN5DE, D25D and D28I. The plant extracts were subjected to quantitative and qualitative phytochemical screening and the 50% lethality (LC50) brine shrimp assay carried out. Extracts were screened for antibacterial activity using agar diffusion method, while agar dilution and broth dilution methods were used to determine minimum inhibitory and bactericidal concentrations, respectively. Biofilm inhibition of the active extracts was investigated by crystal violet method.\nResults: All the EAEC strains were multi-drug resistant, but susceptible to gentamicin and azithromycin. Dichloromethane leaf extract (DLE) and methanol leaf extract (MLE) inhibited the growth of the tested EAEC strains with the MIC of MLE D28I being MIC 3.75 mg/mL. The percentage biofilm inhibition by MLE against EAEC strains O42, MND5E and D25D were 72%, 74.5%, and 63%, respectively. Alkaloids were the most abundant in the methanol leaf extract of U. chamae (MLE). The extracts had LC50 &gt;1000 μg/mL.\nConclusion: Uvaria chamae is non-toxic and possesses antibiofilm potential that could be further developed as a natural remedy for diarrhoea.","container-title":"Nigerian Journal of Pharmaceutical Research","DOI":"10.4314/njpr.v20i1.10","ISSN":"2635-3555, 0189-8434","issue":"1","journalAbbreviation":"njpr","language":"en","license":"https://creativecommons.org/licenses/by-nc/4.0","page":"91-98","source":"DOI.org (Crossref)","title":"Antibacterial, Antibiofilm Activities and Toxicity of &lt;i&gt;Uvaria chamae&lt;/i&gt; P. Beauv (Annonaceae)","volume":"20","author":[{"family":"Oluremi","given":"B.B."},{"family":"Oloche","given":"J.J."},{"family":"Abiona","given":"P.D."},{"family":"Ofudi","given":"C.B."}],"issued":{"date-parts":[["2024",7,22]]}}}],"schema":"https://github.com/citation-style-language/schema/raw/master/csl-citation.json"} </w:instrText>
      </w:r>
      <w:r w:rsidR="00496F6D" w:rsidRPr="00857775">
        <w:rPr>
          <w:rFonts w:ascii="Arial" w:eastAsia="Calibri" w:hAnsi="Arial" w:cs="Arial"/>
          <w:sz w:val="20"/>
          <w:szCs w:val="20"/>
        </w:rPr>
        <w:fldChar w:fldCharType="separate"/>
      </w:r>
      <w:r w:rsidR="00496F6D" w:rsidRPr="00857775">
        <w:rPr>
          <w:rFonts w:ascii="Arial" w:hAnsi="Arial" w:cs="Arial"/>
          <w:sz w:val="20"/>
          <w:szCs w:val="20"/>
        </w:rPr>
        <w:t>Oluremi et al.(2024)</w:t>
      </w:r>
      <w:r w:rsidR="00496F6D" w:rsidRPr="00857775">
        <w:rPr>
          <w:rFonts w:ascii="Arial" w:eastAsia="Calibri" w:hAnsi="Arial" w:cs="Arial"/>
          <w:sz w:val="20"/>
          <w:szCs w:val="20"/>
        </w:rPr>
        <w:fldChar w:fldCharType="end"/>
      </w:r>
      <w:r w:rsidR="00496F6D" w:rsidRPr="00857775">
        <w:rPr>
          <w:rFonts w:ascii="Arial" w:eastAsia="Calibri" w:hAnsi="Arial" w:cs="Arial"/>
          <w:sz w:val="20"/>
          <w:szCs w:val="20"/>
        </w:rPr>
        <w:t xml:space="preserve"> </w:t>
      </w:r>
      <w:r w:rsidR="000B1D9A" w:rsidRPr="00857775">
        <w:rPr>
          <w:rFonts w:ascii="Arial" w:eastAsia="Calibri" w:hAnsi="Arial" w:cs="Arial"/>
          <w:sz w:val="20"/>
          <w:szCs w:val="20"/>
        </w:rPr>
        <w:t xml:space="preserve">obtained similar results with the extract of </w:t>
      </w:r>
      <w:r w:rsidR="000B1D9A" w:rsidRPr="00857775">
        <w:rPr>
          <w:rFonts w:ascii="Arial" w:eastAsia="Calibri" w:hAnsi="Arial" w:cs="Arial"/>
          <w:i/>
          <w:iCs/>
          <w:sz w:val="20"/>
          <w:szCs w:val="20"/>
        </w:rPr>
        <w:t xml:space="preserve">Crateva adansonii </w:t>
      </w:r>
      <w:r w:rsidR="000B1D9A" w:rsidRPr="00857775">
        <w:rPr>
          <w:rFonts w:ascii="Arial" w:eastAsia="Calibri" w:hAnsi="Arial" w:cs="Arial"/>
          <w:sz w:val="20"/>
          <w:szCs w:val="20"/>
        </w:rPr>
        <w:t xml:space="preserve">(Capparidaceae) and </w:t>
      </w:r>
      <w:r w:rsidR="000B1D9A" w:rsidRPr="00857775">
        <w:rPr>
          <w:rFonts w:ascii="Arial" w:eastAsia="Calibri" w:hAnsi="Arial" w:cs="Arial"/>
          <w:i/>
          <w:iCs/>
          <w:sz w:val="20"/>
          <w:szCs w:val="20"/>
        </w:rPr>
        <w:t xml:space="preserve">Uvaria chamae </w:t>
      </w:r>
      <w:r w:rsidR="000B1D9A" w:rsidRPr="00857775">
        <w:rPr>
          <w:rFonts w:ascii="Arial" w:eastAsia="Calibri" w:hAnsi="Arial" w:cs="Arial"/>
          <w:sz w:val="20"/>
          <w:szCs w:val="20"/>
        </w:rPr>
        <w:t>(Annonaceae) leaves.</w:t>
      </w:r>
      <w:r w:rsidR="000B1D9A" w:rsidRPr="00857775">
        <w:rPr>
          <w:rFonts w:ascii="Arial" w:hAnsi="Arial" w:cs="Arial"/>
          <w:kern w:val="0"/>
          <w:sz w:val="20"/>
          <w:szCs w:val="20"/>
        </w:rPr>
        <w:t xml:space="preserve"> </w:t>
      </w:r>
      <w:r w:rsidR="00A107D9" w:rsidRPr="00857775">
        <w:rPr>
          <w:rFonts w:ascii="Arial" w:hAnsi="Arial" w:cs="Arial"/>
          <w:kern w:val="0"/>
          <w:sz w:val="20"/>
          <w:szCs w:val="20"/>
        </w:rPr>
        <w:t xml:space="preserve">Water and food consumption is a potential indicator for detecting possible physiological disorders </w:t>
      </w:r>
      <w:r w:rsidR="00030B7B" w:rsidRPr="00857775">
        <w:rPr>
          <w:rFonts w:ascii="Arial" w:hAnsi="Arial" w:cs="Arial"/>
          <w:kern w:val="0"/>
          <w:sz w:val="20"/>
          <w:szCs w:val="20"/>
        </w:rPr>
        <w:fldChar w:fldCharType="begin"/>
      </w:r>
      <w:r w:rsidR="002B341C">
        <w:rPr>
          <w:rFonts w:ascii="Arial" w:hAnsi="Arial" w:cs="Arial"/>
          <w:kern w:val="0"/>
          <w:sz w:val="20"/>
          <w:szCs w:val="20"/>
        </w:rPr>
        <w:instrText xml:space="preserve"> ADDIN ZOTERO_ITEM CSL_CITATION {"citationID":"MmZuJilB","properties":{"formattedCitation":"(OCDE, 2022, 2025)","plainCitation":"(OCDE, 2022, 2025)","noteIndex":0},"citationItems":[{"id":57,"uris":["http://zotero.org/users/13923419/items/7QCUUFIN"],"itemData":{"id":57,"type":"book","collection-title":"Lignes directrices de l'OCDE pour les essais de produits chimiques, Section 4","ISBN":"978-92-64-07105-6","language":"fr","note":"DOI: 10.1787/9789264071056-fr","publisher":"OECD","source":"DOI.org (Crossref)","title":"Essai n° 425: Toxicité aiguë par voie orale: méthode de l'ajustement des doses","title-short":"Essai n° 425","URL":"https://www.oecd.org/fr/publications/essai-n-425-toxicite-aigue-par-voie-orale-methode-de-l-ajustement-des-doses_9789264071056-fr.html","author":[{"literal":"OCDE"}],"accessed":{"date-parts":[["2025",3,25]]},"issued":{"date-parts":[["2022",6,30]]}}},{"id":514,"uris":["http://zotero.org/users/13923419/items/G52A4ZHB"],"itemData":{"id":514,"type":"book","collection-title":"Lignes directrices de l'OCDE pour les essais de produits chimiques, Section 4","ISBN":"978-92-64-07069-1","language":"fr","note":"DOI: 10.1787/9789264070691-fr","publisher":"Éditions OCDE","source":"DOI.org (Crossref)","title":"Essai n° 407: Toxicité orale à doses répétées - pendant 28 jours sur les rongeurs","title-short":"Essai n° 407","URL":"https://www.oecd.org/fr/publications/essai-n-407-toxicite-orale-a-doses-repetees-pendant-28-jours-sur-les-rongeurs_9789264070691-fr.html","author":[{"literal":"OCDE"}],"accessed":{"date-parts":[["2025",8,20]]},"issued":{"date-parts":[["2025",6,25]]}}}],"schema":"https://github.com/citation-style-language/schema/raw/master/csl-citation.json"} </w:instrText>
      </w:r>
      <w:r w:rsidR="00030B7B" w:rsidRPr="00857775">
        <w:rPr>
          <w:rFonts w:ascii="Arial" w:hAnsi="Arial" w:cs="Arial"/>
          <w:kern w:val="0"/>
          <w:sz w:val="20"/>
          <w:szCs w:val="20"/>
        </w:rPr>
        <w:fldChar w:fldCharType="separate"/>
      </w:r>
      <w:r w:rsidR="002B341C" w:rsidRPr="002B341C">
        <w:rPr>
          <w:rFonts w:ascii="Arial" w:hAnsi="Arial" w:cs="Arial"/>
          <w:sz w:val="20"/>
        </w:rPr>
        <w:t>(OCDE, 2022, 2025)</w:t>
      </w:r>
      <w:r w:rsidR="00030B7B" w:rsidRPr="00857775">
        <w:rPr>
          <w:rFonts w:ascii="Arial" w:hAnsi="Arial" w:cs="Arial"/>
          <w:kern w:val="0"/>
          <w:sz w:val="20"/>
          <w:szCs w:val="20"/>
        </w:rPr>
        <w:fldChar w:fldCharType="end"/>
      </w:r>
      <w:r w:rsidR="00030B7B" w:rsidRPr="00857775">
        <w:rPr>
          <w:rFonts w:ascii="Arial" w:hAnsi="Arial" w:cs="Arial"/>
          <w:kern w:val="0"/>
          <w:sz w:val="20"/>
          <w:szCs w:val="20"/>
        </w:rPr>
        <w:t>.</w:t>
      </w:r>
      <w:r w:rsidR="00A107D9" w:rsidRPr="00857775">
        <w:rPr>
          <w:rFonts w:ascii="Arial" w:hAnsi="Arial" w:cs="Arial"/>
          <w:sz w:val="20"/>
          <w:szCs w:val="20"/>
        </w:rPr>
        <w:t xml:space="preserve"> </w:t>
      </w:r>
      <w:r w:rsidR="00A107D9" w:rsidRPr="00857775">
        <w:rPr>
          <w:rFonts w:ascii="Arial" w:hAnsi="Arial" w:cs="Arial"/>
          <w:kern w:val="0"/>
          <w:sz w:val="20"/>
          <w:szCs w:val="20"/>
        </w:rPr>
        <w:t>At the end of our study, no significant variation was observed between the treated animals and the controls,</w:t>
      </w:r>
      <w:r w:rsidR="00A107D9" w:rsidRPr="00857775">
        <w:rPr>
          <w:rFonts w:ascii="Arial" w:hAnsi="Arial" w:cs="Arial"/>
          <w:sz w:val="20"/>
          <w:szCs w:val="20"/>
        </w:rPr>
        <w:t xml:space="preserve"> </w:t>
      </w:r>
      <w:r w:rsidR="00A107D9" w:rsidRPr="00857775">
        <w:rPr>
          <w:rFonts w:ascii="Arial" w:hAnsi="Arial" w:cs="Arial"/>
          <w:kern w:val="0"/>
          <w:sz w:val="20"/>
          <w:szCs w:val="20"/>
        </w:rPr>
        <w:t xml:space="preserve">suggesting that the hydroethanolic extract of </w:t>
      </w:r>
      <w:r w:rsidR="00A107D9" w:rsidRPr="00857775">
        <w:rPr>
          <w:rFonts w:ascii="Arial" w:hAnsi="Arial" w:cs="Arial"/>
          <w:i/>
          <w:iCs/>
          <w:kern w:val="0"/>
          <w:sz w:val="20"/>
          <w:szCs w:val="20"/>
        </w:rPr>
        <w:t>Jatropha curcas</w:t>
      </w:r>
      <w:r w:rsidR="00A107D9" w:rsidRPr="00857775">
        <w:rPr>
          <w:rFonts w:ascii="Arial" w:hAnsi="Arial" w:cs="Arial"/>
          <w:kern w:val="0"/>
          <w:sz w:val="20"/>
          <w:szCs w:val="20"/>
        </w:rPr>
        <w:t xml:space="preserve"> leaves does not affect the appetite or water balance of rats. Similar results have been reported in studies by</w:t>
      </w:r>
      <w:r w:rsidR="002F48A7" w:rsidRPr="00857775">
        <w:rPr>
          <w:rFonts w:ascii="Arial" w:hAnsi="Arial" w:cs="Arial"/>
          <w:kern w:val="0"/>
          <w:sz w:val="20"/>
          <w:szCs w:val="20"/>
        </w:rPr>
        <w:t xml:space="preserve"> </w:t>
      </w:r>
      <w:r w:rsidR="002F48A7" w:rsidRPr="00857775">
        <w:rPr>
          <w:rFonts w:ascii="Arial" w:hAnsi="Arial" w:cs="Arial"/>
          <w:kern w:val="0"/>
          <w:sz w:val="20"/>
          <w:szCs w:val="20"/>
        </w:rPr>
        <w:fldChar w:fldCharType="begin"/>
      </w:r>
      <w:r w:rsidR="00C507A7" w:rsidRPr="00857775">
        <w:rPr>
          <w:rFonts w:ascii="Arial" w:hAnsi="Arial" w:cs="Arial"/>
          <w:kern w:val="0"/>
          <w:sz w:val="20"/>
          <w:szCs w:val="20"/>
        </w:rPr>
        <w:instrText xml:space="preserve"> ADDIN ZOTERO_ITEM CSL_CITATION {"citationID":"1WVnoqmT","properties":{"formattedCitation":"(Bele et al., 2023; Nasiatul Baroroh. et al., 2023; Sawadogo, Sanou, Dabir\\uc0\\u233{}, et al., 2018)","plainCitation":"(Bele et al., 2023; Nasiatul Baroroh. et al., 2023; Sawadogo, Sanou, Dabiré, et al., 2018)","dontUpdate":true,"noteIndex":0},"citationItems":[{"id":546,"uris":["http://zotero.org/users/13923419/items/B4N8K26R"],"itemData":{"id":546,"type":"article-newspaper","container-title":"Haryana Vet. (March, 2024) 63(SI), 76-79","title":"Sub acute oral toxicity of jatropha curcas linn. Leaf extract coated  silver nanoparticals in wistar rats","URL":"https://www.luvas.edu.in/haryana-veterinarian/download/march-2024/18-RA.pdf?utm","author":[{"family":"Bele","given":"S.S."},{"family":"Jadhav","given":"N.D."},{"family":"Rajurkar","given":"S.R."},{"family":"Chigure","given":"G.M."},{"family":"Ghorpade","given":"P.B."},{"family":"Rathod","given":"P.R."}],"issued":{"date-parts":[["2023",9,21]]}}},{"id":483,"uris":["http://zotero.org/users/13923419/items/VWATPIZ7"],"itemData":{"id":483,"type":"article-journal","abstract":"The anti-inflammatory properties of Jatropha curcas leaves have been established. The Acute toxicity test showed that J. curcas leaves were safe. This study aimed to assess the safety of the ethanol extract of J. curcas (EJC) leaves on hematological indicators and renal function. In the present study, using 40 male and 40 female Wistar rats were conducted to evaluate subacute toxicity. The EJC leaves with doses of 150, 300, and 600 mg/kg BW, were given orally and repeated for 30 days. The result showed no mortality and no changes in red blood cells (RBC) and white blood cells after administration of EJC leaves, but it caused toxic gastrointestinal symptoms such as a dark and watery stool. The use of the EJC at a dose of 150 mg/kg BW was safe because there was no change in the serum creatinine level and only the tiniest number of dark-stools toxic symptoms was experienced. Histopathologically, the EJC caused necrosis and congestion at doses of 300 and 600 mg/kgBW, which suggests that renal toxicity has already occurred. In conclusion, the EJC leaves with a dose of 150 mg/kg BW were found to be safe on hematology parameters and renal function. In conclusion, the administration of EJC leaves at a dose of 150 mg/kg BW was proven to be safe for renal function and hematological parameters.","container-title":"Journal of Research in Pharmacy","DOI":"10.29228/jrp.517","ISSN":"2630-6344","issue":"27(6)","journalAbbreviation":"jrp","language":"en","page":"2285-2293","source":"DOI.org (Crossref)","title":"Subacute toxicity study of Jatropha curcas leaves on hematology parameters and renal function in Wistar rats","volume":"27(6)","author":[{"family":"Nasiatul Baroroh.","given":"Hanif"},{"family":"Nuryanti","given":"Nuryanti"},{"family":"Warsinah","given":"Warsinah"}],"issued":{"date-parts":[["2023"]]}}},{"id":508,"uris":["http://zotero.org/users/13923419/items/2VUBZQDD"],"itemData":{"id":508,"type":"article-journal","abstract":"Jatropha curcas is a medicinal plant whose dead leaves are particularly used in arterial hypertension and diabetes treatment. The purpose of this study is to conduct an acute and subacute toxicity study of Jatropha curcas leaves aqueous extract (JCLAE) using OECD method. For acute toxicity, dose limits of 2000 and 5000 mg/kg were used. In subacute toxicity study 4 batches were constituted including a control batch that received distilled water for 28 days and the other 3 batches, JCLAE doses of respectively 200, 400, 800 mg/kg for the same duration. The LD50 was determined and the hematological, biochemical and histological parameters were analyzed in mice. The LD50 is greater than 5000 mg/kg. HDL-C is the only biochemical parameter that has experienced significant rise variation. Hematological analysis showed a decrease in mean platelet volume and Platelets number. The histological study revealed cases of hepatic cellular apoptosis and kidneys tubular necrosis among animals treated with highest dose. JCLAE is less toxic than Jatropha curcas leaves aqueous extract and high-dose JCLAE also has a moderate toxic effect on thrombocyte line and a protective effect on cardiovascular system.","container-title":"Journal of Scientific Research","DOI":"10.3329/jsr.v10i2.35267","ISSN":"2070-0245, 2070-0237","issue":"2","journalAbbreviation":"J. Sci. Res.","language":"en","license":"http://creativecommons.org/licenses/by-sa/4.0","page":"187-193","source":"DOI.org (Crossref)","title":"In Vivo Evaluation of &lt;i&gt;Jatropha curcas&lt;/i&gt; L (Euphorbiaceae) Leaves Acute and Subacute Toxicity in Mice","volume":"10","author":[{"family":"Sawadogo","given":"S."},{"family":"Sanou","given":"S. D."},{"family":"Dabiré","given":"A. P."},{"family":"Belemtougri","given":"G. R."},{"family":"Sawadogo","given":"L."},{"family":"Leiris","given":"J. De"},{"family":"Tanguy","given":"S."},{"family":"Boucher","given":"F."}],"issued":{"date-parts":[["2018",5,1]]}}}],"schema":"https://github.com/citation-style-language/schema/raw/master/csl-citation.json"} </w:instrText>
      </w:r>
      <w:r w:rsidR="002F48A7" w:rsidRPr="00857775">
        <w:rPr>
          <w:rFonts w:ascii="Arial" w:hAnsi="Arial" w:cs="Arial"/>
          <w:kern w:val="0"/>
          <w:sz w:val="20"/>
          <w:szCs w:val="20"/>
        </w:rPr>
        <w:fldChar w:fldCharType="separate"/>
      </w:r>
      <w:r w:rsidR="00225547" w:rsidRPr="00857775">
        <w:rPr>
          <w:rFonts w:ascii="Arial" w:hAnsi="Arial" w:cs="Arial"/>
          <w:kern w:val="0"/>
          <w:sz w:val="20"/>
          <w:szCs w:val="20"/>
        </w:rPr>
        <w:t xml:space="preserve">(Bele et al., 2023; Nasiatul Baroroh. </w:t>
      </w:r>
      <w:proofErr w:type="gramStart"/>
      <w:r w:rsidR="00225547" w:rsidRPr="00857775">
        <w:rPr>
          <w:rFonts w:ascii="Arial" w:hAnsi="Arial" w:cs="Arial"/>
          <w:kern w:val="0"/>
          <w:sz w:val="20"/>
          <w:szCs w:val="20"/>
        </w:rPr>
        <w:t>et</w:t>
      </w:r>
      <w:proofErr w:type="gramEnd"/>
      <w:r w:rsidR="00225547" w:rsidRPr="00857775">
        <w:rPr>
          <w:rFonts w:ascii="Arial" w:hAnsi="Arial" w:cs="Arial"/>
          <w:kern w:val="0"/>
          <w:sz w:val="20"/>
          <w:szCs w:val="20"/>
        </w:rPr>
        <w:t xml:space="preserve"> al., 2023; Sawadogo et al., 2018)</w:t>
      </w:r>
      <w:r w:rsidR="002F48A7" w:rsidRPr="00857775">
        <w:rPr>
          <w:rFonts w:ascii="Arial" w:hAnsi="Arial" w:cs="Arial"/>
          <w:kern w:val="0"/>
          <w:sz w:val="20"/>
          <w:szCs w:val="20"/>
        </w:rPr>
        <w:fldChar w:fldCharType="end"/>
      </w:r>
      <w:r w:rsidR="00225547" w:rsidRPr="00857775">
        <w:rPr>
          <w:rFonts w:ascii="Arial" w:hAnsi="Arial" w:cs="Arial"/>
          <w:kern w:val="0"/>
          <w:sz w:val="20"/>
          <w:szCs w:val="20"/>
        </w:rPr>
        <w:t xml:space="preserve"> </w:t>
      </w:r>
      <w:r w:rsidR="0000454C" w:rsidRPr="00857775">
        <w:rPr>
          <w:rFonts w:ascii="Arial" w:hAnsi="Arial" w:cs="Arial"/>
          <w:kern w:val="0"/>
          <w:sz w:val="20"/>
          <w:szCs w:val="20"/>
        </w:rPr>
        <w:t xml:space="preserve"> </w:t>
      </w:r>
      <w:r w:rsidR="003A14FF" w:rsidRPr="00857775">
        <w:rPr>
          <w:rFonts w:ascii="Arial" w:hAnsi="Arial" w:cs="Arial"/>
          <w:kern w:val="0"/>
          <w:sz w:val="20"/>
          <w:szCs w:val="20"/>
        </w:rPr>
        <w:t xml:space="preserve">where the administration of aqueous or hydroethanolic preparations did not cause any changes in feeding behavior or water consumption. </w:t>
      </w:r>
      <w:r w:rsidR="003A14FF" w:rsidRPr="00857775">
        <w:rPr>
          <w:rFonts w:ascii="Arial" w:hAnsi="Arial" w:cs="Arial"/>
          <w:kern w:val="0"/>
          <w:sz w:val="20"/>
          <w:szCs w:val="20"/>
        </w:rPr>
        <w:lastRenderedPageBreak/>
        <w:t xml:space="preserve">Numerous toxicity studies conducted on other hydroethanolic plant extracts have revealed that in the absence of overt toxicity, parameters associated with food and drink intake remain unchanged </w:t>
      </w:r>
      <w:r w:rsidR="008F397C" w:rsidRPr="00857775">
        <w:rPr>
          <w:rFonts w:ascii="Arial" w:hAnsi="Arial" w:cs="Arial"/>
          <w:kern w:val="0"/>
          <w:sz w:val="20"/>
          <w:szCs w:val="20"/>
        </w:rPr>
        <w:fldChar w:fldCharType="begin"/>
      </w:r>
      <w:r w:rsidR="002B341C">
        <w:rPr>
          <w:rFonts w:ascii="Arial" w:hAnsi="Arial" w:cs="Arial"/>
          <w:kern w:val="0"/>
          <w:sz w:val="20"/>
          <w:szCs w:val="20"/>
        </w:rPr>
        <w:instrText xml:space="preserve"> ADDIN ZOTERO_ITEM CSL_CITATION {"citationID":"F5pg1bJK","properties":{"formattedCitation":"(Mignanwand\\uc0\\u233{} et al., 2020)","plainCitation":"(Mignanwandé et al., 2020)","noteIndex":0},"citationItems":[{"id":526,"uris":["http://zotero.org/users/13923419/items/5AJD8KWG"],"itemData":{"id":526,"type":"article-journal","abstract":"Medicinal plants are widely used worldwide by populations and are a source of new active components. The objective of this work is to assess the toxicity of the ethanolic extract of this plant in order to promote its use in traditional medicine in Benin. Method: The ethanolic extract was obtained after evaporation of the filtrate under vacuum on a rotary evaporator. The toxicity studie s took into account on the one hand the determination of heavy metals (Pb, Cd and As) on the other hand the Acute and subacute Toxicities which were carried out according to the OECD guidelines respectively Standards 423 and 407 on Wistar strain female rats. Blood samp les were taken from animals for hematological and biochemical analyzes. Finally the organs (liver and kidney) were removed for histological readings. Results: The study of the acute oral toxicity of the ethanolic extract of Crateva adansonii at the single dose of 5.000 mg.kg-1 of body weight recorded no death or sign of toxicity during the 14 days of the experimental period. . This shows that the LD50 of our extract is greater than 5.000 mg.kg-1 pc. As for the subchronic toxicity, it revealed that whatever the dose of the extract administered, no signs of intoxication were observed during the 28 days. The extract Crateva adansonii is therefore not lethal. With the exception of a few rare tubular vacuolar degenerations, rats present a hepatic and renal histological appearance within norma l limits. Conclusion: This allows us to conclude the ad hoc use of Crateva adansonii is safe but its prolonged use can be harmful to the human organism.","issue":"5","language":"en","source":"Zotero","title":"Safety of the Ethanolic Extract Crateva adansonii DC. (Capparidaceae) Harvested at Dassa-Zounmè in Central Benin","volume":"9","author":[{"family":"Mignanwandé","given":"Zinsou Franck"},{"family":"Hounkpatin","given":"Armelle Sabine Yélignan"},{"family":"Johnson","given":"Roch Christian"},{"family":"Houndeton","given":"Armel Géraldo"},{"family":"Houéto","given":"Eustache Enock"}],"issued":{"date-parts":[["2020"]]}}}],"schema":"https://github.com/citation-style-language/schema/raw/master/csl-citation.json"} </w:instrText>
      </w:r>
      <w:r w:rsidR="008F397C" w:rsidRPr="00857775">
        <w:rPr>
          <w:rFonts w:ascii="Arial" w:hAnsi="Arial" w:cs="Arial"/>
          <w:kern w:val="0"/>
          <w:sz w:val="20"/>
          <w:szCs w:val="20"/>
        </w:rPr>
        <w:fldChar w:fldCharType="separate"/>
      </w:r>
      <w:r w:rsidR="002B341C" w:rsidRPr="002B341C">
        <w:rPr>
          <w:rFonts w:ascii="Arial" w:hAnsi="Arial" w:cs="Arial"/>
          <w:kern w:val="0"/>
          <w:sz w:val="20"/>
        </w:rPr>
        <w:t>(Mignanwandé et al., 2020)</w:t>
      </w:r>
      <w:r w:rsidR="008F397C" w:rsidRPr="00857775">
        <w:rPr>
          <w:rFonts w:ascii="Arial" w:hAnsi="Arial" w:cs="Arial"/>
          <w:kern w:val="0"/>
          <w:sz w:val="20"/>
          <w:szCs w:val="20"/>
        </w:rPr>
        <w:fldChar w:fldCharType="end"/>
      </w:r>
      <w:r w:rsidR="00C60CB4" w:rsidRPr="00857775">
        <w:rPr>
          <w:rFonts w:ascii="Arial" w:hAnsi="Arial" w:cs="Arial"/>
          <w:kern w:val="0"/>
          <w:sz w:val="20"/>
          <w:szCs w:val="20"/>
        </w:rPr>
        <w:t xml:space="preserve"> ; </w:t>
      </w:r>
      <w:r w:rsidR="00C60CB4" w:rsidRPr="00857775">
        <w:rPr>
          <w:rFonts w:ascii="Arial" w:hAnsi="Arial" w:cs="Arial"/>
          <w:kern w:val="0"/>
          <w:sz w:val="20"/>
          <w:szCs w:val="20"/>
        </w:rPr>
        <w:fldChar w:fldCharType="begin"/>
      </w:r>
      <w:r w:rsidR="002B341C">
        <w:rPr>
          <w:rFonts w:ascii="Arial" w:hAnsi="Arial" w:cs="Arial"/>
          <w:kern w:val="0"/>
          <w:sz w:val="20"/>
          <w:szCs w:val="20"/>
        </w:rPr>
        <w:instrText xml:space="preserve"> ADDIN ZOTERO_ITEM CSL_CITATION {"citationID":"qtwYj4Pt","properties":{"formattedCitation":"(Mihretu et al., 2023)","plainCitation":"(Mihretu et al., 2023)","noteIndex":0},"citationItems":[{"id":551,"uris":["http://zotero.org/users/13923419/items/WPBSBJVN"],"itemData":{"id":551,"type":"article-journal","container-title":"Journal of Experimental Pharmacology","title":"Acute and Sub-Acute Toxicity Evaluation of the  Crude Methanolic Extract of Justicia schimperiana  Leaf in Wistar Albino Rat","URL":"https://pmc.ncbi.nlm.nih.gov/articles/PMC10664716/pdf/jep-15-467.pdf","author":[{"family":"Mihretu","given":"J."},{"family":"Teferra","given":"A"},{"family":"Samuel","given":"W."},{"family":"Dinkenesh","given":"C"},{"family":"Zemen","given":"A"},{"family":"Mekbeb","given":"A"}],"issued":{"date-parts":[["2023"]]}}}],"schema":"https://github.com/citation-style-language/schema/raw/master/csl-citation.json"} </w:instrText>
      </w:r>
      <w:r w:rsidR="00C60CB4" w:rsidRPr="00857775">
        <w:rPr>
          <w:rFonts w:ascii="Arial" w:hAnsi="Arial" w:cs="Arial"/>
          <w:kern w:val="0"/>
          <w:sz w:val="20"/>
          <w:szCs w:val="20"/>
        </w:rPr>
        <w:fldChar w:fldCharType="separate"/>
      </w:r>
      <w:r w:rsidR="002B341C" w:rsidRPr="002B341C">
        <w:rPr>
          <w:rFonts w:ascii="Arial" w:hAnsi="Arial" w:cs="Arial"/>
          <w:sz w:val="20"/>
        </w:rPr>
        <w:t>(Mihretu et al., 2023)</w:t>
      </w:r>
      <w:r w:rsidR="00C60CB4" w:rsidRPr="00857775">
        <w:rPr>
          <w:rFonts w:ascii="Arial" w:hAnsi="Arial" w:cs="Arial"/>
          <w:kern w:val="0"/>
          <w:sz w:val="20"/>
          <w:szCs w:val="20"/>
        </w:rPr>
        <w:fldChar w:fldCharType="end"/>
      </w:r>
      <w:r w:rsidR="00C60CB4" w:rsidRPr="00857775">
        <w:rPr>
          <w:rFonts w:ascii="Arial" w:hAnsi="Arial" w:cs="Arial"/>
          <w:kern w:val="0"/>
          <w:sz w:val="20"/>
          <w:szCs w:val="20"/>
        </w:rPr>
        <w:t>.</w:t>
      </w:r>
      <w:r w:rsidR="003A14FF" w:rsidRPr="00857775">
        <w:rPr>
          <w:rFonts w:ascii="Arial" w:hAnsi="Arial" w:cs="Arial"/>
          <w:sz w:val="20"/>
          <w:szCs w:val="20"/>
        </w:rPr>
        <w:t xml:space="preserve"> </w:t>
      </w:r>
      <w:r w:rsidR="003A14FF" w:rsidRPr="00857775">
        <w:rPr>
          <w:rFonts w:ascii="Arial" w:hAnsi="Arial" w:cs="Arial"/>
          <w:kern w:val="0"/>
          <w:sz w:val="20"/>
          <w:szCs w:val="20"/>
        </w:rPr>
        <w:t xml:space="preserve">Hematological markers are parameters that reflect physiological integrity and are commonly assessed during acute and subacute toxicity testing. In our series of experiments, the absence of significant differences between the treated and control groups indicates that the hydroethanolic extract of </w:t>
      </w:r>
      <w:r w:rsidR="003A14FF" w:rsidRPr="00857775">
        <w:rPr>
          <w:rFonts w:ascii="Arial" w:hAnsi="Arial" w:cs="Arial"/>
          <w:i/>
          <w:iCs/>
          <w:kern w:val="0"/>
          <w:sz w:val="20"/>
          <w:szCs w:val="20"/>
        </w:rPr>
        <w:t>Jatropha curcas</w:t>
      </w:r>
      <w:r w:rsidR="003A14FF" w:rsidRPr="00857775">
        <w:rPr>
          <w:rFonts w:ascii="Arial" w:hAnsi="Arial" w:cs="Arial"/>
          <w:kern w:val="0"/>
          <w:sz w:val="20"/>
          <w:szCs w:val="20"/>
        </w:rPr>
        <w:t xml:space="preserve"> leaves did not disrupt hematopoiesis at the doses tested</w:t>
      </w:r>
      <w:r w:rsidR="00111766" w:rsidRPr="00857775">
        <w:rPr>
          <w:rFonts w:ascii="Arial" w:hAnsi="Arial" w:cs="Arial"/>
          <w:kern w:val="0"/>
          <w:sz w:val="20"/>
          <w:szCs w:val="20"/>
        </w:rPr>
        <w:t>.</w:t>
      </w:r>
      <w:r w:rsidR="00DD5A1F" w:rsidRPr="00857775">
        <w:rPr>
          <w:rFonts w:ascii="Arial" w:hAnsi="Arial" w:cs="Arial"/>
          <w:kern w:val="0"/>
          <w:sz w:val="20"/>
          <w:szCs w:val="20"/>
        </w:rPr>
        <w:t xml:space="preserve"> </w:t>
      </w:r>
      <w:r w:rsidR="003A14FF" w:rsidRPr="00857775">
        <w:rPr>
          <w:rFonts w:ascii="Arial" w:hAnsi="Arial" w:cs="Arial"/>
          <w:kern w:val="0"/>
          <w:sz w:val="20"/>
          <w:szCs w:val="20"/>
        </w:rPr>
        <w:t>These results are consistent with recent studies conducted on hydroethanolic leaf extracts, which report stable hematological profiles after repeated administration.</w:t>
      </w:r>
      <w:r w:rsidR="00DD5A1F" w:rsidRPr="00857775">
        <w:rPr>
          <w:rFonts w:ascii="Arial" w:hAnsi="Arial" w:cs="Arial"/>
          <w:kern w:val="0"/>
          <w:sz w:val="20"/>
          <w:szCs w:val="20"/>
        </w:rPr>
        <w:t xml:space="preserve"> </w:t>
      </w:r>
      <w:r w:rsidR="001E42AD" w:rsidRPr="00857775">
        <w:rPr>
          <w:rFonts w:ascii="Arial" w:hAnsi="Arial" w:cs="Arial"/>
          <w:kern w:val="0"/>
          <w:sz w:val="20"/>
          <w:szCs w:val="20"/>
        </w:rPr>
        <w:fldChar w:fldCharType="begin"/>
      </w:r>
      <w:r w:rsidR="00C507A7" w:rsidRPr="00857775">
        <w:rPr>
          <w:rFonts w:ascii="Arial" w:hAnsi="Arial" w:cs="Arial"/>
          <w:kern w:val="0"/>
          <w:sz w:val="20"/>
          <w:szCs w:val="20"/>
        </w:rPr>
        <w:instrText xml:space="preserve"> ADDIN ZOTERO_ITEM CSL_CITATION {"citationID":"TcI1mkc2","properties":{"formattedCitation":"(Nasiatul Baroroh. et al., 2023; Sawadogo, Sanou, Dabir\\uc0\\u233{}, et al., 2018)","plainCitation":"(Nasiatul Baroroh. et al., 2023; Sawadogo, Sanou, Dabiré, et al., 2018)","dontUpdate":true,"noteIndex":0},"citationItems":[{"id":483,"uris":["http://zotero.org/users/13923419/items/VWATPIZ7"],"itemData":{"id":483,"type":"article-journal","abstract":"The anti-inflammatory properties of Jatropha curcas leaves have been established. The Acute toxicity test showed that J. curcas leaves were safe. This study aimed to assess the safety of the ethanol extract of J. curcas (EJC) leaves on hematological indicators and renal function. In the present study, using 40 male and 40 female Wistar rats were conducted to evaluate subacute toxicity. The EJC leaves with doses of 150, 300, and 600 mg/kg BW, were given orally and repeated for 30 days. The result showed no mortality and no changes in red blood cells (RBC) and white blood cells after administration of EJC leaves, but it caused toxic gastrointestinal symptoms such as a dark and watery stool. The use of the EJC at a dose of 150 mg/kg BW was safe because there was no change in the serum creatinine level and only the tiniest number of dark-stools toxic symptoms was experienced. Histopathologically, the EJC caused necrosis and congestion at doses of 300 and 600 mg/kgBW, which suggests that renal toxicity has already occurred. In conclusion, the EJC leaves with a dose of 150 mg/kg BW were found to be safe on hematology parameters and renal function. In conclusion, the administration of EJC leaves at a dose of 150 mg/kg BW was proven to be safe for renal function and hematological parameters.","container-title":"Journal of Research in Pharmacy","DOI":"10.29228/jrp.517","ISSN":"2630-6344","issue":"27(6)","journalAbbreviation":"jrp","language":"en","page":"2285-2293","source":"DOI.org (Crossref)","title":"Subacute toxicity study of Jatropha curcas leaves on hematology parameters and renal function in Wistar rats","volume":"27(6)","author":[{"family":"Nasiatul Baroroh.","given":"Hanif"},{"family":"Nuryanti","given":"Nuryanti"},{"family":"Warsinah","given":"Warsinah"}],"issued":{"date-parts":[["2023"]]}}},{"id":508,"uris":["http://zotero.org/users/13923419/items/2VUBZQDD"],"itemData":{"id":508,"type":"article-journal","abstract":"Jatropha curcas is a medicinal plant whose dead leaves are particularly used in arterial hypertension and diabetes treatment. The purpose of this study is to conduct an acute and subacute toxicity study of Jatropha curcas leaves aqueous extract (JCLAE) using OECD method. For acute toxicity, dose limits of 2000 and 5000 mg/kg were used. In subacute toxicity study 4 batches were constituted including a control batch that received distilled water for 28 days and the other 3 batches, JCLAE doses of respectively 200, 400, 800 mg/kg for the same duration. The LD50 was determined and the hematological, biochemical and histological parameters were analyzed in mice. The LD50 is greater than 5000 mg/kg. HDL-C is the only biochemical parameter that has experienced significant rise variation. Hematological analysis showed a decrease in mean platelet volume and Platelets number. The histological study revealed cases of hepatic cellular apoptosis and kidneys tubular necrosis among animals treated with highest dose. JCLAE is less toxic than Jatropha curcas leaves aqueous extract and high-dose JCLAE also has a moderate toxic effect on thrombocyte line and a protective effect on cardiovascular system.","container-title":"Journal of Scientific Research","DOI":"10.3329/jsr.v10i2.35267","ISSN":"2070-0245, 2070-0237","issue":"2","journalAbbreviation":"J. Sci. Res.","language":"en","license":"http://creativecommons.org/licenses/by-sa/4.0","page":"187-193","source":"DOI.org (Crossref)","title":"In Vivo Evaluation of &lt;i&gt;Jatropha curcas&lt;/i&gt; L (Euphorbiaceae) Leaves Acute and Subacute Toxicity in Mice","volume":"10","author":[{"family":"Sawadogo","given":"S."},{"family":"Sanou","given":"S. D."},{"family":"Dabiré","given":"A. P."},{"family":"Belemtougri","given":"G. R."},{"family":"Sawadogo","given":"L."},{"family":"Leiris","given":"J. De"},{"family":"Tanguy","given":"S."},{"family":"Boucher","given":"F."}],"issued":{"date-parts":[["2018",5,1]]}}}],"schema":"https://github.com/citation-style-language/schema/raw/master/csl-citation.json"} </w:instrText>
      </w:r>
      <w:r w:rsidR="001E42AD" w:rsidRPr="00857775">
        <w:rPr>
          <w:rFonts w:ascii="Arial" w:hAnsi="Arial" w:cs="Arial"/>
          <w:kern w:val="0"/>
          <w:sz w:val="20"/>
          <w:szCs w:val="20"/>
        </w:rPr>
        <w:fldChar w:fldCharType="separate"/>
      </w:r>
      <w:r w:rsidR="001E42AD" w:rsidRPr="00857775">
        <w:rPr>
          <w:rFonts w:ascii="Arial" w:hAnsi="Arial" w:cs="Arial"/>
          <w:kern w:val="0"/>
          <w:sz w:val="20"/>
          <w:szCs w:val="20"/>
        </w:rPr>
        <w:t xml:space="preserve">(Nasiatul Baroroh. </w:t>
      </w:r>
      <w:proofErr w:type="gramStart"/>
      <w:r w:rsidR="001E42AD" w:rsidRPr="00857775">
        <w:rPr>
          <w:rFonts w:ascii="Arial" w:hAnsi="Arial" w:cs="Arial"/>
          <w:kern w:val="0"/>
          <w:sz w:val="20"/>
          <w:szCs w:val="20"/>
        </w:rPr>
        <w:t>et</w:t>
      </w:r>
      <w:proofErr w:type="gramEnd"/>
      <w:r w:rsidR="001E42AD" w:rsidRPr="00857775">
        <w:rPr>
          <w:rFonts w:ascii="Arial" w:hAnsi="Arial" w:cs="Arial"/>
          <w:kern w:val="0"/>
          <w:sz w:val="20"/>
          <w:szCs w:val="20"/>
        </w:rPr>
        <w:t xml:space="preserve"> al., 2023 ; Sawadogo et al., 2018)</w:t>
      </w:r>
      <w:r w:rsidR="001E42AD" w:rsidRPr="00857775">
        <w:rPr>
          <w:rFonts w:ascii="Arial" w:hAnsi="Arial" w:cs="Arial"/>
          <w:kern w:val="0"/>
          <w:sz w:val="20"/>
          <w:szCs w:val="20"/>
        </w:rPr>
        <w:fldChar w:fldCharType="end"/>
      </w:r>
      <w:r w:rsidR="00DD5A1F" w:rsidRPr="00857775">
        <w:rPr>
          <w:rFonts w:ascii="Arial" w:hAnsi="Arial" w:cs="Arial"/>
          <w:kern w:val="0"/>
          <w:sz w:val="20"/>
          <w:szCs w:val="20"/>
        </w:rPr>
        <w:t>.</w:t>
      </w:r>
      <w:r w:rsidR="001E42AD" w:rsidRPr="00857775">
        <w:rPr>
          <w:rFonts w:ascii="Arial" w:hAnsi="Arial" w:cs="Arial"/>
          <w:sz w:val="20"/>
          <w:szCs w:val="20"/>
        </w:rPr>
        <w:t xml:space="preserve"> </w:t>
      </w:r>
      <w:r w:rsidR="003A14FF" w:rsidRPr="00857775">
        <w:rPr>
          <w:rFonts w:ascii="Arial" w:hAnsi="Arial" w:cs="Arial"/>
          <w:sz w:val="20"/>
          <w:szCs w:val="20"/>
        </w:rPr>
        <w:t>However, other studies have shown that certain seed derivatives, particularly oils containing phorbol esters, can alter hematological parameters and induce signs of toxicity, highlighting the fact that the plant fraction and extraction method have a significant impact on safety.</w:t>
      </w:r>
      <w:r w:rsidR="00CB6EC7" w:rsidRPr="00857775">
        <w:rPr>
          <w:rFonts w:ascii="Arial" w:hAnsi="Arial" w:cs="Arial"/>
          <w:kern w:val="0"/>
          <w:sz w:val="20"/>
          <w:szCs w:val="20"/>
        </w:rPr>
        <w:fldChar w:fldCharType="begin"/>
      </w:r>
      <w:r w:rsidR="002B341C">
        <w:rPr>
          <w:rFonts w:ascii="Arial" w:hAnsi="Arial" w:cs="Arial"/>
          <w:kern w:val="0"/>
          <w:sz w:val="20"/>
          <w:szCs w:val="20"/>
        </w:rPr>
        <w:instrText xml:space="preserve"> ADDIN ZOTERO_ITEM CSL_CITATION {"citationID":"w7Le94pg","properties":{"formattedCitation":"(Muhammad et al., 2023)","plainCitation":"(Muhammad et al., 2023)","noteIndex":0},"citationItems":[{"id":553,"uris":["http://zotero.org/users/13923419/items/QS67BAHB"],"itemData":{"id":553,"type":"article-journal","abstract":"Medicinal plants are regarded as safe because of their natural origin, nevertheless, they can contain toxic substances that can exert adverse effects. This study aims to evaluate acute and subacute toxicity of Jatropha curcas seed oil using modified Lorke method and 28 days repeated dosing of grouped rats with normal saline and -10, 300, 600 mg/kg body weight of the seed oil. At the end of the experimentation, haematological and biochemical analysis of blood samples and the histopathology of the liver and kidney of rats in each group were evaluated. The Lethal Dose (LD50) of J. curcas seed oil was lower than 5000mg/kg b.wt. Haematological and biochemical analysis showed a dose-dependent decrease in the Hemoglobin, Packed Cell Volume and Red Blood Cells, an increase in the level of Total White Blood Count and Platelet Count, Aspartate aminotransferase, Alanine aminotransferase, Alkaline phosphatase, urea and creatinine in the treated groups, while the histological evaluation revealed distortion in liver and kidney cytoarchitecture of rats administered with 600 mg/kg b.wt of the seed oil. The oil was found less toxic at the acute phase but there was toxicity manifestation in subacute phase causing adverse effects on haematological, biochemical parameters and the tissues of the kidney and liver. The study suggests that the seed oil can be used, but caution should be exercised when using it at high doses for prolonged periods.","container-title":"UMYU Journal of Microbiology Research (UJMR)","DOI":"10.47430/ujmr.2381.018","ISSN":"2814-1822, 2616-0668","issue":"1","journalAbbreviation":"UJMR","language":"en","license":"https://creativecommons.org/licenses/by-nc/4.0","page":"143-151","source":"DOI.org (Crossref)","title":"In Vivo Evaluation of Acute and Subacute Toxicity of Jatropha curcas Seed Oil","volume":"8","author":[{"family":"Muhammad","given":"F.E."},{"family":"Daniyan.","given":"S. Y"},{"family":"Abalaka","given":"E.M."},{"family":"Gimba","given":"U.A."}],"issued":{"date-parts":[["2023",6,30]]}}}],"schema":"https://github.com/citation-style-language/schema/raw/master/csl-citation.json"} </w:instrText>
      </w:r>
      <w:r w:rsidR="00CB6EC7" w:rsidRPr="00857775">
        <w:rPr>
          <w:rFonts w:ascii="Arial" w:hAnsi="Arial" w:cs="Arial"/>
          <w:kern w:val="0"/>
          <w:sz w:val="20"/>
          <w:szCs w:val="20"/>
        </w:rPr>
        <w:fldChar w:fldCharType="separate"/>
      </w:r>
      <w:r w:rsidR="002B341C" w:rsidRPr="002B341C">
        <w:rPr>
          <w:rFonts w:ascii="Arial" w:hAnsi="Arial" w:cs="Arial"/>
          <w:sz w:val="20"/>
        </w:rPr>
        <w:t>(Muhammad et al., 2023)</w:t>
      </w:r>
      <w:r w:rsidR="00CB6EC7" w:rsidRPr="00857775">
        <w:rPr>
          <w:rFonts w:ascii="Arial" w:hAnsi="Arial" w:cs="Arial"/>
          <w:kern w:val="0"/>
          <w:sz w:val="20"/>
          <w:szCs w:val="20"/>
        </w:rPr>
        <w:fldChar w:fldCharType="end"/>
      </w:r>
      <w:r w:rsidR="00CB6EC7" w:rsidRPr="00857775">
        <w:rPr>
          <w:rFonts w:ascii="Arial" w:hAnsi="Arial" w:cs="Arial"/>
          <w:kern w:val="0"/>
          <w:sz w:val="20"/>
          <w:szCs w:val="20"/>
        </w:rPr>
        <w:t> ;</w:t>
      </w:r>
      <w:r w:rsidR="00542E94" w:rsidRPr="00857775">
        <w:rPr>
          <w:rFonts w:ascii="Arial" w:hAnsi="Arial" w:cs="Arial"/>
          <w:kern w:val="0"/>
          <w:sz w:val="20"/>
          <w:szCs w:val="20"/>
        </w:rPr>
        <w:t xml:space="preserve"> </w:t>
      </w:r>
      <w:r w:rsidR="00542E94" w:rsidRPr="00857775">
        <w:rPr>
          <w:rFonts w:ascii="Arial" w:hAnsi="Arial" w:cs="Arial"/>
          <w:kern w:val="0"/>
          <w:sz w:val="20"/>
          <w:szCs w:val="20"/>
        </w:rPr>
        <w:fldChar w:fldCharType="begin"/>
      </w:r>
      <w:r w:rsidR="002B341C">
        <w:rPr>
          <w:rFonts w:ascii="Arial" w:hAnsi="Arial" w:cs="Arial"/>
          <w:kern w:val="0"/>
          <w:sz w:val="20"/>
          <w:szCs w:val="20"/>
        </w:rPr>
        <w:instrText xml:space="preserve"> ADDIN ZOTERO_ITEM CSL_CITATION {"citationID":"Zg2zOZSW","properties":{"formattedCitation":"(Cao et al., 2025)","plainCitation":"(Cao et al., 2025)","noteIndex":0},"citationItems":[{"id":555,"uris":["http://zotero.org/users/13923419/items/FFTE298C"],"itemData":{"id":555,"type":"article-journal","abstract":"Jatropha curcas seeds are known for their high oil content, and the oil extracted from these seeds has been traditionally utilized in biodiesel production. The presence of toxic compounds, specifically phorbol esters (PEs), in Jatropha curcas seed oil (JCSO) has blocked its use for human consumption. This article presents a thorough literature review that summarizes the latest research on the toxicological effects, including acute toxicity, genotoxicity, carcinogenicity, and chronic toxicity associated with Jatropha curcas phorbol esters (JCPEs). It also provides an overview of current detoxification strategies. A quantitative risk assessment was performed using the Benchmark Dose (BMD) approach, revealing an Acute Reference Dose (ARfD) of 139.64 μg kg 1 body weight for JCPEs (expressed as 12-O-tetradecanoyl-phorbol-13-acetate equivalent). Moreover, a Health-Based Guidance Value (HBGV) for JCPEs in a sub-chronic exposure context was established at 0.0105 mg kg 1 body weight per day. These results have guided the formulation of detoxification goals for JCSO, targeting a detoxification rate of 99.5 %, along with recommendations for future research to investigate the feasibility of using JCSO in food products.","container-title":"Toxicology Reports","DOI":"10.1016/j.toxrep.2024.101870","ISSN":"22147500","journalAbbreviation":"Toxicology Reports","language":"en","page":"101870","source":"DOI.org (Crossref)","title":"Jatropha curcas seed oil for possible human consumption: A toxicological assessment of its phorbol esters","title-short":"Jatropha curcas seed oil for possible human consumption","volume":"14","author":[{"family":"Cao","given":"Xinyuan"},{"family":"Wei","given":"Xiaoyang"},{"family":"Shao","given":"Yuanyuan"},{"family":"Li","given":"Dongbing"},{"family":"Zhu","given":"Jesse"}],"issued":{"date-parts":[["2025",6]]}}}],"schema":"https://github.com/citation-style-language/schema/raw/master/csl-citation.json"} </w:instrText>
      </w:r>
      <w:r w:rsidR="00542E94" w:rsidRPr="00857775">
        <w:rPr>
          <w:rFonts w:ascii="Arial" w:hAnsi="Arial" w:cs="Arial"/>
          <w:kern w:val="0"/>
          <w:sz w:val="20"/>
          <w:szCs w:val="20"/>
        </w:rPr>
        <w:fldChar w:fldCharType="separate"/>
      </w:r>
      <w:r w:rsidR="002B341C" w:rsidRPr="002B341C">
        <w:rPr>
          <w:rFonts w:ascii="Arial" w:hAnsi="Arial" w:cs="Arial"/>
          <w:sz w:val="20"/>
        </w:rPr>
        <w:t>(Cao et al., 2025)</w:t>
      </w:r>
      <w:r w:rsidR="00542E94" w:rsidRPr="00857775">
        <w:rPr>
          <w:rFonts w:ascii="Arial" w:hAnsi="Arial" w:cs="Arial"/>
          <w:kern w:val="0"/>
          <w:sz w:val="20"/>
          <w:szCs w:val="20"/>
        </w:rPr>
        <w:fldChar w:fldCharType="end"/>
      </w:r>
      <w:r w:rsidR="00CB6EC7" w:rsidRPr="00857775">
        <w:rPr>
          <w:rFonts w:ascii="Arial" w:hAnsi="Arial" w:cs="Arial"/>
          <w:kern w:val="0"/>
          <w:sz w:val="20"/>
          <w:szCs w:val="20"/>
        </w:rPr>
        <w:t xml:space="preserve"> </w:t>
      </w:r>
      <w:r w:rsidR="003A14FF" w:rsidRPr="00857775">
        <w:rPr>
          <w:rFonts w:ascii="Arial" w:hAnsi="Arial" w:cs="Arial"/>
          <w:kern w:val="0"/>
          <w:sz w:val="20"/>
          <w:szCs w:val="20"/>
        </w:rPr>
        <w:t xml:space="preserve">In other words, the absence of any observed effect for a hydroethanolic extract of leaves does not allow extrapolation to other preparations, especially seed oil, without further evaluation. With regard to </w:t>
      </w:r>
      <w:bookmarkStart w:id="1" w:name="_Hlk206836501"/>
      <w:r w:rsidR="003A14FF" w:rsidRPr="00857775">
        <w:rPr>
          <w:rFonts w:ascii="Arial" w:hAnsi="Arial" w:cs="Arial"/>
          <w:kern w:val="0"/>
          <w:sz w:val="20"/>
          <w:szCs w:val="20"/>
        </w:rPr>
        <w:t>biochemical parameters, daily administration of the extract revealed an increase in ALAT at doses of 500, 750, and 1000 mg/kg and in urea levels at doses of 750 and 1000 mg/kg body weight.</w:t>
      </w:r>
      <w:bookmarkEnd w:id="1"/>
      <w:r w:rsidR="003A14FF" w:rsidRPr="00857775">
        <w:rPr>
          <w:rFonts w:ascii="Arial" w:hAnsi="Arial" w:cs="Arial"/>
          <w:kern w:val="0"/>
          <w:sz w:val="20"/>
          <w:szCs w:val="20"/>
        </w:rPr>
        <w:t xml:space="preserve"> These combined observations indicate possible liver damage as well as functional impairment of the kidneys or a lack of urea clearance. Furthermore, histological sections of the liver and kidneys revealed no morphological abnormalities.</w:t>
      </w:r>
      <w:r w:rsidR="00E2667E" w:rsidRPr="00857775">
        <w:rPr>
          <w:rFonts w:ascii="Arial" w:hAnsi="Arial" w:cs="Arial"/>
          <w:kern w:val="0"/>
          <w:sz w:val="20"/>
          <w:szCs w:val="20"/>
        </w:rPr>
        <w:t xml:space="preserve"> </w:t>
      </w:r>
      <w:r w:rsidR="003A14FF" w:rsidRPr="00857775">
        <w:rPr>
          <w:rFonts w:ascii="Arial" w:hAnsi="Arial" w:cs="Arial"/>
          <w:sz w:val="20"/>
          <w:szCs w:val="20"/>
        </w:rPr>
        <w:t xml:space="preserve">The absence of histopathological abnormalities observed in the liver and kidney tissues of rats treated with hydroethanolic extract of </w:t>
      </w:r>
      <w:r w:rsidR="003A14FF" w:rsidRPr="00857775">
        <w:rPr>
          <w:rFonts w:ascii="Arial" w:hAnsi="Arial" w:cs="Arial"/>
          <w:i/>
          <w:iCs/>
          <w:sz w:val="20"/>
          <w:szCs w:val="20"/>
        </w:rPr>
        <w:t>Jatropha curcas leaves</w:t>
      </w:r>
      <w:r w:rsidR="003A14FF" w:rsidRPr="00857775">
        <w:rPr>
          <w:rFonts w:ascii="Arial" w:hAnsi="Arial" w:cs="Arial"/>
          <w:sz w:val="20"/>
          <w:szCs w:val="20"/>
        </w:rPr>
        <w:t xml:space="preserve"> contrasts with significant elevations in biochemical parameters such as ALT and urea. This discrepancy can be explained by several mechanisms. On the one hand, enzyme tests are often more sensitive and earlier than </w:t>
      </w:r>
      <w:proofErr w:type="gramStart"/>
      <w:r w:rsidR="003A14FF" w:rsidRPr="00857775">
        <w:rPr>
          <w:rFonts w:ascii="Arial" w:hAnsi="Arial" w:cs="Arial"/>
          <w:sz w:val="20"/>
          <w:szCs w:val="20"/>
        </w:rPr>
        <w:t>histology;</w:t>
      </w:r>
      <w:proofErr w:type="gramEnd"/>
      <w:r w:rsidR="003A14FF" w:rsidRPr="00857775">
        <w:rPr>
          <w:rFonts w:ascii="Arial" w:hAnsi="Arial" w:cs="Arial"/>
          <w:sz w:val="20"/>
          <w:szCs w:val="20"/>
        </w:rPr>
        <w:t xml:space="preserve"> enzyme leakage may reflect functional damage or reversible metabolic disruption in hepatocytes without immediately causing structural lesions visible under an optical microscope. On the other hand, transient biochemical abnormalities may result from enzyme induction, moderate oxidative stress, or an adaptive metabolic effect that does not necessarily progress to necrosis or tissue inflammation detectable by conventional histology.</w:t>
      </w:r>
      <w:r w:rsidR="00E2667E" w:rsidRPr="00857775">
        <w:rPr>
          <w:rFonts w:ascii="Arial" w:hAnsi="Arial" w:cs="Arial"/>
          <w:kern w:val="0"/>
          <w:sz w:val="20"/>
          <w:szCs w:val="20"/>
        </w:rPr>
        <w:t xml:space="preserve"> </w:t>
      </w:r>
      <w:r w:rsidR="00751626" w:rsidRPr="00857775">
        <w:rPr>
          <w:rFonts w:ascii="Arial" w:hAnsi="Arial" w:cs="Arial"/>
          <w:kern w:val="0"/>
          <w:sz w:val="20"/>
          <w:szCs w:val="20"/>
        </w:rPr>
        <w:t>These observations are corroborated by previous studies, such as that of I</w:t>
      </w:r>
      <w:r w:rsidR="009B27E5" w:rsidRPr="00857775">
        <w:rPr>
          <w:rFonts w:ascii="Arial" w:hAnsi="Arial" w:cs="Arial"/>
          <w:kern w:val="0"/>
          <w:sz w:val="20"/>
          <w:szCs w:val="20"/>
        </w:rPr>
        <w:fldChar w:fldCharType="begin"/>
      </w:r>
      <w:r w:rsidR="00C507A7" w:rsidRPr="00857775">
        <w:rPr>
          <w:rFonts w:ascii="Arial" w:hAnsi="Arial" w:cs="Arial"/>
          <w:kern w:val="0"/>
          <w:sz w:val="20"/>
          <w:szCs w:val="20"/>
        </w:rPr>
        <w:instrText xml:space="preserve"> ADDIN ZOTERO_ITEM CSL_CITATION {"citationID":"FV8cMu8R","properties":{"formattedCitation":"(Igbinosa et al., 2013)","plainCitation":"(Igbinosa et al., 2013)","dontUpdate":true,"noteIndex":0},"citationItems":[{"id":557,"uris":["http://zotero.org/users/13923419/items/JIKTIJZS"],"itemData":{"id":557,"type":"article-journal","abstract":"This study aims to evaluate potential toxic effect of\n              Jatropha curcas\n              leaves methanol extract on laboratory rats as well as determine its LD\n              50\n              . A total of 80 male Wistar rats were used as the experimental animals, 40 for LD\n              50\n              determination and the other 40 for toxicity study. Based on the pretest that was done in order to establish a range of toxicity, 4 dosages (86.00, 58.00, 46.00, and 34.0 kg/body weight) were chosen. The rats were randomly assigned into four groups with 10 rats in each group. Rats in groups 1, 2, 3, and 4 were given 0 mg/kg, 500 mg/kg, 1000 mg/kg, and 2000 mg/kg body weight of\n              Jatropha curcas\n              extract, respectively, by oral intubation for 21 days. Thereafter, clinical signs, change in body weight, toxicity symptoms, and biochemical parameters were obtained. The LD\n              50\n              at 95% confidence limits for rats was 46.0 mg/kg body weight (44.95–52.69 mg/kg body mass). There was no clinical and biochemical signs of toxicity when the extract was administered at 500, 1000, and 2000 mg/kg body weight, respectively (\n              P\n              &gt; 0.05). Results obtained from this study suggest that liver, kidney, and haematological system of rats tolerated methanolic leave extract of\n              Jatropha curcas\n              at a certain concentration.","container-title":"The Scientific World Journal","DOI":"10.1155/2013/798096","ISSN":"2356-6140, 1537-744X","issue":"1","journalAbbreviation":"The Scientific World Journal","language":"en","page":"798096","source":"DOI.org (Crossref)","title":"Effects of Biochemical Alteration in Animal Model after Short</w:instrText>
      </w:r>
      <w:r w:rsidR="00C507A7" w:rsidRPr="00857775">
        <w:rPr>
          <w:rFonts w:ascii="Cambria Math" w:hAnsi="Cambria Math" w:cs="Cambria Math"/>
          <w:kern w:val="0"/>
          <w:sz w:val="20"/>
          <w:szCs w:val="20"/>
        </w:rPr>
        <w:instrText>‐</w:instrText>
      </w:r>
      <w:r w:rsidR="00C507A7" w:rsidRPr="00857775">
        <w:rPr>
          <w:rFonts w:ascii="Arial" w:hAnsi="Arial" w:cs="Arial"/>
          <w:kern w:val="0"/>
          <w:sz w:val="20"/>
          <w:szCs w:val="20"/>
        </w:rPr>
        <w:instrText xml:space="preserve">Term Exposure of &lt;i&gt;Jatropha curcas&lt;/i&gt; (Linn) Leaf Extract","volume":"2013","author":[{"family":"Igbinosa","given":"Osamuyimen O."},{"family":"Oviasogie","given":"Efosa F."},{"family":"Igbinosa","given":"Etinosa O."},{"family":"Igene","given":"Otibhor"},{"family":"Igbinosa","given":"Isoken H."},{"family":"Idemudia","given":"Omoruyi G."}],"editor":[{"family":"Chang","given":"H.-W."},{"family":"Guleria","given":"S."},{"family":"Yasmin","given":"S."}],"issued":{"date-parts":[["2013",1]]}}}],"schema":"https://github.com/citation-style-language/schema/raw/master/csl-citation.json"} </w:instrText>
      </w:r>
      <w:r w:rsidR="009B27E5" w:rsidRPr="00857775">
        <w:rPr>
          <w:rFonts w:ascii="Arial" w:hAnsi="Arial" w:cs="Arial"/>
          <w:kern w:val="0"/>
          <w:sz w:val="20"/>
          <w:szCs w:val="20"/>
        </w:rPr>
        <w:fldChar w:fldCharType="separate"/>
      </w:r>
      <w:r w:rsidR="009B27E5" w:rsidRPr="00857775">
        <w:rPr>
          <w:rFonts w:ascii="Arial" w:hAnsi="Arial" w:cs="Arial"/>
          <w:sz w:val="20"/>
          <w:szCs w:val="20"/>
        </w:rPr>
        <w:t>gbinosa et al. (2013)</w:t>
      </w:r>
      <w:r w:rsidR="009B27E5" w:rsidRPr="00857775">
        <w:rPr>
          <w:rFonts w:ascii="Arial" w:hAnsi="Arial" w:cs="Arial"/>
          <w:kern w:val="0"/>
          <w:sz w:val="20"/>
          <w:szCs w:val="20"/>
        </w:rPr>
        <w:fldChar w:fldCharType="end"/>
      </w:r>
      <w:r w:rsidR="009B27E5" w:rsidRPr="00857775">
        <w:rPr>
          <w:rFonts w:ascii="Arial" w:hAnsi="Arial" w:cs="Arial"/>
          <w:kern w:val="0"/>
          <w:sz w:val="20"/>
          <w:szCs w:val="20"/>
        </w:rPr>
        <w:t xml:space="preserve">, </w:t>
      </w:r>
      <w:r w:rsidR="00751626" w:rsidRPr="00857775">
        <w:rPr>
          <w:rFonts w:ascii="Arial" w:hAnsi="Arial" w:cs="Arial"/>
          <w:kern w:val="0"/>
          <w:sz w:val="20"/>
          <w:szCs w:val="20"/>
        </w:rPr>
        <w:t>who reported biochemical changes without significant histopathological alterations in rats treated with Jatropha curcas leaf extract. Similarly, a study conducted by</w:t>
      </w:r>
      <w:r w:rsidR="009B27E5" w:rsidRPr="00857775">
        <w:rPr>
          <w:rFonts w:ascii="Arial" w:hAnsi="Arial" w:cs="Arial"/>
          <w:kern w:val="0"/>
          <w:sz w:val="20"/>
          <w:szCs w:val="20"/>
        </w:rPr>
        <w:t xml:space="preserve"> </w:t>
      </w:r>
      <w:r w:rsidR="00810CAA" w:rsidRPr="00857775">
        <w:rPr>
          <w:rFonts w:ascii="Arial" w:hAnsi="Arial" w:cs="Arial"/>
          <w:kern w:val="0"/>
          <w:sz w:val="20"/>
          <w:szCs w:val="20"/>
        </w:rPr>
        <w:fldChar w:fldCharType="begin"/>
      </w:r>
      <w:r w:rsidR="002B341C">
        <w:rPr>
          <w:rFonts w:ascii="Arial" w:hAnsi="Arial" w:cs="Arial"/>
          <w:kern w:val="0"/>
          <w:sz w:val="20"/>
          <w:szCs w:val="20"/>
        </w:rPr>
        <w:instrText xml:space="preserve"> ADDIN ZOTERO_ITEM CSL_CITATION {"citationID":"8q0acNV0","properties":{"formattedCitation":"(Oboma et al., 2024)","plainCitation":"(Oboma et al., 2024)","noteIndex":0},"citationItems":[{"id":479,"uris":["http://zotero.org/users/13923419/items/RW3TQBUF"],"itemData":{"id":479,"type":"article-journal","abstract":"The use of medicinal plants in the management or prevention of diseases is one of the oldest human medicinal practices worldwide. Justicia carnea and Jatropha carcus are widely reported for their use in the management of blood disorders, hypertension, and diabetes. Objective: The study aimed at evaluating the effects of hydroethanolic leaf extracts of Justicia carnea and Jatropha carcus on the biochemical, hematological, and histological parameters of apparently healthy rats. Methodology: Thirty adult rats (n = 30) with an average weight of 153 g were randomly divided into six groups (A-F). Group A: negative control; Group B: positive control; Group C: Jatropha curcas (low dose); Group D: Jatropha curcas (high dose); Group E: Justicia carnea (low dose); and Group F: Justicia carnea (high dose). Standard and scientifically approved methods were used for sacrifice and laboratory diagnosis. Results: The study shows a significant increase in body weight across groups administered with the leaf extracts. Elevated levels of serum creatinine were recorded in rats administered with both extracts, indicating nephrotoxicity. The study also observed an increase in alanine aminotransferase, aspartate aminotransferase, and alkaline phosphatase across groups, indicating hepatotoxicity. Both extracts caused an increase in white blood cell count and hemoglobin concentration, a significant reduction in bleeding time, increased prothrombin time, and partial thromboplastin time at high dosages. Total iron binding capacity and serum ferritin values were increased in high doses and were statistically significant at P&lt;0.05. Histomorphology of both extracts shows hepatorenal toxicity at high concentrations and none in the lungs or heart. Oral administration of Justicia carnea and Jatropha carcus extracts at high concentrations is not safe for the liver and kidneys. Conclusion: Biochemical parameters should be monitored regularly in humans exposed to both plants. Therefore, this study scientifically confirms and supports the traditional use of the leaves of Jatropha carcus and Justicia carnea to enhance hematological parameters.","container-title":"International Journal of Clinical and Experimental Pathology","DOI":"10.62347/SYZP2468","ISSN":"19362625","issue":"10","journalAbbreviation":"Int J Clin Exp Pathol","language":"en","page":"317-328","source":"DOI.org (Crossref)","title":"Therapeutic and toxicological assessment of hydroethanolic leaf extracts of Jatropha carcus and Justicia carnea in apparently healthy Sprague Dawley rats","volume":"17","author":[{"family":"Oboma","given":"Yibala Ibor"},{"family":"Beredugo","given":"S."},{"family":"Nyenke","given":"C"},{"family":"Sunday Bot","given":"Y."},{"family":"dehen","given":"C.I."},{"family":"Beredugo","given":"L.I."}],"issued":{"date-parts":[["2024"]]}}}],"schema":"https://github.com/citation-style-language/schema/raw/master/csl-citation.json"} </w:instrText>
      </w:r>
      <w:r w:rsidR="00810CAA" w:rsidRPr="00857775">
        <w:rPr>
          <w:rFonts w:ascii="Arial" w:hAnsi="Arial" w:cs="Arial"/>
          <w:kern w:val="0"/>
          <w:sz w:val="20"/>
          <w:szCs w:val="20"/>
        </w:rPr>
        <w:fldChar w:fldCharType="separate"/>
      </w:r>
      <w:r w:rsidR="002B341C" w:rsidRPr="002B341C">
        <w:rPr>
          <w:rFonts w:ascii="Arial" w:hAnsi="Arial" w:cs="Arial"/>
          <w:sz w:val="20"/>
        </w:rPr>
        <w:t>(Oboma et al., 2024)</w:t>
      </w:r>
      <w:r w:rsidR="00810CAA" w:rsidRPr="00857775">
        <w:rPr>
          <w:rFonts w:ascii="Arial" w:hAnsi="Arial" w:cs="Arial"/>
          <w:kern w:val="0"/>
          <w:sz w:val="20"/>
          <w:szCs w:val="20"/>
        </w:rPr>
        <w:fldChar w:fldCharType="end"/>
      </w:r>
      <w:r w:rsidR="00810CAA" w:rsidRPr="00857775">
        <w:rPr>
          <w:rFonts w:ascii="Arial" w:hAnsi="Arial" w:cs="Arial"/>
          <w:kern w:val="0"/>
          <w:sz w:val="20"/>
          <w:szCs w:val="20"/>
        </w:rPr>
        <w:t xml:space="preserve"> </w:t>
      </w:r>
      <w:r w:rsidR="00751626" w:rsidRPr="00857775">
        <w:rPr>
          <w:rFonts w:ascii="Arial" w:hAnsi="Arial" w:cs="Arial"/>
          <w:kern w:val="0"/>
          <w:sz w:val="20"/>
          <w:szCs w:val="20"/>
        </w:rPr>
        <w:t>observed elevations in liver enzymes (ALT, AST) and creatinine in rats treated with hydroethanolic extract of Jatropha curcas leaves, without significant histopathological abnormalities.</w:t>
      </w:r>
    </w:p>
    <w:p w14:paraId="1FA3615B" w14:textId="77777777" w:rsidR="00DE4551" w:rsidRPr="00857775" w:rsidRDefault="00DE4551" w:rsidP="006C4657">
      <w:pPr>
        <w:jc w:val="both"/>
        <w:rPr>
          <w:rFonts w:ascii="Arial" w:eastAsia="Calibri" w:hAnsi="Arial" w:cs="Arial"/>
          <w:sz w:val="20"/>
          <w:szCs w:val="20"/>
        </w:rPr>
      </w:pPr>
    </w:p>
    <w:p w14:paraId="59DA9388" w14:textId="77777777" w:rsidR="006C4657" w:rsidRPr="00857775" w:rsidRDefault="00DE4551" w:rsidP="006C4657">
      <w:pPr>
        <w:jc w:val="both"/>
        <w:rPr>
          <w:rFonts w:ascii="Arial" w:eastAsia="Calibri" w:hAnsi="Arial" w:cs="Arial"/>
          <w:b/>
          <w:bCs/>
          <w:sz w:val="22"/>
          <w:szCs w:val="22"/>
        </w:rPr>
      </w:pPr>
      <w:r w:rsidRPr="00857775">
        <w:rPr>
          <w:rFonts w:ascii="Arial" w:eastAsia="Calibri" w:hAnsi="Arial" w:cs="Arial"/>
          <w:b/>
          <w:bCs/>
          <w:sz w:val="22"/>
          <w:szCs w:val="22"/>
        </w:rPr>
        <w:t>5- Conclusion</w:t>
      </w:r>
    </w:p>
    <w:p w14:paraId="315AC071" w14:textId="77777777" w:rsidR="00DE4551" w:rsidRPr="00857775" w:rsidRDefault="00DE4551" w:rsidP="006C4657">
      <w:pPr>
        <w:jc w:val="both"/>
        <w:rPr>
          <w:rFonts w:ascii="Arial" w:eastAsia="Calibri" w:hAnsi="Arial" w:cs="Arial"/>
          <w:sz w:val="20"/>
          <w:szCs w:val="20"/>
        </w:rPr>
      </w:pPr>
      <w:r w:rsidRPr="00857775">
        <w:rPr>
          <w:rFonts w:ascii="Arial" w:eastAsia="Calibri" w:hAnsi="Arial" w:cs="Arial"/>
          <w:sz w:val="20"/>
          <w:szCs w:val="20"/>
        </w:rPr>
        <w:t xml:space="preserve">The evaluation of the acute and subacute toxicity of the hydroethanolic extract of </w:t>
      </w:r>
      <w:r w:rsidRPr="00857775">
        <w:rPr>
          <w:rFonts w:ascii="Arial" w:eastAsia="Calibri" w:hAnsi="Arial" w:cs="Arial"/>
          <w:i/>
          <w:iCs/>
          <w:sz w:val="20"/>
          <w:szCs w:val="20"/>
        </w:rPr>
        <w:t>Jatropha curcas</w:t>
      </w:r>
      <w:r w:rsidRPr="00857775">
        <w:rPr>
          <w:rFonts w:ascii="Arial" w:eastAsia="Calibri" w:hAnsi="Arial" w:cs="Arial"/>
          <w:sz w:val="20"/>
          <w:szCs w:val="20"/>
        </w:rPr>
        <w:t xml:space="preserve"> leaves revealed a favorable safety profile. No mortality or clinical signs of toxicity were observed, and hematological parameters remained comparable to those of the control group. Biochemical variations, notably increased AL</w:t>
      </w:r>
      <w:r w:rsidR="00554CE8" w:rsidRPr="00857775">
        <w:rPr>
          <w:rFonts w:ascii="Arial" w:eastAsia="Calibri" w:hAnsi="Arial" w:cs="Arial"/>
          <w:sz w:val="20"/>
          <w:szCs w:val="20"/>
        </w:rPr>
        <w:t>A</w:t>
      </w:r>
      <w:r w:rsidRPr="00857775">
        <w:rPr>
          <w:rFonts w:ascii="Arial" w:eastAsia="Calibri" w:hAnsi="Arial" w:cs="Arial"/>
          <w:sz w:val="20"/>
          <w:szCs w:val="20"/>
        </w:rPr>
        <w:t xml:space="preserve">T and urea levels, were recorded at higher subacute doses, but without histopathological correlates. Therefore, the dose of 500 mg/kg bw can be considered as the </w:t>
      </w:r>
      <w:r w:rsidRPr="00857775">
        <w:rPr>
          <w:rFonts w:ascii="Arial" w:eastAsia="Calibri" w:hAnsi="Arial" w:cs="Arial"/>
          <w:i/>
          <w:iCs/>
          <w:sz w:val="20"/>
          <w:szCs w:val="20"/>
        </w:rPr>
        <w:t>No Observed Adverse Effect Level</w:t>
      </w:r>
      <w:r w:rsidRPr="00857775">
        <w:rPr>
          <w:rFonts w:ascii="Arial" w:eastAsia="Calibri" w:hAnsi="Arial" w:cs="Arial"/>
          <w:sz w:val="20"/>
          <w:szCs w:val="20"/>
        </w:rPr>
        <w:t xml:space="preserve"> for this extract, indicating a relative safety margin. These findings support the relative safety of the leaves, in contrast to </w:t>
      </w:r>
      <w:r w:rsidRPr="00857775">
        <w:rPr>
          <w:rFonts w:ascii="Arial" w:eastAsia="Calibri" w:hAnsi="Arial" w:cs="Arial"/>
          <w:i/>
          <w:iCs/>
          <w:sz w:val="20"/>
          <w:szCs w:val="20"/>
        </w:rPr>
        <w:t>Jatropha curcas</w:t>
      </w:r>
      <w:r w:rsidRPr="00857775">
        <w:rPr>
          <w:rFonts w:ascii="Arial" w:eastAsia="Calibri" w:hAnsi="Arial" w:cs="Arial"/>
          <w:sz w:val="20"/>
          <w:szCs w:val="20"/>
        </w:rPr>
        <w:t xml:space="preserve"> seeds and oils, which are well known for their toxicity, and warrant further chronic studies to better establish safety thresholds.</w:t>
      </w:r>
    </w:p>
    <w:p w14:paraId="01958872" w14:textId="77777777" w:rsidR="0077707A" w:rsidRPr="00B05055" w:rsidRDefault="0077707A" w:rsidP="006C4657">
      <w:pPr>
        <w:jc w:val="both"/>
        <w:rPr>
          <w:rFonts w:ascii="Arial" w:eastAsia="Calibri" w:hAnsi="Arial" w:cs="Arial"/>
        </w:rPr>
      </w:pPr>
    </w:p>
    <w:p w14:paraId="60A02546" w14:textId="77777777" w:rsidR="0077707A" w:rsidRPr="00857775" w:rsidRDefault="0077707A" w:rsidP="006C4657">
      <w:pPr>
        <w:jc w:val="both"/>
        <w:rPr>
          <w:rFonts w:ascii="Arial" w:eastAsia="Calibri" w:hAnsi="Arial" w:cs="Arial"/>
          <w:b/>
          <w:bCs/>
          <w:sz w:val="22"/>
          <w:szCs w:val="22"/>
        </w:rPr>
      </w:pPr>
      <w:r w:rsidRPr="00857775">
        <w:rPr>
          <w:rFonts w:ascii="Arial" w:eastAsia="Calibri" w:hAnsi="Arial" w:cs="Arial"/>
          <w:b/>
          <w:bCs/>
          <w:sz w:val="22"/>
          <w:szCs w:val="22"/>
        </w:rPr>
        <w:t>Références</w:t>
      </w:r>
    </w:p>
    <w:p w14:paraId="7AC2E08B" w14:textId="77777777" w:rsidR="002B341C" w:rsidRPr="002B341C" w:rsidRDefault="0077707A" w:rsidP="002B341C">
      <w:pPr>
        <w:pStyle w:val="Bibliography"/>
      </w:pPr>
      <w:r w:rsidRPr="00B05055">
        <w:rPr>
          <w:rFonts w:ascii="Arial" w:eastAsia="Calibri" w:hAnsi="Arial" w:cs="Arial"/>
        </w:rPr>
        <w:fldChar w:fldCharType="begin"/>
      </w:r>
      <w:r w:rsidR="002B341C">
        <w:rPr>
          <w:rFonts w:ascii="Arial" w:eastAsia="Calibri" w:hAnsi="Arial" w:cs="Arial"/>
        </w:rPr>
        <w:instrText xml:space="preserve"> ADDIN ZOTERO_BIBL {"uncited":[],"omitted":[],"custom":[]} CSL_BIBLIOGRAPHY </w:instrText>
      </w:r>
      <w:r w:rsidRPr="00B05055">
        <w:rPr>
          <w:rFonts w:ascii="Arial" w:eastAsia="Calibri" w:hAnsi="Arial" w:cs="Arial"/>
        </w:rPr>
        <w:fldChar w:fldCharType="separate"/>
      </w:r>
      <w:r w:rsidR="002B341C" w:rsidRPr="002B341C">
        <w:t xml:space="preserve">Abdelgadir, H. A., &amp; Van Staden, J. (2013a). Ethnobotany, ethnopharmacology and toxicity of Jatropha curcas L. (Euphorbiaceae) : A review. </w:t>
      </w:r>
      <w:r w:rsidR="002B341C" w:rsidRPr="002B341C">
        <w:rPr>
          <w:i/>
          <w:iCs/>
        </w:rPr>
        <w:t>South African Journal of Botany</w:t>
      </w:r>
      <w:r w:rsidR="002B341C" w:rsidRPr="002B341C">
        <w:t xml:space="preserve">, </w:t>
      </w:r>
      <w:r w:rsidR="002B341C" w:rsidRPr="002B341C">
        <w:rPr>
          <w:i/>
          <w:iCs/>
        </w:rPr>
        <w:t>88</w:t>
      </w:r>
      <w:r w:rsidR="002B341C" w:rsidRPr="002B341C">
        <w:t>, 204</w:t>
      </w:r>
      <w:r w:rsidR="002B341C" w:rsidRPr="002B341C">
        <w:rPr>
          <w:rFonts w:ascii="Cambria Math" w:hAnsi="Cambria Math" w:cs="Cambria Math"/>
        </w:rPr>
        <w:t>‑</w:t>
      </w:r>
      <w:r w:rsidR="002B341C" w:rsidRPr="002B341C">
        <w:t>218. https://doi.org/10.1016/j.sajb.2013.07.021</w:t>
      </w:r>
    </w:p>
    <w:p w14:paraId="212D324E" w14:textId="77777777" w:rsidR="002B341C" w:rsidRPr="002B341C" w:rsidRDefault="002B341C" w:rsidP="002B341C">
      <w:pPr>
        <w:pStyle w:val="Bibliography"/>
      </w:pPr>
      <w:r w:rsidRPr="002B341C">
        <w:lastRenderedPageBreak/>
        <w:t xml:space="preserve">Abdelgadir, H. A., &amp; Van Staden, J. (2013b). Ethnobotany, ethnopharmacology and toxicity of Jatropha curcas L. (Euphorbiaceae) : A review. </w:t>
      </w:r>
      <w:r w:rsidRPr="002B341C">
        <w:rPr>
          <w:i/>
          <w:iCs/>
        </w:rPr>
        <w:t>South African Journal of Botany</w:t>
      </w:r>
      <w:r w:rsidRPr="002B341C">
        <w:t xml:space="preserve">, </w:t>
      </w:r>
      <w:r w:rsidRPr="002B341C">
        <w:rPr>
          <w:i/>
          <w:iCs/>
        </w:rPr>
        <w:t>88</w:t>
      </w:r>
      <w:r w:rsidRPr="002B341C">
        <w:t>, 204</w:t>
      </w:r>
      <w:r w:rsidRPr="002B341C">
        <w:rPr>
          <w:rFonts w:ascii="Cambria Math" w:hAnsi="Cambria Math" w:cs="Cambria Math"/>
        </w:rPr>
        <w:t>‑</w:t>
      </w:r>
      <w:r w:rsidRPr="002B341C">
        <w:t>218. https://doi.org/10.1016/j.sajb.2013.07.021</w:t>
      </w:r>
    </w:p>
    <w:p w14:paraId="5DEF8CE9" w14:textId="77777777" w:rsidR="002B341C" w:rsidRPr="002B341C" w:rsidRDefault="002B341C" w:rsidP="002B341C">
      <w:pPr>
        <w:pStyle w:val="Bibliography"/>
      </w:pPr>
      <w:r w:rsidRPr="002B341C">
        <w:t xml:space="preserve">Agbor, G. A., Kuiaté, J.-R., Sangiovanni, E., &amp; Ojo, O. O. (2023). Editorial : The role of medicinal plants and natural products in modulating oxidative stress and inflammatory related disorders, Volume II. </w:t>
      </w:r>
      <w:r w:rsidRPr="002B341C">
        <w:rPr>
          <w:i/>
          <w:iCs/>
        </w:rPr>
        <w:t>Frontiers in Pharmacology</w:t>
      </w:r>
      <w:r w:rsidRPr="002B341C">
        <w:t xml:space="preserve">, </w:t>
      </w:r>
      <w:r w:rsidRPr="002B341C">
        <w:rPr>
          <w:i/>
          <w:iCs/>
        </w:rPr>
        <w:t>14</w:t>
      </w:r>
      <w:r w:rsidRPr="002B341C">
        <w:t>, 1310291. https://doi.org/10.3389/fphar.2023.1310291</w:t>
      </w:r>
    </w:p>
    <w:p w14:paraId="49FDB7C9" w14:textId="77777777" w:rsidR="002B341C" w:rsidRPr="002B341C" w:rsidRDefault="002B341C" w:rsidP="002B341C">
      <w:pPr>
        <w:pStyle w:val="Bibliography"/>
      </w:pPr>
      <w:r w:rsidRPr="002B341C">
        <w:t xml:space="preserve">Ahmad, K. B., Adam, A. B., &amp; Bello, N. M. (2023). PHYTOCHEMICAL CHARACTERIZATION AND ANTIMICROBIAL ACTIVITY OF CHLOROFORM FRACTION OF JATROPHA CURCAS LEAF EXTRACTS. </w:t>
      </w:r>
      <w:r w:rsidRPr="002B341C">
        <w:rPr>
          <w:i/>
          <w:iCs/>
        </w:rPr>
        <w:t>INTERNATIONAL SYMPOSIUM ON CURRENT DEVELOPMENTS IN SCIENCE, TECHNOLOGY AND SOCIAL SCIENCES</w:t>
      </w:r>
      <w:r w:rsidRPr="002B341C">
        <w:t>.</w:t>
      </w:r>
    </w:p>
    <w:p w14:paraId="25807E80" w14:textId="77777777" w:rsidR="002B341C" w:rsidRPr="002B341C" w:rsidRDefault="002B341C" w:rsidP="002B341C">
      <w:pPr>
        <w:pStyle w:val="Bibliography"/>
      </w:pPr>
      <w:r w:rsidRPr="002B341C">
        <w:t xml:space="preserve">Assogbadjo, A., Amadji, G., Kakaï, R., Mama, A., Sinsin, B., &amp; Van Damme, P. (2010). Evaluation écologique et ethnobotanique de Jatropha curcas L. au Bénin. </w:t>
      </w:r>
      <w:r w:rsidRPr="002B341C">
        <w:rPr>
          <w:i/>
          <w:iCs/>
        </w:rPr>
        <w:t>International Journal of Biological and Chemical Sciences</w:t>
      </w:r>
      <w:r w:rsidRPr="002B341C">
        <w:t xml:space="preserve">, </w:t>
      </w:r>
      <w:r w:rsidRPr="002B341C">
        <w:rPr>
          <w:i/>
          <w:iCs/>
        </w:rPr>
        <w:t>3</w:t>
      </w:r>
      <w:r w:rsidRPr="002B341C">
        <w:t>(5). https://doi.org/10.4314/ijbcs.v3i5.51085</w:t>
      </w:r>
    </w:p>
    <w:p w14:paraId="4D81BE3B" w14:textId="77777777" w:rsidR="002B341C" w:rsidRPr="002B341C" w:rsidRDefault="002B341C" w:rsidP="002B341C">
      <w:pPr>
        <w:pStyle w:val="Bibliography"/>
      </w:pPr>
      <w:r w:rsidRPr="002B341C">
        <w:t xml:space="preserve">Bele, S. S., Jadhav, N. D., Rajurkar, S. R., Chigure, G. M., Ghorpade, P. B., &amp; Rathod, P. R. (2023, septembre 21). Sub acute oral toxicity of jatropha curcas linn. Leaf extract coated  silver nanoparticals in wistar rats. </w:t>
      </w:r>
      <w:r w:rsidRPr="002B341C">
        <w:rPr>
          <w:i/>
          <w:iCs/>
        </w:rPr>
        <w:t>Haryana Vet. (March, 2024) 63(SI), 76-79</w:t>
      </w:r>
      <w:r w:rsidRPr="002B341C">
        <w:t>. https://www.luvas.edu.in/haryana-veterinarian/download/march-2024/18-RA.pdf?utm</w:t>
      </w:r>
    </w:p>
    <w:p w14:paraId="056BAD16" w14:textId="77777777" w:rsidR="002B341C" w:rsidRPr="002B341C" w:rsidRDefault="002B341C" w:rsidP="002B341C">
      <w:pPr>
        <w:pStyle w:val="Bibliography"/>
      </w:pPr>
      <w:r w:rsidRPr="002B341C">
        <w:t xml:space="preserve">Betti, A. H., Stein, A. C., Dallegrave, E., Wouters, A. T. B., Watanabe, T. T. N., Driemeier, D., Buffon, A., &amp; Rates, S. M. K. (2012). Acute and repeated-doses (28 days) toxicity study of Hypericum polyanthemum Klotzsch ex Reichardt (Guttiferare) in mice. </w:t>
      </w:r>
      <w:r w:rsidRPr="002B341C">
        <w:rPr>
          <w:i/>
          <w:iCs/>
        </w:rPr>
        <w:t>Food and Chemical Toxicology</w:t>
      </w:r>
      <w:r w:rsidRPr="002B341C">
        <w:t xml:space="preserve">, </w:t>
      </w:r>
      <w:r w:rsidRPr="002B341C">
        <w:rPr>
          <w:i/>
          <w:iCs/>
        </w:rPr>
        <w:t>50</w:t>
      </w:r>
      <w:r w:rsidRPr="002B341C">
        <w:t>(7), 2349</w:t>
      </w:r>
      <w:r w:rsidRPr="002B341C">
        <w:rPr>
          <w:rFonts w:ascii="Cambria Math" w:hAnsi="Cambria Math" w:cs="Cambria Math"/>
        </w:rPr>
        <w:t>‑</w:t>
      </w:r>
      <w:r w:rsidRPr="002B341C">
        <w:t>2355. https://doi.org/10.1016/j.fct.2012.04.012</w:t>
      </w:r>
    </w:p>
    <w:p w14:paraId="0EDBDBB1" w14:textId="77777777" w:rsidR="002B341C" w:rsidRPr="002B341C" w:rsidRDefault="002B341C" w:rsidP="002B341C">
      <w:pPr>
        <w:pStyle w:val="Bibliography"/>
      </w:pPr>
      <w:r w:rsidRPr="002B341C">
        <w:lastRenderedPageBreak/>
        <w:t xml:space="preserve">Bueso, F., Sosa, I., Chun, R., &amp; Pineda, R. (2016). Phorbol esters seed content and distribution in Latin American provenances of Jatropha curcas L. : Potential for biopesticide, food and feed. </w:t>
      </w:r>
      <w:r w:rsidRPr="002B341C">
        <w:rPr>
          <w:i/>
          <w:iCs/>
        </w:rPr>
        <w:t>SpringerPlus</w:t>
      </w:r>
      <w:r w:rsidRPr="002B341C">
        <w:t xml:space="preserve">, </w:t>
      </w:r>
      <w:r w:rsidRPr="002B341C">
        <w:rPr>
          <w:i/>
          <w:iCs/>
        </w:rPr>
        <w:t>5</w:t>
      </w:r>
      <w:r w:rsidRPr="002B341C">
        <w:t>(1), 445. https://doi.org/10.1186/s40064-016-2103-y</w:t>
      </w:r>
    </w:p>
    <w:p w14:paraId="2387DFB5" w14:textId="77777777" w:rsidR="002B341C" w:rsidRPr="002B341C" w:rsidRDefault="002B341C" w:rsidP="002B341C">
      <w:pPr>
        <w:pStyle w:val="Bibliography"/>
      </w:pPr>
      <w:r w:rsidRPr="002B341C">
        <w:t xml:space="preserve">Cao, X., Wei, X., Shao, Y., Li, D., &amp; Zhu, J. (2025). Jatropha curcas seed oil for possible human consumption : A toxicological assessment of its phorbol esters. </w:t>
      </w:r>
      <w:r w:rsidRPr="002B341C">
        <w:rPr>
          <w:i/>
          <w:iCs/>
        </w:rPr>
        <w:t>Toxicology Reports</w:t>
      </w:r>
      <w:r w:rsidRPr="002B341C">
        <w:t xml:space="preserve">, </w:t>
      </w:r>
      <w:r w:rsidRPr="002B341C">
        <w:rPr>
          <w:i/>
          <w:iCs/>
        </w:rPr>
        <w:t>14</w:t>
      </w:r>
      <w:r w:rsidRPr="002B341C">
        <w:t>, 101870. https://doi.org/10.1016/j.toxrep.2024.101870</w:t>
      </w:r>
    </w:p>
    <w:p w14:paraId="2E9DE464" w14:textId="77777777" w:rsidR="002B341C" w:rsidRPr="002B341C" w:rsidRDefault="002B341C" w:rsidP="002B341C">
      <w:pPr>
        <w:pStyle w:val="Bibliography"/>
      </w:pPr>
      <w:r w:rsidRPr="002B341C">
        <w:t xml:space="preserve">DIABY,  v; (2017). </w:t>
      </w:r>
      <w:r w:rsidRPr="002B341C">
        <w:rPr>
          <w:i/>
          <w:iCs/>
        </w:rPr>
        <w:t>Etudes biochimique, hématologique et histologique du sulfate de cadmium chez les rats WISTAR. Environnement et Société. UNIVERSITE FELIX HOUPHOUET BOIGNY,</w:t>
      </w:r>
      <w:r w:rsidRPr="002B341C">
        <w:t xml:space="preserve">. Français. </w:t>
      </w:r>
      <w:r w:rsidRPr="002B341C">
        <w:rPr>
          <w:rFonts w:ascii="Cambria Math" w:hAnsi="Cambria Math" w:cs="Cambria Math"/>
        </w:rPr>
        <w:t>⟨</w:t>
      </w:r>
      <w:r w:rsidRPr="002B341C">
        <w:t xml:space="preserve">NNT : </w:t>
      </w:r>
      <w:r w:rsidRPr="002B341C">
        <w:rPr>
          <w:rFonts w:ascii="Cambria Math" w:hAnsi="Cambria Math" w:cs="Cambria Math"/>
        </w:rPr>
        <w:t>⟩</w:t>
      </w:r>
      <w:r w:rsidRPr="002B341C">
        <w:t xml:space="preserve">. </w:t>
      </w:r>
      <w:r w:rsidRPr="002B341C">
        <w:rPr>
          <w:rFonts w:ascii="Cambria Math" w:hAnsi="Cambria Math" w:cs="Cambria Math"/>
        </w:rPr>
        <w:t>⟨</w:t>
      </w:r>
      <w:r w:rsidRPr="002B341C">
        <w:t>tel-02437288</w:t>
      </w:r>
      <w:r w:rsidRPr="002B341C">
        <w:rPr>
          <w:rFonts w:ascii="Cambria Math" w:hAnsi="Cambria Math" w:cs="Cambria Math"/>
        </w:rPr>
        <w:t>⟩</w:t>
      </w:r>
      <w:r w:rsidRPr="002B341C">
        <w:t>. https://hal.science/tel-02437288/file/THESE%20DIABY%20OK%20%281%29.pdf</w:t>
      </w:r>
    </w:p>
    <w:p w14:paraId="7A4FAEA9" w14:textId="77777777" w:rsidR="002B341C" w:rsidRPr="002B341C" w:rsidRDefault="002B341C" w:rsidP="002B341C">
      <w:pPr>
        <w:pStyle w:val="Bibliography"/>
      </w:pPr>
      <w:r w:rsidRPr="002B341C">
        <w:t xml:space="preserve">Etame, G. L., Jacques, Y. G., Cécile, O. E., Vivien, M. B., Guy, N., Emmanuel, M., &amp; Didier, D. S. . (2017). </w:t>
      </w:r>
      <w:r w:rsidRPr="002B341C">
        <w:rPr>
          <w:i/>
          <w:iCs/>
        </w:rPr>
        <w:t>Étude de la toxicité aigue et subaigüe de l’extrait au vin des graines de Carica papaya Linn.</w:t>
      </w:r>
    </w:p>
    <w:p w14:paraId="5DEC7D88" w14:textId="77777777" w:rsidR="002B341C" w:rsidRPr="002B341C" w:rsidRDefault="002B341C" w:rsidP="002B341C">
      <w:pPr>
        <w:pStyle w:val="Bibliography"/>
      </w:pPr>
      <w:r w:rsidRPr="002B341C">
        <w:t xml:space="preserve">Galtier, P., More, J., Bodin, G., Brunel-Dubech, N., &amp; Alvinerie, N. (1974). TOXINES D’ASPERGILLUS OCHRACEUS WILHELM. III.—TOXICITÉ AIGUË DE L’OCHRATOXINE A CHEZ LE RAT ET LA SOURIS ADULTES. </w:t>
      </w:r>
      <w:r w:rsidRPr="002B341C">
        <w:rPr>
          <w:i/>
          <w:iCs/>
        </w:rPr>
        <w:t>In Annales de Recherches Vétérinaires(Vol. 5, No. 2, pp. 233-247).</w:t>
      </w:r>
    </w:p>
    <w:p w14:paraId="5498B939" w14:textId="77777777" w:rsidR="002B341C" w:rsidRPr="002B341C" w:rsidRDefault="002B341C" w:rsidP="002B341C">
      <w:pPr>
        <w:pStyle w:val="Bibliography"/>
      </w:pPr>
      <w:r w:rsidRPr="002B341C">
        <w:t xml:space="preserve">Igbinosa, O. O., Oviasogie, E. F., Igbinosa, E. O., Igene, O., Igbinosa, I. H., &amp; Idemudia, O. G. (2013). Effects of Biochemical Alteration in Animal Model after Short‐Term Exposure of </w:t>
      </w:r>
      <w:r w:rsidRPr="002B341C">
        <w:rPr>
          <w:i/>
          <w:iCs/>
        </w:rPr>
        <w:t>Jatropha curcas</w:t>
      </w:r>
      <w:r w:rsidRPr="002B341C">
        <w:t xml:space="preserve"> (Linn) Leaf Extract. </w:t>
      </w:r>
      <w:r w:rsidRPr="002B341C">
        <w:rPr>
          <w:i/>
          <w:iCs/>
        </w:rPr>
        <w:t>The Scientific World Journal</w:t>
      </w:r>
      <w:r w:rsidRPr="002B341C">
        <w:t xml:space="preserve">, </w:t>
      </w:r>
      <w:r w:rsidRPr="002B341C">
        <w:rPr>
          <w:i/>
          <w:iCs/>
        </w:rPr>
        <w:t>2013</w:t>
      </w:r>
      <w:r w:rsidRPr="002B341C">
        <w:t>(1), 798096. https://doi.org/10.1155/2013/798096</w:t>
      </w:r>
    </w:p>
    <w:p w14:paraId="0206B25A" w14:textId="77777777" w:rsidR="002B341C" w:rsidRPr="002B341C" w:rsidRDefault="002B341C" w:rsidP="002B341C">
      <w:pPr>
        <w:pStyle w:val="Bibliography"/>
      </w:pPr>
      <w:r w:rsidRPr="002B341C">
        <w:t xml:space="preserve">Irie-N’guessan, A. G., Effo, K. E., Koua, K. B. D., Kouakou, S. L., Djadji, A. T. L., Adepo, A. A., Diarrassouba, N., &amp; Kouakou-Siransy, N. G. (2019). La toxicité subaiguë de l’écorce de racines de </w:t>
      </w:r>
      <w:r w:rsidRPr="002B341C">
        <w:rPr>
          <w:i/>
          <w:iCs/>
        </w:rPr>
        <w:t>Dichrostachys cinerea</w:t>
      </w:r>
      <w:r w:rsidRPr="002B341C">
        <w:t xml:space="preserve"> (L.) Wight et Arn. (Fabaceae). </w:t>
      </w:r>
      <w:r w:rsidRPr="002B341C">
        <w:rPr>
          <w:i/>
          <w:iCs/>
        </w:rPr>
        <w:t xml:space="preserve">International Journal </w:t>
      </w:r>
      <w:r w:rsidRPr="002B341C">
        <w:rPr>
          <w:i/>
          <w:iCs/>
        </w:rPr>
        <w:lastRenderedPageBreak/>
        <w:t>of Biological and Chemical Sciences</w:t>
      </w:r>
      <w:r w:rsidRPr="002B341C">
        <w:t xml:space="preserve">, </w:t>
      </w:r>
      <w:r w:rsidRPr="002B341C">
        <w:rPr>
          <w:i/>
          <w:iCs/>
        </w:rPr>
        <w:t>13</w:t>
      </w:r>
      <w:r w:rsidRPr="002B341C">
        <w:t>(2), 836. https://doi.org/10.4314/ijbcs.v13i2.21</w:t>
      </w:r>
    </w:p>
    <w:p w14:paraId="55F4D6B9" w14:textId="77777777" w:rsidR="002B341C" w:rsidRPr="002B341C" w:rsidRDefault="002B341C" w:rsidP="002B341C">
      <w:pPr>
        <w:pStyle w:val="Bibliography"/>
      </w:pPr>
      <w:r w:rsidRPr="002B341C">
        <w:t xml:space="preserve">Kpètèhoto, H. W., Amoussa, A. M. O., Johnson, R. C., Houéto, E. E. M., Mignanwandé, F. M. Z., Yédomonhan, H., Loko, F., Bankolé, H., &amp; Lagnika, L. (2019). Phytochemical analysis and antioxidant potential of Ocimum gratissimum Linn (Lamiaceae) commonly consumed in the Republic of Benin. </w:t>
      </w:r>
      <w:r w:rsidRPr="002B341C">
        <w:rPr>
          <w:i/>
          <w:iCs/>
        </w:rPr>
        <w:t>Journal of Applied Biology &amp; Biotechnology</w:t>
      </w:r>
      <w:r w:rsidRPr="002B341C">
        <w:t xml:space="preserve">, </w:t>
      </w:r>
      <w:r w:rsidRPr="002B341C">
        <w:rPr>
          <w:i/>
          <w:iCs/>
        </w:rPr>
        <w:t>7</w:t>
      </w:r>
      <w:r w:rsidRPr="002B341C">
        <w:t>(4), 75</w:t>
      </w:r>
      <w:r w:rsidRPr="002B341C">
        <w:rPr>
          <w:rFonts w:ascii="Cambria Math" w:hAnsi="Cambria Math" w:cs="Cambria Math"/>
        </w:rPr>
        <w:t>‑</w:t>
      </w:r>
      <w:r w:rsidRPr="002B341C">
        <w:t>83. https://doi.org/10.7324/JABB.2019.70412</w:t>
      </w:r>
    </w:p>
    <w:p w14:paraId="2CDE619C" w14:textId="77777777" w:rsidR="002B341C" w:rsidRPr="002B341C" w:rsidRDefault="002B341C" w:rsidP="002B341C">
      <w:pPr>
        <w:pStyle w:val="Bibliography"/>
      </w:pPr>
      <w:r w:rsidRPr="002B341C">
        <w:t xml:space="preserve">Lazic, S. E., Semenova, E., &amp; Williams, D. P. (2020). Determining organ weight toxicity with Bayesian causal models : Improving on the analysis of relative organ weights. </w:t>
      </w:r>
      <w:r w:rsidRPr="002B341C">
        <w:rPr>
          <w:i/>
          <w:iCs/>
        </w:rPr>
        <w:t>Scientific Reports</w:t>
      </w:r>
      <w:r w:rsidRPr="002B341C">
        <w:t xml:space="preserve">, </w:t>
      </w:r>
      <w:r w:rsidRPr="002B341C">
        <w:rPr>
          <w:i/>
          <w:iCs/>
        </w:rPr>
        <w:t>10</w:t>
      </w:r>
      <w:r w:rsidRPr="002B341C">
        <w:t>(1), 6625. https://doi.org/10.1038/s41598-020-63465-y</w:t>
      </w:r>
    </w:p>
    <w:p w14:paraId="6A536573" w14:textId="77777777" w:rsidR="002B341C" w:rsidRPr="002B341C" w:rsidRDefault="002B341C" w:rsidP="002B341C">
      <w:pPr>
        <w:pStyle w:val="Bibliography"/>
      </w:pPr>
      <w:r w:rsidRPr="002B341C">
        <w:t xml:space="preserve">Mignanwandé, Z. F., Hounkpatin, A. S. Y., Johnson, R. C., Houndeton, A. G., &amp; Houéto, E. E. (2020). </w:t>
      </w:r>
      <w:r w:rsidRPr="002B341C">
        <w:rPr>
          <w:i/>
          <w:iCs/>
        </w:rPr>
        <w:t>Safety of the Ethanolic Extract Crateva adansonii DC. (Capparidaceae) Harvested at Dassa-Zounmè in Central Benin</w:t>
      </w:r>
      <w:r w:rsidRPr="002B341C">
        <w:t xml:space="preserve">. </w:t>
      </w:r>
      <w:r w:rsidRPr="002B341C">
        <w:rPr>
          <w:i/>
          <w:iCs/>
        </w:rPr>
        <w:t>9</w:t>
      </w:r>
      <w:r w:rsidRPr="002B341C">
        <w:t>(5).</w:t>
      </w:r>
    </w:p>
    <w:p w14:paraId="1C67ED6F" w14:textId="77777777" w:rsidR="002B341C" w:rsidRPr="002B341C" w:rsidRDefault="002B341C" w:rsidP="002B341C">
      <w:pPr>
        <w:pStyle w:val="Bibliography"/>
      </w:pPr>
      <w:r w:rsidRPr="002B341C">
        <w:t xml:space="preserve">Mihretu, J., Teferra, A., Samuel, W., Dinkenesh, C., Zemen, A., &amp; Mekbeb, A. (2023). Acute and Sub-Acute Toxicity Evaluation of the  Crude Methanolic Extract of Justicia schimperiana  Leaf in Wistar Albino Rat. </w:t>
      </w:r>
      <w:r w:rsidRPr="002B341C">
        <w:rPr>
          <w:i/>
          <w:iCs/>
        </w:rPr>
        <w:t>Journal of Experimental Pharmacology</w:t>
      </w:r>
      <w:r w:rsidRPr="002B341C">
        <w:t>. https://pmc.ncbi.nlm.nih.gov/articles/PMC10664716/pdf/jep-15-467.pdf</w:t>
      </w:r>
    </w:p>
    <w:p w14:paraId="5A0C6A14" w14:textId="77777777" w:rsidR="002B341C" w:rsidRPr="002B341C" w:rsidRDefault="002B341C" w:rsidP="002B341C">
      <w:pPr>
        <w:pStyle w:val="Bibliography"/>
      </w:pPr>
      <w:r w:rsidRPr="002B341C">
        <w:t xml:space="preserve">Muhammad, F. E., Daniyan., S. Y., Abalaka, E. M., &amp; Gimba, U. A. (2023). In Vivo Evaluation of Acute and Subacute Toxicity of Jatropha curcas Seed Oil. </w:t>
      </w:r>
      <w:r w:rsidRPr="002B341C">
        <w:rPr>
          <w:i/>
          <w:iCs/>
        </w:rPr>
        <w:t>UMYU Journal of Microbiology Research (UJMR)</w:t>
      </w:r>
      <w:r w:rsidRPr="002B341C">
        <w:t xml:space="preserve">, </w:t>
      </w:r>
      <w:r w:rsidRPr="002B341C">
        <w:rPr>
          <w:i/>
          <w:iCs/>
        </w:rPr>
        <w:t>8</w:t>
      </w:r>
      <w:r w:rsidRPr="002B341C">
        <w:t>(1), 143</w:t>
      </w:r>
      <w:r w:rsidRPr="002B341C">
        <w:rPr>
          <w:rFonts w:ascii="Cambria Math" w:hAnsi="Cambria Math" w:cs="Cambria Math"/>
        </w:rPr>
        <w:t>‑</w:t>
      </w:r>
      <w:r w:rsidRPr="002B341C">
        <w:t>151. https://doi.org/10.47430/ujmr.2381.018</w:t>
      </w:r>
    </w:p>
    <w:p w14:paraId="294E684B" w14:textId="77777777" w:rsidR="002B341C" w:rsidRPr="002B341C" w:rsidRDefault="002B341C" w:rsidP="002B341C">
      <w:pPr>
        <w:pStyle w:val="Bibliography"/>
      </w:pPr>
      <w:r w:rsidRPr="002B341C">
        <w:t xml:space="preserve">Namadina, M. M., Haruna, S., Zakari, S. A., Sani, M. H., Sale, A. I., Labaran, H. B., Karaye, S. I., &amp; Ibrahim, N. S. (2025). Evaluation of pharmacognostic, antioxidant and antimicrobial </w:t>
      </w:r>
      <w:r w:rsidRPr="002B341C">
        <w:lastRenderedPageBreak/>
        <w:t xml:space="preserve">activities of Jatropha curcas leaves. </w:t>
      </w:r>
      <w:r w:rsidRPr="002B341C">
        <w:rPr>
          <w:i/>
          <w:iCs/>
        </w:rPr>
        <w:t>Bayero Journal of Pure and Applied Sciences</w:t>
      </w:r>
      <w:r w:rsidRPr="002B341C">
        <w:t>. http://dx.doi.org/10.4314/bajopas.v14i1.39S</w:t>
      </w:r>
    </w:p>
    <w:p w14:paraId="4003D5B8" w14:textId="77777777" w:rsidR="002B341C" w:rsidRPr="002B341C" w:rsidRDefault="002B341C" w:rsidP="002B341C">
      <w:pPr>
        <w:pStyle w:val="Bibliography"/>
      </w:pPr>
      <w:r w:rsidRPr="002B341C">
        <w:t xml:space="preserve">Nasiatul Baroroh., H., Nuryanti, N., &amp; Warsinah, W. (2023). Subacute toxicity study of Jatropha curcas leaves on hematology parameters and renal function in Wistar rats. </w:t>
      </w:r>
      <w:r w:rsidRPr="002B341C">
        <w:rPr>
          <w:i/>
          <w:iCs/>
        </w:rPr>
        <w:t>Journal of Research in Pharmacy</w:t>
      </w:r>
      <w:r w:rsidRPr="002B341C">
        <w:t xml:space="preserve">, </w:t>
      </w:r>
      <w:r w:rsidRPr="002B341C">
        <w:rPr>
          <w:i/>
          <w:iCs/>
        </w:rPr>
        <w:t>27(6)</w:t>
      </w:r>
      <w:r w:rsidRPr="002B341C">
        <w:t>(27(6)), 2285</w:t>
      </w:r>
      <w:r w:rsidRPr="002B341C">
        <w:rPr>
          <w:rFonts w:ascii="Cambria Math" w:hAnsi="Cambria Math" w:cs="Cambria Math"/>
        </w:rPr>
        <w:t>‑</w:t>
      </w:r>
      <w:r w:rsidRPr="002B341C">
        <w:t>2293. https://doi.org/10.29228/jrp.517</w:t>
      </w:r>
    </w:p>
    <w:p w14:paraId="6E2AD0D4" w14:textId="77777777" w:rsidR="002B341C" w:rsidRPr="002B341C" w:rsidRDefault="002B341C" w:rsidP="002B341C">
      <w:pPr>
        <w:pStyle w:val="Bibliography"/>
      </w:pPr>
      <w:r w:rsidRPr="002B341C">
        <w:t>Nga, E. N., Yinyang, J., Baran À Bidias, E., Etame-Loe, G., &amp; Dibong, S. D. (2017). Étude phytochimique et pharmacologique d’</w:t>
      </w:r>
      <w:r w:rsidRPr="002B341C">
        <w:rPr>
          <w:i/>
          <w:iCs/>
        </w:rPr>
        <w:t>Alchornea cordifolia</w:t>
      </w:r>
      <w:r w:rsidRPr="002B341C">
        <w:t xml:space="preserve"> (Schum. &amp; Thonn.) Mull. Arg. Et de </w:t>
      </w:r>
      <w:r w:rsidRPr="002B341C">
        <w:rPr>
          <w:i/>
          <w:iCs/>
        </w:rPr>
        <w:t>Mangifera indica</w:t>
      </w:r>
      <w:r w:rsidRPr="002B341C">
        <w:t xml:space="preserve"> dans le traitement traditionnel de la maladie hémorroïdaire. </w:t>
      </w:r>
      <w:r w:rsidRPr="002B341C">
        <w:rPr>
          <w:i/>
          <w:iCs/>
        </w:rPr>
        <w:t>Journal of Applied Biosciences</w:t>
      </w:r>
      <w:r w:rsidRPr="002B341C">
        <w:t xml:space="preserve">, </w:t>
      </w:r>
      <w:r w:rsidRPr="002B341C">
        <w:rPr>
          <w:i/>
          <w:iCs/>
        </w:rPr>
        <w:t>109</w:t>
      </w:r>
      <w:r w:rsidRPr="002B341C">
        <w:t>(1), 10649. https://doi.org/10.4314/jab.v109i1.9</w:t>
      </w:r>
    </w:p>
    <w:p w14:paraId="7B9A3ED0" w14:textId="77777777" w:rsidR="002B341C" w:rsidRPr="002B341C" w:rsidRDefault="002B341C" w:rsidP="002B341C">
      <w:pPr>
        <w:pStyle w:val="Bibliography"/>
      </w:pPr>
      <w:r w:rsidRPr="002B341C">
        <w:t xml:space="preserve">Oboma, Y. I., Beredugo, S., Nyenke, C., Sunday Bot, Y., dehen, C. I., &amp; Beredugo, L. I. (2024). Therapeutic and toxicological assessment of hydroethanolic leaf extracts of Jatropha carcus and Justicia carnea in apparently healthy Sprague Dawley rats. </w:t>
      </w:r>
      <w:r w:rsidRPr="002B341C">
        <w:rPr>
          <w:i/>
          <w:iCs/>
        </w:rPr>
        <w:t>International Journal of Clinical and Experimental Pathology</w:t>
      </w:r>
      <w:r w:rsidRPr="002B341C">
        <w:t xml:space="preserve">, </w:t>
      </w:r>
      <w:r w:rsidRPr="002B341C">
        <w:rPr>
          <w:i/>
          <w:iCs/>
        </w:rPr>
        <w:t>17</w:t>
      </w:r>
      <w:r w:rsidRPr="002B341C">
        <w:t>(10), 317</w:t>
      </w:r>
      <w:r w:rsidRPr="002B341C">
        <w:rPr>
          <w:rFonts w:ascii="Cambria Math" w:hAnsi="Cambria Math" w:cs="Cambria Math"/>
        </w:rPr>
        <w:t>‑</w:t>
      </w:r>
      <w:r w:rsidRPr="002B341C">
        <w:t>328. https://doi.org/10.62347/SYZP2468</w:t>
      </w:r>
    </w:p>
    <w:p w14:paraId="67689DAF" w14:textId="77777777" w:rsidR="002B341C" w:rsidRPr="002B341C" w:rsidRDefault="002B341C" w:rsidP="002B341C">
      <w:pPr>
        <w:pStyle w:val="Bibliography"/>
      </w:pPr>
      <w:r w:rsidRPr="002B341C">
        <w:t xml:space="preserve">OCDE. (2022). </w:t>
      </w:r>
      <w:r w:rsidRPr="002B341C">
        <w:rPr>
          <w:i/>
          <w:iCs/>
        </w:rPr>
        <w:t>Essai n° 425 : Toxicité aiguë par voie orale: méthode de l’ajustement des doses</w:t>
      </w:r>
      <w:r w:rsidRPr="002B341C">
        <w:t>. OECD. https://doi.org/10.1787/9789264071056-fr</w:t>
      </w:r>
    </w:p>
    <w:p w14:paraId="3376209C" w14:textId="77777777" w:rsidR="002B341C" w:rsidRPr="002B341C" w:rsidRDefault="002B341C" w:rsidP="002B341C">
      <w:pPr>
        <w:pStyle w:val="Bibliography"/>
      </w:pPr>
      <w:r w:rsidRPr="002B341C">
        <w:t xml:space="preserve">OCDE. (2025). </w:t>
      </w:r>
      <w:r w:rsidRPr="002B341C">
        <w:rPr>
          <w:i/>
          <w:iCs/>
        </w:rPr>
        <w:t>Essai n° 407 : Toxicité orale à doses répétées - pendant 28 jours sur les rongeurs</w:t>
      </w:r>
      <w:r w:rsidRPr="002B341C">
        <w:t>. Éditions OCDE. https://doi.org/10.1787/9789264070691-fr</w:t>
      </w:r>
    </w:p>
    <w:p w14:paraId="55CDD8F0" w14:textId="77777777" w:rsidR="002B341C" w:rsidRPr="002B341C" w:rsidRDefault="002B341C" w:rsidP="002B341C">
      <w:pPr>
        <w:pStyle w:val="Bibliography"/>
      </w:pPr>
      <w:r w:rsidRPr="002B341C">
        <w:t xml:space="preserve">Oluremi, B. B., Oloche, J. J., Abiona, P. D., &amp; Ofudi, C. B. (2024). Antibacterial, Antibiofilm Activities and Toxicity of </w:t>
      </w:r>
      <w:r w:rsidRPr="002B341C">
        <w:rPr>
          <w:i/>
          <w:iCs/>
        </w:rPr>
        <w:t>Uvaria chamae</w:t>
      </w:r>
      <w:r w:rsidRPr="002B341C">
        <w:t xml:space="preserve"> P. Beauv (Annonaceae). </w:t>
      </w:r>
      <w:r w:rsidRPr="002B341C">
        <w:rPr>
          <w:i/>
          <w:iCs/>
        </w:rPr>
        <w:t>Nigerian Journal of Pharmaceutical Research</w:t>
      </w:r>
      <w:r w:rsidRPr="002B341C">
        <w:t xml:space="preserve">, </w:t>
      </w:r>
      <w:r w:rsidRPr="002B341C">
        <w:rPr>
          <w:i/>
          <w:iCs/>
        </w:rPr>
        <w:t>20</w:t>
      </w:r>
      <w:r w:rsidRPr="002B341C">
        <w:t>(1), 91</w:t>
      </w:r>
      <w:r w:rsidRPr="002B341C">
        <w:rPr>
          <w:rFonts w:ascii="Cambria Math" w:hAnsi="Cambria Math" w:cs="Cambria Math"/>
        </w:rPr>
        <w:t>‑</w:t>
      </w:r>
      <w:r w:rsidRPr="002B341C">
        <w:t>98. https://doi.org/10.4314/njpr.v20i1.10</w:t>
      </w:r>
    </w:p>
    <w:p w14:paraId="550847FA" w14:textId="77777777" w:rsidR="002B341C" w:rsidRPr="002B341C" w:rsidRDefault="002B341C" w:rsidP="002B341C">
      <w:pPr>
        <w:pStyle w:val="Bibliography"/>
      </w:pPr>
      <w:r w:rsidRPr="002B341C">
        <w:lastRenderedPageBreak/>
        <w:t xml:space="preserve">Oyama, M., Malachi, O., &amp; Oladejo, A. (2016). Phytochemical Screening and Antimicrobial Activity of Leaf Extract of Jatropha curcas. </w:t>
      </w:r>
      <w:r w:rsidRPr="002B341C">
        <w:rPr>
          <w:i/>
          <w:iCs/>
        </w:rPr>
        <w:t>Journal of Advances in Medical and Pharmaceutical Sciences</w:t>
      </w:r>
      <w:r w:rsidRPr="002B341C">
        <w:t xml:space="preserve">, </w:t>
      </w:r>
      <w:r w:rsidRPr="002B341C">
        <w:rPr>
          <w:i/>
          <w:iCs/>
        </w:rPr>
        <w:t>8</w:t>
      </w:r>
      <w:r w:rsidRPr="002B341C">
        <w:t>(1), 1</w:t>
      </w:r>
      <w:r w:rsidRPr="002B341C">
        <w:rPr>
          <w:rFonts w:ascii="Cambria Math" w:hAnsi="Cambria Math" w:cs="Cambria Math"/>
        </w:rPr>
        <w:t>‑</w:t>
      </w:r>
      <w:r w:rsidRPr="002B341C">
        <w:t>6. https://doi.org/10.9734/JAMPS/2016/24146</w:t>
      </w:r>
    </w:p>
    <w:p w14:paraId="39BE2507" w14:textId="77777777" w:rsidR="002B341C" w:rsidRPr="002B341C" w:rsidRDefault="002B341C" w:rsidP="002B341C">
      <w:pPr>
        <w:pStyle w:val="Bibliography"/>
      </w:pPr>
      <w:r w:rsidRPr="002B341C">
        <w:t xml:space="preserve">Papalia, T., Barreca, D., &amp; Panuccio, M. (2017). Assessment of Antioxidant and Cytoprotective Potential of Jatropha (Jatropha curcas) Grown in Southern Italy. </w:t>
      </w:r>
      <w:r w:rsidRPr="002B341C">
        <w:rPr>
          <w:i/>
          <w:iCs/>
        </w:rPr>
        <w:t>International Journal of Molecular Sciences</w:t>
      </w:r>
      <w:r w:rsidRPr="002B341C">
        <w:t xml:space="preserve">, </w:t>
      </w:r>
      <w:r w:rsidRPr="002B341C">
        <w:rPr>
          <w:i/>
          <w:iCs/>
        </w:rPr>
        <w:t>18</w:t>
      </w:r>
      <w:r w:rsidRPr="002B341C">
        <w:t>(3), 660. https://doi.org/10.3390/ijms18030660</w:t>
      </w:r>
    </w:p>
    <w:p w14:paraId="4E9F43E6" w14:textId="77777777" w:rsidR="002B341C" w:rsidRPr="002B341C" w:rsidRDefault="002B341C" w:rsidP="002B341C">
      <w:pPr>
        <w:pStyle w:val="Bibliography"/>
      </w:pPr>
      <w:r w:rsidRPr="002B341C">
        <w:t xml:space="preserve">Sawadogo, S., Sanou, S. D., Dabiré, A. P., Belemtougri, G. R., Sawadogo, L., Leiris, J. D., Tanguy, S., &amp; Boucher, F. (2018). In Vivo Evaluation of </w:t>
      </w:r>
      <w:r w:rsidRPr="002B341C">
        <w:rPr>
          <w:i/>
          <w:iCs/>
        </w:rPr>
        <w:t>Jatropha curcas</w:t>
      </w:r>
      <w:r w:rsidRPr="002B341C">
        <w:t xml:space="preserve"> L (Euphorbiaceae) Leaves Acute and Subacute Toxicity in Mice. </w:t>
      </w:r>
      <w:r w:rsidRPr="002B341C">
        <w:rPr>
          <w:i/>
          <w:iCs/>
        </w:rPr>
        <w:t>Journal of Scientific Research</w:t>
      </w:r>
      <w:r w:rsidRPr="002B341C">
        <w:t xml:space="preserve">, </w:t>
      </w:r>
      <w:r w:rsidRPr="002B341C">
        <w:rPr>
          <w:i/>
          <w:iCs/>
        </w:rPr>
        <w:t>10</w:t>
      </w:r>
      <w:r w:rsidRPr="002B341C">
        <w:t>(2), 187</w:t>
      </w:r>
      <w:r w:rsidRPr="002B341C">
        <w:rPr>
          <w:rFonts w:ascii="Cambria Math" w:hAnsi="Cambria Math" w:cs="Cambria Math"/>
        </w:rPr>
        <w:t>‑</w:t>
      </w:r>
      <w:r w:rsidRPr="002B341C">
        <w:t>193. https://doi.org/10.3329/jsr.v10i2.35267</w:t>
      </w:r>
    </w:p>
    <w:p w14:paraId="4EFCBDE6" w14:textId="77777777" w:rsidR="002B341C" w:rsidRPr="002B341C" w:rsidRDefault="002B341C" w:rsidP="002B341C">
      <w:pPr>
        <w:pStyle w:val="Bibliography"/>
      </w:pPr>
      <w:r w:rsidRPr="002B341C">
        <w:t xml:space="preserve">Sawadogo, S., Sanou, S. D., Dabire, P., Belemtougri, G. R., Sawadogo, L., De Leiris, J., Tanguy, S., &amp; Boucher, F. (2018). Activité antifalcémiante d’extraits de trois plantes médicinales du Bukina Faso : </w:t>
      </w:r>
      <w:r w:rsidRPr="002B341C">
        <w:rPr>
          <w:i/>
          <w:iCs/>
        </w:rPr>
        <w:t>Jatropha curcas</w:t>
      </w:r>
      <w:r w:rsidRPr="002B341C">
        <w:t xml:space="preserve">, </w:t>
      </w:r>
      <w:r w:rsidRPr="002B341C">
        <w:rPr>
          <w:i/>
          <w:iCs/>
        </w:rPr>
        <w:t>Khaya senegalensis</w:t>
      </w:r>
      <w:r w:rsidRPr="002B341C">
        <w:t xml:space="preserve"> et </w:t>
      </w:r>
      <w:r w:rsidRPr="002B341C">
        <w:rPr>
          <w:i/>
          <w:iCs/>
        </w:rPr>
        <w:t>Dichrostachys cinerea</w:t>
      </w:r>
      <w:r w:rsidRPr="002B341C">
        <w:t xml:space="preserve">. </w:t>
      </w:r>
      <w:r w:rsidRPr="002B341C">
        <w:rPr>
          <w:i/>
          <w:iCs/>
        </w:rPr>
        <w:t>International Journal of Biological and Chemical Sciences</w:t>
      </w:r>
      <w:r w:rsidRPr="002B341C">
        <w:t xml:space="preserve">, </w:t>
      </w:r>
      <w:r w:rsidRPr="002B341C">
        <w:rPr>
          <w:i/>
          <w:iCs/>
        </w:rPr>
        <w:t>11</w:t>
      </w:r>
      <w:r w:rsidRPr="002B341C">
        <w:t>(5), 2016. https://doi.org/10.4314/ijbcs.v11i5.7</w:t>
      </w:r>
    </w:p>
    <w:p w14:paraId="510DF73F" w14:textId="77777777" w:rsidR="002B341C" w:rsidRPr="002B341C" w:rsidRDefault="002B341C" w:rsidP="002B341C">
      <w:pPr>
        <w:pStyle w:val="Bibliography"/>
      </w:pPr>
      <w:r w:rsidRPr="002B341C">
        <w:t xml:space="preserve">Van Berlo, D., Woutersen, M., Muller, A., Pronk, M., Vriend, J., &amp; Hakkert, B. (2022). 10% Body weight (gain) change as criterion for the maximum tolerated dose : A critical analysis. </w:t>
      </w:r>
      <w:r w:rsidRPr="002B341C">
        <w:rPr>
          <w:i/>
          <w:iCs/>
        </w:rPr>
        <w:t>Regulatory Toxicology and Pharmacology</w:t>
      </w:r>
      <w:r w:rsidRPr="002B341C">
        <w:t xml:space="preserve">, </w:t>
      </w:r>
      <w:r w:rsidRPr="002B341C">
        <w:rPr>
          <w:i/>
          <w:iCs/>
        </w:rPr>
        <w:t>134</w:t>
      </w:r>
      <w:r w:rsidRPr="002B341C">
        <w:t>, 105235. https://doi.org/10.1016/j.yrtph.2022.105235</w:t>
      </w:r>
    </w:p>
    <w:p w14:paraId="1FD30BCC" w14:textId="77777777" w:rsidR="002B341C" w:rsidRPr="002B341C" w:rsidRDefault="002B341C" w:rsidP="002B341C">
      <w:pPr>
        <w:pStyle w:val="Bibliography"/>
      </w:pPr>
      <w:r w:rsidRPr="002B341C">
        <w:t xml:space="preserve">WHO. (2023). </w:t>
      </w:r>
      <w:r w:rsidRPr="002B341C">
        <w:rPr>
          <w:i/>
          <w:iCs/>
        </w:rPr>
        <w:t>Traditional Medicine Global Summit (17–18 août 2023) ; note d’information et rapport.</w:t>
      </w:r>
      <w:r w:rsidRPr="002B341C">
        <w:t xml:space="preserve"> https://www.who.int/publications/m/item/who-traditional-medicine-global-summit-2023</w:t>
      </w:r>
    </w:p>
    <w:p w14:paraId="7E7857C3" w14:textId="77777777" w:rsidR="002B341C" w:rsidRPr="002B341C" w:rsidRDefault="002B341C" w:rsidP="002B341C">
      <w:pPr>
        <w:pStyle w:val="Bibliography"/>
      </w:pPr>
      <w:r w:rsidRPr="002B341C">
        <w:t xml:space="preserve">Zhang, C.-Y., &amp; Yang, M. (2024). Anti-oxidative stress treatment and current clinical trials. </w:t>
      </w:r>
      <w:r w:rsidRPr="002B341C">
        <w:rPr>
          <w:i/>
          <w:iCs/>
        </w:rPr>
        <w:t>World Journal of Hepatology</w:t>
      </w:r>
      <w:r w:rsidRPr="002B341C">
        <w:t xml:space="preserve">, </w:t>
      </w:r>
      <w:r w:rsidRPr="002B341C">
        <w:rPr>
          <w:i/>
          <w:iCs/>
        </w:rPr>
        <w:t>16</w:t>
      </w:r>
      <w:r w:rsidRPr="002B341C">
        <w:t>(2), 294</w:t>
      </w:r>
      <w:r w:rsidRPr="002B341C">
        <w:rPr>
          <w:rFonts w:ascii="Cambria Math" w:hAnsi="Cambria Math" w:cs="Cambria Math"/>
        </w:rPr>
        <w:t>‑</w:t>
      </w:r>
      <w:r w:rsidRPr="002B341C">
        <w:t>299. https://doi.org/10.4254/wjh.v16.i2.294</w:t>
      </w:r>
    </w:p>
    <w:p w14:paraId="69CBDF0E" w14:textId="77777777" w:rsidR="0077707A" w:rsidRPr="000B1D9A" w:rsidRDefault="0077707A" w:rsidP="006C4657">
      <w:pPr>
        <w:jc w:val="both"/>
        <w:rPr>
          <w:rFonts w:eastAsia="Calibri" w:cstheme="minorHAnsi"/>
        </w:rPr>
      </w:pPr>
      <w:r w:rsidRPr="00B05055">
        <w:rPr>
          <w:rFonts w:ascii="Arial" w:eastAsia="Calibri" w:hAnsi="Arial" w:cs="Arial"/>
        </w:rPr>
        <w:lastRenderedPageBreak/>
        <w:fldChar w:fldCharType="end"/>
      </w:r>
    </w:p>
    <w:p w14:paraId="4D3908CE" w14:textId="77777777" w:rsidR="006C4657" w:rsidRPr="000B1D9A" w:rsidRDefault="006C4657" w:rsidP="006C4657">
      <w:pPr>
        <w:jc w:val="both"/>
        <w:rPr>
          <w:rFonts w:eastAsia="Calibri" w:cstheme="minorHAnsi"/>
        </w:rPr>
      </w:pPr>
    </w:p>
    <w:p w14:paraId="2013B62F" w14:textId="77777777" w:rsidR="000B1D9A" w:rsidRPr="000B1D9A" w:rsidRDefault="000B1D9A" w:rsidP="000B1D9A">
      <w:pPr>
        <w:jc w:val="both"/>
        <w:rPr>
          <w:rFonts w:eastAsia="Calibri" w:cstheme="minorHAnsi"/>
        </w:rPr>
      </w:pPr>
    </w:p>
    <w:p w14:paraId="2F40D968" w14:textId="77777777" w:rsidR="001A7D48" w:rsidRPr="001A7D48" w:rsidRDefault="001A7D48" w:rsidP="001A7D48">
      <w:pPr>
        <w:jc w:val="both"/>
      </w:pPr>
    </w:p>
    <w:p w14:paraId="65E12453" w14:textId="77777777" w:rsidR="001A7D48" w:rsidRPr="001A7D48" w:rsidRDefault="001A7D48" w:rsidP="001A7D48">
      <w:pPr>
        <w:jc w:val="both"/>
      </w:pPr>
    </w:p>
    <w:p w14:paraId="093B712D" w14:textId="77777777" w:rsidR="001A7D48" w:rsidRPr="001A7D48" w:rsidRDefault="001A7D48" w:rsidP="001A7D48">
      <w:pPr>
        <w:jc w:val="both"/>
      </w:pPr>
    </w:p>
    <w:p w14:paraId="487189D6" w14:textId="77777777" w:rsidR="00AF0488" w:rsidRPr="00AF0488" w:rsidRDefault="00AF0488" w:rsidP="00AF0488">
      <w:pPr>
        <w:jc w:val="both"/>
        <w:rPr>
          <w:i/>
          <w:iCs/>
        </w:rPr>
      </w:pPr>
    </w:p>
    <w:p w14:paraId="46C1C350" w14:textId="77777777" w:rsidR="00B11D09" w:rsidRPr="00B11D09" w:rsidRDefault="00B11D09" w:rsidP="00B11D09">
      <w:pPr>
        <w:jc w:val="both"/>
      </w:pPr>
    </w:p>
    <w:p w14:paraId="126EB579" w14:textId="77777777" w:rsidR="00A21ECB" w:rsidRDefault="00A21ECB" w:rsidP="0033155B">
      <w:pPr>
        <w:jc w:val="both"/>
      </w:pPr>
    </w:p>
    <w:p w14:paraId="3C349B87" w14:textId="77777777" w:rsidR="0033155B" w:rsidRPr="0033155B" w:rsidRDefault="0033155B" w:rsidP="0033155B">
      <w:pPr>
        <w:jc w:val="both"/>
      </w:pPr>
    </w:p>
    <w:p w14:paraId="493F6934" w14:textId="77777777" w:rsidR="0033155B" w:rsidRPr="007D0001" w:rsidRDefault="0033155B" w:rsidP="007D0001">
      <w:pPr>
        <w:jc w:val="both"/>
      </w:pPr>
    </w:p>
    <w:p w14:paraId="20B3BD98" w14:textId="77777777" w:rsidR="00C322D8" w:rsidRPr="00C322D8" w:rsidRDefault="0043587E" w:rsidP="00C322D8">
      <w:pPr>
        <w:jc w:val="both"/>
      </w:pPr>
      <w:r>
        <w:t xml:space="preserve"> </w:t>
      </w:r>
    </w:p>
    <w:p w14:paraId="2A7D318F" w14:textId="77777777" w:rsidR="003C550B" w:rsidRPr="003C550B" w:rsidRDefault="003C550B" w:rsidP="003C550B">
      <w:pPr>
        <w:jc w:val="both"/>
      </w:pPr>
    </w:p>
    <w:p w14:paraId="1FE2FD6A" w14:textId="77777777" w:rsidR="00406579" w:rsidRPr="00406579" w:rsidRDefault="00406579" w:rsidP="00406579">
      <w:pPr>
        <w:jc w:val="both"/>
      </w:pPr>
    </w:p>
    <w:p w14:paraId="62208367" w14:textId="77777777" w:rsidR="00406579" w:rsidRPr="00406579" w:rsidRDefault="00406579" w:rsidP="00406579">
      <w:pPr>
        <w:jc w:val="both"/>
      </w:pPr>
    </w:p>
    <w:p w14:paraId="145DF397" w14:textId="77777777" w:rsidR="00406579" w:rsidRPr="00406579" w:rsidRDefault="00406579" w:rsidP="00406579">
      <w:pPr>
        <w:jc w:val="both"/>
      </w:pPr>
    </w:p>
    <w:p w14:paraId="7356B448" w14:textId="77777777" w:rsidR="00C26039" w:rsidRPr="00C26039" w:rsidRDefault="00C26039" w:rsidP="00C26039">
      <w:pPr>
        <w:jc w:val="both"/>
      </w:pPr>
    </w:p>
    <w:p w14:paraId="604F127C" w14:textId="77777777" w:rsidR="00C26039" w:rsidRPr="00C26039" w:rsidRDefault="00C26039" w:rsidP="00C26039">
      <w:pPr>
        <w:jc w:val="both"/>
      </w:pPr>
    </w:p>
    <w:p w14:paraId="54850147" w14:textId="77777777" w:rsidR="00DB5E50" w:rsidRPr="00DB5E50" w:rsidRDefault="00DB5E50" w:rsidP="00DB5E50">
      <w:pPr>
        <w:jc w:val="both"/>
      </w:pPr>
    </w:p>
    <w:p w14:paraId="0D8EDFA8" w14:textId="77777777" w:rsidR="00DB5E50" w:rsidRPr="00DB5E50" w:rsidRDefault="00DB5E50" w:rsidP="00DB5E50">
      <w:pPr>
        <w:jc w:val="both"/>
      </w:pPr>
    </w:p>
    <w:p w14:paraId="3D26E1DC" w14:textId="77777777" w:rsidR="00A27B15" w:rsidRPr="00A27B15" w:rsidRDefault="00A27B15" w:rsidP="00A27B15">
      <w:pPr>
        <w:jc w:val="both"/>
      </w:pPr>
    </w:p>
    <w:p w14:paraId="17B386BF" w14:textId="77777777" w:rsidR="00A27B15" w:rsidRPr="00A27B15" w:rsidRDefault="00A27B15" w:rsidP="00A27B15">
      <w:pPr>
        <w:jc w:val="both"/>
      </w:pPr>
    </w:p>
    <w:sectPr w:rsidR="00A27B15" w:rsidRPr="00A27B15" w:rsidSect="002A57AE">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256525" w14:textId="77777777" w:rsidR="008E6EC2" w:rsidRDefault="008E6EC2" w:rsidP="00027222">
      <w:pPr>
        <w:spacing w:after="0" w:line="240" w:lineRule="auto"/>
      </w:pPr>
      <w:r>
        <w:separator/>
      </w:r>
    </w:p>
  </w:endnote>
  <w:endnote w:type="continuationSeparator" w:id="0">
    <w:p w14:paraId="37D6F826" w14:textId="77777777" w:rsidR="008E6EC2" w:rsidRDefault="008E6EC2" w:rsidP="000272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99AAF" w14:textId="77777777" w:rsidR="0052028C" w:rsidRDefault="005202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64F36" w14:textId="77777777" w:rsidR="0052028C" w:rsidRDefault="005202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6BF6B" w14:textId="77777777" w:rsidR="0052028C" w:rsidRDefault="005202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EB8555" w14:textId="77777777" w:rsidR="008E6EC2" w:rsidRDefault="008E6EC2" w:rsidP="00027222">
      <w:pPr>
        <w:spacing w:after="0" w:line="240" w:lineRule="auto"/>
      </w:pPr>
      <w:r>
        <w:separator/>
      </w:r>
    </w:p>
  </w:footnote>
  <w:footnote w:type="continuationSeparator" w:id="0">
    <w:p w14:paraId="77C2B945" w14:textId="77777777" w:rsidR="008E6EC2" w:rsidRDefault="008E6EC2" w:rsidP="000272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9B7B9" w14:textId="5EB53F3D" w:rsidR="0052028C" w:rsidRDefault="0052028C">
    <w:pPr>
      <w:pStyle w:val="Header"/>
    </w:pPr>
    <w:r>
      <w:rPr>
        <w:noProof/>
      </w:rPr>
      <w:pict w14:anchorId="7A31AC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5079938"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76B7E" w14:textId="1EF6BFF4" w:rsidR="0052028C" w:rsidRDefault="0052028C">
    <w:pPr>
      <w:pStyle w:val="Header"/>
    </w:pPr>
    <w:r>
      <w:rPr>
        <w:noProof/>
      </w:rPr>
      <w:pict w14:anchorId="3C1C26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5079939"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454C6" w14:textId="647ED08E" w:rsidR="0052028C" w:rsidRDefault="0052028C">
    <w:pPr>
      <w:pStyle w:val="Header"/>
    </w:pPr>
    <w:r>
      <w:rPr>
        <w:noProof/>
      </w:rPr>
      <w:pict w14:anchorId="796CF8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5079937"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75B71"/>
    <w:multiLevelType w:val="hybridMultilevel"/>
    <w:tmpl w:val="E37A865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F663EC6"/>
    <w:multiLevelType w:val="hybridMultilevel"/>
    <w:tmpl w:val="5F2A2772"/>
    <w:lvl w:ilvl="0" w:tplc="BC162E60">
      <w:start w:val="2"/>
      <w:numFmt w:val="bullet"/>
      <w:lvlText w:val=""/>
      <w:lvlJc w:val="left"/>
      <w:pPr>
        <w:ind w:left="720" w:hanging="360"/>
      </w:pPr>
      <w:rPr>
        <w:rFonts w:ascii="Symbol" w:eastAsiaTheme="minorHAnsi" w:hAnsi="Symbol" w:cstheme="minorBid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1E0"/>
    <w:rsid w:val="0000454C"/>
    <w:rsid w:val="00027222"/>
    <w:rsid w:val="00030B7B"/>
    <w:rsid w:val="0005008E"/>
    <w:rsid w:val="00050910"/>
    <w:rsid w:val="00087425"/>
    <w:rsid w:val="000A1D36"/>
    <w:rsid w:val="000A4816"/>
    <w:rsid w:val="000A5FB3"/>
    <w:rsid w:val="000B1D9A"/>
    <w:rsid w:val="000B72F4"/>
    <w:rsid w:val="000C33DF"/>
    <w:rsid w:val="00111766"/>
    <w:rsid w:val="00127547"/>
    <w:rsid w:val="001543F4"/>
    <w:rsid w:val="001548DC"/>
    <w:rsid w:val="00171D28"/>
    <w:rsid w:val="001A7853"/>
    <w:rsid w:val="001A7D48"/>
    <w:rsid w:val="001C4337"/>
    <w:rsid w:val="001C4B17"/>
    <w:rsid w:val="001E42AD"/>
    <w:rsid w:val="00225547"/>
    <w:rsid w:val="00253FA8"/>
    <w:rsid w:val="00255FFC"/>
    <w:rsid w:val="002A57AE"/>
    <w:rsid w:val="002B2C2A"/>
    <w:rsid w:val="002B341C"/>
    <w:rsid w:val="002F48A7"/>
    <w:rsid w:val="00312919"/>
    <w:rsid w:val="00323423"/>
    <w:rsid w:val="0032636D"/>
    <w:rsid w:val="0033155B"/>
    <w:rsid w:val="00374C60"/>
    <w:rsid w:val="00385E8B"/>
    <w:rsid w:val="003A14FF"/>
    <w:rsid w:val="003C550B"/>
    <w:rsid w:val="003D7386"/>
    <w:rsid w:val="003E799B"/>
    <w:rsid w:val="003E7F54"/>
    <w:rsid w:val="003F6339"/>
    <w:rsid w:val="00406579"/>
    <w:rsid w:val="00417C3C"/>
    <w:rsid w:val="00421DCE"/>
    <w:rsid w:val="00431FE5"/>
    <w:rsid w:val="0043587E"/>
    <w:rsid w:val="00443293"/>
    <w:rsid w:val="00453DD3"/>
    <w:rsid w:val="004541C9"/>
    <w:rsid w:val="00471735"/>
    <w:rsid w:val="0048263D"/>
    <w:rsid w:val="00490829"/>
    <w:rsid w:val="00496F6D"/>
    <w:rsid w:val="004A1D4F"/>
    <w:rsid w:val="004C589A"/>
    <w:rsid w:val="004D6CA9"/>
    <w:rsid w:val="004E57E6"/>
    <w:rsid w:val="00511D60"/>
    <w:rsid w:val="00516B27"/>
    <w:rsid w:val="0052028C"/>
    <w:rsid w:val="0052745E"/>
    <w:rsid w:val="0053014D"/>
    <w:rsid w:val="00542E94"/>
    <w:rsid w:val="00554CE8"/>
    <w:rsid w:val="00594405"/>
    <w:rsid w:val="005A60EC"/>
    <w:rsid w:val="005A6C55"/>
    <w:rsid w:val="005D5046"/>
    <w:rsid w:val="005F1950"/>
    <w:rsid w:val="00616B62"/>
    <w:rsid w:val="00633D89"/>
    <w:rsid w:val="00646183"/>
    <w:rsid w:val="006567CD"/>
    <w:rsid w:val="006812B9"/>
    <w:rsid w:val="00684BFC"/>
    <w:rsid w:val="00692AA7"/>
    <w:rsid w:val="006B1D20"/>
    <w:rsid w:val="006B4178"/>
    <w:rsid w:val="006B4A58"/>
    <w:rsid w:val="006C4657"/>
    <w:rsid w:val="006D4E92"/>
    <w:rsid w:val="006F38CC"/>
    <w:rsid w:val="006F3FA8"/>
    <w:rsid w:val="006F47FC"/>
    <w:rsid w:val="00701309"/>
    <w:rsid w:val="0070524F"/>
    <w:rsid w:val="00721F6A"/>
    <w:rsid w:val="00725369"/>
    <w:rsid w:val="007314F5"/>
    <w:rsid w:val="0074085E"/>
    <w:rsid w:val="00751626"/>
    <w:rsid w:val="0077707A"/>
    <w:rsid w:val="00780EE0"/>
    <w:rsid w:val="00785BFE"/>
    <w:rsid w:val="00792427"/>
    <w:rsid w:val="007D0001"/>
    <w:rsid w:val="007D320B"/>
    <w:rsid w:val="007F111C"/>
    <w:rsid w:val="00810CAA"/>
    <w:rsid w:val="00811206"/>
    <w:rsid w:val="00824D00"/>
    <w:rsid w:val="00850A5E"/>
    <w:rsid w:val="00857775"/>
    <w:rsid w:val="00872F1E"/>
    <w:rsid w:val="00877A9C"/>
    <w:rsid w:val="00885935"/>
    <w:rsid w:val="008A077B"/>
    <w:rsid w:val="008B3E20"/>
    <w:rsid w:val="008C2BC8"/>
    <w:rsid w:val="008E6EC2"/>
    <w:rsid w:val="008F397C"/>
    <w:rsid w:val="008F4239"/>
    <w:rsid w:val="00901510"/>
    <w:rsid w:val="00927BB4"/>
    <w:rsid w:val="0094175F"/>
    <w:rsid w:val="00954644"/>
    <w:rsid w:val="009561AD"/>
    <w:rsid w:val="0098356E"/>
    <w:rsid w:val="009A109D"/>
    <w:rsid w:val="009B27E5"/>
    <w:rsid w:val="009C48B5"/>
    <w:rsid w:val="009C6927"/>
    <w:rsid w:val="009F4BA4"/>
    <w:rsid w:val="009F7EDA"/>
    <w:rsid w:val="00A107D9"/>
    <w:rsid w:val="00A21ECB"/>
    <w:rsid w:val="00A27B15"/>
    <w:rsid w:val="00A53A02"/>
    <w:rsid w:val="00A563BA"/>
    <w:rsid w:val="00A61B3D"/>
    <w:rsid w:val="00A8001D"/>
    <w:rsid w:val="00AA59DE"/>
    <w:rsid w:val="00AB264F"/>
    <w:rsid w:val="00AC2FB1"/>
    <w:rsid w:val="00AD0E57"/>
    <w:rsid w:val="00AF0488"/>
    <w:rsid w:val="00AF2D58"/>
    <w:rsid w:val="00B05055"/>
    <w:rsid w:val="00B10122"/>
    <w:rsid w:val="00B11D09"/>
    <w:rsid w:val="00B13BDB"/>
    <w:rsid w:val="00B23654"/>
    <w:rsid w:val="00B31C88"/>
    <w:rsid w:val="00B761E0"/>
    <w:rsid w:val="00B86223"/>
    <w:rsid w:val="00B92396"/>
    <w:rsid w:val="00BD7114"/>
    <w:rsid w:val="00C002D5"/>
    <w:rsid w:val="00C02457"/>
    <w:rsid w:val="00C26039"/>
    <w:rsid w:val="00C31D68"/>
    <w:rsid w:val="00C322D8"/>
    <w:rsid w:val="00C328DC"/>
    <w:rsid w:val="00C364A7"/>
    <w:rsid w:val="00C507A7"/>
    <w:rsid w:val="00C60CB4"/>
    <w:rsid w:val="00C82E65"/>
    <w:rsid w:val="00CB6EC7"/>
    <w:rsid w:val="00CB7751"/>
    <w:rsid w:val="00CE257D"/>
    <w:rsid w:val="00CF6D2C"/>
    <w:rsid w:val="00D03A47"/>
    <w:rsid w:val="00D0512F"/>
    <w:rsid w:val="00D312E2"/>
    <w:rsid w:val="00D607FB"/>
    <w:rsid w:val="00D6335C"/>
    <w:rsid w:val="00D76351"/>
    <w:rsid w:val="00D911A0"/>
    <w:rsid w:val="00D97BB7"/>
    <w:rsid w:val="00DB46B6"/>
    <w:rsid w:val="00DB5E50"/>
    <w:rsid w:val="00DC6D9C"/>
    <w:rsid w:val="00DD3931"/>
    <w:rsid w:val="00DD5A1F"/>
    <w:rsid w:val="00DE38FF"/>
    <w:rsid w:val="00DE4551"/>
    <w:rsid w:val="00DE5606"/>
    <w:rsid w:val="00E2501E"/>
    <w:rsid w:val="00E2667E"/>
    <w:rsid w:val="00E51392"/>
    <w:rsid w:val="00E51F1D"/>
    <w:rsid w:val="00E52494"/>
    <w:rsid w:val="00E56DF6"/>
    <w:rsid w:val="00E66E1D"/>
    <w:rsid w:val="00E87E5F"/>
    <w:rsid w:val="00EA6B4F"/>
    <w:rsid w:val="00EC2DF2"/>
    <w:rsid w:val="00ED2FF9"/>
    <w:rsid w:val="00ED62A6"/>
    <w:rsid w:val="00EE36C9"/>
    <w:rsid w:val="00EE4FD2"/>
    <w:rsid w:val="00EF393C"/>
    <w:rsid w:val="00F06D83"/>
    <w:rsid w:val="00F070DD"/>
    <w:rsid w:val="00F074E1"/>
    <w:rsid w:val="00F1239A"/>
    <w:rsid w:val="00F307AE"/>
    <w:rsid w:val="00F455E8"/>
    <w:rsid w:val="00F60259"/>
    <w:rsid w:val="00F71CBF"/>
    <w:rsid w:val="00FA59D5"/>
    <w:rsid w:val="00FF36C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8926D9"/>
  <w15:chartTrackingRefBased/>
  <w15:docId w15:val="{5FCE5C03-213B-491F-A650-1E86FA19E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61E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761E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761E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761E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761E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761E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61E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61E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61E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61E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761E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761E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761E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761E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761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61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61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61E0"/>
    <w:rPr>
      <w:rFonts w:eastAsiaTheme="majorEastAsia" w:cstheme="majorBidi"/>
      <w:color w:val="272727" w:themeColor="text1" w:themeTint="D8"/>
    </w:rPr>
  </w:style>
  <w:style w:type="paragraph" w:styleId="Title">
    <w:name w:val="Title"/>
    <w:basedOn w:val="Normal"/>
    <w:next w:val="Normal"/>
    <w:link w:val="TitleChar"/>
    <w:uiPriority w:val="10"/>
    <w:qFormat/>
    <w:rsid w:val="00B761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61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61E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61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61E0"/>
    <w:pPr>
      <w:spacing w:before="160"/>
      <w:jc w:val="center"/>
    </w:pPr>
    <w:rPr>
      <w:i/>
      <w:iCs/>
      <w:color w:val="404040" w:themeColor="text1" w:themeTint="BF"/>
    </w:rPr>
  </w:style>
  <w:style w:type="character" w:customStyle="1" w:styleId="QuoteChar">
    <w:name w:val="Quote Char"/>
    <w:basedOn w:val="DefaultParagraphFont"/>
    <w:link w:val="Quote"/>
    <w:uiPriority w:val="29"/>
    <w:rsid w:val="00B761E0"/>
    <w:rPr>
      <w:i/>
      <w:iCs/>
      <w:color w:val="404040" w:themeColor="text1" w:themeTint="BF"/>
    </w:rPr>
  </w:style>
  <w:style w:type="paragraph" w:styleId="ListParagraph">
    <w:name w:val="List Paragraph"/>
    <w:basedOn w:val="Normal"/>
    <w:uiPriority w:val="34"/>
    <w:qFormat/>
    <w:rsid w:val="00B761E0"/>
    <w:pPr>
      <w:ind w:left="720"/>
      <w:contextualSpacing/>
    </w:pPr>
  </w:style>
  <w:style w:type="character" w:styleId="IntenseEmphasis">
    <w:name w:val="Intense Emphasis"/>
    <w:basedOn w:val="DefaultParagraphFont"/>
    <w:uiPriority w:val="21"/>
    <w:qFormat/>
    <w:rsid w:val="00B761E0"/>
    <w:rPr>
      <w:i/>
      <w:iCs/>
      <w:color w:val="2F5496" w:themeColor="accent1" w:themeShade="BF"/>
    </w:rPr>
  </w:style>
  <w:style w:type="paragraph" w:styleId="IntenseQuote">
    <w:name w:val="Intense Quote"/>
    <w:basedOn w:val="Normal"/>
    <w:next w:val="Normal"/>
    <w:link w:val="IntenseQuoteChar"/>
    <w:uiPriority w:val="30"/>
    <w:qFormat/>
    <w:rsid w:val="00B761E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761E0"/>
    <w:rPr>
      <w:i/>
      <w:iCs/>
      <w:color w:val="2F5496" w:themeColor="accent1" w:themeShade="BF"/>
    </w:rPr>
  </w:style>
  <w:style w:type="character" w:styleId="IntenseReference">
    <w:name w:val="Intense Reference"/>
    <w:basedOn w:val="DefaultParagraphFont"/>
    <w:uiPriority w:val="32"/>
    <w:qFormat/>
    <w:rsid w:val="00B761E0"/>
    <w:rPr>
      <w:b/>
      <w:bCs/>
      <w:smallCaps/>
      <w:color w:val="2F5496" w:themeColor="accent1" w:themeShade="BF"/>
      <w:spacing w:val="5"/>
    </w:rPr>
  </w:style>
  <w:style w:type="character" w:styleId="Hyperlink">
    <w:name w:val="Hyperlink"/>
    <w:basedOn w:val="DefaultParagraphFont"/>
    <w:uiPriority w:val="99"/>
    <w:unhideWhenUsed/>
    <w:rsid w:val="009C48B5"/>
    <w:rPr>
      <w:color w:val="0563C1" w:themeColor="hyperlink"/>
      <w:u w:val="single"/>
    </w:rPr>
  </w:style>
  <w:style w:type="character" w:customStyle="1" w:styleId="UnresolvedMention1">
    <w:name w:val="Unresolved Mention1"/>
    <w:basedOn w:val="DefaultParagraphFont"/>
    <w:uiPriority w:val="99"/>
    <w:semiHidden/>
    <w:unhideWhenUsed/>
    <w:rsid w:val="009C48B5"/>
    <w:rPr>
      <w:color w:val="605E5C"/>
      <w:shd w:val="clear" w:color="auto" w:fill="E1DFDD"/>
    </w:rPr>
  </w:style>
  <w:style w:type="paragraph" w:styleId="NormalWeb">
    <w:name w:val="Normal (Web)"/>
    <w:basedOn w:val="Normal"/>
    <w:uiPriority w:val="99"/>
    <w:semiHidden/>
    <w:unhideWhenUsed/>
    <w:rsid w:val="00255FFC"/>
    <w:rPr>
      <w:rFonts w:ascii="Times New Roman" w:hAnsi="Times New Roman" w:cs="Times New Roman"/>
    </w:rPr>
  </w:style>
  <w:style w:type="table" w:customStyle="1" w:styleId="Style111">
    <w:name w:val="Style111"/>
    <w:basedOn w:val="TableSimple1"/>
    <w:uiPriority w:val="99"/>
    <w:qFormat/>
    <w:rsid w:val="00C26039"/>
    <w:pPr>
      <w:spacing w:after="0" w:line="240" w:lineRule="auto"/>
    </w:pPr>
    <w:rPr>
      <w:rFonts w:ascii="Times New Roman" w:hAnsi="Times New Roman" w:cs="Times New Roman"/>
      <w:kern w:val="0"/>
      <w:sz w:val="20"/>
      <w:szCs w:val="20"/>
      <w:lang w:val="en-GB" w:eastAsia="fr-FR"/>
      <w14:ligatures w14:val="none"/>
    </w:rP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1">
    <w:name w:val="Table Simple 1"/>
    <w:basedOn w:val="TableNormal"/>
    <w:uiPriority w:val="99"/>
    <w:semiHidden/>
    <w:unhideWhenUsed/>
    <w:rsid w:val="00C2603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Grid">
    <w:name w:val="Table Grid"/>
    <w:basedOn w:val="TableNormal"/>
    <w:uiPriority w:val="39"/>
    <w:rsid w:val="00C260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0A5FB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igures">
    <w:name w:val="Figures"/>
    <w:basedOn w:val="Normal"/>
    <w:link w:val="FiguresCar"/>
    <w:qFormat/>
    <w:rsid w:val="008B3E20"/>
    <w:pPr>
      <w:autoSpaceDE w:val="0"/>
      <w:autoSpaceDN w:val="0"/>
      <w:adjustRightInd w:val="0"/>
      <w:spacing w:after="0" w:line="23" w:lineRule="atLeast"/>
    </w:pPr>
    <w:rPr>
      <w:rFonts w:ascii="Times New Roman" w:hAnsi="Times New Roman" w:cs="Times New Roman"/>
      <w:b/>
      <w:bCs/>
      <w:color w:val="000000"/>
      <w:kern w:val="0"/>
      <w:szCs w:val="23"/>
      <w14:ligatures w14:val="none"/>
    </w:rPr>
  </w:style>
  <w:style w:type="character" w:customStyle="1" w:styleId="FiguresCar">
    <w:name w:val="Figures Car"/>
    <w:basedOn w:val="DefaultParagraphFont"/>
    <w:link w:val="Figures"/>
    <w:rsid w:val="008B3E20"/>
    <w:rPr>
      <w:rFonts w:ascii="Times New Roman" w:hAnsi="Times New Roman" w:cs="Times New Roman"/>
      <w:b/>
      <w:bCs/>
      <w:color w:val="000000"/>
      <w:kern w:val="0"/>
      <w:szCs w:val="23"/>
      <w14:ligatures w14:val="none"/>
    </w:rPr>
  </w:style>
  <w:style w:type="table" w:customStyle="1" w:styleId="Style1112">
    <w:name w:val="Style1112"/>
    <w:basedOn w:val="TableSimple1"/>
    <w:uiPriority w:val="99"/>
    <w:qFormat/>
    <w:rsid w:val="00885935"/>
    <w:pPr>
      <w:spacing w:after="0" w:line="240" w:lineRule="auto"/>
    </w:pPr>
    <w:rPr>
      <w:rFonts w:ascii="Times New Roman" w:hAnsi="Times New Roman" w:cs="Times New Roman"/>
      <w:kern w:val="0"/>
      <w:lang w:eastAsia="fr-FR"/>
      <w14:ligatures w14:val="none"/>
    </w:rP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ausimple22">
    <w:name w:val="Tableau simple 22"/>
    <w:basedOn w:val="TableNormal"/>
    <w:next w:val="PlainTable2"/>
    <w:uiPriority w:val="42"/>
    <w:rsid w:val="00417C3C"/>
    <w:pPr>
      <w:spacing w:after="0" w:line="240" w:lineRule="auto"/>
    </w:pPr>
    <w:rPr>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417C3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5A60EC"/>
    <w:rPr>
      <w:color w:val="666666"/>
    </w:rPr>
  </w:style>
  <w:style w:type="paragraph" w:styleId="Bibliography">
    <w:name w:val="Bibliography"/>
    <w:basedOn w:val="Normal"/>
    <w:next w:val="Normal"/>
    <w:uiPriority w:val="37"/>
    <w:unhideWhenUsed/>
    <w:rsid w:val="0077707A"/>
    <w:pPr>
      <w:spacing w:after="0" w:line="480" w:lineRule="auto"/>
      <w:ind w:left="720" w:hanging="720"/>
    </w:pPr>
  </w:style>
  <w:style w:type="paragraph" w:styleId="Header">
    <w:name w:val="header"/>
    <w:basedOn w:val="Normal"/>
    <w:link w:val="HeaderChar"/>
    <w:uiPriority w:val="99"/>
    <w:unhideWhenUsed/>
    <w:rsid w:val="00027222"/>
    <w:pPr>
      <w:tabs>
        <w:tab w:val="center" w:pos="4536"/>
        <w:tab w:val="right" w:pos="9072"/>
      </w:tabs>
      <w:spacing w:after="0" w:line="240" w:lineRule="auto"/>
    </w:pPr>
  </w:style>
  <w:style w:type="character" w:customStyle="1" w:styleId="HeaderChar">
    <w:name w:val="Header Char"/>
    <w:basedOn w:val="DefaultParagraphFont"/>
    <w:link w:val="Header"/>
    <w:uiPriority w:val="99"/>
    <w:rsid w:val="00027222"/>
  </w:style>
  <w:style w:type="paragraph" w:styleId="Footer">
    <w:name w:val="footer"/>
    <w:basedOn w:val="Normal"/>
    <w:link w:val="FooterChar"/>
    <w:uiPriority w:val="99"/>
    <w:unhideWhenUsed/>
    <w:rsid w:val="00027222"/>
    <w:pPr>
      <w:tabs>
        <w:tab w:val="center" w:pos="4536"/>
        <w:tab w:val="right" w:pos="9072"/>
      </w:tabs>
      <w:spacing w:after="0" w:line="240" w:lineRule="auto"/>
    </w:pPr>
  </w:style>
  <w:style w:type="character" w:customStyle="1" w:styleId="FooterChar">
    <w:name w:val="Footer Char"/>
    <w:basedOn w:val="DefaultParagraphFont"/>
    <w:link w:val="Footer"/>
    <w:uiPriority w:val="99"/>
    <w:rsid w:val="00027222"/>
  </w:style>
  <w:style w:type="character" w:styleId="LineNumber">
    <w:name w:val="line number"/>
    <w:basedOn w:val="DefaultParagraphFont"/>
    <w:uiPriority w:val="99"/>
    <w:semiHidden/>
    <w:unhideWhenUsed/>
    <w:rsid w:val="002B34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20</Pages>
  <Words>17233</Words>
  <Characters>98234</Characters>
  <Application>Microsoft Office Word</Application>
  <DocSecurity>0</DocSecurity>
  <Lines>818</Lines>
  <Paragraphs>230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Géraldo HOUNDETON</dc:creator>
  <cp:keywords/>
  <dc:description/>
  <cp:lastModifiedBy>SDI 1084</cp:lastModifiedBy>
  <cp:revision>7</cp:revision>
  <dcterms:created xsi:type="dcterms:W3CDTF">2025-08-31T22:37:00Z</dcterms:created>
  <dcterms:modified xsi:type="dcterms:W3CDTF">2025-09-02T07:21:00Z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zotero-version="7.0.24"&gt;&lt;session id="f5T2ScnD"/&gt;&lt;style id="http://www.zotero.org/styles/apa" locale="fr-FR"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