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AE1" w:rsidRDefault="00D71AE1">
      <w:pPr>
        <w:spacing w:line="360" w:lineRule="auto"/>
        <w:jc w:val="center"/>
        <w:rPr>
          <w:rFonts w:ascii="Times New Roman" w:eastAsia="Times New Roman" w:hAnsi="Times New Roman" w:cs="Times New Roman"/>
          <w:sz w:val="24"/>
          <w:szCs w:val="24"/>
        </w:rPr>
      </w:pPr>
      <w:r w:rsidRPr="00D71AE1">
        <w:rPr>
          <w:rFonts w:ascii="Times New Roman" w:eastAsia="Times New Roman" w:hAnsi="Times New Roman" w:cs="Times New Roman"/>
          <w:sz w:val="24"/>
          <w:szCs w:val="24"/>
        </w:rPr>
        <w:t xml:space="preserve">Original Research Article </w:t>
      </w:r>
    </w:p>
    <w:p w:rsidR="002E79F6" w:rsidRDefault="000219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Toxicological Insights into Diuron Exposure: Evidence from a Tropical Estuarine Fish, Javanese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w:t>
      </w:r>
    </w:p>
    <w:p w:rsidR="00CC5199" w:rsidRPr="00CC5199" w:rsidRDefault="00CC5199" w:rsidP="00CC5199">
      <w:pPr>
        <w:spacing w:line="360" w:lineRule="auto"/>
        <w:jc w:val="center"/>
        <w:rPr>
          <w:rFonts w:ascii="Times New Roman" w:eastAsia="Times New Roman" w:hAnsi="Times New Roman" w:cs="Times New Roman"/>
          <w:i/>
          <w:sz w:val="24"/>
          <w:szCs w:val="24"/>
        </w:rPr>
      </w:pPr>
      <w:r w:rsidRPr="00CC5199">
        <w:rPr>
          <w:rFonts w:ascii="Times New Roman" w:eastAsia="Times New Roman" w:hAnsi="Times New Roman" w:cs="Times New Roman"/>
          <w:i/>
          <w:sz w:val="24"/>
          <w:szCs w:val="24"/>
        </w:rPr>
        <w:t xml:space="preserve"> </w:t>
      </w:r>
    </w:p>
    <w:p w:rsidR="002E79F6" w:rsidRDefault="00021946">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Diuron, a biocide widely used in agriculture and offshore industries, can cause acute toxicity in aquatic organisms, leading to fatal outcomes and behavioral disruptions. This study assessed its toxic effects on Javanese medaka (</w:t>
      </w:r>
      <w:proofErr w:type="spellStart"/>
      <w:r>
        <w:rPr>
          <w:rFonts w:ascii="Times New Roman" w:eastAsia="Times New Roman" w:hAnsi="Times New Roman" w:cs="Times New Roman"/>
          <w:bCs/>
          <w:i/>
          <w:iCs/>
          <w:sz w:val="24"/>
          <w:szCs w:val="24"/>
        </w:rPr>
        <w:t>Oryzias</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to determine safe exposure levels and support guideline development for Malaysian river and coastal waters. Eight triplicate treatments were prepared, each with 10 individuals (mean size 3.0 ± 0.3 cm, n = 240) exposed to 1.0 to 20.0 mg/L concentrations. Behavioral endpoints—surfacing, burst swimming, coordination, and pigmentation changes—were monitored, with responses observed starting at 5.0 mg/L. Acute toxicity was evaluated over 96 hours using </w:t>
      </w:r>
      <w:proofErr w:type="spellStart"/>
      <w:r>
        <w:rPr>
          <w:rFonts w:ascii="Times New Roman" w:eastAsia="Times New Roman" w:hAnsi="Times New Roman" w:cs="Times New Roman"/>
          <w:bCs/>
          <w:sz w:val="24"/>
          <w:szCs w:val="24"/>
        </w:rPr>
        <w:t>probit</w:t>
      </w:r>
      <w:proofErr w:type="spellEnd"/>
      <w:r>
        <w:rPr>
          <w:rFonts w:ascii="Times New Roman" w:eastAsia="Times New Roman" w:hAnsi="Times New Roman" w:cs="Times New Roman"/>
          <w:bCs/>
          <w:sz w:val="24"/>
          <w:szCs w:val="24"/>
        </w:rPr>
        <w:t xml:space="preserve"> analysis to calculate the median lethal concentration (LC₅₀), which was found to be 5.90 mg/L. No mortality occurred in the control groups. The results highlight the high sensitivity of </w:t>
      </w:r>
      <w:r>
        <w:rPr>
          <w:rFonts w:ascii="Times New Roman" w:eastAsia="Times New Roman" w:hAnsi="Times New Roman" w:cs="Times New Roman"/>
          <w:bCs/>
          <w:i/>
          <w:iCs/>
          <w:sz w:val="24"/>
          <w:szCs w:val="24"/>
        </w:rPr>
        <w:t xml:space="preserve">O.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to this herbicide, supporting its suitability as a bioindicator species for aquatic toxicants. Due to its ecological adaptability and sensitivity, Javanese medaka is a valuable tropical model for ecotoxicological research in Malaysia. </w:t>
      </w:r>
      <w:r>
        <w:rPr>
          <w:rFonts w:ascii="Times New Roman" w:eastAsia="Times New Roman" w:hAnsi="Times New Roman" w:cs="Times New Roman"/>
          <w:b/>
          <w:i/>
          <w:iCs/>
          <w:sz w:val="24"/>
          <w:szCs w:val="24"/>
        </w:rPr>
        <w:t>Keywords:</w:t>
      </w:r>
      <w:r>
        <w:rPr>
          <w:rFonts w:ascii="Times New Roman" w:eastAsia="Times New Roman" w:hAnsi="Times New Roman" w:cs="Times New Roman"/>
          <w:i/>
          <w:iCs/>
          <w:sz w:val="24"/>
          <w:szCs w:val="24"/>
        </w:rPr>
        <w:t xml:space="preserve"> herbicide, lethal toxicity, </w:t>
      </w:r>
      <w:proofErr w:type="spellStart"/>
      <w:r>
        <w:rPr>
          <w:rFonts w:ascii="Times New Roman" w:eastAsia="Times New Roman" w:hAnsi="Times New Roman" w:cs="Times New Roman"/>
          <w:i/>
          <w:iCs/>
          <w:sz w:val="24"/>
          <w:szCs w:val="24"/>
        </w:rPr>
        <w:t>probit</w:t>
      </w:r>
      <w:proofErr w:type="spellEnd"/>
      <w:r>
        <w:rPr>
          <w:rFonts w:ascii="Times New Roman" w:eastAsia="Times New Roman" w:hAnsi="Times New Roman" w:cs="Times New Roman"/>
          <w:i/>
          <w:iCs/>
          <w:sz w:val="24"/>
          <w:szCs w:val="24"/>
        </w:rPr>
        <w:t xml:space="preserve"> analysis, bio-monitoring agents</w:t>
      </w:r>
    </w:p>
    <w:p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Introduction</w:t>
      </w:r>
      <w:bookmarkStart w:id="0" w:name="_gjdgxs" w:colFirst="0" w:colLast="0"/>
      <w:bookmarkEnd w:id="0"/>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aquatic ecosystems can be compromised by various factors, particularly unforeseen pollution resulting from human activities, predominantly those associated with agricultural practices, as aquatic ecosystems are often primary sinks for pollutants from a variety of sources (Bashir et al., 2020; </w:t>
      </w:r>
      <w:proofErr w:type="spellStart"/>
      <w:r>
        <w:rPr>
          <w:rFonts w:ascii="Times New Roman" w:eastAsia="Times New Roman" w:hAnsi="Times New Roman" w:cs="Times New Roman"/>
          <w:sz w:val="24"/>
          <w:szCs w:val="24"/>
        </w:rPr>
        <w:t>Thanigaivel</w:t>
      </w:r>
      <w:proofErr w:type="spellEnd"/>
      <w:r>
        <w:rPr>
          <w:rFonts w:ascii="Times New Roman" w:eastAsia="Times New Roman" w:hAnsi="Times New Roman" w:cs="Times New Roman"/>
          <w:sz w:val="24"/>
          <w:szCs w:val="24"/>
        </w:rPr>
        <w:t xml:space="preserve"> et al., 2023). Aquatic ecosystems are impacted by the widespread use of agrochemicals such as herbicides in agriculture (Bashir et al., 2020; Bhat et al., 2018). In brief, these incidents will eventually cause harm to aquatic organisms in the long term. Diuron (3-(3,4-dichlorophenyl)-1,1-dimethylurea) is one of the widely known </w:t>
      </w:r>
      <w:proofErr w:type="spellStart"/>
      <w:r>
        <w:rPr>
          <w:rFonts w:ascii="Times New Roman" w:eastAsia="Times New Roman" w:hAnsi="Times New Roman" w:cs="Times New Roman"/>
          <w:sz w:val="24"/>
          <w:szCs w:val="24"/>
        </w:rPr>
        <w:t>phenylurea</w:t>
      </w:r>
      <w:proofErr w:type="spellEnd"/>
      <w:r>
        <w:rPr>
          <w:rFonts w:ascii="Times New Roman" w:eastAsia="Times New Roman" w:hAnsi="Times New Roman" w:cs="Times New Roman"/>
          <w:sz w:val="24"/>
          <w:szCs w:val="24"/>
        </w:rPr>
        <w:t xml:space="preserve"> herbicides that have been used in controlling pre-emergence weed growth in crop and non-crop areas (</w:t>
      </w:r>
      <w:proofErr w:type="spellStart"/>
      <w:r>
        <w:rPr>
          <w:rFonts w:ascii="Times New Roman" w:eastAsia="Times New Roman" w:hAnsi="Times New Roman" w:cs="Times New Roman"/>
          <w:sz w:val="24"/>
          <w:szCs w:val="24"/>
        </w:rPr>
        <w:t>Giacomazzi</w:t>
      </w:r>
      <w:proofErr w:type="spellEnd"/>
      <w:r>
        <w:rPr>
          <w:rFonts w:ascii="Times New Roman" w:eastAsia="Times New Roman" w:hAnsi="Times New Roman" w:cs="Times New Roman"/>
          <w:sz w:val="24"/>
          <w:szCs w:val="24"/>
        </w:rPr>
        <w:t xml:space="preserve"> &amp; Cochet, 2004; Das et al., 2024). This </w:t>
      </w:r>
      <w:r>
        <w:rPr>
          <w:rFonts w:ascii="Times New Roman" w:eastAsia="Times New Roman" w:hAnsi="Times New Roman" w:cs="Times New Roman"/>
          <w:sz w:val="24"/>
          <w:szCs w:val="24"/>
        </w:rPr>
        <w:lastRenderedPageBreak/>
        <w:t>herbicide is persistent in the soil, as aerobic soil degradation takes 372 days to complete, while 995 days are required for anaerobic soil degradation. The hydrolysis half-life at pH 7 takes 1240 to 1330 days to degrade in water (</w:t>
      </w:r>
      <w:proofErr w:type="spellStart"/>
      <w:r>
        <w:rPr>
          <w:rFonts w:ascii="Times New Roman" w:eastAsia="Times New Roman" w:hAnsi="Times New Roman" w:cs="Times New Roman"/>
          <w:sz w:val="24"/>
          <w:szCs w:val="24"/>
        </w:rPr>
        <w:t>Kollman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Segawa</w:t>
      </w:r>
      <w:proofErr w:type="spellEnd"/>
      <w:r>
        <w:rPr>
          <w:rFonts w:ascii="Times New Roman" w:eastAsia="Times New Roman" w:hAnsi="Times New Roman" w:cs="Times New Roman"/>
          <w:sz w:val="24"/>
          <w:szCs w:val="24"/>
        </w:rPr>
        <w:t>, 1995; DPR Pesticide Chemistry Database, 2003). </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Diuron contamination is a worldwide concern arising from its extensive application as a bioactive ingredient in anti-fouling paint and as an herbicide combination. A booster biocide, Diuron and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was assessed in the marine ecosystem in the Gulf of Napoli, Italy. The results showed a higher Diuron level concentration than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in all sampling sites. The dissolved concentrations of Diuron ranged from &lt;1 to 1380 ng/L compared to &lt;0.2 to 173 ng/L for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(Di </w:t>
      </w:r>
      <w:proofErr w:type="spellStart"/>
      <w:r>
        <w:rPr>
          <w:rFonts w:ascii="Times New Roman" w:eastAsia="Times New Roman" w:hAnsi="Times New Roman" w:cs="Times New Roman"/>
          <w:sz w:val="24"/>
          <w:szCs w:val="24"/>
        </w:rPr>
        <w:t>Landa</w:t>
      </w:r>
      <w:proofErr w:type="spellEnd"/>
      <w:r>
        <w:rPr>
          <w:rFonts w:ascii="Times New Roman" w:eastAsia="Times New Roman" w:hAnsi="Times New Roman" w:cs="Times New Roman"/>
          <w:sz w:val="24"/>
          <w:szCs w:val="24"/>
        </w:rPr>
        <w:t xml:space="preserve"> et al., 2009). The assessment of the natural environment, however, showed significantly lower levels of Diuron concentration compared to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obtained. Another study by </w:t>
      </w:r>
      <w:proofErr w:type="spellStart"/>
      <w:r>
        <w:rPr>
          <w:rFonts w:ascii="Times New Roman" w:eastAsia="Times New Roman" w:hAnsi="Times New Roman" w:cs="Times New Roman"/>
          <w:sz w:val="24"/>
          <w:szCs w:val="24"/>
        </w:rPr>
        <w:t>Kaonga</w:t>
      </w:r>
      <w:proofErr w:type="spellEnd"/>
      <w:r>
        <w:rPr>
          <w:rFonts w:ascii="Times New Roman" w:eastAsia="Times New Roman" w:hAnsi="Times New Roman" w:cs="Times New Roman"/>
          <w:sz w:val="24"/>
          <w:szCs w:val="24"/>
        </w:rPr>
        <w:t xml:space="preserve"> et al. (2015) assessed the contamination of Diuron in the </w:t>
      </w:r>
      <w:proofErr w:type="spellStart"/>
      <w:r>
        <w:rPr>
          <w:rFonts w:ascii="Times New Roman" w:eastAsia="Times New Roman" w:hAnsi="Times New Roman" w:cs="Times New Roman"/>
          <w:sz w:val="24"/>
          <w:szCs w:val="24"/>
        </w:rPr>
        <w:t>Seto</w:t>
      </w:r>
      <w:proofErr w:type="spellEnd"/>
      <w:r>
        <w:rPr>
          <w:rFonts w:ascii="Times New Roman" w:eastAsia="Times New Roman" w:hAnsi="Times New Roman" w:cs="Times New Roman"/>
          <w:sz w:val="24"/>
          <w:szCs w:val="24"/>
        </w:rPr>
        <w:t xml:space="preserve"> Island Sea, Japan. Their study recorded Diuron levels of 2.18 µg/L, 0.06 µg/L, 0.075 µg/g, 2.83 µg/g, and 4.12 µg/g for surface water, bottom water, sediments, plankton, and fish, respectively. The source of Diuron contamination is the anti-fouling paint used in the shipping industry. However, the concentration of Diuron in the surface water from Japan is much higher than in Italy, indicating that pesticide contamination occurred worldwide and is presumably severe in more developed countries with industrial and agricultural activities.</w:t>
      </w: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Malaysia, Diuron contamination in oil palm plantation soil was studied in Sepang, Selangor, where its residue can still be detected in the surface soil even after 90 days (Muhammad et al., 2013). Furthermore, the residue of this herbicide can also be found in the extracted crude palm oil matrices (Ramli et al., 2012). The findings suggested that Diuron is one of the main herbicides used in Malaysia. Diuron contamination of Malaysian coastal waters can significantly negatively impact the east coast coral reef (Ali et al., 2014) and blood cockle (Mukhtar et al., 2020) due to Diuron-based anti-fouling paint. Another affected area is Malaysia’s largest shipping port, Port </w:t>
      </w:r>
      <w:proofErr w:type="spellStart"/>
      <w:r>
        <w:rPr>
          <w:rFonts w:ascii="Times New Roman" w:eastAsia="Times New Roman" w:hAnsi="Times New Roman"/>
          <w:sz w:val="24"/>
          <w:szCs w:val="24"/>
        </w:rPr>
        <w:t>Klang</w:t>
      </w:r>
      <w:proofErr w:type="spellEnd"/>
      <w:r>
        <w:rPr>
          <w:rFonts w:ascii="Times New Roman" w:eastAsia="Times New Roman" w:hAnsi="Times New Roman"/>
          <w:sz w:val="24"/>
          <w:szCs w:val="24"/>
        </w:rPr>
        <w:t>, where Diuron residue can be found in sediments, pore water, and surface seawater due to leaching out from moored vessels, rapid industrialization, and active fishing activities (</w:t>
      </w:r>
      <w:proofErr w:type="spellStart"/>
      <w:r>
        <w:rPr>
          <w:rFonts w:ascii="Times New Roman" w:eastAsia="Times New Roman" w:hAnsi="Times New Roman"/>
          <w:sz w:val="24"/>
          <w:szCs w:val="24"/>
        </w:rPr>
        <w:t>Hanapiah</w:t>
      </w:r>
      <w:proofErr w:type="spellEnd"/>
      <w:r>
        <w:rPr>
          <w:rFonts w:ascii="Times New Roman" w:eastAsia="Times New Roman" w:hAnsi="Times New Roman"/>
          <w:sz w:val="24"/>
          <w:szCs w:val="24"/>
        </w:rPr>
        <w:t xml:space="preserve"> et al., 2017).</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 behavior is susceptible to environmental changes and contamination, particularly from pollutants that serve as environmental stressors (</w:t>
      </w:r>
      <w:proofErr w:type="spellStart"/>
      <w:r>
        <w:rPr>
          <w:rFonts w:ascii="Times New Roman" w:eastAsia="Times New Roman" w:hAnsi="Times New Roman" w:cs="Times New Roman"/>
          <w:sz w:val="24"/>
          <w:szCs w:val="24"/>
        </w:rPr>
        <w:t>Shahbazi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Jacquin</w:t>
      </w:r>
      <w:proofErr w:type="spellEnd"/>
      <w:r>
        <w:rPr>
          <w:rFonts w:ascii="Times New Roman" w:eastAsia="Times New Roman" w:hAnsi="Times New Roman" w:cs="Times New Roman"/>
          <w:sz w:val="24"/>
          <w:szCs w:val="24"/>
        </w:rPr>
        <w:t xml:space="preserve"> et al., 2020; Bertram et al., 2022). Behavioral observations offer dependable substitute evaluations since they are quicker, more perceptive, and more ecologically significant, offering </w:t>
      </w:r>
      <w:r>
        <w:rPr>
          <w:rFonts w:ascii="Times New Roman" w:eastAsia="Times New Roman" w:hAnsi="Times New Roman" w:cs="Times New Roman"/>
          <w:sz w:val="24"/>
          <w:szCs w:val="24"/>
        </w:rPr>
        <w:lastRenderedPageBreak/>
        <w:t xml:space="preserve">early alerts about the condition of an aquatic ecosystem's health (Sharma, 2019; Ford et al., 2021). In a previous study,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discovered that Diuron can cause notable behavioral changes in goldfish, including increased surfacing activity and fast or irregular swimming movements. Recent studies have shown that the agrochemical Diuron's acute toxicity towards aquatic organisms can be assessed using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Javanese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as a bio-indicator. Javanese medaka is naturally distributed in the coastal areas of Peninsular Thailand, Peninsular Malaysia, Indonesia, Singapore, and Western Borneo (</w:t>
      </w: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2009; Yusof et al., 2012; Yusof et al., 2013). Recent discoveries of Javanese medaka have been recorded in the natural coastal waters of South and Eastern Peninsular India, as updated by Angel et al. (2019). This euryhaline fish species can survive in waters of a wide salinity range from seawater, brackish, and freshwater ecosystems, making them ideal bio-indicator candidates for aquatic ecosystems. The Javanese medaka currently serves as a model species for ecotoxicological research due to studies demonstrating its vulnerability to toxicants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et al., 2018; Aziz et al., 2018;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et al., 2020; Lee et al., 2020). </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study are to evaluate the herbicide's safety levels during the exposure period and to find the Diuron 96-hour median lethal concentration toward the Javanese medaka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xml:space="preserve">) together with their behavioral reactions. While Diuron's effects have been investigated on several fish species, this work offers the first scientific account of Diuron's effects on the selected test organism,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The findings of this study contribute essential baseline data for environmental regulators, supporting the formulation of Diuron exposure guidelines and strengthening monitoring frameworks for aquatic pollution in tropical and subtropical regions.</w:t>
      </w:r>
    </w:p>
    <w:p w:rsidR="002E79F6" w:rsidRDefault="000219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w:t>
      </w:r>
    </w:p>
    <w:p w:rsidR="002E79F6" w:rsidRDefault="00021946">
      <w:pPr>
        <w:spacing w:line="360" w:lineRule="auto"/>
        <w:jc w:val="both"/>
        <w:rPr>
          <w:rFonts w:ascii="Times New Roman" w:eastAsia="SimSun" w:hAnsi="Times New Roman" w:cs="Times New Roman"/>
          <w:color w:val="0E101A"/>
          <w:sz w:val="24"/>
          <w:szCs w:val="24"/>
        </w:rPr>
      </w:pPr>
      <w:r>
        <w:rPr>
          <w:rFonts w:ascii="Times New Roman" w:eastAsia="SimSun" w:hAnsi="Times New Roman" w:cs="Times New Roman"/>
          <w:color w:val="0E101A"/>
          <w:sz w:val="24"/>
          <w:szCs w:val="24"/>
        </w:rPr>
        <w:t xml:space="preserve">The wild stock of Javanese medaka (family: </w:t>
      </w:r>
      <w:proofErr w:type="spellStart"/>
      <w:r>
        <w:rPr>
          <w:rFonts w:ascii="Times New Roman" w:eastAsia="SimSun" w:hAnsi="Times New Roman" w:cs="Times New Roman"/>
          <w:color w:val="0E101A"/>
          <w:sz w:val="24"/>
          <w:szCs w:val="24"/>
        </w:rPr>
        <w:t>Adrianichthyidae</w:t>
      </w:r>
      <w:proofErr w:type="spellEnd"/>
      <w:r>
        <w:rPr>
          <w:rFonts w:ascii="Times New Roman" w:eastAsia="SimSun" w:hAnsi="Times New Roman" w:cs="Times New Roman"/>
          <w:color w:val="0E101A"/>
          <w:sz w:val="24"/>
          <w:szCs w:val="24"/>
        </w:rPr>
        <w:t xml:space="preserve">, order: </w:t>
      </w:r>
      <w:proofErr w:type="spellStart"/>
      <w:r>
        <w:rPr>
          <w:rFonts w:ascii="Times New Roman" w:eastAsia="SimSun" w:hAnsi="Times New Roman" w:cs="Times New Roman"/>
          <w:color w:val="0E101A"/>
          <w:sz w:val="24"/>
          <w:szCs w:val="24"/>
        </w:rPr>
        <w:t>Beloniformes</w:t>
      </w:r>
      <w:proofErr w:type="spellEnd"/>
      <w:r>
        <w:rPr>
          <w:rFonts w:ascii="Times New Roman" w:eastAsia="SimSun" w:hAnsi="Times New Roman" w:cs="Times New Roman"/>
          <w:color w:val="0E101A"/>
          <w:sz w:val="24"/>
          <w:szCs w:val="24"/>
        </w:rPr>
        <w:t xml:space="preserve">) was collected from an estuarine area of Sungai </w:t>
      </w:r>
      <w:proofErr w:type="spellStart"/>
      <w:r>
        <w:rPr>
          <w:rFonts w:ascii="Times New Roman" w:eastAsia="SimSun" w:hAnsi="Times New Roman" w:cs="Times New Roman"/>
          <w:color w:val="0E101A"/>
          <w:sz w:val="24"/>
          <w:szCs w:val="24"/>
        </w:rPr>
        <w:t>Pelek</w:t>
      </w:r>
      <w:proofErr w:type="spellEnd"/>
      <w:r>
        <w:rPr>
          <w:rFonts w:ascii="Times New Roman" w:eastAsia="SimSun" w:hAnsi="Times New Roman" w:cs="Times New Roman"/>
          <w:color w:val="0E101A"/>
          <w:sz w:val="24"/>
          <w:szCs w:val="24"/>
        </w:rPr>
        <w:t xml:space="preserve">, Sepang, Selangor, Malaysia. The sampling followed the methods Aziz et al. described (2018). Customized nets were used, and adult medaka with more than 3.0 cm in size were collected and acclimatized in the laboratory for more than 6 months in a flow-through system. The water’s salinity was decreased daily until it became freshwater for easy maintenance under a 14-hour light: 10-hour dark photoperiod. </w:t>
      </w:r>
      <w:r>
        <w:rPr>
          <w:rFonts w:ascii="Times New Roman" w:eastAsia="SimSun" w:hAnsi="Times New Roman" w:cs="Times New Roman"/>
          <w:i/>
          <w:iCs/>
          <w:color w:val="0E101A"/>
          <w:sz w:val="24"/>
          <w:szCs w:val="24"/>
        </w:rPr>
        <w:t>Ad libitum</w:t>
      </w:r>
      <w:r>
        <w:rPr>
          <w:rFonts w:ascii="Times New Roman" w:eastAsia="SimSun" w:hAnsi="Times New Roman" w:cs="Times New Roman"/>
          <w:color w:val="0E101A"/>
          <w:sz w:val="24"/>
          <w:szCs w:val="24"/>
        </w:rPr>
        <w:t xml:space="preserve"> commercial pellets and freshly hatched brine shrimp (</w:t>
      </w:r>
      <w:r>
        <w:rPr>
          <w:rStyle w:val="Emphasis"/>
          <w:rFonts w:ascii="Times New Roman" w:eastAsia="SimSun" w:hAnsi="Times New Roman" w:cs="Times New Roman"/>
          <w:color w:val="0E101A"/>
          <w:sz w:val="24"/>
          <w:szCs w:val="24"/>
        </w:rPr>
        <w:t xml:space="preserve">Artemia </w:t>
      </w:r>
      <w:proofErr w:type="spellStart"/>
      <w:r>
        <w:rPr>
          <w:rStyle w:val="Emphasis"/>
          <w:rFonts w:ascii="Times New Roman" w:eastAsia="SimSun" w:hAnsi="Times New Roman" w:cs="Times New Roman"/>
          <w:color w:val="0E101A"/>
          <w:sz w:val="24"/>
          <w:szCs w:val="24"/>
        </w:rPr>
        <w:t>salina</w:t>
      </w:r>
      <w:proofErr w:type="spellEnd"/>
      <w:r>
        <w:rPr>
          <w:rFonts w:ascii="Times New Roman" w:eastAsia="SimSun" w:hAnsi="Times New Roman" w:cs="Times New Roman"/>
          <w:color w:val="0E101A"/>
          <w:sz w:val="24"/>
          <w:szCs w:val="24"/>
        </w:rPr>
        <w:t xml:space="preserve">) were fed to the medaka. Fish were deemed suitable for testing once acclimated and exhibiting regular </w:t>
      </w:r>
      <w:r>
        <w:rPr>
          <w:rFonts w:ascii="Times New Roman" w:eastAsia="SimSun" w:hAnsi="Times New Roman" w:cs="Times New Roman"/>
          <w:color w:val="0E101A"/>
          <w:sz w:val="24"/>
          <w:szCs w:val="24"/>
        </w:rPr>
        <w:lastRenderedPageBreak/>
        <w:t>spawning. Water parameters were monitored and adjusted throughout the trials using a water pump for aeration and pH balancing.</w:t>
      </w:r>
    </w:p>
    <w:p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Eight triplicates of the treatment solution were prepared, and 10 individuals with a size of 3.0 ± 0.3 cm (n = 240) of Javanese medaka were placed in each aquarium with a capacity of 6 L (17.5 x 18.0 x 38.0 cm). All the water parameters were closely monitored, and the temperature, pH, dissolved oxygen, and the mean results recorded (±SD) were 25.0 ± 1.0 °C, 7.0 ± 0.5, and 6.9 ± 0.6 mg/L, respectively. The aquariums containing fish specimens were exposed to Diuron with concentrations of 1.0, 5.0, 7.0, 10.0, 15.0, and 20.0 mg/L, respectively.</w:t>
      </w:r>
    </w:p>
    <w:p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Another two sets of treatments were not treated with Diuron, as they were the experimental and solvent controls. The reagents used in this study were all analytical reagent grade certified for their high purity. The treatment solutions were prepared using the powder form of the 98% D2425-100G Diuron (C</w:t>
      </w:r>
      <w:r>
        <w:rPr>
          <w:rFonts w:ascii="Times New Roman" w:eastAsia="Times New Roman" w:hAnsi="Times New Roman" w:cs="Times New Roman"/>
          <w:iCs/>
          <w:sz w:val="24"/>
          <w:szCs w:val="24"/>
          <w:vertAlign w:val="subscript"/>
        </w:rPr>
        <w:t>9</w:t>
      </w:r>
      <w:r>
        <w:rPr>
          <w:rFonts w:ascii="Times New Roman" w:eastAsia="Times New Roman" w:hAnsi="Times New Roman" w:cs="Times New Roman"/>
          <w:iCs/>
          <w:sz w:val="24"/>
          <w:szCs w:val="24"/>
        </w:rPr>
        <w:t>H</w:t>
      </w:r>
      <w:r>
        <w:rPr>
          <w:rFonts w:ascii="Times New Roman" w:eastAsia="Times New Roman" w:hAnsi="Times New Roman" w:cs="Times New Roman"/>
          <w:iCs/>
          <w:sz w:val="24"/>
          <w:szCs w:val="24"/>
          <w:vertAlign w:val="subscript"/>
        </w:rPr>
        <w:t>10</w:t>
      </w:r>
      <w:r>
        <w:rPr>
          <w:rFonts w:ascii="Times New Roman" w:eastAsia="Times New Roman" w:hAnsi="Times New Roman" w:cs="Times New Roman"/>
          <w:iCs/>
          <w:sz w:val="24"/>
          <w:szCs w:val="24"/>
        </w:rPr>
        <w:t>C</w:t>
      </w:r>
      <w:r>
        <w:rPr>
          <w:rFonts w:ascii="Times New Roman" w:eastAsia="Times New Roman" w:hAnsi="Times New Roman" w:cs="Times New Roman"/>
          <w:iCs/>
          <w:sz w:val="24"/>
          <w:szCs w:val="24"/>
          <w:vertAlign w:val="subscript"/>
        </w:rPr>
        <w:t>l2</w:t>
      </w:r>
      <w:r>
        <w:rPr>
          <w:rFonts w:ascii="Times New Roman" w:eastAsia="Times New Roman" w:hAnsi="Times New Roman" w:cs="Times New Roman"/>
          <w:iCs/>
          <w:sz w:val="24"/>
          <w:szCs w:val="24"/>
        </w:rPr>
        <w:t>N</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O) (Sigma-Aldrich, United States). While the solvent used was dimethyl sulfoxide (C</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HSO), (</w:t>
      </w:r>
      <w:proofErr w:type="spellStart"/>
      <w:r>
        <w:rPr>
          <w:rFonts w:ascii="Times New Roman" w:eastAsia="Times New Roman" w:hAnsi="Times New Roman" w:cs="Times New Roman"/>
          <w:iCs/>
          <w:sz w:val="24"/>
          <w:szCs w:val="24"/>
        </w:rPr>
        <w:t>Riendemann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Chmidt</w:t>
      </w:r>
      <w:proofErr w:type="spellEnd"/>
      <w:r>
        <w:rPr>
          <w:rFonts w:ascii="Times New Roman" w:eastAsia="Times New Roman" w:hAnsi="Times New Roman" w:cs="Times New Roman"/>
          <w:iCs/>
          <w:sz w:val="24"/>
          <w:szCs w:val="24"/>
        </w:rPr>
        <w:t xml:space="preserve">) (DMSO, </w:t>
      </w:r>
      <w:proofErr w:type="spellStart"/>
      <w:r>
        <w:rPr>
          <w:rFonts w:ascii="Times New Roman" w:eastAsia="Times New Roman" w:hAnsi="Times New Roman" w:cs="Times New Roman"/>
          <w:iCs/>
          <w:sz w:val="24"/>
          <w:szCs w:val="24"/>
        </w:rPr>
        <w:t>AnalaR</w:t>
      </w:r>
      <w:proofErr w:type="spellEnd"/>
      <w:r>
        <w:rPr>
          <w:rFonts w:ascii="Times New Roman" w:eastAsia="Times New Roman" w:hAnsi="Times New Roman" w:cs="Times New Roman"/>
          <w:iCs/>
          <w:sz w:val="24"/>
          <w:szCs w:val="24"/>
        </w:rPr>
        <w:t xml:space="preserve"> grade), Diuron did not completely dissolve in water. The safe level estimation of the Diuron herbicide was identified according to Sprague (1969), Committee on Water Quality Criteria (CWQC, 1972), National Academy of Sciences/National Academy of Engineering (NAS/NAE, 1972), International Joint Commission (IJC, 1977), Canadian Council of Resources and Environmental Ministry (CCREM, 1992; Hart et al., 1948).</w:t>
      </w:r>
    </w:p>
    <w:p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Behavioral observations were made during the first 15 minutes of exposure. Modified observations on the fishes’ diagnostic behavioral effects included surfacing, burst swimming, coordination, and skin pigmentation changes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Gerhardt, 2007) (Table 1). The control treatments were monitored as a reference to compare any behavioral changes. </w:t>
      </w:r>
    </w:p>
    <w:p w:rsidR="002E79F6" w:rsidRDefault="00021946">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1. </w:t>
      </w:r>
      <w:r>
        <w:rPr>
          <w:rFonts w:ascii="Times New Roman" w:eastAsia="Times New Roman" w:hAnsi="Times New Roman" w:cs="Times New Roman"/>
          <w:b/>
          <w:bCs/>
          <w:sz w:val="24"/>
          <w:szCs w:val="24"/>
        </w:rPr>
        <w:t xml:space="preserve">Criteria of </w:t>
      </w: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scores of Javanese medaka exposed with herbicide Diuron.</w:t>
      </w:r>
    </w:p>
    <w:tbl>
      <w:tblPr>
        <w:tblStyle w:val="TableGrid"/>
        <w:tblpPr w:leftFromText="180" w:rightFromText="180" w:vertAnchor="text" w:horzAnchor="page" w:tblpX="1830" w:tblpY="192"/>
        <w:tblOverlap w:val="never"/>
        <w:tblW w:w="8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6"/>
        <w:gridCol w:w="795"/>
        <w:gridCol w:w="5058"/>
      </w:tblGrid>
      <w:tr w:rsidR="002E79F6">
        <w:tc>
          <w:tcPr>
            <w:tcW w:w="2546" w:type="dxa"/>
            <w:tcBorders>
              <w:top w:val="single" w:sz="4" w:space="0" w:color="auto"/>
              <w:bottom w:val="single" w:sz="4" w:space="0" w:color="auto"/>
            </w:tcBorders>
          </w:tcPr>
          <w:p w:rsidR="002E79F6" w:rsidRDefault="00021946">
            <w:pPr>
              <w:spacing w:after="100" w:afterAutospacing="1"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w:t>
            </w:r>
          </w:p>
        </w:tc>
        <w:tc>
          <w:tcPr>
            <w:tcW w:w="795" w:type="dxa"/>
            <w:tcBorders>
              <w:top w:val="single" w:sz="4" w:space="0" w:color="auto"/>
              <w:bottom w:val="single" w:sz="4" w:space="0" w:color="auto"/>
            </w:tcBorders>
          </w:tcPr>
          <w:p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Score</w:t>
            </w:r>
          </w:p>
        </w:tc>
        <w:tc>
          <w:tcPr>
            <w:tcW w:w="5058" w:type="dxa"/>
            <w:tcBorders>
              <w:top w:val="single" w:sz="4" w:space="0" w:color="auto"/>
              <w:bottom w:val="single" w:sz="4" w:space="0" w:color="auto"/>
            </w:tcBorders>
          </w:tcPr>
          <w:p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Criteria</w:t>
            </w:r>
          </w:p>
        </w:tc>
      </w:tr>
      <w:tr w:rsidR="002E79F6">
        <w:tc>
          <w:tcPr>
            <w:tcW w:w="2546" w:type="dxa"/>
            <w:vMerge w:val="restart"/>
            <w:tcBorders>
              <w:top w:val="single" w:sz="4" w:space="0" w:color="auto"/>
            </w:tcBorders>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Surfacing</w:t>
            </w:r>
          </w:p>
        </w:tc>
        <w:tc>
          <w:tcPr>
            <w:tcW w:w="795" w:type="dxa"/>
            <w:tcBorders>
              <w:top w:val="single" w:sz="4" w:space="0" w:color="auto"/>
            </w:tcBorders>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Borders>
              <w:top w:val="single" w:sz="4" w:space="0" w:color="auto"/>
            </w:tcBorders>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surfacing</w:t>
            </w:r>
          </w:p>
        </w:tc>
      </w:tr>
      <w:tr w:rsidR="002E79F6">
        <w:tc>
          <w:tcPr>
            <w:tcW w:w="2546" w:type="dxa"/>
            <w:vMerge/>
          </w:tcPr>
          <w:p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Mouth opening at the surface </w:t>
            </w:r>
          </w:p>
        </w:tc>
      </w:tr>
      <w:tr w:rsidR="002E79F6">
        <w:tc>
          <w:tcPr>
            <w:tcW w:w="2546" w:type="dxa"/>
            <w:vMerge w:val="restart"/>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Burst Swimming</w:t>
            </w: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burst swimming</w:t>
            </w:r>
          </w:p>
        </w:tc>
      </w:tr>
      <w:tr w:rsidR="002E79F6">
        <w:tc>
          <w:tcPr>
            <w:tcW w:w="2546" w:type="dxa"/>
            <w:vMerge/>
          </w:tcPr>
          <w:p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 spurt and non-directed movement of </w:t>
            </w:r>
            <w:r>
              <w:rPr>
                <w:rFonts w:ascii="Times New Roman" w:eastAsia="Times New Roman" w:hAnsi="Times New Roman" w:cs="Times New Roman"/>
                <w:sz w:val="24"/>
                <w:szCs w:val="24"/>
              </w:rPr>
              <w:lastRenderedPageBreak/>
              <w:t>swimming</w:t>
            </w:r>
          </w:p>
        </w:tc>
      </w:tr>
      <w:tr w:rsidR="002E79F6">
        <w:tc>
          <w:tcPr>
            <w:tcW w:w="2546" w:type="dxa"/>
            <w:vMerge w:val="restart"/>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Coordination</w:t>
            </w: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fish in the group were highly coordinated </w:t>
            </w:r>
          </w:p>
        </w:tc>
      </w:tr>
      <w:tr w:rsidR="002E79F6">
        <w:tc>
          <w:tcPr>
            <w:tcW w:w="2546" w:type="dxa"/>
            <w:vMerge/>
          </w:tcPr>
          <w:p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No/low coordination. Fish were pointing in different directions</w:t>
            </w:r>
          </w:p>
        </w:tc>
      </w:tr>
      <w:tr w:rsidR="002E79F6">
        <w:trPr>
          <w:trHeight w:val="249"/>
        </w:trPr>
        <w:tc>
          <w:tcPr>
            <w:tcW w:w="2546" w:type="dxa"/>
            <w:vMerge w:val="restart"/>
          </w:tcPr>
          <w:p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skin pigmentation</w:t>
            </w:r>
          </w:p>
        </w:tc>
        <w:tc>
          <w:tcPr>
            <w:tcW w:w="795"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in skin pigmentation</w:t>
            </w:r>
          </w:p>
        </w:tc>
      </w:tr>
      <w:tr w:rsidR="002E79F6">
        <w:tc>
          <w:tcPr>
            <w:tcW w:w="2546" w:type="dxa"/>
            <w:vMerge/>
            <w:tcBorders>
              <w:bottom w:val="single" w:sz="4" w:space="0" w:color="auto"/>
            </w:tcBorders>
          </w:tcPr>
          <w:p w:rsidR="002E79F6" w:rsidRDefault="002E79F6">
            <w:pPr>
              <w:spacing w:after="100" w:afterAutospacing="1" w:line="240" w:lineRule="auto"/>
              <w:jc w:val="left"/>
              <w:rPr>
                <w:rFonts w:ascii="Times New Roman" w:eastAsia="Times New Roman" w:hAnsi="Times New Roman" w:cs="Times New Roman"/>
                <w:sz w:val="24"/>
                <w:szCs w:val="24"/>
              </w:rPr>
            </w:pPr>
          </w:p>
        </w:tc>
        <w:tc>
          <w:tcPr>
            <w:tcW w:w="795" w:type="dxa"/>
            <w:tcBorders>
              <w:bottom w:val="single" w:sz="4" w:space="0" w:color="auto"/>
            </w:tcBorders>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Borders>
              <w:bottom w:val="single" w:sz="4" w:space="0" w:color="auto"/>
            </w:tcBorders>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Skin color change from transparent to whitish body color</w:t>
            </w:r>
          </w:p>
        </w:tc>
      </w:tr>
    </w:tbl>
    <w:p w:rsidR="002E79F6" w:rsidRDefault="002E79F6">
      <w:pPr>
        <w:spacing w:line="480" w:lineRule="auto"/>
        <w:jc w:val="both"/>
        <w:rPr>
          <w:rFonts w:ascii="Times New Roman" w:eastAsia="Times New Roman" w:hAnsi="Times New Roman" w:cs="Times New Roman"/>
          <w:b/>
          <w:bCs/>
          <w:iCs/>
          <w:sz w:val="24"/>
          <w:szCs w:val="24"/>
        </w:rPr>
      </w:pPr>
    </w:p>
    <w:p w:rsidR="002E79F6" w:rsidRDefault="00021946">
      <w:pPr>
        <w:spacing w:line="360" w:lineRule="auto"/>
        <w:jc w:val="both"/>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The data obtained were subjected to a one-way analysis of variance (ANOVA) using the statistical package SPSS (Version 25.0). </w:t>
      </w:r>
      <w:r>
        <w:rPr>
          <w:rFonts w:ascii="Times New Roman" w:eastAsia="Times New Roman" w:hAnsi="Times New Roman" w:cs="Times New Roman"/>
          <w:iCs/>
          <w:sz w:val="24"/>
          <w:szCs w:val="24"/>
        </w:rPr>
        <w:t>The Diuron’s median lethal concentration towards adults of Javanese medaka (</w:t>
      </w:r>
      <w:r>
        <w:rPr>
          <w:rFonts w:ascii="Times New Roman" w:eastAsia="Times New Roman" w:hAnsi="Times New Roman" w:cs="Times New Roman"/>
          <w:i/>
          <w:sz w:val="24"/>
          <w:szCs w:val="24"/>
        </w:rPr>
        <w:t xml:space="preserve">O.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iCs/>
          <w:sz w:val="24"/>
          <w:szCs w:val="24"/>
        </w:rPr>
        <w:t xml:space="preserve">) was determined using the </w:t>
      </w:r>
      <w:proofErr w:type="spellStart"/>
      <w:r>
        <w:rPr>
          <w:rFonts w:ascii="Times New Roman" w:eastAsia="Times New Roman" w:hAnsi="Times New Roman" w:cs="Times New Roman"/>
          <w:iCs/>
          <w:sz w:val="24"/>
          <w:szCs w:val="24"/>
        </w:rPr>
        <w:t>probit</w:t>
      </w:r>
      <w:proofErr w:type="spellEnd"/>
      <w:r>
        <w:rPr>
          <w:rFonts w:ascii="Times New Roman" w:eastAsia="Times New Roman" w:hAnsi="Times New Roman" w:cs="Times New Roman"/>
          <w:iCs/>
          <w:sz w:val="24"/>
          <w:szCs w:val="24"/>
        </w:rPr>
        <w:t xml:space="preserve"> analysis method (</w:t>
      </w:r>
      <w:proofErr w:type="spellStart"/>
      <w:r>
        <w:rPr>
          <w:rFonts w:ascii="Times New Roman" w:eastAsia="Times New Roman" w:hAnsi="Times New Roman" w:cs="Times New Roman"/>
          <w:iCs/>
          <w:sz w:val="24"/>
          <w:szCs w:val="24"/>
        </w:rPr>
        <w:t>Soni</w:t>
      </w:r>
      <w:proofErr w:type="spellEnd"/>
      <w:r>
        <w:rPr>
          <w:rFonts w:ascii="Times New Roman" w:eastAsia="Times New Roman" w:hAnsi="Times New Roman" w:cs="Times New Roman"/>
          <w:iCs/>
          <w:sz w:val="24"/>
          <w:szCs w:val="24"/>
        </w:rPr>
        <w:t xml:space="preserve"> &amp; Verma, 2018; </w:t>
      </w:r>
      <w:r>
        <w:rPr>
          <w:rFonts w:ascii="Times New Roman" w:eastAsia="SimSun" w:hAnsi="Times New Roman"/>
          <w:color w:val="222222"/>
          <w:sz w:val="24"/>
          <w:szCs w:val="24"/>
          <w:shd w:val="clear" w:color="auto" w:fill="FFFFFF"/>
        </w:rPr>
        <w:t xml:space="preserve">Rana &amp; Gautam, 2022; </w:t>
      </w:r>
      <w:proofErr w:type="spellStart"/>
      <w:r>
        <w:rPr>
          <w:rFonts w:ascii="Times New Roman" w:eastAsia="SimSun" w:hAnsi="Times New Roman"/>
          <w:color w:val="222222"/>
          <w:sz w:val="24"/>
          <w:szCs w:val="24"/>
          <w:shd w:val="clear" w:color="auto" w:fill="FFFFFF"/>
        </w:rPr>
        <w:t>Uçar</w:t>
      </w:r>
      <w:proofErr w:type="spellEnd"/>
      <w:r>
        <w:rPr>
          <w:rFonts w:ascii="Times New Roman" w:eastAsia="SimSun" w:hAnsi="Times New Roman"/>
          <w:color w:val="222222"/>
          <w:sz w:val="24"/>
          <w:szCs w:val="24"/>
          <w:shd w:val="clear" w:color="auto" w:fill="FFFFFF"/>
        </w:rPr>
        <w:t>, 2024). </w:t>
      </w:r>
    </w:p>
    <w:p w:rsidR="002E79F6" w:rsidRDefault="000219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physical and chemical properties of the water treatment during the 96-hour toxicity test did not significantly differ from the acclimation period (p &gt; 0.05). It had a temperature of 25.0 ± 1.0°C, a dissolved oxygen content of 6.9 ± 0.6 mg/L, and a pH mean (±SD) of 7.0 ± 0.5. In the static renewal-toxicity test, the Javanese medaka's estimated mean 96-hour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was 5.90 mg/L (Figure 2). Throughout the experiment, no fish mortality was noted in the control group. </w:t>
      </w:r>
    </w:p>
    <w:p w:rsidR="002E79F6" w:rsidRDefault="002E79F6">
      <w:pPr>
        <w:spacing w:line="360" w:lineRule="auto"/>
        <w:jc w:val="both"/>
        <w:rPr>
          <w:rFonts w:ascii="Times New Roman" w:eastAsia="Times New Roman" w:hAnsi="Times New Roman"/>
          <w:sz w:val="24"/>
          <w:szCs w:val="24"/>
        </w:rPr>
      </w:pP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toxicity of the Diuron herbicide on adult Javanese medaka increased with the exposure time and in test solution concentrations. Direct visual observations were done after the fish were introduced into the test solution within 15 minutes. The medaka exhibited some behavioral abnormalities of "escaping" or avoidance behavior in response to the effects of the Diuron herbicide. The Javanese medaka showed erratic swimming movements from the bottom to the water's surface. The surfacing activity was fast, coupled with convulsions and jerky body movements. The fishes also lost their equilibrium and struggled for breathing as shown by their rapid operculum movements. However, no hemorrhage incident was observed on the fish's skin. The control treatment medaka showed normal swimming behavior and natural color with transparent bodies. The body color of treated fish at the highest concentration, 15.0 mg/L, showed body color changes from transparent to pale whitish (Figure 1). At lower concentrations, the changes in its behavior are not prominent. The estimated safe level values </w:t>
      </w:r>
      <w:r>
        <w:rPr>
          <w:rFonts w:ascii="Times New Roman" w:eastAsia="Times New Roman" w:hAnsi="Times New Roman"/>
          <w:sz w:val="24"/>
          <w:szCs w:val="24"/>
        </w:rPr>
        <w:lastRenderedPageBreak/>
        <w:t>of the Diuron herbicide for Javanese medaka ranged from 0.059 to 0.59 mg/L, as presented in Table 2.</w:t>
      </w:r>
    </w:p>
    <w:p w:rsidR="002E79F6" w:rsidRDefault="002E79F6">
      <w:pPr>
        <w:jc w:val="both"/>
        <w:rPr>
          <w:rFonts w:ascii="Times New Roman" w:hAnsi="Times New Roman" w:cs="Times New Roman"/>
          <w:sz w:val="24"/>
          <w:szCs w:val="24"/>
        </w:rPr>
      </w:pPr>
    </w:p>
    <w:p w:rsidR="002E79F6" w:rsidRDefault="00021946">
      <w:pPr>
        <w:jc w:val="both"/>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5299710</wp:posOffset>
                </wp:positionH>
                <wp:positionV relativeFrom="paragraph">
                  <wp:posOffset>19685</wp:posOffset>
                </wp:positionV>
                <wp:extent cx="129540" cy="523875"/>
                <wp:effectExtent l="50482" t="44768" r="73343" b="73342"/>
                <wp:wrapNone/>
                <wp:docPr id="2128906207"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eft Brace 2" o:spid="_x0000_s1026" o:spt="87" type="#_x0000_t87" style="position:absolute;left:0pt;margin-left:417.3pt;margin-top:1.55pt;height:41.25pt;width:10.2pt;rotation:5898240f;z-index:251660288;v-text-anchor:middle;mso-width-relative:page;mso-height-relative:page;" filled="f" stroked="t" coordsize="21600,21600" o:gfxdata="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kV9qs9cAAAAIAQAADwAAAAAAAAABACAAAAAiAAAAZHJzL2Rv&#10;d25yZXYueG1sUEsBAhQAFAAAAAgAh07iQECLptK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4646295</wp:posOffset>
                </wp:positionH>
                <wp:positionV relativeFrom="paragraph">
                  <wp:posOffset>30480</wp:posOffset>
                </wp:positionV>
                <wp:extent cx="129540" cy="523875"/>
                <wp:effectExtent l="50482" t="44768" r="73343" b="73342"/>
                <wp:wrapNone/>
                <wp:docPr id="1685618318"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eft Brace 2" o:spid="_x0000_s1026" o:spt="87" type="#_x0000_t87" style="position:absolute;left:0pt;margin-left:365.85pt;margin-top:2.4pt;height:41.25pt;width:10.2pt;rotation:5898240f;z-index:251659264;v-text-anchor:middle;mso-width-relative:page;mso-height-relative:page;" filled="f" stroked="t" coordsize="21600,21600" o:gfxdata="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8wlWNcAAAAIAQAADwAAAAAAAAABACAAAAAiAAAAZHJzL2Rv&#10;d25yZXYueG1sUEsBAhQAFAAAAAgAh07iQBu8wZ+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w:drawing>
          <wp:inline distT="0" distB="0" distL="114300" distR="114300">
            <wp:extent cx="5829300" cy="2802890"/>
            <wp:effectExtent l="0" t="0" r="0" b="1651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Behavioral responses of Javanese medaka in group of 30 to different treatments of herbicide Diuron. Remarks:</w:t>
      </w:r>
      <w:r>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rPr>
        <w:t>Different alphabets indicate a significant difference (p&lt;0.05) between the groups.</w:t>
      </w:r>
    </w:p>
    <w:p w:rsidR="002E79F6" w:rsidRDefault="00021946">
      <w:pPr>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114300" distR="114300">
            <wp:extent cx="4615180" cy="2533650"/>
            <wp:effectExtent l="0" t="0" r="1397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a:stretch>
                      <a:fillRect/>
                    </a:stretch>
                  </pic:blipFill>
                  <pic:spPr>
                    <a:xfrm>
                      <a:off x="0" y="0"/>
                      <a:ext cx="4615180" cy="2533650"/>
                    </a:xfrm>
                    <a:prstGeom prst="rect">
                      <a:avLst/>
                    </a:prstGeom>
                  </pic:spPr>
                </pic:pic>
              </a:graphicData>
            </a:graphic>
          </wp:inline>
        </w:drawing>
      </w:r>
    </w:p>
    <w:p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to determine the Lethal Concentration (50%) of Diuron acute exposure at different concentrations for 96 hours.</w:t>
      </w:r>
    </w:p>
    <w:p w:rsidR="002E79F6" w:rsidRDefault="002E79F6">
      <w:pPr>
        <w:jc w:val="both"/>
        <w:rPr>
          <w:rFonts w:ascii="Times New Roman" w:eastAsia="Times New Roman" w:hAnsi="Times New Roman" w:cs="Times New Roman"/>
          <w:sz w:val="24"/>
          <w:szCs w:val="24"/>
        </w:rPr>
      </w:pPr>
    </w:p>
    <w:tbl>
      <w:tblPr>
        <w:tblStyle w:val="Style10"/>
        <w:tblpPr w:leftFromText="180" w:rightFromText="180" w:vertAnchor="text" w:horzAnchor="margin" w:tblpY="-165"/>
        <w:tblOverlap w:val="never"/>
        <w:tblW w:w="9186" w:type="dxa"/>
        <w:tblInd w:w="0" w:type="dxa"/>
        <w:tblBorders>
          <w:top w:val="single" w:sz="4" w:space="0" w:color="auto"/>
          <w:bottom w:val="single" w:sz="4" w:space="0" w:color="auto"/>
        </w:tblBorders>
        <w:tblLayout w:type="fixed"/>
        <w:tblLook w:val="04A0" w:firstRow="1" w:lastRow="0" w:firstColumn="1" w:lastColumn="0" w:noHBand="0" w:noVBand="1"/>
      </w:tblPr>
      <w:tblGrid>
        <w:gridCol w:w="1458"/>
        <w:gridCol w:w="1350"/>
        <w:gridCol w:w="1980"/>
        <w:gridCol w:w="2070"/>
        <w:gridCol w:w="2328"/>
      </w:tblGrid>
      <w:tr w:rsidR="002E79F6" w:rsidTr="002E7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6" w:type="dxa"/>
            <w:gridSpan w:val="5"/>
            <w:tcBorders>
              <w:top w:val="nil"/>
              <w:bottom w:val="single" w:sz="4" w:space="0" w:color="auto"/>
            </w:tcBorders>
            <w:shd w:val="clear" w:color="auto" w:fill="auto"/>
            <w:tcMar>
              <w:top w:w="0" w:type="dxa"/>
              <w:left w:w="108" w:type="dxa"/>
              <w:bottom w:w="0" w:type="dxa"/>
              <w:right w:w="108" w:type="dxa"/>
            </w:tcMar>
          </w:tcPr>
          <w:p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Table 2. Safe level estimation of Diuron to Javanese medaka (</w:t>
            </w:r>
            <w:proofErr w:type="spellStart"/>
            <w:r>
              <w:rPr>
                <w:rFonts w:ascii="Times New Roman" w:eastAsia="Times New Roman" w:hAnsi="Times New Roman" w:cs="Times New Roman"/>
                <w:b w:val="0"/>
                <w:i/>
                <w:sz w:val="24"/>
                <w:szCs w:val="24"/>
              </w:rPr>
              <w:t>Oryzias</w:t>
            </w:r>
            <w:proofErr w:type="spellEnd"/>
            <w:r>
              <w:rPr>
                <w:rFonts w:ascii="Times New Roman" w:eastAsia="Times New Roman" w:hAnsi="Times New Roman" w:cs="Times New Roman"/>
                <w:b w:val="0"/>
                <w:i/>
                <w:sz w:val="24"/>
                <w:szCs w:val="24"/>
              </w:rPr>
              <w:t xml:space="preserve"> </w:t>
            </w:r>
            <w:proofErr w:type="spellStart"/>
            <w:r>
              <w:rPr>
                <w:rFonts w:ascii="Times New Roman" w:eastAsia="Times New Roman" w:hAnsi="Times New Roman" w:cs="Times New Roman"/>
                <w:b w:val="0"/>
                <w:i/>
                <w:sz w:val="24"/>
                <w:szCs w:val="24"/>
              </w:rPr>
              <w:t>javanicus</w:t>
            </w:r>
            <w:proofErr w:type="spellEnd"/>
            <w:r>
              <w:rPr>
                <w:rFonts w:ascii="Times New Roman" w:eastAsia="Times New Roman" w:hAnsi="Times New Roman" w:cs="Times New Roman"/>
                <w:b w:val="0"/>
                <w:sz w:val="24"/>
                <w:szCs w:val="24"/>
              </w:rPr>
              <w:t>)</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bottom w:val="single" w:sz="4" w:space="0" w:color="auto"/>
            </w:tcBorders>
            <w:shd w:val="clear" w:color="auto" w:fill="auto"/>
            <w:tcMar>
              <w:top w:w="0" w:type="dxa"/>
              <w:left w:w="108" w:type="dxa"/>
              <w:bottom w:w="0" w:type="dxa"/>
              <w:right w:w="108" w:type="dxa"/>
            </w:tcMar>
          </w:tcPr>
          <w:p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Chemical </w:t>
            </w:r>
          </w:p>
        </w:tc>
        <w:tc>
          <w:tcPr>
            <w:tcW w:w="1350" w:type="dxa"/>
            <w:tcBorders>
              <w:top w:val="single" w:sz="4" w:space="0" w:color="auto"/>
              <w:bottom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96h-LC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(mg/L) </w:t>
            </w:r>
          </w:p>
        </w:tc>
        <w:tc>
          <w:tcPr>
            <w:tcW w:w="1980" w:type="dxa"/>
            <w:tcBorders>
              <w:top w:val="single" w:sz="4" w:space="0" w:color="auto"/>
              <w:bottom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Method</w:t>
            </w:r>
          </w:p>
        </w:tc>
        <w:tc>
          <w:tcPr>
            <w:tcW w:w="2070" w:type="dxa"/>
            <w:tcBorders>
              <w:top w:val="single" w:sz="4" w:space="0" w:color="auto"/>
              <w:bottom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Calculation/ Application Factor</w:t>
            </w:r>
          </w:p>
        </w:tc>
        <w:tc>
          <w:tcPr>
            <w:tcW w:w="2328" w:type="dxa"/>
            <w:tcBorders>
              <w:top w:val="single" w:sz="4" w:space="0" w:color="auto"/>
              <w:bottom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of Safety Level (mg/L)</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tcBorders>
            <w:shd w:val="clear" w:color="auto" w:fill="auto"/>
            <w:tcMar>
              <w:top w:w="0" w:type="dxa"/>
              <w:left w:w="108" w:type="dxa"/>
              <w:bottom w:w="0" w:type="dxa"/>
              <w:right w:w="108" w:type="dxa"/>
            </w:tcMar>
          </w:tcPr>
          <w:p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Diuron</w:t>
            </w:r>
          </w:p>
        </w:tc>
        <w:tc>
          <w:tcPr>
            <w:tcW w:w="1350" w:type="dxa"/>
            <w:tcBorders>
              <w:top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Sprague (1971)</w:t>
            </w:r>
          </w:p>
        </w:tc>
        <w:tc>
          <w:tcPr>
            <w:tcW w:w="2070" w:type="dxa"/>
            <w:tcBorders>
              <w:top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328" w:type="dxa"/>
            <w:tcBorders>
              <w:top w:val="single" w:sz="4" w:space="0" w:color="auto"/>
            </w:tcBorders>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CWQC (1972)</w:t>
            </w:r>
          </w:p>
        </w:tc>
        <w:tc>
          <w:tcPr>
            <w:tcW w:w="207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2328"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NAS/NAE (1973)</w:t>
            </w:r>
          </w:p>
        </w:tc>
        <w:tc>
          <w:tcPr>
            <w:tcW w:w="207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0.1-0.00001</w:t>
            </w:r>
          </w:p>
        </w:tc>
        <w:tc>
          <w:tcPr>
            <w:tcW w:w="2328"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0.590-0.000059</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CCREM (1991)</w:t>
            </w:r>
          </w:p>
        </w:tc>
        <w:tc>
          <w:tcPr>
            <w:tcW w:w="207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328"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0.295</w:t>
            </w:r>
          </w:p>
        </w:tc>
      </w:tr>
      <w:tr w:rsidR="002E79F6"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IJC (1977)</w:t>
            </w:r>
          </w:p>
        </w:tc>
        <w:tc>
          <w:tcPr>
            <w:tcW w:w="2070"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of 96h-LC</w:t>
            </w:r>
            <w:r>
              <w:rPr>
                <w:rFonts w:ascii="Times New Roman" w:eastAsia="Times New Roman" w:hAnsi="Times New Roman" w:cs="Times New Roman"/>
                <w:sz w:val="24"/>
                <w:szCs w:val="24"/>
                <w:vertAlign w:val="subscript"/>
              </w:rPr>
              <w:t>50</w:t>
            </w:r>
          </w:p>
        </w:tc>
        <w:tc>
          <w:tcPr>
            <w:tcW w:w="2328" w:type="dxa"/>
            <w:shd w:val="clear" w:color="auto" w:fill="auto"/>
            <w:tcMar>
              <w:top w:w="0" w:type="dxa"/>
              <w:left w:w="108" w:type="dxa"/>
              <w:bottom w:w="0" w:type="dxa"/>
              <w:right w:w="108" w:type="dxa"/>
            </w:tcMar>
          </w:tcPr>
          <w:p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0.295 </w:t>
            </w:r>
          </w:p>
        </w:tc>
      </w:tr>
    </w:tbl>
    <w:p w:rsidR="002E79F6" w:rsidRDefault="002E79F6">
      <w:pPr>
        <w:jc w:val="both"/>
        <w:rPr>
          <w:rFonts w:ascii="Times New Roman" w:eastAsia="Times New Roman" w:hAnsi="Times New Roman" w:cs="Times New Roman"/>
          <w:sz w:val="24"/>
          <w:szCs w:val="24"/>
        </w:rPr>
      </w:pPr>
    </w:p>
    <w:tbl>
      <w:tblPr>
        <w:tblStyle w:val="Style11"/>
        <w:tblpPr w:leftFromText="180" w:rightFromText="180" w:vertAnchor="page" w:horzAnchor="margin" w:tblpY="1669"/>
        <w:tblW w:w="9198"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55"/>
        <w:gridCol w:w="1174"/>
        <w:gridCol w:w="1450"/>
        <w:gridCol w:w="2439"/>
        <w:gridCol w:w="1980"/>
      </w:tblGrid>
      <w:tr w:rsidR="002E79F6">
        <w:trPr>
          <w:trHeight w:val="342"/>
        </w:trPr>
        <w:tc>
          <w:tcPr>
            <w:tcW w:w="9198" w:type="dxa"/>
            <w:gridSpan w:val="5"/>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Ecological toxicity of Diuron on different species of fish.</w:t>
            </w:r>
          </w:p>
        </w:tc>
      </w:tr>
      <w:tr w:rsidR="002E79F6">
        <w:trPr>
          <w:trHeight w:val="862"/>
        </w:trPr>
        <w:tc>
          <w:tcPr>
            <w:tcW w:w="2155" w:type="dxa"/>
            <w:tcBorders>
              <w:top w:val="single" w:sz="4" w:space="0" w:color="000000"/>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species</w:t>
            </w:r>
          </w:p>
        </w:tc>
        <w:tc>
          <w:tcPr>
            <w:tcW w:w="1174" w:type="dxa"/>
            <w:tcBorders>
              <w:top w:val="single" w:sz="4" w:space="0" w:color="000000"/>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 of life</w:t>
            </w:r>
          </w:p>
        </w:tc>
        <w:tc>
          <w:tcPr>
            <w:tcW w:w="1450" w:type="dxa"/>
            <w:tcBorders>
              <w:top w:val="single" w:sz="4" w:space="0" w:color="000000"/>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 of Exposure (Hours)</w:t>
            </w:r>
          </w:p>
        </w:tc>
        <w:tc>
          <w:tcPr>
            <w:tcW w:w="2439" w:type="dxa"/>
            <w:tcBorders>
              <w:top w:val="single" w:sz="4" w:space="0" w:color="000000"/>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 Lethal Concentration (LC</w:t>
            </w:r>
            <w:r>
              <w:rPr>
                <w:rFonts w:ascii="Times New Roman" w:eastAsia="Times New Roman" w:hAnsi="Times New Roman" w:cs="Times New Roman"/>
                <w:b/>
                <w:sz w:val="24"/>
                <w:szCs w:val="24"/>
                <w:vertAlign w:val="subscript"/>
              </w:rPr>
              <w:t>50</w:t>
            </w:r>
            <w:r>
              <w:rPr>
                <w:rFonts w:ascii="Times New Roman" w:eastAsia="Times New Roman" w:hAnsi="Times New Roman" w:cs="Times New Roman"/>
                <w:b/>
                <w:sz w:val="24"/>
                <w:szCs w:val="24"/>
              </w:rPr>
              <w:t>) (mg/L)</w:t>
            </w:r>
          </w:p>
        </w:tc>
        <w:tc>
          <w:tcPr>
            <w:tcW w:w="1980" w:type="dxa"/>
            <w:tcBorders>
              <w:top w:val="single" w:sz="4" w:space="0" w:color="000000"/>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E79F6">
        <w:trPr>
          <w:trHeight w:val="550"/>
        </w:trPr>
        <w:tc>
          <w:tcPr>
            <w:tcW w:w="2155" w:type="dxa"/>
            <w:tcBorders>
              <w:top w:val="single" w:sz="4" w:space="0" w:color="000000"/>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Javanese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w:t>
            </w:r>
          </w:p>
        </w:tc>
        <w:tc>
          <w:tcPr>
            <w:tcW w:w="1174" w:type="dxa"/>
            <w:tcBorders>
              <w:top w:val="single" w:sz="4" w:space="0" w:color="000000"/>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single" w:sz="4" w:space="0" w:color="000000"/>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single" w:sz="4" w:space="0" w:color="000000"/>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000000"/>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p>
        </w:tc>
      </w:tr>
      <w:tr w:rsidR="002E79F6">
        <w:tc>
          <w:tcPr>
            <w:tcW w:w="2155"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Zebrafish</w:t>
            </w:r>
          </w:p>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Embryo</w:t>
            </w:r>
          </w:p>
        </w:tc>
        <w:tc>
          <w:tcPr>
            <w:tcW w:w="145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98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et al., 2017)</w:t>
            </w:r>
          </w:p>
        </w:tc>
      </w:tr>
      <w:tr w:rsidR="002E79F6">
        <w:tc>
          <w:tcPr>
            <w:tcW w:w="2155"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Fathead minnows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Juvenile</w:t>
            </w:r>
          </w:p>
        </w:tc>
        <w:tc>
          <w:tcPr>
            <w:tcW w:w="145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198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(Call et al., 1987)</w:t>
            </w:r>
          </w:p>
        </w:tc>
      </w:tr>
      <w:tr w:rsidR="002E79F6">
        <w:tc>
          <w:tcPr>
            <w:tcW w:w="2155"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Sheepshead Minnow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color w:val="222222"/>
                <w:sz w:val="24"/>
                <w:szCs w:val="24"/>
                <w:highlight w:val="white"/>
              </w:rPr>
              <w:t>Cyprinodon</w:t>
            </w:r>
            <w:proofErr w:type="spellEnd"/>
            <w:r>
              <w:rPr>
                <w:rFonts w:ascii="Times New Roman" w:eastAsia="Times New Roman" w:hAnsi="Times New Roman" w:cs="Times New Roman"/>
                <w:i/>
                <w:color w:val="222222"/>
                <w:sz w:val="24"/>
                <w:szCs w:val="24"/>
                <w:highlight w:val="white"/>
              </w:rPr>
              <w:t xml:space="preserve"> variegatus)</w:t>
            </w:r>
          </w:p>
        </w:tc>
        <w:tc>
          <w:tcPr>
            <w:tcW w:w="1174"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98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tc>
          <w:tcPr>
            <w:tcW w:w="2155"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Cutthroat trout (</w:t>
            </w:r>
            <w:r>
              <w:rPr>
                <w:rFonts w:ascii="Times New Roman" w:eastAsia="Times New Roman" w:hAnsi="Times New Roman" w:cs="Times New Roman"/>
                <w:i/>
                <w:sz w:val="24"/>
                <w:szCs w:val="24"/>
              </w:rPr>
              <w:t xml:space="preserve">Oncorhynchus </w:t>
            </w:r>
            <w:proofErr w:type="spellStart"/>
            <w:r>
              <w:rPr>
                <w:rFonts w:ascii="Times New Roman" w:eastAsia="Times New Roman" w:hAnsi="Times New Roman" w:cs="Times New Roman"/>
                <w:i/>
                <w:sz w:val="24"/>
                <w:szCs w:val="24"/>
              </w:rPr>
              <w:t>clarkii</w:t>
            </w:r>
            <w:proofErr w:type="spellEnd"/>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980" w:type="dxa"/>
            <w:vMerge w:val="restart"/>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and </w:t>
            </w:r>
            <w:proofErr w:type="spellStart"/>
            <w:r>
              <w:rPr>
                <w:rFonts w:ascii="Times New Roman" w:eastAsia="Times New Roman" w:hAnsi="Times New Roman" w:cs="Times New Roman"/>
                <w:sz w:val="24"/>
                <w:szCs w:val="24"/>
              </w:rPr>
              <w:t>Filey</w:t>
            </w:r>
            <w:proofErr w:type="spellEnd"/>
            <w:r>
              <w:rPr>
                <w:rFonts w:ascii="Times New Roman" w:eastAsia="Times New Roman" w:hAnsi="Times New Roman" w:cs="Times New Roman"/>
                <w:sz w:val="24"/>
                <w:szCs w:val="24"/>
              </w:rPr>
              <w:t>, 1980)</w:t>
            </w:r>
          </w:p>
        </w:tc>
      </w:tr>
      <w:tr w:rsidR="002E79F6">
        <w:tc>
          <w:tcPr>
            <w:tcW w:w="2155"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980" w:type="dxa"/>
            <w:vMerge/>
            <w:tcBorders>
              <w:top w:val="nil"/>
              <w:left w:val="nil"/>
              <w:bottom w:val="nil"/>
              <w:right w:val="nil"/>
            </w:tcBorders>
            <w:tcMar>
              <w:top w:w="0" w:type="dxa"/>
              <w:left w:w="108" w:type="dxa"/>
              <w:bottom w:w="0" w:type="dxa"/>
              <w:right w:w="108" w:type="dxa"/>
            </w:tcMar>
          </w:tcPr>
          <w:p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tc>
          <w:tcPr>
            <w:tcW w:w="2155" w:type="dxa"/>
            <w:vMerge w:val="restart"/>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Bluegill (</w:t>
            </w:r>
            <w:proofErr w:type="spellStart"/>
            <w:r>
              <w:rPr>
                <w:rFonts w:ascii="Times New Roman" w:eastAsia="Times New Roman" w:hAnsi="Times New Roman" w:cs="Times New Roman"/>
                <w:i/>
                <w:sz w:val="24"/>
                <w:szCs w:val="24"/>
              </w:rPr>
              <w:t>Lepomis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macrochirus</w:t>
            </w:r>
            <w:proofErr w:type="spellEnd"/>
            <w:r>
              <w:rPr>
                <w:rFonts w:ascii="Times New Roman" w:eastAsia="Times New Roman" w:hAnsi="Times New Roman" w:cs="Times New Roman"/>
                <w:sz w:val="24"/>
                <w:szCs w:val="24"/>
              </w:rPr>
              <w:t>)</w:t>
            </w:r>
          </w:p>
        </w:tc>
        <w:tc>
          <w:tcPr>
            <w:tcW w:w="1174" w:type="dxa"/>
            <w:vMerge w:val="restart"/>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vMerge w:val="restart"/>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c>
          <w:tcPr>
            <w:tcW w:w="1980" w:type="dxa"/>
            <w:vMerge/>
            <w:tcBorders>
              <w:top w:val="nil"/>
              <w:left w:val="nil"/>
              <w:bottom w:val="nil"/>
              <w:right w:val="nil"/>
            </w:tcBorders>
            <w:tcMar>
              <w:top w:w="0" w:type="dxa"/>
              <w:left w:w="108" w:type="dxa"/>
              <w:bottom w:w="0" w:type="dxa"/>
              <w:right w:w="108" w:type="dxa"/>
            </w:tcMar>
          </w:tcPr>
          <w:p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tc>
          <w:tcPr>
            <w:tcW w:w="2155" w:type="dxa"/>
            <w:vMerge/>
            <w:tcBorders>
              <w:top w:val="nil"/>
              <w:left w:val="nil"/>
              <w:bottom w:val="nil"/>
              <w:right w:val="nil"/>
            </w:tcBorders>
            <w:tcMar>
              <w:top w:w="0" w:type="dxa"/>
              <w:left w:w="108" w:type="dxa"/>
              <w:bottom w:w="0" w:type="dxa"/>
              <w:right w:w="108" w:type="dxa"/>
            </w:tcMar>
          </w:tcPr>
          <w:p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174" w:type="dxa"/>
            <w:vMerge/>
            <w:tcBorders>
              <w:top w:val="nil"/>
              <w:left w:val="nil"/>
              <w:bottom w:val="nil"/>
              <w:right w:val="nil"/>
            </w:tcBorders>
            <w:tcMar>
              <w:top w:w="0" w:type="dxa"/>
              <w:left w:w="108" w:type="dxa"/>
              <w:bottom w:w="0" w:type="dxa"/>
              <w:right w:w="108" w:type="dxa"/>
            </w:tcMar>
          </w:tcPr>
          <w:p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450" w:type="dxa"/>
            <w:vMerge/>
            <w:tcBorders>
              <w:top w:val="nil"/>
              <w:left w:val="nil"/>
              <w:bottom w:val="nil"/>
              <w:right w:val="nil"/>
            </w:tcBorders>
            <w:tcMar>
              <w:top w:w="0" w:type="dxa"/>
              <w:left w:w="108" w:type="dxa"/>
              <w:bottom w:w="0" w:type="dxa"/>
              <w:right w:w="108" w:type="dxa"/>
            </w:tcMar>
          </w:tcPr>
          <w:p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2439"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nil"/>
              <w:left w:val="nil"/>
              <w:bottom w:val="nil"/>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trPr>
          <w:trHeight w:val="90"/>
        </w:trPr>
        <w:tc>
          <w:tcPr>
            <w:tcW w:w="2155" w:type="dxa"/>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 trout (</w:t>
            </w:r>
            <w:r>
              <w:rPr>
                <w:rFonts w:ascii="Times New Roman" w:eastAsia="Times New Roman" w:hAnsi="Times New Roman" w:cs="Times New Roman"/>
                <w:i/>
                <w:sz w:val="24"/>
                <w:szCs w:val="24"/>
              </w:rPr>
              <w:t xml:space="preserve">Salvelinus </w:t>
            </w:r>
            <w:proofErr w:type="spellStart"/>
            <w:r>
              <w:rPr>
                <w:rFonts w:ascii="Times New Roman" w:eastAsia="Times New Roman" w:hAnsi="Times New Roman" w:cs="Times New Roman"/>
                <w:i/>
                <w:sz w:val="24"/>
                <w:szCs w:val="24"/>
              </w:rPr>
              <w:t>namaycush</w:t>
            </w:r>
            <w:proofErr w:type="spellEnd"/>
            <w:r>
              <w:rPr>
                <w:rFonts w:ascii="Times New Roman" w:eastAsia="Times New Roman" w:hAnsi="Times New Roman" w:cs="Times New Roman"/>
                <w:sz w:val="24"/>
                <w:szCs w:val="24"/>
              </w:rPr>
              <w:t>)</w:t>
            </w:r>
          </w:p>
        </w:tc>
        <w:tc>
          <w:tcPr>
            <w:tcW w:w="1174" w:type="dxa"/>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439" w:type="dxa"/>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980" w:type="dxa"/>
            <w:tcBorders>
              <w:top w:val="nil"/>
              <w:left w:val="nil"/>
              <w:bottom w:val="single" w:sz="4" w:space="0" w:color="000000"/>
              <w:right w:val="nil"/>
            </w:tcBorders>
            <w:tcMar>
              <w:top w:w="0" w:type="dxa"/>
              <w:left w:w="108" w:type="dxa"/>
              <w:bottom w:w="0" w:type="dxa"/>
              <w:right w:w="108" w:type="dxa"/>
            </w:tcMar>
          </w:tcPr>
          <w:p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and </w:t>
            </w:r>
            <w:proofErr w:type="spellStart"/>
            <w:r>
              <w:rPr>
                <w:rFonts w:ascii="Times New Roman" w:eastAsia="Times New Roman" w:hAnsi="Times New Roman" w:cs="Times New Roman"/>
                <w:sz w:val="24"/>
                <w:szCs w:val="24"/>
              </w:rPr>
              <w:t>Filey</w:t>
            </w:r>
            <w:proofErr w:type="spellEnd"/>
            <w:r>
              <w:rPr>
                <w:rFonts w:ascii="Times New Roman" w:eastAsia="Times New Roman" w:hAnsi="Times New Roman" w:cs="Times New Roman"/>
                <w:sz w:val="24"/>
                <w:szCs w:val="24"/>
              </w:rPr>
              <w:t>, 1980)</w:t>
            </w:r>
          </w:p>
        </w:tc>
      </w:tr>
    </w:tbl>
    <w:p w:rsidR="002E79F6" w:rsidRDefault="002E79F6">
      <w:pPr>
        <w:jc w:val="both"/>
        <w:rPr>
          <w:rFonts w:ascii="Times New Roman" w:eastAsia="Times New Roman" w:hAnsi="Times New Roman" w:cs="Times New Roman"/>
          <w:b/>
          <w:bCs/>
          <w:sz w:val="24"/>
          <w:szCs w:val="24"/>
        </w:rPr>
      </w:pP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other studies also reported the same changes in fish behavior as they were introduced to Diuron as the toxic test solution. A study by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(1999) reported behavioral responses in its model fish, goldfish, to Diuron. The study explained in detail the fish’s behavioral changes upon Diuron exposure in terms of decreased grouping behavior and increased surfacing activity shortly after the Diuron exposure. Also, treatments with Diuron showed a significant effect on the fish’s burst swimming and increased the number of mouth openings at the surface. The closest study related to Javanese medaka was conducted by </w:t>
      </w:r>
      <w:proofErr w:type="spellStart"/>
      <w:r>
        <w:rPr>
          <w:rFonts w:ascii="Times New Roman" w:eastAsia="Times New Roman" w:hAnsi="Times New Roman" w:cs="Times New Roman"/>
          <w:sz w:val="24"/>
          <w:szCs w:val="24"/>
        </w:rPr>
        <w:lastRenderedPageBreak/>
        <w:t>Mohamat-Yusuff</w:t>
      </w:r>
      <w:proofErr w:type="spellEnd"/>
      <w:r>
        <w:rPr>
          <w:rFonts w:ascii="Times New Roman" w:eastAsia="Times New Roman" w:hAnsi="Times New Roman" w:cs="Times New Roman"/>
          <w:sz w:val="24"/>
          <w:szCs w:val="24"/>
        </w:rPr>
        <w:t xml:space="preserve"> et al. (2018), which showed vertical swimming movements in the studied exposed group in response to various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CuPT</w:t>
      </w:r>
      <w:proofErr w:type="spellEnd"/>
      <w:r>
        <w:rPr>
          <w:rFonts w:ascii="Times New Roman" w:eastAsia="Times New Roman" w:hAnsi="Times New Roman" w:cs="Times New Roman"/>
          <w:sz w:val="24"/>
          <w:szCs w:val="24"/>
        </w:rPr>
        <w:t>) concentrations. Abnormal behavior, corresponding to the increasing toxicant concentration, is a good indicator of stressors. These significant changes can be observed within 15 minutes of exposure to test toxicants, as Diamond et al. (1990) mentioned. Diamond et al. (1990), as the observations were on the increased erratic movements, increases in gill purges, and ventilatory frequency in fish. Besides, toxic responses of Japanese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latipes</w:t>
      </w:r>
      <w:proofErr w:type="spellEnd"/>
      <w:r>
        <w:rPr>
          <w:rFonts w:ascii="Times New Roman" w:eastAsia="Times New Roman" w:hAnsi="Times New Roman" w:cs="Times New Roman"/>
          <w:sz w:val="24"/>
          <w:szCs w:val="24"/>
        </w:rPr>
        <w:t>) on their behavior could be identified after 10-30 minutes of exposure, and they showed decreases in median swimming speed after the exposure (Fukuda et al., 2010). The escaping or avoidance behaviors are the first behavioral response after being in contact with the test solutions to escape from the contaminated site, which is also known as locomotory escape behavior (Gerhardt, 2007).</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Shinn et al. (2015) reported the same behavioral responses from mixed herbicide exposure on juvenile rainbow trout. Acute toxicity testing on other toxic chemicals, such as pesticides on </w:t>
      </w:r>
      <w:r>
        <w:rPr>
          <w:rFonts w:ascii="Times New Roman" w:eastAsia="Times New Roman" w:hAnsi="Times New Roman" w:cs="Times New Roman"/>
          <w:i/>
          <w:iCs/>
          <w:sz w:val="24"/>
          <w:szCs w:val="24"/>
        </w:rPr>
        <w:t xml:space="preserve">Oreochromis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2013); a glyphosate-based herbicide, paper mill effluent on fish </w:t>
      </w:r>
      <w:r>
        <w:rPr>
          <w:rFonts w:ascii="Times New Roman" w:eastAsia="Times New Roman" w:hAnsi="Times New Roman" w:cs="Times New Roman"/>
          <w:i/>
          <w:iCs/>
          <w:sz w:val="24"/>
          <w:szCs w:val="24"/>
        </w:rPr>
        <w:t xml:space="preserve">Rasbora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(Pathan et al., 2009); and freshwater fish </w:t>
      </w:r>
      <w:r>
        <w:rPr>
          <w:rFonts w:ascii="Times New Roman" w:eastAsia="Times New Roman" w:hAnsi="Times New Roman" w:cs="Times New Roman"/>
          <w:i/>
          <w:iCs/>
          <w:sz w:val="24"/>
          <w:szCs w:val="24"/>
        </w:rPr>
        <w:t>Puntius stigma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2015) also showed burst swimming reactions from the fishes studied. This behavior is a response to stressful conditions in the environment. According to Henry and Atchison (1984), this kind of behavior can be an indicator of sensitive exposure to toxicants. Generally, behavioral changes are the most sensitive indicators by fish towards potential toxic chemicals (</w:t>
      </w:r>
      <w:proofErr w:type="spellStart"/>
      <w:r>
        <w:rPr>
          <w:rFonts w:ascii="Times New Roman" w:eastAsia="Times New Roman" w:hAnsi="Times New Roman" w:cs="Times New Roman"/>
          <w:sz w:val="24"/>
          <w:szCs w:val="24"/>
        </w:rPr>
        <w:t>Banaee</w:t>
      </w:r>
      <w:proofErr w:type="spellEnd"/>
      <w:r>
        <w:rPr>
          <w:rFonts w:ascii="Times New Roman" w:eastAsia="Times New Roman" w:hAnsi="Times New Roman" w:cs="Times New Roman"/>
          <w:sz w:val="24"/>
          <w:szCs w:val="24"/>
        </w:rPr>
        <w:t xml:space="preserve"> et al., 2011).</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burst swimming behavior observed was an alarm response from the olfactory part of the brain as a perception released by deep epidermal cells from the injured members, the alarm pheromones. This unique social interaction of burst swimming behavior sends clear visual alarms to other members of a threat to survival (Pfeiffer, 1962; Domenici &amp; Hale, 2019). Fish species exhibit chemoreception through their olfactory signals, which prove their ability to detect and perceive chemical stimuli in their environments (</w:t>
      </w:r>
      <w:proofErr w:type="spellStart"/>
      <w:r>
        <w:rPr>
          <w:rFonts w:ascii="Times New Roman" w:eastAsia="Times New Roman" w:hAnsi="Times New Roman" w:cs="Times New Roman"/>
          <w:sz w:val="24"/>
          <w:szCs w:val="24"/>
        </w:rPr>
        <w:t>Kasumyan</w:t>
      </w:r>
      <w:proofErr w:type="spellEnd"/>
      <w:r>
        <w:rPr>
          <w:rFonts w:ascii="Times New Roman" w:eastAsia="Times New Roman" w:hAnsi="Times New Roman" w:cs="Times New Roman"/>
          <w:sz w:val="24"/>
          <w:szCs w:val="24"/>
        </w:rPr>
        <w:t>, 2004; Ueda, 2021). Also, the ability to recognize and distinguish conspecific individuals, species, and population identity, as other behavioral patterns such as schooling, defensive, and reproductive behavior are enabled by perceptions of the fishes’ olfactory system (</w:t>
      </w: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xml:space="preserve"> et al., 1969; Downing, 1985; Zhang et al., 2025). These behavioral impairments may reduce survival in natural populations by disrupting essential behaviors such as foraging and predator avoidance. However, further studies on chronic exposure and reproductive endpoints are warranted.</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was evaluated using a set of acute toxicity exposures of the Diuron herbicide on Javanese medaka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xml:space="preserve">) adults. According to Ani et al. (2017), acute toxicity tests are the first step taken to determine the water quality requirements for fish. This study showed that adult Javanese medaka exposure to Diuron increased mortality at different exposure concentration levels. Severe physiological stress at the cellular level may be responsible for the death of the fish (Pathan et al., 2009). High levels of Diuron can pose a significant threat to aquatic organisms, as Diuron’s half-life hydrolysis is between its 1290th and 1490th day. The results agree with a report by </w:t>
      </w:r>
      <w:proofErr w:type="spellStart"/>
      <w:r>
        <w:rPr>
          <w:rFonts w:ascii="Times New Roman" w:eastAsia="Times New Roman" w:hAnsi="Times New Roman" w:cs="Times New Roman"/>
          <w:sz w:val="24"/>
          <w:szCs w:val="24"/>
        </w:rPr>
        <w:t>Bernardes</w:t>
      </w:r>
      <w:proofErr w:type="spellEnd"/>
      <w:r>
        <w:rPr>
          <w:rFonts w:ascii="Times New Roman" w:eastAsia="Times New Roman" w:hAnsi="Times New Roman" w:cs="Times New Roman"/>
          <w:sz w:val="24"/>
          <w:szCs w:val="24"/>
        </w:rPr>
        <w:t xml:space="preserve"> et al. (2015), which stated that fishes can be harmed by herbicide contamination in the aquatic ecosystem, as fishes are good bioindicators for environmental biomonitoring action.</w:t>
      </w: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of Diuron on the Javanese medaka, as reported in this study, is 5.90 mg/L, which is considered moderately toxic to fish based on the Wildlife Diuron Toxicity Category, as acute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range between 1.0 mg/L and 10.0 mg/L. Additionally, the Washington State Department of Transportation’s (WSDOT) Roadside Vegetation Management Herbicide Fact Sheet (2017) stated that Diuron is classified as moderately to highly toxic to fish. The smaller the value of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recorded, the more toxic the herbicide is to the organism; however, the level of herbicide tolerance differs between mammals, birds, fish, and insects.</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w:t>
      </w:r>
      <w:proofErr w:type="spellStart"/>
      <w:r>
        <w:rPr>
          <w:rFonts w:ascii="Times New Roman" w:eastAsia="Times New Roman" w:hAnsi="Times New Roman" w:cs="Times New Roman"/>
          <w:sz w:val="24"/>
          <w:szCs w:val="24"/>
        </w:rPr>
        <w:t>Lazhar</w:t>
      </w:r>
      <w:proofErr w:type="spellEnd"/>
      <w:r>
        <w:rPr>
          <w:rFonts w:ascii="Times New Roman" w:eastAsia="Times New Roman" w:hAnsi="Times New Roman" w:cs="Times New Roman"/>
          <w:sz w:val="24"/>
          <w:szCs w:val="24"/>
        </w:rPr>
        <w:t xml:space="preserve"> et al. (2012) showed that the median lethal concentration of Diuron towards marine fish (turbot </w:t>
      </w:r>
      <w:proofErr w:type="spellStart"/>
      <w:r>
        <w:rPr>
          <w:rFonts w:ascii="Times New Roman" w:eastAsia="Times New Roman" w:hAnsi="Times New Roman" w:cs="Times New Roman"/>
          <w:i/>
          <w:iCs/>
          <w:sz w:val="24"/>
          <w:szCs w:val="24"/>
        </w:rPr>
        <w:t>Psetta</w:t>
      </w:r>
      <w:proofErr w:type="spellEnd"/>
      <w:r>
        <w:rPr>
          <w:rFonts w:ascii="Times New Roman" w:eastAsia="Times New Roman" w:hAnsi="Times New Roman" w:cs="Times New Roman"/>
          <w:i/>
          <w:iCs/>
          <w:sz w:val="24"/>
          <w:szCs w:val="24"/>
        </w:rPr>
        <w:t xml:space="preserve"> maxima</w:t>
      </w:r>
      <w:r>
        <w:rPr>
          <w:rFonts w:ascii="Times New Roman" w:eastAsia="Times New Roman" w:hAnsi="Times New Roman" w:cs="Times New Roman"/>
          <w:sz w:val="24"/>
          <w:szCs w:val="24"/>
        </w:rPr>
        <w:t xml:space="preserve">) larvae ranges between 10.076 mg/L and 7.826 mg/L in the 48h and 96h periods, respectively—the level is also categorized as moderately to highly toxic to fish. </w:t>
      </w: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et al. (2017) also recorded an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for Diuron contamination of the established model organism Zebrafish (</w:t>
      </w:r>
      <w:r>
        <w:rPr>
          <w:rFonts w:ascii="Times New Roman" w:eastAsia="Times New Roman" w:hAnsi="Times New Roman" w:cs="Times New Roman"/>
          <w:i/>
          <w:iCs/>
          <w:sz w:val="24"/>
          <w:szCs w:val="24"/>
        </w:rPr>
        <w:t>Danio reri</w:t>
      </w:r>
      <w:r>
        <w:rPr>
          <w:rFonts w:ascii="Times New Roman" w:eastAsia="Times New Roman" w:hAnsi="Times New Roman" w:cs="Times New Roman"/>
          <w:sz w:val="24"/>
          <w:szCs w:val="24"/>
        </w:rPr>
        <w:t>o) at the early stages of life of its larvae in a 96h experiment period. The reading was approximately 6.5 mg/L, defining Diuron as a moderately toxic chemical for fish. Furthermore, according to EXTOXNET (1996), Diuron is toxic to fish and aquatic invertebrates, as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(48h) ranged from 4.3 mg/L to 42.0 mg/L for fish and 1.0 mg/L to 2.5 mg/L for aquatic invertebrates. Therefore, they concluded that Diuron is classified as moderately to highly toxic to both fish and aquatic invertebrates.</w:t>
      </w: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Freshwater fish and fathead minnows 30 days old were used in a study by Call et al. (1987). This study evaluated the acute toxicity of Diuron in 24h, 48h, 96h, and 192h periods, and the results showed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of 23.3 mg/L, 19.9 mg/L, 14.2 mg/L, and 7.7 mg/L, respectively. This study revealed that Diuron is slightly toxic to the larvae of this freshwater fish species. The early life stages of the fish are sensitive stages where they can easily detect toxic chemicals </w:t>
      </w:r>
      <w:r>
        <w:rPr>
          <w:rFonts w:ascii="Times New Roman" w:eastAsia="Times New Roman" w:hAnsi="Times New Roman"/>
          <w:sz w:val="24"/>
          <w:szCs w:val="24"/>
        </w:rPr>
        <w:lastRenderedPageBreak/>
        <w:t>in their environment. Also, the tolerable range of toxic pollutants may differ between fish species or even the life stages of conspecifics. Therefore, acute toxicity testing is important to evaluate the level of toxic chemical pollution in the environment and its effects on aquatic organisms. Other fish species with different median lethal concentrations (LC</w:t>
      </w:r>
      <w:r>
        <w:rPr>
          <w:rFonts w:ascii="Times New Roman" w:eastAsia="Times New Roman" w:hAnsi="Times New Roman"/>
          <w:sz w:val="24"/>
          <w:szCs w:val="24"/>
          <w:vertAlign w:val="subscript"/>
        </w:rPr>
        <w:t>50</w:t>
      </w:r>
      <w:r>
        <w:rPr>
          <w:rFonts w:ascii="Times New Roman" w:eastAsia="Times New Roman" w:hAnsi="Times New Roman"/>
          <w:sz w:val="24"/>
          <w:szCs w:val="24"/>
        </w:rPr>
        <w:t>) are summarized in Table 3. These fish species have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ranging between 2.7 mg/L and 16.0 mg/L, indicating that the level of Diuron toxicity is between moderately and highly toxic towards fish species.</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obtained from the median lethal concentration result, which is the level of fish species’ sensitivity towards pollutants, is one of the important characteristics that must be evaluated for a fish species to be designated as an entrusted model organism. The recorded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can be compared with other established model organisms in ecotoxicology studies. The acute toxicity level of Diuron appears to be similar to linuron in ﬁsh (Marlatt &amp; </w:t>
      </w:r>
      <w:proofErr w:type="spellStart"/>
      <w:r>
        <w:rPr>
          <w:rFonts w:ascii="Times New Roman" w:eastAsia="Times New Roman" w:hAnsi="Times New Roman" w:cs="Times New Roman"/>
          <w:sz w:val="24"/>
          <w:szCs w:val="24"/>
        </w:rPr>
        <w:t>Martyniuk</w:t>
      </w:r>
      <w:proofErr w:type="spellEnd"/>
      <w:r>
        <w:rPr>
          <w:rFonts w:ascii="Times New Roman" w:eastAsia="Times New Roman" w:hAnsi="Times New Roman" w:cs="Times New Roman"/>
          <w:sz w:val="24"/>
          <w:szCs w:val="24"/>
        </w:rPr>
        <w:t xml:space="preserve">, 2017). In juvenile and adult freshwater </w:t>
      </w:r>
      <w:proofErr w:type="spellStart"/>
      <w:r>
        <w:rPr>
          <w:rFonts w:ascii="Times New Roman" w:eastAsia="Times New Roman" w:hAnsi="Times New Roman" w:cs="Times New Roman"/>
          <w:sz w:val="24"/>
          <w:szCs w:val="24"/>
        </w:rPr>
        <w:t>teleosts</w:t>
      </w:r>
      <w:proofErr w:type="spellEnd"/>
      <w:r>
        <w:rPr>
          <w:rFonts w:ascii="Times New Roman" w:eastAsia="Times New Roman" w:hAnsi="Times New Roman" w:cs="Times New Roman"/>
          <w:sz w:val="24"/>
          <w:szCs w:val="24"/>
        </w:rPr>
        <w:t>, data collected from acute toxicity studies show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values ranging from 0.71 to 14.2 mg/L, with cutthroat trout being the most sensitive teleost species, followed by lake trout (</w:t>
      </w:r>
      <w:r>
        <w:rPr>
          <w:rFonts w:ascii="Times New Roman" w:eastAsia="Times New Roman" w:hAnsi="Times New Roman" w:cs="Times New Roman"/>
          <w:i/>
          <w:iCs/>
          <w:sz w:val="24"/>
          <w:szCs w:val="24"/>
        </w:rPr>
        <w:t xml:space="preserve">Salvelinus </w:t>
      </w:r>
      <w:proofErr w:type="spellStart"/>
      <w:r>
        <w:rPr>
          <w:rFonts w:ascii="Times New Roman" w:eastAsia="Times New Roman" w:hAnsi="Times New Roman" w:cs="Times New Roman"/>
          <w:i/>
          <w:iCs/>
          <w:sz w:val="24"/>
          <w:szCs w:val="24"/>
        </w:rPr>
        <w:t>namaycush</w:t>
      </w:r>
      <w:proofErr w:type="spellEnd"/>
      <w:r>
        <w:rPr>
          <w:rFonts w:ascii="Times New Roman" w:eastAsia="Times New Roman" w:hAnsi="Times New Roman" w:cs="Times New Roman"/>
          <w:sz w:val="24"/>
          <w:szCs w:val="24"/>
        </w:rPr>
        <w:t xml:space="preserve">), rainbow trout, </w:t>
      </w:r>
      <w:proofErr w:type="spellStart"/>
      <w:r>
        <w:rPr>
          <w:rFonts w:ascii="Times New Roman" w:eastAsia="Times New Roman" w:hAnsi="Times New Roman" w:cs="Times New Roman"/>
          <w:sz w:val="24"/>
          <w:szCs w:val="24"/>
        </w:rPr>
        <w:t>coho</w:t>
      </w:r>
      <w:proofErr w:type="spellEnd"/>
      <w:r>
        <w:rPr>
          <w:rFonts w:ascii="Times New Roman" w:eastAsia="Times New Roman" w:hAnsi="Times New Roman" w:cs="Times New Roman"/>
          <w:sz w:val="24"/>
          <w:szCs w:val="24"/>
        </w:rPr>
        <w:t xml:space="preserve"> salmon (</w:t>
      </w:r>
      <w:r>
        <w:rPr>
          <w:rFonts w:ascii="Times New Roman" w:eastAsia="Times New Roman" w:hAnsi="Times New Roman" w:cs="Times New Roman"/>
          <w:i/>
          <w:iCs/>
          <w:sz w:val="24"/>
          <w:szCs w:val="24"/>
        </w:rPr>
        <w:t>Oncorhynchus kisutch</w:t>
      </w:r>
      <w:r>
        <w:rPr>
          <w:rFonts w:ascii="Times New Roman" w:eastAsia="Times New Roman" w:hAnsi="Times New Roman" w:cs="Times New Roman"/>
          <w:sz w:val="24"/>
          <w:szCs w:val="24"/>
        </w:rPr>
        <w:t>), bluegill sunﬁsh (</w:t>
      </w:r>
      <w:proofErr w:type="spellStart"/>
      <w:r>
        <w:rPr>
          <w:rFonts w:ascii="Times New Roman" w:eastAsia="Times New Roman" w:hAnsi="Times New Roman" w:cs="Times New Roman"/>
          <w:i/>
          <w:iCs/>
          <w:sz w:val="24"/>
          <w:szCs w:val="24"/>
        </w:rPr>
        <w:t>Lepomis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macrochirus</w:t>
      </w:r>
      <w:proofErr w:type="spellEnd"/>
      <w:r>
        <w:rPr>
          <w:rFonts w:ascii="Times New Roman" w:eastAsia="Times New Roman" w:hAnsi="Times New Roman" w:cs="Times New Roman"/>
          <w:sz w:val="24"/>
          <w:szCs w:val="24"/>
        </w:rPr>
        <w:t xml:space="preserve">), and the least sensitive fish tested, fathead minnow (Call et al., 1987; Mayer &amp;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1986; Okamura et al., 2002; USEPA, 2004b).</w:t>
      </w:r>
    </w:p>
    <w:p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Environmental pollutants such as heavy metals, pesticides, and other organics may pose serious risks to many aquatic organisms. Scott and </w:t>
      </w:r>
      <w:proofErr w:type="spellStart"/>
      <w:r>
        <w:rPr>
          <w:rFonts w:ascii="Times New Roman" w:eastAsia="Times New Roman" w:hAnsi="Times New Roman"/>
          <w:sz w:val="24"/>
          <w:szCs w:val="24"/>
        </w:rPr>
        <w:t>Sloman</w:t>
      </w:r>
      <w:proofErr w:type="spellEnd"/>
      <w:r>
        <w:rPr>
          <w:rFonts w:ascii="Times New Roman" w:eastAsia="Times New Roman" w:hAnsi="Times New Roman"/>
          <w:sz w:val="24"/>
          <w:szCs w:val="24"/>
        </w:rPr>
        <w:t xml:space="preserve"> (2004) reviewed the effect of environmental pollutants on fish, as seen through complex fish behavior, and discussed the integration of behavioral and physiological indicators of toxicity. Based on the review, behavior links physiological functions with ecological processes that can affect fish populations. Therefore, acute toxicity testing and behavioral indicators were ideal for assessing the effects of aquatic pollutants in natural ecosystems.</w:t>
      </w:r>
    </w:p>
    <w:p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Conclusions</w:t>
      </w:r>
    </w:p>
    <w:p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the study's LC</w:t>
      </w:r>
      <w:r>
        <w:rPr>
          <w:rFonts w:ascii="Times New Roman" w:eastAsia="Times New Roman" w:hAnsi="Times New Roman" w:cs="Times New Roman"/>
          <w:bCs/>
          <w:sz w:val="24"/>
          <w:szCs w:val="24"/>
          <w:vertAlign w:val="subscript"/>
        </w:rPr>
        <w:t xml:space="preserve">50 </w:t>
      </w:r>
      <w:r>
        <w:rPr>
          <w:rFonts w:ascii="Times New Roman" w:eastAsia="Times New Roman" w:hAnsi="Times New Roman" w:cs="Times New Roman"/>
          <w:bCs/>
          <w:sz w:val="24"/>
          <w:szCs w:val="24"/>
        </w:rPr>
        <w:t>value, Diuron can be moderately harmful to aquatic organisms. However, when contamination accumulates at levels higher than acceptable exposure limits, there can be adverse short- and long-term effects. Additionally, the unique behavioral responses of aquatic creatures provide a quick and straightforward method for detecting toxicants in aquatic environments. The findings of this study suggest that the Javanese medaka (</w:t>
      </w:r>
      <w:r>
        <w:rPr>
          <w:rFonts w:ascii="Times New Roman" w:eastAsia="Times New Roman" w:hAnsi="Times New Roman" w:cs="Times New Roman"/>
          <w:bCs/>
          <w:i/>
          <w:iCs/>
          <w:sz w:val="24"/>
          <w:szCs w:val="24"/>
        </w:rPr>
        <w:t xml:space="preserve">O.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may serve as a viable candidate for a bioassay organism. This fish species </w:t>
      </w:r>
      <w:r>
        <w:rPr>
          <w:rFonts w:ascii="Times New Roman" w:eastAsia="Times New Roman" w:hAnsi="Times New Roman" w:cs="Times New Roman"/>
          <w:bCs/>
          <w:sz w:val="24"/>
          <w:szCs w:val="24"/>
        </w:rPr>
        <w:lastRenderedPageBreak/>
        <w:t>exhibits several characteristics that make it particularly susceptible to toxins, especially Diuron. Its remarkable osmotic adaptability allows Javanese medaka to thrive in a wide range of salinity conditions, including freshwater, brackish water, and seawater. This versatility makes them ideal for biological testing when researching the impacts of pollutants in both freshwater and saltwater ecosystems. Furthermore, the Javanese medaka’s high local distribution and abundance render it well-suited for studying pollution effects in the tropical regions of Southeast Asia. Its sensitivity to environmental changes further qualifies it as an excellent bioindicator for monitoring aquatic ecosystems. By examining the behavioral, biochemical, and molecular responses of this species, researchers can effectively assess the toxicological effects of various pollutants.</w:t>
      </w:r>
    </w:p>
    <w:p w:rsidR="002E79F6" w:rsidRDefault="00021946">
      <w:pPr>
        <w:spacing w:line="360" w:lineRule="auto"/>
        <w:jc w:val="both"/>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 xml:space="preserve">Conflict of Interest </w:t>
      </w:r>
    </w:p>
    <w:p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authors declare that there is 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Life Science Reporting </w:t>
      </w:r>
    </w:p>
    <w:p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rsidR="002E79F6" w:rsidRDefault="00021946">
      <w:pPr>
        <w:spacing w:line="360" w:lineRule="auto"/>
        <w:rPr>
          <w:rFonts w:ascii="Times New Roman" w:eastAsia="Times New Roman" w:hAnsi="Times New Roman" w:cs="Times New Roman"/>
          <w:sz w:val="24"/>
          <w:szCs w:val="24"/>
        </w:rPr>
      </w:pPr>
      <w:bookmarkStart w:id="2" w:name="_Hlk188655999"/>
      <w:r>
        <w:rPr>
          <w:rFonts w:ascii="Times New Roman" w:eastAsia="Times New Roman" w:hAnsi="Times New Roman" w:cs="Times New Roman"/>
          <w:b/>
          <w:sz w:val="24"/>
          <w:szCs w:val="24"/>
        </w:rPr>
        <w:t xml:space="preserve">References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 Aziz, F. Z.,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M. N. A., &amp; Ismail, A. (2017). A histological study on mercury-induced gonadal impairment in Javanese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Turk J Fish </w:t>
      </w:r>
      <w:proofErr w:type="spellStart"/>
      <w:r>
        <w:rPr>
          <w:rFonts w:ascii="Times New Roman" w:eastAsia="Times New Roman" w:hAnsi="Times New Roman" w:cs="Times New Roman"/>
          <w:iCs/>
          <w:sz w:val="24"/>
          <w:szCs w:val="24"/>
        </w:rPr>
        <w:t>Aquat</w:t>
      </w:r>
      <w:proofErr w:type="spellEnd"/>
      <w:r>
        <w:rPr>
          <w:rFonts w:ascii="Times New Roman" w:eastAsia="Times New Roman" w:hAnsi="Times New Roman" w:cs="Times New Roman"/>
          <w:iCs/>
          <w:sz w:val="24"/>
          <w:szCs w:val="24"/>
        </w:rPr>
        <w:t>. Sci. </w:t>
      </w:r>
      <w:r>
        <w:rPr>
          <w:rFonts w:ascii="Times New Roman" w:eastAsia="Times New Roman" w:hAnsi="Times New Roman" w:cs="Times New Roman"/>
          <w:sz w:val="24"/>
          <w:szCs w:val="24"/>
        </w:rPr>
        <w:t>17(3), 621-627.</w:t>
      </w:r>
    </w:p>
    <w:p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Ali, H. R., Arifin, M. M., Sheikh, M. A., </w:t>
      </w:r>
      <w:proofErr w:type="spellStart"/>
      <w:r>
        <w:rPr>
          <w:rFonts w:ascii="Times New Roman" w:eastAsia="Times New Roman" w:hAnsi="Times New Roman" w:cs="Times New Roman"/>
          <w:sz w:val="24"/>
          <w:szCs w:val="24"/>
        </w:rPr>
        <w:t>Shazili</w:t>
      </w:r>
      <w:proofErr w:type="spellEnd"/>
      <w:r>
        <w:rPr>
          <w:rFonts w:ascii="Times New Roman" w:eastAsia="Times New Roman" w:hAnsi="Times New Roman" w:cs="Times New Roman"/>
          <w:sz w:val="24"/>
          <w:szCs w:val="24"/>
        </w:rPr>
        <w:t xml:space="preserve">, N. A. M., Bakari, S. S., </w:t>
      </w:r>
      <w:proofErr w:type="spellStart"/>
      <w:r>
        <w:rPr>
          <w:rFonts w:ascii="Times New Roman" w:eastAsia="Times New Roman" w:hAnsi="Times New Roman" w:cs="Times New Roman"/>
          <w:sz w:val="24"/>
          <w:szCs w:val="24"/>
        </w:rPr>
        <w:t>Bachok</w:t>
      </w:r>
      <w:proofErr w:type="spellEnd"/>
      <w:r>
        <w:rPr>
          <w:rFonts w:ascii="Times New Roman" w:eastAsia="Times New Roman" w:hAnsi="Times New Roman" w:cs="Times New Roman"/>
          <w:sz w:val="24"/>
          <w:szCs w:val="24"/>
        </w:rPr>
        <w:t>, Z. (2014) Contamination of Diuron in coastal waters around Malaysian Peninsular. </w:t>
      </w:r>
      <w:r>
        <w:rPr>
          <w:rFonts w:ascii="Times New Roman" w:eastAsia="Times New Roman" w:hAnsi="Times New Roman" w:cs="Times New Roman"/>
          <w:iCs/>
          <w:sz w:val="24"/>
          <w:szCs w:val="24"/>
        </w:rPr>
        <w:t xml:space="preserve">Mar </w:t>
      </w:r>
      <w:proofErr w:type="spellStart"/>
      <w:r>
        <w:rPr>
          <w:rFonts w:ascii="Times New Roman" w:eastAsia="Times New Roman" w:hAnsi="Times New Roman" w:cs="Times New Roman"/>
          <w:iCs/>
          <w:sz w:val="24"/>
          <w:szCs w:val="24"/>
        </w:rPr>
        <w:t>Pollut</w:t>
      </w:r>
      <w:proofErr w:type="spellEnd"/>
      <w:r>
        <w:rPr>
          <w:rFonts w:ascii="Times New Roman" w:eastAsia="Times New Roman" w:hAnsi="Times New Roman" w:cs="Times New Roman"/>
          <w:iCs/>
          <w:sz w:val="24"/>
          <w:szCs w:val="24"/>
        </w:rPr>
        <w:t xml:space="preserve"> Bull. 85, 287-291. </w:t>
      </w:r>
    </w:p>
    <w:p w:rsidR="002E79F6" w:rsidRDefault="00021946">
      <w:pPr>
        <w:spacing w:line="360" w:lineRule="auto"/>
        <w:ind w:left="720" w:hanging="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Angel, J. R. J, Vinay, T. N., Raghavan, R., Thomas, D., </w:t>
      </w:r>
      <w:proofErr w:type="spellStart"/>
      <w:r>
        <w:rPr>
          <w:rFonts w:ascii="Times New Roman" w:eastAsia="Times New Roman" w:hAnsi="Times New Roman" w:cs="Times New Roman"/>
          <w:sz w:val="24"/>
          <w:szCs w:val="24"/>
        </w:rPr>
        <w:t>Satheesha</w:t>
      </w:r>
      <w:proofErr w:type="spellEnd"/>
      <w:r>
        <w:rPr>
          <w:rFonts w:ascii="Times New Roman" w:eastAsia="Times New Roman" w:hAnsi="Times New Roman" w:cs="Times New Roman"/>
          <w:sz w:val="24"/>
          <w:szCs w:val="24"/>
        </w:rPr>
        <w:t xml:space="preserve">, A. R., Shekhar, M. S., Vijayan, K. K. (2019) First record of the Javanese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xml:space="preserve"> (Bleeker, </w:t>
      </w:r>
      <w:r>
        <w:rPr>
          <w:rFonts w:ascii="Times New Roman" w:eastAsia="Times New Roman" w:hAnsi="Times New Roman" w:cs="Times New Roman"/>
          <w:sz w:val="24"/>
          <w:szCs w:val="24"/>
        </w:rPr>
        <w:lastRenderedPageBreak/>
        <w:t>1854)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the natural waters of India.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J Appl Ichthyol.</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 xml:space="preserve">35(4), 1034-1038.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L. C., </w:t>
      </w:r>
      <w:proofErr w:type="spellStart"/>
      <w:r>
        <w:rPr>
          <w:rFonts w:ascii="Times New Roman" w:eastAsia="Times New Roman" w:hAnsi="Times New Roman" w:cs="Times New Roman"/>
          <w:sz w:val="24"/>
          <w:szCs w:val="24"/>
        </w:rPr>
        <w:t>Nwamba</w:t>
      </w:r>
      <w:proofErr w:type="spellEnd"/>
      <w:r>
        <w:rPr>
          <w:rFonts w:ascii="Times New Roman" w:eastAsia="Times New Roman" w:hAnsi="Times New Roman" w:cs="Times New Roman"/>
          <w:sz w:val="24"/>
          <w:szCs w:val="24"/>
        </w:rPr>
        <w:t xml:space="preserve">, H. O., </w:t>
      </w:r>
      <w:proofErr w:type="spellStart"/>
      <w:r>
        <w:rPr>
          <w:rFonts w:ascii="Times New Roman" w:eastAsia="Times New Roman" w:hAnsi="Times New Roman" w:cs="Times New Roman"/>
          <w:sz w:val="24"/>
          <w:szCs w:val="24"/>
        </w:rPr>
        <w:t>Ejilibe</w:t>
      </w:r>
      <w:proofErr w:type="spellEnd"/>
      <w:r>
        <w:rPr>
          <w:rFonts w:ascii="Times New Roman" w:eastAsia="Times New Roman" w:hAnsi="Times New Roman" w:cs="Times New Roman"/>
          <w:sz w:val="24"/>
          <w:szCs w:val="24"/>
        </w:rPr>
        <w:t xml:space="preserve">, C. O., &amp; </w:t>
      </w:r>
      <w:proofErr w:type="spellStart"/>
      <w:r>
        <w:rPr>
          <w:rFonts w:ascii="Times New Roman" w:eastAsia="Times New Roman" w:hAnsi="Times New Roman" w:cs="Times New Roman"/>
          <w:sz w:val="24"/>
          <w:szCs w:val="24"/>
        </w:rPr>
        <w:t>Nwani</w:t>
      </w:r>
      <w:proofErr w:type="spellEnd"/>
      <w:r>
        <w:rPr>
          <w:rFonts w:ascii="Times New Roman" w:eastAsia="Times New Roman" w:hAnsi="Times New Roman" w:cs="Times New Roman"/>
          <w:sz w:val="24"/>
          <w:szCs w:val="24"/>
        </w:rPr>
        <w:t xml:space="preserve">, C. D. (2017) Acute toxicity of glyphosate-based herbicide </w:t>
      </w:r>
      <w:proofErr w:type="spellStart"/>
      <w:r>
        <w:rPr>
          <w:rFonts w:ascii="Times New Roman" w:eastAsia="Times New Roman" w:hAnsi="Times New Roman" w:cs="Times New Roman"/>
          <w:sz w:val="24"/>
          <w:szCs w:val="24"/>
        </w:rPr>
        <w:t>glycot</w:t>
      </w:r>
      <w:proofErr w:type="spellEnd"/>
      <w:r>
        <w:rPr>
          <w:rFonts w:ascii="Times New Roman" w:eastAsia="Times New Roman" w:hAnsi="Times New Roman" w:cs="Times New Roman"/>
          <w:sz w:val="24"/>
          <w:szCs w:val="24"/>
        </w:rPr>
        <w:t xml:space="preserve"> on juvenile African cat fish </w:t>
      </w:r>
      <w:proofErr w:type="spellStart"/>
      <w:r>
        <w:rPr>
          <w:rFonts w:ascii="Times New Roman" w:eastAsia="Times New Roman" w:hAnsi="Times New Roman" w:cs="Times New Roman"/>
          <w:i/>
          <w:sz w:val="24"/>
          <w:szCs w:val="24"/>
        </w:rPr>
        <w:t>Clarias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gariepinus</w:t>
      </w:r>
      <w:proofErr w:type="spellEnd"/>
      <w:r>
        <w:rPr>
          <w:rFonts w:ascii="Times New Roman" w:eastAsia="Times New Roman" w:hAnsi="Times New Roman" w:cs="Times New Roman"/>
          <w:sz w:val="24"/>
          <w:szCs w:val="24"/>
        </w:rPr>
        <w:t xml:space="preserve"> (Burchell 1822). </w:t>
      </w:r>
      <w:r>
        <w:rPr>
          <w:rFonts w:ascii="Times New Roman" w:eastAsia="Times New Roman" w:hAnsi="Times New Roman" w:cs="Times New Roman"/>
          <w:iCs/>
          <w:sz w:val="24"/>
          <w:szCs w:val="24"/>
        </w:rPr>
        <w:t xml:space="preserve">J Fish Lives Vet </w:t>
      </w:r>
      <w:proofErr w:type="spellStart"/>
      <w:r>
        <w:rPr>
          <w:rFonts w:ascii="Times New Roman" w:eastAsia="Times New Roman" w:hAnsi="Times New Roman" w:cs="Times New Roman"/>
          <w:iCs/>
          <w:sz w:val="24"/>
          <w:szCs w:val="24"/>
        </w:rPr>
        <w:t>Scien</w:t>
      </w:r>
      <w:proofErr w:type="spellEnd"/>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5(3), 252.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Banaee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Sureda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A. R., &amp; Ahmadi, K. (2011) Effects of diazinon on biochemical parameters of blood in 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 </w:t>
      </w:r>
      <w:proofErr w:type="spellStart"/>
      <w:r>
        <w:rPr>
          <w:rFonts w:ascii="Times New Roman" w:eastAsia="Times New Roman" w:hAnsi="Times New Roman" w:cs="Times New Roman"/>
          <w:iCs/>
          <w:sz w:val="24"/>
          <w:szCs w:val="24"/>
        </w:rPr>
        <w:t>Pestic</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Phys., 99</w:t>
      </w:r>
      <w:r>
        <w:rPr>
          <w:rFonts w:ascii="Times New Roman" w:eastAsia="Times New Roman" w:hAnsi="Times New Roman" w:cs="Times New Roman"/>
          <w:sz w:val="24"/>
          <w:szCs w:val="24"/>
        </w:rPr>
        <w:t xml:space="preserve">(1), 1-6.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Bashir, I., Lone, F. A., Bhat, R. A., Mir, S. A., Dar, Z. A., &amp; Dar, S.A. (2020). C</w:t>
      </w:r>
      <w:r>
        <w:rPr>
          <w:rFonts w:ascii="Times New Roman" w:eastAsia="Times New Roman" w:hAnsi="Times New Roman" w:cs="Times New Roman"/>
          <w:i/>
          <w:iCs/>
          <w:sz w:val="24"/>
          <w:szCs w:val="24"/>
        </w:rPr>
        <w:t>oncerns and threats of contamination on aquatic ecosystems. </w:t>
      </w:r>
      <w:r>
        <w:rPr>
          <w:rFonts w:ascii="Times New Roman" w:eastAsia="Times New Roman" w:hAnsi="Times New Roman" w:cs="Times New Roman"/>
          <w:iCs/>
          <w:sz w:val="24"/>
          <w:szCs w:val="24"/>
        </w:rPr>
        <w:t>Bioremediation and biotechnology: sustainable approaches to pollution degradation,</w:t>
      </w:r>
      <w:r>
        <w:rPr>
          <w:rFonts w:ascii="Times New Roman" w:eastAsia="Times New Roman" w:hAnsi="Times New Roman" w:cs="Times New Roman"/>
          <w:sz w:val="24"/>
          <w:szCs w:val="24"/>
        </w:rPr>
        <w:t xml:space="preserve"> 1-26.</w:t>
      </w:r>
    </w:p>
    <w:p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Behrens, D., Rouxel, J., </w:t>
      </w:r>
      <w:proofErr w:type="spellStart"/>
      <w:r>
        <w:rPr>
          <w:rFonts w:ascii="Times New Roman" w:eastAsia="Times New Roman" w:hAnsi="Times New Roman" w:cs="Times New Roman"/>
          <w:color w:val="222222"/>
          <w:sz w:val="24"/>
          <w:szCs w:val="24"/>
        </w:rPr>
        <w:t>Burgeot</w:t>
      </w:r>
      <w:proofErr w:type="spellEnd"/>
      <w:r>
        <w:rPr>
          <w:rFonts w:ascii="Times New Roman" w:eastAsia="Times New Roman" w:hAnsi="Times New Roman" w:cs="Times New Roman"/>
          <w:color w:val="222222"/>
          <w:sz w:val="24"/>
          <w:szCs w:val="24"/>
        </w:rPr>
        <w:t xml:space="preserve">, T., &amp; </w:t>
      </w:r>
      <w:proofErr w:type="spellStart"/>
      <w:r>
        <w:rPr>
          <w:rFonts w:ascii="Times New Roman" w:eastAsia="Times New Roman" w:hAnsi="Times New Roman" w:cs="Times New Roman"/>
          <w:color w:val="222222"/>
          <w:sz w:val="24"/>
          <w:szCs w:val="24"/>
        </w:rPr>
        <w:t>Akcha</w:t>
      </w:r>
      <w:proofErr w:type="spellEnd"/>
      <w:r>
        <w:rPr>
          <w:rFonts w:ascii="Times New Roman" w:eastAsia="Times New Roman" w:hAnsi="Times New Roman" w:cs="Times New Roman"/>
          <w:color w:val="222222"/>
          <w:sz w:val="24"/>
          <w:szCs w:val="24"/>
        </w:rPr>
        <w:t xml:space="preserve">, F. (2016). Comparative embryotoxicity and genotoxicity of the herbicide diuron and its metabolites in early life stages of </w:t>
      </w:r>
      <w:r>
        <w:rPr>
          <w:rFonts w:ascii="Times New Roman" w:eastAsia="Times New Roman" w:hAnsi="Times New Roman" w:cs="Times New Roman"/>
          <w:i/>
          <w:color w:val="222222"/>
          <w:sz w:val="24"/>
          <w:szCs w:val="24"/>
        </w:rPr>
        <w:t xml:space="preserve">Crassostrea </w:t>
      </w:r>
      <w:proofErr w:type="spellStart"/>
      <w:r>
        <w:rPr>
          <w:rFonts w:ascii="Times New Roman" w:eastAsia="Times New Roman" w:hAnsi="Times New Roman" w:cs="Times New Roman"/>
          <w:i/>
          <w:color w:val="222222"/>
          <w:sz w:val="24"/>
          <w:szCs w:val="24"/>
        </w:rPr>
        <w:t>gigas</w:t>
      </w:r>
      <w:proofErr w:type="spellEnd"/>
      <w:r>
        <w:rPr>
          <w:rFonts w:ascii="Times New Roman" w:eastAsia="Times New Roman" w:hAnsi="Times New Roman" w:cs="Times New Roman"/>
          <w:color w:val="222222"/>
          <w:sz w:val="24"/>
          <w:szCs w:val="24"/>
        </w:rPr>
        <w:t>: Implication of reactive oxygen species production.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175</w:t>
      </w:r>
      <w:r>
        <w:rPr>
          <w:rFonts w:ascii="Times New Roman" w:eastAsia="Times New Roman" w:hAnsi="Times New Roman" w:cs="Times New Roman"/>
          <w:color w:val="222222"/>
          <w:sz w:val="24"/>
          <w:szCs w:val="24"/>
        </w:rPr>
        <w:t xml:space="preserve">, 249-259. </w:t>
      </w:r>
    </w:p>
    <w:p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Bertram, M. G., Martin, J. M., McCallum, E. S., Alton, L. A, Brand, J. A., Brooks, B. W., &amp; </w:t>
      </w:r>
      <w:proofErr w:type="spellStart"/>
      <w:r>
        <w:rPr>
          <w:rFonts w:ascii="Times New Roman" w:hAnsi="Times New Roman" w:cs="Times New Roman"/>
          <w:sz w:val="24"/>
          <w:szCs w:val="24"/>
        </w:rPr>
        <w:t>Brodin</w:t>
      </w:r>
      <w:proofErr w:type="spellEnd"/>
      <w:r>
        <w:rPr>
          <w:rFonts w:ascii="Times New Roman" w:hAnsi="Times New Roman" w:cs="Times New Roman"/>
          <w:sz w:val="24"/>
          <w:szCs w:val="24"/>
        </w:rPr>
        <w:t xml:space="preserve">, T. (2022). Frontiers in quantifying wildlife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responses to chemical pollution. Biol Rev. 97(4), 1346-1364.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Bhat, R. A., </w:t>
      </w:r>
      <w:proofErr w:type="spellStart"/>
      <w:r>
        <w:rPr>
          <w:rFonts w:ascii="Times New Roman" w:eastAsia="Times New Roman" w:hAnsi="Times New Roman" w:cs="Times New Roman"/>
          <w:color w:val="222222"/>
          <w:sz w:val="24"/>
          <w:szCs w:val="24"/>
        </w:rPr>
        <w:t>Beigh</w:t>
      </w:r>
      <w:proofErr w:type="spellEnd"/>
      <w:r>
        <w:rPr>
          <w:rFonts w:ascii="Times New Roman" w:eastAsia="Times New Roman" w:hAnsi="Times New Roman" w:cs="Times New Roman"/>
          <w:color w:val="222222"/>
          <w:sz w:val="24"/>
          <w:szCs w:val="24"/>
        </w:rPr>
        <w:t xml:space="preserve">, B. A., Mir, S. A., Dar, S. A., </w:t>
      </w:r>
      <w:proofErr w:type="spellStart"/>
      <w:r>
        <w:rPr>
          <w:rFonts w:ascii="Times New Roman" w:eastAsia="Times New Roman" w:hAnsi="Times New Roman" w:cs="Times New Roman"/>
          <w:color w:val="222222"/>
          <w:sz w:val="24"/>
          <w:szCs w:val="24"/>
        </w:rPr>
        <w:t>Dervash</w:t>
      </w:r>
      <w:proofErr w:type="spellEnd"/>
      <w:r>
        <w:rPr>
          <w:rFonts w:ascii="Times New Roman" w:eastAsia="Times New Roman" w:hAnsi="Times New Roman" w:cs="Times New Roman"/>
          <w:color w:val="222222"/>
          <w:sz w:val="24"/>
          <w:szCs w:val="24"/>
        </w:rPr>
        <w:t xml:space="preserve">, M. A., Rashid, A., &amp; Lone, R. (2022). Biopesticide techniques to remediate pesticides in polluted ecosystems. In Research Anthology on Emerging Techniques in Environmental Remediation (pp. 336-356). IGI Global.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Call, D. J., Brooke, L. T., Kent, R. J., Knuth, M. L., Poirier, S. H., </w:t>
      </w:r>
      <w:proofErr w:type="spellStart"/>
      <w:r>
        <w:rPr>
          <w:rFonts w:ascii="Times New Roman" w:eastAsia="Times New Roman" w:hAnsi="Times New Roman" w:cs="Times New Roman"/>
          <w:color w:val="222222"/>
          <w:sz w:val="24"/>
          <w:szCs w:val="24"/>
        </w:rPr>
        <w:t>Huot</w:t>
      </w:r>
      <w:proofErr w:type="spellEnd"/>
      <w:r>
        <w:rPr>
          <w:rFonts w:ascii="Times New Roman" w:eastAsia="Times New Roman" w:hAnsi="Times New Roman" w:cs="Times New Roman"/>
          <w:color w:val="222222"/>
          <w:sz w:val="24"/>
          <w:szCs w:val="24"/>
        </w:rPr>
        <w:t xml:space="preserve">, J. M., &amp; Lima, A. R. (1987). </w:t>
      </w:r>
      <w:proofErr w:type="spellStart"/>
      <w:r>
        <w:rPr>
          <w:rFonts w:ascii="Times New Roman" w:eastAsia="Times New Roman" w:hAnsi="Times New Roman" w:cs="Times New Roman"/>
          <w:color w:val="222222"/>
          <w:sz w:val="24"/>
          <w:szCs w:val="24"/>
        </w:rPr>
        <w:t>Bromacil</w:t>
      </w:r>
      <w:proofErr w:type="spellEnd"/>
      <w:r>
        <w:rPr>
          <w:rFonts w:ascii="Times New Roman" w:eastAsia="Times New Roman" w:hAnsi="Times New Roman" w:cs="Times New Roman"/>
          <w:color w:val="222222"/>
          <w:sz w:val="24"/>
          <w:szCs w:val="24"/>
        </w:rPr>
        <w:t xml:space="preserve"> and diuron herbicides: toxicity, uptake, and elimination in freshwater fish. </w:t>
      </w:r>
      <w:r>
        <w:rPr>
          <w:rFonts w:ascii="Times New Roman" w:eastAsia="Times New Roman" w:hAnsi="Times New Roman" w:cs="Times New Roman"/>
          <w:iCs/>
          <w:color w:val="222222"/>
          <w:sz w:val="24"/>
          <w:szCs w:val="24"/>
        </w:rPr>
        <w:t xml:space="preserve">Arch Environ </w:t>
      </w:r>
      <w:proofErr w:type="spellStart"/>
      <w:r>
        <w:rPr>
          <w:rFonts w:ascii="Times New Roman" w:eastAsia="Times New Roman" w:hAnsi="Times New Roman" w:cs="Times New Roman"/>
          <w:iCs/>
          <w:color w:val="222222"/>
          <w:sz w:val="24"/>
          <w:szCs w:val="24"/>
        </w:rPr>
        <w:t>Contam</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16,</w:t>
      </w:r>
      <w:r>
        <w:rPr>
          <w:rFonts w:ascii="Times New Roman" w:eastAsia="Times New Roman" w:hAnsi="Times New Roman" w:cs="Times New Roman"/>
          <w:color w:val="222222"/>
          <w:sz w:val="24"/>
          <w:szCs w:val="24"/>
        </w:rPr>
        <w:t xml:space="preserve"> 607-613.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CCREM. Canadian Water Quality Guidelines, Canadian Council of Resources and Environmental Ministry, Inland Waters Directorate, Environment Canada: Ottawa, ON, Canada. 1991.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on Water Quality Criteria (CWQC). </w:t>
      </w:r>
      <w:proofErr w:type="spellStart"/>
      <w:r>
        <w:rPr>
          <w:rFonts w:ascii="Times New Roman" w:eastAsia="Times New Roman" w:hAnsi="Times New Roman" w:cs="Times New Roman"/>
          <w:sz w:val="24"/>
          <w:szCs w:val="24"/>
        </w:rPr>
        <w:t>Areport</w:t>
      </w:r>
      <w:proofErr w:type="spellEnd"/>
      <w:r>
        <w:rPr>
          <w:rFonts w:ascii="Times New Roman" w:eastAsia="Times New Roman" w:hAnsi="Times New Roman" w:cs="Times New Roman"/>
          <w:sz w:val="24"/>
          <w:szCs w:val="24"/>
        </w:rPr>
        <w:t xml:space="preserve"> of the committee on water Quality Criteria. Ecological Research Series, EPA-R3-1972, 73-003.</w:t>
      </w:r>
    </w:p>
    <w:p w:rsidR="002E79F6" w:rsidRDefault="0002194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Das, T. K., Behera, B., Nath, C. P., Ghosh, S., Sen, S., Raj, R., &amp; </w:t>
      </w:r>
      <w:proofErr w:type="spellStart"/>
      <w:r>
        <w:rPr>
          <w:rFonts w:ascii="Times New Roman" w:hAnsi="Times New Roman" w:cs="Times New Roman"/>
          <w:sz w:val="24"/>
          <w:szCs w:val="24"/>
        </w:rPr>
        <w:t>Pramanik</w:t>
      </w:r>
      <w:proofErr w:type="spellEnd"/>
      <w:r>
        <w:rPr>
          <w:rFonts w:ascii="Times New Roman" w:hAnsi="Times New Roman" w:cs="Times New Roman"/>
          <w:sz w:val="24"/>
          <w:szCs w:val="24"/>
        </w:rPr>
        <w:t xml:space="preserve">, B. (2024). Herbicides use in crop production: An analysis of cost-benefit, non-target toxicities and environmental risks. Crop Prot. 106691.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Di </w:t>
      </w:r>
      <w:proofErr w:type="spellStart"/>
      <w:r>
        <w:rPr>
          <w:rFonts w:ascii="Times New Roman" w:eastAsia="Times New Roman" w:hAnsi="Times New Roman" w:cs="Times New Roman"/>
          <w:color w:val="222222"/>
          <w:sz w:val="24"/>
          <w:szCs w:val="24"/>
        </w:rPr>
        <w:t>Landa</w:t>
      </w:r>
      <w:proofErr w:type="spellEnd"/>
      <w:r>
        <w:rPr>
          <w:rFonts w:ascii="Times New Roman" w:eastAsia="Times New Roman" w:hAnsi="Times New Roman" w:cs="Times New Roman"/>
          <w:color w:val="222222"/>
          <w:sz w:val="24"/>
          <w:szCs w:val="24"/>
        </w:rPr>
        <w:t xml:space="preserve">, G., </w:t>
      </w:r>
      <w:proofErr w:type="spellStart"/>
      <w:r>
        <w:rPr>
          <w:rFonts w:ascii="Times New Roman" w:eastAsia="Times New Roman" w:hAnsi="Times New Roman" w:cs="Times New Roman"/>
          <w:color w:val="222222"/>
          <w:sz w:val="24"/>
          <w:szCs w:val="24"/>
        </w:rPr>
        <w:t>Parrella</w:t>
      </w:r>
      <w:proofErr w:type="spellEnd"/>
      <w:r>
        <w:rPr>
          <w:rFonts w:ascii="Times New Roman" w:eastAsia="Times New Roman" w:hAnsi="Times New Roman" w:cs="Times New Roman"/>
          <w:color w:val="222222"/>
          <w:sz w:val="24"/>
          <w:szCs w:val="24"/>
        </w:rPr>
        <w:t xml:space="preserve">, L., </w:t>
      </w:r>
      <w:proofErr w:type="spellStart"/>
      <w:r>
        <w:rPr>
          <w:rFonts w:ascii="Times New Roman" w:eastAsia="Times New Roman" w:hAnsi="Times New Roman" w:cs="Times New Roman"/>
          <w:color w:val="222222"/>
          <w:sz w:val="24"/>
          <w:szCs w:val="24"/>
        </w:rPr>
        <w:t>Avagliano</w:t>
      </w:r>
      <w:proofErr w:type="spellEnd"/>
      <w:r>
        <w:rPr>
          <w:rFonts w:ascii="Times New Roman" w:eastAsia="Times New Roman" w:hAnsi="Times New Roman" w:cs="Times New Roman"/>
          <w:color w:val="222222"/>
          <w:sz w:val="24"/>
          <w:szCs w:val="24"/>
        </w:rPr>
        <w:t xml:space="preserve">, S., </w:t>
      </w:r>
      <w:proofErr w:type="spellStart"/>
      <w:r>
        <w:rPr>
          <w:rFonts w:ascii="Times New Roman" w:eastAsia="Times New Roman" w:hAnsi="Times New Roman" w:cs="Times New Roman"/>
          <w:color w:val="222222"/>
          <w:sz w:val="24"/>
          <w:szCs w:val="24"/>
        </w:rPr>
        <w:t>Ansanelli</w:t>
      </w:r>
      <w:proofErr w:type="spellEnd"/>
      <w:r>
        <w:rPr>
          <w:rFonts w:ascii="Times New Roman" w:eastAsia="Times New Roman" w:hAnsi="Times New Roman" w:cs="Times New Roman"/>
          <w:color w:val="222222"/>
          <w:sz w:val="24"/>
          <w:szCs w:val="24"/>
        </w:rPr>
        <w:t xml:space="preserve">, G., </w:t>
      </w:r>
      <w:proofErr w:type="spellStart"/>
      <w:r>
        <w:rPr>
          <w:rFonts w:ascii="Times New Roman" w:eastAsia="Times New Roman" w:hAnsi="Times New Roman" w:cs="Times New Roman"/>
          <w:color w:val="222222"/>
          <w:sz w:val="24"/>
          <w:szCs w:val="24"/>
        </w:rPr>
        <w:t>Maiello</w:t>
      </w:r>
      <w:proofErr w:type="spellEnd"/>
      <w:r>
        <w:rPr>
          <w:rFonts w:ascii="Times New Roman" w:eastAsia="Times New Roman" w:hAnsi="Times New Roman" w:cs="Times New Roman"/>
          <w:color w:val="222222"/>
          <w:sz w:val="24"/>
          <w:szCs w:val="24"/>
        </w:rPr>
        <w:t xml:space="preserve">, E., &amp; </w:t>
      </w:r>
      <w:proofErr w:type="spellStart"/>
      <w:r>
        <w:rPr>
          <w:rFonts w:ascii="Times New Roman" w:eastAsia="Times New Roman" w:hAnsi="Times New Roman" w:cs="Times New Roman"/>
          <w:color w:val="222222"/>
          <w:sz w:val="24"/>
          <w:szCs w:val="24"/>
        </w:rPr>
        <w:t>Cremisini</w:t>
      </w:r>
      <w:proofErr w:type="spellEnd"/>
      <w:r>
        <w:rPr>
          <w:rFonts w:ascii="Times New Roman" w:eastAsia="Times New Roman" w:hAnsi="Times New Roman" w:cs="Times New Roman"/>
          <w:color w:val="222222"/>
          <w:sz w:val="24"/>
          <w:szCs w:val="24"/>
        </w:rPr>
        <w:t>, C. (2009). Assessment of the potential ecological risks posed by antifouling booster biocides to the marine ecosystem of the Gulf of Napoli (Italy). </w:t>
      </w:r>
      <w:r>
        <w:rPr>
          <w:rFonts w:ascii="Times New Roman" w:eastAsia="Times New Roman" w:hAnsi="Times New Roman" w:cs="Times New Roman"/>
          <w:iCs/>
          <w:color w:val="222222"/>
          <w:sz w:val="24"/>
          <w:szCs w:val="24"/>
        </w:rPr>
        <w:t xml:space="preserve">Water Air Soil </w:t>
      </w:r>
      <w:proofErr w:type="spellStart"/>
      <w:r>
        <w:rPr>
          <w:rFonts w:ascii="Times New Roman" w:eastAsia="Times New Roman" w:hAnsi="Times New Roman" w:cs="Times New Roman"/>
          <w:iCs/>
          <w:color w:val="222222"/>
          <w:sz w:val="24"/>
          <w:szCs w:val="24"/>
        </w:rPr>
        <w:t>Pollut</w:t>
      </w:r>
      <w:proofErr w:type="spellEnd"/>
      <w:r>
        <w:rPr>
          <w:rFonts w:ascii="Times New Roman" w:eastAsia="Times New Roman" w:hAnsi="Times New Roman" w:cs="Times New Roman"/>
          <w:iCs/>
          <w:color w:val="222222"/>
          <w:sz w:val="24"/>
          <w:szCs w:val="24"/>
        </w:rPr>
        <w:t>. 200</w:t>
      </w:r>
      <w:r>
        <w:rPr>
          <w:rFonts w:ascii="Times New Roman" w:eastAsia="Times New Roman" w:hAnsi="Times New Roman" w:cs="Times New Roman"/>
          <w:color w:val="222222"/>
          <w:sz w:val="24"/>
          <w:szCs w:val="24"/>
        </w:rPr>
        <w:t>(1-4), 305-321.</w:t>
      </w:r>
    </w:p>
    <w:p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Diamond, J. M., Parson, M. J., &amp; Gruber, D. (1990). Rapid detection of sublethal toxicity using fish ventilatory behavior. </w:t>
      </w:r>
      <w:r>
        <w:rPr>
          <w:rFonts w:ascii="Times New Roman" w:eastAsia="Times New Roman" w:hAnsi="Times New Roman" w:cs="Times New Roman"/>
          <w:iCs/>
          <w:color w:val="222222"/>
          <w:sz w:val="24"/>
          <w:szCs w:val="24"/>
        </w:rPr>
        <w:t xml:space="preserve">Environ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xml:space="preserve"> Chem. 9</w:t>
      </w:r>
      <w:r>
        <w:rPr>
          <w:rFonts w:ascii="Times New Roman" w:eastAsia="Times New Roman" w:hAnsi="Times New Roman" w:cs="Times New Roman"/>
          <w:color w:val="222222"/>
          <w:sz w:val="24"/>
          <w:szCs w:val="24"/>
        </w:rPr>
        <w:t xml:space="preserve">(1), 3-11.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Domenici, P., &amp; Hale, M. E. (2019). Escape responses of fish: a review of the diversity in motor control, kinematics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J Exp Biol. 222(18), jeb166009.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Døving</w:t>
      </w:r>
      <w:proofErr w:type="spellEnd"/>
      <w:r>
        <w:rPr>
          <w:rFonts w:ascii="Times New Roman" w:eastAsia="Times New Roman" w:hAnsi="Times New Roman" w:cs="Times New Roman"/>
          <w:color w:val="222222"/>
          <w:sz w:val="24"/>
          <w:szCs w:val="24"/>
        </w:rPr>
        <w:t xml:space="preserve">, K. B., Westerberg, H., &amp; Johnsen, P. B. (1985). Role of olfaction in the behavioral and neuronal responses of Atlantic salmon, </w:t>
      </w:r>
      <w:r>
        <w:rPr>
          <w:rFonts w:ascii="Times New Roman" w:eastAsia="Times New Roman" w:hAnsi="Times New Roman" w:cs="Times New Roman"/>
          <w:i/>
          <w:iCs/>
          <w:color w:val="222222"/>
          <w:sz w:val="24"/>
          <w:szCs w:val="24"/>
        </w:rPr>
        <w:t xml:space="preserve">Salmo </w:t>
      </w:r>
      <w:proofErr w:type="spellStart"/>
      <w:r>
        <w:rPr>
          <w:rFonts w:ascii="Times New Roman" w:eastAsia="Times New Roman" w:hAnsi="Times New Roman" w:cs="Times New Roman"/>
          <w:i/>
          <w:iCs/>
          <w:color w:val="222222"/>
          <w:sz w:val="24"/>
          <w:szCs w:val="24"/>
        </w:rPr>
        <w:t>salar</w:t>
      </w:r>
      <w:proofErr w:type="spellEnd"/>
      <w:r>
        <w:rPr>
          <w:rFonts w:ascii="Times New Roman" w:eastAsia="Times New Roman" w:hAnsi="Times New Roman" w:cs="Times New Roman"/>
          <w:color w:val="222222"/>
          <w:sz w:val="24"/>
          <w:szCs w:val="24"/>
        </w:rPr>
        <w:t>, to hydrographic stratification. </w:t>
      </w:r>
      <w:r>
        <w:rPr>
          <w:rFonts w:ascii="Times New Roman" w:eastAsia="Times New Roman" w:hAnsi="Times New Roman" w:cs="Times New Roman"/>
          <w:iCs/>
          <w:color w:val="222222"/>
          <w:sz w:val="24"/>
          <w:szCs w:val="24"/>
        </w:rPr>
        <w:t xml:space="preserve">Can J Fish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Sci. 42(</w:t>
      </w:r>
      <w:r>
        <w:rPr>
          <w:rFonts w:ascii="Times New Roman" w:eastAsia="Times New Roman" w:hAnsi="Times New Roman" w:cs="Times New Roman"/>
          <w:color w:val="222222"/>
          <w:sz w:val="24"/>
          <w:szCs w:val="24"/>
        </w:rPr>
        <w:t xml:space="preserve">10), 1658-1667.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DPR Pesticide Chemistry Database. Environmental Monitoring Branch, Department of Pesticide Regulation. (2003).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EXTOXNET (1996). A Pesticide Information Project of Cooperative Extension Offices of Cornell University, Michigan State University, Oregon State University, and University of California at Davis.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Finney, D. J (1997).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Univ. Press, Cambridge, 333.</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Ford, A. T., </w:t>
      </w:r>
      <w:proofErr w:type="spellStart"/>
      <w:r>
        <w:rPr>
          <w:rFonts w:ascii="Times New Roman" w:hAnsi="Times New Roman" w:cs="Times New Roman"/>
          <w:sz w:val="24"/>
          <w:szCs w:val="24"/>
        </w:rPr>
        <w:t>Ågerstrand</w:t>
      </w:r>
      <w:proofErr w:type="spellEnd"/>
      <w:r>
        <w:rPr>
          <w:rFonts w:ascii="Times New Roman" w:hAnsi="Times New Roman" w:cs="Times New Roman"/>
          <w:sz w:val="24"/>
          <w:szCs w:val="24"/>
        </w:rPr>
        <w:t xml:space="preserve">, M., Brooks, B. W., Allen, J., Bertram, M. G., </w:t>
      </w:r>
      <w:proofErr w:type="spellStart"/>
      <w:r>
        <w:rPr>
          <w:rFonts w:ascii="Times New Roman" w:hAnsi="Times New Roman" w:cs="Times New Roman"/>
          <w:sz w:val="24"/>
          <w:szCs w:val="24"/>
        </w:rPr>
        <w:t>Brodin</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Maack</w:t>
      </w:r>
      <w:proofErr w:type="spellEnd"/>
      <w:r>
        <w:rPr>
          <w:rFonts w:ascii="Times New Roman" w:hAnsi="Times New Roman" w:cs="Times New Roman"/>
          <w:sz w:val="24"/>
          <w:szCs w:val="24"/>
        </w:rPr>
        <w:t>, G. (2021). The role of behavioral ecotoxicology in environmental protection. Enviro Sci Technol. 55(9), 5620-5628.</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Gerhardt, A. (2007). Aquatic behavioral ecotoxicology—prospects and limitations. </w:t>
      </w:r>
      <w:r>
        <w:rPr>
          <w:rFonts w:ascii="Times New Roman" w:eastAsia="Times New Roman" w:hAnsi="Times New Roman" w:cs="Times New Roman"/>
          <w:iCs/>
          <w:color w:val="222222"/>
          <w:sz w:val="24"/>
          <w:szCs w:val="24"/>
        </w:rPr>
        <w:t xml:space="preserve">Hum </w:t>
      </w:r>
      <w:proofErr w:type="spellStart"/>
      <w:r>
        <w:rPr>
          <w:rFonts w:ascii="Times New Roman" w:eastAsia="Times New Roman" w:hAnsi="Times New Roman" w:cs="Times New Roman"/>
          <w:iCs/>
          <w:color w:val="222222"/>
          <w:sz w:val="24"/>
          <w:szCs w:val="24"/>
        </w:rPr>
        <w:t>Ecol</w:t>
      </w:r>
      <w:proofErr w:type="spellEnd"/>
      <w:r>
        <w:rPr>
          <w:rFonts w:ascii="Times New Roman" w:eastAsia="Times New Roman" w:hAnsi="Times New Roman" w:cs="Times New Roman"/>
          <w:iCs/>
          <w:color w:val="222222"/>
          <w:sz w:val="24"/>
          <w:szCs w:val="24"/>
        </w:rPr>
        <w:t xml:space="preserve"> Risk Assess. 13</w:t>
      </w:r>
      <w:r>
        <w:rPr>
          <w:rFonts w:ascii="Times New Roman" w:eastAsia="Times New Roman" w:hAnsi="Times New Roman" w:cs="Times New Roman"/>
          <w:color w:val="222222"/>
          <w:sz w:val="24"/>
          <w:szCs w:val="24"/>
        </w:rPr>
        <w:t xml:space="preserve">(3), 481-491.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Giacomazzi</w:t>
      </w:r>
      <w:proofErr w:type="spellEnd"/>
      <w:r>
        <w:rPr>
          <w:rFonts w:ascii="Times New Roman" w:eastAsia="Times New Roman" w:hAnsi="Times New Roman" w:cs="Times New Roman"/>
          <w:color w:val="222222"/>
          <w:sz w:val="24"/>
          <w:szCs w:val="24"/>
        </w:rPr>
        <w:t>, S., &amp; Cochet, N. (2004). Environmental impact of diuron transformation: a review. </w:t>
      </w:r>
      <w:r>
        <w:rPr>
          <w:rFonts w:ascii="Times New Roman" w:eastAsia="Times New Roman" w:hAnsi="Times New Roman" w:cs="Times New Roman"/>
          <w:iCs/>
          <w:color w:val="222222"/>
          <w:sz w:val="24"/>
          <w:szCs w:val="24"/>
        </w:rPr>
        <w:t>Chemosphere, 56(</w:t>
      </w:r>
      <w:r>
        <w:rPr>
          <w:rFonts w:ascii="Times New Roman" w:eastAsia="Times New Roman" w:hAnsi="Times New Roman" w:cs="Times New Roman"/>
          <w:color w:val="222222"/>
          <w:sz w:val="24"/>
          <w:szCs w:val="24"/>
        </w:rPr>
        <w:t xml:space="preserve">11), 1021-1032.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Graham, C., von </w:t>
      </w:r>
      <w:proofErr w:type="spellStart"/>
      <w:r>
        <w:rPr>
          <w:rFonts w:ascii="Times New Roman" w:eastAsia="SimSun" w:hAnsi="Times New Roman" w:cs="Times New Roman"/>
          <w:color w:val="222222"/>
          <w:sz w:val="24"/>
          <w:szCs w:val="24"/>
          <w:shd w:val="clear" w:color="auto" w:fill="FFFFFF"/>
        </w:rPr>
        <w:t>Keyserlingk</w:t>
      </w:r>
      <w:proofErr w:type="spellEnd"/>
      <w:r>
        <w:rPr>
          <w:rFonts w:ascii="Times New Roman" w:eastAsia="SimSun" w:hAnsi="Times New Roman" w:cs="Times New Roman"/>
          <w:color w:val="222222"/>
          <w:sz w:val="24"/>
          <w:szCs w:val="24"/>
          <w:shd w:val="clear" w:color="auto" w:fill="FFFFFF"/>
        </w:rPr>
        <w:t xml:space="preserve">, M. A., &amp; Franks, B. (2018). Free-choice exploration increases affiliative </w:t>
      </w:r>
      <w:proofErr w:type="spellStart"/>
      <w:r>
        <w:rPr>
          <w:rFonts w:ascii="Times New Roman" w:eastAsia="SimSun" w:hAnsi="Times New Roman" w:cs="Times New Roman"/>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xml:space="preserve"> in zebrafish. Appl </w:t>
      </w:r>
      <w:proofErr w:type="spellStart"/>
      <w:r>
        <w:rPr>
          <w:rFonts w:ascii="Times New Roman" w:eastAsia="SimSun" w:hAnsi="Times New Roman" w:cs="Times New Roman"/>
          <w:color w:val="222222"/>
          <w:sz w:val="24"/>
          <w:szCs w:val="24"/>
          <w:shd w:val="clear" w:color="auto" w:fill="FFFFFF"/>
        </w:rPr>
        <w:t>Anim</w:t>
      </w:r>
      <w:proofErr w:type="spell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color w:val="222222"/>
          <w:sz w:val="24"/>
          <w:szCs w:val="24"/>
          <w:shd w:val="clear" w:color="auto" w:fill="FFFFFF"/>
        </w:rPr>
        <w:t>Behav</w:t>
      </w:r>
      <w:proofErr w:type="spellEnd"/>
      <w:r>
        <w:rPr>
          <w:rFonts w:ascii="Times New Roman" w:eastAsia="SimSun" w:hAnsi="Times New Roman" w:cs="Times New Roman"/>
          <w:color w:val="222222"/>
          <w:sz w:val="24"/>
          <w:szCs w:val="24"/>
          <w:shd w:val="clear" w:color="auto" w:fill="FFFFFF"/>
        </w:rPr>
        <w:t xml:space="preserve"> Sci. 203, 103-110.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lastRenderedPageBreak/>
        <w:t>Hanapiah</w:t>
      </w:r>
      <w:proofErr w:type="spellEnd"/>
      <w:r>
        <w:rPr>
          <w:rFonts w:ascii="Times New Roman" w:eastAsia="Times New Roman" w:hAnsi="Times New Roman" w:cs="Times New Roman"/>
          <w:color w:val="222222"/>
          <w:sz w:val="24"/>
          <w:szCs w:val="24"/>
        </w:rPr>
        <w:t xml:space="preserve">, M.,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xml:space="preserve">, S. Z., </w:t>
      </w:r>
      <w:proofErr w:type="spellStart"/>
      <w:r>
        <w:rPr>
          <w:rFonts w:ascii="Times New Roman" w:eastAsia="Times New Roman" w:hAnsi="Times New Roman" w:cs="Times New Roman"/>
          <w:color w:val="222222"/>
          <w:sz w:val="24"/>
          <w:szCs w:val="24"/>
        </w:rPr>
        <w:t>Shahrun</w:t>
      </w:r>
      <w:proofErr w:type="spellEnd"/>
      <w:r>
        <w:rPr>
          <w:rFonts w:ascii="Times New Roman" w:eastAsia="Times New Roman" w:hAnsi="Times New Roman" w:cs="Times New Roman"/>
          <w:color w:val="222222"/>
          <w:sz w:val="24"/>
          <w:szCs w:val="24"/>
        </w:rPr>
        <w:t xml:space="preserve">, M. S., </w:t>
      </w:r>
      <w:proofErr w:type="spellStart"/>
      <w:r>
        <w:rPr>
          <w:rFonts w:ascii="Times New Roman" w:eastAsia="Times New Roman" w:hAnsi="Times New Roman" w:cs="Times New Roman"/>
          <w:color w:val="222222"/>
          <w:sz w:val="24"/>
          <w:szCs w:val="24"/>
        </w:rPr>
        <w:t>Mohamat-Yusuff</w:t>
      </w:r>
      <w:proofErr w:type="spellEnd"/>
      <w:r>
        <w:rPr>
          <w:rFonts w:ascii="Times New Roman" w:eastAsia="Times New Roman" w:hAnsi="Times New Roman" w:cs="Times New Roman"/>
          <w:color w:val="222222"/>
          <w:sz w:val="24"/>
          <w:szCs w:val="24"/>
        </w:rPr>
        <w:t xml:space="preserve">, F., Ismail, A., </w:t>
      </w:r>
      <w:proofErr w:type="spellStart"/>
      <w:r>
        <w:rPr>
          <w:rFonts w:ascii="Times New Roman" w:eastAsia="Times New Roman" w:hAnsi="Times New Roman" w:cs="Times New Roman"/>
          <w:color w:val="222222"/>
          <w:sz w:val="24"/>
          <w:szCs w:val="24"/>
        </w:rPr>
        <w:t>Harino</w:t>
      </w:r>
      <w:proofErr w:type="spellEnd"/>
      <w:r>
        <w:rPr>
          <w:rFonts w:ascii="Times New Roman" w:eastAsia="Times New Roman" w:hAnsi="Times New Roman" w:cs="Times New Roman"/>
          <w:color w:val="222222"/>
          <w:sz w:val="24"/>
          <w:szCs w:val="24"/>
        </w:rPr>
        <w:t xml:space="preserve">, H., &amp; </w:t>
      </w:r>
      <w:proofErr w:type="spellStart"/>
      <w:r>
        <w:rPr>
          <w:rFonts w:ascii="Times New Roman" w:eastAsia="Times New Roman" w:hAnsi="Times New Roman" w:cs="Times New Roman"/>
          <w:color w:val="222222"/>
          <w:sz w:val="24"/>
          <w:szCs w:val="24"/>
        </w:rPr>
        <w:t>Inoe</w:t>
      </w:r>
      <w:proofErr w:type="spellEnd"/>
      <w:r>
        <w:rPr>
          <w:rFonts w:ascii="Times New Roman" w:eastAsia="Times New Roman" w:hAnsi="Times New Roman" w:cs="Times New Roman"/>
          <w:color w:val="222222"/>
          <w:sz w:val="24"/>
          <w:szCs w:val="24"/>
        </w:rPr>
        <w:t xml:space="preserve">, K. (2017). Concentration of antifoulant herbicides, Diuron in the vicinity of Port </w:t>
      </w:r>
      <w:proofErr w:type="spellStart"/>
      <w:r>
        <w:rPr>
          <w:rFonts w:ascii="Times New Roman" w:eastAsia="Times New Roman" w:hAnsi="Times New Roman" w:cs="Times New Roman"/>
          <w:color w:val="222222"/>
          <w:sz w:val="24"/>
          <w:szCs w:val="24"/>
        </w:rPr>
        <w:t>Klang</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Malaysia. </w:t>
      </w:r>
      <w:proofErr w:type="spellStart"/>
      <w:r>
        <w:rPr>
          <w:rFonts w:ascii="Times New Roman" w:eastAsia="Times New Roman" w:hAnsi="Times New Roman" w:cs="Times New Roman"/>
          <w:iCs/>
          <w:sz w:val="24"/>
          <w:szCs w:val="24"/>
        </w:rPr>
        <w:t>Isu-isu</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terkini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penyelidikan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saintifik</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sains</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marin</w:t>
      </w:r>
      <w:proofErr w:type="spellEnd"/>
      <w:r>
        <w:rPr>
          <w:rFonts w:ascii="Times New Roman" w:eastAsia="Times New Roman" w:hAnsi="Times New Roman" w:cs="Times New Roman"/>
          <w:iCs/>
          <w:sz w:val="24"/>
          <w:szCs w:val="24"/>
        </w:rPr>
        <w:t xml:space="preserve"> di Malaysia, 1</w:t>
      </w:r>
      <w:r>
        <w:rPr>
          <w:rFonts w:ascii="Times New Roman" w:eastAsia="Times New Roman" w:hAnsi="Times New Roman" w:cs="Times New Roman"/>
          <w:sz w:val="24"/>
          <w:szCs w:val="24"/>
        </w:rPr>
        <w:t>, 35-38.</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Hart, W. B., Weston, R. F., &amp; </w:t>
      </w:r>
      <w:proofErr w:type="spellStart"/>
      <w:r>
        <w:rPr>
          <w:rFonts w:ascii="Times New Roman" w:eastAsia="Times New Roman" w:hAnsi="Times New Roman" w:cs="Times New Roman"/>
          <w:color w:val="222222"/>
          <w:sz w:val="24"/>
          <w:szCs w:val="24"/>
        </w:rPr>
        <w:t>Demann</w:t>
      </w:r>
      <w:proofErr w:type="spellEnd"/>
      <w:r>
        <w:rPr>
          <w:rFonts w:ascii="Times New Roman" w:eastAsia="Times New Roman" w:hAnsi="Times New Roman" w:cs="Times New Roman"/>
          <w:color w:val="222222"/>
          <w:sz w:val="24"/>
          <w:szCs w:val="24"/>
        </w:rPr>
        <w:t>, J. G. (1948). An apparatus for oxygenating test solutions in which fish are used as test animals for evaluating toxicity. </w:t>
      </w:r>
      <w:r>
        <w:rPr>
          <w:rFonts w:ascii="Times New Roman" w:eastAsia="Times New Roman" w:hAnsi="Times New Roman" w:cs="Times New Roman"/>
          <w:iCs/>
          <w:color w:val="222222"/>
          <w:sz w:val="24"/>
          <w:szCs w:val="24"/>
        </w:rPr>
        <w:t>Trans Am Fish Soc. 75</w:t>
      </w:r>
      <w:r>
        <w:rPr>
          <w:rFonts w:ascii="Times New Roman" w:eastAsia="Times New Roman" w:hAnsi="Times New Roman" w:cs="Times New Roman"/>
          <w:color w:val="222222"/>
          <w:sz w:val="24"/>
          <w:szCs w:val="24"/>
        </w:rPr>
        <w:t xml:space="preserve">(1), 228-236.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Henry, M.G., &amp; Atchison, G.J. (1986). Behavioral changes in social groups of bluegills exposed to copper. Trans Am Fish Soc. 115(4),590-595.</w:t>
      </w:r>
      <w:r>
        <w:rPr>
          <w:rFonts w:ascii="Times New Roman" w:eastAsia="Times New Roman" w:hAnsi="Times New Roman" w:cs="Times New Roman"/>
          <w:sz w:val="24"/>
          <w:szCs w:val="24"/>
        </w:rPr>
        <w:t xml:space="preserve">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IJC (1997) New and Revised Great Lakes Water Quality Objectives. Windsor, Ontario.</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Jacquin</w:t>
      </w:r>
      <w:proofErr w:type="spellEnd"/>
      <w:r>
        <w:rPr>
          <w:rFonts w:ascii="Times New Roman" w:eastAsia="Times New Roman" w:hAnsi="Times New Roman" w:cs="Times New Roman"/>
          <w:color w:val="222222"/>
          <w:sz w:val="24"/>
          <w:szCs w:val="24"/>
        </w:rPr>
        <w:t xml:space="preserve">, L., </w:t>
      </w:r>
      <w:proofErr w:type="spellStart"/>
      <w:r>
        <w:rPr>
          <w:rFonts w:ascii="Times New Roman" w:eastAsia="Times New Roman" w:hAnsi="Times New Roman" w:cs="Times New Roman"/>
          <w:color w:val="222222"/>
          <w:sz w:val="24"/>
          <w:szCs w:val="24"/>
        </w:rPr>
        <w:t>Petitjean</w:t>
      </w:r>
      <w:proofErr w:type="spellEnd"/>
      <w:r>
        <w:rPr>
          <w:rFonts w:ascii="Times New Roman" w:eastAsia="Times New Roman" w:hAnsi="Times New Roman" w:cs="Times New Roman"/>
          <w:color w:val="222222"/>
          <w:sz w:val="24"/>
          <w:szCs w:val="24"/>
        </w:rPr>
        <w:t xml:space="preserve">, Q., Côte, J., </w:t>
      </w:r>
      <w:proofErr w:type="spellStart"/>
      <w:r>
        <w:rPr>
          <w:rFonts w:ascii="Times New Roman" w:eastAsia="Times New Roman" w:hAnsi="Times New Roman" w:cs="Times New Roman"/>
          <w:color w:val="222222"/>
          <w:sz w:val="24"/>
          <w:szCs w:val="24"/>
        </w:rPr>
        <w:t>Laffaille</w:t>
      </w:r>
      <w:proofErr w:type="spellEnd"/>
      <w:r>
        <w:rPr>
          <w:rFonts w:ascii="Times New Roman" w:eastAsia="Times New Roman" w:hAnsi="Times New Roman" w:cs="Times New Roman"/>
          <w:color w:val="222222"/>
          <w:sz w:val="24"/>
          <w:szCs w:val="24"/>
        </w:rPr>
        <w:t xml:space="preserve">, P., &amp; Jean, S. (2020). Effects of pollution on fish behavior, personality, and cognition: some research perspectives. Front </w:t>
      </w:r>
      <w:proofErr w:type="spellStart"/>
      <w:r>
        <w:rPr>
          <w:rFonts w:ascii="Times New Roman" w:eastAsia="Times New Roman" w:hAnsi="Times New Roman" w:cs="Times New Roman"/>
          <w:color w:val="222222"/>
          <w:sz w:val="24"/>
          <w:szCs w:val="24"/>
        </w:rPr>
        <w:t>Ecol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Evol</w:t>
      </w:r>
      <w:proofErr w:type="spellEnd"/>
      <w:r>
        <w:rPr>
          <w:rFonts w:ascii="Times New Roman" w:eastAsia="Times New Roman" w:hAnsi="Times New Roman" w:cs="Times New Roman"/>
          <w:color w:val="222222"/>
          <w:sz w:val="24"/>
          <w:szCs w:val="24"/>
        </w:rPr>
        <w:t xml:space="preserve">, 86. </w:t>
      </w:r>
    </w:p>
    <w:p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color w:val="222222"/>
          <w:sz w:val="24"/>
          <w:szCs w:val="24"/>
        </w:rPr>
        <w:t>Johnson, W. W., &amp; Finley, M. T. (1980). </w:t>
      </w:r>
      <w:r>
        <w:rPr>
          <w:rFonts w:ascii="Times New Roman" w:eastAsia="Times New Roman" w:hAnsi="Times New Roman" w:cs="Times New Roman"/>
          <w:iCs/>
          <w:color w:val="222222"/>
          <w:sz w:val="24"/>
          <w:szCs w:val="24"/>
        </w:rPr>
        <w:t>Handbook of acute toxicity of chemicals to fish and aquatic invertebrates: Summaries of toxicity tests conducted at Columbia National Fisheries Research Laboratory, 1965-78 (Vol. 137). US Department of the Interior, Fish and Wildlife service.</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Kamarudin</w:t>
      </w:r>
      <w:proofErr w:type="spellEnd"/>
      <w:r>
        <w:rPr>
          <w:rFonts w:ascii="Times New Roman" w:eastAsia="Times New Roman" w:hAnsi="Times New Roman" w:cs="Times New Roman"/>
          <w:color w:val="222222"/>
          <w:sz w:val="24"/>
          <w:szCs w:val="24"/>
        </w:rPr>
        <w:t xml:space="preserve">, N. A.,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S. Z., Aziz, F. Z. A., &amp; Ismail, A. (2019). Histological alterations in liver and kidney of Javanese medaka (</w:t>
      </w:r>
      <w:proofErr w:type="spellStart"/>
      <w:r>
        <w:rPr>
          <w:rFonts w:ascii="Times New Roman" w:eastAsia="Times New Roman" w:hAnsi="Times New Roman" w:cs="Times New Roman"/>
          <w:i/>
          <w:iCs/>
          <w:color w:val="222222"/>
          <w:sz w:val="24"/>
          <w:szCs w:val="24"/>
        </w:rPr>
        <w:t>Oryzias</w:t>
      </w:r>
      <w:proofErr w:type="spellEnd"/>
      <w:r>
        <w:rPr>
          <w:rFonts w:ascii="Times New Roman" w:eastAsia="Times New Roman" w:hAnsi="Times New Roman" w:cs="Times New Roman"/>
          <w:i/>
          <w:iCs/>
          <w:color w:val="222222"/>
          <w:sz w:val="24"/>
          <w:szCs w:val="24"/>
        </w:rPr>
        <w:t xml:space="preserve"> </w:t>
      </w:r>
      <w:proofErr w:type="spellStart"/>
      <w:r>
        <w:rPr>
          <w:rFonts w:ascii="Times New Roman" w:eastAsia="Times New Roman" w:hAnsi="Times New Roman" w:cs="Times New Roman"/>
          <w:i/>
          <w:iCs/>
          <w:color w:val="222222"/>
          <w:sz w:val="24"/>
          <w:szCs w:val="24"/>
        </w:rPr>
        <w:t>javanicus</w:t>
      </w:r>
      <w:proofErr w:type="spellEnd"/>
      <w:r>
        <w:rPr>
          <w:rFonts w:ascii="Times New Roman" w:eastAsia="Times New Roman" w:hAnsi="Times New Roman" w:cs="Times New Roman"/>
          <w:color w:val="222222"/>
          <w:sz w:val="24"/>
          <w:szCs w:val="24"/>
        </w:rPr>
        <w:t>, Bleeker 1854) exposed to sublethal concentration of herbicide Diuron. </w:t>
      </w:r>
      <w:proofErr w:type="spellStart"/>
      <w:r>
        <w:rPr>
          <w:rFonts w:ascii="Times New Roman" w:eastAsia="Times New Roman" w:hAnsi="Times New Roman" w:cs="Times New Roman"/>
          <w:iCs/>
          <w:color w:val="222222"/>
          <w:sz w:val="24"/>
          <w:szCs w:val="24"/>
        </w:rPr>
        <w:t>Pertanika</w:t>
      </w:r>
      <w:proofErr w:type="spellEnd"/>
      <w:r>
        <w:rPr>
          <w:rFonts w:ascii="Times New Roman" w:eastAsia="Times New Roman" w:hAnsi="Times New Roman" w:cs="Times New Roman"/>
          <w:iCs/>
          <w:color w:val="222222"/>
          <w:sz w:val="24"/>
          <w:szCs w:val="24"/>
        </w:rPr>
        <w:t xml:space="preserve"> J Sci Technol. 27</w:t>
      </w:r>
      <w:r>
        <w:rPr>
          <w:rFonts w:ascii="Times New Roman" w:eastAsia="Times New Roman" w:hAnsi="Times New Roman" w:cs="Times New Roman"/>
          <w:color w:val="222222"/>
          <w:sz w:val="24"/>
          <w:szCs w:val="24"/>
        </w:rPr>
        <w:t xml:space="preserve">(3), 1041-1050.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Kamarudin</w:t>
      </w:r>
      <w:proofErr w:type="spellEnd"/>
      <w:r>
        <w:rPr>
          <w:rFonts w:ascii="Times New Roman" w:eastAsia="Times New Roman" w:hAnsi="Times New Roman" w:cs="Times New Roman"/>
          <w:color w:val="222222"/>
          <w:sz w:val="24"/>
          <w:szCs w:val="24"/>
        </w:rPr>
        <w:t xml:space="preserve">, N. A.,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xml:space="preserve">, S. Z., </w:t>
      </w:r>
      <w:proofErr w:type="spellStart"/>
      <w:r>
        <w:rPr>
          <w:rFonts w:ascii="Times New Roman" w:eastAsia="Times New Roman" w:hAnsi="Times New Roman" w:cs="Times New Roman"/>
          <w:color w:val="222222"/>
          <w:sz w:val="24"/>
          <w:szCs w:val="24"/>
        </w:rPr>
        <w:t>Azmai</w:t>
      </w:r>
      <w:proofErr w:type="spellEnd"/>
      <w:r>
        <w:rPr>
          <w:rFonts w:ascii="Times New Roman" w:eastAsia="Times New Roman" w:hAnsi="Times New Roman" w:cs="Times New Roman"/>
          <w:color w:val="222222"/>
          <w:sz w:val="24"/>
          <w:szCs w:val="24"/>
        </w:rPr>
        <w:t xml:space="preserve">, M. N. A., Abdul Aziz, F. Z., &amp; Ismail, A. (2020). Herbicide diuron as endocrine disrupting chemicals (EDCs) through </w:t>
      </w:r>
      <w:proofErr w:type="spellStart"/>
      <w:r>
        <w:rPr>
          <w:rFonts w:ascii="Times New Roman" w:eastAsia="Times New Roman" w:hAnsi="Times New Roman" w:cs="Times New Roman"/>
          <w:color w:val="222222"/>
          <w:sz w:val="24"/>
          <w:szCs w:val="24"/>
        </w:rPr>
        <w:t>histopathalogical</w:t>
      </w:r>
      <w:proofErr w:type="spellEnd"/>
      <w:r>
        <w:rPr>
          <w:rFonts w:ascii="Times New Roman" w:eastAsia="Times New Roman" w:hAnsi="Times New Roman" w:cs="Times New Roman"/>
          <w:color w:val="222222"/>
          <w:sz w:val="24"/>
          <w:szCs w:val="24"/>
        </w:rPr>
        <w:t xml:space="preserve"> analysis in gonads of Javanese medaka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javanicus</w:t>
      </w:r>
      <w:proofErr w:type="spellEnd"/>
      <w:r>
        <w:rPr>
          <w:rFonts w:ascii="Times New Roman" w:eastAsia="Times New Roman" w:hAnsi="Times New Roman" w:cs="Times New Roman"/>
          <w:color w:val="222222"/>
          <w:sz w:val="24"/>
          <w:szCs w:val="24"/>
        </w:rPr>
        <w:t>, Bleeker 1854). </w:t>
      </w:r>
      <w:r>
        <w:rPr>
          <w:rFonts w:ascii="Times New Roman" w:eastAsia="Times New Roman" w:hAnsi="Times New Roman" w:cs="Times New Roman"/>
          <w:iCs/>
          <w:color w:val="222222"/>
          <w:sz w:val="24"/>
          <w:szCs w:val="24"/>
        </w:rPr>
        <w:t>Animals, 10</w:t>
      </w:r>
      <w:r>
        <w:rPr>
          <w:rFonts w:ascii="Times New Roman" w:eastAsia="Times New Roman" w:hAnsi="Times New Roman" w:cs="Times New Roman"/>
          <w:color w:val="222222"/>
          <w:sz w:val="24"/>
          <w:szCs w:val="24"/>
        </w:rPr>
        <w:t xml:space="preserve">(3), 525.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Kaonga</w:t>
      </w:r>
      <w:proofErr w:type="spellEnd"/>
      <w:r>
        <w:rPr>
          <w:rFonts w:ascii="Times New Roman" w:eastAsia="Times New Roman" w:hAnsi="Times New Roman" w:cs="Times New Roman"/>
          <w:color w:val="222222"/>
          <w:sz w:val="24"/>
          <w:szCs w:val="24"/>
        </w:rPr>
        <w:t xml:space="preserve">, C. C., Takeda, K., &amp; </w:t>
      </w:r>
      <w:proofErr w:type="spellStart"/>
      <w:r>
        <w:rPr>
          <w:rFonts w:ascii="Times New Roman" w:eastAsia="Times New Roman" w:hAnsi="Times New Roman" w:cs="Times New Roman"/>
          <w:color w:val="222222"/>
          <w:sz w:val="24"/>
          <w:szCs w:val="24"/>
        </w:rPr>
        <w:t>Sakugawa</w:t>
      </w:r>
      <w:proofErr w:type="spellEnd"/>
      <w:r>
        <w:rPr>
          <w:rFonts w:ascii="Times New Roman" w:eastAsia="Times New Roman" w:hAnsi="Times New Roman" w:cs="Times New Roman"/>
          <w:color w:val="222222"/>
          <w:sz w:val="24"/>
          <w:szCs w:val="24"/>
        </w:rPr>
        <w:t xml:space="preserve">, H. (2015). Antifouling agents and Fenitrothion contamination in seawater, sediment, plankton, fish and selected marine animals from the </w:t>
      </w:r>
      <w:proofErr w:type="spellStart"/>
      <w:r>
        <w:rPr>
          <w:rFonts w:ascii="Times New Roman" w:eastAsia="Times New Roman" w:hAnsi="Times New Roman" w:cs="Times New Roman"/>
          <w:color w:val="222222"/>
          <w:sz w:val="24"/>
          <w:szCs w:val="24"/>
        </w:rPr>
        <w:t>Seto</w:t>
      </w:r>
      <w:proofErr w:type="spellEnd"/>
      <w:r>
        <w:rPr>
          <w:rFonts w:ascii="Times New Roman" w:eastAsia="Times New Roman" w:hAnsi="Times New Roman" w:cs="Times New Roman"/>
          <w:color w:val="222222"/>
          <w:sz w:val="24"/>
          <w:szCs w:val="24"/>
        </w:rPr>
        <w:t xml:space="preserve"> Inland Sea, Japan. </w:t>
      </w:r>
      <w:r>
        <w:rPr>
          <w:rFonts w:ascii="Times New Roman" w:eastAsia="Times New Roman" w:hAnsi="Times New Roman" w:cs="Times New Roman"/>
          <w:iCs/>
          <w:color w:val="222222"/>
          <w:sz w:val="24"/>
          <w:szCs w:val="24"/>
        </w:rPr>
        <w:t>Geochem. J., 49(</w:t>
      </w:r>
      <w:r>
        <w:rPr>
          <w:rFonts w:ascii="Times New Roman" w:eastAsia="Times New Roman" w:hAnsi="Times New Roman" w:cs="Times New Roman"/>
          <w:color w:val="222222"/>
          <w:sz w:val="24"/>
          <w:szCs w:val="24"/>
        </w:rPr>
        <w:t xml:space="preserve">1), 23-37. </w:t>
      </w:r>
    </w:p>
    <w:p w:rsidR="002E79F6" w:rsidRDefault="00021946">
      <w:pPr>
        <w:spacing w:line="360" w:lineRule="auto"/>
        <w:ind w:left="720" w:hanging="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Kasumyan</w:t>
      </w:r>
      <w:proofErr w:type="spellEnd"/>
      <w:r>
        <w:rPr>
          <w:rFonts w:ascii="Times New Roman" w:eastAsia="Times New Roman" w:hAnsi="Times New Roman" w:cs="Times New Roman"/>
          <w:color w:val="222222"/>
          <w:sz w:val="24"/>
          <w:szCs w:val="24"/>
        </w:rPr>
        <w:t xml:space="preserve">, A. O., </w:t>
      </w:r>
      <w:proofErr w:type="spellStart"/>
      <w:r>
        <w:rPr>
          <w:rFonts w:ascii="Times New Roman" w:eastAsia="Times New Roman" w:hAnsi="Times New Roman" w:cs="Times New Roman"/>
          <w:color w:val="222222"/>
          <w:sz w:val="24"/>
          <w:szCs w:val="24"/>
        </w:rPr>
        <w:t>Malyukina</w:t>
      </w:r>
      <w:proofErr w:type="spellEnd"/>
      <w:r>
        <w:rPr>
          <w:rFonts w:ascii="Times New Roman" w:eastAsia="Times New Roman" w:hAnsi="Times New Roman" w:cs="Times New Roman"/>
          <w:color w:val="222222"/>
          <w:sz w:val="24"/>
          <w:szCs w:val="24"/>
        </w:rPr>
        <w:t xml:space="preserve">, G. A., </w:t>
      </w:r>
      <w:proofErr w:type="spellStart"/>
      <w:r>
        <w:rPr>
          <w:rFonts w:ascii="Times New Roman" w:eastAsia="Times New Roman" w:hAnsi="Times New Roman" w:cs="Times New Roman"/>
          <w:color w:val="222222"/>
          <w:sz w:val="24"/>
          <w:szCs w:val="24"/>
        </w:rPr>
        <w:t>Devitsina</w:t>
      </w:r>
      <w:proofErr w:type="spellEnd"/>
      <w:r>
        <w:rPr>
          <w:rFonts w:ascii="Times New Roman" w:eastAsia="Times New Roman" w:hAnsi="Times New Roman" w:cs="Times New Roman"/>
          <w:color w:val="222222"/>
          <w:sz w:val="24"/>
          <w:szCs w:val="24"/>
        </w:rPr>
        <w:t xml:space="preserve">, G. V., </w:t>
      </w:r>
      <w:proofErr w:type="spellStart"/>
      <w:r>
        <w:rPr>
          <w:rFonts w:ascii="Times New Roman" w:eastAsia="Times New Roman" w:hAnsi="Times New Roman" w:cs="Times New Roman"/>
          <w:color w:val="222222"/>
          <w:sz w:val="24"/>
          <w:szCs w:val="24"/>
        </w:rPr>
        <w:t>Marusov</w:t>
      </w:r>
      <w:proofErr w:type="spellEnd"/>
      <w:r>
        <w:rPr>
          <w:rFonts w:ascii="Times New Roman" w:eastAsia="Times New Roman" w:hAnsi="Times New Roman" w:cs="Times New Roman"/>
          <w:color w:val="222222"/>
          <w:sz w:val="24"/>
          <w:szCs w:val="24"/>
        </w:rPr>
        <w:t xml:space="preserve">, E. A., </w:t>
      </w:r>
      <w:proofErr w:type="spellStart"/>
      <w:r>
        <w:rPr>
          <w:rFonts w:ascii="Times New Roman" w:eastAsia="Times New Roman" w:hAnsi="Times New Roman" w:cs="Times New Roman"/>
          <w:color w:val="222222"/>
          <w:sz w:val="24"/>
          <w:szCs w:val="24"/>
        </w:rPr>
        <w:t>Lebedeva</w:t>
      </w:r>
      <w:proofErr w:type="spellEnd"/>
      <w:r>
        <w:rPr>
          <w:rFonts w:ascii="Times New Roman" w:eastAsia="Times New Roman" w:hAnsi="Times New Roman" w:cs="Times New Roman"/>
          <w:color w:val="222222"/>
          <w:sz w:val="24"/>
          <w:szCs w:val="24"/>
        </w:rPr>
        <w:t xml:space="preserve">, N. E., </w:t>
      </w:r>
      <w:proofErr w:type="spellStart"/>
      <w:r>
        <w:rPr>
          <w:rFonts w:ascii="Times New Roman" w:eastAsia="Times New Roman" w:hAnsi="Times New Roman" w:cs="Times New Roman"/>
          <w:color w:val="222222"/>
          <w:sz w:val="24"/>
          <w:szCs w:val="24"/>
        </w:rPr>
        <w:t>Chervova</w:t>
      </w:r>
      <w:proofErr w:type="spellEnd"/>
      <w:r>
        <w:rPr>
          <w:rFonts w:ascii="Times New Roman" w:eastAsia="Times New Roman" w:hAnsi="Times New Roman" w:cs="Times New Roman"/>
          <w:color w:val="222222"/>
          <w:sz w:val="24"/>
          <w:szCs w:val="24"/>
        </w:rPr>
        <w:t xml:space="preserve">, L. S., &amp; </w:t>
      </w:r>
      <w:proofErr w:type="spellStart"/>
      <w:r>
        <w:rPr>
          <w:rFonts w:ascii="Times New Roman" w:eastAsia="Times New Roman" w:hAnsi="Times New Roman" w:cs="Times New Roman"/>
          <w:color w:val="222222"/>
          <w:sz w:val="24"/>
          <w:szCs w:val="24"/>
        </w:rPr>
        <w:t>Golubev</w:t>
      </w:r>
      <w:proofErr w:type="spellEnd"/>
      <w:r>
        <w:rPr>
          <w:rFonts w:ascii="Times New Roman" w:eastAsia="Times New Roman" w:hAnsi="Times New Roman" w:cs="Times New Roman"/>
          <w:color w:val="222222"/>
          <w:sz w:val="24"/>
          <w:szCs w:val="24"/>
        </w:rPr>
        <w:t xml:space="preserve">, A. V. (1999). Chemosensory systems in fishes: </w:t>
      </w:r>
      <w:r>
        <w:rPr>
          <w:rFonts w:ascii="Times New Roman" w:eastAsia="Times New Roman" w:hAnsi="Times New Roman" w:cs="Times New Roman"/>
          <w:color w:val="222222"/>
          <w:sz w:val="24"/>
          <w:szCs w:val="24"/>
        </w:rPr>
        <w:lastRenderedPageBreak/>
        <w:t xml:space="preserve">morphology, physiology, and role in </w:t>
      </w:r>
      <w:proofErr w:type="spellStart"/>
      <w:r>
        <w:rPr>
          <w:rFonts w:ascii="Times New Roman" w:eastAsia="Times New Roman" w:hAnsi="Times New Roman" w:cs="Times New Roman"/>
          <w:color w:val="222222"/>
          <w:sz w:val="24"/>
          <w:szCs w:val="24"/>
        </w:rPr>
        <w:t>behaviour</w:t>
      </w:r>
      <w:proofErr w:type="spellEnd"/>
      <w:r>
        <w:rPr>
          <w:rFonts w:ascii="Times New Roman" w:eastAsia="Times New Roman" w:hAnsi="Times New Roman" w:cs="Times New Roman"/>
          <w:color w:val="222222"/>
          <w:sz w:val="24"/>
          <w:szCs w:val="24"/>
        </w:rPr>
        <w:t>. Ichthyology: recent research advances, 117-144.</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Kollman</w:t>
      </w:r>
      <w:proofErr w:type="spellEnd"/>
      <w:r>
        <w:rPr>
          <w:rFonts w:ascii="Times New Roman" w:eastAsia="Times New Roman" w:hAnsi="Times New Roman" w:cs="Times New Roman"/>
          <w:sz w:val="24"/>
          <w:szCs w:val="24"/>
        </w:rPr>
        <w:t xml:space="preserve">, W. S., &amp; </w:t>
      </w:r>
      <w:proofErr w:type="spellStart"/>
      <w:r>
        <w:rPr>
          <w:rFonts w:ascii="Times New Roman" w:eastAsia="Times New Roman" w:hAnsi="Times New Roman" w:cs="Times New Roman"/>
          <w:sz w:val="24"/>
          <w:szCs w:val="24"/>
        </w:rPr>
        <w:t>Segawa</w:t>
      </w:r>
      <w:proofErr w:type="spellEnd"/>
      <w:r>
        <w:rPr>
          <w:rFonts w:ascii="Times New Roman" w:eastAsia="Times New Roman" w:hAnsi="Times New Roman" w:cs="Times New Roman"/>
          <w:sz w:val="24"/>
          <w:szCs w:val="24"/>
        </w:rPr>
        <w:t>, R. (1995). Interim report of the pesticide chemistry database. Environmental Hazards Assessment Program, State of California, Environmental Protection Agency, Department of Pesticide Regulation, Environmental Monitoring and Pest Management Branch.</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Lazhar</w:t>
      </w:r>
      <w:proofErr w:type="spellEnd"/>
      <w:r>
        <w:rPr>
          <w:rFonts w:ascii="Times New Roman" w:eastAsia="Times New Roman" w:hAnsi="Times New Roman" w:cs="Times New Roman"/>
          <w:color w:val="222222"/>
          <w:sz w:val="24"/>
          <w:szCs w:val="24"/>
        </w:rPr>
        <w:t xml:space="preserve">, M., Hela, T., </w:t>
      </w:r>
      <w:proofErr w:type="spellStart"/>
      <w:r>
        <w:rPr>
          <w:rFonts w:ascii="Times New Roman" w:eastAsia="Times New Roman" w:hAnsi="Times New Roman" w:cs="Times New Roman"/>
          <w:color w:val="222222"/>
          <w:sz w:val="24"/>
          <w:szCs w:val="24"/>
        </w:rPr>
        <w:t>Moncef</w:t>
      </w:r>
      <w:proofErr w:type="spellEnd"/>
      <w:r>
        <w:rPr>
          <w:rFonts w:ascii="Times New Roman" w:eastAsia="Times New Roman" w:hAnsi="Times New Roman" w:cs="Times New Roman"/>
          <w:color w:val="222222"/>
          <w:sz w:val="24"/>
          <w:szCs w:val="24"/>
        </w:rPr>
        <w:t xml:space="preserve">, B., &amp; </w:t>
      </w:r>
      <w:proofErr w:type="spellStart"/>
      <w:r>
        <w:rPr>
          <w:rFonts w:ascii="Times New Roman" w:eastAsia="Times New Roman" w:hAnsi="Times New Roman" w:cs="Times New Roman"/>
          <w:color w:val="222222"/>
          <w:sz w:val="24"/>
          <w:szCs w:val="24"/>
        </w:rPr>
        <w:t>Néji</w:t>
      </w:r>
      <w:proofErr w:type="spellEnd"/>
      <w:r>
        <w:rPr>
          <w:rFonts w:ascii="Times New Roman" w:eastAsia="Times New Roman" w:hAnsi="Times New Roman" w:cs="Times New Roman"/>
          <w:color w:val="222222"/>
          <w:sz w:val="24"/>
          <w:szCs w:val="24"/>
        </w:rPr>
        <w:t xml:space="preserve">, A. (2012). Toxicity of three selected pesticides (Alachlor, Atrazine and Diuron) to the marine fish (turbot </w:t>
      </w:r>
      <w:proofErr w:type="spellStart"/>
      <w:r>
        <w:rPr>
          <w:rFonts w:ascii="Times New Roman" w:eastAsia="Times New Roman" w:hAnsi="Times New Roman" w:cs="Times New Roman"/>
          <w:i/>
          <w:iCs/>
          <w:color w:val="222222"/>
          <w:sz w:val="24"/>
          <w:szCs w:val="24"/>
        </w:rPr>
        <w:t>Psetta</w:t>
      </w:r>
      <w:proofErr w:type="spellEnd"/>
      <w:r>
        <w:rPr>
          <w:rFonts w:ascii="Times New Roman" w:eastAsia="Times New Roman" w:hAnsi="Times New Roman" w:cs="Times New Roman"/>
          <w:i/>
          <w:iCs/>
          <w:color w:val="222222"/>
          <w:sz w:val="24"/>
          <w:szCs w:val="24"/>
        </w:rPr>
        <w:t xml:space="preserve"> maxima</w:t>
      </w:r>
      <w:r>
        <w:rPr>
          <w:rFonts w:ascii="Times New Roman" w:eastAsia="Times New Roman" w:hAnsi="Times New Roman" w:cs="Times New Roman"/>
          <w:color w:val="222222"/>
          <w:sz w:val="24"/>
          <w:szCs w:val="24"/>
        </w:rPr>
        <w:t>). </w:t>
      </w:r>
      <w:proofErr w:type="spellStart"/>
      <w:r>
        <w:rPr>
          <w:rFonts w:ascii="Times New Roman" w:eastAsia="Times New Roman" w:hAnsi="Times New Roman" w:cs="Times New Roman"/>
          <w:iCs/>
          <w:color w:val="222222"/>
          <w:sz w:val="24"/>
          <w:szCs w:val="24"/>
        </w:rPr>
        <w:t>Afr</w:t>
      </w:r>
      <w:proofErr w:type="spellEnd"/>
      <w:r>
        <w:rPr>
          <w:rFonts w:ascii="Times New Roman" w:eastAsia="Times New Roman" w:hAnsi="Times New Roman" w:cs="Times New Roman"/>
          <w:iCs/>
          <w:color w:val="222222"/>
          <w:sz w:val="24"/>
          <w:szCs w:val="24"/>
        </w:rPr>
        <w:t xml:space="preserve"> J </w:t>
      </w:r>
      <w:proofErr w:type="spellStart"/>
      <w:r>
        <w:rPr>
          <w:rFonts w:ascii="Times New Roman" w:eastAsia="Times New Roman" w:hAnsi="Times New Roman" w:cs="Times New Roman"/>
          <w:iCs/>
          <w:color w:val="222222"/>
          <w:sz w:val="24"/>
          <w:szCs w:val="24"/>
        </w:rPr>
        <w:t>Biotechnol</w:t>
      </w:r>
      <w:proofErr w:type="spellEnd"/>
      <w:r>
        <w:rPr>
          <w:rFonts w:ascii="Times New Roman" w:eastAsia="Times New Roman" w:hAnsi="Times New Roman" w:cs="Times New Roman"/>
          <w:iCs/>
          <w:color w:val="222222"/>
          <w:sz w:val="24"/>
          <w:szCs w:val="24"/>
        </w:rPr>
        <w:t>. 11(</w:t>
      </w:r>
      <w:r>
        <w:rPr>
          <w:rFonts w:ascii="Times New Roman" w:eastAsia="Times New Roman" w:hAnsi="Times New Roman" w:cs="Times New Roman"/>
          <w:color w:val="222222"/>
          <w:sz w:val="24"/>
          <w:szCs w:val="24"/>
        </w:rPr>
        <w:t xml:space="preserve">51), 11321-11328.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B. Y., Park, J. C., Kim, M. S., Choi, B. S., Kim, D. H., Lim, J. S., &amp; Lee, J. S. (2020). The genome of the Java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Potential for its use in marine molecular ecotoxicology. </w:t>
      </w:r>
      <w:r>
        <w:rPr>
          <w:rFonts w:ascii="Times New Roman" w:eastAsia="Times New Roman" w:hAnsi="Times New Roman" w:cs="Times New Roman"/>
          <w:iCs/>
          <w:sz w:val="24"/>
          <w:szCs w:val="24"/>
        </w:rPr>
        <w:t>Mar Poll Bull. 154,</w:t>
      </w:r>
      <w:r>
        <w:rPr>
          <w:rFonts w:ascii="Times New Roman" w:eastAsia="Times New Roman" w:hAnsi="Times New Roman" w:cs="Times New Roman"/>
          <w:sz w:val="24"/>
          <w:szCs w:val="24"/>
        </w:rPr>
        <w:t xml:space="preserve"> 111118.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xml:space="preserve">, A. (2009). A revised taxonomic account of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Thailand, Indonesia and Japan. </w:t>
      </w:r>
      <w:r>
        <w:rPr>
          <w:rFonts w:ascii="Times New Roman" w:eastAsia="Times New Roman" w:hAnsi="Times New Roman" w:cs="Times New Roman"/>
          <w:iCs/>
          <w:sz w:val="24"/>
          <w:szCs w:val="24"/>
        </w:rPr>
        <w:t>Trop. Nat. Hist. 9</w:t>
      </w:r>
      <w:r>
        <w:rPr>
          <w:rFonts w:ascii="Times New Roman" w:eastAsia="Times New Roman" w:hAnsi="Times New Roman" w:cs="Times New Roman"/>
          <w:sz w:val="24"/>
          <w:szCs w:val="24"/>
        </w:rPr>
        <w:t>(1), 35-68.</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xml:space="preserve">, G. A., </w:t>
      </w:r>
      <w:proofErr w:type="spellStart"/>
      <w:r>
        <w:rPr>
          <w:rFonts w:ascii="Times New Roman" w:eastAsia="Times New Roman" w:hAnsi="Times New Roman" w:cs="Times New Roman"/>
          <w:sz w:val="24"/>
          <w:szCs w:val="24"/>
        </w:rPr>
        <w:t>Dmitrieva</w:t>
      </w:r>
      <w:proofErr w:type="spellEnd"/>
      <w:r>
        <w:rPr>
          <w:rFonts w:ascii="Times New Roman" w:eastAsia="Times New Roman" w:hAnsi="Times New Roman" w:cs="Times New Roman"/>
          <w:sz w:val="24"/>
          <w:szCs w:val="24"/>
        </w:rPr>
        <w:t xml:space="preserve">, N. G., </w:t>
      </w:r>
      <w:proofErr w:type="spellStart"/>
      <w:r>
        <w:rPr>
          <w:rFonts w:ascii="Times New Roman" w:eastAsia="Times New Roman" w:hAnsi="Times New Roman" w:cs="Times New Roman"/>
          <w:sz w:val="24"/>
          <w:szCs w:val="24"/>
        </w:rPr>
        <w:t>Marusov</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Yurkevich</w:t>
      </w:r>
      <w:proofErr w:type="spellEnd"/>
      <w:r>
        <w:rPr>
          <w:rFonts w:ascii="Times New Roman" w:eastAsia="Times New Roman" w:hAnsi="Times New Roman" w:cs="Times New Roman"/>
          <w:sz w:val="24"/>
          <w:szCs w:val="24"/>
        </w:rPr>
        <w:t>, G. V. (1969). Olfaction and its role in fish behavior. </w:t>
      </w:r>
      <w:proofErr w:type="spellStart"/>
      <w:r>
        <w:rPr>
          <w:rFonts w:ascii="Times New Roman" w:eastAsia="Times New Roman" w:hAnsi="Times New Roman" w:cs="Times New Roman"/>
          <w:sz w:val="24"/>
          <w:szCs w:val="24"/>
        </w:rPr>
        <w:t>Itogi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Nauki</w:t>
      </w:r>
      <w:proofErr w:type="spellEnd"/>
      <w:r>
        <w:rPr>
          <w:rFonts w:ascii="Times New Roman" w:eastAsia="Times New Roman" w:hAnsi="Times New Roman" w:cs="Times New Roman"/>
          <w:sz w:val="24"/>
          <w:szCs w:val="24"/>
        </w:rPr>
        <w:t>, Series of Biology Zoology, 32-78.</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Marlatt, V. L., Lo, B. P., </w:t>
      </w:r>
      <w:proofErr w:type="spellStart"/>
      <w:r>
        <w:rPr>
          <w:rFonts w:ascii="Times New Roman" w:eastAsia="Times New Roman" w:hAnsi="Times New Roman" w:cs="Times New Roman"/>
          <w:sz w:val="24"/>
          <w:szCs w:val="24"/>
        </w:rPr>
        <w:t>Ornostay</w:t>
      </w:r>
      <w:proofErr w:type="spellEnd"/>
      <w:r>
        <w:rPr>
          <w:rFonts w:ascii="Times New Roman" w:eastAsia="Times New Roman" w:hAnsi="Times New Roman" w:cs="Times New Roman"/>
          <w:sz w:val="24"/>
          <w:szCs w:val="24"/>
        </w:rPr>
        <w:t xml:space="preserve">, A., Hogan, N. S., Kennedy, C.J., Elphick, J. R., &amp; </w:t>
      </w:r>
      <w:proofErr w:type="spellStart"/>
      <w:r>
        <w:rPr>
          <w:rFonts w:ascii="Times New Roman" w:eastAsia="Times New Roman" w:hAnsi="Times New Roman" w:cs="Times New Roman"/>
          <w:sz w:val="24"/>
          <w:szCs w:val="24"/>
        </w:rPr>
        <w:t>Martyniuk</w:t>
      </w:r>
      <w:proofErr w:type="spellEnd"/>
      <w:r>
        <w:rPr>
          <w:rFonts w:ascii="Times New Roman" w:eastAsia="Times New Roman" w:hAnsi="Times New Roman" w:cs="Times New Roman"/>
          <w:sz w:val="24"/>
          <w:szCs w:val="24"/>
        </w:rPr>
        <w:t>, C. J. (2013). The effects of the urea-based herbicide linuron on reproductive endpoints in the fathead minnow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Comp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Physiol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CToxicol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Pharmacol</w:t>
      </w:r>
      <w:proofErr w:type="spellEnd"/>
      <w:r>
        <w:rPr>
          <w:rFonts w:ascii="Times New Roman" w:eastAsia="Times New Roman" w:hAnsi="Times New Roman" w:cs="Times New Roman"/>
          <w:iCs/>
          <w:sz w:val="24"/>
          <w:szCs w:val="24"/>
        </w:rPr>
        <w:t>. 157(</w:t>
      </w:r>
      <w:r>
        <w:rPr>
          <w:rFonts w:ascii="Times New Roman" w:eastAsia="Times New Roman" w:hAnsi="Times New Roman" w:cs="Times New Roman"/>
          <w:sz w:val="24"/>
          <w:szCs w:val="24"/>
        </w:rPr>
        <w:t xml:space="preserve">1),24-32.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F.,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xml:space="preserve">, M. (1986). Manual of Acute Toxicity: Interpretation and Data Base for 410 Chemicals and 66 Species of Freshwater Animals. United States Department of the Interior Fish and Wildlife Service, United States Environmental Protection Service, Washington DC., EPA MRID 40098001.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Sarah-Nabila, A. G.,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xml:space="preserve">, M. N. A., Ibrahim, W. N. W., Yusof, S., &amp; Ismail, A. (2018). Acute toxicity test of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on Javanese medaka and the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stress symptoms. </w:t>
      </w:r>
      <w:r>
        <w:rPr>
          <w:rFonts w:ascii="Times New Roman" w:eastAsia="Times New Roman" w:hAnsi="Times New Roman" w:cs="Times New Roman"/>
          <w:iCs/>
          <w:sz w:val="24"/>
          <w:szCs w:val="24"/>
        </w:rPr>
        <w:t>Mar. Poll Bull. 127,</w:t>
      </w:r>
      <w:r>
        <w:rPr>
          <w:rFonts w:ascii="Times New Roman" w:eastAsia="Times New Roman" w:hAnsi="Times New Roman" w:cs="Times New Roman"/>
          <w:sz w:val="24"/>
          <w:szCs w:val="24"/>
        </w:rPr>
        <w:t xml:space="preserve"> 150-153.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Muhamad, H., Ramli, M. I., Zakaria, Z., </w:t>
      </w:r>
      <w:proofErr w:type="spellStart"/>
      <w:r>
        <w:rPr>
          <w:rFonts w:ascii="Times New Roman" w:eastAsia="Times New Roman" w:hAnsi="Times New Roman" w:cs="Times New Roman"/>
          <w:sz w:val="24"/>
          <w:szCs w:val="24"/>
        </w:rPr>
        <w:t>Sahid</w:t>
      </w:r>
      <w:proofErr w:type="spellEnd"/>
      <w:r>
        <w:rPr>
          <w:rFonts w:ascii="Times New Roman" w:eastAsia="Times New Roman" w:hAnsi="Times New Roman" w:cs="Times New Roman"/>
          <w:sz w:val="24"/>
          <w:szCs w:val="24"/>
        </w:rPr>
        <w:t>, I. (2013). The fate of Diuron in soil in a Malaysian oil palm plantation. J Oil Palm Res. 25(1), 149-158.</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Mukhtar, A.,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Harino</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M. N. A., &amp; Ismail, A. (2020). Booster biocides levels in the major blood cockle (</w:t>
      </w:r>
      <w:proofErr w:type="spellStart"/>
      <w:r>
        <w:rPr>
          <w:rFonts w:ascii="Times New Roman" w:eastAsia="Times New Roman" w:hAnsi="Times New Roman" w:cs="Times New Roman"/>
          <w:i/>
          <w:iCs/>
          <w:sz w:val="24"/>
          <w:szCs w:val="24"/>
        </w:rPr>
        <w:t>Tegillarca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granosa</w:t>
      </w:r>
      <w:proofErr w:type="spellEnd"/>
      <w:r>
        <w:rPr>
          <w:rFonts w:ascii="Times New Roman" w:eastAsia="Times New Roman" w:hAnsi="Times New Roman" w:cs="Times New Roman"/>
          <w:sz w:val="24"/>
          <w:szCs w:val="24"/>
        </w:rPr>
        <w:t xml:space="preserve"> L., 1758) cultivation areas along the coastal area of Peninsular Malaysia. </w:t>
      </w:r>
      <w:r>
        <w:rPr>
          <w:rFonts w:ascii="Times New Roman" w:eastAsia="Times New Roman" w:hAnsi="Times New Roman" w:cs="Times New Roman"/>
          <w:iCs/>
          <w:sz w:val="24"/>
          <w:szCs w:val="24"/>
        </w:rPr>
        <w:t>Water, 12</w:t>
      </w:r>
      <w:r>
        <w:rPr>
          <w:rFonts w:ascii="Times New Roman" w:eastAsia="Times New Roman" w:hAnsi="Times New Roman" w:cs="Times New Roman"/>
          <w:sz w:val="24"/>
          <w:szCs w:val="24"/>
        </w:rPr>
        <w:t xml:space="preserve">(6), 1616.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NAS/NAE. Water Quality Criteria. US Government Printing Office, Washington DC, WQC 1972, EPA-R-R3-033.</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Okamura, H. (2002). Photodegradation of the antifouling compounds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and Diuron released from a commercial antifouling paint. Chemosphere, 48(1), 43-50.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A. (2013). Pesticide toxicity and behavioral responses in the fish </w:t>
      </w:r>
      <w:proofErr w:type="spellStart"/>
      <w:r>
        <w:rPr>
          <w:rFonts w:ascii="Times New Roman" w:eastAsia="Times New Roman" w:hAnsi="Times New Roman" w:cs="Times New Roman"/>
          <w:i/>
          <w:iCs/>
          <w:sz w:val="24"/>
          <w:szCs w:val="24"/>
        </w:rPr>
        <w:t>Orechromis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Int. J. Fish.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161-164.</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Pathan, T. S., </w:t>
      </w:r>
      <w:proofErr w:type="spellStart"/>
      <w:r>
        <w:rPr>
          <w:rFonts w:ascii="Times New Roman" w:eastAsia="Times New Roman" w:hAnsi="Times New Roman" w:cs="Times New Roman"/>
          <w:sz w:val="24"/>
          <w:szCs w:val="24"/>
        </w:rPr>
        <w:t>Sonawane</w:t>
      </w:r>
      <w:proofErr w:type="spellEnd"/>
      <w:r>
        <w:rPr>
          <w:rFonts w:ascii="Times New Roman" w:eastAsia="Times New Roman" w:hAnsi="Times New Roman" w:cs="Times New Roman"/>
          <w:sz w:val="24"/>
          <w:szCs w:val="24"/>
        </w:rPr>
        <w:t xml:space="preserve">, D. L., &amp; </w:t>
      </w:r>
      <w:proofErr w:type="spellStart"/>
      <w:r>
        <w:rPr>
          <w:rFonts w:ascii="Times New Roman" w:eastAsia="Times New Roman" w:hAnsi="Times New Roman" w:cs="Times New Roman"/>
          <w:sz w:val="24"/>
          <w:szCs w:val="24"/>
        </w:rPr>
        <w:t>Khillare</w:t>
      </w:r>
      <w:proofErr w:type="spellEnd"/>
      <w:r>
        <w:rPr>
          <w:rFonts w:ascii="Times New Roman" w:eastAsia="Times New Roman" w:hAnsi="Times New Roman" w:cs="Times New Roman"/>
          <w:sz w:val="24"/>
          <w:szCs w:val="24"/>
        </w:rPr>
        <w:t xml:space="preserve">, Y. K. (2009).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r>
        <w:rPr>
          <w:rFonts w:ascii="Times New Roman" w:eastAsia="Times New Roman" w:hAnsi="Times New Roman" w:cs="Times New Roman"/>
          <w:i/>
          <w:iCs/>
          <w:sz w:val="24"/>
          <w:szCs w:val="24"/>
        </w:rPr>
        <w:t xml:space="preserve">Rasbora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sz w:val="24"/>
          <w:szCs w:val="24"/>
        </w:rPr>
        <w:t xml:space="preserve"> exposed to paper mill effluent. </w:t>
      </w:r>
      <w:r>
        <w:rPr>
          <w:rFonts w:ascii="Times New Roman" w:eastAsia="Times New Roman" w:hAnsi="Times New Roman" w:cs="Times New Roman"/>
          <w:iCs/>
          <w:sz w:val="24"/>
          <w:szCs w:val="24"/>
        </w:rPr>
        <w:t>Bot Res J. 2</w:t>
      </w:r>
      <w:r>
        <w:rPr>
          <w:rFonts w:ascii="Times New Roman" w:eastAsia="Times New Roman" w:hAnsi="Times New Roman" w:cs="Times New Roman"/>
          <w:sz w:val="24"/>
          <w:szCs w:val="24"/>
        </w:rPr>
        <w:t>(4), 263-266.</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Pfeiffer, W. (1962). The fright reaction of fish. </w:t>
      </w:r>
      <w:r>
        <w:rPr>
          <w:rFonts w:ascii="Times New Roman" w:eastAsia="Times New Roman" w:hAnsi="Times New Roman" w:cs="Times New Roman"/>
          <w:iCs/>
          <w:sz w:val="24"/>
          <w:szCs w:val="24"/>
        </w:rPr>
        <w:t>Biol.</w:t>
      </w:r>
      <w:r>
        <w:rPr>
          <w:rFonts w:ascii="Times New Roman" w:eastAsia="Times New Roman" w:hAnsi="Times New Roman" w:cs="Times New Roman"/>
          <w:sz w:val="24"/>
          <w:szCs w:val="24"/>
        </w:rPr>
        <w:t xml:space="preserve"> 37, 495–511.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Ramli, M. I., Zakaria, Z., </w:t>
      </w:r>
      <w:proofErr w:type="spellStart"/>
      <w:r>
        <w:rPr>
          <w:rFonts w:ascii="Times New Roman" w:eastAsia="Times New Roman" w:hAnsi="Times New Roman" w:cs="Times New Roman"/>
          <w:sz w:val="24"/>
          <w:szCs w:val="24"/>
        </w:rPr>
        <w:t>Sahid</w:t>
      </w:r>
      <w:proofErr w:type="spellEnd"/>
      <w:r>
        <w:rPr>
          <w:rFonts w:ascii="Times New Roman" w:eastAsia="Times New Roman" w:hAnsi="Times New Roman" w:cs="Times New Roman"/>
          <w:sz w:val="24"/>
          <w:szCs w:val="24"/>
        </w:rPr>
        <w:t>, I., Ai, T. Y., &amp; Muhamad, H. (2012). Determination of Herbicide diuron levels in palm oil matrices using HPLC-UV. </w:t>
      </w:r>
      <w:proofErr w:type="spellStart"/>
      <w:r>
        <w:rPr>
          <w:rFonts w:ascii="Times New Roman" w:eastAsia="Times New Roman" w:hAnsi="Times New Roman" w:cs="Times New Roman"/>
          <w:iCs/>
          <w:sz w:val="24"/>
          <w:szCs w:val="24"/>
        </w:rPr>
        <w:t>Sains</w:t>
      </w:r>
      <w:proofErr w:type="spellEnd"/>
      <w:r>
        <w:rPr>
          <w:rFonts w:ascii="Times New Roman" w:eastAsia="Times New Roman" w:hAnsi="Times New Roman" w:cs="Times New Roman"/>
          <w:iCs/>
          <w:sz w:val="24"/>
          <w:szCs w:val="24"/>
        </w:rPr>
        <w:t xml:space="preserve"> Malays. 41</w:t>
      </w:r>
      <w:r>
        <w:rPr>
          <w:rFonts w:ascii="Times New Roman" w:eastAsia="Times New Roman" w:hAnsi="Times New Roman" w:cs="Times New Roman"/>
          <w:sz w:val="24"/>
          <w:szCs w:val="24"/>
        </w:rPr>
        <w:t>(11), 1451-1459.</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Rana, K., &amp; Gautam, P. (2022). Estimation of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and Its Confidence Interval for the Effect of Carbamate Pesticide (Methiocarb) on </w:t>
      </w:r>
      <w:r>
        <w:rPr>
          <w:rFonts w:ascii="Times New Roman" w:eastAsia="Times New Roman" w:hAnsi="Times New Roman" w:cs="Times New Roman"/>
          <w:i/>
          <w:iCs/>
          <w:sz w:val="24"/>
          <w:szCs w:val="24"/>
        </w:rPr>
        <w:t>Caenorhabditis elegans.</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Roadside Vegetation Management Herbicide Fact Sheet. Washington State Department of Transportation. July 2017, 1-5.</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S. (1998). Behavioral responses to atrazine and diuron in goldfish. </w:t>
      </w:r>
      <w:r>
        <w:rPr>
          <w:rFonts w:ascii="Times New Roman" w:eastAsia="Times New Roman" w:hAnsi="Times New Roman" w:cs="Times New Roman"/>
          <w:i/>
          <w:sz w:val="24"/>
          <w:szCs w:val="24"/>
        </w:rPr>
        <w:t xml:space="preserve">Arch. Environ. </w:t>
      </w:r>
      <w:proofErr w:type="spellStart"/>
      <w:r>
        <w:rPr>
          <w:rFonts w:ascii="Times New Roman" w:eastAsia="Times New Roman" w:hAnsi="Times New Roman" w:cs="Times New Roman"/>
          <w:i/>
          <w:sz w:val="24"/>
          <w:szCs w:val="24"/>
        </w:rPr>
        <w:t>Contam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Toxicol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 35,</w:t>
      </w:r>
      <w:r>
        <w:rPr>
          <w:rFonts w:ascii="Times New Roman" w:eastAsia="Times New Roman" w:hAnsi="Times New Roman" w:cs="Times New Roman"/>
          <w:sz w:val="24"/>
          <w:szCs w:val="24"/>
        </w:rPr>
        <w:t xml:space="preserve"> 484-491.  </w:t>
      </w:r>
      <w:r>
        <w:rPr>
          <w:rFonts w:ascii="Times New Roman" w:eastAsia="Times New Roman" w:hAnsi="Times New Roman" w:cs="Times New Roman"/>
          <w:color w:val="0000FF"/>
          <w:sz w:val="24"/>
          <w:szCs w:val="24"/>
        </w:rPr>
        <w:t xml:space="preserve">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xml:space="preserve">, J. P. (2015). Toxicity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r>
        <w:rPr>
          <w:rFonts w:ascii="Times New Roman" w:eastAsia="Times New Roman" w:hAnsi="Times New Roman" w:cs="Times New Roman"/>
          <w:i/>
          <w:iCs/>
          <w:sz w:val="24"/>
          <w:szCs w:val="24"/>
        </w:rPr>
        <w:t xml:space="preserve">Puntius stigma </w:t>
      </w:r>
      <w:r>
        <w:rPr>
          <w:rFonts w:ascii="Times New Roman" w:eastAsia="Times New Roman" w:hAnsi="Times New Roman" w:cs="Times New Roman"/>
          <w:sz w:val="24"/>
          <w:szCs w:val="24"/>
        </w:rPr>
        <w:t>Exposed to Paper Mill Effluent. </w:t>
      </w:r>
      <w:r>
        <w:rPr>
          <w:rFonts w:ascii="Times New Roman" w:eastAsia="Times New Roman" w:hAnsi="Times New Roman" w:cs="Times New Roman"/>
          <w:iCs/>
          <w:sz w:val="24"/>
          <w:szCs w:val="24"/>
        </w:rPr>
        <w:t>Int J Innovations Biol Chem Sci. 6,</w:t>
      </w:r>
      <w:r>
        <w:rPr>
          <w:rFonts w:ascii="Times New Roman" w:eastAsia="Times New Roman" w:hAnsi="Times New Roman" w:cs="Times New Roman"/>
          <w:sz w:val="24"/>
          <w:szCs w:val="24"/>
        </w:rPr>
        <w:t xml:space="preserve"> 36-44.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G. R., &amp; </w:t>
      </w:r>
      <w:proofErr w:type="spellStart"/>
      <w:r>
        <w:rPr>
          <w:rFonts w:ascii="Times New Roman" w:eastAsia="Times New Roman" w:hAnsi="Times New Roman" w:cs="Times New Roman"/>
          <w:sz w:val="24"/>
          <w:szCs w:val="24"/>
        </w:rPr>
        <w:t>Sloman</w:t>
      </w:r>
      <w:proofErr w:type="spellEnd"/>
      <w:r>
        <w:rPr>
          <w:rFonts w:ascii="Times New Roman" w:eastAsia="Times New Roman" w:hAnsi="Times New Roman" w:cs="Times New Roman"/>
          <w:sz w:val="24"/>
          <w:szCs w:val="24"/>
        </w:rPr>
        <w:t xml:space="preserve">, K. A. (2004). The effects of environmental pollutants on complex fish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integrating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and physiological indicators of toxicity. </w:t>
      </w:r>
      <w:proofErr w:type="spellStart"/>
      <w:r>
        <w:rPr>
          <w:rFonts w:ascii="Times New Roman" w:eastAsia="Times New Roman" w:hAnsi="Times New Roman" w:cs="Times New Roman"/>
          <w:iCs/>
          <w:sz w:val="24"/>
          <w:szCs w:val="24"/>
        </w:rPr>
        <w:t>Aquat</w:t>
      </w:r>
      <w:proofErr w:type="spellEnd"/>
      <w:r>
        <w:rPr>
          <w:rFonts w:ascii="Times New Roman" w:eastAsia="Times New Roman" w:hAnsi="Times New Roman" w:cs="Times New Roman"/>
          <w:iCs/>
          <w:sz w:val="24"/>
          <w:szCs w:val="24"/>
        </w:rPr>
        <w:t>.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68</w:t>
      </w:r>
      <w:r>
        <w:rPr>
          <w:rFonts w:ascii="Times New Roman" w:eastAsia="Times New Roman" w:hAnsi="Times New Roman" w:cs="Times New Roman"/>
          <w:sz w:val="24"/>
          <w:szCs w:val="24"/>
        </w:rPr>
        <w:t xml:space="preserve">(4), 369-392.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Shahbazi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Gerami</w:t>
      </w:r>
      <w:proofErr w:type="spellEnd"/>
      <w:r>
        <w:rPr>
          <w:rFonts w:ascii="Times New Roman" w:eastAsia="Times New Roman" w:hAnsi="Times New Roman" w:cs="Times New Roman"/>
          <w:sz w:val="24"/>
          <w:szCs w:val="24"/>
        </w:rPr>
        <w:t xml:space="preserve">, M. H., &amp; </w:t>
      </w:r>
      <w:proofErr w:type="spellStart"/>
      <w:r>
        <w:rPr>
          <w:rFonts w:ascii="Times New Roman" w:eastAsia="Times New Roman" w:hAnsi="Times New Roman" w:cs="Times New Roman"/>
          <w:sz w:val="24"/>
          <w:szCs w:val="24"/>
        </w:rPr>
        <w:t>Ghafari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Farsani</w:t>
      </w:r>
      <w:proofErr w:type="spellEnd"/>
      <w:r>
        <w:rPr>
          <w:rFonts w:ascii="Times New Roman" w:eastAsia="Times New Roman" w:hAnsi="Times New Roman" w:cs="Times New Roman"/>
          <w:sz w:val="24"/>
          <w:szCs w:val="24"/>
        </w:rPr>
        <w:t>, H. (2015). Acute toxicity and behavioral changes of the gold fish (</w:t>
      </w:r>
      <w:proofErr w:type="spellStart"/>
      <w:r>
        <w:rPr>
          <w:rFonts w:ascii="Times New Roman" w:eastAsia="Times New Roman" w:hAnsi="Times New Roman" w:cs="Times New Roman"/>
          <w:i/>
          <w:iCs/>
          <w:sz w:val="24"/>
          <w:szCs w:val="24"/>
        </w:rPr>
        <w:t>Carassius</w:t>
      </w:r>
      <w:proofErr w:type="spellEnd"/>
      <w:r>
        <w:rPr>
          <w:rFonts w:ascii="Times New Roman" w:eastAsia="Times New Roman" w:hAnsi="Times New Roman" w:cs="Times New Roman"/>
          <w:i/>
          <w:iCs/>
          <w:sz w:val="24"/>
          <w:szCs w:val="24"/>
        </w:rPr>
        <w:t xml:space="preserve"> auratus</w:t>
      </w:r>
      <w:r>
        <w:rPr>
          <w:rFonts w:ascii="Times New Roman" w:eastAsia="Times New Roman" w:hAnsi="Times New Roman" w:cs="Times New Roman"/>
          <w:sz w:val="24"/>
          <w:szCs w:val="24"/>
        </w:rPr>
        <w:t xml:space="preserve">) exposed to malathion and </w:t>
      </w:r>
      <w:proofErr w:type="spellStart"/>
      <w:r>
        <w:rPr>
          <w:rFonts w:ascii="Times New Roman" w:eastAsia="Times New Roman" w:hAnsi="Times New Roman" w:cs="Times New Roman"/>
          <w:sz w:val="24"/>
          <w:szCs w:val="24"/>
        </w:rPr>
        <w:t>hinosan</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Iran J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8(</w:t>
      </w:r>
      <w:r>
        <w:rPr>
          <w:rFonts w:ascii="Times New Roman" w:eastAsia="Times New Roman" w:hAnsi="Times New Roman" w:cs="Times New Roman"/>
          <w:sz w:val="24"/>
          <w:szCs w:val="24"/>
        </w:rPr>
        <w:t xml:space="preserve">27), 1203-1208.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M., Thakur, J., &amp; Verma, S. (2019).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effect to chemical stress in fish: A review. Int J Fish </w:t>
      </w:r>
      <w:proofErr w:type="spellStart"/>
      <w:r>
        <w:rPr>
          <w:rFonts w:ascii="Times New Roman" w:eastAsia="Times New Roman" w:hAnsi="Times New Roman" w:cs="Times New Roman"/>
          <w:sz w:val="24"/>
          <w:szCs w:val="24"/>
        </w:rPr>
        <w:t>Aquat</w:t>
      </w:r>
      <w:proofErr w:type="spellEnd"/>
      <w:r>
        <w:rPr>
          <w:rFonts w:ascii="Times New Roman" w:eastAsia="Times New Roman" w:hAnsi="Times New Roman" w:cs="Times New Roman"/>
          <w:sz w:val="24"/>
          <w:szCs w:val="24"/>
        </w:rPr>
        <w:t xml:space="preserve"> Stud. 7(1), 1-5.</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Shinn, C., Santos, M. M., </w:t>
      </w:r>
      <w:proofErr w:type="spellStart"/>
      <w:r>
        <w:rPr>
          <w:rFonts w:ascii="Times New Roman" w:eastAsia="Times New Roman" w:hAnsi="Times New Roman" w:cs="Times New Roman"/>
          <w:sz w:val="24"/>
          <w:szCs w:val="24"/>
        </w:rPr>
        <w:t>Lek</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Grenouillet</w:t>
      </w:r>
      <w:proofErr w:type="spellEnd"/>
      <w:r>
        <w:rPr>
          <w:rFonts w:ascii="Times New Roman" w:eastAsia="Times New Roman" w:hAnsi="Times New Roman" w:cs="Times New Roman"/>
          <w:sz w:val="24"/>
          <w:szCs w:val="24"/>
        </w:rPr>
        <w:t>, G. (2015). Behavioral response of juvenile rainbow trout exposed to an herbicide mixture. </w:t>
      </w:r>
      <w:proofErr w:type="spellStart"/>
      <w:r>
        <w:rPr>
          <w:rFonts w:ascii="Times New Roman" w:eastAsia="Times New Roman" w:hAnsi="Times New Roman" w:cs="Times New Roman"/>
          <w:sz w:val="24"/>
          <w:szCs w:val="24"/>
        </w:rPr>
        <w:t>Ecotoxicol</w:t>
      </w:r>
      <w:proofErr w:type="spellEnd"/>
      <w:r>
        <w:rPr>
          <w:rFonts w:ascii="Times New Roman" w:eastAsia="Times New Roman" w:hAnsi="Times New Roman" w:cs="Times New Roman"/>
          <w:sz w:val="24"/>
          <w:szCs w:val="24"/>
        </w:rPr>
        <w:t xml:space="preserve"> Environ </w:t>
      </w:r>
      <w:proofErr w:type="spellStart"/>
      <w:r>
        <w:rPr>
          <w:rFonts w:ascii="Times New Roman" w:eastAsia="Times New Roman" w:hAnsi="Times New Roman" w:cs="Times New Roman"/>
          <w:sz w:val="24"/>
          <w:szCs w:val="24"/>
        </w:rPr>
        <w:t>Saf</w:t>
      </w:r>
      <w:proofErr w:type="spellEnd"/>
      <w:r>
        <w:rPr>
          <w:rFonts w:ascii="Times New Roman" w:eastAsia="Times New Roman" w:hAnsi="Times New Roman" w:cs="Times New Roman"/>
          <w:sz w:val="24"/>
          <w:szCs w:val="24"/>
        </w:rPr>
        <w:t xml:space="preserve">. 112, 15-21.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R., &amp; Verma, S. K. (2018). Acute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w:t>
      </w:r>
      <w:proofErr w:type="spellStart"/>
      <w:r>
        <w:rPr>
          <w:rFonts w:ascii="Times New Roman" w:eastAsia="Times New Roman" w:hAnsi="Times New Roman" w:cs="Times New Roman"/>
          <w:i/>
          <w:iCs/>
          <w:sz w:val="24"/>
          <w:szCs w:val="24"/>
        </w:rPr>
        <w:t>Clarias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batrachus</w:t>
      </w:r>
      <w:proofErr w:type="spellEnd"/>
      <w:r>
        <w:rPr>
          <w:rFonts w:ascii="Times New Roman" w:eastAsia="Times New Roman" w:hAnsi="Times New Roman" w:cs="Times New Roman"/>
          <w:sz w:val="24"/>
          <w:szCs w:val="24"/>
        </w:rPr>
        <w:t xml:space="preserve"> (Linnaeus) exposed to herbicide pretilachlor. </w:t>
      </w:r>
      <w:proofErr w:type="spellStart"/>
      <w:r>
        <w:rPr>
          <w:rFonts w:ascii="Times New Roman" w:eastAsia="Times New Roman" w:hAnsi="Times New Roman" w:cs="Times New Roman"/>
          <w:iCs/>
          <w:sz w:val="24"/>
          <w:szCs w:val="24"/>
        </w:rPr>
        <w:t>Heliyon</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(12). </w:t>
      </w:r>
    </w:p>
    <w:p w:rsidR="002E79F6" w:rsidRDefault="00021946">
      <w:pPr>
        <w:spacing w:line="360" w:lineRule="auto"/>
        <w:ind w:left="720" w:hanging="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Sprague, J. B. (1971). Measurement of pollutant toxicity to fish—III: Sublethal effects and “safe” concentrations. Water Res. 5(6), 245-266.</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Thanigaivel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Vickram</w:t>
      </w:r>
      <w:proofErr w:type="spellEnd"/>
      <w:r>
        <w:rPr>
          <w:rFonts w:ascii="Times New Roman" w:eastAsia="Times New Roman" w:hAnsi="Times New Roman" w:cs="Times New Roman"/>
          <w:sz w:val="24"/>
          <w:szCs w:val="24"/>
        </w:rPr>
        <w:t xml:space="preserve">, S., Dey, N., </w:t>
      </w:r>
      <w:proofErr w:type="spellStart"/>
      <w:r>
        <w:rPr>
          <w:rFonts w:ascii="Times New Roman" w:eastAsia="Times New Roman" w:hAnsi="Times New Roman" w:cs="Times New Roman"/>
          <w:sz w:val="24"/>
          <w:szCs w:val="24"/>
        </w:rPr>
        <w:t>Jeyanthi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Subbaiya</w:t>
      </w:r>
      <w:proofErr w:type="spellEnd"/>
      <w:r>
        <w:rPr>
          <w:rFonts w:ascii="Times New Roman" w:eastAsia="Times New Roman" w:hAnsi="Times New Roman" w:cs="Times New Roman"/>
          <w:sz w:val="24"/>
          <w:szCs w:val="24"/>
        </w:rPr>
        <w:t xml:space="preserve">, R., Kim, W., &amp; </w:t>
      </w:r>
      <w:proofErr w:type="spellStart"/>
      <w:r>
        <w:rPr>
          <w:rFonts w:ascii="Times New Roman" w:eastAsia="Times New Roman" w:hAnsi="Times New Roman" w:cs="Times New Roman"/>
          <w:sz w:val="24"/>
          <w:szCs w:val="24"/>
        </w:rPr>
        <w:t>Karmegam</w:t>
      </w:r>
      <w:proofErr w:type="spellEnd"/>
      <w:r>
        <w:rPr>
          <w:rFonts w:ascii="Times New Roman" w:eastAsia="Times New Roman" w:hAnsi="Times New Roman" w:cs="Times New Roman"/>
          <w:sz w:val="24"/>
          <w:szCs w:val="24"/>
        </w:rPr>
        <w:t xml:space="preserve">, N. (2023). Ecological disturbances and abundance of anthropogenic pollutants in the aquatic ecosystem: Critical review of impact assessment on the aquatic animals. Chemosphere, 313, 137475.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Ueda, H. (2021). Chemoreception in fishes. In Oxford Research Encyclopedia of Neuroscience. </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Uçar</w:t>
      </w:r>
      <w:proofErr w:type="spellEnd"/>
      <w:r>
        <w:rPr>
          <w:rFonts w:ascii="Times New Roman" w:eastAsia="Times New Roman" w:hAnsi="Times New Roman" w:cs="Times New Roman"/>
          <w:sz w:val="24"/>
          <w:szCs w:val="24"/>
        </w:rPr>
        <w:t>, A. (2024).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Determination and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In Aquatic Toxicology in Freshwater: The Multiple Biomarker Approach (pp. 95-105). Cham: Springer Nature Switzerland.</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USEPA Reregistration Eligibility Decision (RED) for Diuron (2003). United States Environmental Protection Agency, Office of Prevention, Pesticides, and Toxic Substances, Washington, DC.</w:t>
      </w:r>
    </w:p>
    <w:p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M., Di Paolo, C., </w:t>
      </w:r>
      <w:proofErr w:type="spellStart"/>
      <w:r>
        <w:rPr>
          <w:rFonts w:ascii="Times New Roman" w:eastAsia="Times New Roman" w:hAnsi="Times New Roman" w:cs="Times New Roman"/>
          <w:sz w:val="24"/>
          <w:szCs w:val="24"/>
        </w:rPr>
        <w:t>Nelles</w:t>
      </w:r>
      <w:proofErr w:type="spellEnd"/>
      <w:r>
        <w:rPr>
          <w:rFonts w:ascii="Times New Roman" w:eastAsia="Times New Roman" w:hAnsi="Times New Roman" w:cs="Times New Roman"/>
          <w:sz w:val="24"/>
          <w:szCs w:val="24"/>
        </w:rPr>
        <w:t xml:space="preserve">, J., Seiler, T. B., &amp; </w:t>
      </w:r>
      <w:proofErr w:type="spellStart"/>
      <w:r>
        <w:rPr>
          <w:rFonts w:ascii="Times New Roman" w:eastAsia="Times New Roman" w:hAnsi="Times New Roman" w:cs="Times New Roman"/>
          <w:sz w:val="24"/>
          <w:szCs w:val="24"/>
        </w:rPr>
        <w:t>Hollert</w:t>
      </w:r>
      <w:proofErr w:type="spellEnd"/>
      <w:r>
        <w:rPr>
          <w:rFonts w:ascii="Times New Roman" w:eastAsia="Times New Roman" w:hAnsi="Times New Roman" w:cs="Times New Roman"/>
          <w:sz w:val="24"/>
          <w:szCs w:val="24"/>
        </w:rPr>
        <w:t xml:space="preserve">, H. (2017). Diuron and diazinon alter the behavior of zebrafish embryos and larvae in the absence of acute toxicity. Chemosphere, 180, 65-76. </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Yusof, S., Ismail, A., Koito, T., Kinoshita, M., &amp; Inoue, K. (2012). Occurrence of two closely </w:t>
      </w:r>
      <w:r>
        <w:rPr>
          <w:rFonts w:ascii="Times New Roman" w:eastAsia="Times New Roman" w:hAnsi="Times New Roman" w:cs="Times New Roman"/>
          <w:color w:val="222222"/>
          <w:sz w:val="24"/>
          <w:szCs w:val="24"/>
        </w:rPr>
        <w:t xml:space="preserve">related </w:t>
      </w:r>
      <w:proofErr w:type="spellStart"/>
      <w:r>
        <w:rPr>
          <w:rFonts w:ascii="Times New Roman" w:eastAsia="Times New Roman" w:hAnsi="Times New Roman" w:cs="Times New Roman"/>
          <w:color w:val="222222"/>
          <w:sz w:val="24"/>
          <w:szCs w:val="24"/>
        </w:rPr>
        <w:t>ricefishes</w:t>
      </w:r>
      <w:proofErr w:type="spellEnd"/>
      <w:r>
        <w:rPr>
          <w:rFonts w:ascii="Times New Roman" w:eastAsia="Times New Roman" w:hAnsi="Times New Roman" w:cs="Times New Roman"/>
          <w:color w:val="222222"/>
          <w:sz w:val="24"/>
          <w:szCs w:val="24"/>
        </w:rPr>
        <w:t>, Javanese medaka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javanicus</w:t>
      </w:r>
      <w:proofErr w:type="spellEnd"/>
      <w:r>
        <w:rPr>
          <w:rFonts w:ascii="Times New Roman" w:eastAsia="Times New Roman" w:hAnsi="Times New Roman" w:cs="Times New Roman"/>
          <w:color w:val="222222"/>
          <w:sz w:val="24"/>
          <w:szCs w:val="24"/>
        </w:rPr>
        <w:t>) and Indian medaka (</w:t>
      </w:r>
      <w:r>
        <w:rPr>
          <w:rFonts w:ascii="Times New Roman" w:eastAsia="Times New Roman" w:hAnsi="Times New Roman" w:cs="Times New Roman"/>
          <w:i/>
          <w:color w:val="222222"/>
          <w:sz w:val="24"/>
          <w:szCs w:val="24"/>
        </w:rPr>
        <w:t xml:space="preserve">O. </w:t>
      </w:r>
      <w:proofErr w:type="spellStart"/>
      <w:r>
        <w:rPr>
          <w:rFonts w:ascii="Times New Roman" w:eastAsia="Times New Roman" w:hAnsi="Times New Roman" w:cs="Times New Roman"/>
          <w:i/>
          <w:color w:val="222222"/>
          <w:sz w:val="24"/>
          <w:szCs w:val="24"/>
        </w:rPr>
        <w:lastRenderedPageBreak/>
        <w:t>dancena</w:t>
      </w:r>
      <w:proofErr w:type="spellEnd"/>
      <w:r>
        <w:rPr>
          <w:rFonts w:ascii="Times New Roman" w:eastAsia="Times New Roman" w:hAnsi="Times New Roman" w:cs="Times New Roman"/>
          <w:color w:val="222222"/>
          <w:sz w:val="24"/>
          <w:szCs w:val="24"/>
        </w:rPr>
        <w:t>) at sites with different salinity in Peninsular Malaysia. </w:t>
      </w:r>
      <w:r>
        <w:rPr>
          <w:rFonts w:ascii="Times New Roman" w:eastAsia="Times New Roman" w:hAnsi="Times New Roman" w:cs="Times New Roman"/>
          <w:iCs/>
          <w:color w:val="222222"/>
          <w:sz w:val="24"/>
          <w:szCs w:val="24"/>
        </w:rPr>
        <w:t>Environ Biol Fishes. 93,</w:t>
      </w:r>
      <w:r>
        <w:rPr>
          <w:rFonts w:ascii="Times New Roman" w:eastAsia="Times New Roman" w:hAnsi="Times New Roman" w:cs="Times New Roman"/>
          <w:color w:val="222222"/>
          <w:sz w:val="24"/>
          <w:szCs w:val="24"/>
        </w:rPr>
        <w:t xml:space="preserve"> 43-49. </w:t>
      </w:r>
    </w:p>
    <w:p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Yusof, S., Ismail, A., Rahman, F. (2013). Distribution and localities of Java medaka fish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xml:space="preserve">) in Peninsular Malaysia. </w:t>
      </w:r>
      <w:r>
        <w:rPr>
          <w:rFonts w:ascii="Times New Roman" w:eastAsia="Times New Roman" w:hAnsi="Times New Roman" w:cs="Times New Roman"/>
          <w:iCs/>
          <w:color w:val="222222"/>
          <w:sz w:val="24"/>
          <w:szCs w:val="24"/>
        </w:rPr>
        <w:t>Malay Nat J. 65(</w:t>
      </w:r>
      <w:r>
        <w:rPr>
          <w:rFonts w:ascii="Times New Roman" w:eastAsia="Times New Roman" w:hAnsi="Times New Roman" w:cs="Times New Roman"/>
          <w:color w:val="222222"/>
          <w:sz w:val="24"/>
          <w:szCs w:val="24"/>
        </w:rPr>
        <w:t>2&amp;3), 38-46.</w:t>
      </w:r>
    </w:p>
    <w:p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K., Ye, Z., Qi, M., Cai, W., Saraiva, J. L., Wen, Y., &amp; Zhao, J. (2025). Water Quality Impact on Fish Behavior: A Review from an Aquaculture Perspective. Rev.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xml:space="preserve">. 17(1), e12985. </w:t>
      </w:r>
    </w:p>
    <w:bookmarkEnd w:id="2"/>
    <w:p w:rsidR="002E79F6" w:rsidRDefault="002E79F6">
      <w:pPr>
        <w:spacing w:line="360" w:lineRule="auto"/>
        <w:jc w:val="both"/>
        <w:rPr>
          <w:rFonts w:ascii="Times New Roman" w:eastAsia="Times New Roman" w:hAnsi="Times New Roman" w:cs="Times New Roman"/>
          <w:color w:val="222222"/>
          <w:sz w:val="24"/>
          <w:szCs w:val="24"/>
        </w:rPr>
      </w:pPr>
    </w:p>
    <w:sectPr w:rsidR="002E79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86C" w:rsidRDefault="00C0286C">
      <w:pPr>
        <w:spacing w:line="240" w:lineRule="auto"/>
      </w:pPr>
      <w:r>
        <w:separator/>
      </w:r>
    </w:p>
  </w:endnote>
  <w:endnote w:type="continuationSeparator" w:id="0">
    <w:p w:rsidR="00C0286C" w:rsidRDefault="00C02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B1" w:rsidRDefault="00AB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751005"/>
    </w:sdtPr>
    <w:sdtEndPr/>
    <w:sdtContent>
      <w:p w:rsidR="002E79F6" w:rsidRDefault="00021946">
        <w:pPr>
          <w:pStyle w:val="Footer"/>
          <w:jc w:val="center"/>
        </w:pPr>
        <w:r>
          <w:fldChar w:fldCharType="begin"/>
        </w:r>
        <w:r>
          <w:instrText xml:space="preserve"> PAGE   \* MERGEFORMAT </w:instrText>
        </w:r>
        <w:r>
          <w:fldChar w:fldCharType="separate"/>
        </w:r>
        <w:r w:rsidR="00D71AE1">
          <w:rPr>
            <w:noProof/>
          </w:rPr>
          <w:t>19</w:t>
        </w:r>
        <w:r>
          <w:fldChar w:fldCharType="end"/>
        </w:r>
      </w:p>
    </w:sdtContent>
  </w:sdt>
  <w:p w:rsidR="002E79F6" w:rsidRDefault="002E7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B1" w:rsidRDefault="00AB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86C" w:rsidRDefault="00C0286C">
      <w:pPr>
        <w:spacing w:after="0"/>
      </w:pPr>
      <w:r>
        <w:separator/>
      </w:r>
    </w:p>
  </w:footnote>
  <w:footnote w:type="continuationSeparator" w:id="0">
    <w:p w:rsidR="00C0286C" w:rsidRDefault="00C028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B1" w:rsidRDefault="00AB2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B1" w:rsidRDefault="00AB2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B1" w:rsidRDefault="00AB2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77"/>
    <w:rsid w:val="00021946"/>
    <w:rsid w:val="000A35A1"/>
    <w:rsid w:val="000C5B06"/>
    <w:rsid w:val="000E2241"/>
    <w:rsid w:val="00114925"/>
    <w:rsid w:val="0013053A"/>
    <w:rsid w:val="00231411"/>
    <w:rsid w:val="00254D49"/>
    <w:rsid w:val="002E6774"/>
    <w:rsid w:val="002E79F6"/>
    <w:rsid w:val="00302239"/>
    <w:rsid w:val="003045DA"/>
    <w:rsid w:val="00310A9C"/>
    <w:rsid w:val="00464BC4"/>
    <w:rsid w:val="00493477"/>
    <w:rsid w:val="004A57FB"/>
    <w:rsid w:val="005049E3"/>
    <w:rsid w:val="00537672"/>
    <w:rsid w:val="00596656"/>
    <w:rsid w:val="005D5277"/>
    <w:rsid w:val="00625C55"/>
    <w:rsid w:val="0063465B"/>
    <w:rsid w:val="006C39C9"/>
    <w:rsid w:val="006E2B01"/>
    <w:rsid w:val="006E2B31"/>
    <w:rsid w:val="006F5931"/>
    <w:rsid w:val="00730917"/>
    <w:rsid w:val="00731AC7"/>
    <w:rsid w:val="0078216D"/>
    <w:rsid w:val="007A5EC4"/>
    <w:rsid w:val="007E0CB3"/>
    <w:rsid w:val="007F52C0"/>
    <w:rsid w:val="00841110"/>
    <w:rsid w:val="008453E9"/>
    <w:rsid w:val="0085556F"/>
    <w:rsid w:val="008D70E6"/>
    <w:rsid w:val="00902DF6"/>
    <w:rsid w:val="00992BD5"/>
    <w:rsid w:val="009C2C73"/>
    <w:rsid w:val="009E43A5"/>
    <w:rsid w:val="009E61CB"/>
    <w:rsid w:val="009E65D1"/>
    <w:rsid w:val="00A0117D"/>
    <w:rsid w:val="00A113AA"/>
    <w:rsid w:val="00A77177"/>
    <w:rsid w:val="00A85B1C"/>
    <w:rsid w:val="00A95BF9"/>
    <w:rsid w:val="00AB2FB1"/>
    <w:rsid w:val="00AC3F4B"/>
    <w:rsid w:val="00AD27F6"/>
    <w:rsid w:val="00AD7403"/>
    <w:rsid w:val="00AF3760"/>
    <w:rsid w:val="00B22F5F"/>
    <w:rsid w:val="00BE7ADC"/>
    <w:rsid w:val="00BF6767"/>
    <w:rsid w:val="00C0286C"/>
    <w:rsid w:val="00C31361"/>
    <w:rsid w:val="00C475A2"/>
    <w:rsid w:val="00C50B87"/>
    <w:rsid w:val="00C6382D"/>
    <w:rsid w:val="00C80229"/>
    <w:rsid w:val="00CC5199"/>
    <w:rsid w:val="00CD3FD1"/>
    <w:rsid w:val="00D01036"/>
    <w:rsid w:val="00D0785C"/>
    <w:rsid w:val="00D529D4"/>
    <w:rsid w:val="00D71AE1"/>
    <w:rsid w:val="00E20078"/>
    <w:rsid w:val="00EC1A11"/>
    <w:rsid w:val="00EC3DC7"/>
    <w:rsid w:val="00ED1ED5"/>
    <w:rsid w:val="00F07E83"/>
    <w:rsid w:val="00FA00F7"/>
    <w:rsid w:val="00FA1207"/>
    <w:rsid w:val="00FB18F1"/>
    <w:rsid w:val="00FB7330"/>
    <w:rsid w:val="02B20806"/>
    <w:rsid w:val="034157BA"/>
    <w:rsid w:val="03D32427"/>
    <w:rsid w:val="03F35D89"/>
    <w:rsid w:val="066D12F5"/>
    <w:rsid w:val="0A401337"/>
    <w:rsid w:val="10D53DBB"/>
    <w:rsid w:val="128657A5"/>
    <w:rsid w:val="15E759FE"/>
    <w:rsid w:val="17EA0ADA"/>
    <w:rsid w:val="18617D0D"/>
    <w:rsid w:val="18CF6F08"/>
    <w:rsid w:val="1BDD456E"/>
    <w:rsid w:val="1F02542E"/>
    <w:rsid w:val="21827716"/>
    <w:rsid w:val="21C35F1E"/>
    <w:rsid w:val="23552376"/>
    <w:rsid w:val="28190D59"/>
    <w:rsid w:val="2AF86F85"/>
    <w:rsid w:val="2E4F26BA"/>
    <w:rsid w:val="309E236E"/>
    <w:rsid w:val="30F9290E"/>
    <w:rsid w:val="33DC38A6"/>
    <w:rsid w:val="39E322BE"/>
    <w:rsid w:val="41305C04"/>
    <w:rsid w:val="446D0A87"/>
    <w:rsid w:val="46F459F4"/>
    <w:rsid w:val="55BD4A9D"/>
    <w:rsid w:val="5EC849E0"/>
    <w:rsid w:val="66DB09CF"/>
    <w:rsid w:val="673E39E2"/>
    <w:rsid w:val="6B47033A"/>
    <w:rsid w:val="6C2447AB"/>
    <w:rsid w:val="6D27051B"/>
    <w:rsid w:val="7605782D"/>
    <w:rsid w:val="76176F9D"/>
    <w:rsid w:val="7876351C"/>
    <w:rsid w:val="78B072EC"/>
    <w:rsid w:val="7ACF187D"/>
    <w:rsid w:val="7EF32EAB"/>
    <w:rsid w:val="7EF941AB"/>
    <w:rsid w:val="7F3F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DB6514CE-EAEF-45B9-9A2D-4EA4FD6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78" w:lineRule="auto"/>
    </w:pPr>
    <w:rPr>
      <w:rFonts w:ascii="Calibri" w:eastAsia="Calibri" w:hAnsi="Calibri" w:cs="Calibri"/>
    </w:rPr>
  </w:style>
  <w:style w:type="paragraph" w:styleId="Heading1">
    <w:name w:val="heading 1"/>
    <w:basedOn w:val="Normal"/>
    <w:next w:val="Normal"/>
    <w:qFormat/>
    <w:pPr>
      <w:spacing w:before="480"/>
      <w:outlineLvl w:val="0"/>
    </w:pPr>
    <w:rPr>
      <w:rFonts w:ascii="Times New Roman" w:eastAsia="Times New Roman" w:hAnsi="Times New Roman" w:cs="Times New Roman"/>
      <w:b/>
      <w:color w:val="345A8A"/>
      <w:sz w:val="32"/>
      <w:szCs w:val="32"/>
    </w:rPr>
  </w:style>
  <w:style w:type="paragraph" w:styleId="Heading2">
    <w:name w:val="heading 2"/>
    <w:basedOn w:val="Normal"/>
    <w:next w:val="Normal"/>
    <w:qFormat/>
    <w:pPr>
      <w:spacing w:before="200"/>
      <w:outlineLvl w:val="1"/>
    </w:pPr>
    <w:rPr>
      <w:rFonts w:ascii="Times New Roman" w:eastAsia="Times New Roman" w:hAnsi="Times New Roman" w:cs="Times New Roman"/>
      <w:b/>
      <w:color w:val="4F81BD"/>
      <w:sz w:val="26"/>
      <w:szCs w:val="26"/>
    </w:rPr>
  </w:style>
  <w:style w:type="paragraph" w:styleId="Heading3">
    <w:name w:val="heading 3"/>
    <w:basedOn w:val="Normal"/>
    <w:next w:val="Normal"/>
    <w:qFormat/>
    <w:pPr>
      <w:spacing w:before="200"/>
      <w:outlineLvl w:val="2"/>
    </w:pPr>
    <w:rPr>
      <w:rFonts w:ascii="Times New Roman" w:eastAsia="Times New Roman" w:hAnsi="Times New Roman" w:cs="Times New Roman"/>
      <w:b/>
      <w:color w:val="4F81BD"/>
      <w:sz w:val="24"/>
      <w:szCs w:val="24"/>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paragraph" w:styleId="NormalWeb">
    <w:name w:val="Normal (Web)"/>
    <w:pPr>
      <w:spacing w:beforeAutospacing="1" w:afterAutospacing="1" w:line="278" w:lineRule="auto"/>
    </w:pPr>
    <w:rPr>
      <w:sz w:val="24"/>
      <w:szCs w:val="24"/>
      <w:lang w:eastAsia="zh-CN"/>
    </w:rPr>
  </w:style>
  <w:style w:type="paragraph" w:styleId="Subtitle">
    <w:name w:val="Subtitle"/>
    <w:basedOn w:val="Normal"/>
    <w:next w:val="Normal"/>
    <w:qFormat/>
    <w:rPr>
      <w:rFonts w:ascii="Times New Roman" w:eastAsia="Times New Roman" w:hAnsi="Times New Roman" w:cs="Times New Roman"/>
      <w:i/>
      <w:color w:val="4F81BD"/>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spacing w:after="300"/>
    </w:pPr>
    <w:rPr>
      <w:rFonts w:ascii="Times New Roman" w:eastAsia="Times New Roman" w:hAnsi="Times New Roman" w:cs="Times New Roman"/>
      <w:color w:val="17365D"/>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pPr>
      <w:jc w:val="both"/>
    </w:pPr>
    <w:rPr>
      <w:rFonts w:ascii="Palatino Linotype" w:eastAsia="Palatino Linotype" w:hAnsi="Palatino Linotype" w:cs="Palatino Linotype"/>
      <w:color w:val="000000"/>
    </w:rPr>
    <w:tblPr>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customStyle="1" w:styleId="Style11">
    <w:name w:val="_Style 11"/>
    <w:basedOn w:val="TableNormal1"/>
    <w:qFormat/>
    <w:pPr>
      <w:jc w:val="both"/>
    </w:pPr>
    <w:rPr>
      <w:rFonts w:ascii="Palatino Linotype" w:eastAsia="Palatino Linotype" w:hAnsi="Palatino Linotype" w:cs="Palatino Linotype"/>
      <w:color w:val="000000"/>
    </w:rPr>
    <w:tblPr>
      <w:tblCellMar>
        <w:left w:w="108" w:type="dxa"/>
        <w:right w:w="108"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2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AppData\Roaming\Kingsoft\office6\backup\Book1.20240402104915550.et"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62091503267997E-2"/>
          <c:y val="0.15586769370185799"/>
          <c:w val="0.88723311546840999"/>
          <c:h val="0.68232895333031296"/>
        </c:manualLayout>
      </c:layout>
      <c:barChart>
        <c:barDir val="col"/>
        <c:grouping val="clustered"/>
        <c:varyColors val="0"/>
        <c:ser>
          <c:idx val="0"/>
          <c:order val="0"/>
          <c:tx>
            <c:strRef>
              <c:f>[Book1.20240402104915550.et]Sheet1!$C$6</c:f>
              <c:strCache>
                <c:ptCount val="1"/>
                <c:pt idx="0">
                  <c:v>Surfacing</c:v>
                </c:pt>
              </c:strCache>
            </c:strRef>
          </c:tx>
          <c:spPr>
            <a:pattFill prst="diagBrick">
              <a:fgClr>
                <a:schemeClr val="accent1"/>
              </a:fgClr>
              <a:bgClr>
                <a:schemeClr val="accent1">
                  <a:lumMod val="20000"/>
                  <a:lumOff val="80000"/>
                </a:schemeClr>
              </a:bgClr>
            </a:pattFill>
            <a:ln>
              <a:noFill/>
            </a:ln>
            <a:effectLst>
              <a:innerShdw blurRad="114300">
                <a:schemeClr val="accent1"/>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[Book1.20240402104915550.et]Sheet1!$D$6:$K$6</c:f>
              <c:numCache>
                <c:formatCode>General</c:formatCode>
                <c:ptCount val="8"/>
                <c:pt idx="0">
                  <c:v>0</c:v>
                </c:pt>
                <c:pt idx="1">
                  <c:v>0</c:v>
                </c:pt>
                <c:pt idx="2">
                  <c:v>0</c:v>
                </c:pt>
                <c:pt idx="3">
                  <c:v>0.33</c:v>
                </c:pt>
                <c:pt idx="4">
                  <c:v>0.4</c:v>
                </c:pt>
                <c:pt idx="5">
                  <c:v>0.53</c:v>
                </c:pt>
                <c:pt idx="6">
                  <c:v>1</c:v>
                </c:pt>
                <c:pt idx="7">
                  <c:v>1</c:v>
                </c:pt>
              </c:numCache>
            </c:numRef>
          </c:val>
          <c:extLst>
            <c:ext xmlns:c16="http://schemas.microsoft.com/office/drawing/2014/chart" uri="{C3380CC4-5D6E-409C-BE32-E72D297353CC}">
              <c16:uniqueId val="{00000000-7D23-495B-94B4-442365A9401C}"/>
            </c:ext>
          </c:extLst>
        </c:ser>
        <c:ser>
          <c:idx val="1"/>
          <c:order val="1"/>
          <c:tx>
            <c:strRef>
              <c:f>[Book1.20240402104915550.et]Sheet1!$C$7</c:f>
              <c:strCache>
                <c:ptCount val="1"/>
                <c:pt idx="0">
                  <c:v>Burst Swimming</c:v>
                </c:pt>
              </c:strCache>
            </c:strRef>
          </c:tx>
          <c:spPr>
            <a:pattFill prst="wdDnDiag">
              <a:fgClr>
                <a:schemeClr val="accent2"/>
              </a:fgClr>
              <a:bgClr>
                <a:schemeClr val="accent2">
                  <a:lumMod val="20000"/>
                  <a:lumOff val="80000"/>
                </a:schemeClr>
              </a:bgClr>
            </a:pattFill>
            <a:ln>
              <a:noFill/>
            </a:ln>
            <a:effectLst>
              <a:innerShdw blurRad="114300">
                <a:schemeClr val="accent2"/>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[Book1.20240402104915550.et]Sheet1!$D$7:$K$7</c:f>
              <c:numCache>
                <c:formatCode>General</c:formatCode>
                <c:ptCount val="8"/>
                <c:pt idx="0">
                  <c:v>0</c:v>
                </c:pt>
                <c:pt idx="1">
                  <c:v>0</c:v>
                </c:pt>
                <c:pt idx="2">
                  <c:v>0</c:v>
                </c:pt>
                <c:pt idx="3">
                  <c:v>0.27</c:v>
                </c:pt>
                <c:pt idx="4">
                  <c:v>0.3</c:v>
                </c:pt>
                <c:pt idx="5">
                  <c:v>0.56999999999999995</c:v>
                </c:pt>
                <c:pt idx="6">
                  <c:v>1</c:v>
                </c:pt>
                <c:pt idx="7">
                  <c:v>1</c:v>
                </c:pt>
              </c:numCache>
            </c:numRef>
          </c:val>
          <c:extLst>
            <c:ext xmlns:c16="http://schemas.microsoft.com/office/drawing/2014/chart" uri="{C3380CC4-5D6E-409C-BE32-E72D297353CC}">
              <c16:uniqueId val="{00000001-7D23-495B-94B4-442365A9401C}"/>
            </c:ext>
          </c:extLst>
        </c:ser>
        <c:ser>
          <c:idx val="2"/>
          <c:order val="2"/>
          <c:tx>
            <c:strRef>
              <c:f>[Book1.20240402104915550.et]Sheet1!$C$8</c:f>
              <c:strCache>
                <c:ptCount val="1"/>
                <c:pt idx="0">
                  <c:v>Coordination</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[Book1.20240402104915550.et]Sheet1!$D$8:$K$8</c:f>
              <c:numCache>
                <c:formatCode>General</c:formatCode>
                <c:ptCount val="8"/>
                <c:pt idx="0">
                  <c:v>0</c:v>
                </c:pt>
                <c:pt idx="1">
                  <c:v>0</c:v>
                </c:pt>
                <c:pt idx="2">
                  <c:v>0</c:v>
                </c:pt>
                <c:pt idx="3">
                  <c:v>0.3</c:v>
                </c:pt>
                <c:pt idx="4">
                  <c:v>0.37</c:v>
                </c:pt>
                <c:pt idx="5">
                  <c:v>0.67</c:v>
                </c:pt>
                <c:pt idx="6">
                  <c:v>1</c:v>
                </c:pt>
                <c:pt idx="7">
                  <c:v>1</c:v>
                </c:pt>
              </c:numCache>
            </c:numRef>
          </c:val>
          <c:extLst>
            <c:ext xmlns:c16="http://schemas.microsoft.com/office/drawing/2014/chart" uri="{C3380CC4-5D6E-409C-BE32-E72D297353CC}">
              <c16:uniqueId val="{00000002-7D23-495B-94B4-442365A9401C}"/>
            </c:ext>
          </c:extLst>
        </c:ser>
        <c:ser>
          <c:idx val="3"/>
          <c:order val="3"/>
          <c:tx>
            <c:strRef>
              <c:f>[Book1.20240402104915550.et]Sheet1!$C$9</c:f>
              <c:strCache>
                <c:ptCount val="1"/>
                <c:pt idx="0">
                  <c:v>Change in skin pigmentation</c:v>
                </c:pt>
              </c:strCache>
            </c:strRef>
          </c:tx>
          <c:spPr>
            <a:pattFill prst="dkVert">
              <a:fgClr>
                <a:schemeClr val="accent4"/>
              </a:fgClr>
              <a:bgClr>
                <a:schemeClr val="accent4">
                  <a:lumMod val="20000"/>
                  <a:lumOff val="80000"/>
                </a:schemeClr>
              </a:bgClr>
            </a:pattFill>
            <a:ln>
              <a:noFill/>
            </a:ln>
            <a:effectLst>
              <a:innerShdw blurRad="114300">
                <a:schemeClr val="accent4"/>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[Book1.20240402104915550.et]Sheet1!$D$9:$K$9</c:f>
              <c:numCache>
                <c:formatCode>General</c:formatCode>
                <c:ptCount val="8"/>
                <c:pt idx="0">
                  <c:v>0</c:v>
                </c:pt>
                <c:pt idx="1">
                  <c:v>0</c:v>
                </c:pt>
                <c:pt idx="2">
                  <c:v>0</c:v>
                </c:pt>
                <c:pt idx="3">
                  <c:v>0.13</c:v>
                </c:pt>
                <c:pt idx="4">
                  <c:v>0.17</c:v>
                </c:pt>
                <c:pt idx="5">
                  <c:v>0.56999999999999995</c:v>
                </c:pt>
                <c:pt idx="6">
                  <c:v>1</c:v>
                </c:pt>
                <c:pt idx="7">
                  <c:v>1</c:v>
                </c:pt>
              </c:numCache>
            </c:numRef>
          </c:val>
          <c:extLst>
            <c:ext xmlns:c16="http://schemas.microsoft.com/office/drawing/2014/chart" uri="{C3380CC4-5D6E-409C-BE32-E72D297353CC}">
              <c16:uniqueId val="{00000003-7D23-495B-94B4-442365A9401C}"/>
            </c:ext>
          </c:extLst>
        </c:ser>
        <c:dLbls>
          <c:showLegendKey val="0"/>
          <c:showVal val="0"/>
          <c:showCatName val="0"/>
          <c:showSerName val="0"/>
          <c:showPercent val="0"/>
          <c:showBubbleSize val="0"/>
        </c:dLbls>
        <c:gapWidth val="164"/>
        <c:overlap val="-22"/>
        <c:axId val="769915005"/>
        <c:axId val="656866423"/>
      </c:barChart>
      <c:catAx>
        <c:axId val="769915005"/>
        <c:scaling>
          <c:orientation val="minMax"/>
        </c:scaling>
        <c:delete val="0"/>
        <c:axPos val="b"/>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Diuron concentration (mg/L)</a:t>
                </a:r>
              </a:p>
            </c:rich>
          </c:tx>
          <c:overlay val="0"/>
          <c:spPr>
            <a:noFill/>
            <a:ln>
              <a:noFill/>
            </a:ln>
            <a:effectLst/>
          </c:spPr>
          <c:txPr>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656866423"/>
        <c:crosses val="autoZero"/>
        <c:auto val="1"/>
        <c:lblAlgn val="ctr"/>
        <c:lblOffset val="100"/>
        <c:noMultiLvlLbl val="0"/>
      </c:catAx>
      <c:valAx>
        <c:axId val="656866423"/>
        <c:scaling>
          <c:orientation val="minMax"/>
          <c:max val="1"/>
        </c:scaling>
        <c:delete val="0"/>
        <c:axPos val="l"/>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Bahavioural Score</a:t>
                </a:r>
              </a:p>
            </c:rich>
          </c:tx>
          <c:overlay val="0"/>
          <c:spPr>
            <a:noFill/>
            <a:ln>
              <a:noFill/>
            </a:ln>
            <a:effectLst/>
          </c:spPr>
          <c:txPr>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69915005"/>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8.7908325184842095E-2"/>
          <c:y val="3.6248300860897101E-2"/>
          <c:w val="0.65860583603520195"/>
          <c:h val="6.6929133858267695E-2"/>
        </c:manualLayout>
      </c:layout>
      <c:overlay val="0"/>
      <c:spPr>
        <a:noFill/>
        <a:ln>
          <a:noFill/>
        </a:ln>
        <a:effectLst/>
      </c:spPr>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3738026c-c58c-4713-904b-0924210f72d7}"/>
      </c:ext>
    </c:extLst>
  </c:chart>
  <c:spPr>
    <a:solidFill>
      <a:schemeClr val="bg1"/>
    </a:solidFill>
    <a:ln w="9525" cap="flat" cmpd="sng" algn="ctr">
      <a:solidFill>
        <a:schemeClr val="tx1">
          <a:lumMod val="15000"/>
          <a:lumOff val="85000"/>
        </a:schemeClr>
      </a:solidFill>
      <a:round/>
    </a:ln>
    <a:effectLst/>
  </c:spPr>
  <c:txPr>
    <a:bodyPr/>
    <a:lstStyle/>
    <a:p>
      <a:pPr>
        <a:def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0.78878</cdr:x>
      <cdr:y>0.01359</cdr:y>
    </cdr:from>
    <cdr:to>
      <cdr:x>0.8415</cdr:x>
      <cdr:y>0.10535</cdr:y>
    </cdr:to>
    <cdr:sp macro="" textlink="">
      <cdr:nvSpPr>
        <cdr:cNvPr id="2" name="Rectangles 1"/>
        <cdr:cNvSpPr/>
      </cdr:nvSpPr>
      <cdr:spPr>
        <a:xfrm xmlns:a="http://schemas.openxmlformats.org/drawingml/2006/main">
          <a:off x="4598035" y="38101"/>
          <a:ext cx="307339" cy="257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0.8988</cdr:x>
      <cdr:y>0.00974</cdr:y>
    </cdr:from>
    <cdr:to>
      <cdr:x>0.93747</cdr:x>
      <cdr:y>0.09017</cdr:y>
    </cdr:to>
    <cdr:sp macro="" textlink="">
      <cdr:nvSpPr>
        <cdr:cNvPr id="3" name="Rectangles 2"/>
        <cdr:cNvSpPr/>
      </cdr:nvSpPr>
      <cdr:spPr>
        <a:xfrm xmlns:a="http://schemas.openxmlformats.org/drawingml/2006/main">
          <a:off x="5239385" y="2730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0.68769</cdr:x>
      <cdr:y>0.29384</cdr:y>
    </cdr:from>
    <cdr:to>
      <cdr:x>0.72636</cdr:x>
      <cdr:y>0.37426</cdr:y>
    </cdr:to>
    <cdr:sp macro="" textlink="">
      <cdr:nvSpPr>
        <cdr:cNvPr id="4" name="Rectangles 3"/>
        <cdr:cNvSpPr/>
      </cdr:nvSpPr>
      <cdr:spPr>
        <a:xfrm xmlns:a="http://schemas.openxmlformats.org/drawingml/2006/main">
          <a:off x="4008755" y="82359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b</a:t>
          </a:r>
        </a:p>
      </cdr:txBody>
    </cdr:sp>
  </cdr:relSizeAnchor>
  <cdr:relSizeAnchor xmlns:cdr="http://schemas.openxmlformats.org/drawingml/2006/chartDrawing">
    <cdr:from>
      <cdr:x>0.66634</cdr:x>
      <cdr:y>0.3609</cdr:y>
    </cdr:from>
    <cdr:to>
      <cdr:x>0.70501</cdr:x>
      <cdr:y>0.44132</cdr:y>
    </cdr:to>
    <cdr:sp macro="" textlink="">
      <cdr:nvSpPr>
        <cdr:cNvPr id="5" name="Rectangles 4"/>
        <cdr:cNvSpPr/>
      </cdr:nvSpPr>
      <cdr:spPr>
        <a:xfrm xmlns:a="http://schemas.openxmlformats.org/drawingml/2006/main">
          <a:off x="3884295" y="10115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0.53388</cdr:x>
      <cdr:y>0.48233</cdr:y>
    </cdr:from>
    <cdr:to>
      <cdr:x>0.57255</cdr:x>
      <cdr:y>0.56275</cdr:y>
    </cdr:to>
    <cdr:sp macro="" textlink="">
      <cdr:nvSpPr>
        <cdr:cNvPr id="6" name="Rectangles 5"/>
        <cdr:cNvSpPr/>
      </cdr:nvSpPr>
      <cdr:spPr>
        <a:xfrm xmlns:a="http://schemas.openxmlformats.org/drawingml/2006/main">
          <a:off x="3112135" y="135191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a:t>
          </a:r>
        </a:p>
      </cdr:txBody>
    </cdr:sp>
  </cdr:relSizeAnchor>
  <cdr:relSizeAnchor xmlns:cdr="http://schemas.openxmlformats.org/drawingml/2006/chartDrawing">
    <cdr:from>
      <cdr:x>0.46155</cdr:x>
      <cdr:y>0.55483</cdr:y>
    </cdr:from>
    <cdr:to>
      <cdr:x>0.51895</cdr:x>
      <cdr:y>0.64159</cdr:y>
    </cdr:to>
    <cdr:sp macro="" textlink="">
      <cdr:nvSpPr>
        <cdr:cNvPr id="7" name="Rectangles 6"/>
        <cdr:cNvSpPr/>
      </cdr:nvSpPr>
      <cdr:spPr>
        <a:xfrm xmlns:a="http://schemas.openxmlformats.org/drawingml/2006/main">
          <a:off x="2690495" y="1555115"/>
          <a:ext cx="334645" cy="2432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0.71035</cdr:x>
      <cdr:y>0.36543</cdr:y>
    </cdr:from>
    <cdr:to>
      <cdr:x>0.74902</cdr:x>
      <cdr:y>0.44585</cdr:y>
    </cdr:to>
    <cdr:sp macro="" textlink="">
      <cdr:nvSpPr>
        <cdr:cNvPr id="8" name="Rectangles 7"/>
        <cdr:cNvSpPr/>
      </cdr:nvSpPr>
      <cdr:spPr>
        <a:xfrm xmlns:a="http://schemas.openxmlformats.org/drawingml/2006/main">
          <a:off x="4140835" y="10242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0.64717</cdr:x>
      <cdr:y>0.39443</cdr:y>
    </cdr:from>
    <cdr:to>
      <cdr:x>0.68584</cdr:x>
      <cdr:y>0.47485</cdr:y>
    </cdr:to>
    <cdr:sp macro="" textlink="">
      <cdr:nvSpPr>
        <cdr:cNvPr id="9" name="Rectangles 8"/>
        <cdr:cNvSpPr/>
      </cdr:nvSpPr>
      <cdr:spPr>
        <a:xfrm xmlns:a="http://schemas.openxmlformats.org/drawingml/2006/main">
          <a:off x="3772535" y="110553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0.5719</cdr:x>
      <cdr:y>0.50566</cdr:y>
    </cdr:from>
    <cdr:to>
      <cdr:x>0.63399</cdr:x>
      <cdr:y>0.6015</cdr:y>
    </cdr:to>
    <cdr:sp macro="" textlink="">
      <cdr:nvSpPr>
        <cdr:cNvPr id="10" name="Rectangles 9"/>
        <cdr:cNvSpPr/>
      </cdr:nvSpPr>
      <cdr:spPr>
        <a:xfrm xmlns:a="http://schemas.openxmlformats.org/drawingml/2006/main">
          <a:off x="3333750" y="1417320"/>
          <a:ext cx="361950" cy="2686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0.60185</cdr:x>
      <cdr:y>0.64159</cdr:y>
    </cdr:from>
    <cdr:to>
      <cdr:x>0.63399</cdr:x>
      <cdr:y>0.71772</cdr:y>
    </cdr:to>
    <cdr:sp macro="" textlink="">
      <cdr:nvSpPr>
        <cdr:cNvPr id="11" name="Rectangles 10"/>
        <cdr:cNvSpPr/>
      </cdr:nvSpPr>
      <cdr:spPr>
        <a:xfrm xmlns:a="http://schemas.openxmlformats.org/drawingml/2006/main">
          <a:off x="3508375" y="179832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0.49031</cdr:x>
      <cdr:y>0.67059</cdr:y>
    </cdr:from>
    <cdr:to>
      <cdr:x>0.52244</cdr:x>
      <cdr:y>0.74671</cdr:y>
    </cdr:to>
    <cdr:sp macro="" textlink="">
      <cdr:nvSpPr>
        <cdr:cNvPr id="12" name="Rectangles 11"/>
        <cdr:cNvSpPr/>
      </cdr:nvSpPr>
      <cdr:spPr>
        <a:xfrm xmlns:a="http://schemas.openxmlformats.org/drawingml/2006/main">
          <a:off x="2858135" y="187960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0.55218</cdr:x>
      <cdr:y>0.55845</cdr:y>
    </cdr:from>
    <cdr:to>
      <cdr:x>0.60784</cdr:x>
      <cdr:y>0.63888</cdr:y>
    </cdr:to>
    <cdr:sp macro="" textlink="">
      <cdr:nvSpPr>
        <cdr:cNvPr id="13" name="Rectangles 12"/>
        <cdr:cNvSpPr/>
      </cdr:nvSpPr>
      <cdr:spPr>
        <a:xfrm xmlns:a="http://schemas.openxmlformats.org/drawingml/2006/main">
          <a:off x="3218815" y="156527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0.44194</cdr:x>
      <cdr:y>0.57386</cdr:y>
    </cdr:from>
    <cdr:to>
      <cdr:x>0.4976</cdr:x>
      <cdr:y>0.65428</cdr:y>
    </cdr:to>
    <cdr:sp macro="" textlink="">
      <cdr:nvSpPr>
        <cdr:cNvPr id="14" name="Rectangles 13"/>
        <cdr:cNvSpPr/>
      </cdr:nvSpPr>
      <cdr:spPr>
        <a:xfrm xmlns:a="http://schemas.openxmlformats.org/drawingml/2006/main">
          <a:off x="2576195" y="160845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0.42059</cdr:x>
      <cdr:y>0.53217</cdr:y>
    </cdr:from>
    <cdr:to>
      <cdr:x>0.47625</cdr:x>
      <cdr:y>0.6126</cdr:y>
    </cdr:to>
    <cdr:sp macro="" textlink="">
      <cdr:nvSpPr>
        <cdr:cNvPr id="15" name="Rectangles 14"/>
        <cdr:cNvSpPr/>
      </cdr:nvSpPr>
      <cdr:spPr>
        <a:xfrm xmlns:a="http://schemas.openxmlformats.org/drawingml/2006/main">
          <a:off x="2451735" y="149161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E58EC-04FD-47BC-ACB0-07FFA602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5653</Words>
  <Characters>32225</Characters>
  <Application>Microsoft Office Word</Application>
  <DocSecurity>0</DocSecurity>
  <Lines>268</Lines>
  <Paragraphs>75</Paragraphs>
  <ScaleCrop>false</ScaleCrop>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7</cp:revision>
  <dcterms:created xsi:type="dcterms:W3CDTF">2025-05-27T08:21:00Z</dcterms:created>
  <dcterms:modified xsi:type="dcterms:W3CDTF">2025-08-22T09:38:00Z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69FC84397DCB4AF7969F4AB211EFF8E9_13</vt:lpwstr>
  </property>
</Properties>
</file>