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A9BCF" w14:textId="5ED89B44" w:rsidR="00754C9A" w:rsidRDefault="00935C44" w:rsidP="00441B6F">
      <w:pPr>
        <w:pStyle w:val="Title"/>
        <w:spacing w:after="0"/>
        <w:jc w:val="both"/>
        <w:rPr>
          <w:rFonts w:ascii="Arial" w:hAnsi="Arial" w:cs="Arial"/>
        </w:rPr>
      </w:pPr>
      <w:r w:rsidRPr="00935C44">
        <w:rPr>
          <w:rFonts w:ascii="Arial" w:hAnsi="Arial" w:cs="Arial"/>
        </w:rPr>
        <w:t>Review Article</w:t>
      </w:r>
    </w:p>
    <w:p w14:paraId="45537F23" w14:textId="77777777" w:rsidR="007F7821" w:rsidRDefault="007F7821" w:rsidP="00441B6F">
      <w:pPr>
        <w:pStyle w:val="Title"/>
        <w:spacing w:after="0"/>
        <w:jc w:val="both"/>
        <w:rPr>
          <w:rFonts w:ascii="Arial" w:hAnsi="Arial" w:cs="Arial"/>
        </w:rPr>
      </w:pPr>
    </w:p>
    <w:p w14:paraId="7E88220C" w14:textId="77777777" w:rsidR="00A258C3" w:rsidRDefault="00C714BC" w:rsidP="00C714BC">
      <w:pPr>
        <w:pStyle w:val="Author"/>
        <w:spacing w:line="240" w:lineRule="auto"/>
        <w:rPr>
          <w:rFonts w:ascii="Arial" w:hAnsi="Arial" w:cs="Arial"/>
          <w:bCs/>
          <w:iCs/>
          <w:kern w:val="28"/>
          <w:sz w:val="36"/>
        </w:rPr>
      </w:pPr>
      <w:r w:rsidRPr="00C714BC">
        <w:rPr>
          <w:rFonts w:ascii="Arial" w:hAnsi="Arial" w:cs="Arial"/>
          <w:bCs/>
          <w:iCs/>
          <w:kern w:val="28"/>
          <w:sz w:val="36"/>
        </w:rPr>
        <w:t>Integrating One Health Approaches into AMR Surveillance and Control Globally</w:t>
      </w:r>
    </w:p>
    <w:p w14:paraId="478F1BFF" w14:textId="77777777" w:rsidR="00C714BC" w:rsidRPr="00790ADA" w:rsidRDefault="00C714BC" w:rsidP="00C714BC">
      <w:pPr>
        <w:pStyle w:val="Author"/>
        <w:spacing w:line="240" w:lineRule="auto"/>
        <w:rPr>
          <w:rFonts w:ascii="Arial" w:hAnsi="Arial" w:cs="Arial"/>
          <w:sz w:val="36"/>
        </w:rPr>
      </w:pPr>
    </w:p>
    <w:p w14:paraId="2A07B65F" w14:textId="77777777" w:rsidR="00790ADA" w:rsidRDefault="00790ADA" w:rsidP="00441B6F">
      <w:pPr>
        <w:pStyle w:val="Affiliation"/>
        <w:spacing w:after="0" w:line="240" w:lineRule="auto"/>
        <w:jc w:val="both"/>
        <w:rPr>
          <w:rFonts w:ascii="Arial" w:hAnsi="Arial" w:cs="Arial"/>
        </w:rPr>
      </w:pPr>
    </w:p>
    <w:p w14:paraId="04EC370D" w14:textId="77777777" w:rsidR="002C57D2" w:rsidRPr="00FB3A86" w:rsidRDefault="002C57D2" w:rsidP="00441B6F">
      <w:pPr>
        <w:pStyle w:val="Affiliation"/>
        <w:spacing w:after="0" w:line="240" w:lineRule="auto"/>
        <w:jc w:val="both"/>
        <w:rPr>
          <w:rFonts w:ascii="Arial" w:hAnsi="Arial" w:cs="Arial"/>
        </w:rPr>
      </w:pPr>
    </w:p>
    <w:p w14:paraId="7508ADB5" w14:textId="77777777" w:rsidR="00B01FCD" w:rsidRPr="00FB3A86" w:rsidRDefault="00F374BE" w:rsidP="00441B6F">
      <w:pPr>
        <w:pStyle w:val="Copyright"/>
        <w:spacing w:after="0" w:line="240" w:lineRule="auto"/>
        <w:jc w:val="both"/>
        <w:rPr>
          <w:rFonts w:ascii="Arial" w:hAnsi="Arial" w:cs="Arial"/>
        </w:rPr>
        <w:sectPr w:rsidR="00B01FCD" w:rsidRPr="00FB3A86" w:rsidSect="00EA77E1">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570C1A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8FCFD9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99D8B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E4E56D8" w14:textId="77777777" w:rsidTr="001E44FE">
        <w:tc>
          <w:tcPr>
            <w:tcW w:w="9576" w:type="dxa"/>
            <w:shd w:val="clear" w:color="auto" w:fill="F2F2F2"/>
          </w:tcPr>
          <w:p w14:paraId="451C6B54" w14:textId="77777777" w:rsidR="00505F06" w:rsidRPr="004F4C4D" w:rsidRDefault="004F4C4D" w:rsidP="004F4C4D">
            <w:pPr>
              <w:pStyle w:val="Body"/>
              <w:spacing w:after="0"/>
              <w:rPr>
                <w:rFonts w:ascii="Arial" w:eastAsia="Calibri" w:hAnsi="Arial" w:cs="Arial"/>
                <w:sz w:val="22"/>
                <w:szCs w:val="22"/>
              </w:rPr>
            </w:pPr>
            <w:r w:rsidRPr="004F4C4D">
              <w:rPr>
                <w:rFonts w:ascii="Arial" w:eastAsia="Calibri" w:hAnsi="Arial" w:cs="Arial"/>
                <w:sz w:val="22"/>
                <w:szCs w:val="22"/>
              </w:rPr>
              <w:t>Antimicrobial resistance (AMR) poses a profound global health challenge that transcends traditional boundaries of human, animal, and environmental health. The One Health framework, which emphasizes integrated surveillance and collaborative interventions across these domains, has emerged as a critical strategy for addressing AMR at its roots. This review synthesizes the current state of One Health-based AMR surveillance and control, beginning with the scientific rationale and historical emergence of the approach. It highlights global initiatives, such as the WHO’s Global Antimicrobial Resistance Surveillance System (GLASS), the FAO, WOAH, and UNEP quadripartite collaboration, alongside regional case studies from The Netherlands, Thailand, and Ghana. The analysis underscores both the challenges including infrastructural limitations, governance and funding barriers, data interoperability issues, and socio-cultural practices and the opportunities offered by genomic surveillance, AI-driven modeling, wastewater monitoring, and international funding mechanisms. The paper further outlines a roadmap for operationalizing One Health, emphasizing workforce capacity building, stewardship alignment across human and veterinary medicine, community engagement, and sustainable integration of technological innovations. Finally, it calls for stronger international cooperation, including the consideration of a global AMR treaty, to reinforce One Health as an indispensable paradigm for unified and effective AMR control worldwide.</w:t>
            </w:r>
          </w:p>
        </w:tc>
      </w:tr>
    </w:tbl>
    <w:p w14:paraId="4E669ACC" w14:textId="77777777" w:rsidR="00636EB2" w:rsidRDefault="00636EB2" w:rsidP="00441B6F">
      <w:pPr>
        <w:pStyle w:val="Body"/>
        <w:spacing w:after="0"/>
        <w:rPr>
          <w:rFonts w:ascii="Arial" w:hAnsi="Arial" w:cs="Arial"/>
          <w:i/>
        </w:rPr>
      </w:pPr>
    </w:p>
    <w:p w14:paraId="514D678A" w14:textId="77777777" w:rsidR="00A24E7E" w:rsidRDefault="00A24E7E" w:rsidP="00441B6F">
      <w:pPr>
        <w:pStyle w:val="Body"/>
        <w:spacing w:after="0"/>
        <w:rPr>
          <w:rFonts w:ascii="Arial" w:hAnsi="Arial" w:cs="Arial"/>
          <w:i/>
        </w:rPr>
      </w:pPr>
      <w:r>
        <w:rPr>
          <w:rFonts w:ascii="Arial" w:hAnsi="Arial" w:cs="Arial"/>
          <w:i/>
        </w:rPr>
        <w:t xml:space="preserve">Keywords: </w:t>
      </w:r>
      <w:r w:rsidR="004F4C4D" w:rsidRPr="004F4C4D">
        <w:rPr>
          <w:rFonts w:ascii="Arial" w:hAnsi="Arial" w:cs="Arial"/>
          <w:i/>
        </w:rPr>
        <w:t>One Health, Antimicrobial resistance (AMR), Integrated surveillance, Global health governance</w:t>
      </w:r>
      <w:r w:rsidR="004F4C4D">
        <w:rPr>
          <w:rFonts w:ascii="Arial" w:hAnsi="Arial" w:cs="Arial"/>
          <w:i/>
        </w:rPr>
        <w:t>,</w:t>
      </w:r>
      <w:r w:rsidR="004F4C4D" w:rsidRPr="004F4C4D">
        <w:rPr>
          <w:rFonts w:ascii="Arial" w:hAnsi="Arial" w:cs="Arial"/>
          <w:i/>
        </w:rPr>
        <w:t xml:space="preserve"> Genomic and metagenomic monitoring, AMR policy and stewardship, Wastewater-based epidemiology, Global AMR treaty</w:t>
      </w:r>
      <w:r w:rsidR="004F4C4D">
        <w:rPr>
          <w:rFonts w:ascii="Arial" w:hAnsi="Arial" w:cs="Arial"/>
          <w:i/>
        </w:rPr>
        <w:t>.</w:t>
      </w:r>
    </w:p>
    <w:p w14:paraId="2189F466" w14:textId="77777777" w:rsidR="00790ADA" w:rsidRDefault="00790ADA" w:rsidP="00441B6F">
      <w:pPr>
        <w:pStyle w:val="Body"/>
        <w:spacing w:after="0"/>
        <w:rPr>
          <w:rFonts w:ascii="Arial" w:hAnsi="Arial" w:cs="Arial"/>
          <w:i/>
        </w:rPr>
      </w:pPr>
    </w:p>
    <w:p w14:paraId="4471A9AC" w14:textId="77777777" w:rsidR="0024282C" w:rsidRDefault="0024282C" w:rsidP="00441B6F">
      <w:pPr>
        <w:pStyle w:val="Body"/>
        <w:spacing w:after="0"/>
        <w:rPr>
          <w:rFonts w:ascii="Arial" w:hAnsi="Arial" w:cs="Arial"/>
          <w:i/>
          <w:sz w:val="18"/>
        </w:rPr>
      </w:pPr>
    </w:p>
    <w:p w14:paraId="5787034D" w14:textId="77777777" w:rsidR="00505F06" w:rsidRPr="00A24E7E" w:rsidRDefault="00505F06" w:rsidP="00441B6F">
      <w:pPr>
        <w:pStyle w:val="Body"/>
        <w:spacing w:after="0"/>
        <w:rPr>
          <w:rFonts w:ascii="Arial" w:hAnsi="Arial" w:cs="Arial"/>
          <w:i/>
        </w:rPr>
      </w:pPr>
    </w:p>
    <w:p w14:paraId="71967650" w14:textId="77777777" w:rsidR="005B2493" w:rsidRDefault="00902823" w:rsidP="005B249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45D6FF" w14:textId="77777777" w:rsidR="005B2493" w:rsidRPr="005B2493" w:rsidRDefault="005B2493" w:rsidP="005B2493">
      <w:pPr>
        <w:pStyle w:val="AbstHead"/>
        <w:spacing w:after="0"/>
        <w:jc w:val="both"/>
        <w:rPr>
          <w:rFonts w:ascii="Arial" w:hAnsi="Arial" w:cs="Arial"/>
        </w:rPr>
      </w:pPr>
    </w:p>
    <w:p w14:paraId="7655B8E5" w14:textId="77777777" w:rsidR="005B2493" w:rsidRPr="005B2493" w:rsidRDefault="005B2493" w:rsidP="005B2493">
      <w:pPr>
        <w:pStyle w:val="Body"/>
        <w:rPr>
          <w:rFonts w:ascii="Arial" w:hAnsi="Arial" w:cs="Arial"/>
        </w:rPr>
      </w:pPr>
      <w:r w:rsidRPr="005B2493">
        <w:rPr>
          <w:rFonts w:ascii="Arial" w:hAnsi="Arial" w:cs="Arial"/>
        </w:rPr>
        <w:t>Antimicrobial resistance (AMR) has emerged as one of the gravest global public health threats of the 21st century. The World Health Organization (WHO) identifies AMR as a top ten global health challenge, with the potential to undermine decades of progress in modern medicine (Salam et al., 2023). The excessive and often inappropriate use of antimicrobials in human health, animal husbandry, and agriculture has accelerated the development of resistant microorganisms that can no longer be effectively treated with conventional drugs (Baran et al., 2023). Recent global estimates suggest that in 2019, AMR directly caused 1.27 million deaths and contributed to nearly 5 million deaths, with the highest burden observed in sub-Saharan Africa and South Asia. If left unchecked, projections indicate that AMR could cause up to 10 million deaths annually by 2050 and result in a cumulative global economic loss of USD 100 trillion (Hillock et al., 2022).</w:t>
      </w:r>
    </w:p>
    <w:p w14:paraId="51A3153D" w14:textId="77777777" w:rsidR="005B2493" w:rsidRPr="005B2493" w:rsidRDefault="005B2493" w:rsidP="005B2493">
      <w:pPr>
        <w:pStyle w:val="Body"/>
        <w:rPr>
          <w:rFonts w:ascii="Arial" w:hAnsi="Arial" w:cs="Arial"/>
        </w:rPr>
      </w:pPr>
      <w:r w:rsidRPr="005B2493">
        <w:rPr>
          <w:rFonts w:ascii="Arial" w:hAnsi="Arial" w:cs="Arial"/>
        </w:rPr>
        <w:t xml:space="preserve">The prevalence of resistant pathogens is rising across diverse contexts. Multidrug-resistant tuberculosis (MDR-TB), methicillin-resistant Staphylococcus aureus (MRSA), extended-spectrum beta-lactamase (ESBL)-producing Enterobacteriaceae, and carbapenem-resistant Acinetobacter baumannii are now widespread, complicating treatment </w:t>
      </w:r>
      <w:r w:rsidRPr="005B2493">
        <w:rPr>
          <w:rFonts w:ascii="Arial" w:hAnsi="Arial" w:cs="Arial"/>
        </w:rPr>
        <w:lastRenderedPageBreak/>
        <w:t>regimens in hospitals worldwide (Jernigan et al., 2025). In agriculture and veterinary settings, resistant Salmonella and Campylobacter species are frequently transmitted through the food chain, while aquaculture has become a hotspot for resistance selection. Environmental reservoirs including wastewater, soil, and wildlife further amplify the dissemination of resistance genes. These multidimensional pathways of transmission highlight the interconnectedness of AMR and emphasize the urgent need for coordinated, cross-sectoral action (Ahmad et al., 2021).</w:t>
      </w:r>
    </w:p>
    <w:p w14:paraId="78729C4C" w14:textId="77777777" w:rsidR="005B2493" w:rsidRPr="005B2493" w:rsidRDefault="005B2493" w:rsidP="005B2493">
      <w:pPr>
        <w:pStyle w:val="Body"/>
        <w:rPr>
          <w:rFonts w:ascii="Arial" w:hAnsi="Arial" w:cs="Arial"/>
        </w:rPr>
      </w:pPr>
      <w:r w:rsidRPr="005B2493">
        <w:rPr>
          <w:rFonts w:ascii="Arial" w:hAnsi="Arial" w:cs="Arial"/>
        </w:rPr>
        <w:t>The One Health paradigm is a collaborative, transdisciplinary framework that recognizes the inextricable links between human health, animal health, and environmental health (Arnold et al., 202; Nagarajan et al., 2025). Its intellectual origins can be traced back to the early 20th century with the concept of “One Medicine” championed by Calvin Schwabe, who emphasized the unity of human and veterinary medicine. Over the past two decades, the paradigm has evolved into “One Health,” driven by the recognition that emerging infectious diseases, zoonoses, climate change, and AMR require integrative solutions that transcend disciplinary boundaries (Nagarajan et al., 2025).</w:t>
      </w:r>
    </w:p>
    <w:p w14:paraId="5FE31953" w14:textId="77777777" w:rsidR="005B2493" w:rsidRPr="005B2493" w:rsidRDefault="005B2493" w:rsidP="005B2493">
      <w:pPr>
        <w:pStyle w:val="Body"/>
        <w:rPr>
          <w:rFonts w:ascii="Arial" w:hAnsi="Arial" w:cs="Arial"/>
        </w:rPr>
      </w:pPr>
      <w:r w:rsidRPr="005B2493">
        <w:rPr>
          <w:rFonts w:ascii="Arial" w:hAnsi="Arial" w:cs="Arial"/>
        </w:rPr>
        <w:t>Core principles of One Health include systems thinking, intersectoral collaboration, shared surveillance, and sustainable management of natural resources (Gruetzmacher et al., 2020). Applied to AMR, these principles underscore that resistance is not confined to clinical settings but rather emerges and circulates through interconnected networks of humans, animals, plants, and ecosystems. For instance, antibiotics used in livestock production can select for resistant bacteria, which may spread to humans through food products, direct contact, or environmental contamination (Velazquez-Meza et al., 2022). Likewise, the discharge of pharmaceutical waste into rivers can create reservoirs of resistance genes in aquatic ecosystems. Addressing AMR through a siloed, sector-specific lens is therefore insufficient; instead, the One Health paradigm offers a comprehensive and sustainable approach to surveillance, prevention, and control (Nagarajan et al., 2025).</w:t>
      </w:r>
    </w:p>
    <w:p w14:paraId="264F7FF6" w14:textId="77777777" w:rsidR="005B2493" w:rsidRPr="005B2493" w:rsidRDefault="005B2493" w:rsidP="005B2493">
      <w:pPr>
        <w:pStyle w:val="Body"/>
        <w:rPr>
          <w:rFonts w:ascii="Arial" w:hAnsi="Arial" w:cs="Arial"/>
        </w:rPr>
      </w:pPr>
      <w:r w:rsidRPr="005B2493">
        <w:rPr>
          <w:rFonts w:ascii="Arial" w:hAnsi="Arial" w:cs="Arial"/>
        </w:rPr>
        <w:t>This review aims to synthesize current knowledge on integrating One Health approaches into AMR surveillance and control at a global scale. It seeks to illuminate the added value of cross-sectoral frameworks in detecting resistance trends, preventing pathogen transmission, and strengthening policy responses.</w:t>
      </w:r>
    </w:p>
    <w:p w14:paraId="52ECCF0B" w14:textId="77777777" w:rsidR="005B2493" w:rsidRPr="005B2493" w:rsidRDefault="005B2493" w:rsidP="005B2493">
      <w:pPr>
        <w:pStyle w:val="Body"/>
        <w:rPr>
          <w:rFonts w:ascii="Arial" w:hAnsi="Arial" w:cs="Arial"/>
        </w:rPr>
      </w:pPr>
      <w:r w:rsidRPr="005B2493">
        <w:rPr>
          <w:rFonts w:ascii="Arial" w:hAnsi="Arial" w:cs="Arial"/>
        </w:rPr>
        <w:t>The specific objectives are to:</w:t>
      </w:r>
    </w:p>
    <w:p w14:paraId="61CFA832" w14:textId="77777777" w:rsidR="005B2493" w:rsidRPr="005B2493" w:rsidRDefault="005B2493" w:rsidP="005B2493">
      <w:pPr>
        <w:pStyle w:val="Body"/>
        <w:numPr>
          <w:ilvl w:val="0"/>
          <w:numId w:val="31"/>
        </w:numPr>
        <w:rPr>
          <w:rFonts w:ascii="Arial" w:hAnsi="Arial" w:cs="Arial"/>
        </w:rPr>
      </w:pPr>
      <w:r w:rsidRPr="005B2493">
        <w:rPr>
          <w:rFonts w:ascii="Arial" w:hAnsi="Arial" w:cs="Arial"/>
        </w:rPr>
        <w:t>Examine the global epidemiology and drivers of AMR across human, animal, and environmental domains.</w:t>
      </w:r>
    </w:p>
    <w:p w14:paraId="76745FC6" w14:textId="77777777" w:rsidR="005B2493" w:rsidRPr="005B2493" w:rsidRDefault="005B2493" w:rsidP="005B2493">
      <w:pPr>
        <w:pStyle w:val="Body"/>
        <w:numPr>
          <w:ilvl w:val="0"/>
          <w:numId w:val="31"/>
        </w:numPr>
        <w:rPr>
          <w:rFonts w:ascii="Arial" w:hAnsi="Arial" w:cs="Arial"/>
        </w:rPr>
      </w:pPr>
      <w:r w:rsidRPr="005B2493">
        <w:rPr>
          <w:rFonts w:ascii="Arial" w:hAnsi="Arial" w:cs="Arial"/>
        </w:rPr>
        <w:t>Analyze best practices, challenges, and lessons learned from existing One Health initiatives worldwide.</w:t>
      </w:r>
    </w:p>
    <w:p w14:paraId="698B386C" w14:textId="77777777" w:rsidR="005B2493" w:rsidRPr="005B2493" w:rsidRDefault="005B2493" w:rsidP="005B2493">
      <w:pPr>
        <w:pStyle w:val="Body"/>
        <w:numPr>
          <w:ilvl w:val="0"/>
          <w:numId w:val="31"/>
        </w:numPr>
        <w:rPr>
          <w:rFonts w:ascii="Arial" w:hAnsi="Arial" w:cs="Arial"/>
        </w:rPr>
      </w:pPr>
      <w:r w:rsidRPr="005B2493">
        <w:rPr>
          <w:rFonts w:ascii="Arial" w:hAnsi="Arial" w:cs="Arial"/>
        </w:rPr>
        <w:t>Highlight opportunities for innovation in diagnostics, data integration, and policy coordination.</w:t>
      </w:r>
    </w:p>
    <w:p w14:paraId="1D006D10" w14:textId="77777777" w:rsidR="00790ADA" w:rsidRPr="00FB3A86" w:rsidRDefault="005B2493" w:rsidP="005B2493">
      <w:pPr>
        <w:pStyle w:val="Body"/>
        <w:numPr>
          <w:ilvl w:val="0"/>
          <w:numId w:val="31"/>
        </w:numPr>
        <w:spacing w:after="0"/>
        <w:rPr>
          <w:rFonts w:ascii="Arial" w:hAnsi="Arial" w:cs="Arial"/>
        </w:rPr>
      </w:pPr>
      <w:r w:rsidRPr="005B2493">
        <w:rPr>
          <w:rFonts w:ascii="Arial" w:hAnsi="Arial" w:cs="Arial"/>
        </w:rPr>
        <w:t>Propose strategies for scaling up integrated surveillance and control measures in diverse socio-economic contexts.</w:t>
      </w:r>
    </w:p>
    <w:p w14:paraId="3464D2E2" w14:textId="77777777" w:rsidR="005B2493" w:rsidRDefault="005B2493" w:rsidP="00A93721">
      <w:pPr>
        <w:pStyle w:val="AbstHead"/>
        <w:spacing w:after="0"/>
        <w:jc w:val="both"/>
        <w:rPr>
          <w:rFonts w:ascii="Arial" w:hAnsi="Arial" w:cs="Arial"/>
        </w:rPr>
      </w:pPr>
    </w:p>
    <w:p w14:paraId="1AFAFA4D" w14:textId="77777777" w:rsidR="005B2493" w:rsidRPr="005B2493" w:rsidRDefault="00902823" w:rsidP="005B2493">
      <w:pPr>
        <w:pStyle w:val="AbstHead"/>
        <w:spacing w:after="0"/>
        <w:jc w:val="both"/>
        <w:rPr>
          <w:rFonts w:ascii="Arial" w:hAnsi="Arial" w:cs="Arial"/>
        </w:rPr>
      </w:pPr>
      <w:r>
        <w:rPr>
          <w:rFonts w:ascii="Arial" w:hAnsi="Arial" w:cs="Arial"/>
        </w:rPr>
        <w:t xml:space="preserve">2. </w:t>
      </w:r>
      <w:r w:rsidR="005B2493" w:rsidRPr="005B2493">
        <w:rPr>
          <w:rFonts w:ascii="Arial" w:hAnsi="Arial" w:cs="Arial"/>
        </w:rPr>
        <w:t>Drivers of AMR across Human, Animal, and Environmental Domains</w:t>
      </w:r>
    </w:p>
    <w:p w14:paraId="2961196A" w14:textId="77777777" w:rsidR="005B2493" w:rsidRPr="005B2493" w:rsidRDefault="005B2493" w:rsidP="005B2493">
      <w:pPr>
        <w:pStyle w:val="Body"/>
        <w:rPr>
          <w:rFonts w:ascii="Arial" w:hAnsi="Arial" w:cs="Arial"/>
        </w:rPr>
      </w:pPr>
      <w:r w:rsidRPr="005B2493">
        <w:rPr>
          <w:rFonts w:ascii="Arial" w:hAnsi="Arial" w:cs="Arial"/>
        </w:rPr>
        <w:t>Antimicrobial resistance (AMR) is a quintessential One Health challenge, shaped by the interplay of human medicine, veterinary practices, agriculture, and the environment (Salam et al., 2023). The drivers of resistance are complex, operating at local, national, and global scales, with evidence showing continuous transmission across domains. Understanding these interlinked drivers is essential for the design of integrative surveillance and mitigation strategies.</w:t>
      </w:r>
    </w:p>
    <w:p w14:paraId="0D18CF41" w14:textId="77777777" w:rsidR="005B2493" w:rsidRPr="005B2493" w:rsidRDefault="005B2493" w:rsidP="005B2493">
      <w:pPr>
        <w:pStyle w:val="Body"/>
        <w:rPr>
          <w:rFonts w:ascii="Arial" w:hAnsi="Arial" w:cs="Arial"/>
        </w:rPr>
      </w:pPr>
      <w:r w:rsidRPr="005B2493">
        <w:rPr>
          <w:rFonts w:ascii="Arial" w:hAnsi="Arial" w:cs="Arial"/>
        </w:rPr>
        <w:t>2.1 Human Health Sector</w:t>
      </w:r>
    </w:p>
    <w:p w14:paraId="0BD398A1" w14:textId="77777777" w:rsidR="005B2493" w:rsidRPr="005B2493" w:rsidRDefault="005B2493" w:rsidP="005B2493">
      <w:pPr>
        <w:pStyle w:val="Body"/>
        <w:rPr>
          <w:rFonts w:ascii="Arial" w:hAnsi="Arial" w:cs="Arial"/>
        </w:rPr>
      </w:pPr>
      <w:r w:rsidRPr="005B2493">
        <w:rPr>
          <w:rFonts w:ascii="Arial" w:hAnsi="Arial" w:cs="Arial"/>
        </w:rPr>
        <w:t xml:space="preserve">In clinical settings, the misuse and overuse of antibiotics remain a primary driver of resistance. Studies estimate that up to 50% of antibiotic prescriptions are inappropriate, ranging from unnecessary prescriptions for viral infections to incorrect dosing and duration (Tarrant and </w:t>
      </w:r>
      <w:proofErr w:type="spellStart"/>
      <w:r w:rsidRPr="005B2493">
        <w:rPr>
          <w:rFonts w:ascii="Arial" w:hAnsi="Arial" w:cs="Arial"/>
        </w:rPr>
        <w:t>Krockow</w:t>
      </w:r>
      <w:proofErr w:type="spellEnd"/>
      <w:r w:rsidRPr="005B2493">
        <w:rPr>
          <w:rFonts w:ascii="Arial" w:hAnsi="Arial" w:cs="Arial"/>
        </w:rPr>
        <w:t>, 2021). Healthcare-associated infections (HAIs), particularly with pathogens such as Klebsiella pneumoniae and Acinetobacter baumannii, compound the problem in hospital environments where resistant strains proliferate under selective pressure. Moreover, challenges in stewardship programs including resource limitations, diagnostic uncertainty, and pressure to provide immediate therapy further fuel misuse (Padma, 2022). The Global Antimicrobial Resistance Surveillance System (GLASS) has documented widespread human-to-human transmission of resistant organisms, reinforcing the urgent need for effective stewardship (Okeke et al., 2024).</w:t>
      </w:r>
    </w:p>
    <w:p w14:paraId="4F930BD0" w14:textId="77777777" w:rsidR="005B2493" w:rsidRPr="005B2493" w:rsidRDefault="005B2493" w:rsidP="005B2493">
      <w:pPr>
        <w:pStyle w:val="Body"/>
        <w:rPr>
          <w:rFonts w:ascii="Arial" w:hAnsi="Arial" w:cs="Arial"/>
          <w:b/>
          <w:sz w:val="22"/>
          <w:szCs w:val="22"/>
        </w:rPr>
      </w:pPr>
      <w:r w:rsidRPr="005B2493">
        <w:rPr>
          <w:rFonts w:ascii="Arial" w:hAnsi="Arial" w:cs="Arial"/>
          <w:b/>
          <w:sz w:val="22"/>
          <w:szCs w:val="22"/>
        </w:rPr>
        <w:t>2.2 Veterinary and Agricultural Practices</w:t>
      </w:r>
    </w:p>
    <w:p w14:paraId="573914A9" w14:textId="77777777" w:rsidR="005B2493" w:rsidRPr="005B2493" w:rsidRDefault="005B2493" w:rsidP="005B2493">
      <w:pPr>
        <w:pStyle w:val="Body"/>
        <w:rPr>
          <w:rFonts w:ascii="Arial" w:hAnsi="Arial" w:cs="Arial"/>
        </w:rPr>
      </w:pPr>
      <w:r w:rsidRPr="005B2493">
        <w:rPr>
          <w:rFonts w:ascii="Arial" w:hAnsi="Arial" w:cs="Arial"/>
        </w:rPr>
        <w:t xml:space="preserve">Antibiotic use in animal husbandry and food production is a critical driver of AMR, with consequences that extend beyond agricultural systems (Salmanov et al., 2022). Antibiotics are administered not only for therapeutic purposes but also as growth promoters and prophylactics in intensive livestock systems. For decades, antibiotics have been added to animal </w:t>
      </w:r>
      <w:r w:rsidRPr="005B2493">
        <w:rPr>
          <w:rFonts w:ascii="Arial" w:hAnsi="Arial" w:cs="Arial"/>
        </w:rPr>
        <w:lastRenderedPageBreak/>
        <w:t>feed as growth promoters to improve weight gain and feed efficiency. Despite bans in the European Union and restrictions in some high-income countries, this practice persists widely in LMICs (</w:t>
      </w:r>
      <w:proofErr w:type="spellStart"/>
      <w:r w:rsidRPr="005B2493">
        <w:rPr>
          <w:rFonts w:ascii="Arial" w:hAnsi="Arial" w:cs="Arial"/>
        </w:rPr>
        <w:t>Lewnard</w:t>
      </w:r>
      <w:proofErr w:type="spellEnd"/>
      <w:r w:rsidRPr="005B2493">
        <w:rPr>
          <w:rFonts w:ascii="Arial" w:hAnsi="Arial" w:cs="Arial"/>
        </w:rPr>
        <w:t xml:space="preserve"> et al., 2024).</w:t>
      </w:r>
    </w:p>
    <w:p w14:paraId="43DA7907" w14:textId="77777777" w:rsidR="005B2493" w:rsidRPr="005B2493" w:rsidRDefault="005B2493" w:rsidP="005B2493">
      <w:pPr>
        <w:pStyle w:val="Body"/>
        <w:rPr>
          <w:rFonts w:ascii="Arial" w:hAnsi="Arial" w:cs="Arial"/>
        </w:rPr>
      </w:pPr>
      <w:r w:rsidRPr="005B2493">
        <w:rPr>
          <w:rFonts w:ascii="Arial" w:hAnsi="Arial" w:cs="Arial"/>
        </w:rPr>
        <w:t>In livestock and aquaculture, antibiotics are often used without veterinary oversight, frequently administered at sub-therapeutic doses or to entire herds/flocks rather than individual animals (Sao et al., 2021). Aquaculture has further expanded the problem, particularly in Asia, where broad-spectrum antibiotics are applied directly into water systems (</w:t>
      </w:r>
      <w:proofErr w:type="spellStart"/>
      <w:r w:rsidRPr="005B2493">
        <w:rPr>
          <w:rFonts w:ascii="Arial" w:hAnsi="Arial" w:cs="Arial"/>
        </w:rPr>
        <w:t>Milijasevic</w:t>
      </w:r>
      <w:proofErr w:type="spellEnd"/>
      <w:r w:rsidRPr="005B2493">
        <w:rPr>
          <w:rFonts w:ascii="Arial" w:hAnsi="Arial" w:cs="Arial"/>
        </w:rPr>
        <w:t xml:space="preserve"> et al., 2024). Residues and resistant bacteria from these practices contribute to the environmental </w:t>
      </w:r>
      <w:proofErr w:type="spellStart"/>
      <w:r w:rsidRPr="005B2493">
        <w:rPr>
          <w:rFonts w:ascii="Arial" w:hAnsi="Arial" w:cs="Arial"/>
        </w:rPr>
        <w:t>resistome</w:t>
      </w:r>
      <w:proofErr w:type="spellEnd"/>
      <w:r w:rsidRPr="005B2493">
        <w:rPr>
          <w:rFonts w:ascii="Arial" w:hAnsi="Arial" w:cs="Arial"/>
        </w:rPr>
        <w:t xml:space="preserve"> and can spill over into human populations via the food chain (Luthman et al., 2024).</w:t>
      </w:r>
    </w:p>
    <w:p w14:paraId="2F61CF05" w14:textId="77777777" w:rsidR="005B2493" w:rsidRPr="005B2493" w:rsidRDefault="005B2493" w:rsidP="005B2493">
      <w:pPr>
        <w:pStyle w:val="Body"/>
        <w:rPr>
          <w:rFonts w:ascii="Arial" w:hAnsi="Arial" w:cs="Arial"/>
        </w:rPr>
      </w:pPr>
      <w:r w:rsidRPr="005B2493">
        <w:rPr>
          <w:rFonts w:ascii="Arial" w:hAnsi="Arial" w:cs="Arial"/>
        </w:rPr>
        <w:t xml:space="preserve">Resistant bacteria and resistance genes (e.g., extended-spectrum </w:t>
      </w:r>
      <w:r w:rsidRPr="005B2493">
        <w:rPr>
          <w:rFonts w:ascii="Arial" w:hAnsi="Arial" w:cs="Arial" w:hint="eastAsia"/>
        </w:rPr>
        <w:t>β</w:t>
      </w:r>
      <w:r w:rsidRPr="005B2493">
        <w:rPr>
          <w:rFonts w:ascii="Arial" w:hAnsi="Arial" w:cs="Arial"/>
        </w:rPr>
        <w:t>-lactamases [ESBLs], colistin resistance genes such as mcr-1) have been traced from food animals to humans through direct contact, the food chain, and manure application to crops (Zalewska et al., 2021).</w:t>
      </w:r>
    </w:p>
    <w:p w14:paraId="564FC59C" w14:textId="77777777" w:rsidR="005B2493" w:rsidRPr="005B2493" w:rsidRDefault="005B2493" w:rsidP="005B2493">
      <w:pPr>
        <w:pStyle w:val="Body"/>
        <w:rPr>
          <w:rFonts w:ascii="Arial" w:hAnsi="Arial" w:cs="Arial"/>
        </w:rPr>
      </w:pPr>
      <w:r w:rsidRPr="005B2493">
        <w:rPr>
          <w:rFonts w:ascii="Arial" w:hAnsi="Arial" w:cs="Arial"/>
        </w:rPr>
        <w:t>Historical examples highlight the interconnection: the veterinary use of avoparcin, a glycopeptide structurally related to vancomycin, selected for Enterococcus faecium resistant to vancomycin in Europe, directly compromising human therapy options (Markwart et al., 2019). More recently, the discovery of the mcr-1 gene; a plasmid-mediated colistin resistance determinant first found in Chinese livestock (Zalewska et al., 2021), illustrates how last-resort drugs in humans are undermined by agricultural use (Nobrega et al., 2021). Despite WHO’s Global Action Plan (2015) and the tripartite recommendations (WHO, FAO, OIE), the enforcement of restrictions on veterinary antimicrobial use remains inconsistent globally (Sao et al., 2021).</w:t>
      </w:r>
    </w:p>
    <w:p w14:paraId="4D5CE6DC" w14:textId="77777777" w:rsidR="005B2493" w:rsidRPr="005B2493" w:rsidRDefault="005B2493" w:rsidP="005B2493">
      <w:pPr>
        <w:pStyle w:val="Body"/>
        <w:rPr>
          <w:rFonts w:ascii="Arial" w:hAnsi="Arial" w:cs="Arial"/>
          <w:b/>
          <w:sz w:val="22"/>
          <w:szCs w:val="22"/>
        </w:rPr>
      </w:pPr>
      <w:r w:rsidRPr="005B2493">
        <w:rPr>
          <w:rFonts w:ascii="Arial" w:hAnsi="Arial" w:cs="Arial"/>
          <w:b/>
          <w:sz w:val="22"/>
          <w:szCs w:val="22"/>
        </w:rPr>
        <w:t>2.3 Environmental Dimensions</w:t>
      </w:r>
    </w:p>
    <w:p w14:paraId="00116310" w14:textId="77777777" w:rsidR="005B2493" w:rsidRPr="005B2493" w:rsidRDefault="005B2493" w:rsidP="005B2493">
      <w:pPr>
        <w:pStyle w:val="Body"/>
        <w:rPr>
          <w:rFonts w:ascii="Arial" w:hAnsi="Arial" w:cs="Arial"/>
        </w:rPr>
      </w:pPr>
      <w:r w:rsidRPr="005B2493">
        <w:rPr>
          <w:rFonts w:ascii="Arial" w:hAnsi="Arial" w:cs="Arial"/>
        </w:rPr>
        <w:t>The environment acts both as a reservoir and conduit for AMR, sustaining resistant bacteria and resistance genes outside clinical and agricultural systems. Wastewater treatment plants, pharmaceutical manufacturing effluents (Kotwani et al., 2021), and agricultural runoff release antibiotics and resistant bacteria into surface waters, soils, and sediments (</w:t>
      </w:r>
      <w:proofErr w:type="spellStart"/>
      <w:r w:rsidRPr="005B2493">
        <w:rPr>
          <w:rFonts w:ascii="Arial" w:hAnsi="Arial" w:cs="Arial"/>
        </w:rPr>
        <w:t>Sambaza</w:t>
      </w:r>
      <w:proofErr w:type="spellEnd"/>
      <w:r w:rsidRPr="005B2493">
        <w:rPr>
          <w:rFonts w:ascii="Arial" w:hAnsi="Arial" w:cs="Arial"/>
        </w:rPr>
        <w:t xml:space="preserve"> and Naicker, 2023; Sharma et al., 2024). </w:t>
      </w:r>
    </w:p>
    <w:p w14:paraId="361207D3" w14:textId="77777777" w:rsidR="005B2493" w:rsidRPr="005B2493" w:rsidRDefault="005B2493" w:rsidP="005B2493">
      <w:pPr>
        <w:pStyle w:val="Body"/>
        <w:rPr>
          <w:rFonts w:ascii="Arial" w:hAnsi="Arial" w:cs="Arial"/>
        </w:rPr>
      </w:pPr>
      <w:r w:rsidRPr="005B2493">
        <w:rPr>
          <w:rFonts w:ascii="Arial" w:hAnsi="Arial" w:cs="Arial"/>
        </w:rPr>
        <w:t>Human and animal waste carries antimicrobials, resistant bacteria, and resistance genes into sewage systems. Inadequately treated wastewater can introduce these into rivers, lakes, and coastal waters, facilitating horizontal gene transfer among environmental microbes. The use of animal manure and sludge as fertilizers leads to antibiotic residues and resistant organisms entering soil ecosystems, where they may persist and exchang</w:t>
      </w:r>
      <w:r w:rsidR="000401CF">
        <w:rPr>
          <w:rFonts w:ascii="Arial" w:hAnsi="Arial" w:cs="Arial"/>
        </w:rPr>
        <w:t xml:space="preserve">e genes with native microbiota. </w:t>
      </w:r>
      <w:r w:rsidRPr="005B2493">
        <w:rPr>
          <w:rFonts w:ascii="Arial" w:hAnsi="Arial" w:cs="Arial"/>
        </w:rPr>
        <w:t>Inadequately treated hospital sewage is a particularly rich source of multidrug-resistant organisms, which mix with community effluents and spread resistance genes through horizontal transfer (McCarthy et al., 2021). Pharmaceutical manufacturing plants in countries such as India and China have been implicated in releasing extremely high concentrations of antibiotics into local water systems, creating hotspots for resistance selection (</w:t>
      </w:r>
      <w:proofErr w:type="spellStart"/>
      <w:r w:rsidRPr="005B2493">
        <w:rPr>
          <w:rFonts w:ascii="Arial" w:hAnsi="Arial" w:cs="Arial"/>
        </w:rPr>
        <w:t>Frascaroli</w:t>
      </w:r>
      <w:proofErr w:type="spellEnd"/>
      <w:r w:rsidRPr="005B2493">
        <w:rPr>
          <w:rFonts w:ascii="Arial" w:hAnsi="Arial" w:cs="Arial"/>
        </w:rPr>
        <w:t xml:space="preserve"> et al., 2021). </w:t>
      </w:r>
    </w:p>
    <w:p w14:paraId="6CC2E72B" w14:textId="77777777" w:rsidR="005B2493" w:rsidRPr="005B2493" w:rsidRDefault="005B2493" w:rsidP="005B2493">
      <w:pPr>
        <w:pStyle w:val="Body"/>
        <w:rPr>
          <w:rFonts w:ascii="Arial" w:hAnsi="Arial" w:cs="Arial"/>
        </w:rPr>
      </w:pPr>
      <w:r w:rsidRPr="005B2493">
        <w:rPr>
          <w:rFonts w:ascii="Arial" w:hAnsi="Arial" w:cs="Arial"/>
        </w:rPr>
        <w:t>Wildlife also plays a role, serving as carriers of resistant strains across ecosystems, often linked to contaminated habitats. Migratory birds, rodents, and other wildlife exposed to contaminated habitats can serve as vectors, transporting resistant organisms across borders and ecosystem</w:t>
      </w:r>
      <w:r w:rsidR="000401CF">
        <w:rPr>
          <w:rFonts w:ascii="Arial" w:hAnsi="Arial" w:cs="Arial"/>
        </w:rPr>
        <w:t>s (</w:t>
      </w:r>
      <w:proofErr w:type="spellStart"/>
      <w:r w:rsidR="000401CF">
        <w:rPr>
          <w:rFonts w:ascii="Arial" w:hAnsi="Arial" w:cs="Arial"/>
        </w:rPr>
        <w:t>Höcketstaller</w:t>
      </w:r>
      <w:proofErr w:type="spellEnd"/>
      <w:r w:rsidR="000401CF">
        <w:rPr>
          <w:rFonts w:ascii="Arial" w:hAnsi="Arial" w:cs="Arial"/>
        </w:rPr>
        <w:t xml:space="preserve"> et al., 2025). </w:t>
      </w:r>
      <w:r w:rsidRPr="005B2493">
        <w:rPr>
          <w:rFonts w:ascii="Arial" w:hAnsi="Arial" w:cs="Arial"/>
        </w:rPr>
        <w:t>Environmental surveillance is underdeveloped aspects of AMR monitoring which has demonstrated that antibiotic resistance genes (ARGs) circulate widely even in regions with limited direct antibiotic use, emphasizing the global mobility of AMR drivers (Doyle et al., 2025).</w:t>
      </w:r>
    </w:p>
    <w:p w14:paraId="0C2B48F9" w14:textId="77777777" w:rsidR="005B2493" w:rsidRPr="005B2493" w:rsidRDefault="005B2493" w:rsidP="005B2493">
      <w:pPr>
        <w:pStyle w:val="Body"/>
        <w:rPr>
          <w:rFonts w:ascii="Arial" w:hAnsi="Arial" w:cs="Arial"/>
          <w:b/>
          <w:sz w:val="22"/>
          <w:szCs w:val="22"/>
        </w:rPr>
      </w:pPr>
      <w:r w:rsidRPr="005B2493">
        <w:rPr>
          <w:rFonts w:ascii="Arial" w:hAnsi="Arial" w:cs="Arial"/>
          <w:b/>
          <w:sz w:val="22"/>
          <w:szCs w:val="22"/>
        </w:rPr>
        <w:t>2.4 Cross-Sectoral Transmission Pathways</w:t>
      </w:r>
    </w:p>
    <w:p w14:paraId="739B1EBE" w14:textId="77777777" w:rsidR="005B2493" w:rsidRPr="005B2493" w:rsidRDefault="005B2493" w:rsidP="005B2493">
      <w:pPr>
        <w:pStyle w:val="Body"/>
        <w:rPr>
          <w:rFonts w:ascii="Arial" w:hAnsi="Arial" w:cs="Arial"/>
        </w:rPr>
      </w:pPr>
      <w:r w:rsidRPr="005B2493">
        <w:rPr>
          <w:rFonts w:ascii="Arial" w:hAnsi="Arial" w:cs="Arial"/>
        </w:rPr>
        <w:lastRenderedPageBreak/>
        <w:t>The interconnectedness of these domains is increasingly evident. Foodborne transmission of resistant bacteria from livestock to humans (</w:t>
      </w:r>
      <w:proofErr w:type="spellStart"/>
      <w:r w:rsidRPr="005B2493">
        <w:rPr>
          <w:rFonts w:ascii="Arial" w:hAnsi="Arial" w:cs="Arial"/>
        </w:rPr>
        <w:t>Fastl</w:t>
      </w:r>
      <w:proofErr w:type="spellEnd"/>
      <w:r w:rsidRPr="005B2493">
        <w:rPr>
          <w:rFonts w:ascii="Arial" w:hAnsi="Arial" w:cs="Arial"/>
        </w:rPr>
        <w:t xml:space="preserve"> et al., 2023), aquatic dissemination of ARGs from aquaculture into drinking water systems, and human-to-environment spillover via hospital effluents all represent overlapping pathways (</w:t>
      </w:r>
      <w:proofErr w:type="spellStart"/>
      <w:r w:rsidRPr="005B2493">
        <w:rPr>
          <w:rFonts w:ascii="Arial" w:hAnsi="Arial" w:cs="Arial"/>
        </w:rPr>
        <w:t>Frascaroli</w:t>
      </w:r>
      <w:proofErr w:type="spellEnd"/>
      <w:r w:rsidRPr="005B2493">
        <w:rPr>
          <w:rFonts w:ascii="Arial" w:hAnsi="Arial" w:cs="Arial"/>
        </w:rPr>
        <w:t xml:space="preserve"> et al., 2021). Resistance does not remain confined to its origin; mobile genetic elements such as plasmids and transposons facilitate rapid horizontal gene transfer across bacterial populations in different hosts. This underscores the necessity of coordinated surveillance (Doyle et al., 2025); the WHO’s GLASS initiative, though primarily focused on human pathogens, is moving toward integration with veterinary and environmental data streams to capture this cross-sectoral </w:t>
      </w:r>
      <w:r w:rsidRPr="002237EF">
        <w:rPr>
          <w:rFonts w:ascii="Times New Roman" w:hAnsi="Times New Roman"/>
          <w:noProof/>
          <w:sz w:val="24"/>
          <w:szCs w:val="24"/>
        </w:rPr>
        <w:drawing>
          <wp:anchor distT="0" distB="0" distL="114300" distR="114300" simplePos="0" relativeHeight="251656704" behindDoc="1" locked="0" layoutInCell="1" allowOverlap="1" wp14:anchorId="11C1CDEE" wp14:editId="5305E805">
            <wp:simplePos x="0" y="0"/>
            <wp:positionH relativeFrom="column">
              <wp:posOffset>1905</wp:posOffset>
            </wp:positionH>
            <wp:positionV relativeFrom="paragraph">
              <wp:posOffset>1106170</wp:posOffset>
            </wp:positionV>
            <wp:extent cx="5177155" cy="3964305"/>
            <wp:effectExtent l="0" t="0" r="0" b="0"/>
            <wp:wrapTight wrapText="bothSides">
              <wp:wrapPolygon edited="0">
                <wp:start x="0" y="0"/>
                <wp:lineTo x="0" y="21486"/>
                <wp:lineTo x="21539" y="21486"/>
                <wp:lineTo x="21539" y="0"/>
                <wp:lineTo x="0" y="0"/>
              </wp:wrapPolygon>
            </wp:wrapTight>
            <wp:docPr id="3" name="Picture 3" descr="C:\Users\bhadm\Downloads\jnjnnklk-e1680521539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adm\Downloads\jnjnnklk-e168052153915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7155" cy="3964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2493">
        <w:rPr>
          <w:rFonts w:ascii="Arial" w:hAnsi="Arial" w:cs="Arial"/>
        </w:rPr>
        <w:t>complexity (World Health Organization, 2022).</w:t>
      </w:r>
    </w:p>
    <w:p w14:paraId="20F75842" w14:textId="77777777" w:rsidR="005B2493" w:rsidRDefault="005B2493" w:rsidP="005B2493">
      <w:pPr>
        <w:pStyle w:val="Body"/>
        <w:spacing w:after="0"/>
        <w:rPr>
          <w:rFonts w:ascii="Arial" w:hAnsi="Arial" w:cs="Arial"/>
        </w:rPr>
      </w:pPr>
    </w:p>
    <w:p w14:paraId="7A6EB041" w14:textId="77777777" w:rsidR="00F84C49" w:rsidRDefault="00F84C49" w:rsidP="005B2493">
      <w:pPr>
        <w:pStyle w:val="Body"/>
        <w:spacing w:after="0"/>
        <w:rPr>
          <w:rFonts w:ascii="Arial" w:hAnsi="Arial" w:cs="Arial"/>
        </w:rPr>
      </w:pPr>
    </w:p>
    <w:p w14:paraId="5BD24552" w14:textId="77777777" w:rsidR="00F84C49" w:rsidRDefault="00F84C49" w:rsidP="005B2493">
      <w:pPr>
        <w:pStyle w:val="Body"/>
        <w:spacing w:after="0"/>
        <w:rPr>
          <w:rFonts w:ascii="Arial" w:hAnsi="Arial" w:cs="Arial"/>
        </w:rPr>
      </w:pPr>
    </w:p>
    <w:p w14:paraId="1D9DFCF2" w14:textId="77777777" w:rsidR="00F84C49" w:rsidRDefault="00F84C49" w:rsidP="005B2493">
      <w:pPr>
        <w:pStyle w:val="Body"/>
        <w:spacing w:after="0"/>
        <w:rPr>
          <w:rFonts w:ascii="Arial" w:hAnsi="Arial" w:cs="Arial"/>
        </w:rPr>
      </w:pPr>
    </w:p>
    <w:p w14:paraId="32464506" w14:textId="77777777" w:rsidR="00F84C49" w:rsidRDefault="00F84C49" w:rsidP="005B2493">
      <w:pPr>
        <w:pStyle w:val="Body"/>
        <w:spacing w:after="0"/>
        <w:rPr>
          <w:rFonts w:ascii="Arial" w:hAnsi="Arial" w:cs="Arial"/>
        </w:rPr>
      </w:pPr>
    </w:p>
    <w:p w14:paraId="6F19995E" w14:textId="77777777" w:rsidR="00F84C49" w:rsidRDefault="00F84C49" w:rsidP="005B2493">
      <w:pPr>
        <w:pStyle w:val="Body"/>
        <w:spacing w:after="0"/>
        <w:rPr>
          <w:rFonts w:ascii="Arial" w:hAnsi="Arial" w:cs="Arial"/>
        </w:rPr>
      </w:pPr>
    </w:p>
    <w:p w14:paraId="52A1E23D" w14:textId="77777777" w:rsidR="00F84C49" w:rsidRDefault="00F84C49" w:rsidP="005B2493">
      <w:pPr>
        <w:pStyle w:val="Body"/>
        <w:spacing w:after="0"/>
        <w:rPr>
          <w:rFonts w:ascii="Arial" w:hAnsi="Arial" w:cs="Arial"/>
        </w:rPr>
      </w:pPr>
    </w:p>
    <w:p w14:paraId="2588AF1D" w14:textId="77777777" w:rsidR="00F84C49" w:rsidRDefault="00F84C49" w:rsidP="005B2493">
      <w:pPr>
        <w:pStyle w:val="Body"/>
        <w:spacing w:after="0"/>
        <w:rPr>
          <w:rFonts w:ascii="Arial" w:hAnsi="Arial" w:cs="Arial"/>
        </w:rPr>
      </w:pPr>
    </w:p>
    <w:p w14:paraId="21AF7447" w14:textId="77777777" w:rsidR="00F84C49" w:rsidRDefault="00F84C49" w:rsidP="005B2493">
      <w:pPr>
        <w:pStyle w:val="Body"/>
        <w:spacing w:after="0"/>
        <w:rPr>
          <w:rFonts w:ascii="Arial" w:hAnsi="Arial" w:cs="Arial"/>
        </w:rPr>
      </w:pPr>
    </w:p>
    <w:p w14:paraId="2618D9F6" w14:textId="77777777" w:rsidR="00F84C49" w:rsidRDefault="00F84C49" w:rsidP="005B2493">
      <w:pPr>
        <w:pStyle w:val="Body"/>
        <w:spacing w:after="0"/>
        <w:rPr>
          <w:rFonts w:ascii="Arial" w:hAnsi="Arial" w:cs="Arial"/>
        </w:rPr>
      </w:pPr>
    </w:p>
    <w:p w14:paraId="4A44731C" w14:textId="77777777" w:rsidR="00F84C49" w:rsidRDefault="00F84C49" w:rsidP="005B2493">
      <w:pPr>
        <w:pStyle w:val="Body"/>
        <w:spacing w:after="0"/>
        <w:rPr>
          <w:rFonts w:ascii="Arial" w:hAnsi="Arial" w:cs="Arial"/>
        </w:rPr>
      </w:pPr>
    </w:p>
    <w:p w14:paraId="25BD2172" w14:textId="77777777" w:rsidR="00F84C49" w:rsidRDefault="00F84C49" w:rsidP="005B2493">
      <w:pPr>
        <w:pStyle w:val="Body"/>
        <w:spacing w:after="0"/>
        <w:rPr>
          <w:rFonts w:ascii="Arial" w:hAnsi="Arial" w:cs="Arial"/>
        </w:rPr>
      </w:pPr>
    </w:p>
    <w:p w14:paraId="7324BDBB" w14:textId="77777777" w:rsidR="00F84C49" w:rsidRDefault="00F84C49" w:rsidP="005B2493">
      <w:pPr>
        <w:pStyle w:val="Body"/>
        <w:spacing w:after="0"/>
        <w:rPr>
          <w:rFonts w:ascii="Arial" w:hAnsi="Arial" w:cs="Arial"/>
        </w:rPr>
      </w:pPr>
    </w:p>
    <w:p w14:paraId="13AAE2D4" w14:textId="77777777" w:rsidR="00F84C49" w:rsidRDefault="00F84C49" w:rsidP="005B2493">
      <w:pPr>
        <w:pStyle w:val="Body"/>
        <w:spacing w:after="0"/>
        <w:rPr>
          <w:rFonts w:ascii="Arial" w:hAnsi="Arial" w:cs="Arial"/>
        </w:rPr>
      </w:pPr>
    </w:p>
    <w:p w14:paraId="35D849A4" w14:textId="77777777" w:rsidR="00F84C49" w:rsidRDefault="00F84C49" w:rsidP="005B2493">
      <w:pPr>
        <w:pStyle w:val="Body"/>
        <w:spacing w:after="0"/>
        <w:rPr>
          <w:rFonts w:ascii="Arial" w:hAnsi="Arial" w:cs="Arial"/>
        </w:rPr>
      </w:pPr>
    </w:p>
    <w:p w14:paraId="53D68A54" w14:textId="77777777" w:rsidR="00F84C49" w:rsidRDefault="00F84C49" w:rsidP="005B2493">
      <w:pPr>
        <w:pStyle w:val="Body"/>
        <w:spacing w:after="0"/>
        <w:rPr>
          <w:rFonts w:ascii="Arial" w:hAnsi="Arial" w:cs="Arial"/>
        </w:rPr>
      </w:pPr>
    </w:p>
    <w:p w14:paraId="241F4407" w14:textId="77777777" w:rsidR="00F84C49" w:rsidRDefault="00F84C49" w:rsidP="005B2493">
      <w:pPr>
        <w:pStyle w:val="Body"/>
        <w:spacing w:after="0"/>
        <w:rPr>
          <w:rFonts w:ascii="Arial" w:hAnsi="Arial" w:cs="Arial"/>
        </w:rPr>
      </w:pPr>
    </w:p>
    <w:p w14:paraId="06F2C6EB" w14:textId="77777777" w:rsidR="00F84C49" w:rsidRDefault="00F84C49" w:rsidP="005B2493">
      <w:pPr>
        <w:pStyle w:val="Body"/>
        <w:spacing w:after="0"/>
        <w:rPr>
          <w:rFonts w:ascii="Arial" w:hAnsi="Arial" w:cs="Arial"/>
        </w:rPr>
      </w:pPr>
    </w:p>
    <w:p w14:paraId="423923C0" w14:textId="77777777" w:rsidR="00F84C49" w:rsidRDefault="00F84C49" w:rsidP="005B2493">
      <w:pPr>
        <w:pStyle w:val="Body"/>
        <w:spacing w:after="0"/>
        <w:rPr>
          <w:rFonts w:ascii="Arial" w:hAnsi="Arial" w:cs="Arial"/>
        </w:rPr>
      </w:pPr>
    </w:p>
    <w:p w14:paraId="79223879" w14:textId="77777777" w:rsidR="00F84C49" w:rsidRDefault="00F84C49" w:rsidP="005B2493">
      <w:pPr>
        <w:pStyle w:val="Body"/>
        <w:spacing w:after="0"/>
        <w:rPr>
          <w:rFonts w:ascii="Arial" w:hAnsi="Arial" w:cs="Arial"/>
        </w:rPr>
      </w:pPr>
    </w:p>
    <w:p w14:paraId="16EB01BE" w14:textId="77777777" w:rsidR="00F84C49" w:rsidRDefault="00F84C49" w:rsidP="005B2493">
      <w:pPr>
        <w:pStyle w:val="Body"/>
        <w:spacing w:after="0"/>
        <w:rPr>
          <w:rFonts w:ascii="Arial" w:hAnsi="Arial" w:cs="Arial"/>
        </w:rPr>
      </w:pPr>
    </w:p>
    <w:p w14:paraId="266649B8" w14:textId="77777777" w:rsidR="00F84C49" w:rsidRDefault="00F84C49" w:rsidP="005B2493">
      <w:pPr>
        <w:pStyle w:val="Body"/>
        <w:spacing w:after="0"/>
        <w:rPr>
          <w:rFonts w:ascii="Arial" w:hAnsi="Arial" w:cs="Arial"/>
        </w:rPr>
      </w:pPr>
    </w:p>
    <w:p w14:paraId="7CDD0C09" w14:textId="77777777" w:rsidR="00F84C49" w:rsidRDefault="00F84C49" w:rsidP="005B2493">
      <w:pPr>
        <w:pStyle w:val="Body"/>
        <w:spacing w:after="0"/>
        <w:rPr>
          <w:rFonts w:ascii="Arial" w:hAnsi="Arial" w:cs="Arial"/>
        </w:rPr>
      </w:pPr>
    </w:p>
    <w:p w14:paraId="1AE11D4B" w14:textId="77777777" w:rsidR="00F84C49" w:rsidRDefault="00F84C49" w:rsidP="005B2493">
      <w:pPr>
        <w:pStyle w:val="Body"/>
        <w:spacing w:after="0"/>
        <w:rPr>
          <w:rFonts w:ascii="Arial" w:hAnsi="Arial" w:cs="Arial"/>
        </w:rPr>
      </w:pPr>
    </w:p>
    <w:p w14:paraId="5D37FB56" w14:textId="77777777" w:rsidR="00F84C49" w:rsidRDefault="00F84C49" w:rsidP="005B2493">
      <w:pPr>
        <w:pStyle w:val="Body"/>
        <w:spacing w:after="0"/>
        <w:rPr>
          <w:rFonts w:ascii="Arial" w:hAnsi="Arial" w:cs="Arial"/>
        </w:rPr>
      </w:pPr>
    </w:p>
    <w:p w14:paraId="29CF9007" w14:textId="77777777" w:rsidR="00F84C49" w:rsidRDefault="00F84C49" w:rsidP="005B2493">
      <w:pPr>
        <w:pStyle w:val="Body"/>
        <w:spacing w:after="0"/>
        <w:rPr>
          <w:rFonts w:ascii="Arial" w:hAnsi="Arial" w:cs="Arial"/>
        </w:rPr>
      </w:pPr>
    </w:p>
    <w:p w14:paraId="3D3D0E75" w14:textId="77777777" w:rsidR="00F84C49" w:rsidRDefault="00F84C49" w:rsidP="005B2493">
      <w:pPr>
        <w:pStyle w:val="Body"/>
        <w:spacing w:after="0"/>
        <w:rPr>
          <w:rFonts w:ascii="Arial" w:hAnsi="Arial" w:cs="Arial"/>
        </w:rPr>
      </w:pPr>
    </w:p>
    <w:p w14:paraId="2B5ECD8B" w14:textId="77777777" w:rsidR="00F84C49" w:rsidRDefault="00F84C49" w:rsidP="005B2493">
      <w:pPr>
        <w:pStyle w:val="Body"/>
        <w:spacing w:after="0"/>
        <w:rPr>
          <w:rFonts w:ascii="Arial" w:hAnsi="Arial" w:cs="Arial"/>
        </w:rPr>
      </w:pPr>
    </w:p>
    <w:p w14:paraId="4C01B1EB" w14:textId="38659055" w:rsidR="00790ADA" w:rsidRDefault="005B2493" w:rsidP="005B2493">
      <w:pPr>
        <w:pStyle w:val="Body"/>
        <w:spacing w:after="0"/>
        <w:rPr>
          <w:rFonts w:ascii="Arial" w:hAnsi="Arial" w:cs="Arial"/>
        </w:rPr>
      </w:pPr>
      <w:r w:rsidRPr="005B2493">
        <w:rPr>
          <w:rFonts w:ascii="Arial" w:hAnsi="Arial" w:cs="Arial"/>
        </w:rPr>
        <w:t>Figure 1: One-health approach to antimicrobial resistance (Walsh, 2018)</w:t>
      </w:r>
    </w:p>
    <w:p w14:paraId="78136B52" w14:textId="77777777" w:rsidR="005B2493" w:rsidRPr="00FB3A86" w:rsidRDefault="005B2493" w:rsidP="00441B6F">
      <w:pPr>
        <w:pStyle w:val="Body"/>
        <w:spacing w:after="0"/>
        <w:rPr>
          <w:rFonts w:ascii="Arial" w:hAnsi="Arial" w:cs="Arial"/>
        </w:rPr>
      </w:pPr>
    </w:p>
    <w:p w14:paraId="1C0918A9" w14:textId="77777777" w:rsidR="00790ADA" w:rsidRPr="00FB3A86" w:rsidRDefault="00790ADA" w:rsidP="00441B6F">
      <w:pPr>
        <w:pStyle w:val="Body"/>
        <w:spacing w:after="0"/>
        <w:rPr>
          <w:rFonts w:ascii="Arial" w:hAnsi="Arial" w:cs="Arial"/>
        </w:rPr>
      </w:pPr>
    </w:p>
    <w:p w14:paraId="2403C637" w14:textId="77777777" w:rsidR="005B2493" w:rsidRDefault="005B2493" w:rsidP="005B2493">
      <w:pPr>
        <w:tabs>
          <w:tab w:val="left" w:pos="1080"/>
        </w:tabs>
        <w:jc w:val="both"/>
        <w:rPr>
          <w:rFonts w:ascii="Arial" w:hAnsi="Arial" w:cs="Arial"/>
          <w:b/>
        </w:rPr>
      </w:pPr>
      <w:r w:rsidRPr="005B2493">
        <w:rPr>
          <w:rFonts w:ascii="Arial" w:hAnsi="Arial" w:cs="Arial"/>
          <w:b/>
        </w:rPr>
        <w:t>3. GLOBAL ONE HEALTH SURVEILLANCE AND CASE STUDIES</w:t>
      </w:r>
    </w:p>
    <w:p w14:paraId="3FD7F603" w14:textId="77777777" w:rsidR="005B2493" w:rsidRPr="005B2493" w:rsidRDefault="005B2493" w:rsidP="005B2493">
      <w:pPr>
        <w:tabs>
          <w:tab w:val="left" w:pos="1080"/>
        </w:tabs>
        <w:jc w:val="both"/>
        <w:rPr>
          <w:rFonts w:ascii="Arial" w:hAnsi="Arial" w:cs="Arial"/>
          <w:b/>
        </w:rPr>
      </w:pPr>
    </w:p>
    <w:p w14:paraId="5B05963F" w14:textId="77777777" w:rsidR="005B2493" w:rsidRDefault="005B2493" w:rsidP="005B2493">
      <w:pPr>
        <w:tabs>
          <w:tab w:val="left" w:pos="1080"/>
        </w:tabs>
        <w:jc w:val="both"/>
        <w:rPr>
          <w:rFonts w:ascii="Arial" w:hAnsi="Arial" w:cs="Arial"/>
        </w:rPr>
      </w:pPr>
      <w:r w:rsidRPr="005B2493">
        <w:rPr>
          <w:rFonts w:ascii="Arial" w:hAnsi="Arial" w:cs="Arial"/>
        </w:rPr>
        <w:t>The increasing global recognition of antimicrobial resistance (AMR) as a transboundary health challenge has spurred the development of surveillance frameworks rooted in the One Health paradigm. These initiatives aim to monitor resistance trends across humans, animals, and the environment, while also harmonizing data collection and policy responses internationally. Key international frameworks are reviewed, national and regional models, and comparative lessons that highlight both successes and persistent challenges.</w:t>
      </w:r>
    </w:p>
    <w:p w14:paraId="0061E1D5" w14:textId="77777777" w:rsidR="005B2493" w:rsidRPr="005B2493" w:rsidRDefault="005B2493" w:rsidP="005B2493">
      <w:pPr>
        <w:tabs>
          <w:tab w:val="left" w:pos="1080"/>
        </w:tabs>
        <w:jc w:val="both"/>
        <w:rPr>
          <w:rFonts w:ascii="Arial" w:hAnsi="Arial" w:cs="Arial"/>
        </w:rPr>
      </w:pPr>
    </w:p>
    <w:p w14:paraId="46214DEB" w14:textId="77777777" w:rsidR="005B2493" w:rsidRPr="005B2493" w:rsidRDefault="005B2493" w:rsidP="005B2493">
      <w:pPr>
        <w:tabs>
          <w:tab w:val="left" w:pos="1080"/>
        </w:tabs>
        <w:jc w:val="both"/>
        <w:rPr>
          <w:rFonts w:ascii="Arial" w:hAnsi="Arial" w:cs="Arial"/>
          <w:b/>
        </w:rPr>
      </w:pPr>
      <w:r w:rsidRPr="005B2493">
        <w:rPr>
          <w:rFonts w:ascii="Arial" w:hAnsi="Arial" w:cs="Arial"/>
          <w:b/>
        </w:rPr>
        <w:t>3.1 International Frameworks</w:t>
      </w:r>
    </w:p>
    <w:p w14:paraId="06B70A4A" w14:textId="77777777" w:rsidR="005B2493" w:rsidRPr="005B2493" w:rsidRDefault="005B2493" w:rsidP="005B2493">
      <w:pPr>
        <w:tabs>
          <w:tab w:val="left" w:pos="1080"/>
        </w:tabs>
        <w:jc w:val="both"/>
        <w:rPr>
          <w:rFonts w:ascii="Arial" w:hAnsi="Arial" w:cs="Arial"/>
        </w:rPr>
      </w:pPr>
      <w:r w:rsidRPr="005B2493">
        <w:rPr>
          <w:rFonts w:ascii="Arial" w:hAnsi="Arial" w:cs="Arial"/>
        </w:rPr>
        <w:t>A landmark in global AMR monitoring is the Global Antimicrobial Resistance and Use Surveillance System (GLASS), launched by the World Health Organization (WHO) in 2015. GLASS provides standardized protocols for AMR data collection, with an emphasis on pathogens of critical importance, including Escherichia coli, Klebsiella pneumoniae, Staphylococcus aureus, and Mycobacterium tuberculosis (WHO, 2023; Hope et al., 2023; Ajulo et al., 2024). While participation has expanded rapidly with over 100 countries enrolled as of 2024, disparities remain in capacity, laboratory infrastructure, and reporting consistency.</w:t>
      </w:r>
    </w:p>
    <w:p w14:paraId="3712798C" w14:textId="77777777" w:rsidR="005B2493" w:rsidRPr="005B2493" w:rsidRDefault="005B2493" w:rsidP="005B2493">
      <w:pPr>
        <w:tabs>
          <w:tab w:val="left" w:pos="1080"/>
        </w:tabs>
        <w:jc w:val="both"/>
        <w:rPr>
          <w:rFonts w:ascii="Arial" w:hAnsi="Arial" w:cs="Arial"/>
        </w:rPr>
      </w:pPr>
      <w:r w:rsidRPr="005B2493">
        <w:rPr>
          <w:rFonts w:ascii="Arial" w:hAnsi="Arial" w:cs="Arial"/>
        </w:rPr>
        <w:t>The Food and Agriculture Organization (FAO) plays a complementary role through its AMR Action Plan, particularly in livestock, aquaculture, and food production systems (</w:t>
      </w:r>
      <w:proofErr w:type="spellStart"/>
      <w:r w:rsidRPr="005B2493">
        <w:rPr>
          <w:rFonts w:ascii="Arial" w:hAnsi="Arial" w:cs="Arial"/>
        </w:rPr>
        <w:t>Bondad-Reantaso</w:t>
      </w:r>
      <w:proofErr w:type="spellEnd"/>
      <w:r w:rsidRPr="005B2493">
        <w:rPr>
          <w:rFonts w:ascii="Arial" w:hAnsi="Arial" w:cs="Arial"/>
        </w:rPr>
        <w:t xml:space="preserve"> et al., 2020). In parallel, the World </w:t>
      </w:r>
      <w:proofErr w:type="spellStart"/>
      <w:r w:rsidRPr="005B2493">
        <w:rPr>
          <w:rFonts w:ascii="Arial" w:hAnsi="Arial" w:cs="Arial"/>
        </w:rPr>
        <w:t>Organisation</w:t>
      </w:r>
      <w:proofErr w:type="spellEnd"/>
      <w:r w:rsidRPr="005B2493">
        <w:rPr>
          <w:rFonts w:ascii="Arial" w:hAnsi="Arial" w:cs="Arial"/>
        </w:rPr>
        <w:t xml:space="preserve"> for Animal Health (OIE/WOAH) has established a global database on antimicrobial agents intended for animal use, generating critical evidence on consumption patterns in veterinary sectors (Klabbers, 2025). More recently, the United </w:t>
      </w:r>
      <w:r w:rsidRPr="005B2493">
        <w:rPr>
          <w:rFonts w:ascii="Arial" w:hAnsi="Arial" w:cs="Arial"/>
        </w:rPr>
        <w:lastRenderedPageBreak/>
        <w:t xml:space="preserve">Nations Environment </w:t>
      </w:r>
      <w:proofErr w:type="spellStart"/>
      <w:r w:rsidRPr="005B2493">
        <w:rPr>
          <w:rFonts w:ascii="Arial" w:hAnsi="Arial" w:cs="Arial"/>
        </w:rPr>
        <w:t>Programme</w:t>
      </w:r>
      <w:proofErr w:type="spellEnd"/>
      <w:r w:rsidRPr="005B2493">
        <w:rPr>
          <w:rFonts w:ascii="Arial" w:hAnsi="Arial" w:cs="Arial"/>
        </w:rPr>
        <w:t xml:space="preserve"> (UNEP) has emphasized the environmental dimension of AMR, highlighting pollution, waste discharge, and environmental hotspots for resistance evolution.</w:t>
      </w:r>
    </w:p>
    <w:p w14:paraId="5ACDC055" w14:textId="77777777" w:rsidR="005B2493" w:rsidRPr="005B2493" w:rsidRDefault="005B2493" w:rsidP="005B2493">
      <w:pPr>
        <w:tabs>
          <w:tab w:val="left" w:pos="1080"/>
        </w:tabs>
        <w:jc w:val="both"/>
        <w:rPr>
          <w:rFonts w:ascii="Arial" w:hAnsi="Arial" w:cs="Arial"/>
        </w:rPr>
      </w:pPr>
      <w:r w:rsidRPr="005B2493">
        <w:rPr>
          <w:rFonts w:ascii="Arial" w:hAnsi="Arial" w:cs="Arial"/>
        </w:rPr>
        <w:t>The Quadripartite collaboration (WHO, FAO, WOAH, UNEP) institutionalized in 2022 represents a consolidated effort to advance One Health AMR surveillance, capacity building, and policy coordination. This alliance underscores the interconnectedness of AMR drivers across domains, while promoting integrated approaches to mitigate risks.</w:t>
      </w:r>
    </w:p>
    <w:p w14:paraId="225859DE" w14:textId="77777777" w:rsidR="005B2493" w:rsidRDefault="005B2493" w:rsidP="005B2493">
      <w:pPr>
        <w:tabs>
          <w:tab w:val="left" w:pos="1080"/>
        </w:tabs>
        <w:jc w:val="both"/>
        <w:rPr>
          <w:rFonts w:ascii="Arial" w:hAnsi="Arial" w:cs="Arial"/>
        </w:rPr>
      </w:pPr>
    </w:p>
    <w:p w14:paraId="327C5D16" w14:textId="77777777" w:rsidR="005B2493" w:rsidRPr="005B2493" w:rsidRDefault="005B2493" w:rsidP="005B2493">
      <w:pPr>
        <w:tabs>
          <w:tab w:val="left" w:pos="1080"/>
        </w:tabs>
        <w:jc w:val="both"/>
        <w:rPr>
          <w:rFonts w:ascii="Arial" w:hAnsi="Arial" w:cs="Arial"/>
          <w:b/>
        </w:rPr>
      </w:pPr>
      <w:r w:rsidRPr="005B2493">
        <w:rPr>
          <w:rFonts w:ascii="Arial" w:hAnsi="Arial" w:cs="Arial"/>
          <w:b/>
        </w:rPr>
        <w:t>3.2 Regional and National One Health Models</w:t>
      </w:r>
    </w:p>
    <w:p w14:paraId="680BDAC0" w14:textId="77777777" w:rsidR="005B2493" w:rsidRPr="005B2493" w:rsidRDefault="005B2493" w:rsidP="005B2493">
      <w:pPr>
        <w:tabs>
          <w:tab w:val="left" w:pos="1080"/>
        </w:tabs>
        <w:jc w:val="both"/>
        <w:rPr>
          <w:rFonts w:ascii="Arial" w:hAnsi="Arial" w:cs="Arial"/>
        </w:rPr>
      </w:pPr>
      <w:r w:rsidRPr="005B2493">
        <w:rPr>
          <w:rFonts w:ascii="Arial" w:hAnsi="Arial" w:cs="Arial"/>
        </w:rPr>
        <w:t>The Netherlands is widely regarded as a model for integrated AMR surveillance. Its Dutch Veterinary Medicines Authority enforces strict antibiotic use in livestock, while the National Institute for Public Health and the Environment (RIVM) coordinates human AMR monitoring (Mesa Varona et al., 2020). The reduction of veterinary antimicrobial sales by over 70% since 2009 demonstrates how evidence-based policies, farmer engagement, and strong governance can yield measurable progress (</w:t>
      </w:r>
      <w:proofErr w:type="spellStart"/>
      <w:r w:rsidRPr="005B2493">
        <w:rPr>
          <w:rFonts w:ascii="Arial" w:hAnsi="Arial" w:cs="Arial"/>
        </w:rPr>
        <w:t>Köper</w:t>
      </w:r>
      <w:proofErr w:type="spellEnd"/>
      <w:r w:rsidRPr="005B2493">
        <w:rPr>
          <w:rFonts w:ascii="Arial" w:hAnsi="Arial" w:cs="Arial"/>
        </w:rPr>
        <w:t xml:space="preserve"> et al., 2020).</w:t>
      </w:r>
    </w:p>
    <w:p w14:paraId="29D3D5B6" w14:textId="77777777" w:rsidR="005B2493" w:rsidRPr="005B2493" w:rsidRDefault="005B2493" w:rsidP="005B2493">
      <w:pPr>
        <w:tabs>
          <w:tab w:val="left" w:pos="1080"/>
        </w:tabs>
        <w:jc w:val="both"/>
        <w:rPr>
          <w:rFonts w:ascii="Arial" w:hAnsi="Arial" w:cs="Arial"/>
        </w:rPr>
      </w:pPr>
      <w:r w:rsidRPr="005B2493">
        <w:rPr>
          <w:rFonts w:ascii="Arial" w:hAnsi="Arial" w:cs="Arial"/>
        </w:rPr>
        <w:t>In Thailand, the National Strategic Plan on AMR (2017–2021; renewed for 2022–2026) integrates human, animal, and environmental health sectors. The plan targets reductions in antimicrobial consumption in both humans and animals, strengthened infection prevention and control, and enhanced laboratory surveillance capacity. Despite resource constraints, Thailand’s model is notable for its government commitment, legal framework, and regional leadership within Southeast Asia.</w:t>
      </w:r>
    </w:p>
    <w:p w14:paraId="3EBA786A" w14:textId="77777777" w:rsidR="005B2493" w:rsidRDefault="005B2493" w:rsidP="005B2493">
      <w:pPr>
        <w:tabs>
          <w:tab w:val="left" w:pos="1080"/>
        </w:tabs>
        <w:jc w:val="both"/>
        <w:rPr>
          <w:rFonts w:ascii="Arial" w:hAnsi="Arial" w:cs="Arial"/>
        </w:rPr>
      </w:pPr>
      <w:r w:rsidRPr="005B2493">
        <w:rPr>
          <w:rFonts w:ascii="Arial" w:hAnsi="Arial" w:cs="Arial"/>
        </w:rPr>
        <w:t>In Ghana, AMR surveillance is shaped by the realities of a low-resource Sub-Saharan African context. The country launched its National Action Plan on AMR (2017–2021; renewed) in alignment with the WHO’s Global Action Plan. Implementation, however, faces hurdles including inadequate laboratory infrastructure, limited inter-sectoral coordination, and insufficient funding. Nevertheless, Ghana’s adoption of the One Health approach particularly in linking human and veterinary surveillance provides a foundation for capacity-building and regional collaborations across West Africa (Donkor et al., 2024).</w:t>
      </w:r>
    </w:p>
    <w:p w14:paraId="12AA576C" w14:textId="77777777" w:rsidR="005B2493" w:rsidRPr="005B2493" w:rsidRDefault="005B2493" w:rsidP="005B2493">
      <w:pPr>
        <w:tabs>
          <w:tab w:val="left" w:pos="1080"/>
        </w:tabs>
        <w:jc w:val="both"/>
        <w:rPr>
          <w:rFonts w:ascii="Arial" w:hAnsi="Arial" w:cs="Arial"/>
        </w:rPr>
      </w:pPr>
    </w:p>
    <w:p w14:paraId="2BE886B4" w14:textId="77777777" w:rsidR="005B2493" w:rsidRPr="005B2493" w:rsidRDefault="005B2493" w:rsidP="005B2493">
      <w:pPr>
        <w:tabs>
          <w:tab w:val="left" w:pos="1080"/>
        </w:tabs>
        <w:jc w:val="both"/>
        <w:rPr>
          <w:rFonts w:ascii="Arial" w:hAnsi="Arial" w:cs="Arial"/>
          <w:b/>
        </w:rPr>
      </w:pPr>
      <w:r w:rsidRPr="005B2493">
        <w:rPr>
          <w:rFonts w:ascii="Arial" w:hAnsi="Arial" w:cs="Arial"/>
          <w:b/>
        </w:rPr>
        <w:t>3.3 Comparative Insights</w:t>
      </w:r>
    </w:p>
    <w:p w14:paraId="12847146" w14:textId="77777777" w:rsidR="005B2493" w:rsidRPr="005B2493" w:rsidRDefault="005B2493" w:rsidP="005B2493">
      <w:pPr>
        <w:tabs>
          <w:tab w:val="left" w:pos="1080"/>
        </w:tabs>
        <w:jc w:val="both"/>
        <w:rPr>
          <w:rFonts w:ascii="Arial" w:hAnsi="Arial" w:cs="Arial"/>
        </w:rPr>
      </w:pPr>
      <w:r w:rsidRPr="005B2493">
        <w:rPr>
          <w:rFonts w:ascii="Arial" w:hAnsi="Arial" w:cs="Arial"/>
        </w:rPr>
        <w:t>Across these cases, several themes emerge. Success is closely tied to strong political will, multisectoral coordination, and accountability mechanisms (</w:t>
      </w:r>
      <w:proofErr w:type="spellStart"/>
      <w:r w:rsidRPr="005B2493">
        <w:rPr>
          <w:rFonts w:ascii="Arial" w:hAnsi="Arial" w:cs="Arial"/>
        </w:rPr>
        <w:t>Shedeed</w:t>
      </w:r>
      <w:proofErr w:type="spellEnd"/>
      <w:r w:rsidRPr="005B2493">
        <w:rPr>
          <w:rFonts w:ascii="Arial" w:hAnsi="Arial" w:cs="Arial"/>
        </w:rPr>
        <w:t>, 2024). Also, funding sustainability remains a persistent barrier, especially in low- and middle-income countries (LMICs) where donor dependency threatens long-term program continuity (Swenson, 2024). Data harmonization is essential for global comparability, yet variation in methodologies and laboratory capacities undermines standardization. Lessons learned highlight that stakeholder engagement including farmers, clinicians, policymakers, and communities is indispensable to translating surveillance data into behavioral and policy change (Poudyal et al., 2023).</w:t>
      </w:r>
    </w:p>
    <w:p w14:paraId="7DFA41A6" w14:textId="77777777" w:rsidR="005B2493" w:rsidRDefault="005B2493" w:rsidP="005B2493">
      <w:pPr>
        <w:tabs>
          <w:tab w:val="left" w:pos="1080"/>
        </w:tabs>
        <w:jc w:val="both"/>
        <w:rPr>
          <w:rFonts w:ascii="Arial" w:hAnsi="Arial" w:cs="Arial"/>
        </w:rPr>
      </w:pPr>
      <w:r w:rsidRPr="005B2493">
        <w:rPr>
          <w:rFonts w:ascii="Arial" w:hAnsi="Arial" w:cs="Arial"/>
        </w:rPr>
        <w:t>Together, these global and national experiences illustrate the potential and limitations of the One Health approach to AMR surveillance. The successes of The Netherlands demonstrate the power of strong governance and regulation; Thailand exemplifies middle-income country innovation and multisectoral planning; while Ghana underscores the challenges of resource limitations and the importance of capacity-building in LMICs.</w:t>
      </w:r>
    </w:p>
    <w:p w14:paraId="04B5787E" w14:textId="77777777" w:rsidR="001F061C" w:rsidRDefault="001F061C" w:rsidP="005B2493">
      <w:pPr>
        <w:tabs>
          <w:tab w:val="left" w:pos="1080"/>
        </w:tabs>
        <w:jc w:val="both"/>
        <w:rPr>
          <w:rFonts w:ascii="Arial" w:hAnsi="Arial" w:cs="Arial"/>
        </w:rPr>
      </w:pPr>
    </w:p>
    <w:p w14:paraId="506640F4" w14:textId="77777777" w:rsidR="00EC3F8F" w:rsidRDefault="00EC3F8F" w:rsidP="001F061C">
      <w:pPr>
        <w:tabs>
          <w:tab w:val="left" w:pos="1080"/>
        </w:tabs>
        <w:jc w:val="both"/>
        <w:rPr>
          <w:rFonts w:ascii="Arial" w:hAnsi="Arial" w:cs="Arial"/>
          <w:b/>
        </w:rPr>
      </w:pPr>
    </w:p>
    <w:p w14:paraId="3149F09A" w14:textId="77777777" w:rsidR="00EC3F8F" w:rsidRDefault="00EC3F8F" w:rsidP="001F061C">
      <w:pPr>
        <w:tabs>
          <w:tab w:val="left" w:pos="1080"/>
        </w:tabs>
        <w:jc w:val="both"/>
        <w:rPr>
          <w:rFonts w:ascii="Arial" w:hAnsi="Arial" w:cs="Arial"/>
          <w:b/>
        </w:rPr>
      </w:pPr>
    </w:p>
    <w:p w14:paraId="56E297BB" w14:textId="77777777" w:rsidR="00EC3F8F" w:rsidRDefault="00EC3F8F" w:rsidP="001F061C">
      <w:pPr>
        <w:tabs>
          <w:tab w:val="left" w:pos="1080"/>
        </w:tabs>
        <w:jc w:val="both"/>
        <w:rPr>
          <w:rFonts w:ascii="Arial" w:hAnsi="Arial" w:cs="Arial"/>
          <w:b/>
        </w:rPr>
      </w:pPr>
    </w:p>
    <w:p w14:paraId="5DA30BBF" w14:textId="77777777" w:rsidR="00EC3F8F" w:rsidRDefault="00EC3F8F" w:rsidP="001F061C">
      <w:pPr>
        <w:tabs>
          <w:tab w:val="left" w:pos="1080"/>
        </w:tabs>
        <w:jc w:val="both"/>
        <w:rPr>
          <w:rFonts w:ascii="Arial" w:hAnsi="Arial" w:cs="Arial"/>
          <w:b/>
        </w:rPr>
      </w:pPr>
    </w:p>
    <w:p w14:paraId="24ABF26A" w14:textId="2B1FEE2D" w:rsidR="00EC3F8F" w:rsidRDefault="00EC3F8F" w:rsidP="001F061C">
      <w:pPr>
        <w:tabs>
          <w:tab w:val="left" w:pos="1080"/>
        </w:tabs>
        <w:jc w:val="both"/>
        <w:rPr>
          <w:rFonts w:ascii="Arial" w:hAnsi="Arial" w:cs="Arial"/>
          <w:b/>
        </w:rPr>
      </w:pPr>
      <w:r w:rsidRPr="002237EF">
        <w:rPr>
          <w:rFonts w:ascii="Times New Roman" w:hAnsi="Times New Roman"/>
          <w:noProof/>
          <w:sz w:val="24"/>
          <w:szCs w:val="24"/>
        </w:rPr>
        <w:lastRenderedPageBreak/>
        <w:drawing>
          <wp:inline distT="0" distB="0" distL="0" distR="0" wp14:anchorId="030107F9" wp14:editId="09E90556">
            <wp:extent cx="6032500" cy="3704590"/>
            <wp:effectExtent l="0" t="0" r="0" b="0"/>
            <wp:docPr id="4" name="Picture 4" descr="C:\Users\bhadm\Downloads\joint-tripartite-unep-one-health-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hadm\Downloads\joint-tripartite-unep-one-health-graphi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2500" cy="3704590"/>
                    </a:xfrm>
                    <a:prstGeom prst="rect">
                      <a:avLst/>
                    </a:prstGeom>
                    <a:noFill/>
                    <a:ln>
                      <a:noFill/>
                    </a:ln>
                  </pic:spPr>
                </pic:pic>
              </a:graphicData>
            </a:graphic>
          </wp:inline>
        </w:drawing>
      </w:r>
    </w:p>
    <w:p w14:paraId="63C42FAB" w14:textId="77777777" w:rsidR="00EC3F8F" w:rsidRDefault="00EC3F8F" w:rsidP="001F061C">
      <w:pPr>
        <w:tabs>
          <w:tab w:val="left" w:pos="1080"/>
        </w:tabs>
        <w:jc w:val="both"/>
        <w:rPr>
          <w:rFonts w:ascii="Arial" w:hAnsi="Arial" w:cs="Arial"/>
          <w:b/>
        </w:rPr>
      </w:pPr>
    </w:p>
    <w:p w14:paraId="2D0885B2" w14:textId="77777777" w:rsidR="00EC3F8F" w:rsidRDefault="00EC3F8F" w:rsidP="001F061C">
      <w:pPr>
        <w:tabs>
          <w:tab w:val="left" w:pos="1080"/>
        </w:tabs>
        <w:jc w:val="both"/>
        <w:rPr>
          <w:rFonts w:ascii="Arial" w:hAnsi="Arial" w:cs="Arial"/>
          <w:b/>
        </w:rPr>
      </w:pPr>
    </w:p>
    <w:p w14:paraId="1C1D528C" w14:textId="77777777" w:rsidR="00EC3F8F" w:rsidRDefault="00EC3F8F" w:rsidP="001F061C">
      <w:pPr>
        <w:tabs>
          <w:tab w:val="left" w:pos="1080"/>
        </w:tabs>
        <w:jc w:val="both"/>
        <w:rPr>
          <w:rFonts w:ascii="Arial" w:hAnsi="Arial" w:cs="Arial"/>
          <w:b/>
        </w:rPr>
      </w:pPr>
    </w:p>
    <w:p w14:paraId="40DC1E90" w14:textId="22B90906" w:rsidR="001F061C" w:rsidRPr="001F061C" w:rsidRDefault="001F061C" w:rsidP="001F061C">
      <w:pPr>
        <w:tabs>
          <w:tab w:val="left" w:pos="1080"/>
        </w:tabs>
        <w:jc w:val="both"/>
        <w:rPr>
          <w:rFonts w:ascii="Arial" w:hAnsi="Arial" w:cs="Arial"/>
        </w:rPr>
      </w:pPr>
      <w:r w:rsidRPr="001F061C">
        <w:rPr>
          <w:rFonts w:ascii="Arial" w:hAnsi="Arial" w:cs="Arial"/>
          <w:b/>
        </w:rPr>
        <w:t xml:space="preserve">Figure 2: </w:t>
      </w:r>
      <w:r w:rsidRPr="001F061C">
        <w:rPr>
          <w:rFonts w:ascii="Arial" w:hAnsi="Arial" w:cs="Arial"/>
          <w:b/>
          <w:bCs/>
        </w:rPr>
        <w:t>Implementing One Health Approaches</w:t>
      </w:r>
      <w:r w:rsidRPr="001F061C">
        <w:rPr>
          <w:rFonts w:ascii="Arial" w:hAnsi="Arial" w:cs="Arial"/>
          <w:b/>
        </w:rPr>
        <w:t xml:space="preserve"> (World </w:t>
      </w:r>
      <w:r w:rsidRPr="001F061C">
        <w:rPr>
          <w:rFonts w:ascii="Arial" w:hAnsi="Arial" w:cs="Arial"/>
          <w:b/>
          <w:bCs/>
        </w:rPr>
        <w:t xml:space="preserve">Health </w:t>
      </w:r>
      <w:r w:rsidRPr="001F061C">
        <w:rPr>
          <w:rFonts w:ascii="Arial" w:hAnsi="Arial" w:cs="Arial"/>
          <w:b/>
        </w:rPr>
        <w:t>Organization, 2021)</w:t>
      </w:r>
    </w:p>
    <w:p w14:paraId="578D5B45" w14:textId="77777777" w:rsidR="005B2493" w:rsidRPr="005B2493" w:rsidRDefault="005B2493" w:rsidP="005B2493">
      <w:pPr>
        <w:tabs>
          <w:tab w:val="left" w:pos="1080"/>
        </w:tabs>
        <w:jc w:val="both"/>
        <w:rPr>
          <w:rFonts w:ascii="Arial" w:hAnsi="Arial" w:cs="Arial"/>
        </w:rPr>
      </w:pPr>
    </w:p>
    <w:p w14:paraId="64F3418D" w14:textId="77777777" w:rsidR="005B2493" w:rsidRPr="005B2493" w:rsidRDefault="005B2493" w:rsidP="001F061C">
      <w:pPr>
        <w:tabs>
          <w:tab w:val="left" w:pos="1080"/>
          <w:tab w:val="left" w:pos="2340"/>
        </w:tabs>
        <w:jc w:val="both"/>
        <w:rPr>
          <w:rFonts w:ascii="Arial" w:hAnsi="Arial" w:cs="Arial"/>
          <w:b/>
        </w:rPr>
      </w:pPr>
      <w:r w:rsidRPr="005B2493">
        <w:rPr>
          <w:rFonts w:ascii="Arial" w:hAnsi="Arial" w:cs="Arial"/>
          <w:b/>
        </w:rPr>
        <w:t xml:space="preserve">4. </w:t>
      </w:r>
      <w:r w:rsidR="001F061C" w:rsidRPr="005B2493">
        <w:rPr>
          <w:rFonts w:ascii="Arial" w:hAnsi="Arial" w:cs="Arial"/>
          <w:b/>
        </w:rPr>
        <w:t>CHALLENGES AND OPPORTUNITIES IN IMPLEMENTING ONE HEALTH APPROACHES</w:t>
      </w:r>
    </w:p>
    <w:p w14:paraId="6326B61B" w14:textId="77777777" w:rsidR="005B2493" w:rsidRPr="005B2493" w:rsidRDefault="005B2493" w:rsidP="005B2493">
      <w:pPr>
        <w:tabs>
          <w:tab w:val="left" w:pos="1080"/>
        </w:tabs>
        <w:jc w:val="both"/>
        <w:rPr>
          <w:rFonts w:ascii="Arial" w:hAnsi="Arial" w:cs="Arial"/>
        </w:rPr>
      </w:pPr>
    </w:p>
    <w:p w14:paraId="5F251BA0" w14:textId="77777777" w:rsidR="005B2493" w:rsidRPr="005B2493" w:rsidRDefault="005B2493" w:rsidP="005B2493">
      <w:pPr>
        <w:tabs>
          <w:tab w:val="left" w:pos="1080"/>
        </w:tabs>
        <w:jc w:val="both"/>
        <w:rPr>
          <w:rFonts w:ascii="Arial" w:hAnsi="Arial" w:cs="Arial"/>
        </w:rPr>
      </w:pPr>
      <w:r w:rsidRPr="005B2493">
        <w:rPr>
          <w:rFonts w:ascii="Arial" w:hAnsi="Arial" w:cs="Arial"/>
        </w:rPr>
        <w:t>The implementation of One Health strategies for antimicrobial resistance (AMR) surveillance and control faces multiple challenges. While the approach has gained international recognition, especially through WHO, FAO, OIE/WOAH, and UNEP’s quadripartite framework, its translation into practice is uneven across regions. Many low- and middle-income countries (LMICs) face deficits in laboratory infrastructure, trained workforce, and reliable diagnostic systems (</w:t>
      </w:r>
      <w:proofErr w:type="spellStart"/>
      <w:r w:rsidRPr="005B2493">
        <w:rPr>
          <w:rFonts w:ascii="Arial" w:hAnsi="Arial" w:cs="Arial"/>
        </w:rPr>
        <w:t>Lewnard</w:t>
      </w:r>
      <w:proofErr w:type="spellEnd"/>
      <w:r w:rsidRPr="005B2493">
        <w:rPr>
          <w:rFonts w:ascii="Arial" w:hAnsi="Arial" w:cs="Arial"/>
        </w:rPr>
        <w:t xml:space="preserve"> et al., 2024). Clinical and veterinary laboratories often lack standardized antimicrobial susceptibility testing (AST) equipment, while environmental AMR monitoring remains fragmented or absent. This infrastructural gap makes it difficult to generate reliable, comparable data across human, animal, and environmental sectors (Gajic et al., 2022).</w:t>
      </w:r>
    </w:p>
    <w:p w14:paraId="2DA19F98" w14:textId="77777777" w:rsidR="005B2493" w:rsidRPr="005B2493" w:rsidRDefault="005B2493" w:rsidP="005B2493">
      <w:pPr>
        <w:tabs>
          <w:tab w:val="left" w:pos="1080"/>
        </w:tabs>
        <w:jc w:val="both"/>
        <w:rPr>
          <w:rFonts w:ascii="Arial" w:hAnsi="Arial" w:cs="Arial"/>
        </w:rPr>
      </w:pPr>
      <w:r w:rsidRPr="005B2493">
        <w:rPr>
          <w:rFonts w:ascii="Arial" w:hAnsi="Arial" w:cs="Arial"/>
        </w:rPr>
        <w:t>AMR control requires long-term investment and political commitment. However, competing health priorities, limited fiscal space, and governance weaknesses often relegate AMR initiatives to secondary status. Fragmented mandates across ministries (health, agriculture, environment) further complicate coordination, while weak governance reduces accountability for stewardship (</w:t>
      </w:r>
      <w:proofErr w:type="spellStart"/>
      <w:r w:rsidRPr="005B2493">
        <w:rPr>
          <w:rFonts w:ascii="Arial" w:hAnsi="Arial" w:cs="Arial"/>
        </w:rPr>
        <w:t>Shedeed</w:t>
      </w:r>
      <w:proofErr w:type="spellEnd"/>
      <w:r w:rsidRPr="005B2493">
        <w:rPr>
          <w:rFonts w:ascii="Arial" w:hAnsi="Arial" w:cs="Arial"/>
        </w:rPr>
        <w:t>, 2024).</w:t>
      </w:r>
    </w:p>
    <w:p w14:paraId="2C745539" w14:textId="77777777" w:rsidR="005B2493" w:rsidRPr="005B2493" w:rsidRDefault="005B2493" w:rsidP="005B2493">
      <w:pPr>
        <w:tabs>
          <w:tab w:val="left" w:pos="1080"/>
        </w:tabs>
        <w:jc w:val="both"/>
        <w:rPr>
          <w:rFonts w:ascii="Arial" w:hAnsi="Arial" w:cs="Arial"/>
        </w:rPr>
      </w:pPr>
      <w:r w:rsidRPr="005B2493">
        <w:rPr>
          <w:rFonts w:ascii="Arial" w:hAnsi="Arial" w:cs="Arial"/>
        </w:rPr>
        <w:t>Despite increasing investment in surveillance, many systems remain siloed. Human health data may be collected through GLASS, while veterinary and environmental data are tracked separately, often with different methodologies and standards (Doyle et al., 2025). The lack of interoperable platforms undermines the holistic assessment of AMR drivers. Moreover, gaps persist in knowledge about AMR dynamics in wildlife, soil microbiota, and aquaculture domains critical for understanding the full resistance ecology.</w:t>
      </w:r>
      <w:r w:rsidRPr="005B2493">
        <w:rPr>
          <w:rFonts w:ascii="Arial" w:hAnsi="Arial" w:cs="Arial"/>
        </w:rPr>
        <w:cr/>
      </w:r>
    </w:p>
    <w:p w14:paraId="05F63EBB" w14:textId="77777777" w:rsidR="005B2493" w:rsidRDefault="005B2493" w:rsidP="005B2493">
      <w:pPr>
        <w:tabs>
          <w:tab w:val="left" w:pos="1080"/>
        </w:tabs>
        <w:jc w:val="both"/>
        <w:rPr>
          <w:rFonts w:ascii="Arial" w:hAnsi="Arial" w:cs="Arial"/>
        </w:rPr>
      </w:pPr>
      <w:r w:rsidRPr="005B2493">
        <w:rPr>
          <w:rFonts w:ascii="Arial" w:hAnsi="Arial" w:cs="Arial"/>
        </w:rPr>
        <w:t>AMR is also shaped by human behavior. Self-medication, informal sale of antibiotics, and non-adherence to prescriptions remain widespread in many countries. In agricultural communities, antibiotics are often used prophylactically or as growth promoters, sometimes due to limited awareness of resistance risks or inadequate veterinary oversight (Busch et al., 2020). Socio-cultural norms, economic incentives, and farmer perceptions of risk strongly influence these practices (Zalewska et al., 2021).</w:t>
      </w:r>
    </w:p>
    <w:p w14:paraId="52D1494D" w14:textId="77777777" w:rsidR="005B2493" w:rsidRPr="005B2493" w:rsidRDefault="005B2493" w:rsidP="005B2493">
      <w:pPr>
        <w:tabs>
          <w:tab w:val="left" w:pos="1080"/>
        </w:tabs>
        <w:jc w:val="both"/>
        <w:rPr>
          <w:rFonts w:ascii="Arial" w:hAnsi="Arial" w:cs="Arial"/>
        </w:rPr>
      </w:pPr>
    </w:p>
    <w:p w14:paraId="41F5DFBF" w14:textId="77777777" w:rsidR="005B2493" w:rsidRPr="005B2493" w:rsidRDefault="005B2493" w:rsidP="005B2493">
      <w:pPr>
        <w:tabs>
          <w:tab w:val="left" w:pos="1080"/>
        </w:tabs>
        <w:jc w:val="both"/>
        <w:rPr>
          <w:rFonts w:ascii="Arial" w:hAnsi="Arial" w:cs="Arial"/>
          <w:b/>
        </w:rPr>
      </w:pPr>
      <w:r w:rsidRPr="005B2493">
        <w:rPr>
          <w:rFonts w:ascii="Arial" w:hAnsi="Arial" w:cs="Arial"/>
          <w:b/>
        </w:rPr>
        <w:t>4.2 Opportunities and Innovations</w:t>
      </w:r>
    </w:p>
    <w:p w14:paraId="109574E3" w14:textId="77777777" w:rsidR="005B2493" w:rsidRPr="005B2493" w:rsidRDefault="005B2493" w:rsidP="005B2493">
      <w:pPr>
        <w:tabs>
          <w:tab w:val="left" w:pos="1080"/>
        </w:tabs>
        <w:jc w:val="both"/>
        <w:rPr>
          <w:rFonts w:ascii="Arial" w:hAnsi="Arial" w:cs="Arial"/>
        </w:rPr>
      </w:pPr>
      <w:r w:rsidRPr="005B2493">
        <w:rPr>
          <w:rFonts w:ascii="Arial" w:hAnsi="Arial" w:cs="Arial"/>
        </w:rPr>
        <w:t>The declining cost of sequencing technologies has opened new avenues for AMR monitoring. Whole genome sequencing (WGS) and metagenomics allow for high-resolution detection of resistance genes, mobile genetic elements, and clonal lineages across species and environments (</w:t>
      </w:r>
      <w:proofErr w:type="spellStart"/>
      <w:r w:rsidRPr="005B2493">
        <w:rPr>
          <w:rFonts w:ascii="Arial" w:hAnsi="Arial" w:cs="Arial"/>
        </w:rPr>
        <w:t>Collineau</w:t>
      </w:r>
      <w:proofErr w:type="spellEnd"/>
      <w:r w:rsidRPr="005B2493">
        <w:rPr>
          <w:rFonts w:ascii="Arial" w:hAnsi="Arial" w:cs="Arial"/>
        </w:rPr>
        <w:t xml:space="preserve"> et al., 2019). These approaches can capture the “</w:t>
      </w:r>
      <w:proofErr w:type="spellStart"/>
      <w:r w:rsidRPr="005B2493">
        <w:rPr>
          <w:rFonts w:ascii="Arial" w:hAnsi="Arial" w:cs="Arial"/>
        </w:rPr>
        <w:t>resistome</w:t>
      </w:r>
      <w:proofErr w:type="spellEnd"/>
      <w:r w:rsidRPr="005B2493">
        <w:rPr>
          <w:rFonts w:ascii="Arial" w:hAnsi="Arial" w:cs="Arial"/>
        </w:rPr>
        <w:t>,” enabling early identification of emerging threats and clarifying cross-sectoral transmission dynamics.</w:t>
      </w:r>
    </w:p>
    <w:p w14:paraId="50B1DB6A" w14:textId="77777777" w:rsidR="005B2493" w:rsidRPr="005B2493" w:rsidRDefault="005B2493" w:rsidP="005B2493">
      <w:pPr>
        <w:tabs>
          <w:tab w:val="left" w:pos="1080"/>
        </w:tabs>
        <w:jc w:val="both"/>
        <w:rPr>
          <w:rFonts w:ascii="Arial" w:hAnsi="Arial" w:cs="Arial"/>
        </w:rPr>
      </w:pPr>
      <w:r w:rsidRPr="005B2493">
        <w:rPr>
          <w:rFonts w:ascii="Arial" w:hAnsi="Arial" w:cs="Arial"/>
        </w:rPr>
        <w:lastRenderedPageBreak/>
        <w:t xml:space="preserve">Digital platforms capable of aggregating AMR data from clinical, veterinary, and environmental sources can facilitate real-time monitoring and risk prediction. Artificial intelligence (AI) and machine learning algorithms enhance trend forecasting, hotspot identification, and optimization of intervention strategies (Ali et al., 2023). </w:t>
      </w:r>
    </w:p>
    <w:p w14:paraId="523B5F21" w14:textId="77777777" w:rsidR="005B2493" w:rsidRPr="005B2493" w:rsidRDefault="005B2493" w:rsidP="005B2493">
      <w:pPr>
        <w:tabs>
          <w:tab w:val="left" w:pos="1080"/>
        </w:tabs>
        <w:jc w:val="both"/>
        <w:rPr>
          <w:rFonts w:ascii="Arial" w:hAnsi="Arial" w:cs="Arial"/>
        </w:rPr>
      </w:pPr>
      <w:r w:rsidRPr="005B2493">
        <w:rPr>
          <w:rFonts w:ascii="Arial" w:hAnsi="Arial" w:cs="Arial"/>
        </w:rPr>
        <w:t>Wastewater-based epidemiology (WBE) has gained traction as a cost-effective and scalable tool for AMR surveillance, particularly in urban centers. By capturing community-wide excretion of resistance genes and pathogens, WBE provides an early-warning system that complements hospital- and farm-based monitoring. Portable diagnostics and point-of-care molecular tools further extend surveillance reach in resource-limited or rural contexts (Clarke et al., 2024).</w:t>
      </w:r>
    </w:p>
    <w:p w14:paraId="4ABD44DD" w14:textId="77777777" w:rsidR="00863BD3" w:rsidRDefault="005B2493" w:rsidP="005B2493">
      <w:pPr>
        <w:tabs>
          <w:tab w:val="left" w:pos="1080"/>
        </w:tabs>
        <w:jc w:val="both"/>
        <w:rPr>
          <w:rFonts w:ascii="Arial" w:hAnsi="Arial"/>
          <w:b/>
        </w:rPr>
      </w:pPr>
      <w:r w:rsidRPr="005B2493">
        <w:rPr>
          <w:rFonts w:ascii="Arial" w:hAnsi="Arial" w:cs="Arial"/>
        </w:rPr>
        <w:t>Targeted funding streams are helping to address resource constraints. The Fleming Fund supports laboratory strengthening and surveillance capacity in LMICs, while the AMR R&amp;D Hub facilitates innovation pipelines for new therapeutics, diagnostics, and preventive measures (Wasan et al., 2023). These mechanisms, coupled with bilateral aid and philanthropic initiatives, present opportunities to close financial and technological gaps in One Health AMR strategies.</w:t>
      </w:r>
    </w:p>
    <w:p w14:paraId="5A079DE3" w14:textId="77777777" w:rsidR="00863BD3" w:rsidRPr="00DC3180" w:rsidRDefault="00863BD3" w:rsidP="00441B6F">
      <w:pPr>
        <w:tabs>
          <w:tab w:val="left" w:pos="1080"/>
        </w:tabs>
        <w:jc w:val="both"/>
        <w:rPr>
          <w:rFonts w:ascii="Arial" w:hAnsi="Arial"/>
          <w:b/>
        </w:rPr>
      </w:pPr>
    </w:p>
    <w:p w14:paraId="7140F1DE" w14:textId="77777777" w:rsidR="00376BBE" w:rsidRDefault="00376BBE" w:rsidP="00441B6F">
      <w:pPr>
        <w:pStyle w:val="Body"/>
        <w:spacing w:after="0"/>
        <w:rPr>
          <w:rFonts w:ascii="Arial" w:hAnsi="Arial" w:cs="Arial"/>
        </w:rPr>
      </w:pPr>
    </w:p>
    <w:p w14:paraId="638BBAC5" w14:textId="77777777" w:rsidR="001F061C" w:rsidRDefault="001F061C" w:rsidP="001F061C">
      <w:pPr>
        <w:pStyle w:val="ConcHead"/>
        <w:spacing w:after="0"/>
        <w:jc w:val="both"/>
        <w:rPr>
          <w:rFonts w:ascii="Arial" w:hAnsi="Arial" w:cs="Arial"/>
          <w:caps w:val="0"/>
          <w:szCs w:val="22"/>
        </w:rPr>
      </w:pPr>
      <w:r w:rsidRPr="001F061C">
        <w:rPr>
          <w:rFonts w:ascii="Arial" w:hAnsi="Arial" w:cs="Arial"/>
          <w:caps w:val="0"/>
          <w:sz w:val="20"/>
        </w:rPr>
        <w:t xml:space="preserve">5. </w:t>
      </w:r>
      <w:r w:rsidRPr="001F061C">
        <w:rPr>
          <w:rFonts w:ascii="Arial" w:hAnsi="Arial" w:cs="Arial"/>
          <w:caps w:val="0"/>
          <w:szCs w:val="22"/>
        </w:rPr>
        <w:t>FUTURE DIRECTIONS AND CONCLUSION</w:t>
      </w:r>
    </w:p>
    <w:p w14:paraId="028911C7" w14:textId="77777777" w:rsidR="001F061C" w:rsidRPr="001F061C" w:rsidRDefault="001F061C" w:rsidP="001F061C">
      <w:pPr>
        <w:pStyle w:val="ConcHead"/>
        <w:spacing w:after="0"/>
        <w:jc w:val="both"/>
        <w:rPr>
          <w:rFonts w:ascii="Arial" w:hAnsi="Arial" w:cs="Arial"/>
          <w:szCs w:val="22"/>
        </w:rPr>
      </w:pPr>
    </w:p>
    <w:p w14:paraId="5F7BBC95"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The successful mainstreaming of One Health into AMR surveillance requires a deliberate roadmap that moves beyond conceptual alignment toward actionable strategies.</w:t>
      </w:r>
    </w:p>
    <w:p w14:paraId="28FE904D"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It is necessary to develop interdisciplinary expertise that cuts across human health, veterinary medicine, and environmental sciences are crucial. This includes strengthening laboratory capacity, epidemiological skills, and informatics proficiency in both high-income and low- to middle-income countries. Also, harmonizing antimicrobial stewardship programs across human and animal sectors is vital. This involves aligning prescription regulations, veterinary drug use policies, and monitoring frameworks to ensure coherence and accountability. Grassroots participation is central to changing antibiotic use behaviors. Farmers, clinicians, pharmacists, and community leaders must be integrated into education campaigns and participatory decision-making processes. Sustainable use of innovations such as rapid diagnostics, wastewater monitoring, and genomic surveillance will require investment in digital infrastructure, interoperability standards, and low-cost deployment models.</w:t>
      </w:r>
    </w:p>
    <w:p w14:paraId="48F2A13B"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Role of International Cooperation and Governance in the global nature of AMR demands a multilateral approach. Building on existing platforms such as the WHO’s GLASS, FAO, WOAH, and UNEP Quadripartite initiatives, international actors must move toward binding commitments. Proposals for a global AMR treaty highlight the need for enforceable mechanisms to standardize reporting, fund surveillance, and prevent antimicrobial misuse across borders. Lessons from climate treaties suggest that a mix of global targets, national action plans, and financing instruments will be necessary to drive compliance and sustain progress.</w:t>
      </w:r>
    </w:p>
    <w:p w14:paraId="1F20244F" w14:textId="77777777" w:rsidR="001F061C" w:rsidRPr="001F061C" w:rsidRDefault="001F061C" w:rsidP="001F061C">
      <w:pPr>
        <w:pStyle w:val="AcknHead"/>
        <w:jc w:val="both"/>
        <w:rPr>
          <w:rFonts w:ascii="Arial" w:hAnsi="Arial" w:cs="Arial"/>
          <w:caps w:val="0"/>
          <w:sz w:val="20"/>
        </w:rPr>
      </w:pPr>
      <w:r w:rsidRPr="001F061C">
        <w:rPr>
          <w:rFonts w:ascii="Arial" w:hAnsi="Arial" w:cs="Arial"/>
          <w:caps w:val="0"/>
          <w:sz w:val="20"/>
        </w:rPr>
        <w:t>5.2 Conclusion</w:t>
      </w:r>
    </w:p>
    <w:p w14:paraId="2F1DB64E" w14:textId="77777777" w:rsidR="001F061C" w:rsidRPr="001F061C" w:rsidRDefault="001F061C" w:rsidP="001F061C">
      <w:pPr>
        <w:pStyle w:val="AcknHead"/>
        <w:jc w:val="both"/>
        <w:rPr>
          <w:rFonts w:ascii="Arial" w:hAnsi="Arial" w:cs="Arial"/>
          <w:b w:val="0"/>
          <w:caps w:val="0"/>
          <w:sz w:val="20"/>
        </w:rPr>
      </w:pPr>
      <w:r w:rsidRPr="001F061C">
        <w:rPr>
          <w:rFonts w:ascii="Arial" w:hAnsi="Arial" w:cs="Arial"/>
          <w:b w:val="0"/>
          <w:caps w:val="0"/>
          <w:sz w:val="20"/>
        </w:rPr>
        <w:t xml:space="preserve">Antimicrobial resistance continues to evolve as one of the most urgent global health crises of the 21st century, undermining decades of medical and agricultural </w:t>
      </w:r>
      <w:proofErr w:type="gramStart"/>
      <w:r w:rsidRPr="001F061C">
        <w:rPr>
          <w:rFonts w:ascii="Arial" w:hAnsi="Arial" w:cs="Arial"/>
          <w:b w:val="0"/>
          <w:caps w:val="0"/>
          <w:sz w:val="20"/>
        </w:rPr>
        <w:t>advances(</w:t>
      </w:r>
      <w:proofErr w:type="gramEnd"/>
      <w:r w:rsidRPr="001F061C">
        <w:rPr>
          <w:rFonts w:ascii="Arial" w:hAnsi="Arial" w:cs="Arial"/>
          <w:b w:val="0"/>
          <w:caps w:val="0"/>
          <w:sz w:val="20"/>
        </w:rPr>
        <w:t>Salam et al., 2023). The evidence reviewed underscores that siloed strategies are insufficient; instead, a unified One Health approach that bridges human, animal, and environmental health systems is essential. Case studies from diverse regions illustrate that while challenges persist; ranging from governance gaps to limited infrastructure including innovations in genomics, digital platforms, and community engagement offer a promising path forward.</w:t>
      </w:r>
    </w:p>
    <w:p w14:paraId="21E78C61" w14:textId="77777777" w:rsidR="001F061C" w:rsidRDefault="001F061C" w:rsidP="001F061C">
      <w:pPr>
        <w:pStyle w:val="AcknHead"/>
        <w:spacing w:after="0"/>
        <w:jc w:val="both"/>
        <w:rPr>
          <w:rFonts w:ascii="Arial" w:hAnsi="Arial" w:cs="Arial"/>
          <w:b w:val="0"/>
          <w:caps w:val="0"/>
          <w:sz w:val="20"/>
        </w:rPr>
      </w:pPr>
      <w:r w:rsidRPr="001F061C">
        <w:rPr>
          <w:rFonts w:ascii="Arial" w:hAnsi="Arial" w:cs="Arial"/>
          <w:b w:val="0"/>
          <w:caps w:val="0"/>
          <w:sz w:val="20"/>
        </w:rPr>
        <w:t>Ultimately, reaffirming One Health as the cornerstone of AMR surveillance and control requires global solidarity, sustained funding, and collective accountability. The call to action is clear, and it is to operationalize integration, scale innovations, and establish binding commitments that ensure antimicrobial stewardship remains a shared responsibility across all sectors.</w:t>
      </w:r>
    </w:p>
    <w:p w14:paraId="4B012800" w14:textId="77777777" w:rsidR="00315186" w:rsidRPr="00315186" w:rsidRDefault="00315186" w:rsidP="00441B6F"/>
    <w:p w14:paraId="06685BC6" w14:textId="77777777" w:rsidR="00315186" w:rsidRPr="00315186" w:rsidRDefault="00315186" w:rsidP="00441B6F"/>
    <w:p w14:paraId="02CE63E7" w14:textId="77777777" w:rsidR="00934BAC" w:rsidRDefault="00934BAC" w:rsidP="00441B6F">
      <w:pPr>
        <w:pStyle w:val="ReferHead"/>
        <w:spacing w:after="0"/>
        <w:jc w:val="both"/>
        <w:rPr>
          <w:rFonts w:ascii="Arial" w:hAnsi="Arial" w:cs="Arial"/>
          <w:b w:val="0"/>
          <w:caps w:val="0"/>
          <w:sz w:val="20"/>
        </w:rPr>
      </w:pPr>
    </w:p>
    <w:p w14:paraId="7A19E482" w14:textId="77777777" w:rsidR="00934BAC" w:rsidRPr="00934BAC" w:rsidRDefault="00934BAC" w:rsidP="00934BAC">
      <w:pPr>
        <w:spacing w:after="200" w:line="276" w:lineRule="auto"/>
        <w:jc w:val="both"/>
        <w:outlineLvl w:val="0"/>
        <w:rPr>
          <w:rFonts w:ascii="Arial" w:eastAsiaTheme="minorEastAsia" w:hAnsi="Arial" w:cs="Arial"/>
          <w:sz w:val="22"/>
          <w:szCs w:val="22"/>
          <w:lang w:val="en-GB" w:eastAsia="en-GB"/>
        </w:rPr>
      </w:pPr>
      <w:r w:rsidRPr="00934BAC">
        <w:rPr>
          <w:rFonts w:ascii="Arial" w:eastAsiaTheme="minorEastAsia" w:hAnsi="Arial" w:cs="Arial"/>
          <w:b/>
          <w:bCs/>
          <w:sz w:val="22"/>
          <w:szCs w:val="22"/>
          <w:lang w:val="en-GB" w:eastAsia="en-GB"/>
        </w:rPr>
        <w:t>COMPETING INTERESTS DISCLAIMER:</w:t>
      </w:r>
    </w:p>
    <w:p w14:paraId="4E60452A" w14:textId="77777777" w:rsidR="00934BAC" w:rsidRPr="00934BAC" w:rsidRDefault="00934BAC" w:rsidP="00934BAC">
      <w:pPr>
        <w:spacing w:after="200" w:line="276" w:lineRule="auto"/>
        <w:rPr>
          <w:rFonts w:asciiTheme="minorHAnsi" w:eastAsiaTheme="minorEastAsia" w:hAnsiTheme="minorHAnsi" w:cstheme="minorBidi"/>
          <w:sz w:val="22"/>
          <w:szCs w:val="22"/>
          <w:lang w:val="en-GB" w:eastAsia="en-GB"/>
        </w:rPr>
      </w:pPr>
      <w:r w:rsidRPr="00934BA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E4A3280" w14:textId="77777777" w:rsidR="00934BAC" w:rsidRPr="00934BAC" w:rsidRDefault="00934BAC" w:rsidP="00934BAC">
      <w:pPr>
        <w:spacing w:after="200" w:line="276" w:lineRule="auto"/>
        <w:rPr>
          <w:rFonts w:asciiTheme="minorHAnsi" w:eastAsiaTheme="minorEastAsia" w:hAnsiTheme="minorHAnsi" w:cstheme="minorBidi"/>
          <w:sz w:val="22"/>
          <w:szCs w:val="22"/>
          <w:lang w:val="en-GB" w:eastAsia="en-GB"/>
        </w:rPr>
      </w:pPr>
    </w:p>
    <w:p w14:paraId="5F8034F6" w14:textId="77777777" w:rsidR="00934BAC" w:rsidRPr="00934BAC" w:rsidRDefault="00934BAC" w:rsidP="00934BAC">
      <w:pPr>
        <w:spacing w:after="200" w:line="276" w:lineRule="auto"/>
        <w:rPr>
          <w:rFonts w:asciiTheme="minorHAnsi" w:eastAsiaTheme="minorEastAsia" w:hAnsiTheme="minorHAnsi" w:cstheme="minorBidi"/>
          <w:sz w:val="22"/>
          <w:szCs w:val="22"/>
          <w:lang w:val="en-GB" w:eastAsia="en-GB"/>
        </w:rPr>
      </w:pPr>
    </w:p>
    <w:p w14:paraId="49DC3D5F" w14:textId="77777777" w:rsidR="00934BAC" w:rsidRPr="001F061C" w:rsidRDefault="00934BAC" w:rsidP="00441B6F">
      <w:pPr>
        <w:pStyle w:val="ReferHead"/>
        <w:spacing w:after="0"/>
        <w:jc w:val="both"/>
        <w:rPr>
          <w:rFonts w:ascii="Arial" w:hAnsi="Arial" w:cs="Arial"/>
          <w:b w:val="0"/>
          <w:caps w:val="0"/>
          <w:sz w:val="20"/>
        </w:rPr>
      </w:pPr>
    </w:p>
    <w:p w14:paraId="10658B57" w14:textId="77777777" w:rsidR="00860000" w:rsidRDefault="00860000" w:rsidP="00441B6F">
      <w:pPr>
        <w:pStyle w:val="ReferHead"/>
        <w:spacing w:after="0"/>
        <w:jc w:val="both"/>
        <w:rPr>
          <w:rFonts w:ascii="Arial" w:hAnsi="Arial" w:cs="Arial"/>
        </w:rPr>
      </w:pPr>
    </w:p>
    <w:p w14:paraId="229F41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A579BB" w14:textId="77777777" w:rsidR="005B2493" w:rsidRDefault="005B2493" w:rsidP="005B2493">
      <w:pPr>
        <w:pStyle w:val="Body"/>
      </w:pPr>
      <w:r>
        <w:t>A. Baran et al. "Antibiotics and Bacterial Resistance—A Short Story of an Endless Arms Race." International Journal of Molecular Sciences, 24 (2023). https://doi.org/10.3390/ijms24065777.</w:t>
      </w:r>
    </w:p>
    <w:p w14:paraId="313BD646" w14:textId="77777777" w:rsidR="005B2493" w:rsidRDefault="005B2493" w:rsidP="005B2493">
      <w:pPr>
        <w:pStyle w:val="Body"/>
      </w:pPr>
      <w:r>
        <w:t xml:space="preserve">Ahmad, I., Malak, H., &amp; </w:t>
      </w:r>
      <w:proofErr w:type="spellStart"/>
      <w:r>
        <w:t>Abulreesh</w:t>
      </w:r>
      <w:proofErr w:type="spellEnd"/>
      <w:r>
        <w:t xml:space="preserve">, H. (2021). Environmental antimicrobial resistance and its drivers: A potential threat to public </w:t>
      </w:r>
      <w:proofErr w:type="gramStart"/>
      <w:r>
        <w:t>health..</w:t>
      </w:r>
      <w:proofErr w:type="gramEnd"/>
      <w:r>
        <w:t xml:space="preserve"> Journal of global antimicrobial resistance. https://doi.org/10.1016/j.jgar.2021.08.001.</w:t>
      </w:r>
    </w:p>
    <w:p w14:paraId="5F97FF03" w14:textId="77777777" w:rsidR="005B2493" w:rsidRDefault="005B2493" w:rsidP="005B2493">
      <w:pPr>
        <w:pStyle w:val="Body"/>
      </w:pPr>
      <w:r>
        <w:t xml:space="preserve">Ajulo, S., &amp; </w:t>
      </w:r>
      <w:proofErr w:type="spellStart"/>
      <w:r>
        <w:t>Awosile</w:t>
      </w:r>
      <w:proofErr w:type="spellEnd"/>
      <w:r>
        <w:t xml:space="preserve">, B. (2024). Global antimicrobial resistance and use surveillance system (GLASS 2022): Investigating the relationship between antimicrobial resistance and antimicrobial consumption data across the participating countries. </w:t>
      </w:r>
      <w:proofErr w:type="spellStart"/>
      <w:r>
        <w:t>PLoS</w:t>
      </w:r>
      <w:proofErr w:type="spellEnd"/>
      <w:r>
        <w:t xml:space="preserve"> One, 19(2), e0297921.</w:t>
      </w:r>
    </w:p>
    <w:p w14:paraId="651F1025" w14:textId="77777777" w:rsidR="005B2493" w:rsidRDefault="005B2493" w:rsidP="005B2493">
      <w:pPr>
        <w:pStyle w:val="Body"/>
      </w:pPr>
      <w:r>
        <w:t>Ali, T., Ahmed, S., &amp; Aslam, M. (2023). Artificial Intelligence for Antimicrobial Resistance Prediction: Challenges and Opportunities towards Practical Implementation. Antibiotics, 12. https://doi.org/10.3390/antibiotics12030523.</w:t>
      </w:r>
    </w:p>
    <w:p w14:paraId="73BB5785" w14:textId="77777777" w:rsidR="005B2493" w:rsidRDefault="005B2493" w:rsidP="005B2493">
      <w:pPr>
        <w:pStyle w:val="Body"/>
      </w:pPr>
      <w:r>
        <w:t xml:space="preserve">Arnold, K., Laing, G., McMahon, B., Fanning, S., Stekel, D., Pahl, O., Coyne, L., Latham, S., &amp; McIntyre, K. (2024). The need for One Health systems-thinking approaches to understand multiscale dissemination of antimicrobial </w:t>
      </w:r>
      <w:proofErr w:type="gramStart"/>
      <w:r>
        <w:t>resistance..</w:t>
      </w:r>
      <w:proofErr w:type="gramEnd"/>
      <w:r>
        <w:t xml:space="preserve"> The Lancet. Planetary health, 8 2, e124-e</w:t>
      </w:r>
      <w:proofErr w:type="gramStart"/>
      <w:r>
        <w:t>133 .</w:t>
      </w:r>
      <w:proofErr w:type="gramEnd"/>
      <w:r>
        <w:t xml:space="preserve"> https://doi.org/10.1016/s2542-5196(23)00278-4.</w:t>
      </w:r>
    </w:p>
    <w:p w14:paraId="751981B9" w14:textId="77777777" w:rsidR="005B2493" w:rsidRDefault="005B2493" w:rsidP="005B2493">
      <w:pPr>
        <w:pStyle w:val="Body"/>
      </w:pPr>
      <w:proofErr w:type="spellStart"/>
      <w:r>
        <w:t>Bondad-Reantaso</w:t>
      </w:r>
      <w:proofErr w:type="spellEnd"/>
      <w:r>
        <w:t xml:space="preserve">, M. G., </w:t>
      </w:r>
      <w:proofErr w:type="spellStart"/>
      <w:r>
        <w:t>Lavilla-Pitogo</w:t>
      </w:r>
      <w:proofErr w:type="spellEnd"/>
      <w:r>
        <w:t xml:space="preserve">, C. R., </w:t>
      </w:r>
      <w:proofErr w:type="spellStart"/>
      <w:r>
        <w:t>Karunasagar</w:t>
      </w:r>
      <w:proofErr w:type="spellEnd"/>
      <w:r>
        <w:t xml:space="preserve">, I., Arthur, J. R., Hao, B., </w:t>
      </w:r>
      <w:proofErr w:type="spellStart"/>
      <w:r>
        <w:t>Irde</w:t>
      </w:r>
      <w:proofErr w:type="spellEnd"/>
      <w:r>
        <w:t xml:space="preserve">, E., ... &amp; </w:t>
      </w:r>
      <w:proofErr w:type="spellStart"/>
      <w:r>
        <w:t>Peñarubia</w:t>
      </w:r>
      <w:proofErr w:type="spellEnd"/>
      <w:r>
        <w:t>, O. R. (2020). Outputs and activities of FAO Project FMM/RAS/298/MUL on antimicrobial resistance in fisheries and summary of FAO’s recent work on antimicrobial resistance in aquaculture.</w:t>
      </w:r>
    </w:p>
    <w:p w14:paraId="6E929283" w14:textId="77777777" w:rsidR="005B2493" w:rsidRDefault="005B2493" w:rsidP="005B2493">
      <w:pPr>
        <w:pStyle w:val="Body"/>
      </w:pPr>
      <w:r>
        <w:t>Busch, G., Kassas, B., Palma, M., &amp; Risius, A. (2020). Perceptions of antibiotic use in livestock farming in Germany, Italy and the United States. Livestock Science, 241, 104251. https://doi.org/10.1016/J.LIVSCI.2020.104251.</w:t>
      </w:r>
    </w:p>
    <w:p w14:paraId="080B929F" w14:textId="77777777" w:rsidR="005B2493" w:rsidRDefault="005B2493" w:rsidP="005B2493">
      <w:pPr>
        <w:pStyle w:val="Body"/>
      </w:pPr>
      <w:r>
        <w:t>Clarke, L. M., O’Brien, J. W., Murray, A. K., Gaze, W. H., &amp; Thomas, K. V. (2024). A review of wastewater-based epidemiology for antimicrobial resistance surveillance. J. Environ. Expo. Assess, 3(7).</w:t>
      </w:r>
    </w:p>
    <w:p w14:paraId="3F0487F2" w14:textId="77777777" w:rsidR="005B2493" w:rsidRDefault="005B2493" w:rsidP="005B2493">
      <w:pPr>
        <w:pStyle w:val="Body"/>
      </w:pPr>
      <w:proofErr w:type="spellStart"/>
      <w:r>
        <w:t>Collineau</w:t>
      </w:r>
      <w:proofErr w:type="spellEnd"/>
      <w:r>
        <w:t xml:space="preserve">, L., </w:t>
      </w:r>
      <w:proofErr w:type="spellStart"/>
      <w:r>
        <w:t>Boerlin</w:t>
      </w:r>
      <w:proofErr w:type="spellEnd"/>
      <w:r>
        <w:t xml:space="preserve">, P., Carson, C., Chapman, B., Chapman, B., Fazil, A., Hetman, B., Hetman, B., McEwen, S., Parmley, E., Reid-Smith, R., Reid-Smith, R., Taboada, E., &amp; Smith, B. (2019). Integrating Whole-Genome Sequencing Data </w:t>
      </w:r>
      <w:proofErr w:type="gramStart"/>
      <w:r>
        <w:t>Into</w:t>
      </w:r>
      <w:proofErr w:type="gramEnd"/>
      <w:r>
        <w:t xml:space="preserve"> Quantitative Risk Assessment of Foodborne Antimicrobial Resistance: A Review of Opportunities and Challenges. Frontiers in Microbiology, 10. https://doi.org/10.3389/fmicb.2019.01107.</w:t>
      </w:r>
    </w:p>
    <w:p w14:paraId="2BE032DF" w14:textId="77777777" w:rsidR="005B2493" w:rsidRDefault="005B2493" w:rsidP="005B2493">
      <w:pPr>
        <w:pStyle w:val="Body"/>
      </w:pPr>
      <w:r>
        <w:t>Donkor, E. S., Odoom, A., Osman, A. H., Darkwah, S., &amp; Kotey, F. C. (2024). A systematic review on antimicrobial resistance in Ghana from a One Health perspective. Antibiotics, 13(7), 662.</w:t>
      </w:r>
    </w:p>
    <w:p w14:paraId="530C5453" w14:textId="77777777" w:rsidR="005B2493" w:rsidRDefault="005B2493" w:rsidP="005B2493">
      <w:pPr>
        <w:pStyle w:val="Body"/>
      </w:pPr>
      <w:r>
        <w:t>Doyle, C., Wall, K., Fanning, S., &amp; McMahon, B. J. (2025). Making sense of sentinels: wildlife as the One Health bridge for environmental antimicrobial resistance surveillance. Journal of Applied Microbiology, 136(1), lxaf017.</w:t>
      </w:r>
    </w:p>
    <w:p w14:paraId="1B0BE0A7" w14:textId="77777777" w:rsidR="005B2493" w:rsidRDefault="005B2493" w:rsidP="005B2493">
      <w:pPr>
        <w:pStyle w:val="Body"/>
      </w:pPr>
      <w:proofErr w:type="spellStart"/>
      <w:r>
        <w:t>Fastl</w:t>
      </w:r>
      <w:proofErr w:type="spellEnd"/>
      <w:r>
        <w:t xml:space="preserve">, C., Ferreira, H. C. D. C., Martins, S. B., Afonso, J. S., Di Bari, C., Venkateswaran, N., ... &amp; </w:t>
      </w:r>
      <w:proofErr w:type="spellStart"/>
      <w:r>
        <w:t>Devleesschauwer</w:t>
      </w:r>
      <w:proofErr w:type="spellEnd"/>
      <w:r>
        <w:t>, B. (2023). Animal sources of antimicrobial-resistant bacterial infections in humans: a systematic review. Epidemiology &amp; Infection, 151, e143.</w:t>
      </w:r>
    </w:p>
    <w:p w14:paraId="31B61ABF" w14:textId="77777777" w:rsidR="005B2493" w:rsidRDefault="005B2493" w:rsidP="005B2493">
      <w:pPr>
        <w:pStyle w:val="Body"/>
      </w:pPr>
      <w:proofErr w:type="spellStart"/>
      <w:r>
        <w:t>Frascaroli</w:t>
      </w:r>
      <w:proofErr w:type="spellEnd"/>
      <w:r>
        <w:t>, G., Reid, D., Hunter, C., Roberts, J., Helwig, K., Spencer, J., &amp; Escudero, A. (2021). Pharmaceuticals in wastewater treatment plants: A systematic review on the substances of greatest concern responsible for the development of antimicrobial resistance. Applied sciences, 11(15), 6670.</w:t>
      </w:r>
    </w:p>
    <w:p w14:paraId="322CCE14" w14:textId="77777777" w:rsidR="005B2493" w:rsidRDefault="005B2493" w:rsidP="005B2493">
      <w:pPr>
        <w:pStyle w:val="Body"/>
      </w:pPr>
      <w:r>
        <w:t xml:space="preserve">Gajic, I., Kabic, J., Kekic, D., </w:t>
      </w:r>
      <w:proofErr w:type="spellStart"/>
      <w:r>
        <w:t>Jovicevic</w:t>
      </w:r>
      <w:proofErr w:type="spellEnd"/>
      <w:r>
        <w:t xml:space="preserve">, M., Milenkovic, M., </w:t>
      </w:r>
      <w:proofErr w:type="spellStart"/>
      <w:r>
        <w:t>Mitic</w:t>
      </w:r>
      <w:proofErr w:type="spellEnd"/>
      <w:r>
        <w:t xml:space="preserve"> </w:t>
      </w:r>
      <w:proofErr w:type="spellStart"/>
      <w:r>
        <w:t>Culafic</w:t>
      </w:r>
      <w:proofErr w:type="spellEnd"/>
      <w:r>
        <w:t xml:space="preserve">, D., ... &amp; </w:t>
      </w:r>
      <w:proofErr w:type="spellStart"/>
      <w:r>
        <w:t>Opavski</w:t>
      </w:r>
      <w:proofErr w:type="spellEnd"/>
      <w:r>
        <w:t>, N. (2022). Antimicrobial susceptibility testing: a comprehensive review of currently used methods. Antibiotics, 11(4), 427.</w:t>
      </w:r>
    </w:p>
    <w:p w14:paraId="7BEAB40C" w14:textId="77777777" w:rsidR="005B2493" w:rsidRDefault="005B2493" w:rsidP="005B2493">
      <w:pPr>
        <w:pStyle w:val="Body"/>
      </w:pPr>
      <w:r>
        <w:t xml:space="preserve">Girma, A., </w:t>
      </w:r>
      <w:proofErr w:type="spellStart"/>
      <w:r>
        <w:t>Alamnie</w:t>
      </w:r>
      <w:proofErr w:type="spellEnd"/>
      <w:r>
        <w:t xml:space="preserve">, G., Bekele, T., </w:t>
      </w:r>
      <w:proofErr w:type="spellStart"/>
      <w:r>
        <w:t>Mebratie</w:t>
      </w:r>
      <w:proofErr w:type="spellEnd"/>
      <w:r>
        <w:t xml:space="preserve">, G., </w:t>
      </w:r>
      <w:proofErr w:type="spellStart"/>
      <w:r>
        <w:t>Mekuye</w:t>
      </w:r>
      <w:proofErr w:type="spellEnd"/>
      <w:r>
        <w:t xml:space="preserve">, B., Abera, B., </w:t>
      </w:r>
      <w:proofErr w:type="spellStart"/>
      <w:r>
        <w:t>Workineh</w:t>
      </w:r>
      <w:proofErr w:type="spellEnd"/>
      <w:r>
        <w:t xml:space="preserve">, D., Tabor, A., &amp; </w:t>
      </w:r>
      <w:proofErr w:type="spellStart"/>
      <w:r>
        <w:t>Jufar</w:t>
      </w:r>
      <w:proofErr w:type="spellEnd"/>
      <w:r>
        <w:t>, D. (2024). Green-</w:t>
      </w:r>
      <w:proofErr w:type="spellStart"/>
      <w:r>
        <w:t>synthesised</w:t>
      </w:r>
      <w:proofErr w:type="spellEnd"/>
      <w:r>
        <w:t xml:space="preserve"> silver nanoparticles: antibacterial activity and alternative mechanisms of action to combat multidrug-resistant bacterial pathogens: a systematic literature review. Green Chemistry Letters and Reviews, 17. https://doi.org/10.1080/17518253.2024.2412601.</w:t>
      </w:r>
    </w:p>
    <w:p w14:paraId="760A27F1" w14:textId="77777777" w:rsidR="005B2493" w:rsidRDefault="005B2493" w:rsidP="005B2493">
      <w:pPr>
        <w:pStyle w:val="Body"/>
      </w:pPr>
      <w:r>
        <w:t xml:space="preserve">Gruetzmacher, K., Karesh, W., </w:t>
      </w:r>
      <w:proofErr w:type="spellStart"/>
      <w:r>
        <w:t>Amuasi</w:t>
      </w:r>
      <w:proofErr w:type="spellEnd"/>
      <w:r>
        <w:t xml:space="preserve">, J., Arshad, A., Farlow, A., Gabrysch, S., </w:t>
      </w:r>
      <w:proofErr w:type="spellStart"/>
      <w:r>
        <w:t>Jetzkowitz</w:t>
      </w:r>
      <w:proofErr w:type="spellEnd"/>
      <w:r>
        <w:t>, J., Lieberman, S., Palmer, C., Winkler, A., &amp; Walzer, C. (2020). The Berlin principles on one health – Bridging global health and conservation. The Science of the Total Environment, 764, 142919 - 142919. https://doi.org/10.1016/j.scitotenv.2020.142919.</w:t>
      </w:r>
    </w:p>
    <w:p w14:paraId="7EAB44DA" w14:textId="77777777" w:rsidR="005B2493" w:rsidRDefault="005B2493" w:rsidP="005B2493">
      <w:pPr>
        <w:pStyle w:val="Body"/>
      </w:pPr>
      <w:r>
        <w:lastRenderedPageBreak/>
        <w:t xml:space="preserve">Hillock, N., Merlin, T., Turnidge, J., &amp; </w:t>
      </w:r>
      <w:proofErr w:type="spellStart"/>
      <w:r>
        <w:t>Karnon</w:t>
      </w:r>
      <w:proofErr w:type="spellEnd"/>
      <w:r>
        <w:t>, J. (2022). Modelling the Future Clinical and Economic Burden of Antimicrobial Resistance: The Feasibility and Value of Models to Inform Policy. Applied Health Economics and Health Policy, 20, 479 - 486. https://doi.org/10.1007/s40258-022-00728-x.</w:t>
      </w:r>
    </w:p>
    <w:p w14:paraId="0B7D6C97" w14:textId="77777777" w:rsidR="005B2493" w:rsidRDefault="005B2493" w:rsidP="005B2493">
      <w:pPr>
        <w:pStyle w:val="Body"/>
      </w:pPr>
      <w:proofErr w:type="spellStart"/>
      <w:r>
        <w:t>Höcketstaller</w:t>
      </w:r>
      <w:proofErr w:type="spellEnd"/>
      <w:r>
        <w:t>, K., Marti, I. A., Bank, C., Yilmaz, B., &amp; Becker, J. (2025). Antimicrobial resistance in wildlife: Associations with environmental factors and taxonomic variation. Environmental Research, 281, 121968.</w:t>
      </w:r>
    </w:p>
    <w:p w14:paraId="65BB870A" w14:textId="77777777" w:rsidR="005B2493" w:rsidRDefault="005B2493" w:rsidP="005B2493">
      <w:pPr>
        <w:pStyle w:val="Body"/>
      </w:pPr>
      <w:r>
        <w:t xml:space="preserve">Hope, M., Kiggundu, R., </w:t>
      </w:r>
      <w:proofErr w:type="spellStart"/>
      <w:r>
        <w:t>Tabajjwa</w:t>
      </w:r>
      <w:proofErr w:type="spellEnd"/>
      <w:r>
        <w:t xml:space="preserve">, D., Tumwine, C., </w:t>
      </w:r>
      <w:proofErr w:type="spellStart"/>
      <w:r>
        <w:t>Lwigale</w:t>
      </w:r>
      <w:proofErr w:type="spellEnd"/>
      <w:r>
        <w:t xml:space="preserve">, F., </w:t>
      </w:r>
      <w:proofErr w:type="spellStart"/>
      <w:r>
        <w:t>Mwanja</w:t>
      </w:r>
      <w:proofErr w:type="spellEnd"/>
      <w:r>
        <w:t xml:space="preserve">, H., ... &amp; </w:t>
      </w:r>
      <w:proofErr w:type="spellStart"/>
      <w:r>
        <w:t>Kambugu</w:t>
      </w:r>
      <w:proofErr w:type="spellEnd"/>
      <w:r>
        <w:t xml:space="preserve">, A. (2024). Progress on implementing the WHO-GLASS recommendations on priority pathogen-antibiotic sensitivity testing in Africa: A scoping review. </w:t>
      </w:r>
      <w:proofErr w:type="spellStart"/>
      <w:r>
        <w:t>Wellcome</w:t>
      </w:r>
      <w:proofErr w:type="spellEnd"/>
      <w:r>
        <w:t xml:space="preserve"> open research, 9, 692.</w:t>
      </w:r>
    </w:p>
    <w:p w14:paraId="66386E96" w14:textId="77777777" w:rsidR="005B2493" w:rsidRDefault="005B2493" w:rsidP="005B2493">
      <w:pPr>
        <w:pStyle w:val="Body"/>
      </w:pPr>
      <w:r>
        <w:t xml:space="preserve">Jernigan, J., Hatfield, K., Wolford, H., Nelson, R., </w:t>
      </w:r>
      <w:proofErr w:type="spellStart"/>
      <w:r>
        <w:t>Olubajo</w:t>
      </w:r>
      <w:proofErr w:type="spellEnd"/>
      <w:r>
        <w:t>, B., Reddy, S., McCarthy, N., Paul, P., McDonald, L., Kallen, A., Fiore, A., Craig, M., &amp; Baggs, J. (2020). Multidrug-Resistant Bacterial Infections in U.S. Hospitalized Patients, 2012-</w:t>
      </w:r>
      <w:proofErr w:type="gramStart"/>
      <w:r>
        <w:t>2017..</w:t>
      </w:r>
      <w:proofErr w:type="gramEnd"/>
      <w:r>
        <w:t xml:space="preserve"> The New England journal of medicine, 382 14, 1309-</w:t>
      </w:r>
      <w:proofErr w:type="gramStart"/>
      <w:r>
        <w:t>1319 .</w:t>
      </w:r>
      <w:proofErr w:type="gramEnd"/>
      <w:r>
        <w:t xml:space="preserve"> https://doi.org/10.1056/NEJMoa1914433.</w:t>
      </w:r>
    </w:p>
    <w:p w14:paraId="1DF7562C" w14:textId="77777777" w:rsidR="005B2493" w:rsidRDefault="005B2493" w:rsidP="005B2493">
      <w:pPr>
        <w:pStyle w:val="Body"/>
      </w:pPr>
      <w:r>
        <w:t>Klabbers, J. (2025). Inter-organizational Collaboration: The World Organization for Animal Health and the One Health Initiative. In Unity in Diversity: Perspectives on the Law of International Organizations (pp. 132-143). Brill Nijhoff.</w:t>
      </w:r>
    </w:p>
    <w:p w14:paraId="34B19C1E" w14:textId="77777777" w:rsidR="005B2493" w:rsidRDefault="005B2493" w:rsidP="005B2493">
      <w:pPr>
        <w:pStyle w:val="Body"/>
      </w:pPr>
      <w:proofErr w:type="spellStart"/>
      <w:r>
        <w:t>Köper</w:t>
      </w:r>
      <w:proofErr w:type="spellEnd"/>
      <w:r>
        <w:t xml:space="preserve">, L. M., Bode, C., Bender, A., Reimer, I., Heberer, T., &amp; Wallmann, J. (2020). Eight years of sales surveillance of antimicrobials for veterinary use in Germany—What are the </w:t>
      </w:r>
      <w:proofErr w:type="gramStart"/>
      <w:r>
        <w:t>perceptions?.</w:t>
      </w:r>
      <w:proofErr w:type="gramEnd"/>
      <w:r>
        <w:t xml:space="preserve"> </w:t>
      </w:r>
      <w:proofErr w:type="spellStart"/>
      <w:r>
        <w:t>PLoS</w:t>
      </w:r>
      <w:proofErr w:type="spellEnd"/>
      <w:r>
        <w:t xml:space="preserve"> One, 15(8), e0237459.</w:t>
      </w:r>
    </w:p>
    <w:p w14:paraId="1CBF0557" w14:textId="77777777" w:rsidR="005B2493" w:rsidRDefault="005B2493" w:rsidP="005B2493">
      <w:pPr>
        <w:pStyle w:val="Body"/>
      </w:pPr>
      <w:r>
        <w:t>Kotwani, A., Joshi, J., &amp; Kaloni, D. (2021). Pharmaceutical effluent: a critical link in the interconnected ecosystem promoting antimicrobial resistance. Environmental Science and Pollution Research, 28(25), 32111-32124.</w:t>
      </w:r>
    </w:p>
    <w:p w14:paraId="673C974C" w14:textId="77777777" w:rsidR="005B2493" w:rsidRDefault="005B2493" w:rsidP="005B2493">
      <w:pPr>
        <w:pStyle w:val="Body"/>
      </w:pPr>
      <w:proofErr w:type="spellStart"/>
      <w:r>
        <w:t>Lewnard</w:t>
      </w:r>
      <w:proofErr w:type="spellEnd"/>
      <w:r>
        <w:t xml:space="preserve">, J., Charani, E., Gleason, A., Hsu, L., Khan, W., </w:t>
      </w:r>
      <w:proofErr w:type="spellStart"/>
      <w:r>
        <w:t>Karkey</w:t>
      </w:r>
      <w:proofErr w:type="spellEnd"/>
      <w:r>
        <w:t xml:space="preserve">, A., Chandler, C., Mashe, T., Khan, E., </w:t>
      </w:r>
      <w:proofErr w:type="spellStart"/>
      <w:r>
        <w:t>Bulabula</w:t>
      </w:r>
      <w:proofErr w:type="spellEnd"/>
      <w:r>
        <w:t xml:space="preserve">, A., Donado-Godoy, P., &amp; Laxminarayan, R. (2024). Burden of bacterial antimicrobial resistance in low-income and middle-income countries avertible by existing interventions: an evidence </w:t>
      </w:r>
      <w:proofErr w:type="gramStart"/>
      <w:r>
        <w:t>review</w:t>
      </w:r>
      <w:proofErr w:type="gramEnd"/>
      <w:r>
        <w:t xml:space="preserve"> and modelling analysis. The Lancet, 403, 2439-2454. https://doi.org/10.1016/S0140-6736(24)00862-6.</w:t>
      </w:r>
    </w:p>
    <w:p w14:paraId="1A851D65" w14:textId="77777777" w:rsidR="005B2493" w:rsidRDefault="005B2493" w:rsidP="005B2493">
      <w:pPr>
        <w:pStyle w:val="Body"/>
      </w:pPr>
      <w:r>
        <w:t>Luthman, O., Robb, D. H., Henriksson, P. J., Jørgensen, P. S., &amp; Troell, M. (2024). Global overview of national regulations for antibiotic use in aquaculture production. Aquaculture International, 32(7), 9253-9270.</w:t>
      </w:r>
    </w:p>
    <w:p w14:paraId="7FC57CE9" w14:textId="77777777" w:rsidR="005B2493" w:rsidRDefault="005B2493" w:rsidP="005B2493">
      <w:pPr>
        <w:pStyle w:val="Body"/>
      </w:pPr>
      <w:r>
        <w:t>Markwart, R., Willrich, N., Haller, S., Noll, I., Koppe, U., Werner, G., ... &amp; Reuss, A. (2019). The rise in vancomycin-resistant Enterococcus faecium in Germany: data from the German Antimicrobial Resistance Surveillance (ARS). Antimicrobial Resistance &amp; Infection Control, 8(1), 147.</w:t>
      </w:r>
    </w:p>
    <w:p w14:paraId="5655F2F3" w14:textId="77777777" w:rsidR="005B2493" w:rsidRDefault="005B2493" w:rsidP="005B2493">
      <w:pPr>
        <w:pStyle w:val="Body"/>
      </w:pPr>
      <w:r>
        <w:t xml:space="preserve">McCarthy, B., </w:t>
      </w:r>
      <w:proofErr w:type="spellStart"/>
      <w:r>
        <w:t>Apori</w:t>
      </w:r>
      <w:proofErr w:type="spellEnd"/>
      <w:r>
        <w:t xml:space="preserve">, S. O., </w:t>
      </w:r>
      <w:proofErr w:type="spellStart"/>
      <w:r>
        <w:t>Giltrap</w:t>
      </w:r>
      <w:proofErr w:type="spellEnd"/>
      <w:r>
        <w:t>, M., Bhat, A., Curtin, J., &amp; Tian, F. (2021). Hospital effluents and wastewater treatment plants: a source of oxytetracycline and antimicrobial-resistant bacteria in seafood. Sustainability, 13(24), 13967.</w:t>
      </w:r>
    </w:p>
    <w:p w14:paraId="3A563B4E" w14:textId="77777777" w:rsidR="005B2493" w:rsidRDefault="005B2493" w:rsidP="005B2493">
      <w:pPr>
        <w:pStyle w:val="Body"/>
      </w:pPr>
      <w:r>
        <w:t xml:space="preserve">Mesa Varona, O., </w:t>
      </w:r>
      <w:proofErr w:type="spellStart"/>
      <w:r>
        <w:t>Chaintarli</w:t>
      </w:r>
      <w:proofErr w:type="spellEnd"/>
      <w:r>
        <w:t xml:space="preserve">, K., Muller-Pebody, B., Anjum, M. F., </w:t>
      </w:r>
      <w:proofErr w:type="spellStart"/>
      <w:r>
        <w:t>Eckmanns</w:t>
      </w:r>
      <w:proofErr w:type="spellEnd"/>
      <w:r>
        <w:t xml:space="preserve">, T., </w:t>
      </w:r>
      <w:proofErr w:type="spellStart"/>
      <w:r>
        <w:t>Norström</w:t>
      </w:r>
      <w:proofErr w:type="spellEnd"/>
      <w:r>
        <w:t>, M., ... &amp; Tenhagen, B. A. (2020). Monitoring antimicrobial resistance and drug usage in the human and livestock sector and foodborne antimicrobial resistance in six European countries. Infection and drug resistance, 957-993.</w:t>
      </w:r>
    </w:p>
    <w:p w14:paraId="192DEFD0" w14:textId="77777777" w:rsidR="005B2493" w:rsidRDefault="005B2493" w:rsidP="005B2493">
      <w:pPr>
        <w:pStyle w:val="Body"/>
      </w:pPr>
      <w:proofErr w:type="spellStart"/>
      <w:r>
        <w:t>Milijasevic</w:t>
      </w:r>
      <w:proofErr w:type="spellEnd"/>
      <w:r>
        <w:t xml:space="preserve">, M., </w:t>
      </w:r>
      <w:proofErr w:type="spellStart"/>
      <w:r>
        <w:t>Veskovic-Moracanin</w:t>
      </w:r>
      <w:proofErr w:type="spellEnd"/>
      <w:r>
        <w:t xml:space="preserve">, S., </w:t>
      </w:r>
      <w:proofErr w:type="spellStart"/>
      <w:r>
        <w:t>Babic</w:t>
      </w:r>
      <w:proofErr w:type="spellEnd"/>
      <w:r>
        <w:t xml:space="preserve"> </w:t>
      </w:r>
      <w:proofErr w:type="spellStart"/>
      <w:r>
        <w:t>Milijasevic</w:t>
      </w:r>
      <w:proofErr w:type="spellEnd"/>
      <w:r>
        <w:t xml:space="preserve">, J., Petrovic, J., &amp; </w:t>
      </w:r>
      <w:proofErr w:type="spellStart"/>
      <w:r>
        <w:t>Nastasijevic</w:t>
      </w:r>
      <w:proofErr w:type="spellEnd"/>
      <w:r>
        <w:t>, I. (2024). Antimicrobial resistance in aquaculture: risk mitigation within the one health context. Foods, 13(15), 2448.</w:t>
      </w:r>
    </w:p>
    <w:p w14:paraId="1255B530" w14:textId="77777777" w:rsidR="005B2493" w:rsidRDefault="005B2493" w:rsidP="005B2493">
      <w:pPr>
        <w:pStyle w:val="Body"/>
      </w:pPr>
      <w:r>
        <w:t>Nagarajan, L., Mohammed, I., Shenoy, R.</w:t>
      </w:r>
      <w:proofErr w:type="gramStart"/>
      <w:r>
        <w:t>, ,</w:t>
      </w:r>
      <w:proofErr w:type="gramEnd"/>
      <w:r>
        <w:t xml:space="preserve"> J., </w:t>
      </w:r>
      <w:proofErr w:type="spellStart"/>
      <w:r>
        <w:t>Amanna</w:t>
      </w:r>
      <w:proofErr w:type="spellEnd"/>
      <w:r>
        <w:t xml:space="preserve">, S., , A., Prabhakar, P., &amp; Nasar, H. (2025). The one health paradigm: a review. International Journal </w:t>
      </w:r>
      <w:proofErr w:type="gramStart"/>
      <w:r>
        <w:t>Of</w:t>
      </w:r>
      <w:proofErr w:type="gramEnd"/>
      <w:r>
        <w:t xml:space="preserve"> Community Medicine And Public Health. https://doi.org/10.18203/2394-6040.ijcmph20251406.</w:t>
      </w:r>
    </w:p>
    <w:p w14:paraId="7D14B5DF" w14:textId="77777777" w:rsidR="005B2493" w:rsidRDefault="005B2493" w:rsidP="005B2493">
      <w:pPr>
        <w:pStyle w:val="Body"/>
      </w:pPr>
      <w:r>
        <w:t>Nobrega, D. B., Tang, K. L., Caffrey, N. P., De Buck, J., Cork, S. C., Ronksley, P. E., ... &amp; Barkema, H. W. (2021). Prevalence of antimicrobial resistance genes and its association with restricted antimicrobial use in food-producing animals: a systematic review and meta-analysis. Journal of Antimicrobial Chemotherapy, 76(3), 561-575.</w:t>
      </w:r>
    </w:p>
    <w:p w14:paraId="1E921823" w14:textId="77777777" w:rsidR="005B2493" w:rsidRDefault="005B2493" w:rsidP="005B2493">
      <w:pPr>
        <w:pStyle w:val="Body"/>
      </w:pPr>
      <w:r>
        <w:t xml:space="preserve">Okeke, I., Kraker, M., Boeckel, T., Kumar, C., Schmitt, H., Gales, A., </w:t>
      </w:r>
      <w:proofErr w:type="spellStart"/>
      <w:r>
        <w:t>Bertagnolio</w:t>
      </w:r>
      <w:proofErr w:type="spellEnd"/>
      <w:r>
        <w:t>, S., Sharland, M., &amp; Laxminarayan, R. (2024). The scope of the antimicrobial resistance challenge. The Lancet, 403, 2426-2438. https://doi.org/10.1016/S0140-6736(24)00876-6.</w:t>
      </w:r>
    </w:p>
    <w:p w14:paraId="65B4AE62" w14:textId="77777777" w:rsidR="005B2493" w:rsidRDefault="005B2493" w:rsidP="005B2493">
      <w:pPr>
        <w:pStyle w:val="Body"/>
      </w:pPr>
      <w:r>
        <w:t>Padma, K. (2022). Overuse and Misuse of Antibiotics. Journal of Biomedical and Pharmaceutical Research. https://doi.org/10.32553/jbpr.v11i1.899.</w:t>
      </w:r>
    </w:p>
    <w:p w14:paraId="5F92E43B" w14:textId="77777777" w:rsidR="005B2493" w:rsidRDefault="005B2493" w:rsidP="005B2493">
      <w:pPr>
        <w:pStyle w:val="Body"/>
      </w:pPr>
      <w:r>
        <w:lastRenderedPageBreak/>
        <w:t>Poudyal, N., Holm, M., Joh, H. S., Gautam, S., Sujan, M. J., Kwon, S. Y., ... &amp; Marks, F. (2023). Effective stakeholder engagement for collation, analysis and expansion of antimicrobial resistance (AMR) data: a CAPTURA experience. Clinical Infectious Diseases, 77(Supplement_7), S519-S527.</w:t>
      </w:r>
    </w:p>
    <w:p w14:paraId="214A843A" w14:textId="77777777" w:rsidR="005B2493" w:rsidRDefault="005B2493" w:rsidP="005B2493">
      <w:pPr>
        <w:pStyle w:val="Body"/>
      </w:pPr>
      <w:r>
        <w:t>Poudyal, N., Holm, M., Joh, H. S., Gautam, S., Sujan, M. J., Kwon, S. Y., ... &amp; Marks, F. (2023). Effective stakeholder engagement for collation, analysis and expansion of antimicrobial resistance (AMR) data: a CAPTURA experience. Clinical Infectious Diseases, 77(Supplement_7), S519-S527.</w:t>
      </w:r>
    </w:p>
    <w:p w14:paraId="42BF61EA" w14:textId="77777777" w:rsidR="005B2493" w:rsidRDefault="005B2493" w:rsidP="005B2493">
      <w:pPr>
        <w:pStyle w:val="Body"/>
      </w:pPr>
      <w:r>
        <w:t xml:space="preserve">Salam, M., Al-Amin, M., Salam, M., Pawar, J., Akhter, N., </w:t>
      </w:r>
      <w:proofErr w:type="spellStart"/>
      <w:r>
        <w:t>Rabaan</w:t>
      </w:r>
      <w:proofErr w:type="spellEnd"/>
      <w:r>
        <w:t xml:space="preserve">, A., &amp; </w:t>
      </w:r>
      <w:proofErr w:type="spellStart"/>
      <w:r>
        <w:t>Alqumber</w:t>
      </w:r>
      <w:proofErr w:type="spellEnd"/>
      <w:r>
        <w:t>, M. (2023). Antimicrobial Resistance: A Growing Serious Threat for Global Public Health. Healthcare, 11. https://doi.org/10.3390/healthcare11131946.</w:t>
      </w:r>
    </w:p>
    <w:p w14:paraId="431C145E" w14:textId="77777777" w:rsidR="005B2493" w:rsidRDefault="005B2493" w:rsidP="005B2493">
      <w:pPr>
        <w:pStyle w:val="Body"/>
      </w:pPr>
      <w:r>
        <w:t xml:space="preserve">Salmanov, A., Shchehlov, D., </w:t>
      </w:r>
      <w:proofErr w:type="spellStart"/>
      <w:r>
        <w:t>Svyrydiuk</w:t>
      </w:r>
      <w:proofErr w:type="spellEnd"/>
      <w:r>
        <w:t xml:space="preserve">, O., Bortnik, I., </w:t>
      </w:r>
      <w:proofErr w:type="spellStart"/>
      <w:r>
        <w:t>Mamonova</w:t>
      </w:r>
      <w:proofErr w:type="spellEnd"/>
      <w:r>
        <w:t xml:space="preserve">, M., Korniyenko, S., Rud, V., Artyomenko, V., Gudym, M., Maliarchuk, R., &amp; Bondar, T. (2022). Epidemiology of healthcare-associated infections and mechanisms of antimicrobial resistance of responsible pathogens in Ukraine: Results of a </w:t>
      </w:r>
      <w:proofErr w:type="spellStart"/>
      <w:r>
        <w:t>multicentre</w:t>
      </w:r>
      <w:proofErr w:type="spellEnd"/>
      <w:r>
        <w:t xml:space="preserve"> study (2019-2021</w:t>
      </w:r>
      <w:proofErr w:type="gramStart"/>
      <w:r>
        <w:t>)..</w:t>
      </w:r>
      <w:proofErr w:type="gramEnd"/>
      <w:r>
        <w:t xml:space="preserve"> The Journal of hospital infection. https://doi.org/10.1016/j.jhin.2022.10.007.</w:t>
      </w:r>
    </w:p>
    <w:p w14:paraId="27462321" w14:textId="77777777" w:rsidR="005B2493" w:rsidRDefault="005B2493" w:rsidP="005B2493">
      <w:pPr>
        <w:pStyle w:val="Body"/>
      </w:pPr>
      <w:proofErr w:type="spellStart"/>
      <w:r>
        <w:t>Sambaza</w:t>
      </w:r>
      <w:proofErr w:type="spellEnd"/>
      <w:r>
        <w:t>, S. S., &amp; Naicker, N. (2023). Contribution of wastewater to antimicrobial resistance: A review article. Journal of global antimicrobial resistance, 34, 23-29.</w:t>
      </w:r>
    </w:p>
    <w:p w14:paraId="48BE7FAE" w14:textId="77777777" w:rsidR="005B2493" w:rsidRDefault="005B2493" w:rsidP="005B2493">
      <w:pPr>
        <w:pStyle w:val="Body"/>
      </w:pPr>
      <w:r>
        <w:t>Shao, Y., Wang, Y., Yuan, Y., &amp; Xie, Y. (2021). A systematic review on antibiotics misuse in livestock and aquaculture and regulation implications in China. Science of the Total Environment, 798, 149205.</w:t>
      </w:r>
    </w:p>
    <w:p w14:paraId="4F35161E" w14:textId="77777777" w:rsidR="005B2493" w:rsidRDefault="005B2493" w:rsidP="005B2493">
      <w:pPr>
        <w:pStyle w:val="Body"/>
      </w:pPr>
      <w:r>
        <w:t xml:space="preserve">Sharma, S., Chauhan, A., Ranjan, A., </w:t>
      </w:r>
      <w:proofErr w:type="spellStart"/>
      <w:r>
        <w:t>Mathkor</w:t>
      </w:r>
      <w:proofErr w:type="spellEnd"/>
      <w:r>
        <w:t xml:space="preserve">, D., Haque, S., </w:t>
      </w:r>
      <w:proofErr w:type="spellStart"/>
      <w:r>
        <w:t>Ramniwas</w:t>
      </w:r>
      <w:proofErr w:type="spellEnd"/>
      <w:r>
        <w:t>, S., Tuli, H., Jindal, T., &amp; Yadav, V. (2024). Emerging challenges in antimicrobial resistance: implications for pathogenic microorganisms, novel antibiotics, and their impact on sustainability. Frontiers in Microbiology, 15. https://doi.org/10.3389/fmicb.2024.1403168.</w:t>
      </w:r>
    </w:p>
    <w:p w14:paraId="429E69EB" w14:textId="77777777" w:rsidR="005B2493" w:rsidRDefault="005B2493" w:rsidP="005B2493">
      <w:pPr>
        <w:pStyle w:val="Body"/>
      </w:pPr>
      <w:proofErr w:type="spellStart"/>
      <w:r>
        <w:t>Shedeed</w:t>
      </w:r>
      <w:proofErr w:type="spellEnd"/>
      <w:r>
        <w:t xml:space="preserve">, E. (2024). Mapping Global Governance of Antibiotic Stewardship: A One Health Multi-Level Governance Approach (Doctoral dissertation, </w:t>
      </w:r>
      <w:proofErr w:type="spellStart"/>
      <w:r>
        <w:t>Université</w:t>
      </w:r>
      <w:proofErr w:type="spellEnd"/>
      <w:r>
        <w:t xml:space="preserve"> </w:t>
      </w:r>
      <w:proofErr w:type="spellStart"/>
      <w:r>
        <w:t>d'Ottawa</w:t>
      </w:r>
      <w:proofErr w:type="spellEnd"/>
      <w:r>
        <w:t>| University of Ottawa).</w:t>
      </w:r>
    </w:p>
    <w:p w14:paraId="52524139" w14:textId="77777777" w:rsidR="005B2493" w:rsidRDefault="005B2493" w:rsidP="005B2493">
      <w:pPr>
        <w:pStyle w:val="Body"/>
      </w:pPr>
      <w:r>
        <w:t>Swenson, J. E. (2024). Expanding Access to Novel Antibacterial Therapeutics in Low-and Middle-Income Countries: Leveraging Donor-Funded Pooled Procurement.</w:t>
      </w:r>
    </w:p>
    <w:p w14:paraId="389D1447" w14:textId="77777777" w:rsidR="005B2493" w:rsidRDefault="005B2493" w:rsidP="005B2493">
      <w:pPr>
        <w:pStyle w:val="Body"/>
      </w:pPr>
      <w:r>
        <w:t xml:space="preserve">Tarrant, C., &amp; </w:t>
      </w:r>
      <w:proofErr w:type="spellStart"/>
      <w:r>
        <w:t>Krockow</w:t>
      </w:r>
      <w:proofErr w:type="spellEnd"/>
      <w:r>
        <w:t>, E. (2021). Antibiotic overuse: managing uncertainty and mitigating against overtreatment. BMJ Quality &amp; Safety, 31, 163 - 167. https://doi.org/10.1136/bmjqs-2021-013615.</w:t>
      </w:r>
    </w:p>
    <w:p w14:paraId="7D1FC932" w14:textId="77777777" w:rsidR="005B2493" w:rsidRDefault="005B2493" w:rsidP="005B2493">
      <w:pPr>
        <w:pStyle w:val="Body"/>
      </w:pPr>
      <w:r>
        <w:t>Velazquez-Meza, M., Galarde-López, M., Carrillo-Quiroz, B., &amp; Alpuche-Aranda, C. (2022). Antimicrobial resistance: One Health approach. Veterinary World, 15, 743 - 749. https://doi.org/10.14202/vetworld.2022.743-749.</w:t>
      </w:r>
    </w:p>
    <w:p w14:paraId="47768876" w14:textId="77777777" w:rsidR="005B2493" w:rsidRDefault="005B2493" w:rsidP="005B2493">
      <w:pPr>
        <w:pStyle w:val="Body"/>
      </w:pPr>
      <w:r>
        <w:t>Walsh, T.R. A one-health approach to antimicrobial resistance. Nat Microbiol 3, 854–855 (2018). https://doi.org/10.1038/s41564-018-0208-5</w:t>
      </w:r>
    </w:p>
    <w:p w14:paraId="295DF61A" w14:textId="77777777" w:rsidR="005B2493" w:rsidRDefault="005B2493" w:rsidP="005B2493">
      <w:pPr>
        <w:pStyle w:val="Body"/>
      </w:pPr>
      <w:r>
        <w:t>Wasan, H., Singh, D., Reeta, K. H., &amp; Gupta, Y. K. (2023). Landscape of push funding in antibiotic research: current status and way forward. Biology, 12(1), 101.</w:t>
      </w:r>
    </w:p>
    <w:p w14:paraId="14B7181E" w14:textId="77777777" w:rsidR="005B2493" w:rsidRDefault="005B2493" w:rsidP="005B2493">
      <w:pPr>
        <w:pStyle w:val="Body"/>
      </w:pPr>
      <w:r>
        <w:t>World Health Organization. (2022). Global antimicrobial resistance and use surveillance system (GLASS) report 2022. World Health Organization.</w:t>
      </w:r>
    </w:p>
    <w:p w14:paraId="4F24F41D" w14:textId="77777777" w:rsidR="00441B6F" w:rsidRDefault="005B2493" w:rsidP="005B2493">
      <w:pPr>
        <w:pStyle w:val="Body"/>
        <w:spacing w:after="0"/>
        <w:jc w:val="left"/>
        <w:rPr>
          <w:rFonts w:ascii="Arial" w:hAnsi="Arial" w:cs="Arial"/>
        </w:rPr>
      </w:pPr>
      <w:r>
        <w:t xml:space="preserve">Zalewska, M., </w:t>
      </w:r>
      <w:proofErr w:type="spellStart"/>
      <w:r>
        <w:t>B</w:t>
      </w:r>
      <w:r>
        <w:rPr>
          <w:rFonts w:hint="eastAsia"/>
        </w:rPr>
        <w:t>ł</w:t>
      </w:r>
      <w:r>
        <w:t>a</w:t>
      </w:r>
      <w:r>
        <w:rPr>
          <w:rFonts w:hint="eastAsia"/>
        </w:rPr>
        <w:t>ż</w:t>
      </w:r>
      <w:r>
        <w:t>ejewska</w:t>
      </w:r>
      <w:proofErr w:type="spellEnd"/>
      <w:r>
        <w:t>, A., Czapko, A., &amp; Popowska, M. (2021). Antibiotics and antibiotic resistance genes in animal manure–consequences of its application in agriculture. Frontiers in Microbiology, 12, 610656.</w:t>
      </w:r>
    </w:p>
    <w:p w14:paraId="57B5E5BC" w14:textId="77777777" w:rsidR="00B01FCD" w:rsidRPr="00FB3A86" w:rsidRDefault="00B01FCD" w:rsidP="00441B6F">
      <w:pPr>
        <w:pStyle w:val="Reference"/>
        <w:numPr>
          <w:ilvl w:val="0"/>
          <w:numId w:val="0"/>
        </w:numPr>
        <w:spacing w:line="240" w:lineRule="auto"/>
        <w:rPr>
          <w:rFonts w:ascii="Arial" w:hAnsi="Arial" w:cs="Arial"/>
        </w:rPr>
      </w:pPr>
    </w:p>
    <w:p w14:paraId="70DF376E" w14:textId="77777777" w:rsidR="00B01FCD" w:rsidRPr="00FB3A86" w:rsidRDefault="00B01FCD" w:rsidP="00441B6F">
      <w:pPr>
        <w:pStyle w:val="Appendix"/>
        <w:spacing w:after="0"/>
        <w:jc w:val="both"/>
        <w:rPr>
          <w:rFonts w:ascii="Arial" w:hAnsi="Arial" w:cs="Arial"/>
          <w:b w:val="0"/>
        </w:rPr>
      </w:pPr>
    </w:p>
    <w:sectPr w:rsidR="00B01FCD" w:rsidRPr="00FB3A86" w:rsidSect="00EA77E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AF658" w14:textId="77777777" w:rsidR="00F374BE" w:rsidRDefault="00F374BE" w:rsidP="00C37E61">
      <w:r>
        <w:separator/>
      </w:r>
    </w:p>
  </w:endnote>
  <w:endnote w:type="continuationSeparator" w:id="0">
    <w:p w14:paraId="6403C561" w14:textId="77777777" w:rsidR="00F374BE" w:rsidRDefault="00F374B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0731" w14:textId="0B1A5DB9" w:rsidR="00754C9A" w:rsidRPr="00EA77E1" w:rsidRDefault="00754C9A" w:rsidP="00EA77E1">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0F8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59CA4" w14:textId="77777777" w:rsidR="00F374BE" w:rsidRDefault="00F374BE" w:rsidP="00C37E61">
      <w:r>
        <w:separator/>
      </w:r>
    </w:p>
  </w:footnote>
  <w:footnote w:type="continuationSeparator" w:id="0">
    <w:p w14:paraId="041AAD38" w14:textId="77777777" w:rsidR="00F374BE" w:rsidRDefault="00F374B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25DC" w14:textId="77777777" w:rsidR="00296529" w:rsidRPr="00296529" w:rsidRDefault="00296529" w:rsidP="00296529">
    <w:pPr>
      <w:ind w:left="2160"/>
      <w:jc w:val="center"/>
      <w:rPr>
        <w:rFonts w:ascii="Times New Roman" w:eastAsia="Calibri" w:hAnsi="Times New Roman"/>
        <w:i/>
        <w:sz w:val="18"/>
        <w:szCs w:val="22"/>
      </w:rPr>
    </w:pPr>
  </w:p>
  <w:p w14:paraId="329434D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BB5C9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DAFF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819B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41AA2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28D05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A23F8"/>
    <w:multiLevelType w:val="hybridMultilevel"/>
    <w:tmpl w:val="3A6CC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B967FE"/>
    <w:multiLevelType w:val="hybridMultilevel"/>
    <w:tmpl w:val="A3A6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01CF"/>
    <w:rsid w:val="0004579C"/>
    <w:rsid w:val="00055381"/>
    <w:rsid w:val="000A47FA"/>
    <w:rsid w:val="000A65D3"/>
    <w:rsid w:val="000B1E33"/>
    <w:rsid w:val="000D689F"/>
    <w:rsid w:val="000E7B7B"/>
    <w:rsid w:val="000E7D62"/>
    <w:rsid w:val="00103357"/>
    <w:rsid w:val="00123C9F"/>
    <w:rsid w:val="00126190"/>
    <w:rsid w:val="00130F17"/>
    <w:rsid w:val="001320BF"/>
    <w:rsid w:val="00152A19"/>
    <w:rsid w:val="00163BC4"/>
    <w:rsid w:val="00191062"/>
    <w:rsid w:val="00192B72"/>
    <w:rsid w:val="001A29D8"/>
    <w:rsid w:val="001A5CAA"/>
    <w:rsid w:val="001B0427"/>
    <w:rsid w:val="001D3A51"/>
    <w:rsid w:val="001E10D2"/>
    <w:rsid w:val="001E25B4"/>
    <w:rsid w:val="001E44FE"/>
    <w:rsid w:val="001F061C"/>
    <w:rsid w:val="00200595"/>
    <w:rsid w:val="00204835"/>
    <w:rsid w:val="002120C1"/>
    <w:rsid w:val="00231920"/>
    <w:rsid w:val="0023195C"/>
    <w:rsid w:val="0024282C"/>
    <w:rsid w:val="002460DC"/>
    <w:rsid w:val="00250985"/>
    <w:rsid w:val="002556F6"/>
    <w:rsid w:val="0025709E"/>
    <w:rsid w:val="00261BD3"/>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4C4D"/>
    <w:rsid w:val="00502516"/>
    <w:rsid w:val="00505F06"/>
    <w:rsid w:val="00506828"/>
    <w:rsid w:val="0053056E"/>
    <w:rsid w:val="00551297"/>
    <w:rsid w:val="00554FDA"/>
    <w:rsid w:val="005B2493"/>
    <w:rsid w:val="005C784C"/>
    <w:rsid w:val="005D17F6"/>
    <w:rsid w:val="005E5539"/>
    <w:rsid w:val="00602BF5"/>
    <w:rsid w:val="00617FDD"/>
    <w:rsid w:val="00633614"/>
    <w:rsid w:val="00633CCB"/>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821"/>
    <w:rsid w:val="007F7B32"/>
    <w:rsid w:val="00804BC2"/>
    <w:rsid w:val="00813B13"/>
    <w:rsid w:val="0081431A"/>
    <w:rsid w:val="0083216F"/>
    <w:rsid w:val="00833F11"/>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4BAC"/>
    <w:rsid w:val="00935C4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B40"/>
    <w:rsid w:val="00A51431"/>
    <w:rsid w:val="00A539AD"/>
    <w:rsid w:val="00A719A8"/>
    <w:rsid w:val="00A93721"/>
    <w:rsid w:val="00A94063"/>
    <w:rsid w:val="00AA6219"/>
    <w:rsid w:val="00AA74E0"/>
    <w:rsid w:val="00AB703F"/>
    <w:rsid w:val="00AC6BB8"/>
    <w:rsid w:val="00AE008F"/>
    <w:rsid w:val="00B01FCD"/>
    <w:rsid w:val="00B11FED"/>
    <w:rsid w:val="00B1776C"/>
    <w:rsid w:val="00B27791"/>
    <w:rsid w:val="00B3428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7792"/>
    <w:rsid w:val="00C6592E"/>
    <w:rsid w:val="00C70F1B"/>
    <w:rsid w:val="00C714BC"/>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0CAB"/>
    <w:rsid w:val="00E053D0"/>
    <w:rsid w:val="00E15994"/>
    <w:rsid w:val="00E3114E"/>
    <w:rsid w:val="00E31A70"/>
    <w:rsid w:val="00E35B02"/>
    <w:rsid w:val="00E66496"/>
    <w:rsid w:val="00E66B35"/>
    <w:rsid w:val="00E66E10"/>
    <w:rsid w:val="00E769F6"/>
    <w:rsid w:val="00E8320D"/>
    <w:rsid w:val="00E8407C"/>
    <w:rsid w:val="00E84F3C"/>
    <w:rsid w:val="00EA012C"/>
    <w:rsid w:val="00EA6246"/>
    <w:rsid w:val="00EA77E1"/>
    <w:rsid w:val="00EC3F8F"/>
    <w:rsid w:val="00EC6A55"/>
    <w:rsid w:val="00ED0288"/>
    <w:rsid w:val="00EE52CB"/>
    <w:rsid w:val="00EE5D5B"/>
    <w:rsid w:val="00EF581D"/>
    <w:rsid w:val="00EF7FD8"/>
    <w:rsid w:val="00F06F59"/>
    <w:rsid w:val="00F17988"/>
    <w:rsid w:val="00F17A42"/>
    <w:rsid w:val="00F374BE"/>
    <w:rsid w:val="00F469F0"/>
    <w:rsid w:val="00F53273"/>
    <w:rsid w:val="00F755E4"/>
    <w:rsid w:val="00F77D02"/>
    <w:rsid w:val="00F84C49"/>
    <w:rsid w:val="00FB3A86"/>
    <w:rsid w:val="00FD282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1F8E0BA"/>
  <w15:docId w15:val="{0ECB4F97-F65A-481C-914B-1C0A652D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779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E00C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92C0-C84A-4E4B-BF53-A335B563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TotalTime>
  <Pages>10</Pages>
  <Words>5542</Words>
  <Characters>31593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37061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2014-10-25T14:34:00Z</dcterms:created>
  <dcterms:modified xsi:type="dcterms:W3CDTF">2025-08-29T13:56:00Z</dcterms:modified>
</cp:coreProperties>
</file>