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7E0EDB" w14:textId="7496EA83" w:rsidR="00F917FA" w:rsidRDefault="00250B2D">
      <w:pPr>
        <w:spacing w:line="276" w:lineRule="auto"/>
        <w:jc w:val="center"/>
        <w:rPr>
          <w:b/>
          <w:sz w:val="28"/>
          <w:szCs w:val="28"/>
          <w:u w:val="single"/>
        </w:rPr>
      </w:pPr>
      <w:bookmarkStart w:id="0" w:name="_Hlk206792367"/>
      <w:proofErr w:type="spellStart"/>
      <w:r>
        <w:rPr>
          <w:b/>
          <w:sz w:val="28"/>
          <w:szCs w:val="28"/>
        </w:rPr>
        <w:t>Analysing</w:t>
      </w:r>
      <w:proofErr w:type="spellEnd"/>
      <w:r>
        <w:rPr>
          <w:b/>
          <w:sz w:val="28"/>
          <w:szCs w:val="28"/>
        </w:rPr>
        <w:t xml:space="preserve"> White Walls and Silent Voices from Narges Mohammadi's </w:t>
      </w:r>
      <w:r>
        <w:rPr>
          <w:b/>
          <w:i/>
          <w:sz w:val="28"/>
          <w:szCs w:val="28"/>
        </w:rPr>
        <w:t>White Torture</w:t>
      </w:r>
    </w:p>
    <w:bookmarkEnd w:id="0"/>
    <w:p w14:paraId="0D0CD45C" w14:textId="77777777" w:rsidR="00F917FA" w:rsidRDefault="00F917FA">
      <w:pPr>
        <w:spacing w:line="276" w:lineRule="auto"/>
        <w:jc w:val="center"/>
        <w:rPr>
          <w:b/>
          <w:sz w:val="28"/>
          <w:szCs w:val="28"/>
          <w:u w:val="single"/>
        </w:rPr>
      </w:pPr>
    </w:p>
    <w:tbl>
      <w:tblPr>
        <w:tblStyle w:val="a"/>
        <w:tblW w:w="10236" w:type="dxa"/>
        <w:tblInd w:w="-289" w:type="dxa"/>
        <w:tblBorders>
          <w:top w:val="nil"/>
          <w:left w:val="nil"/>
          <w:bottom w:val="nil"/>
          <w:right w:val="nil"/>
          <w:insideH w:val="nil"/>
          <w:insideV w:val="nil"/>
        </w:tblBorders>
        <w:tblLayout w:type="fixed"/>
        <w:tblLook w:val="0400" w:firstRow="0" w:lastRow="0" w:firstColumn="0" w:lastColumn="0" w:noHBand="0" w:noVBand="1"/>
      </w:tblPr>
      <w:tblGrid>
        <w:gridCol w:w="5104"/>
        <w:gridCol w:w="5132"/>
      </w:tblGrid>
      <w:tr w:rsidR="00F917FA" w14:paraId="4E43154A" w14:textId="77777777">
        <w:tc>
          <w:tcPr>
            <w:tcW w:w="5104" w:type="dxa"/>
          </w:tcPr>
          <w:p w14:paraId="369607C4" w14:textId="1FDC6FF4" w:rsidR="00F917FA" w:rsidRDefault="00F917FA">
            <w:pPr>
              <w:spacing w:line="360" w:lineRule="auto"/>
              <w:rPr>
                <w:b/>
                <w:sz w:val="28"/>
                <w:szCs w:val="28"/>
                <w:u w:val="single"/>
              </w:rPr>
            </w:pPr>
          </w:p>
        </w:tc>
        <w:tc>
          <w:tcPr>
            <w:tcW w:w="5132" w:type="dxa"/>
          </w:tcPr>
          <w:p w14:paraId="3E61F00E" w14:textId="7CC3E13C" w:rsidR="00F917FA" w:rsidRDefault="00F917FA">
            <w:pPr>
              <w:spacing w:line="360" w:lineRule="auto"/>
              <w:jc w:val="right"/>
              <w:rPr>
                <w:b/>
                <w:sz w:val="28"/>
                <w:szCs w:val="28"/>
                <w:u w:val="single"/>
              </w:rPr>
            </w:pPr>
          </w:p>
        </w:tc>
      </w:tr>
    </w:tbl>
    <w:p w14:paraId="2317A9DB" w14:textId="77777777" w:rsidR="00F917FA" w:rsidRDefault="00F917FA">
      <w:pPr>
        <w:spacing w:line="276" w:lineRule="auto"/>
        <w:jc w:val="center"/>
        <w:rPr>
          <w:b/>
          <w:sz w:val="28"/>
          <w:szCs w:val="28"/>
        </w:rPr>
      </w:pPr>
      <w:bookmarkStart w:id="1" w:name="_GoBack"/>
      <w:bookmarkEnd w:id="1"/>
    </w:p>
    <w:p w14:paraId="5DDC0D66" w14:textId="77777777" w:rsidR="00F917FA" w:rsidRDefault="006D297B">
      <w:pPr>
        <w:spacing w:line="360" w:lineRule="auto"/>
        <w:jc w:val="both"/>
        <w:rPr>
          <w:b/>
          <w:sz w:val="24"/>
          <w:szCs w:val="24"/>
        </w:rPr>
      </w:pPr>
      <w:r>
        <w:rPr>
          <w:b/>
          <w:sz w:val="24"/>
          <w:szCs w:val="24"/>
        </w:rPr>
        <w:t>Abstract:</w:t>
      </w:r>
    </w:p>
    <w:p w14:paraId="5DFAEFE6" w14:textId="77777777" w:rsidR="00F917FA" w:rsidRDefault="006D297B">
      <w:pPr>
        <w:spacing w:line="360" w:lineRule="auto"/>
        <w:jc w:val="both"/>
        <w:rPr>
          <w:i/>
          <w:sz w:val="24"/>
          <w:szCs w:val="24"/>
        </w:rPr>
      </w:pPr>
      <w:r>
        <w:rPr>
          <w:i/>
          <w:sz w:val="24"/>
          <w:szCs w:val="24"/>
        </w:rPr>
        <w:t>The book White Torture presents the prison narratives of fourteen Iranian women. These women strongly uphold feminist agendas, progressive ideologies, and resist the oppressive regime of the Islamic Republic of Iran. Their political, religious, and cultural beliefs conflict with the repressive ideologies of Iran. The government crushed their spirit by imprisoning and subjecting them to various forms of torture. This torture extended beyond physical abuse to architectural isolation. Most were held in Evin Prison under the authority of Iran’s Ministry of Intelligence. The form of torture was unique; the prison was structured in a way that the women prisoners experienced only white walls and deadly silence in the cells. This led the prisoners to mental harassment. The prison authorities extended torture to emotional blackmail, physical abuse, medical neglect, absence of hygienic facilities, harassment of family members and so on. The architectural design of pale white walls and isolation of prison wards disturbed their normal life even after serving the prison sentence. This paper aims to critically analyze the function of spatial design, sensory deprivation and other mechanisms of state-inflicted violence used against women prisoners.</w:t>
      </w:r>
    </w:p>
    <w:p w14:paraId="7ED22F54" w14:textId="77777777" w:rsidR="00F917FA" w:rsidRDefault="00F917FA">
      <w:pPr>
        <w:spacing w:line="360" w:lineRule="auto"/>
        <w:jc w:val="both"/>
        <w:rPr>
          <w:i/>
          <w:sz w:val="16"/>
          <w:szCs w:val="16"/>
        </w:rPr>
      </w:pPr>
    </w:p>
    <w:p w14:paraId="606EB57B" w14:textId="77777777" w:rsidR="00F917FA" w:rsidRDefault="006D297B">
      <w:pPr>
        <w:pBdr>
          <w:top w:val="single" w:sz="12" w:space="1" w:color="000000"/>
          <w:bottom w:val="single" w:sz="12" w:space="1" w:color="000000"/>
        </w:pBdr>
        <w:spacing w:line="360" w:lineRule="auto"/>
        <w:jc w:val="both"/>
        <w:rPr>
          <w:sz w:val="24"/>
          <w:szCs w:val="24"/>
        </w:rPr>
      </w:pPr>
      <w:r>
        <w:rPr>
          <w:b/>
          <w:sz w:val="24"/>
          <w:szCs w:val="24"/>
        </w:rPr>
        <w:t>Key Words</w:t>
      </w:r>
      <w:r>
        <w:rPr>
          <w:sz w:val="24"/>
          <w:szCs w:val="24"/>
        </w:rPr>
        <w:t>: white walls, silence, women prisoners, mental-physical torture, medical neglect, trauma, family, feminism, and the Republic of Iran.</w:t>
      </w:r>
    </w:p>
    <w:p w14:paraId="12351537" w14:textId="77777777" w:rsidR="00F917FA" w:rsidRDefault="00F917FA">
      <w:pPr>
        <w:spacing w:line="360" w:lineRule="auto"/>
        <w:ind w:firstLine="720"/>
        <w:jc w:val="both"/>
        <w:rPr>
          <w:sz w:val="14"/>
          <w:szCs w:val="14"/>
        </w:rPr>
      </w:pPr>
    </w:p>
    <w:p w14:paraId="197B972E" w14:textId="77777777" w:rsidR="00F917FA" w:rsidRDefault="006D297B">
      <w:pPr>
        <w:spacing w:line="360" w:lineRule="auto"/>
        <w:jc w:val="both"/>
        <w:rPr>
          <w:b/>
          <w:sz w:val="24"/>
          <w:szCs w:val="24"/>
        </w:rPr>
      </w:pPr>
      <w:r>
        <w:rPr>
          <w:b/>
          <w:sz w:val="24"/>
          <w:szCs w:val="24"/>
        </w:rPr>
        <w:t xml:space="preserve">Introduction: </w:t>
      </w:r>
    </w:p>
    <w:p w14:paraId="35637C07" w14:textId="77777777" w:rsidR="00F917FA" w:rsidRDefault="006D297B">
      <w:pPr>
        <w:spacing w:after="240" w:line="360" w:lineRule="auto"/>
        <w:jc w:val="both"/>
        <w:rPr>
          <w:sz w:val="24"/>
          <w:szCs w:val="24"/>
        </w:rPr>
      </w:pPr>
      <w:r>
        <w:rPr>
          <w:sz w:val="24"/>
          <w:szCs w:val="24"/>
        </w:rPr>
        <w:t xml:space="preserve">     Narges Mohammadi’s </w:t>
      </w:r>
      <w:r>
        <w:rPr>
          <w:i/>
          <w:sz w:val="24"/>
          <w:szCs w:val="24"/>
        </w:rPr>
        <w:t>White Torture</w:t>
      </w:r>
      <w:r>
        <w:rPr>
          <w:sz w:val="24"/>
          <w:szCs w:val="24"/>
        </w:rPr>
        <w:t xml:space="preserve"> (recipient of the Nobel Peace Prize in 2023) extensively deals with the description of the physical and psychological torture of the fourteen women prisoners - Narges Mohammadi, Nigara Afsharzadeh, Sima Kiani, Sedigheh Moradi, Atena Daemi, Mahvash Shahriari, Zahra Zahtabchi, Hengameh Shahidi, Reyhaneh Tabatabaei, Fatemeh (Mary) </w:t>
      </w:r>
      <w:proofErr w:type="spellStart"/>
      <w:r>
        <w:rPr>
          <w:sz w:val="24"/>
          <w:szCs w:val="24"/>
        </w:rPr>
        <w:t>Mohammadi</w:t>
      </w:r>
      <w:proofErr w:type="spellEnd"/>
      <w:r>
        <w:rPr>
          <w:sz w:val="24"/>
          <w:szCs w:val="24"/>
        </w:rPr>
        <w:t xml:space="preserve">, </w:t>
      </w:r>
      <w:proofErr w:type="spellStart"/>
      <w:r>
        <w:rPr>
          <w:sz w:val="24"/>
          <w:szCs w:val="24"/>
        </w:rPr>
        <w:t>Nazila</w:t>
      </w:r>
      <w:proofErr w:type="spellEnd"/>
      <w:r>
        <w:rPr>
          <w:sz w:val="24"/>
          <w:szCs w:val="24"/>
        </w:rPr>
        <w:t xml:space="preserve"> Nouri, Nazanin </w:t>
      </w:r>
      <w:proofErr w:type="spellStart"/>
      <w:r>
        <w:rPr>
          <w:sz w:val="24"/>
          <w:szCs w:val="24"/>
        </w:rPr>
        <w:t>Zaghari</w:t>
      </w:r>
      <w:proofErr w:type="spellEnd"/>
      <w:r>
        <w:rPr>
          <w:sz w:val="24"/>
          <w:szCs w:val="24"/>
        </w:rPr>
        <w:t xml:space="preserve">-Ratcliffe, </w:t>
      </w:r>
      <w:proofErr w:type="spellStart"/>
      <w:r>
        <w:rPr>
          <w:sz w:val="24"/>
          <w:szCs w:val="24"/>
        </w:rPr>
        <w:t>Shokoufeh</w:t>
      </w:r>
      <w:proofErr w:type="spellEnd"/>
      <w:r>
        <w:rPr>
          <w:sz w:val="24"/>
          <w:szCs w:val="24"/>
        </w:rPr>
        <w:t xml:space="preserve"> </w:t>
      </w:r>
      <w:proofErr w:type="spellStart"/>
      <w:r>
        <w:rPr>
          <w:sz w:val="24"/>
          <w:szCs w:val="24"/>
        </w:rPr>
        <w:t>Yadollahi</w:t>
      </w:r>
      <w:proofErr w:type="spellEnd"/>
      <w:r>
        <w:rPr>
          <w:sz w:val="24"/>
          <w:szCs w:val="24"/>
        </w:rPr>
        <w:t xml:space="preserve">, and </w:t>
      </w:r>
      <w:proofErr w:type="spellStart"/>
      <w:r>
        <w:rPr>
          <w:sz w:val="24"/>
          <w:szCs w:val="24"/>
        </w:rPr>
        <w:t>Marzich</w:t>
      </w:r>
      <w:proofErr w:type="spellEnd"/>
      <w:r>
        <w:rPr>
          <w:sz w:val="24"/>
          <w:szCs w:val="24"/>
        </w:rPr>
        <w:t xml:space="preserve"> </w:t>
      </w:r>
      <w:proofErr w:type="spellStart"/>
      <w:r>
        <w:rPr>
          <w:sz w:val="24"/>
          <w:szCs w:val="24"/>
        </w:rPr>
        <w:t>Amiri</w:t>
      </w:r>
      <w:proofErr w:type="spellEnd"/>
      <w:r>
        <w:rPr>
          <w:sz w:val="24"/>
          <w:szCs w:val="24"/>
        </w:rPr>
        <w:t xml:space="preserve"> </w:t>
      </w:r>
      <w:proofErr w:type="spellStart"/>
      <w:r>
        <w:rPr>
          <w:sz w:val="24"/>
          <w:szCs w:val="24"/>
        </w:rPr>
        <w:t>Ghahfarrokhi</w:t>
      </w:r>
      <w:proofErr w:type="spellEnd"/>
      <w:r>
        <w:rPr>
          <w:sz w:val="24"/>
          <w:szCs w:val="24"/>
        </w:rPr>
        <w:t xml:space="preserve">. The women were social activists who advocated for women’s rights and promoted progressive ideas in Iran. The activists were thrown behind bars illegally to break their feminist, progressive thoughts and national spirit. They were forced to surrender to the radical Islamic regime of Iran. As usual, they were arrested without a clear </w:t>
      </w:r>
      <w:r>
        <w:rPr>
          <w:sz w:val="24"/>
          <w:szCs w:val="24"/>
        </w:rPr>
        <w:lastRenderedPageBreak/>
        <w:t xml:space="preserve">legal justification; the arrest was random. Once they were arrested, they were blindfolded and put in prison to experience isolation and loneliness. The prisoners experienced the pale white walls and fatal silence. The prisoners received architectural design as devastating and felt as though nothing in the world existed. The authorities tortured women prisoners on various fronts such as emotional manipulation, physical torture, deprivation of basic facilities, medical neglect, gendered dynamics and cultural-religious abuse.  </w:t>
      </w:r>
    </w:p>
    <w:p w14:paraId="4499FAD9" w14:textId="77777777" w:rsidR="00F917FA" w:rsidRDefault="006D297B">
      <w:pPr>
        <w:spacing w:line="360" w:lineRule="auto"/>
        <w:jc w:val="both"/>
        <w:rPr>
          <w:b/>
          <w:sz w:val="24"/>
          <w:szCs w:val="24"/>
        </w:rPr>
      </w:pPr>
      <w:r>
        <w:rPr>
          <w:b/>
          <w:sz w:val="24"/>
          <w:szCs w:val="24"/>
        </w:rPr>
        <w:t>Objectives:</w:t>
      </w:r>
    </w:p>
    <w:p w14:paraId="62393CA8" w14:textId="77777777" w:rsidR="00F917FA" w:rsidRDefault="006D297B">
      <w:pPr>
        <w:numPr>
          <w:ilvl w:val="0"/>
          <w:numId w:val="2"/>
        </w:numPr>
        <w:pBdr>
          <w:top w:val="nil"/>
          <w:left w:val="nil"/>
          <w:bottom w:val="nil"/>
          <w:right w:val="nil"/>
          <w:between w:val="nil"/>
        </w:pBdr>
        <w:spacing w:line="360" w:lineRule="auto"/>
        <w:ind w:left="709"/>
        <w:jc w:val="both"/>
        <w:rPr>
          <w:color w:val="000000"/>
          <w:sz w:val="24"/>
          <w:szCs w:val="24"/>
        </w:rPr>
      </w:pPr>
      <w:r>
        <w:rPr>
          <w:color w:val="000000"/>
          <w:sz w:val="24"/>
          <w:szCs w:val="24"/>
        </w:rPr>
        <w:t>To explore the role of prison architecture—white walls and silence—in facilitating psychological torture.</w:t>
      </w:r>
    </w:p>
    <w:p w14:paraId="48D8F377" w14:textId="77777777" w:rsidR="00F917FA" w:rsidRDefault="006D297B">
      <w:pPr>
        <w:numPr>
          <w:ilvl w:val="0"/>
          <w:numId w:val="2"/>
        </w:numPr>
        <w:pBdr>
          <w:top w:val="nil"/>
          <w:left w:val="nil"/>
          <w:bottom w:val="nil"/>
          <w:right w:val="nil"/>
          <w:between w:val="nil"/>
        </w:pBdr>
        <w:spacing w:line="360" w:lineRule="auto"/>
        <w:ind w:left="709"/>
        <w:jc w:val="both"/>
        <w:rPr>
          <w:color w:val="000000"/>
          <w:sz w:val="24"/>
          <w:szCs w:val="24"/>
        </w:rPr>
      </w:pPr>
      <w:r>
        <w:rPr>
          <w:color w:val="000000"/>
          <w:sz w:val="24"/>
          <w:szCs w:val="24"/>
        </w:rPr>
        <w:t>To examine the gender-specific methods of repression employed by the Iranian state.</w:t>
      </w:r>
    </w:p>
    <w:p w14:paraId="4600EE6D" w14:textId="77777777" w:rsidR="00F917FA" w:rsidRDefault="006D297B">
      <w:pPr>
        <w:numPr>
          <w:ilvl w:val="0"/>
          <w:numId w:val="2"/>
        </w:numPr>
        <w:pBdr>
          <w:top w:val="nil"/>
          <w:left w:val="nil"/>
          <w:bottom w:val="nil"/>
          <w:right w:val="nil"/>
          <w:between w:val="nil"/>
        </w:pBdr>
        <w:spacing w:line="360" w:lineRule="auto"/>
        <w:ind w:left="709"/>
        <w:jc w:val="both"/>
        <w:rPr>
          <w:color w:val="000000"/>
          <w:sz w:val="24"/>
          <w:szCs w:val="24"/>
        </w:rPr>
      </w:pPr>
      <w:r>
        <w:rPr>
          <w:color w:val="000000"/>
          <w:sz w:val="24"/>
          <w:szCs w:val="24"/>
        </w:rPr>
        <w:t>To analyze the intersection of emotional, physical, medical, and cultural abuse in the prison experiences of women.</w:t>
      </w:r>
    </w:p>
    <w:p w14:paraId="2CC7AF67" w14:textId="77777777" w:rsidR="00F917FA" w:rsidRDefault="006D297B">
      <w:pPr>
        <w:numPr>
          <w:ilvl w:val="0"/>
          <w:numId w:val="2"/>
        </w:numPr>
        <w:pBdr>
          <w:top w:val="nil"/>
          <w:left w:val="nil"/>
          <w:bottom w:val="nil"/>
          <w:right w:val="nil"/>
          <w:between w:val="nil"/>
        </w:pBdr>
        <w:spacing w:line="360" w:lineRule="auto"/>
        <w:ind w:left="709"/>
        <w:jc w:val="both"/>
        <w:rPr>
          <w:color w:val="000000"/>
          <w:sz w:val="24"/>
          <w:szCs w:val="24"/>
        </w:rPr>
      </w:pPr>
      <w:r>
        <w:rPr>
          <w:color w:val="000000"/>
          <w:sz w:val="24"/>
          <w:szCs w:val="24"/>
        </w:rPr>
        <w:t>To highlight how family, religion, and social roles are weaponized against women activists.</w:t>
      </w:r>
    </w:p>
    <w:p w14:paraId="03A0DA2A" w14:textId="77777777" w:rsidR="00F917FA" w:rsidRDefault="006D297B">
      <w:pPr>
        <w:numPr>
          <w:ilvl w:val="0"/>
          <w:numId w:val="2"/>
        </w:numPr>
        <w:pBdr>
          <w:top w:val="nil"/>
          <w:left w:val="nil"/>
          <w:bottom w:val="nil"/>
          <w:right w:val="nil"/>
          <w:between w:val="nil"/>
        </w:pBdr>
        <w:spacing w:after="240" w:line="360" w:lineRule="auto"/>
        <w:ind w:left="709"/>
        <w:jc w:val="both"/>
        <w:rPr>
          <w:color w:val="000000"/>
          <w:sz w:val="24"/>
          <w:szCs w:val="24"/>
        </w:rPr>
      </w:pPr>
      <w:r>
        <w:rPr>
          <w:color w:val="000000"/>
          <w:sz w:val="24"/>
          <w:szCs w:val="24"/>
        </w:rPr>
        <w:t>To document the resilience, trauma, and continued resistance of these women within and beyond incarceration.</w:t>
      </w:r>
    </w:p>
    <w:p w14:paraId="4CDE2545" w14:textId="77777777" w:rsidR="00F917FA" w:rsidRDefault="006D297B">
      <w:pPr>
        <w:spacing w:line="360" w:lineRule="auto"/>
        <w:jc w:val="both"/>
        <w:rPr>
          <w:b/>
          <w:sz w:val="24"/>
          <w:szCs w:val="24"/>
        </w:rPr>
      </w:pPr>
      <w:r>
        <w:rPr>
          <w:b/>
          <w:sz w:val="24"/>
          <w:szCs w:val="24"/>
        </w:rPr>
        <w:t>Analysis:</w:t>
      </w:r>
    </w:p>
    <w:p w14:paraId="0148A1C2" w14:textId="77777777" w:rsidR="00F917FA" w:rsidRDefault="006D297B">
      <w:pPr>
        <w:spacing w:line="360" w:lineRule="auto"/>
        <w:ind w:firstLine="720"/>
        <w:jc w:val="both"/>
        <w:rPr>
          <w:sz w:val="24"/>
          <w:szCs w:val="24"/>
        </w:rPr>
      </w:pPr>
      <w:r>
        <w:rPr>
          <w:sz w:val="24"/>
          <w:szCs w:val="24"/>
        </w:rPr>
        <w:t xml:space="preserve">Narges experienced emotional manipulation during her imprisonment. She was arrested without any concrete proof. After her arrest, she was tortured to confess her association with the Defenders of the Human Rights Centre (DHRC).  DHRC was a threat to the regime, and hence the authorities wanted to break down the </w:t>
      </w:r>
      <w:proofErr w:type="spellStart"/>
      <w:r>
        <w:rPr>
          <w:sz w:val="24"/>
          <w:szCs w:val="24"/>
        </w:rPr>
        <w:t>centre</w:t>
      </w:r>
      <w:proofErr w:type="spellEnd"/>
      <w:r>
        <w:rPr>
          <w:sz w:val="24"/>
          <w:szCs w:val="24"/>
        </w:rPr>
        <w:t xml:space="preserve"> by the random arrest of those who were associated with it. Narges was forced to give in writing her resignation from the </w:t>
      </w:r>
      <w:proofErr w:type="spellStart"/>
      <w:r>
        <w:rPr>
          <w:sz w:val="24"/>
          <w:szCs w:val="24"/>
        </w:rPr>
        <w:t>centre's</w:t>
      </w:r>
      <w:proofErr w:type="spellEnd"/>
      <w:r>
        <w:rPr>
          <w:sz w:val="24"/>
          <w:szCs w:val="24"/>
        </w:rPr>
        <w:t xml:space="preserve"> membership. She denied. She was forced to undergo emotional torture. On her torture, she writes, “… morality had been forgotten and humanity had collapsed at the prison threshold”. (32) Taghi Rehmani, Narges’s husband, was a journalist and activist on the same line as Narges. To torture and disturb the family, four new cases were opened against Taghi. To avoid the exploitative inquiry, he fled to France. The government forced Narges to flee and join her husband so that they could prevent her from being a part of the awareness campaign. The authorities tried every possible option to force Narges to leave the country. </w:t>
      </w:r>
    </w:p>
    <w:p w14:paraId="5A725336" w14:textId="77777777" w:rsidR="00F917FA" w:rsidRDefault="006D297B">
      <w:pPr>
        <w:spacing w:line="360" w:lineRule="auto"/>
        <w:ind w:firstLine="720"/>
        <w:jc w:val="both"/>
        <w:rPr>
          <w:sz w:val="24"/>
          <w:szCs w:val="24"/>
        </w:rPr>
      </w:pPr>
      <w:r>
        <w:rPr>
          <w:sz w:val="24"/>
          <w:szCs w:val="24"/>
        </w:rPr>
        <w:t xml:space="preserve">As part of the emotional abuse, Nigara was interrogated about her intimate life. Though temporarily married, she was forced to describe intimate details of her relationship. Interrogators insisted she confirm the use of honey during intercourse, pressuring her until she </w:t>
      </w:r>
      <w:r>
        <w:rPr>
          <w:sz w:val="24"/>
          <w:szCs w:val="24"/>
        </w:rPr>
        <w:lastRenderedPageBreak/>
        <w:t xml:space="preserve">falsely admitted it. Her phone calls were recorded. In the case of Zahra Zahtabchi, the interrogator called at her home and threatened her children, saying that their mother would be executed soon. The prison authorities shattered the family’s spirit. The interrogators and prison authorities threaten families and children to manipulate the spirit of the activists emotionally.  </w:t>
      </w:r>
    </w:p>
    <w:p w14:paraId="6EEF203F" w14:textId="77777777" w:rsidR="00F917FA" w:rsidRDefault="006D297B">
      <w:pPr>
        <w:spacing w:line="360" w:lineRule="auto"/>
        <w:ind w:firstLine="720"/>
        <w:jc w:val="both"/>
        <w:rPr>
          <w:sz w:val="24"/>
          <w:szCs w:val="24"/>
        </w:rPr>
      </w:pPr>
      <w:r>
        <w:rPr>
          <w:sz w:val="24"/>
          <w:szCs w:val="24"/>
        </w:rPr>
        <w:t xml:space="preserve">The prisoners had undergone the trauma of physical torture also. The authorities employed sexual harassment, threats, and violence for control and humiliation. During her second arrest in June 2017, Narges was humiliated drastically. She was accused of ‘propaganda against the regime’ and during the admission process, she was told to be naked for body inspection. Narges said that the officer woman was not ashamed of this act; rather, she behaved violently. Narges was not given comfortable clothes. On her way to an interrogation room, she fell from the stairs. The interrogator recommended injecting serum. First, she denied it, but she was tied to a bed and they forcefully injected her; she was motionless. As an alone being, she cannot oppose them and surrender to the man force of the prison. Sedigheh Moradi was beaten during her interrogation. Her eyes were injured badly and left without any medical attention. </w:t>
      </w:r>
    </w:p>
    <w:p w14:paraId="66B51030" w14:textId="77777777" w:rsidR="00F917FA" w:rsidRDefault="006D297B">
      <w:pPr>
        <w:spacing w:line="360" w:lineRule="auto"/>
        <w:ind w:firstLine="720"/>
        <w:jc w:val="both"/>
        <w:rPr>
          <w:sz w:val="24"/>
          <w:szCs w:val="24"/>
        </w:rPr>
      </w:pPr>
      <w:r>
        <w:rPr>
          <w:sz w:val="24"/>
          <w:szCs w:val="24"/>
        </w:rPr>
        <w:t xml:space="preserve">Mahvash Shahriari was brutally tortured in jail. She was deprived of the basic facilities. Due to a scarcity of food and restless sleep, she deteriorated in her physical and mental health. On her return home, she looks at herself in the mirror of the elevator. She describes her state, “Suddenly, my eyes set on the mirror in the elevator, and I saw someone I did not know. I stared at her and wondered who she was. I asked myself if there was anyone other than her and me. I looked around and saw that there were only the two of us. So, was that yellow, skinny, emaciated woman with white hair and untrimmed eyebrows, me? I immediately felt bad that I hadn't recognized myself” (135). Shahriari’s observation of her mirror image underlines the depth of cruelty imposed upon the prisoners during their imprisonment. </w:t>
      </w:r>
    </w:p>
    <w:p w14:paraId="4B3AF2A7" w14:textId="77777777" w:rsidR="00F917FA" w:rsidRDefault="006D297B">
      <w:pPr>
        <w:spacing w:line="360" w:lineRule="auto"/>
        <w:ind w:firstLine="720"/>
        <w:jc w:val="both"/>
        <w:rPr>
          <w:sz w:val="24"/>
          <w:szCs w:val="24"/>
        </w:rPr>
      </w:pPr>
      <w:r>
        <w:rPr>
          <w:sz w:val="24"/>
          <w:szCs w:val="24"/>
        </w:rPr>
        <w:t xml:space="preserve">The prisoners were deprived of basic facilities in the prison. On her first arrest, Narges Mohammadi writes, “It was the first time I'd been locked in a cell. What a strange environment; a small box without a window or a slight way out. A very small skylight, up above my head, but almost no natural light entered. High up, in a hole in the wall, a small 100-watt light bulb that never went out” (56). In the Ishratabad Military Detention Centre, the arrangement of the cells, interrogation rooms, toilets, and bathrooms </w:t>
      </w:r>
      <w:proofErr w:type="gramStart"/>
      <w:r>
        <w:rPr>
          <w:sz w:val="24"/>
          <w:szCs w:val="24"/>
        </w:rPr>
        <w:t>is</w:t>
      </w:r>
      <w:proofErr w:type="gramEnd"/>
      <w:r>
        <w:rPr>
          <w:sz w:val="24"/>
          <w:szCs w:val="24"/>
        </w:rPr>
        <w:t xml:space="preserve"> designed in such a way that the prisoners must be harassed by the atmosphere itself. White walls and silence were the company for the prisoners. Narges experienced less oxygen; she could not breathe easily; she lost her appetite. The door of the cell was always closed. This abnormality leads to her claustrophobia. The condition was unbearable for her; she wished to have a heart attack to be free from the torture. This experience intensifies the level of physical torture. It is a way to deteriorate the spirit of </w:t>
      </w:r>
      <w:r>
        <w:rPr>
          <w:sz w:val="24"/>
          <w:szCs w:val="24"/>
        </w:rPr>
        <w:lastRenderedPageBreak/>
        <w:t xml:space="preserve">the activists.    </w:t>
      </w:r>
    </w:p>
    <w:p w14:paraId="2F7BDC1E" w14:textId="77777777" w:rsidR="00F917FA" w:rsidRDefault="006D297B">
      <w:pPr>
        <w:spacing w:line="360" w:lineRule="auto"/>
        <w:jc w:val="both"/>
        <w:rPr>
          <w:sz w:val="24"/>
          <w:szCs w:val="24"/>
        </w:rPr>
      </w:pPr>
      <w:r>
        <w:rPr>
          <w:sz w:val="24"/>
          <w:szCs w:val="24"/>
        </w:rPr>
        <w:tab/>
        <w:t>Regarding the deprivation of basic facilities, Fatemeh Mohammadi described her experience as one filled with insult and agony. She says that she had to press the button that ignited a light in the officer’s room when she wanted to go to the toilet. The officers shouted and yelled at her. She said, “Every time I pressed the button, the officers came in the bad-tempered, yelling at me about why I went to the toilet so frequently, and their anger and the fights made me more cautious about drinking water. So, I drank less water” (177). It suggests the deprivation and torture of the prisoners. The authorities did not show even the slightest respect towards the prisoners. There was no space or place for the humanities in the prisons. In addition, Hengameh Shahidi wrote that her cell was too narrow and it was completely covered with CCTV. She has to use the washroom and the toilet in front of the camera and the officers. This was one of the psychological tortures for her.</w:t>
      </w:r>
    </w:p>
    <w:p w14:paraId="3DB83082" w14:textId="77777777" w:rsidR="00F917FA" w:rsidRDefault="006D297B">
      <w:pPr>
        <w:spacing w:line="360" w:lineRule="auto"/>
        <w:ind w:firstLine="720"/>
        <w:jc w:val="both"/>
        <w:rPr>
          <w:sz w:val="24"/>
          <w:szCs w:val="24"/>
        </w:rPr>
      </w:pPr>
      <w:r>
        <w:rPr>
          <w:sz w:val="24"/>
          <w:szCs w:val="24"/>
        </w:rPr>
        <w:t>Denial of necessary medical care, particularly related to women's health and reproductive needs, was a strong weapon to torture and crush the spirit of the prisoners.  In prison, Narges felt numb; she reported that her health condition was declining. She did not have any strength during her imprisonment. She was unconscious; she did not notice any movement of the legs or tongue in the mouth. The same experience Nigara Asharzadeh mentioned when she spent several nights without sleep. In her interview, she mentioned that a black liquid came out from her nipples. She was not medically attended. She faced insomnia and anxiety due to the medical issues she experienced. She suffered from the problem even after her release. Zahra Zahtabchi broke her teeth in prison. She reported to the guards. The guard handed over a few pills, mentioning that these were the antibiotic pills. Later, her tooth was badly infected, and proper medical treatment was necessary. A doctor visited her and said that nothing would be done. She has to put up with it. She had trouble eating. The broken tooth was untreated until the end of her confinement. The imprisonment disrupted their normal life after serving the prison sentence.</w:t>
      </w:r>
    </w:p>
    <w:p w14:paraId="5E29BB40" w14:textId="77777777" w:rsidR="00F917FA" w:rsidRDefault="006D297B">
      <w:pPr>
        <w:spacing w:line="360" w:lineRule="auto"/>
        <w:ind w:firstLine="720"/>
        <w:jc w:val="both"/>
        <w:rPr>
          <w:sz w:val="24"/>
          <w:szCs w:val="24"/>
        </w:rPr>
      </w:pPr>
      <w:r>
        <w:rPr>
          <w:sz w:val="24"/>
          <w:szCs w:val="24"/>
        </w:rPr>
        <w:t xml:space="preserve">The imprisoned women also have family responsibilities, and the authorities used that to crush their confidence by bringing the families into the arrest and prisoning process. The mother worried about their kids. Narges writes, “Kiana behaved strangely, understanding the terrifying atmosphere… Ali held my coat. Kiana, who was wearing a beautiful skirt, clung to me and said, 'Mama, don't leave us alone, we will come with you. Separating from the children was much harder than last time. I felt like my heart tore apart”. (41) Nigara Afsharzadeh was also arrested on the street when she was with her family. She was not told that she was being arrested. Later, the authority mentioned that the children had been taken to an orphanage. Her </w:t>
      </w:r>
      <w:r>
        <w:rPr>
          <w:sz w:val="24"/>
          <w:szCs w:val="24"/>
        </w:rPr>
        <w:lastRenderedPageBreak/>
        <w:t xml:space="preserve">family roles as a daughter-in-law and mother were at risk. She mentioned during her interview, “I love my grandmother indescribably. When they told me she was dead, I went to the cell and wept so hard. I performed the third, seventh and fortieth ceremonies for her. One day, the interrogator said, "Eldar (my six-year-old son) is ill and has been taken to the hospital. He needs a kidney. He is dying.” </w:t>
      </w:r>
    </w:p>
    <w:p w14:paraId="02015FCB" w14:textId="77777777" w:rsidR="00F917FA" w:rsidRDefault="006D297B">
      <w:pPr>
        <w:spacing w:line="360" w:lineRule="auto"/>
        <w:ind w:firstLine="720"/>
        <w:jc w:val="both"/>
        <w:rPr>
          <w:sz w:val="24"/>
          <w:szCs w:val="24"/>
        </w:rPr>
      </w:pPr>
      <w:r>
        <w:rPr>
          <w:sz w:val="24"/>
          <w:szCs w:val="24"/>
        </w:rPr>
        <w:t xml:space="preserve">Nazanin was put in the Kerman Central Prison, and she experienced a difficult situation there. Being a mother, it was a tough time for her. She narrates, “On the thirty-first day of my detention, the meeting was in a guest house. I met my parents, Gisoo (my daughter) and my sister there. After the meeting, I felt awful. Gisoo had changed. She had teethed. She didn't </w:t>
      </w:r>
      <w:proofErr w:type="spellStart"/>
      <w:r>
        <w:rPr>
          <w:sz w:val="24"/>
          <w:szCs w:val="24"/>
        </w:rPr>
        <w:t>recognise</w:t>
      </w:r>
      <w:proofErr w:type="spellEnd"/>
      <w:r>
        <w:rPr>
          <w:sz w:val="24"/>
          <w:szCs w:val="24"/>
        </w:rPr>
        <w:t xml:space="preserve"> me. I didn't </w:t>
      </w:r>
      <w:proofErr w:type="spellStart"/>
      <w:r>
        <w:rPr>
          <w:sz w:val="24"/>
          <w:szCs w:val="24"/>
        </w:rPr>
        <w:t>recognise</w:t>
      </w:r>
      <w:proofErr w:type="spellEnd"/>
      <w:r>
        <w:rPr>
          <w:sz w:val="24"/>
          <w:szCs w:val="24"/>
        </w:rPr>
        <w:t xml:space="preserve"> her either when I first saw her. When they came in, she was in my father's arms. I was so weak that I could not stand. She clung to me and didn't move at all for a few minutes.” (95) She says that it is difficult to be in solitary confinement, but it becomes worse when you put in the drugs addicted prisoners. It was hard for her to bear with addicted people. Sima Kiani was deprived of meeting her family members. Her family members came to meet her at Elvin, but she was not informed about it, and her family members were told that she had not been there. </w:t>
      </w:r>
    </w:p>
    <w:p w14:paraId="09C4A48C" w14:textId="77777777" w:rsidR="00F917FA" w:rsidRDefault="006D297B">
      <w:pPr>
        <w:spacing w:after="240" w:line="360" w:lineRule="auto"/>
        <w:ind w:firstLine="720"/>
        <w:jc w:val="both"/>
        <w:rPr>
          <w:sz w:val="24"/>
          <w:szCs w:val="24"/>
        </w:rPr>
      </w:pPr>
      <w:r>
        <w:rPr>
          <w:sz w:val="24"/>
          <w:szCs w:val="24"/>
        </w:rPr>
        <w:t xml:space="preserve">Zahra Zahtabchi was tortured by using religious references. During her trial, the interrogator mentioned that her case was not accepted by the public defender because it was serious and sensitive. She was charged with </w:t>
      </w:r>
      <w:r>
        <w:rPr>
          <w:i/>
          <w:sz w:val="24"/>
          <w:szCs w:val="24"/>
        </w:rPr>
        <w:t xml:space="preserve">moharebeh. </w:t>
      </w:r>
      <w:r>
        <w:rPr>
          <w:sz w:val="24"/>
          <w:szCs w:val="24"/>
        </w:rPr>
        <w:t xml:space="preserve">Moharebeh is the crime of ‘waging war against God and the state and enmity against God'. It is a capital crime in the Islamic Republic of Iran. The authorities played an ideological battle to delude the prisoners. Here, the crime against God is set as a crime against the state. It signifies that the state authority is equal to God.  </w:t>
      </w:r>
    </w:p>
    <w:p w14:paraId="57E9525F" w14:textId="77777777" w:rsidR="00F917FA" w:rsidRDefault="006D297B">
      <w:pPr>
        <w:spacing w:line="360" w:lineRule="auto"/>
        <w:jc w:val="both"/>
        <w:rPr>
          <w:b/>
          <w:sz w:val="24"/>
          <w:szCs w:val="24"/>
        </w:rPr>
      </w:pPr>
      <w:r>
        <w:rPr>
          <w:b/>
          <w:sz w:val="24"/>
          <w:szCs w:val="24"/>
        </w:rPr>
        <w:t xml:space="preserve">Observations and Findings: </w:t>
      </w:r>
    </w:p>
    <w:p w14:paraId="2D09EA3C"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After interviewing the prisoners and reflecting on her experiences, Narges wrote about the structure of the cells and the prison as a whole. She says that the prison is not only about the physical or geographical location to torture the prisoners, but the cells are humanely characterised. </w:t>
      </w:r>
    </w:p>
    <w:p w14:paraId="706BC148"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The guards behaved so rudely. Their arrogant body language, rude voices and threats crushed the prisoners. They were emotionally cut off from the prisoners.</w:t>
      </w:r>
    </w:p>
    <w:p w14:paraId="70E2DDEA"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Humans are social animals. There must be someone to talk to. One cannot keep mum for days. The women prisoners were cut off from society and deprived of having any meaningful dialogue with anyone around. This intense isolation and loneliness left them </w:t>
      </w:r>
      <w:r>
        <w:rPr>
          <w:color w:val="000000"/>
          <w:sz w:val="24"/>
          <w:szCs w:val="24"/>
        </w:rPr>
        <w:lastRenderedPageBreak/>
        <w:t xml:space="preserve">on the verge of mental collapse. </w:t>
      </w:r>
    </w:p>
    <w:p w14:paraId="4A685677"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The prisoners were not allowed to keep their personal lives private. Their personal lives were discussed. The interrogators exposed Fatemeh to all. They checked her phone calls and recorded her calls during her interrogations. She admits that they delved into the most private corners of her life, which had nothing to do with accusations against her. This humiliation and torture led to mental and physical degeneration.</w:t>
      </w:r>
    </w:p>
    <w:p w14:paraId="1FC9E1D5"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The long period of silence and physical torture made the prisoners suffer from mental trauma. Even after serving the jail sentence, the prisoners could not </w:t>
      </w:r>
      <w:proofErr w:type="spellStart"/>
      <w:r>
        <w:rPr>
          <w:color w:val="000000"/>
          <w:sz w:val="24"/>
          <w:szCs w:val="24"/>
        </w:rPr>
        <w:t>stabilise</w:t>
      </w:r>
      <w:proofErr w:type="spellEnd"/>
      <w:r>
        <w:rPr>
          <w:color w:val="000000"/>
          <w:sz w:val="24"/>
          <w:szCs w:val="24"/>
        </w:rPr>
        <w:t xml:space="preserve"> in their personal and social lives. </w:t>
      </w:r>
    </w:p>
    <w:p w14:paraId="1EE9709D"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Nigara felt a mental disturbance in the cell. A year and a half of solitary confinement made her mentally disturbed. She used to chew bread for a long time and then made a doll and a cross for her son, which is a desperate gesture to make sense out of utter helplessness and nothingness.</w:t>
      </w:r>
      <w:r>
        <w:rPr>
          <w:color w:val="000000"/>
        </w:rPr>
        <w:t xml:space="preserve"> </w:t>
      </w:r>
    </w:p>
    <w:p w14:paraId="7C91EE67" w14:textId="77777777" w:rsidR="00F917FA" w:rsidRDefault="006D297B">
      <w:pPr>
        <w:numPr>
          <w:ilvl w:val="0"/>
          <w:numId w:val="1"/>
        </w:numPr>
        <w:pBdr>
          <w:top w:val="nil"/>
          <w:left w:val="nil"/>
          <w:bottom w:val="nil"/>
          <w:right w:val="nil"/>
          <w:between w:val="nil"/>
        </w:pBdr>
        <w:spacing w:line="360" w:lineRule="auto"/>
        <w:jc w:val="both"/>
        <w:rPr>
          <w:color w:val="000000"/>
          <w:sz w:val="24"/>
          <w:szCs w:val="24"/>
        </w:rPr>
      </w:pPr>
      <w:r>
        <w:rPr>
          <w:color w:val="000000"/>
          <w:sz w:val="24"/>
          <w:szCs w:val="24"/>
        </w:rPr>
        <w:t xml:space="preserve">Nazanin Ratcliffe also suffered panic attacks long after she served her jail sentence. She was claustrophobic. </w:t>
      </w:r>
    </w:p>
    <w:p w14:paraId="0573EE8A" w14:textId="77777777" w:rsidR="00F917FA" w:rsidRDefault="006D297B">
      <w:pPr>
        <w:numPr>
          <w:ilvl w:val="0"/>
          <w:numId w:val="1"/>
        </w:numPr>
        <w:pBdr>
          <w:top w:val="nil"/>
          <w:left w:val="nil"/>
          <w:bottom w:val="nil"/>
          <w:right w:val="nil"/>
          <w:between w:val="nil"/>
        </w:pBdr>
        <w:spacing w:after="240" w:line="360" w:lineRule="auto"/>
        <w:jc w:val="both"/>
        <w:rPr>
          <w:color w:val="000000"/>
          <w:sz w:val="24"/>
          <w:szCs w:val="24"/>
        </w:rPr>
      </w:pPr>
      <w:r>
        <w:rPr>
          <w:color w:val="000000"/>
          <w:sz w:val="24"/>
          <w:szCs w:val="24"/>
        </w:rPr>
        <w:t>Out of extreme isolation and loneliness, Fatemeh’s health deteriorated as a result of stress. She remembered that one day she was sick. Out of extreme anxiety, she began to hit her head against the wall several times.  Their traumas underscore the deep, enduring scars inflicted by systemic oppression.</w:t>
      </w:r>
    </w:p>
    <w:p w14:paraId="4B92E731" w14:textId="77777777" w:rsidR="00F917FA" w:rsidRDefault="006D297B">
      <w:pPr>
        <w:spacing w:line="360" w:lineRule="auto"/>
        <w:jc w:val="both"/>
        <w:rPr>
          <w:b/>
          <w:sz w:val="24"/>
          <w:szCs w:val="24"/>
        </w:rPr>
      </w:pPr>
      <w:r>
        <w:rPr>
          <w:b/>
          <w:sz w:val="24"/>
          <w:szCs w:val="24"/>
        </w:rPr>
        <w:t xml:space="preserve">Conclusions:   </w:t>
      </w:r>
    </w:p>
    <w:p w14:paraId="5DBC3271" w14:textId="77777777" w:rsidR="00F917FA" w:rsidRDefault="006D297B">
      <w:pPr>
        <w:spacing w:line="360" w:lineRule="auto"/>
        <w:jc w:val="both"/>
        <w:rPr>
          <w:sz w:val="24"/>
          <w:szCs w:val="24"/>
        </w:rPr>
      </w:pPr>
      <w:bookmarkStart w:id="2" w:name="_heading=h.o3l4e4ng5feo" w:colFirst="0" w:colLast="0"/>
      <w:bookmarkEnd w:id="2"/>
      <w:r>
        <w:rPr>
          <w:sz w:val="24"/>
          <w:szCs w:val="24"/>
        </w:rPr>
        <w:t xml:space="preserve">     Based on analysis, observations and findings above, the following conclusions can be drawn, and the same also prove that the objectives of the study are largely achieved:</w:t>
      </w:r>
    </w:p>
    <w:p w14:paraId="17E80B9E"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The paper highlights the gendered and systemic nature of torture practiced by the Iranian regime.</w:t>
      </w:r>
    </w:p>
    <w:p w14:paraId="3C127BD3"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The women were subjected to a severe form of psychological and physical abuse.</w:t>
      </w:r>
    </w:p>
    <w:p w14:paraId="2C2515CF"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The work under consideration shows the strategic use of spatial, medical, emotional, and sexual tools in psychological warfare against female dissidents.</w:t>
      </w:r>
    </w:p>
    <w:p w14:paraId="25C27CF8"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 xml:space="preserve">It demonstrates how cultural roles and religious doctrine are co-opted to </w:t>
      </w:r>
      <w:proofErr w:type="spellStart"/>
      <w:r>
        <w:rPr>
          <w:color w:val="000000"/>
          <w:sz w:val="24"/>
          <w:szCs w:val="24"/>
        </w:rPr>
        <w:t>legitimise</w:t>
      </w:r>
      <w:proofErr w:type="spellEnd"/>
      <w:r>
        <w:rPr>
          <w:color w:val="000000"/>
          <w:sz w:val="24"/>
          <w:szCs w:val="24"/>
        </w:rPr>
        <w:t xml:space="preserve"> patriarchal repression.</w:t>
      </w:r>
    </w:p>
    <w:p w14:paraId="3140F69C"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It contributes to feminist and human rights discourses by documenting lived experiences of resistance and trauma.</w:t>
      </w:r>
    </w:p>
    <w:p w14:paraId="24418136" w14:textId="77777777" w:rsidR="00F917FA" w:rsidRDefault="006D297B">
      <w:pPr>
        <w:numPr>
          <w:ilvl w:val="0"/>
          <w:numId w:val="3"/>
        </w:numPr>
        <w:pBdr>
          <w:top w:val="nil"/>
          <w:left w:val="nil"/>
          <w:bottom w:val="nil"/>
          <w:right w:val="nil"/>
          <w:between w:val="nil"/>
        </w:pBdr>
        <w:spacing w:line="360" w:lineRule="auto"/>
        <w:ind w:left="1134"/>
        <w:jc w:val="both"/>
        <w:rPr>
          <w:color w:val="000000"/>
          <w:sz w:val="24"/>
          <w:szCs w:val="24"/>
        </w:rPr>
      </w:pPr>
      <w:r>
        <w:rPr>
          <w:color w:val="000000"/>
          <w:sz w:val="24"/>
          <w:szCs w:val="24"/>
        </w:rPr>
        <w:t>It calls for increased international scrutiny and advocacy against state-sponsored gendered violence.</w:t>
      </w:r>
    </w:p>
    <w:p w14:paraId="0006B37C" w14:textId="77777777" w:rsidR="00F917FA" w:rsidRDefault="00F917FA">
      <w:pPr>
        <w:pBdr>
          <w:top w:val="nil"/>
          <w:left w:val="nil"/>
          <w:bottom w:val="nil"/>
          <w:right w:val="nil"/>
          <w:between w:val="nil"/>
        </w:pBdr>
        <w:spacing w:line="360" w:lineRule="auto"/>
        <w:ind w:left="1134"/>
        <w:jc w:val="both"/>
        <w:rPr>
          <w:color w:val="000000"/>
          <w:sz w:val="24"/>
          <w:szCs w:val="24"/>
        </w:rPr>
      </w:pPr>
    </w:p>
    <w:p w14:paraId="1C205EBC" w14:textId="77777777" w:rsidR="00F917FA" w:rsidRDefault="006D297B">
      <w:pPr>
        <w:spacing w:line="360" w:lineRule="auto"/>
        <w:jc w:val="both"/>
        <w:rPr>
          <w:sz w:val="24"/>
          <w:szCs w:val="24"/>
        </w:rPr>
      </w:pPr>
      <w:r>
        <w:rPr>
          <w:b/>
          <w:sz w:val="24"/>
          <w:szCs w:val="24"/>
        </w:rPr>
        <w:t xml:space="preserve">References: </w:t>
      </w:r>
    </w:p>
    <w:p w14:paraId="20DF1F1A" w14:textId="77777777" w:rsidR="00F917FA" w:rsidRDefault="006D297B">
      <w:pPr>
        <w:spacing w:line="360" w:lineRule="auto"/>
        <w:ind w:left="720"/>
        <w:jc w:val="both"/>
        <w:rPr>
          <w:sz w:val="24"/>
          <w:szCs w:val="24"/>
        </w:rPr>
      </w:pPr>
      <w:r>
        <w:rPr>
          <w:sz w:val="24"/>
          <w:szCs w:val="24"/>
        </w:rPr>
        <w:t xml:space="preserve">Mohammadi, Narges. </w:t>
      </w:r>
      <w:r>
        <w:rPr>
          <w:i/>
          <w:sz w:val="24"/>
          <w:szCs w:val="24"/>
        </w:rPr>
        <w:t xml:space="preserve">White Torture. </w:t>
      </w:r>
      <w:r>
        <w:rPr>
          <w:sz w:val="24"/>
          <w:szCs w:val="24"/>
        </w:rPr>
        <w:t xml:space="preserve">London: Oneworld Publications, 2023. Print. </w:t>
      </w:r>
    </w:p>
    <w:p w14:paraId="2AB8F087" w14:textId="77777777" w:rsidR="00F917FA" w:rsidRDefault="006D297B">
      <w:pPr>
        <w:widowControl/>
        <w:tabs>
          <w:tab w:val="left" w:pos="567"/>
        </w:tabs>
        <w:spacing w:line="360" w:lineRule="auto"/>
        <w:ind w:left="720"/>
        <w:jc w:val="both"/>
        <w:rPr>
          <w:sz w:val="24"/>
          <w:szCs w:val="24"/>
        </w:rPr>
      </w:pPr>
      <w:r>
        <w:rPr>
          <w:sz w:val="24"/>
          <w:szCs w:val="24"/>
        </w:rPr>
        <w:t xml:space="preserve">Mukhopadhyay, Arpita. </w:t>
      </w:r>
      <w:r>
        <w:rPr>
          <w:i/>
          <w:sz w:val="24"/>
          <w:szCs w:val="24"/>
        </w:rPr>
        <w:t>Feminisms</w:t>
      </w:r>
      <w:r>
        <w:rPr>
          <w:sz w:val="24"/>
          <w:szCs w:val="24"/>
        </w:rPr>
        <w:t xml:space="preserve">. Hyderabad: Orient </w:t>
      </w:r>
      <w:proofErr w:type="spellStart"/>
      <w:r>
        <w:rPr>
          <w:sz w:val="24"/>
          <w:szCs w:val="24"/>
        </w:rPr>
        <w:t>Blackswan</w:t>
      </w:r>
      <w:proofErr w:type="spellEnd"/>
      <w:r>
        <w:rPr>
          <w:sz w:val="24"/>
          <w:szCs w:val="24"/>
        </w:rPr>
        <w:t xml:space="preserve">, 2016. Print. </w:t>
      </w:r>
    </w:p>
    <w:p w14:paraId="13F03AD8" w14:textId="77777777" w:rsidR="00F917FA" w:rsidRDefault="006D297B">
      <w:pPr>
        <w:widowControl/>
        <w:tabs>
          <w:tab w:val="left" w:pos="567"/>
          <w:tab w:val="left" w:pos="709"/>
        </w:tabs>
        <w:spacing w:line="360" w:lineRule="auto"/>
        <w:ind w:left="1287" w:hanging="566"/>
        <w:jc w:val="both"/>
        <w:rPr>
          <w:sz w:val="24"/>
          <w:szCs w:val="24"/>
        </w:rPr>
      </w:pPr>
      <w:r>
        <w:rPr>
          <w:sz w:val="24"/>
          <w:szCs w:val="24"/>
        </w:rPr>
        <w:t xml:space="preserve">Uma, Alladi. </w:t>
      </w:r>
      <w:r>
        <w:rPr>
          <w:i/>
          <w:sz w:val="24"/>
          <w:szCs w:val="24"/>
        </w:rPr>
        <w:t xml:space="preserve">Woman and Her </w:t>
      </w:r>
      <w:proofErr w:type="spellStart"/>
      <w:r>
        <w:rPr>
          <w:i/>
          <w:sz w:val="24"/>
          <w:szCs w:val="24"/>
        </w:rPr>
        <w:t>Family.</w:t>
      </w:r>
      <w:r>
        <w:rPr>
          <w:sz w:val="24"/>
          <w:szCs w:val="24"/>
        </w:rPr>
        <w:t>New</w:t>
      </w:r>
      <w:proofErr w:type="spellEnd"/>
      <w:r>
        <w:rPr>
          <w:sz w:val="24"/>
          <w:szCs w:val="24"/>
        </w:rPr>
        <w:t xml:space="preserve"> Delhi: Sterling Publication, 2006. Print.  </w:t>
      </w:r>
    </w:p>
    <w:p w14:paraId="020E351B" w14:textId="77777777" w:rsidR="00F917FA" w:rsidRDefault="006D297B">
      <w:pPr>
        <w:widowControl/>
        <w:tabs>
          <w:tab w:val="left" w:pos="567"/>
        </w:tabs>
        <w:spacing w:line="360" w:lineRule="auto"/>
        <w:ind w:left="1287" w:hanging="566"/>
        <w:jc w:val="both"/>
        <w:rPr>
          <w:sz w:val="24"/>
          <w:szCs w:val="24"/>
        </w:rPr>
      </w:pPr>
      <w:r>
        <w:rPr>
          <w:sz w:val="24"/>
          <w:szCs w:val="24"/>
        </w:rPr>
        <w:t xml:space="preserve">Walters, Margaret. </w:t>
      </w:r>
      <w:r>
        <w:rPr>
          <w:i/>
          <w:sz w:val="24"/>
          <w:szCs w:val="24"/>
        </w:rPr>
        <w:t xml:space="preserve">Feminism: A Very Short Introduction. </w:t>
      </w:r>
      <w:r>
        <w:rPr>
          <w:sz w:val="24"/>
          <w:szCs w:val="24"/>
        </w:rPr>
        <w:t xml:space="preserve">New York: Oxford University Press, 2005. Print. </w:t>
      </w:r>
    </w:p>
    <w:p w14:paraId="76180EF8" w14:textId="77777777" w:rsidR="00F917FA" w:rsidRDefault="006D297B">
      <w:pPr>
        <w:widowControl/>
        <w:tabs>
          <w:tab w:val="left" w:pos="567"/>
          <w:tab w:val="left" w:pos="709"/>
        </w:tabs>
        <w:spacing w:line="360" w:lineRule="auto"/>
        <w:ind w:left="1287" w:hanging="566"/>
        <w:jc w:val="both"/>
        <w:rPr>
          <w:sz w:val="24"/>
          <w:szCs w:val="24"/>
        </w:rPr>
      </w:pPr>
      <w:r>
        <w:rPr>
          <w:sz w:val="24"/>
          <w:szCs w:val="24"/>
        </w:rPr>
        <w:t xml:space="preserve">Wollstonecraft, Mary. </w:t>
      </w:r>
      <w:r>
        <w:rPr>
          <w:i/>
          <w:sz w:val="24"/>
          <w:szCs w:val="24"/>
        </w:rPr>
        <w:t xml:space="preserve">The Vindication of the Rights of </w:t>
      </w:r>
      <w:proofErr w:type="spellStart"/>
      <w:r>
        <w:rPr>
          <w:i/>
          <w:sz w:val="24"/>
          <w:szCs w:val="24"/>
        </w:rPr>
        <w:t>Women.</w:t>
      </w:r>
      <w:r>
        <w:rPr>
          <w:sz w:val="24"/>
          <w:szCs w:val="24"/>
        </w:rPr>
        <w:t>London</w:t>
      </w:r>
      <w:proofErr w:type="spellEnd"/>
      <w:r>
        <w:rPr>
          <w:sz w:val="24"/>
          <w:szCs w:val="24"/>
        </w:rPr>
        <w:t>: Penguin Classics, 1985. Print.</w:t>
      </w:r>
    </w:p>
    <w:p w14:paraId="140328D9" w14:textId="77777777" w:rsidR="00F917FA" w:rsidRDefault="00F917FA">
      <w:pPr>
        <w:widowControl/>
        <w:tabs>
          <w:tab w:val="left" w:pos="567"/>
        </w:tabs>
        <w:spacing w:line="480" w:lineRule="auto"/>
        <w:jc w:val="both"/>
        <w:rPr>
          <w:sz w:val="24"/>
          <w:szCs w:val="24"/>
        </w:rPr>
      </w:pPr>
    </w:p>
    <w:p w14:paraId="5842D4D6" w14:textId="77777777" w:rsidR="00F917FA" w:rsidRDefault="00F917FA">
      <w:pPr>
        <w:spacing w:line="360" w:lineRule="auto"/>
        <w:jc w:val="both"/>
        <w:rPr>
          <w:sz w:val="24"/>
          <w:szCs w:val="24"/>
        </w:rPr>
      </w:pPr>
    </w:p>
    <w:p w14:paraId="16EC04F0" w14:textId="77777777" w:rsidR="00F917FA" w:rsidRDefault="006D297B">
      <w:pPr>
        <w:spacing w:line="360" w:lineRule="auto"/>
        <w:jc w:val="both"/>
        <w:rPr>
          <w:sz w:val="24"/>
          <w:szCs w:val="24"/>
        </w:rPr>
      </w:pPr>
      <w:r>
        <w:rPr>
          <w:sz w:val="24"/>
          <w:szCs w:val="24"/>
        </w:rPr>
        <w:tab/>
      </w:r>
    </w:p>
    <w:sectPr w:rsidR="00F917FA">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3D118" w14:textId="77777777" w:rsidR="005D075E" w:rsidRDefault="005D075E">
      <w:r>
        <w:separator/>
      </w:r>
    </w:p>
  </w:endnote>
  <w:endnote w:type="continuationSeparator" w:id="0">
    <w:p w14:paraId="1A6B90BD" w14:textId="77777777" w:rsidR="005D075E" w:rsidRDefault="005D07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254963DE-F9C0-4F87-B051-9C1BDB45739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embedRegular r:id="rId2" w:fontKey="{12680C60-F52E-4360-AB92-C5E31E124512}"/>
  </w:font>
  <w:font w:name="Georgia">
    <w:panose1 w:val="02040502050405020303"/>
    <w:charset w:val="00"/>
    <w:family w:val="roman"/>
    <w:pitch w:val="variable"/>
    <w:sig w:usb0="00000287" w:usb1="00000000" w:usb2="00000000" w:usb3="00000000" w:csb0="0000009F" w:csb1="00000000"/>
    <w:embedRegular r:id="rId3" w:fontKey="{D44584E8-58FC-4E6A-99E3-6A78CB608908}"/>
    <w:embedItalic r:id="rId4" w:fontKey="{0DFDBBFF-F2F7-4754-83E6-9127EF9EA7C4}"/>
  </w:font>
  <w:font w:name="Calibri Light">
    <w:panose1 w:val="020F0302020204030204"/>
    <w:charset w:val="00"/>
    <w:family w:val="swiss"/>
    <w:pitch w:val="variable"/>
    <w:sig w:usb0="A0002AEF" w:usb1="4000207B" w:usb2="00000000" w:usb3="00000000" w:csb0="000001FF" w:csb1="00000000"/>
    <w:embedRegular r:id="rId5" w:fontKey="{04519573-22E6-47D4-B089-AA7F7D5F0A00}"/>
  </w:font>
  <w:font w:name="Calibri">
    <w:panose1 w:val="020F0502020204030204"/>
    <w:charset w:val="00"/>
    <w:family w:val="swiss"/>
    <w:pitch w:val="variable"/>
    <w:sig w:usb0="E0002AFF" w:usb1="4000ACFF" w:usb2="00000001" w:usb3="00000000" w:csb0="000001FF" w:csb1="00000000"/>
    <w:embedRegular r:id="rId6" w:fontKey="{D1E08B56-F280-4382-9167-A18C5D431A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F8620" w14:textId="77777777" w:rsidR="004717B8" w:rsidRDefault="004717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6800B" w14:textId="49CFC7A6" w:rsidR="00250B2D" w:rsidRDefault="006D297B" w:rsidP="00D035CF">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A44999">
      <w:rPr>
        <w:noProof/>
        <w:color w:val="000000"/>
      </w:rPr>
      <w:t>1</w:t>
    </w:r>
    <w:r>
      <w:rPr>
        <w:color w:val="000000"/>
      </w:rPr>
      <w:fldChar w:fldCharType="end"/>
    </w:r>
    <w:r w:rsidR="00250B2D">
      <w:rPr>
        <w:color w:val="000000"/>
      </w:rPr>
      <w:t xml:space="preserve">                                      </w:t>
    </w:r>
  </w:p>
  <w:p w14:paraId="6C152A10" w14:textId="77777777" w:rsidR="00F917FA" w:rsidRDefault="00F917FA">
    <w:pPr>
      <w:pBdr>
        <w:top w:val="nil"/>
        <w:left w:val="nil"/>
        <w:bottom w:val="nil"/>
        <w:right w:val="nil"/>
        <w:between w:val="nil"/>
      </w:pBdr>
      <w:tabs>
        <w:tab w:val="center" w:pos="4513"/>
        <w:tab w:val="right" w:pos="902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99EDA9" w14:textId="77777777" w:rsidR="004717B8" w:rsidRDefault="004717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93B012" w14:textId="77777777" w:rsidR="005D075E" w:rsidRDefault="005D075E">
      <w:r>
        <w:separator/>
      </w:r>
    </w:p>
  </w:footnote>
  <w:footnote w:type="continuationSeparator" w:id="0">
    <w:p w14:paraId="4868A72B" w14:textId="77777777" w:rsidR="005D075E" w:rsidRDefault="005D07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ABC0E0" w14:textId="209A266A" w:rsidR="004717B8" w:rsidRDefault="004717B8">
    <w:pPr>
      <w:pStyle w:val="Header"/>
    </w:pPr>
    <w:r>
      <w:rPr>
        <w:noProof/>
      </w:rPr>
      <w:pict w14:anchorId="71B750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778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A1C7D" w14:textId="73E89502" w:rsidR="004717B8" w:rsidRDefault="004717B8">
    <w:pPr>
      <w:pStyle w:val="Header"/>
    </w:pPr>
    <w:r>
      <w:rPr>
        <w:noProof/>
      </w:rPr>
      <w:pict w14:anchorId="30A2E2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778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837DD" w14:textId="71A5D170" w:rsidR="004717B8" w:rsidRDefault="004717B8">
    <w:pPr>
      <w:pStyle w:val="Header"/>
    </w:pPr>
    <w:r>
      <w:rPr>
        <w:noProof/>
      </w:rPr>
      <w:pict w14:anchorId="0E79CC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9778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209F9"/>
    <w:multiLevelType w:val="multilevel"/>
    <w:tmpl w:val="9430828A"/>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 w15:restartNumberingAfterBreak="0">
    <w:nsid w:val="030210D4"/>
    <w:multiLevelType w:val="multilevel"/>
    <w:tmpl w:val="6DCA5FC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 w15:restartNumberingAfterBreak="0">
    <w:nsid w:val="77DE595A"/>
    <w:multiLevelType w:val="multilevel"/>
    <w:tmpl w:val="43128C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1"/>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7FA"/>
    <w:rsid w:val="0003590B"/>
    <w:rsid w:val="00041A5E"/>
    <w:rsid w:val="00063D36"/>
    <w:rsid w:val="00250B2D"/>
    <w:rsid w:val="002D1ADA"/>
    <w:rsid w:val="004717B8"/>
    <w:rsid w:val="005570EB"/>
    <w:rsid w:val="005D075E"/>
    <w:rsid w:val="006D297B"/>
    <w:rsid w:val="00A44999"/>
    <w:rsid w:val="00D035CF"/>
    <w:rsid w:val="00E63A82"/>
    <w:rsid w:val="00F917FA"/>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E4A331F"/>
  <w15:docId w15:val="{D5641B8A-E15C-4A38-9F87-F8A3F4B3B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 w:eastAsia="en-IN" w:bidi="mr-IN"/>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autoRedefine/>
    <w:uiPriority w:val="1"/>
    <w:qFormat/>
    <w:rsid w:val="004262C3"/>
    <w:pPr>
      <w:autoSpaceDE w:val="0"/>
      <w:autoSpaceDN w:val="0"/>
    </w:pPr>
    <w:rPr>
      <w:rFonts w:cs="Mangal"/>
      <w:sz w:val="24"/>
      <w:lang w:val="en-US"/>
    </w:rPr>
  </w:style>
  <w:style w:type="paragraph" w:styleId="ListParagraph">
    <w:name w:val="List Paragraph"/>
    <w:basedOn w:val="Normal"/>
    <w:uiPriority w:val="34"/>
    <w:qFormat/>
    <w:rsid w:val="00061739"/>
    <w:pPr>
      <w:ind w:left="720"/>
      <w:contextualSpacing/>
    </w:pPr>
  </w:style>
  <w:style w:type="paragraph" w:styleId="Header">
    <w:name w:val="header"/>
    <w:basedOn w:val="Normal"/>
    <w:link w:val="HeaderChar"/>
    <w:uiPriority w:val="99"/>
    <w:unhideWhenUsed/>
    <w:rsid w:val="00E411AD"/>
    <w:pPr>
      <w:tabs>
        <w:tab w:val="center" w:pos="4513"/>
        <w:tab w:val="right" w:pos="9026"/>
      </w:tabs>
    </w:pPr>
  </w:style>
  <w:style w:type="character" w:customStyle="1" w:styleId="HeaderChar">
    <w:name w:val="Header Char"/>
    <w:basedOn w:val="DefaultParagraphFont"/>
    <w:link w:val="Header"/>
    <w:uiPriority w:val="99"/>
    <w:rsid w:val="00E411AD"/>
    <w:rPr>
      <w:rFonts w:ascii="Times New Roman" w:hAnsi="Times New Roman" w:cs="Mangal"/>
      <w:kern w:val="0"/>
      <w:lang w:val="en-US"/>
    </w:rPr>
  </w:style>
  <w:style w:type="paragraph" w:styleId="Footer">
    <w:name w:val="footer"/>
    <w:basedOn w:val="Normal"/>
    <w:link w:val="FooterChar"/>
    <w:uiPriority w:val="99"/>
    <w:unhideWhenUsed/>
    <w:rsid w:val="00E411AD"/>
    <w:pPr>
      <w:tabs>
        <w:tab w:val="center" w:pos="4513"/>
        <w:tab w:val="right" w:pos="9026"/>
      </w:tabs>
    </w:pPr>
  </w:style>
  <w:style w:type="character" w:customStyle="1" w:styleId="FooterChar">
    <w:name w:val="Footer Char"/>
    <w:basedOn w:val="DefaultParagraphFont"/>
    <w:link w:val="Footer"/>
    <w:uiPriority w:val="99"/>
    <w:rsid w:val="00E411AD"/>
    <w:rPr>
      <w:rFonts w:ascii="Times New Roman" w:hAnsi="Times New Roman" w:cs="Mangal"/>
      <w:kern w:val="0"/>
      <w:lang w:val="en-US"/>
    </w:rPr>
  </w:style>
  <w:style w:type="table" w:styleId="TableGrid">
    <w:name w:val="Table Grid"/>
    <w:basedOn w:val="TableNormal"/>
    <w:uiPriority w:val="39"/>
    <w:rsid w:val="00EB0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250B2D"/>
    <w:rPr>
      <w:color w:val="0563C1" w:themeColor="hyperlink"/>
      <w:u w:val="single"/>
    </w:rPr>
  </w:style>
  <w:style w:type="character" w:customStyle="1" w:styleId="UnresolvedMention1">
    <w:name w:val="Unresolved Mention1"/>
    <w:basedOn w:val="DefaultParagraphFont"/>
    <w:uiPriority w:val="99"/>
    <w:semiHidden/>
    <w:unhideWhenUsed/>
    <w:rsid w:val="00250B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2956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wZ4MXfcMpb3ZO8b1bldlODUcRQ==">CgMxLjAyDmgubzNsNGU0bmc1ZmVvOAByITFBT2ZBSFBSeGJKbVlMMGljcG0wUjNLV1FIdy01RWNzZA==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2413</Words>
  <Characters>13758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DINESH DEORE</dc:creator>
  <cp:lastModifiedBy>SDI 1084</cp:lastModifiedBy>
  <cp:revision>7</cp:revision>
  <dcterms:created xsi:type="dcterms:W3CDTF">2025-07-10T12:02:00Z</dcterms:created>
  <dcterms:modified xsi:type="dcterms:W3CDTF">2025-08-25T08:35:00Z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f5c29c6cc6dbbe639af1e05a68024a0212978c023609dc630599b82bbf3c2e7c</vt:lpwstr>
  </property>
</Properties>
</file>