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F0B1" w14:textId="77777777" w:rsidR="002114FA" w:rsidRDefault="002114FA" w:rsidP="002114F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Epigenetic Dysregulation in Immune-Mediated Diseases</w:t>
      </w:r>
    </w:p>
    <w:p w14:paraId="6B661C06" w14:textId="77777777" w:rsidR="002114FA" w:rsidRDefault="002114FA">
      <w:pPr>
        <w:spacing w:line="480" w:lineRule="auto"/>
        <w:rPr>
          <w:rFonts w:ascii="Times New Roman" w:hAnsi="Times New Roman" w:cs="Times New Roman"/>
          <w:sz w:val="24"/>
          <w:szCs w:val="24"/>
        </w:rPr>
      </w:pPr>
    </w:p>
    <w:p w14:paraId="5C0AC822" w14:textId="77777777" w:rsidR="002C62A3" w:rsidRDefault="002C62A3">
      <w:pPr>
        <w:spacing w:line="480" w:lineRule="auto"/>
        <w:jc w:val="center"/>
        <w:rPr>
          <w:rFonts w:ascii="Times New Roman" w:hAnsi="Times New Roman" w:cs="Times New Roman"/>
          <w:b/>
          <w:bCs/>
          <w:sz w:val="24"/>
          <w:szCs w:val="24"/>
        </w:rPr>
      </w:pPr>
      <w:bookmarkStart w:id="0" w:name="_GoBack"/>
      <w:bookmarkEnd w:id="0"/>
    </w:p>
    <w:p w14:paraId="74B46A92"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389C3E5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Immune-mediated diseases, including rheumatoid arthritis (RA),</w:t>
      </w:r>
      <w:r>
        <w:rPr>
          <w:rFonts w:ascii="Times New Roman" w:hAnsi="Times New Roman" w:cs="Times New Roman"/>
          <w:sz w:val="24"/>
          <w:szCs w:val="24"/>
        </w:rPr>
        <w:t xml:space="preserve"> systemic lupus erythematosus (SLE), and multiple sclerosis (MS), represent a significant global health burden characterized by a loss of immune tolerance and chronic inflammation. While genetic predisposition plays a crucial role, it does not fully accoun</w:t>
      </w:r>
      <w:r>
        <w:rPr>
          <w:rFonts w:ascii="Times New Roman" w:hAnsi="Times New Roman" w:cs="Times New Roman"/>
          <w:sz w:val="24"/>
          <w:szCs w:val="24"/>
        </w:rPr>
        <w:t>t for disease pathogenesis, onset, or flare-ups. The emerging field of epigenetics provides a critical mechanistic link between genetic susceptibility and environmental triggers. This review synthesizes current evidence on how dysregulation of key epigenet</w:t>
      </w:r>
      <w:r>
        <w:rPr>
          <w:rFonts w:ascii="Times New Roman" w:hAnsi="Times New Roman" w:cs="Times New Roman"/>
          <w:sz w:val="24"/>
          <w:szCs w:val="24"/>
        </w:rPr>
        <w:t>ic mechanisms, DNA methylation, histone modifications, and non-coding RNA expression, contributes to the breakdown of immune homeostasis. We detail the aberrant epigenetic landscapes in specific immune cell subsets (e.g., T cells, B cells, macrophages) acr</w:t>
      </w:r>
      <w:r>
        <w:rPr>
          <w:rFonts w:ascii="Times New Roman" w:hAnsi="Times New Roman" w:cs="Times New Roman"/>
          <w:sz w:val="24"/>
          <w:szCs w:val="24"/>
        </w:rPr>
        <w:t>oss major autoimmune disorders. Furthermore, we explore the potential of epigenetic modifications as novel biomarkers for diagnosis, prognosis, and disease activity monitoring. Finally, we discuss the promising therapeutic avenue of "epigenetic therapy," r</w:t>
      </w:r>
      <w:r>
        <w:rPr>
          <w:rFonts w:ascii="Times New Roman" w:hAnsi="Times New Roman" w:cs="Times New Roman"/>
          <w:sz w:val="24"/>
          <w:szCs w:val="24"/>
        </w:rPr>
        <w:t>epurposing existing drugs and developing new compounds to reverse pathogenic epigenetic marks and restore immune tolerance.</w:t>
      </w:r>
    </w:p>
    <w:p w14:paraId="5D0FBA09" w14:textId="77777777" w:rsidR="002C62A3" w:rsidRDefault="002C62A3">
      <w:pPr>
        <w:spacing w:line="480" w:lineRule="auto"/>
        <w:jc w:val="both"/>
        <w:rPr>
          <w:rFonts w:ascii="Times New Roman" w:hAnsi="Times New Roman" w:cs="Times New Roman"/>
          <w:sz w:val="24"/>
          <w:szCs w:val="24"/>
        </w:rPr>
      </w:pPr>
    </w:p>
    <w:p w14:paraId="5CDBC2C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Epigenetics, Autoimmunity, DNA Methylation, Histone Modification, Non-Coding RNA, Rheumatoid Arthritis, Systemic Lupus Erythematosus, Multiple Sclerosis, Biomarkers, Epigenetic Therapy.</w:t>
      </w:r>
    </w:p>
    <w:p w14:paraId="0272262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INTRODUCTION</w:t>
      </w:r>
    </w:p>
    <w:p w14:paraId="339511B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Immune-mediated inflammatory diseases (IMIDs), encompass</w:t>
      </w:r>
      <w:r>
        <w:rPr>
          <w:rFonts w:ascii="Times New Roman" w:hAnsi="Times New Roman" w:cs="Times New Roman"/>
          <w:sz w:val="24"/>
          <w:szCs w:val="24"/>
        </w:rPr>
        <w:t>ing a broad spectrum of conditions such as rheumatoid arthritis (RA), systemic lupus erythematosus (SLE), multiple sclerosis (MS), and inflammatory bowel disease (IBD), represent a formidable challenge to global public health. These chronic, debilitating d</w:t>
      </w:r>
      <w:r>
        <w:rPr>
          <w:rFonts w:ascii="Times New Roman" w:hAnsi="Times New Roman" w:cs="Times New Roman"/>
          <w:sz w:val="24"/>
          <w:szCs w:val="24"/>
        </w:rPr>
        <w:t xml:space="preserve">isorders are characterized by a pathological breakdown of self-tolerance, leading to uncontrolled immune activation against specific tissues or systemically, resulting in persistent inflammation and organ damage (Wilkinson </w:t>
      </w:r>
      <w:r>
        <w:rPr>
          <w:rFonts w:ascii="Times New Roman" w:hAnsi="Times New Roman" w:cs="Times New Roman"/>
          <w:i/>
          <w:iCs/>
          <w:sz w:val="24"/>
          <w:szCs w:val="24"/>
        </w:rPr>
        <w:t>et al</w:t>
      </w:r>
      <w:r>
        <w:rPr>
          <w:rFonts w:ascii="Times New Roman" w:hAnsi="Times New Roman" w:cs="Times New Roman"/>
          <w:sz w:val="24"/>
          <w:szCs w:val="24"/>
        </w:rPr>
        <w:t>., 2024). The collective pre</w:t>
      </w:r>
      <w:r>
        <w:rPr>
          <w:rFonts w:ascii="Times New Roman" w:hAnsi="Times New Roman" w:cs="Times New Roman"/>
          <w:sz w:val="24"/>
          <w:szCs w:val="24"/>
        </w:rPr>
        <w:t>valence of IMIDs is estimated to affect 5-10% of the population in developed nations, posing a significant economic and social burden due to long-term disability, reduced quality of life, and the need for lifelong medical management (</w:t>
      </w:r>
      <w:proofErr w:type="spellStart"/>
      <w:r>
        <w:rPr>
          <w:rFonts w:ascii="Times New Roman" w:hAnsi="Times New Roman" w:cs="Times New Roman"/>
          <w:sz w:val="24"/>
          <w:szCs w:val="24"/>
        </w:rPr>
        <w:t>Stroeks</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2025) </w:t>
      </w:r>
    </w:p>
    <w:p w14:paraId="0BEF1F9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etiological landscape of autoimmunity has long been conceptualized through the lens of genetic predisposition interacting with environmental triggers. The advent of genome-wide association studies (GWAS) has been instrumental, identifying over hundred</w:t>
      </w:r>
      <w:r>
        <w:rPr>
          <w:rFonts w:ascii="Times New Roman" w:hAnsi="Times New Roman" w:cs="Times New Roman"/>
          <w:sz w:val="24"/>
          <w:szCs w:val="24"/>
        </w:rPr>
        <w:t>s of susceptibility loci across various IMIDs. These studies have robustly confirmed the paramount importance of the major histocompatibility complex (MHC) region and highlighted key pathways involved in immune cell signaling, cytokine production, and lymp</w:t>
      </w:r>
      <w:r>
        <w:rPr>
          <w:rFonts w:ascii="Times New Roman" w:hAnsi="Times New Roman" w:cs="Times New Roman"/>
          <w:sz w:val="24"/>
          <w:szCs w:val="24"/>
        </w:rPr>
        <w:t>hocyte activation (</w:t>
      </w:r>
      <w:proofErr w:type="spellStart"/>
      <w:r>
        <w:rPr>
          <w:rFonts w:ascii="Times New Roman" w:hAnsi="Times New Roman" w:cs="Times New Roman"/>
          <w:sz w:val="24"/>
          <w:szCs w:val="24"/>
        </w:rPr>
        <w:t>Ausserwinkler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 Arneth, 2024). However, a critical paradox emerged from this genetic data: the identified risk alleles, while statistically significant, often confer only a modest increase in relative risk and exhibit low pen</w:t>
      </w:r>
      <w:r>
        <w:rPr>
          <w:rFonts w:ascii="Times New Roman" w:hAnsi="Times New Roman" w:cs="Times New Roman"/>
          <w:sz w:val="24"/>
          <w:szCs w:val="24"/>
        </w:rPr>
        <w:t xml:space="preserve">etrance. This is most strikingly evidenced by the significant discordance rates observed in monozygotic (identical) twins, who share nearly 100% of their genetic sequence. For example, concordance rates for SLE, RA, and MS typically range from only 25% to </w:t>
      </w:r>
      <w:r>
        <w:rPr>
          <w:rFonts w:ascii="Times New Roman" w:hAnsi="Times New Roman" w:cs="Times New Roman"/>
          <w:sz w:val="24"/>
          <w:szCs w:val="24"/>
        </w:rPr>
        <w:t xml:space="preserve">40%, leaving a substantial portion of disease risk unexplained by genetics alone (Khan </w:t>
      </w:r>
      <w:r>
        <w:rPr>
          <w:rFonts w:ascii="Times New Roman" w:hAnsi="Times New Roman" w:cs="Times New Roman"/>
          <w:i/>
          <w:iCs/>
          <w:sz w:val="24"/>
          <w:szCs w:val="24"/>
        </w:rPr>
        <w:t>et al</w:t>
      </w:r>
      <w:r>
        <w:rPr>
          <w:rFonts w:ascii="Times New Roman" w:hAnsi="Times New Roman" w:cs="Times New Roman"/>
          <w:sz w:val="24"/>
          <w:szCs w:val="24"/>
        </w:rPr>
        <w:t xml:space="preserve">., 2024; Ates </w:t>
      </w:r>
      <w:r>
        <w:rPr>
          <w:rFonts w:ascii="Times New Roman" w:hAnsi="Times New Roman" w:cs="Times New Roman"/>
          <w:i/>
          <w:iCs/>
          <w:sz w:val="24"/>
          <w:szCs w:val="24"/>
        </w:rPr>
        <w:t>et al</w:t>
      </w:r>
      <w:r>
        <w:rPr>
          <w:rFonts w:ascii="Times New Roman" w:hAnsi="Times New Roman" w:cs="Times New Roman"/>
          <w:sz w:val="24"/>
          <w:szCs w:val="24"/>
        </w:rPr>
        <w:t xml:space="preserve">., 2025). This compelling "heritability gap" strongly implies that non-genetic factors play a dominant </w:t>
      </w:r>
      <w:r>
        <w:rPr>
          <w:rFonts w:ascii="Times New Roman" w:hAnsi="Times New Roman" w:cs="Times New Roman"/>
          <w:sz w:val="24"/>
          <w:szCs w:val="24"/>
        </w:rPr>
        <w:lastRenderedPageBreak/>
        <w:t xml:space="preserve">role in determining whether a genetically </w:t>
      </w:r>
      <w:r>
        <w:rPr>
          <w:rFonts w:ascii="Times New Roman" w:hAnsi="Times New Roman" w:cs="Times New Roman"/>
          <w:sz w:val="24"/>
          <w:szCs w:val="24"/>
        </w:rPr>
        <w:t>susceptible individual will ultimately develop clinical disease.</w:t>
      </w:r>
    </w:p>
    <w:p w14:paraId="5E90FE6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This gap is bridged by epigenetics, a discipline that has revolutionized our understanding of gene regulation. Epigenetics refers to the study of heritable changes in gene expression and cell</w:t>
      </w:r>
      <w:r>
        <w:rPr>
          <w:rFonts w:ascii="Times New Roman" w:hAnsi="Times New Roman" w:cs="Times New Roman"/>
          <w:sz w:val="24"/>
          <w:szCs w:val="24"/>
        </w:rPr>
        <w:t xml:space="preserve">ular phenotype that occur without alterations to the underlying DNA nucleotide sequence (Lin </w:t>
      </w:r>
      <w:r>
        <w:rPr>
          <w:rFonts w:ascii="Times New Roman" w:hAnsi="Times New Roman" w:cs="Times New Roman"/>
          <w:i/>
          <w:iCs/>
          <w:sz w:val="24"/>
          <w:szCs w:val="24"/>
        </w:rPr>
        <w:t>et al</w:t>
      </w:r>
      <w:r>
        <w:rPr>
          <w:rFonts w:ascii="Times New Roman" w:hAnsi="Times New Roman" w:cs="Times New Roman"/>
          <w:sz w:val="24"/>
          <w:szCs w:val="24"/>
        </w:rPr>
        <w:t>.,2025). These mechanisms, primarily DNA methylation, histone modifications, and non-coding RNA-associated gene silencing, act as dynamic regulators of chroma</w:t>
      </w:r>
      <w:r>
        <w:rPr>
          <w:rFonts w:ascii="Times New Roman" w:hAnsi="Times New Roman" w:cs="Times New Roman"/>
          <w:sz w:val="24"/>
          <w:szCs w:val="24"/>
        </w:rPr>
        <w:t>tin architecture, determining the accessibility of genetic information to the transcriptional machinery. Crucially, the epigenetic landscape is plastic and can be actively shaped by a myriad of environmental exposures, including infectious agents (e.g., Ep</w:t>
      </w:r>
      <w:r>
        <w:rPr>
          <w:rFonts w:ascii="Times New Roman" w:hAnsi="Times New Roman" w:cs="Times New Roman"/>
          <w:sz w:val="24"/>
          <w:szCs w:val="24"/>
        </w:rPr>
        <w:t xml:space="preserve">stein-Barr virus), tobacco smoke, hormonal changes, dietary components, and pollutants (Kwon </w:t>
      </w:r>
      <w:r>
        <w:rPr>
          <w:rFonts w:ascii="Times New Roman" w:hAnsi="Times New Roman" w:cs="Times New Roman"/>
          <w:i/>
          <w:iCs/>
          <w:sz w:val="24"/>
          <w:szCs w:val="24"/>
        </w:rPr>
        <w:t>et al</w:t>
      </w:r>
      <w:r>
        <w:rPr>
          <w:rFonts w:ascii="Times New Roman" w:hAnsi="Times New Roman" w:cs="Times New Roman"/>
          <w:sz w:val="24"/>
          <w:szCs w:val="24"/>
        </w:rPr>
        <w:t>., 2024; Kaszycki and Kim, 2025). These factors can initiate stable epigenetic reprogramming within immune cells, potentially leading to the sustained overexp</w:t>
      </w:r>
      <w:r>
        <w:rPr>
          <w:rFonts w:ascii="Times New Roman" w:hAnsi="Times New Roman" w:cs="Times New Roman"/>
          <w:sz w:val="24"/>
          <w:szCs w:val="24"/>
        </w:rPr>
        <w:t>ression of pro-inflammatory genes or the silencing of key immunoregulatory pathways.</w:t>
      </w:r>
    </w:p>
    <w:p w14:paraId="699E62CA"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This review manuscript synthesizes current evidence positing that epigenetic dysregulation serves as the crucial mechanistic link between genetic susceptibility and enviro</w:t>
      </w:r>
      <w:r>
        <w:rPr>
          <w:rFonts w:ascii="Times New Roman" w:hAnsi="Times New Roman" w:cs="Times New Roman"/>
          <w:sz w:val="24"/>
          <w:szCs w:val="24"/>
        </w:rPr>
        <w:t>nmental triggers in the pathogenesis of immune-mediated diseases. We will detail the aberrant epigenetic patterns, the "epigenome" characteristic of major IMIDs, focusing on specific immune cell subsets. Furthermore, we will explore the profound translatio</w:t>
      </w:r>
      <w:r>
        <w:rPr>
          <w:rFonts w:ascii="Times New Roman" w:hAnsi="Times New Roman" w:cs="Times New Roman"/>
          <w:sz w:val="24"/>
          <w:szCs w:val="24"/>
        </w:rPr>
        <w:t xml:space="preserve">nal implications of this field, discussing the potential of epigenetic marks as novel biomarkers for diagnosis and prognostication and surveying the promising frontier of epigenetic-based therapeutics aimed at reversing pathogenic marks and </w:t>
      </w:r>
      <w:r>
        <w:rPr>
          <w:rFonts w:ascii="Times New Roman" w:hAnsi="Times New Roman" w:cs="Times New Roman"/>
          <w:b/>
          <w:bCs/>
          <w:sz w:val="24"/>
          <w:szCs w:val="24"/>
        </w:rPr>
        <w:t xml:space="preserve">2. Fundamental </w:t>
      </w:r>
      <w:r>
        <w:rPr>
          <w:rFonts w:ascii="Times New Roman" w:hAnsi="Times New Roman" w:cs="Times New Roman"/>
          <w:b/>
          <w:bCs/>
          <w:sz w:val="24"/>
          <w:szCs w:val="24"/>
        </w:rPr>
        <w:t>Epigenetic Mechanisms</w:t>
      </w:r>
    </w:p>
    <w:p w14:paraId="7B7C9CB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Epigenetic regulation provides a dynamic and heritable layer of control over gene expression, enabling cellular differentiation and plasticity in response to environmental cues without altering </w:t>
      </w:r>
      <w:r>
        <w:rPr>
          <w:rFonts w:ascii="Times New Roman" w:hAnsi="Times New Roman" w:cs="Times New Roman"/>
          <w:sz w:val="24"/>
          <w:szCs w:val="24"/>
        </w:rPr>
        <w:lastRenderedPageBreak/>
        <w:t xml:space="preserve">the primary DNA sequence. In the immune </w:t>
      </w:r>
      <w:r>
        <w:rPr>
          <w:rFonts w:ascii="Times New Roman" w:hAnsi="Times New Roman" w:cs="Times New Roman"/>
          <w:sz w:val="24"/>
          <w:szCs w:val="24"/>
        </w:rPr>
        <w:t>system, these mechanisms are paramount for the development, activation, and termination of responses, ensuring a precise balance between effective pathogen clearance and self-tolerance. The dysregulation of these processes is a cornerstone of autoimmune pa</w:t>
      </w:r>
      <w:r>
        <w:rPr>
          <w:rFonts w:ascii="Times New Roman" w:hAnsi="Times New Roman" w:cs="Times New Roman"/>
          <w:sz w:val="24"/>
          <w:szCs w:val="24"/>
        </w:rPr>
        <w:t xml:space="preserve">thology. The three </w:t>
      </w:r>
      <w:proofErr w:type="gramStart"/>
      <w:r>
        <w:rPr>
          <w:rFonts w:ascii="Times New Roman" w:hAnsi="Times New Roman" w:cs="Times New Roman"/>
          <w:sz w:val="24"/>
          <w:szCs w:val="24"/>
        </w:rPr>
        <w:t>primary</w:t>
      </w:r>
      <w:proofErr w:type="gramEnd"/>
      <w:r>
        <w:rPr>
          <w:rFonts w:ascii="Times New Roman" w:hAnsi="Times New Roman" w:cs="Times New Roman"/>
          <w:sz w:val="24"/>
          <w:szCs w:val="24"/>
        </w:rPr>
        <w:t>, interconnected epigenetic mechanisms are DNA methylation, histone modifications, and non-coding RNA-associated silencing. restoring immune homeostasis.</w:t>
      </w:r>
    </w:p>
    <w:p w14:paraId="02491D2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2.1 DNA Methylation</w:t>
      </w:r>
    </w:p>
    <w:p w14:paraId="2BD3462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is the most extensively studied epigenet</w:t>
      </w:r>
      <w:r>
        <w:rPr>
          <w:rFonts w:ascii="Times New Roman" w:hAnsi="Times New Roman" w:cs="Times New Roman"/>
          <w:sz w:val="24"/>
          <w:szCs w:val="24"/>
        </w:rPr>
        <w:t>ic modification in mammals. It involves the covalent addition of a methyl group to the 5' position of a cytosine ring, primarily within CpG dinucleotide sequences. Dense clusters of CpG sites, known as CpG islands, are often found in gene promoter regions.</w:t>
      </w:r>
      <w:r>
        <w:rPr>
          <w:rFonts w:ascii="Times New Roman" w:hAnsi="Times New Roman" w:cs="Times New Roman"/>
          <w:sz w:val="24"/>
          <w:szCs w:val="24"/>
        </w:rPr>
        <w:t xml:space="preserve"> Methylation of these islands typically leads to transcriptional repression by physically impeding the binding of transcription factors and by recruiting proteins such as methyl-CpG-binding domain proteins (MBDs), which then attract histone deacetylases an</w:t>
      </w:r>
      <w:r>
        <w:rPr>
          <w:rFonts w:ascii="Times New Roman" w:hAnsi="Times New Roman" w:cs="Times New Roman"/>
          <w:sz w:val="24"/>
          <w:szCs w:val="24"/>
        </w:rPr>
        <w:t xml:space="preserve">d other chromatin-remodeling complexes to establish a closed, silent chromatin state (Harris </w:t>
      </w:r>
      <w:r>
        <w:rPr>
          <w:rFonts w:ascii="Times New Roman" w:hAnsi="Times New Roman" w:cs="Times New Roman"/>
          <w:i/>
          <w:iCs/>
          <w:sz w:val="24"/>
          <w:szCs w:val="24"/>
        </w:rPr>
        <w:t>et al</w:t>
      </w:r>
      <w:r>
        <w:rPr>
          <w:rFonts w:ascii="Times New Roman" w:hAnsi="Times New Roman" w:cs="Times New Roman"/>
          <w:sz w:val="24"/>
          <w:szCs w:val="24"/>
        </w:rPr>
        <w:t xml:space="preserve">, 2025; Smith </w:t>
      </w:r>
      <w:r>
        <w:rPr>
          <w:rFonts w:ascii="Times New Roman" w:hAnsi="Times New Roman" w:cs="Times New Roman"/>
          <w:i/>
          <w:iCs/>
          <w:sz w:val="24"/>
          <w:szCs w:val="24"/>
        </w:rPr>
        <w:t>et al</w:t>
      </w:r>
      <w:r>
        <w:rPr>
          <w:rFonts w:ascii="Times New Roman" w:hAnsi="Times New Roman" w:cs="Times New Roman"/>
          <w:sz w:val="24"/>
          <w:szCs w:val="24"/>
        </w:rPr>
        <w:t>., 2025).</w:t>
      </w:r>
    </w:p>
    <w:p w14:paraId="15A3B8D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establishment and maintenance of DNA methylation patterns are catalyzed by a family of enzymes called DNA methyltransferases </w:t>
      </w:r>
      <w:r>
        <w:rPr>
          <w:rFonts w:ascii="Times New Roman" w:hAnsi="Times New Roman" w:cs="Times New Roman"/>
          <w:sz w:val="24"/>
          <w:szCs w:val="24"/>
        </w:rPr>
        <w:t>(DNMTs). DNMT3A and DNMT3B are responsible for de novo methylation, setting up new methylation patterns during embryonic development. DNMT1, the maintenance methyltransferase, faithfully copies methylation patterns to the daughter strand during DNA replica</w:t>
      </w:r>
      <w:r>
        <w:rPr>
          <w:rFonts w:ascii="Times New Roman" w:hAnsi="Times New Roman" w:cs="Times New Roman"/>
          <w:sz w:val="24"/>
          <w:szCs w:val="24"/>
        </w:rPr>
        <w:t>tion, ensuring heritability of the epigenetic mark through cell divisions (</w:t>
      </w:r>
      <w:proofErr w:type="spellStart"/>
      <w:r>
        <w:rPr>
          <w:rFonts w:ascii="Times New Roman" w:hAnsi="Times New Roman" w:cs="Times New Roman"/>
          <w:sz w:val="24"/>
          <w:szCs w:val="24"/>
        </w:rPr>
        <w:t>Sarre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14:paraId="6458E0F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context of immunity, DNA methylation is critical for processes such as X-chromosome inactivation, genomic imprinting, and the silencing of endogenous ret</w:t>
      </w:r>
      <w:r>
        <w:rPr>
          <w:rFonts w:ascii="Times New Roman" w:hAnsi="Times New Roman" w:cs="Times New Roman"/>
          <w:sz w:val="24"/>
          <w:szCs w:val="24"/>
        </w:rPr>
        <w:t>roviral elements. Crucially, it governs lymphocyte lineage commitment and function. For example, the differentiation of naïve CD4+ T cells into distinct effector subsets (Th1, Th2, Th17) and immunosuppressive regulatory T cells (Tregs) is orchestrated by p</w:t>
      </w:r>
      <w:r>
        <w:rPr>
          <w:rFonts w:ascii="Times New Roman" w:hAnsi="Times New Roman" w:cs="Times New Roman"/>
          <w:sz w:val="24"/>
          <w:szCs w:val="24"/>
        </w:rPr>
        <w:t xml:space="preserve">recise changes in the methylation status of key cytokine and transcription factor genes (Roy </w:t>
      </w:r>
      <w:r>
        <w:rPr>
          <w:rFonts w:ascii="Times New Roman" w:hAnsi="Times New Roman" w:cs="Times New Roman"/>
          <w:i/>
          <w:iCs/>
          <w:sz w:val="24"/>
          <w:szCs w:val="24"/>
        </w:rPr>
        <w:t>et al</w:t>
      </w:r>
      <w:r>
        <w:rPr>
          <w:rFonts w:ascii="Times New Roman" w:hAnsi="Times New Roman" w:cs="Times New Roman"/>
          <w:sz w:val="24"/>
          <w:szCs w:val="24"/>
        </w:rPr>
        <w:t>., 2025). A hallmark of many autoimmune diseases, particularly SLE, is a state of global DNA hypomethylation in T cells, which promotes the aberrant overexpre</w:t>
      </w:r>
      <w:r>
        <w:rPr>
          <w:rFonts w:ascii="Times New Roman" w:hAnsi="Times New Roman" w:cs="Times New Roman"/>
          <w:sz w:val="24"/>
          <w:szCs w:val="24"/>
        </w:rPr>
        <w:t xml:space="preserve">ssion of autoimmune-associated genes (e.g., ITGAL (CD11a) and TNFSF7 (CD70)), alongside locus-specific hypermethylation events that may silence protective genes (Deng </w:t>
      </w:r>
      <w:r>
        <w:rPr>
          <w:rFonts w:ascii="Times New Roman" w:hAnsi="Times New Roman" w:cs="Times New Roman"/>
          <w:i/>
          <w:iCs/>
          <w:sz w:val="24"/>
          <w:szCs w:val="24"/>
        </w:rPr>
        <w:t>et al</w:t>
      </w:r>
      <w:r>
        <w:rPr>
          <w:rFonts w:ascii="Times New Roman" w:hAnsi="Times New Roman" w:cs="Times New Roman"/>
          <w:sz w:val="24"/>
          <w:szCs w:val="24"/>
        </w:rPr>
        <w:t>., 2024)</w:t>
      </w:r>
    </w:p>
    <w:p w14:paraId="40BB6428" w14:textId="77777777" w:rsidR="002C62A3" w:rsidRDefault="002C62A3">
      <w:pPr>
        <w:spacing w:line="480" w:lineRule="auto"/>
        <w:jc w:val="both"/>
        <w:rPr>
          <w:rFonts w:ascii="Times New Roman" w:hAnsi="Times New Roman" w:cs="Times New Roman"/>
          <w:sz w:val="24"/>
          <w:szCs w:val="24"/>
        </w:rPr>
      </w:pPr>
    </w:p>
    <w:p w14:paraId="6FFE391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2.2 Histone Post-Translational Modifications</w:t>
      </w:r>
    </w:p>
    <w:p w14:paraId="1BCAD7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Histones are the core protein components of </w:t>
      </w:r>
      <w:proofErr w:type="gramStart"/>
      <w:r>
        <w:rPr>
          <w:rFonts w:ascii="Times New Roman" w:hAnsi="Times New Roman" w:cs="Times New Roman"/>
          <w:sz w:val="24"/>
          <w:szCs w:val="24"/>
        </w:rPr>
        <w:t>nucleosomes,</w:t>
      </w:r>
      <w:proofErr w:type="gramEnd"/>
      <w:r>
        <w:rPr>
          <w:rFonts w:ascii="Times New Roman" w:hAnsi="Times New Roman" w:cs="Times New Roman"/>
          <w:sz w:val="24"/>
          <w:szCs w:val="24"/>
        </w:rPr>
        <w:t xml:space="preserve"> around which DNA is wrapped. Their N-terminal tails are subject to over 100 different post-translational modifications (PTMs), including acetylation, methylation, phosphorylation, ubiquitination,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sumoylation</w:t>
      </w:r>
      <w:proofErr w:type="spellEnd"/>
      <w:r>
        <w:rPr>
          <w:rFonts w:ascii="Times New Roman" w:hAnsi="Times New Roman" w:cs="Times New Roman"/>
          <w:sz w:val="24"/>
          <w:szCs w:val="24"/>
        </w:rPr>
        <w:t xml:space="preserve">. These PTMs alter the electrostatic charge of histones and serve as docking sites for other proteins, collectively influencing chromatin accessibility and gene expression (Nie </w:t>
      </w:r>
      <w:r>
        <w:rPr>
          <w:rFonts w:ascii="Times New Roman" w:hAnsi="Times New Roman" w:cs="Times New Roman"/>
          <w:i/>
          <w:iCs/>
          <w:sz w:val="24"/>
          <w:szCs w:val="24"/>
        </w:rPr>
        <w:t>et al</w:t>
      </w:r>
      <w:r>
        <w:rPr>
          <w:rFonts w:ascii="Times New Roman" w:hAnsi="Times New Roman" w:cs="Times New Roman"/>
          <w:sz w:val="24"/>
          <w:szCs w:val="24"/>
        </w:rPr>
        <w:t>., 2024).</w:t>
      </w:r>
    </w:p>
    <w:p w14:paraId="5CDFC5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most well-characterized modifications are:</w:t>
      </w:r>
    </w:p>
    <w:p w14:paraId="1CD527C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Acety</w:t>
      </w:r>
      <w:r>
        <w:rPr>
          <w:rFonts w:ascii="Times New Roman" w:hAnsi="Times New Roman" w:cs="Times New Roman"/>
          <w:sz w:val="24"/>
          <w:szCs w:val="24"/>
        </w:rPr>
        <w:t>lation/Deacetylation: Catalyzed by histone acetyltransferases (HATs) and histone deacetylases (HDACs), respectively. Acetylation neutralizes the positive charge on lysine residues, reducing the affinity between histones and the negatively charged DNA backb</w:t>
      </w:r>
      <w:r>
        <w:rPr>
          <w:rFonts w:ascii="Times New Roman" w:hAnsi="Times New Roman" w:cs="Times New Roman"/>
          <w:sz w:val="24"/>
          <w:szCs w:val="24"/>
        </w:rPr>
        <w:t xml:space="preserve">one. This results in a more open, transcriptionally permissive chromatin structure (euchromatin). </w:t>
      </w:r>
      <w:r>
        <w:rPr>
          <w:rFonts w:ascii="Times New Roman" w:hAnsi="Times New Roman" w:cs="Times New Roman"/>
          <w:sz w:val="24"/>
          <w:szCs w:val="24"/>
        </w:rPr>
        <w:lastRenderedPageBreak/>
        <w:t xml:space="preserve">Deacetylation has the opposite effect, promoting chromatin condensation and gene silencing (heterochromatin) (Chen </w:t>
      </w:r>
      <w:r>
        <w:rPr>
          <w:rFonts w:ascii="Times New Roman" w:hAnsi="Times New Roman" w:cs="Times New Roman"/>
          <w:i/>
          <w:iCs/>
          <w:sz w:val="24"/>
          <w:szCs w:val="24"/>
        </w:rPr>
        <w:t>et al</w:t>
      </w:r>
      <w:r>
        <w:rPr>
          <w:rFonts w:ascii="Times New Roman" w:hAnsi="Times New Roman" w:cs="Times New Roman"/>
          <w:sz w:val="24"/>
          <w:szCs w:val="24"/>
        </w:rPr>
        <w:t>., 2024).</w:t>
      </w:r>
    </w:p>
    <w:p w14:paraId="38FF293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Methylation: Catalyzed by hi</w:t>
      </w:r>
      <w:r>
        <w:rPr>
          <w:rFonts w:ascii="Times New Roman" w:hAnsi="Times New Roman" w:cs="Times New Roman"/>
          <w:sz w:val="24"/>
          <w:szCs w:val="24"/>
        </w:rPr>
        <w:t>stone methyltransferases (HMTs) and removed by histone demethylases (HDMs). The functional outcome of methylation is highly context-dependent, varying by the specific lysine or arginine residue modified and the degree of methylation (mono-, di-, or tri-met</w:t>
      </w:r>
      <w:r>
        <w:rPr>
          <w:rFonts w:ascii="Times New Roman" w:hAnsi="Times New Roman" w:cs="Times New Roman"/>
          <w:sz w:val="24"/>
          <w:szCs w:val="24"/>
        </w:rPr>
        <w:t xml:space="preserve">hylation). For instance, trimethylation of histone H3 lysine 4 (H3K4me3) is a mark of active promoters, while trimethylation of H3 lysine 27 (H3K27me3) is a repressive mark associated with facultative heterochromatin (Chen </w:t>
      </w:r>
      <w:r>
        <w:rPr>
          <w:rFonts w:ascii="Times New Roman" w:hAnsi="Times New Roman" w:cs="Times New Roman"/>
          <w:i/>
          <w:iCs/>
          <w:sz w:val="24"/>
          <w:szCs w:val="24"/>
        </w:rPr>
        <w:t>et al</w:t>
      </w:r>
      <w:r>
        <w:rPr>
          <w:rFonts w:ascii="Times New Roman" w:hAnsi="Times New Roman" w:cs="Times New Roman"/>
          <w:sz w:val="24"/>
          <w:szCs w:val="24"/>
        </w:rPr>
        <w:t>., 2024).</w:t>
      </w:r>
    </w:p>
    <w:p w14:paraId="632D106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"histone code"</w:t>
      </w:r>
      <w:r>
        <w:rPr>
          <w:rFonts w:ascii="Times New Roman" w:hAnsi="Times New Roman" w:cs="Times New Roman"/>
          <w:sz w:val="24"/>
          <w:szCs w:val="24"/>
        </w:rPr>
        <w:t xml:space="preserve"> hypothesis posits that these combinations of modifications act sequentially or in concert to form a complex language that dictates specific functional outcomes for a chromosomal region (</w:t>
      </w:r>
      <w:proofErr w:type="spellStart"/>
      <w:r>
        <w:rPr>
          <w:rFonts w:ascii="Times New Roman" w:hAnsi="Times New Roman" w:cs="Times New Roman"/>
          <w:sz w:val="24"/>
          <w:szCs w:val="24"/>
        </w:rPr>
        <w:t>Ueberheide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In immune cells, activating marks like H3K4</w:t>
      </w:r>
      <w:r>
        <w:rPr>
          <w:rFonts w:ascii="Times New Roman" w:hAnsi="Times New Roman" w:cs="Times New Roman"/>
          <w:sz w:val="24"/>
          <w:szCs w:val="24"/>
        </w:rPr>
        <w:t xml:space="preserve">me3 and H3K9ac are enriched at the promoters of highly expressed cytokine genes (e.g., IFNG, IL4, IL17), while repressive marks like H3K27me3 help silence alternative lineage genes during T-cell differentiation, ensuring stable effector cell identity (Jay </w:t>
      </w:r>
      <w:r>
        <w:rPr>
          <w:rFonts w:ascii="Times New Roman" w:hAnsi="Times New Roman" w:cs="Times New Roman"/>
          <w:i/>
          <w:iCs/>
          <w:sz w:val="24"/>
          <w:szCs w:val="24"/>
        </w:rPr>
        <w:t>et al</w:t>
      </w:r>
      <w:r>
        <w:rPr>
          <w:rFonts w:ascii="Times New Roman" w:hAnsi="Times New Roman" w:cs="Times New Roman"/>
          <w:sz w:val="24"/>
          <w:szCs w:val="24"/>
        </w:rPr>
        <w:t>., 2025).</w:t>
      </w:r>
    </w:p>
    <w:p w14:paraId="52DA828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2.3 Non-Coding RNAs (ncRNAs)</w:t>
      </w:r>
    </w:p>
    <w:p w14:paraId="1656DF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Non-coding RNAs represent a vast and diverse class of functional RNA molecules that are transcribed from the genome but not translated into proteins. They act as crucial epigenetic regulators, primarily at the po</w:t>
      </w:r>
      <w:r>
        <w:rPr>
          <w:rFonts w:ascii="Times New Roman" w:hAnsi="Times New Roman" w:cs="Times New Roman"/>
          <w:sz w:val="24"/>
          <w:szCs w:val="24"/>
        </w:rPr>
        <w:t>st-transcriptional level.</w:t>
      </w:r>
    </w:p>
    <w:p w14:paraId="61B391C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MicroRNAs (miRNAs): These are short (~22 nucleotides), single-stranded RNAs that regulate gene expression by binding to complementary sequences in the 3' untranslated regions (UTRs) of target messenger RNAs (mRNAs). This binding </w:t>
      </w:r>
      <w:r>
        <w:rPr>
          <w:rFonts w:ascii="Times New Roman" w:hAnsi="Times New Roman" w:cs="Times New Roman"/>
          <w:sz w:val="24"/>
          <w:szCs w:val="24"/>
        </w:rPr>
        <w:t xml:space="preserve">typically leads to mRNA degradation or translational repression. A single miRNA can target hundreds of mRNAs, allowing it to fine-tune </w:t>
      </w:r>
      <w:r>
        <w:rPr>
          <w:rFonts w:ascii="Times New Roman" w:hAnsi="Times New Roman" w:cs="Times New Roman"/>
          <w:sz w:val="24"/>
          <w:szCs w:val="24"/>
        </w:rPr>
        <w:lastRenderedPageBreak/>
        <w:t>entire genetic networks. In immunology, miRNAs are indispensable regulators of immune cell development, proliferation, di</w:t>
      </w:r>
      <w:r>
        <w:rPr>
          <w:rFonts w:ascii="Times New Roman" w:hAnsi="Times New Roman" w:cs="Times New Roman"/>
          <w:sz w:val="24"/>
          <w:szCs w:val="24"/>
        </w:rPr>
        <w:t>fferentiation, and function. For example, miR-155 is a pro-inflammatory miRNA that promotes Th1 and Th17 responses, while miR-146a acts as a critical negative feedback regulator of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signaling and is often dysregulated in autoimmunity (Shaheen </w:t>
      </w:r>
      <w:r>
        <w:rPr>
          <w:rFonts w:ascii="Times New Roman" w:hAnsi="Times New Roman" w:cs="Times New Roman"/>
          <w:i/>
          <w:iCs/>
          <w:sz w:val="24"/>
          <w:szCs w:val="24"/>
        </w:rPr>
        <w:t>et al</w:t>
      </w:r>
      <w:r>
        <w:rPr>
          <w:rFonts w:ascii="Times New Roman" w:hAnsi="Times New Roman" w:cs="Times New Roman"/>
          <w:sz w:val="24"/>
          <w:szCs w:val="24"/>
        </w:rPr>
        <w:t xml:space="preserve">., </w:t>
      </w:r>
      <w:r>
        <w:rPr>
          <w:rFonts w:ascii="Times New Roman" w:hAnsi="Times New Roman" w:cs="Times New Roman"/>
          <w:sz w:val="24"/>
          <w:szCs w:val="24"/>
        </w:rPr>
        <w:t xml:space="preserve">2025; Mehta </w:t>
      </w:r>
      <w:r>
        <w:rPr>
          <w:rFonts w:ascii="Times New Roman" w:hAnsi="Times New Roman" w:cs="Times New Roman"/>
          <w:i/>
          <w:iCs/>
          <w:sz w:val="24"/>
          <w:szCs w:val="24"/>
        </w:rPr>
        <w:t>et al</w:t>
      </w:r>
      <w:r>
        <w:rPr>
          <w:rFonts w:ascii="Times New Roman" w:hAnsi="Times New Roman" w:cs="Times New Roman"/>
          <w:sz w:val="24"/>
          <w:szCs w:val="24"/>
        </w:rPr>
        <w:t>., 2025).</w:t>
      </w:r>
    </w:p>
    <w:p w14:paraId="5ADAF2D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Long Non-Coding RNAs (</w:t>
      </w:r>
      <w:proofErr w:type="spellStart"/>
      <w:r>
        <w:rPr>
          <w:rFonts w:ascii="Times New Roman" w:hAnsi="Times New Roman" w:cs="Times New Roman"/>
          <w:sz w:val="24"/>
          <w:szCs w:val="24"/>
        </w:rPr>
        <w:t>lncRNAs</w:t>
      </w:r>
      <w:proofErr w:type="spellEnd"/>
      <w:r>
        <w:rPr>
          <w:rFonts w:ascii="Times New Roman" w:hAnsi="Times New Roman" w:cs="Times New Roman"/>
          <w:sz w:val="24"/>
          <w:szCs w:val="24"/>
        </w:rPr>
        <w:t xml:space="preserve">): These are transcripts longer than 200 nucleotides with limited protein-coding potential. They exert their regulatory functions through a variety of mechanisms: as scaffolds for chromatin-modifying </w:t>
      </w:r>
      <w:r>
        <w:rPr>
          <w:rFonts w:ascii="Times New Roman" w:hAnsi="Times New Roman" w:cs="Times New Roman"/>
          <w:sz w:val="24"/>
          <w:szCs w:val="24"/>
        </w:rPr>
        <w:t>complexes, guides for their localization to specific genomic loci, decoys for transcription factors, or sponges that sequester miRNAs. The lncRNA MALAT1, for instance, has been implicated in regulating alternative splicing and gene expression in immune cel</w:t>
      </w:r>
      <w:r>
        <w:rPr>
          <w:rFonts w:ascii="Times New Roman" w:hAnsi="Times New Roman" w:cs="Times New Roman"/>
          <w:sz w:val="24"/>
          <w:szCs w:val="24"/>
        </w:rPr>
        <w:t>ls, while others like TMEVPG1 (</w:t>
      </w:r>
      <w:proofErr w:type="spellStart"/>
      <w:r>
        <w:rPr>
          <w:rFonts w:ascii="Times New Roman" w:hAnsi="Times New Roman" w:cs="Times New Roman"/>
          <w:sz w:val="24"/>
          <w:szCs w:val="24"/>
        </w:rPr>
        <w:t>NeST</w:t>
      </w:r>
      <w:proofErr w:type="spellEnd"/>
      <w:r>
        <w:rPr>
          <w:rFonts w:ascii="Times New Roman" w:hAnsi="Times New Roman" w:cs="Times New Roman"/>
          <w:sz w:val="24"/>
          <w:szCs w:val="24"/>
        </w:rPr>
        <w:t>) can influence epigenetic states to control interferon-γ expression (</w:t>
      </w:r>
      <w:proofErr w:type="spellStart"/>
      <w:r>
        <w:rPr>
          <w:rFonts w:ascii="Times New Roman" w:hAnsi="Times New Roman" w:cs="Times New Roman"/>
          <w:sz w:val="24"/>
          <w:szCs w:val="24"/>
        </w:rPr>
        <w:t>Antonazzo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6333FA7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These three mechanisms do not operate in isolation but form a highly integrated regulatory network. DNA methylation can influe</w:t>
      </w:r>
      <w:r>
        <w:rPr>
          <w:rFonts w:ascii="Times New Roman" w:hAnsi="Times New Roman" w:cs="Times New Roman"/>
          <w:sz w:val="24"/>
          <w:szCs w:val="24"/>
        </w:rPr>
        <w:t xml:space="preserve">nce histone modification patterns, and both can be guided by ncRNAs. Conversely, histone modifications can regulate the expression of ncRNAs. This complex crosstalk ensures precise spatiotemporal control of the gene expression programs that dictate immune </w:t>
      </w:r>
      <w:r>
        <w:rPr>
          <w:rFonts w:ascii="Times New Roman" w:hAnsi="Times New Roman" w:cs="Times New Roman"/>
          <w:sz w:val="24"/>
          <w:szCs w:val="24"/>
        </w:rPr>
        <w:t xml:space="preserve">cell identity and function, and its disruption lies at the heart of epigenetic dysregulation in disease (Kong </w:t>
      </w:r>
      <w:r>
        <w:rPr>
          <w:rFonts w:ascii="Times New Roman" w:hAnsi="Times New Roman" w:cs="Times New Roman"/>
          <w:i/>
          <w:iCs/>
          <w:sz w:val="24"/>
          <w:szCs w:val="24"/>
        </w:rPr>
        <w:t>et al</w:t>
      </w:r>
      <w:r>
        <w:rPr>
          <w:rFonts w:ascii="Times New Roman" w:hAnsi="Times New Roman" w:cs="Times New Roman"/>
          <w:sz w:val="24"/>
          <w:szCs w:val="24"/>
        </w:rPr>
        <w:t>., 2024).</w:t>
      </w:r>
    </w:p>
    <w:p w14:paraId="2633012A"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 Epigenetic Dysregulation in Specific Immune-Mediated Diseases</w:t>
      </w:r>
    </w:p>
    <w:p w14:paraId="27CE29F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overarching principles of epigenetic regulation become profoun</w:t>
      </w:r>
      <w:r>
        <w:rPr>
          <w:rFonts w:ascii="Times New Roman" w:hAnsi="Times New Roman" w:cs="Times New Roman"/>
          <w:sz w:val="24"/>
          <w:szCs w:val="24"/>
        </w:rPr>
        <w:t>dly altered in immune-mediated diseases. The following section details the disease-specific epigenetic landscapes that contribute to pathogenesis, moving from systemic autoimmunity to organ-specific disorders.</w:t>
      </w:r>
    </w:p>
    <w:p w14:paraId="2B2DE2F8"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3.1 Systemic Lupus Erythematosus (SLE)</w:t>
      </w:r>
    </w:p>
    <w:p w14:paraId="4D3B30A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SLE is </w:t>
      </w:r>
      <w:r>
        <w:rPr>
          <w:rFonts w:ascii="Times New Roman" w:hAnsi="Times New Roman" w:cs="Times New Roman"/>
          <w:sz w:val="24"/>
          <w:szCs w:val="24"/>
        </w:rPr>
        <w:t>arguably the best-studied autoimmune disease from an epigenetic perspective and is characterized by a profound state of global DNA hypomethylation in CD4+ T cells and other immune cells. This hypomethylation mirrors the epigenetic state of activated, proli</w:t>
      </w:r>
      <w:r>
        <w:rPr>
          <w:rFonts w:ascii="Times New Roman" w:hAnsi="Times New Roman" w:cs="Times New Roman"/>
          <w:sz w:val="24"/>
          <w:szCs w:val="24"/>
        </w:rPr>
        <w:t xml:space="preserve">ferating T cells and leads to the overexpression of genes normally silenced in resting lymphocytes, such as perforin (PRF1), the T-cell adhesion molecule ITGAL (CD11a), and the co-stimulatory molecule TNFSF7 (CD70) (Ribeiro </w:t>
      </w:r>
      <w:r>
        <w:rPr>
          <w:rFonts w:ascii="Times New Roman" w:hAnsi="Times New Roman" w:cs="Times New Roman"/>
          <w:i/>
          <w:iCs/>
          <w:sz w:val="24"/>
          <w:szCs w:val="24"/>
        </w:rPr>
        <w:t>et al</w:t>
      </w:r>
      <w:r>
        <w:rPr>
          <w:rFonts w:ascii="Times New Roman" w:hAnsi="Times New Roman" w:cs="Times New Roman"/>
          <w:sz w:val="24"/>
          <w:szCs w:val="24"/>
        </w:rPr>
        <w:t>., 2024; Araki</w:t>
      </w:r>
      <w:r>
        <w:rPr>
          <w:rFonts w:ascii="Times New Roman" w:hAnsi="Times New Roman" w:cs="Times New Roman"/>
          <w:i/>
          <w:iCs/>
          <w:sz w:val="24"/>
          <w:szCs w:val="24"/>
        </w:rPr>
        <w:t xml:space="preserve"> et al</w:t>
      </w:r>
      <w:r>
        <w:rPr>
          <w:rFonts w:ascii="Times New Roman" w:hAnsi="Times New Roman" w:cs="Times New Roman"/>
          <w:sz w:val="24"/>
          <w:szCs w:val="24"/>
        </w:rPr>
        <w:t>., 2024</w:t>
      </w:r>
      <w:r>
        <w:rPr>
          <w:rFonts w:ascii="Times New Roman" w:hAnsi="Times New Roman" w:cs="Times New Roman"/>
          <w:sz w:val="24"/>
          <w:szCs w:val="24"/>
        </w:rPr>
        <w:t>). This aberrant overexpression promotes autoreactive T-cell help to B cells, driving autoantibody production.</w:t>
      </w:r>
    </w:p>
    <w:p w14:paraId="55AE012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of Hypomethylation: The root cause involves impaired ERK signaling pathway signaling, leading to reduced expression and translocation o</w:t>
      </w:r>
      <w:r>
        <w:rPr>
          <w:rFonts w:ascii="Times New Roman" w:hAnsi="Times New Roman" w:cs="Times New Roman"/>
          <w:sz w:val="24"/>
          <w:szCs w:val="24"/>
        </w:rPr>
        <w:t xml:space="preserve">f DNMT1. This results in passive demethylation during cell division. Furthermore, oxidative stress and elevated levels of nitric oxide in SLE patients can directly inhibit DNMT enzymatic activity (Somer </w:t>
      </w:r>
      <w:r>
        <w:rPr>
          <w:rFonts w:ascii="Times New Roman" w:hAnsi="Times New Roman" w:cs="Times New Roman"/>
          <w:i/>
          <w:iCs/>
          <w:sz w:val="24"/>
          <w:szCs w:val="24"/>
        </w:rPr>
        <w:t>et al</w:t>
      </w:r>
      <w:r>
        <w:rPr>
          <w:rFonts w:ascii="Times New Roman" w:hAnsi="Times New Roman" w:cs="Times New Roman"/>
          <w:sz w:val="24"/>
          <w:szCs w:val="24"/>
        </w:rPr>
        <w:t>., 2024).</w:t>
      </w:r>
    </w:p>
    <w:p w14:paraId="0F6F411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Histone Modifications: SLE T cells exh</w:t>
      </w:r>
      <w:r>
        <w:rPr>
          <w:rFonts w:ascii="Times New Roman" w:hAnsi="Times New Roman" w:cs="Times New Roman"/>
          <w:sz w:val="24"/>
          <w:szCs w:val="24"/>
        </w:rPr>
        <w:t>ibit a shift towards a transcriptionally permissive chromatin state. This is characterized by globally decreased levels of the repressive mark H3K27me3 and increased levels of activating marks like H3K18ac and H3K4me3 at the promoters of key interferon-sti</w:t>
      </w:r>
      <w:r>
        <w:rPr>
          <w:rFonts w:ascii="Times New Roman" w:hAnsi="Times New Roman" w:cs="Times New Roman"/>
          <w:sz w:val="24"/>
          <w:szCs w:val="24"/>
        </w:rPr>
        <w:t xml:space="preserve">mulated genes (ISGs) and inflammatory cytokines, amplifying the type I interferon signature that is a hallmark of SLE (Zhang </w:t>
      </w:r>
      <w:r>
        <w:rPr>
          <w:rFonts w:ascii="Times New Roman" w:hAnsi="Times New Roman" w:cs="Times New Roman"/>
          <w:i/>
          <w:iCs/>
          <w:sz w:val="24"/>
          <w:szCs w:val="24"/>
        </w:rPr>
        <w:t>et al</w:t>
      </w:r>
      <w:r>
        <w:rPr>
          <w:rFonts w:ascii="Times New Roman" w:hAnsi="Times New Roman" w:cs="Times New Roman"/>
          <w:sz w:val="24"/>
          <w:szCs w:val="24"/>
        </w:rPr>
        <w:t>., 2024).</w:t>
      </w:r>
    </w:p>
    <w:p w14:paraId="78D95E1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ncRNAs: A distinct miRNA signature is present in SLE patient blood and tissues. miR-146a, a negative regulator of th</w:t>
      </w:r>
      <w:r>
        <w:rPr>
          <w:rFonts w:ascii="Times New Roman" w:hAnsi="Times New Roman" w:cs="Times New Roman"/>
          <w:sz w:val="24"/>
          <w:szCs w:val="24"/>
        </w:rPr>
        <w:t xml:space="preserve">e interferon pathway, is </w:t>
      </w:r>
      <w:proofErr w:type="spellStart"/>
      <w:r>
        <w:rPr>
          <w:rFonts w:ascii="Times New Roman" w:hAnsi="Times New Roman" w:cs="Times New Roman"/>
          <w:sz w:val="24"/>
          <w:szCs w:val="24"/>
        </w:rPr>
        <w:t>underexpressed</w:t>
      </w:r>
      <w:proofErr w:type="spellEnd"/>
      <w:r>
        <w:rPr>
          <w:rFonts w:ascii="Times New Roman" w:hAnsi="Times New Roman" w:cs="Times New Roman"/>
          <w:sz w:val="24"/>
          <w:szCs w:val="24"/>
        </w:rPr>
        <w:t>, contributing to unchecked IFN production. Conversely, miR-21 and miR-148a are overexpressed; they promote autoimmunity by targeting DNMT1, creating a vicious cycle of DNA hypomethylation, and by dampening negative r</w:t>
      </w:r>
      <w:r>
        <w:rPr>
          <w:rFonts w:ascii="Times New Roman" w:hAnsi="Times New Roman" w:cs="Times New Roman"/>
          <w:sz w:val="24"/>
          <w:szCs w:val="24"/>
        </w:rPr>
        <w:t xml:space="preserve">egulatory pathways (Royo </w:t>
      </w:r>
      <w:r>
        <w:rPr>
          <w:rFonts w:ascii="Times New Roman" w:hAnsi="Times New Roman" w:cs="Times New Roman"/>
          <w:i/>
          <w:iCs/>
          <w:sz w:val="24"/>
          <w:szCs w:val="24"/>
        </w:rPr>
        <w:t>et al</w:t>
      </w:r>
      <w:r>
        <w:rPr>
          <w:rFonts w:ascii="Times New Roman" w:hAnsi="Times New Roman" w:cs="Times New Roman"/>
          <w:sz w:val="24"/>
          <w:szCs w:val="24"/>
        </w:rPr>
        <w:t>., 2025).</w:t>
      </w:r>
    </w:p>
    <w:p w14:paraId="45FB57D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3.2 Rheumatoid Arthritis (RA)</w:t>
      </w:r>
    </w:p>
    <w:p w14:paraId="780F667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RA, epigenetic dysregulation is most prominently studied in the hyperplastic, invasive synovial tissue, particularly in fibroblast-like </w:t>
      </w:r>
      <w:proofErr w:type="spellStart"/>
      <w:r>
        <w:rPr>
          <w:rFonts w:ascii="Times New Roman" w:hAnsi="Times New Roman" w:cs="Times New Roman"/>
          <w:sz w:val="24"/>
          <w:szCs w:val="24"/>
        </w:rPr>
        <w:t>synoviocytes</w:t>
      </w:r>
      <w:proofErr w:type="spellEnd"/>
      <w:r>
        <w:rPr>
          <w:rFonts w:ascii="Times New Roman" w:hAnsi="Times New Roman" w:cs="Times New Roman"/>
          <w:sz w:val="24"/>
          <w:szCs w:val="24"/>
        </w:rPr>
        <w:t xml:space="preserve"> (FLS), which develop an aggressive</w:t>
      </w:r>
      <w:r>
        <w:rPr>
          <w:rFonts w:ascii="Times New Roman" w:hAnsi="Times New Roman" w:cs="Times New Roman"/>
          <w:sz w:val="24"/>
          <w:szCs w:val="24"/>
        </w:rPr>
        <w:t>, "transformed-like" phenotype that drives joint destruction.</w:t>
      </w:r>
    </w:p>
    <w:p w14:paraId="62F2D5E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RA-FLS exhibit a unique and stable "methylation signature" that distinguishes them from osteoarthritis FLS and is present even in early disease. Key changes include:</w:t>
      </w:r>
    </w:p>
    <w:p w14:paraId="74485C8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Hypomethyla</w:t>
      </w:r>
      <w:r>
        <w:rPr>
          <w:rFonts w:ascii="Times New Roman" w:hAnsi="Times New Roman" w:cs="Times New Roman"/>
          <w:sz w:val="24"/>
          <w:szCs w:val="24"/>
        </w:rPr>
        <w:t xml:space="preserve">tion of genes encoding matrix-degrading enzymes (MMP3, MMP9), chemokines (CXCL12), and critical signaling molecules (STAT3, IRF5), leading to their overexpression and promoting inflammation, angiogenesis, and tissue invasion (Prideaux </w:t>
      </w:r>
      <w:r>
        <w:rPr>
          <w:rFonts w:ascii="Times New Roman" w:hAnsi="Times New Roman" w:cs="Times New Roman"/>
          <w:i/>
          <w:iCs/>
          <w:sz w:val="24"/>
          <w:szCs w:val="24"/>
        </w:rPr>
        <w:t>et al</w:t>
      </w:r>
      <w:r>
        <w:rPr>
          <w:rFonts w:ascii="Times New Roman" w:hAnsi="Times New Roman" w:cs="Times New Roman"/>
          <w:sz w:val="24"/>
          <w:szCs w:val="24"/>
        </w:rPr>
        <w:t>., 2024)</w:t>
      </w:r>
    </w:p>
    <w:p w14:paraId="6B4F4DD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Hyperme</w:t>
      </w:r>
      <w:r>
        <w:rPr>
          <w:rFonts w:ascii="Times New Roman" w:hAnsi="Times New Roman" w:cs="Times New Roman"/>
          <w:sz w:val="24"/>
          <w:szCs w:val="24"/>
        </w:rPr>
        <w:t xml:space="preserve">thylation of genes that normally promote apoptosis or cell cycle arrest, such as TNFRSF25 (DR3) and BCL2L11 (BIM), conferring resistance to cell death and contributing to synovial hyperplasia (Svendsen </w:t>
      </w:r>
      <w:r>
        <w:rPr>
          <w:rFonts w:ascii="Times New Roman" w:hAnsi="Times New Roman" w:cs="Times New Roman"/>
          <w:i/>
          <w:iCs/>
          <w:sz w:val="24"/>
          <w:szCs w:val="24"/>
        </w:rPr>
        <w:t>et al</w:t>
      </w:r>
      <w:r>
        <w:rPr>
          <w:rFonts w:ascii="Times New Roman" w:hAnsi="Times New Roman" w:cs="Times New Roman"/>
          <w:sz w:val="24"/>
          <w:szCs w:val="24"/>
        </w:rPr>
        <w:t>., 2024).</w:t>
      </w:r>
    </w:p>
    <w:p w14:paraId="635971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Histone Modifications: The balance of H</w:t>
      </w:r>
      <w:r>
        <w:rPr>
          <w:rFonts w:ascii="Times New Roman" w:hAnsi="Times New Roman" w:cs="Times New Roman"/>
          <w:sz w:val="24"/>
          <w:szCs w:val="24"/>
        </w:rPr>
        <w:t>AT/HDAC activity is skewed in RA. While some HDACs are downregulated, class I and II HDAC activity is generally increased in RA synovium, contributing to the suppression of anti-inflammatory genes. Conversely, HAT activity is also elevated, promoting the e</w:t>
      </w:r>
      <w:r>
        <w:rPr>
          <w:rFonts w:ascii="Times New Roman" w:hAnsi="Times New Roman" w:cs="Times New Roman"/>
          <w:sz w:val="24"/>
          <w:szCs w:val="24"/>
        </w:rPr>
        <w:t xml:space="preserve">xpression of pro-inflammatory genes like IL6 and TNF (Enayati </w:t>
      </w:r>
      <w:r>
        <w:rPr>
          <w:rFonts w:ascii="Times New Roman" w:hAnsi="Times New Roman" w:cs="Times New Roman"/>
          <w:i/>
          <w:iCs/>
          <w:sz w:val="24"/>
          <w:szCs w:val="24"/>
        </w:rPr>
        <w:t>et al</w:t>
      </w:r>
      <w:r>
        <w:rPr>
          <w:rFonts w:ascii="Times New Roman" w:hAnsi="Times New Roman" w:cs="Times New Roman"/>
          <w:sz w:val="24"/>
          <w:szCs w:val="24"/>
        </w:rPr>
        <w:t>., 2024).</w:t>
      </w:r>
    </w:p>
    <w:p w14:paraId="58E384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ncRNAs: miR-155 is highly expressed in RA synovial fluid and tissue, where it promotes macrophage activation and Th17 cell differentiation. miR-146a is also upregulated but may ac</w:t>
      </w:r>
      <w:r>
        <w:rPr>
          <w:rFonts w:ascii="Times New Roman" w:hAnsi="Times New Roman" w:cs="Times New Roman"/>
          <w:sz w:val="24"/>
          <w:szCs w:val="24"/>
        </w:rPr>
        <w:t xml:space="preserve">t in a feedback inhibitory role that is ultimately insufficient to control inflammation. miR-124a is significantly downregulated, leading to increased activation of the monocyte chemoattractant CCL2 (Seyedi </w:t>
      </w:r>
      <w:r>
        <w:rPr>
          <w:rFonts w:ascii="Times New Roman" w:hAnsi="Times New Roman" w:cs="Times New Roman"/>
          <w:i/>
          <w:iCs/>
          <w:sz w:val="24"/>
          <w:szCs w:val="24"/>
        </w:rPr>
        <w:t>et al</w:t>
      </w:r>
      <w:r>
        <w:rPr>
          <w:rFonts w:ascii="Times New Roman" w:hAnsi="Times New Roman" w:cs="Times New Roman"/>
          <w:sz w:val="24"/>
          <w:szCs w:val="24"/>
        </w:rPr>
        <w:t>., 2024).</w:t>
      </w:r>
    </w:p>
    <w:p w14:paraId="2B628D6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3.3 Multiple Sclerosis (MS)</w:t>
      </w:r>
    </w:p>
    <w:p w14:paraId="3F6A77C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Epigen</w:t>
      </w:r>
      <w:r>
        <w:rPr>
          <w:rFonts w:ascii="Times New Roman" w:hAnsi="Times New Roman" w:cs="Times New Roman"/>
          <w:sz w:val="24"/>
          <w:szCs w:val="24"/>
        </w:rPr>
        <w:t>etic mechanisms in MS are critical for determining the fate of T cells, pushing differentiation towards pro-inflammatory Th1 and Th17 lineages and away from immunoregulatory Tregs.</w:t>
      </w:r>
    </w:p>
    <w:p w14:paraId="2316192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DNA Methylation: Genome-wide studies reveal significant differences in DNA </w:t>
      </w:r>
      <w:r>
        <w:rPr>
          <w:rFonts w:ascii="Times New Roman" w:hAnsi="Times New Roman" w:cs="Times New Roman"/>
          <w:sz w:val="24"/>
          <w:szCs w:val="24"/>
        </w:rPr>
        <w:t xml:space="preserve">methylation patterns in CD4+ T cells, CD8+ T cells, and B cells of MS patients compared to controls. Intriguingly, the strongest MS-associated genetic risk variant, </w:t>
      </w:r>
      <w:r>
        <w:rPr>
          <w:rFonts w:ascii="Times New Roman" w:hAnsi="Times New Roman" w:cs="Times New Roman"/>
          <w:b/>
          <w:bCs/>
          <w:sz w:val="24"/>
          <w:szCs w:val="24"/>
        </w:rPr>
        <w:t>HLA-DRB1</w:t>
      </w:r>
      <w:r>
        <w:rPr>
          <w:rFonts w:ascii="Times New Roman" w:hAnsi="Times New Roman" w:cs="Times New Roman"/>
          <w:sz w:val="24"/>
          <w:szCs w:val="24"/>
        </w:rPr>
        <w:t>, also displays MS-specific methylation patterns, suggesting a complex gene-environ</w:t>
      </w:r>
      <w:r>
        <w:rPr>
          <w:rFonts w:ascii="Times New Roman" w:hAnsi="Times New Roman" w:cs="Times New Roman"/>
          <w:sz w:val="24"/>
          <w:szCs w:val="24"/>
        </w:rPr>
        <w:t>ment interaction where epigenetics modulates the effect of the primary genetic risk factor (</w:t>
      </w:r>
      <w:proofErr w:type="spellStart"/>
      <w:r>
        <w:rPr>
          <w:rFonts w:ascii="Times New Roman" w:hAnsi="Times New Roman" w:cs="Times New Roman"/>
          <w:sz w:val="24"/>
          <w:szCs w:val="24"/>
        </w:rPr>
        <w:t>Elbahrawi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 Key hypomethylated loci are associated with T-cell activation and adhesion pathways.</w:t>
      </w:r>
    </w:p>
    <w:p w14:paraId="5F6846E6" w14:textId="77777777" w:rsidR="002C62A3" w:rsidRDefault="00317B9B">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Histone Modifications: HDACs and sirtuins (SIRT1, a class III HDAC) are key regulators of T-cell plasticity in MS. SIRT1 deficiency has been linked to hyperacetylation of the transcription factor FOXO1, impairing Treg function and promoting a pro-inflammat</w:t>
      </w:r>
      <w:r>
        <w:rPr>
          <w:rFonts w:ascii="Times New Roman" w:hAnsi="Times New Roman" w:cs="Times New Roman"/>
          <w:sz w:val="24"/>
          <w:szCs w:val="24"/>
        </w:rPr>
        <w:t xml:space="preserve">ory T-cell state. Furthermore, inhibitors of HDACs have been shown to ameliorate disease in experimental autoimmune encephalomyelitis (EAE), the mouse model of MS, by promoting Treg development (Xie </w:t>
      </w:r>
      <w:r>
        <w:rPr>
          <w:rFonts w:ascii="Times New Roman" w:hAnsi="Times New Roman" w:cs="Times New Roman"/>
          <w:i/>
          <w:iCs/>
          <w:sz w:val="24"/>
          <w:szCs w:val="24"/>
        </w:rPr>
        <w:t>et al</w:t>
      </w:r>
      <w:r>
        <w:rPr>
          <w:rFonts w:ascii="Times New Roman" w:hAnsi="Times New Roman" w:cs="Times New Roman"/>
          <w:sz w:val="24"/>
          <w:szCs w:val="24"/>
        </w:rPr>
        <w:t>., 2025)</w:t>
      </w:r>
    </w:p>
    <w:p w14:paraId="22017EC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ncRNAs: Circulating miRNAs serve as promising biomarkers. miR-326 expression correlates with disease severity and promotes Th17 differentiation. miR-17-92 cluster members are dysregulated, impacting T-cell proliferation. Serum levels of miR-155 and miR-301</w:t>
      </w:r>
      <w:r>
        <w:rPr>
          <w:rFonts w:ascii="Times New Roman" w:hAnsi="Times New Roman" w:cs="Times New Roman"/>
          <w:sz w:val="24"/>
          <w:szCs w:val="24"/>
        </w:rPr>
        <w:t xml:space="preserve">a are also elevated and associated with active disease (Xie </w:t>
      </w:r>
      <w:r>
        <w:rPr>
          <w:rFonts w:ascii="Times New Roman" w:hAnsi="Times New Roman" w:cs="Times New Roman"/>
          <w:i/>
          <w:iCs/>
          <w:sz w:val="24"/>
          <w:szCs w:val="24"/>
        </w:rPr>
        <w:t>et al</w:t>
      </w:r>
      <w:r>
        <w:rPr>
          <w:rFonts w:ascii="Times New Roman" w:hAnsi="Times New Roman" w:cs="Times New Roman"/>
          <w:sz w:val="24"/>
          <w:szCs w:val="24"/>
        </w:rPr>
        <w:t>., 2025)</w:t>
      </w:r>
    </w:p>
    <w:p w14:paraId="2E69FB6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3.4 Inflammatory Bowel Disease (IBD: Crohn's Disease &amp; Ulcerative Colitis)</w:t>
      </w:r>
    </w:p>
    <w:p w14:paraId="19260B4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intestinal epithelium and mucosal immune system in IBD patients display widespread epigenetic alteratio</w:t>
      </w:r>
      <w:r>
        <w:rPr>
          <w:rFonts w:ascii="Times New Roman" w:hAnsi="Times New Roman" w:cs="Times New Roman"/>
          <w:sz w:val="24"/>
          <w:szCs w:val="24"/>
        </w:rPr>
        <w:t>ns induced by the luminal environment (microbiome, nutrients).</w:t>
      </w:r>
    </w:p>
    <w:p w14:paraId="659B66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Studies on intestinal mucosal biopsies reveal hundreds of differentially methylated regions. Crohn's disease is often associated with hypermethylation and silencing of the SOCS</w:t>
      </w:r>
      <w:r>
        <w:rPr>
          <w:rFonts w:ascii="Times New Roman" w:hAnsi="Times New Roman" w:cs="Times New Roman"/>
          <w:sz w:val="24"/>
          <w:szCs w:val="24"/>
        </w:rPr>
        <w:t>1 gene, a negative regulator of cytokine signaling, leading to enhanced JAK/STAT signaling. In ulcerative colitis, the TNF gene promoter is often hypomethylated, contributing to its excessive production (</w:t>
      </w:r>
      <w:proofErr w:type="spellStart"/>
      <w:r>
        <w:rPr>
          <w:rFonts w:ascii="Times New Roman" w:hAnsi="Times New Roman" w:cs="Times New Roman"/>
          <w:sz w:val="24"/>
          <w:szCs w:val="24"/>
        </w:rPr>
        <w:t>Mahurkar</w:t>
      </w:r>
      <w:proofErr w:type="spellEnd"/>
      <w:r>
        <w:rPr>
          <w:rFonts w:ascii="Times New Roman" w:hAnsi="Times New Roman" w:cs="Times New Roman"/>
          <w:sz w:val="24"/>
          <w:szCs w:val="24"/>
        </w:rPr>
        <w:t xml:space="preserve">‐Joshi </w:t>
      </w:r>
      <w:r>
        <w:rPr>
          <w:rFonts w:ascii="Times New Roman" w:hAnsi="Times New Roman" w:cs="Times New Roman"/>
          <w:i/>
          <w:iCs/>
          <w:sz w:val="24"/>
          <w:szCs w:val="24"/>
        </w:rPr>
        <w:t>et al</w:t>
      </w:r>
      <w:r>
        <w:rPr>
          <w:rFonts w:ascii="Times New Roman" w:hAnsi="Times New Roman" w:cs="Times New Roman"/>
          <w:sz w:val="24"/>
          <w:szCs w:val="24"/>
        </w:rPr>
        <w:t>., 2025).</w:t>
      </w:r>
    </w:p>
    <w:p w14:paraId="1103E88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Histone Modifications:</w:t>
      </w:r>
      <w:r>
        <w:rPr>
          <w:rFonts w:ascii="Times New Roman" w:hAnsi="Times New Roman" w:cs="Times New Roman"/>
          <w:sz w:val="24"/>
          <w:szCs w:val="24"/>
        </w:rPr>
        <w:t xml:space="preserve"> Butyrate, a short-chain fatty acid produced by commensal gut bacteria, is a natural HDAC inhibitor. A deficiency in butyrate production or sensing in IBD leads to increased HDAC activity, repressing the expression of anti-inflammatory genes and genes invo</w:t>
      </w:r>
      <w:r>
        <w:rPr>
          <w:rFonts w:ascii="Times New Roman" w:hAnsi="Times New Roman" w:cs="Times New Roman"/>
          <w:sz w:val="24"/>
          <w:szCs w:val="24"/>
        </w:rPr>
        <w:t xml:space="preserve">lved in epithelial barrier integrity. This links the environmental factor (microbiome) directly to epigenetic dysregulation (Li </w:t>
      </w:r>
      <w:r>
        <w:rPr>
          <w:rFonts w:ascii="Times New Roman" w:hAnsi="Times New Roman" w:cs="Times New Roman"/>
          <w:i/>
          <w:iCs/>
          <w:sz w:val="24"/>
          <w:szCs w:val="24"/>
        </w:rPr>
        <w:t>et al</w:t>
      </w:r>
      <w:r>
        <w:rPr>
          <w:rFonts w:ascii="Times New Roman" w:hAnsi="Times New Roman" w:cs="Times New Roman"/>
          <w:sz w:val="24"/>
          <w:szCs w:val="24"/>
        </w:rPr>
        <w:t>., 2025)</w:t>
      </w:r>
    </w:p>
    <w:p w14:paraId="5DFC835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ncRNAs: miR-21 is upregulated in IBD mucosa and promotes intestinal inflammation by targeting PDCD4, a suppressor </w:t>
      </w:r>
      <w:r>
        <w:rPr>
          <w:rFonts w:ascii="Times New Roman" w:hAnsi="Times New Roman" w:cs="Times New Roman"/>
          <w:sz w:val="24"/>
          <w:szCs w:val="24"/>
        </w:rPr>
        <w:t xml:space="preserve">of IL-10 expression. miR-29 is also overexpressed and targets key molecules essential for intestinal barrier function. The let-7 family miRNAs are involved in regulating IL-13-mediated inflammation (Goodarzi </w:t>
      </w:r>
      <w:r>
        <w:rPr>
          <w:rFonts w:ascii="Times New Roman" w:hAnsi="Times New Roman" w:cs="Times New Roman"/>
          <w:i/>
          <w:iCs/>
          <w:sz w:val="24"/>
          <w:szCs w:val="24"/>
        </w:rPr>
        <w:t>et al</w:t>
      </w:r>
      <w:r>
        <w:rPr>
          <w:rFonts w:ascii="Times New Roman" w:hAnsi="Times New Roman" w:cs="Times New Roman"/>
          <w:sz w:val="24"/>
          <w:szCs w:val="24"/>
        </w:rPr>
        <w:t>., 2025).</w:t>
      </w:r>
    </w:p>
    <w:p w14:paraId="14DF0C5A" w14:textId="77777777" w:rsidR="002C62A3" w:rsidRDefault="00317B9B">
      <w:pPr>
        <w:rPr>
          <w:rFonts w:ascii="Times New Roman" w:hAnsi="Times New Roman" w:cs="Times New Roman"/>
          <w:sz w:val="24"/>
          <w:szCs w:val="24"/>
        </w:rPr>
      </w:pPr>
      <w:r>
        <w:rPr>
          <w:rFonts w:ascii="Times New Roman" w:hAnsi="Times New Roman" w:cs="Times New Roman"/>
          <w:sz w:val="24"/>
          <w:szCs w:val="24"/>
        </w:rPr>
        <w:t>Table 1: Summary of Key Epigeneti</w:t>
      </w:r>
      <w:r>
        <w:rPr>
          <w:rFonts w:ascii="Times New Roman" w:hAnsi="Times New Roman" w:cs="Times New Roman"/>
          <w:sz w:val="24"/>
          <w:szCs w:val="24"/>
        </w:rPr>
        <w:t>c Alterations in Major Immune-Mediated Diseases</w:t>
      </w:r>
    </w:p>
    <w:tbl>
      <w:tblPr>
        <w:tblStyle w:val="TableGrid"/>
        <w:tblW w:w="10165" w:type="dxa"/>
        <w:tblLayout w:type="fixed"/>
        <w:tblLook w:val="04A0" w:firstRow="1" w:lastRow="0" w:firstColumn="1" w:lastColumn="0" w:noHBand="0" w:noVBand="1"/>
      </w:tblPr>
      <w:tblGrid>
        <w:gridCol w:w="963"/>
        <w:gridCol w:w="2002"/>
        <w:gridCol w:w="2430"/>
        <w:gridCol w:w="2250"/>
        <w:gridCol w:w="2520"/>
      </w:tblGrid>
      <w:tr w:rsidR="002C62A3" w14:paraId="1CE33BE1" w14:textId="77777777">
        <w:tc>
          <w:tcPr>
            <w:tcW w:w="963" w:type="dxa"/>
            <w:vAlign w:val="center"/>
          </w:tcPr>
          <w:p w14:paraId="7B707C7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Disease</w:t>
            </w:r>
          </w:p>
        </w:tc>
        <w:tc>
          <w:tcPr>
            <w:tcW w:w="2002" w:type="dxa"/>
            <w:vAlign w:val="center"/>
          </w:tcPr>
          <w:p w14:paraId="2564006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Cell Type/Tissue</w:t>
            </w:r>
          </w:p>
        </w:tc>
        <w:tc>
          <w:tcPr>
            <w:tcW w:w="2430" w:type="dxa"/>
            <w:vAlign w:val="center"/>
          </w:tcPr>
          <w:p w14:paraId="086F5B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DNA Methylation Changes</w:t>
            </w:r>
          </w:p>
        </w:tc>
        <w:tc>
          <w:tcPr>
            <w:tcW w:w="2250" w:type="dxa"/>
            <w:vAlign w:val="center"/>
          </w:tcPr>
          <w:p w14:paraId="331954D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Histone Modifications</w:t>
            </w:r>
          </w:p>
        </w:tc>
        <w:tc>
          <w:tcPr>
            <w:tcW w:w="2520" w:type="dxa"/>
            <w:vAlign w:val="center"/>
          </w:tcPr>
          <w:p w14:paraId="6DD9BE8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Key ncRNAs Involved</w:t>
            </w:r>
          </w:p>
        </w:tc>
      </w:tr>
      <w:tr w:rsidR="002C62A3" w14:paraId="4FB97CF7" w14:textId="77777777">
        <w:tc>
          <w:tcPr>
            <w:tcW w:w="963" w:type="dxa"/>
            <w:vAlign w:val="center"/>
          </w:tcPr>
          <w:p w14:paraId="547CE5C1"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SLE</w:t>
            </w:r>
          </w:p>
        </w:tc>
        <w:tc>
          <w:tcPr>
            <w:tcW w:w="2002" w:type="dxa"/>
            <w:vAlign w:val="center"/>
          </w:tcPr>
          <w:p w14:paraId="5686EDB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CD4+ T cells</w:t>
            </w:r>
          </w:p>
        </w:tc>
        <w:tc>
          <w:tcPr>
            <w:tcW w:w="2430" w:type="dxa"/>
            <w:vAlign w:val="center"/>
          </w:tcPr>
          <w:p w14:paraId="115B303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Global hypomethylation; </w:t>
            </w:r>
            <w:r>
              <w:rPr>
                <w:rFonts w:ascii="Times New Roman" w:hAnsi="Times New Roman" w:cs="Times New Roman"/>
                <w:sz w:val="24"/>
                <w:szCs w:val="24"/>
              </w:rPr>
              <w:lastRenderedPageBreak/>
              <w:t>Hypomethylation of </w:t>
            </w:r>
            <w:r>
              <w:rPr>
                <w:rStyle w:val="Emphasis"/>
                <w:rFonts w:ascii="Times New Roman" w:hAnsi="Times New Roman" w:cs="Times New Roman"/>
                <w:sz w:val="24"/>
                <w:szCs w:val="24"/>
              </w:rPr>
              <w:t>CD11a</w:t>
            </w:r>
            <w:r>
              <w:rPr>
                <w:rFonts w:ascii="Times New Roman" w:hAnsi="Times New Roman" w:cs="Times New Roman"/>
                <w:sz w:val="24"/>
                <w:szCs w:val="24"/>
              </w:rPr>
              <w:t>, </w:t>
            </w:r>
            <w:r>
              <w:rPr>
                <w:rStyle w:val="Emphasis"/>
                <w:rFonts w:ascii="Times New Roman" w:hAnsi="Times New Roman" w:cs="Times New Roman"/>
                <w:sz w:val="24"/>
                <w:szCs w:val="24"/>
              </w:rPr>
              <w:t>CD70</w:t>
            </w:r>
          </w:p>
        </w:tc>
        <w:tc>
          <w:tcPr>
            <w:tcW w:w="2250" w:type="dxa"/>
            <w:vAlign w:val="center"/>
          </w:tcPr>
          <w:p w14:paraId="7255B5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Increased H3/H4 acetylation</w:t>
            </w:r>
          </w:p>
        </w:tc>
        <w:tc>
          <w:tcPr>
            <w:tcW w:w="2520" w:type="dxa"/>
            <w:vAlign w:val="center"/>
          </w:tcPr>
          <w:p w14:paraId="5D30256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miR-146a, ↑ </w:t>
            </w:r>
            <w:r>
              <w:rPr>
                <w:rFonts w:ascii="Times New Roman" w:hAnsi="Times New Roman" w:cs="Times New Roman"/>
                <w:sz w:val="24"/>
                <w:szCs w:val="24"/>
              </w:rPr>
              <w:t>miR-21, ↑ miR-155</w:t>
            </w:r>
          </w:p>
        </w:tc>
      </w:tr>
      <w:tr w:rsidR="002C62A3" w14:paraId="5AE8328A" w14:textId="77777777">
        <w:tc>
          <w:tcPr>
            <w:tcW w:w="963" w:type="dxa"/>
            <w:vAlign w:val="center"/>
          </w:tcPr>
          <w:p w14:paraId="19FBF616"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RA</w:t>
            </w:r>
          </w:p>
        </w:tc>
        <w:tc>
          <w:tcPr>
            <w:tcW w:w="2002" w:type="dxa"/>
            <w:vAlign w:val="center"/>
          </w:tcPr>
          <w:p w14:paraId="721C621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Synovial FLS</w:t>
            </w:r>
          </w:p>
        </w:tc>
        <w:tc>
          <w:tcPr>
            <w:tcW w:w="2430" w:type="dxa"/>
            <w:vAlign w:val="center"/>
          </w:tcPr>
          <w:p w14:paraId="45ECCE3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Hypomethylation of </w:t>
            </w:r>
            <w:r>
              <w:rPr>
                <w:rStyle w:val="Emphasis"/>
                <w:rFonts w:ascii="Times New Roman" w:hAnsi="Times New Roman" w:cs="Times New Roman"/>
                <w:sz w:val="24"/>
                <w:szCs w:val="24"/>
              </w:rPr>
              <w:t>CXC</w:t>
            </w:r>
            <w:r>
              <w:rPr>
                <w:rFonts w:ascii="Times New Roman" w:hAnsi="Times New Roman" w:cs="Times New Roman"/>
                <w:sz w:val="24"/>
                <w:szCs w:val="24"/>
              </w:rPr>
              <w:t>L</w:t>
            </w:r>
            <w:r>
              <w:rPr>
                <w:rStyle w:val="Emphasis"/>
                <w:rFonts w:ascii="Times New Roman" w:hAnsi="Times New Roman" w:cs="Times New Roman"/>
                <w:sz w:val="24"/>
                <w:szCs w:val="24"/>
              </w:rPr>
              <w:t>12</w:t>
            </w:r>
            <w:r>
              <w:rPr>
                <w:rFonts w:ascii="Times New Roman" w:hAnsi="Times New Roman" w:cs="Times New Roman"/>
                <w:sz w:val="24"/>
                <w:szCs w:val="24"/>
              </w:rPr>
              <w:t>, </w:t>
            </w:r>
            <w:r>
              <w:rPr>
                <w:rStyle w:val="Emphasis"/>
                <w:rFonts w:ascii="Times New Roman" w:hAnsi="Times New Roman" w:cs="Times New Roman"/>
                <w:sz w:val="24"/>
                <w:szCs w:val="24"/>
              </w:rPr>
              <w:t>IL6</w:t>
            </w:r>
            <w:r>
              <w:rPr>
                <w:rFonts w:ascii="Times New Roman" w:hAnsi="Times New Roman" w:cs="Times New Roman"/>
                <w:sz w:val="24"/>
                <w:szCs w:val="24"/>
              </w:rPr>
              <w:t>; Hypermethylation of </w:t>
            </w:r>
            <w:r>
              <w:rPr>
                <w:rStyle w:val="Emphasis"/>
                <w:rFonts w:ascii="Times New Roman" w:hAnsi="Times New Roman" w:cs="Times New Roman"/>
                <w:sz w:val="24"/>
                <w:szCs w:val="24"/>
              </w:rPr>
              <w:t>DR3</w:t>
            </w:r>
            <w:r>
              <w:rPr>
                <w:rFonts w:ascii="Times New Roman" w:hAnsi="Times New Roman" w:cs="Times New Roman"/>
                <w:sz w:val="24"/>
                <w:szCs w:val="24"/>
              </w:rPr>
              <w:t>, </w:t>
            </w:r>
            <w:r>
              <w:rPr>
                <w:rStyle w:val="Emphasis"/>
                <w:rFonts w:ascii="Times New Roman" w:hAnsi="Times New Roman" w:cs="Times New Roman"/>
                <w:sz w:val="24"/>
                <w:szCs w:val="24"/>
              </w:rPr>
              <w:t>BIM</w:t>
            </w:r>
          </w:p>
        </w:tc>
        <w:tc>
          <w:tcPr>
            <w:tcW w:w="2250" w:type="dxa"/>
            <w:vAlign w:val="center"/>
          </w:tcPr>
          <w:p w14:paraId="28B12D5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Increased HDAC activity</w:t>
            </w:r>
          </w:p>
        </w:tc>
        <w:tc>
          <w:tcPr>
            <w:tcW w:w="2520" w:type="dxa"/>
            <w:vAlign w:val="center"/>
          </w:tcPr>
          <w:p w14:paraId="30243B8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miR-155, ↑ miR-203, ↑ miR-124a</w:t>
            </w:r>
          </w:p>
        </w:tc>
      </w:tr>
      <w:tr w:rsidR="002C62A3" w14:paraId="740A70E9" w14:textId="77777777">
        <w:tc>
          <w:tcPr>
            <w:tcW w:w="963" w:type="dxa"/>
            <w:vAlign w:val="center"/>
          </w:tcPr>
          <w:p w14:paraId="18E7C17C"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MS</w:t>
            </w:r>
          </w:p>
        </w:tc>
        <w:tc>
          <w:tcPr>
            <w:tcW w:w="2002" w:type="dxa"/>
            <w:vAlign w:val="center"/>
          </w:tcPr>
          <w:p w14:paraId="0DF6745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CD4+ T cells, PBMCs</w:t>
            </w:r>
          </w:p>
        </w:tc>
        <w:tc>
          <w:tcPr>
            <w:tcW w:w="2430" w:type="dxa"/>
            <w:vAlign w:val="center"/>
          </w:tcPr>
          <w:p w14:paraId="42DABDB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Differential methylation at HLA &amp; non-HLA loci</w:t>
            </w:r>
          </w:p>
        </w:tc>
        <w:tc>
          <w:tcPr>
            <w:tcW w:w="2250" w:type="dxa"/>
            <w:vAlign w:val="center"/>
          </w:tcPr>
          <w:p w14:paraId="5CAE17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Altered HDAC/SIRT expression</w:t>
            </w:r>
          </w:p>
        </w:tc>
        <w:tc>
          <w:tcPr>
            <w:tcW w:w="2520" w:type="dxa"/>
            <w:vAlign w:val="center"/>
          </w:tcPr>
          <w:p w14:paraId="1DC5EF5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miR-326, ↑ miR-155, ↓ miR-17-92</w:t>
            </w:r>
          </w:p>
        </w:tc>
      </w:tr>
      <w:tr w:rsidR="002C62A3" w14:paraId="24C5F2F3" w14:textId="77777777">
        <w:tc>
          <w:tcPr>
            <w:tcW w:w="963" w:type="dxa"/>
            <w:vAlign w:val="center"/>
          </w:tcPr>
          <w:p w14:paraId="4F9A9A2C" w14:textId="77777777" w:rsidR="002C62A3" w:rsidRDefault="00317B9B">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IBD</w:t>
            </w:r>
          </w:p>
        </w:tc>
        <w:tc>
          <w:tcPr>
            <w:tcW w:w="2002" w:type="dxa"/>
            <w:vAlign w:val="center"/>
          </w:tcPr>
          <w:p w14:paraId="791969D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Intestinal mucosa</w:t>
            </w:r>
          </w:p>
        </w:tc>
        <w:tc>
          <w:tcPr>
            <w:tcW w:w="2430" w:type="dxa"/>
            <w:vAlign w:val="center"/>
          </w:tcPr>
          <w:p w14:paraId="5EFD5CF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Hypermethylation of </w:t>
            </w:r>
            <w:r>
              <w:rPr>
                <w:rStyle w:val="Emphasis"/>
                <w:rFonts w:ascii="Times New Roman" w:hAnsi="Times New Roman" w:cs="Times New Roman"/>
                <w:sz w:val="24"/>
                <w:szCs w:val="24"/>
              </w:rPr>
              <w:t>SOCS1</w:t>
            </w:r>
            <w:r>
              <w:rPr>
                <w:rFonts w:ascii="Times New Roman" w:hAnsi="Times New Roman" w:cs="Times New Roman"/>
                <w:sz w:val="24"/>
                <w:szCs w:val="24"/>
              </w:rPr>
              <w:t> (Crohn's); Hypomethylation of T</w:t>
            </w:r>
            <w:r>
              <w:rPr>
                <w:rStyle w:val="Emphasis"/>
                <w:rFonts w:ascii="Times New Roman" w:hAnsi="Times New Roman" w:cs="Times New Roman"/>
                <w:sz w:val="24"/>
                <w:szCs w:val="24"/>
              </w:rPr>
              <w:t>NF</w:t>
            </w:r>
          </w:p>
        </w:tc>
        <w:tc>
          <w:tcPr>
            <w:tcW w:w="2250" w:type="dxa"/>
            <w:vAlign w:val="center"/>
          </w:tcPr>
          <w:p w14:paraId="38E4CBF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Altered HAT/HDAC balance</w:t>
            </w:r>
          </w:p>
        </w:tc>
        <w:tc>
          <w:tcPr>
            <w:tcW w:w="2520" w:type="dxa"/>
            <w:vAlign w:val="center"/>
          </w:tcPr>
          <w:p w14:paraId="3C70D6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miR-21, ↑ miR-29, miR-196 dysregulation</w:t>
            </w:r>
          </w:p>
        </w:tc>
      </w:tr>
    </w:tbl>
    <w:p w14:paraId="3B46B96E" w14:textId="77777777" w:rsidR="002C62A3" w:rsidRDefault="002C62A3">
      <w:pPr>
        <w:spacing w:line="480" w:lineRule="auto"/>
        <w:jc w:val="both"/>
        <w:rPr>
          <w:rFonts w:ascii="Times New Roman" w:hAnsi="Times New Roman" w:cs="Times New Roman"/>
          <w:sz w:val="24"/>
          <w:szCs w:val="24"/>
        </w:rPr>
      </w:pPr>
    </w:p>
    <w:p w14:paraId="503F1378"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 Environmental Triggers and Epigenetic Modification</w:t>
      </w:r>
    </w:p>
    <w:p w14:paraId="1EDAB67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compelling evidence for epigenetic dysregulation in immune-mediated diseases raises a critical question: what initiates these changes? Environmental factors are the primary architects, acting upon a genetically susceptible background to instigate patho</w:t>
      </w:r>
      <w:r>
        <w:rPr>
          <w:rFonts w:ascii="Times New Roman" w:hAnsi="Times New Roman" w:cs="Times New Roman"/>
          <w:sz w:val="24"/>
          <w:szCs w:val="24"/>
        </w:rPr>
        <w:t xml:space="preserve">genic epigenetic reprogramming. These exposures can induce stable alterations to the epigenome of immune cells and tissue-resident cells, effectively "embedding" the memory of </w:t>
      </w:r>
      <w:proofErr w:type="spellStart"/>
      <w:proofErr w:type="gramStart"/>
      <w:r>
        <w:rPr>
          <w:rFonts w:ascii="Times New Roman" w:hAnsi="Times New Roman" w:cs="Times New Roman"/>
          <w:sz w:val="24"/>
          <w:szCs w:val="24"/>
        </w:rPr>
        <w:t>a</w:t>
      </w:r>
      <w:proofErr w:type="spellEnd"/>
      <w:proofErr w:type="gramEnd"/>
      <w:r>
        <w:rPr>
          <w:rFonts w:ascii="Times New Roman" w:hAnsi="Times New Roman" w:cs="Times New Roman"/>
          <w:sz w:val="24"/>
          <w:szCs w:val="24"/>
        </w:rPr>
        <w:t xml:space="preserve"> environmental insult and lowering the threshold for autoimmune activation. The</w:t>
      </w:r>
      <w:r>
        <w:rPr>
          <w:rFonts w:ascii="Times New Roman" w:hAnsi="Times New Roman" w:cs="Times New Roman"/>
          <w:sz w:val="24"/>
          <w:szCs w:val="24"/>
        </w:rPr>
        <w:t xml:space="preserve"> timing of exposure (e.g., in utero, during adolescence) can be as critical as the exposure itself due to periods of heightened epigenetic plasticity.</w:t>
      </w:r>
    </w:p>
    <w:p w14:paraId="4795CA58" w14:textId="77777777" w:rsidR="002C62A3" w:rsidRDefault="002C62A3">
      <w:pPr>
        <w:spacing w:line="480" w:lineRule="auto"/>
        <w:jc w:val="both"/>
        <w:rPr>
          <w:rFonts w:ascii="Times New Roman" w:hAnsi="Times New Roman" w:cs="Times New Roman"/>
          <w:sz w:val="24"/>
          <w:szCs w:val="24"/>
        </w:rPr>
      </w:pPr>
    </w:p>
    <w:p w14:paraId="58805BC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4.1 Tobacco Smoke</w:t>
      </w:r>
    </w:p>
    <w:p w14:paraId="6DD580C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Cigarette smoke is one of the most well-established environmental risk factors for RA </w:t>
      </w:r>
      <w:r>
        <w:rPr>
          <w:rFonts w:ascii="Times New Roman" w:hAnsi="Times New Roman" w:cs="Times New Roman"/>
          <w:sz w:val="24"/>
          <w:szCs w:val="24"/>
        </w:rPr>
        <w:t>and other IMIDs. It is a complex mixture of over 7,000 chemicals, many of which have demonstrable epigenetic effects.</w:t>
      </w:r>
    </w:p>
    <w:p w14:paraId="4B7892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Chemicals like benzene and hydroquinone can directly inhibit the activity of DNMTs by forming covalent adducts or by generating</w:t>
      </w:r>
      <w:r>
        <w:rPr>
          <w:rFonts w:ascii="Times New Roman" w:hAnsi="Times New Roman" w:cs="Times New Roman"/>
          <w:sz w:val="24"/>
          <w:szCs w:val="24"/>
        </w:rPr>
        <w:t xml:space="preserve"> reactive oxygen species (ROS) that interfere with enzymatic function. This leads to DNA hypomethylation.</w:t>
      </w:r>
    </w:p>
    <w:p w14:paraId="17B4F23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Smokers exhibit global DNA hypomethylation in peripheral blood mononuclear cells (PBMCs). More specifically, smoking has been linked to hypo</w:t>
      </w:r>
      <w:r>
        <w:rPr>
          <w:rFonts w:ascii="Times New Roman" w:hAnsi="Times New Roman" w:cs="Times New Roman"/>
          <w:sz w:val="24"/>
          <w:szCs w:val="24"/>
        </w:rPr>
        <w:t xml:space="preserve">methylation of the AHRR (aryl hydrocarbon receptor repressor) gene and site-specific hypomethylation at the CXCL12 (involved in RA pathogenesis) and IL6 promoters in immune cells, promoting a pro-inflammatory state (Lim </w:t>
      </w:r>
      <w:r>
        <w:rPr>
          <w:rFonts w:ascii="Times New Roman" w:hAnsi="Times New Roman" w:cs="Times New Roman"/>
          <w:i/>
          <w:iCs/>
          <w:sz w:val="24"/>
          <w:szCs w:val="24"/>
        </w:rPr>
        <w:t>et al</w:t>
      </w:r>
      <w:r>
        <w:rPr>
          <w:rFonts w:ascii="Times New Roman" w:hAnsi="Times New Roman" w:cs="Times New Roman"/>
          <w:sz w:val="24"/>
          <w:szCs w:val="24"/>
        </w:rPr>
        <w:t xml:space="preserve">., 2024; Svendsen </w:t>
      </w:r>
      <w:r>
        <w:rPr>
          <w:rFonts w:ascii="Times New Roman" w:hAnsi="Times New Roman" w:cs="Times New Roman"/>
          <w:i/>
          <w:iCs/>
          <w:sz w:val="24"/>
          <w:szCs w:val="24"/>
        </w:rPr>
        <w:t>et al</w:t>
      </w:r>
      <w:r>
        <w:rPr>
          <w:rFonts w:ascii="Times New Roman" w:hAnsi="Times New Roman" w:cs="Times New Roman"/>
          <w:sz w:val="24"/>
          <w:szCs w:val="24"/>
        </w:rPr>
        <w:t>., 2025)</w:t>
      </w:r>
      <w:r>
        <w:rPr>
          <w:rFonts w:ascii="Times New Roman" w:hAnsi="Times New Roman" w:cs="Times New Roman"/>
          <w:sz w:val="24"/>
          <w:szCs w:val="24"/>
        </w:rPr>
        <w:t>. This effect can persist for years after smoking cessation, illustrating the long-lasting impact of epigenetic modification.</w:t>
      </w:r>
    </w:p>
    <w:p w14:paraId="13BBF953"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4.2 Microbial Infections (e.g., Epstein-Barr Virus)</w:t>
      </w:r>
    </w:p>
    <w:p w14:paraId="3E50E2B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Infections, particularly with the Epstein-Barr virus (EBV), are strongly assoc</w:t>
      </w:r>
      <w:r>
        <w:rPr>
          <w:rFonts w:ascii="Times New Roman" w:hAnsi="Times New Roman" w:cs="Times New Roman"/>
          <w:sz w:val="24"/>
          <w:szCs w:val="24"/>
        </w:rPr>
        <w:t>iated with an increased risk of SLE, MS, and other autoimmune conditions.</w:t>
      </w:r>
    </w:p>
    <w:p w14:paraId="36C48C9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EBV infection induces widespread epigenetic changes in host B cells to facilitate its own latency and proliferation. The viral protein EBNA2 acts as a transcriptional regu</w:t>
      </w:r>
      <w:r>
        <w:rPr>
          <w:rFonts w:ascii="Times New Roman" w:hAnsi="Times New Roman" w:cs="Times New Roman"/>
          <w:sz w:val="24"/>
          <w:szCs w:val="24"/>
        </w:rPr>
        <w:t xml:space="preserve">lator that binds to numerous autoimmune risk loci identified by GWAS, altering their expression and histone modification landscape. Furthermore, EBV-encoded latent membrane protein 1 (LMP1) can </w:t>
      </w:r>
      <w:r>
        <w:rPr>
          <w:rFonts w:ascii="Times New Roman" w:hAnsi="Times New Roman" w:cs="Times New Roman"/>
          <w:sz w:val="24"/>
          <w:szCs w:val="24"/>
        </w:rPr>
        <w:lastRenderedPageBreak/>
        <w:t>dysregulate DNMT expression, leading to hypomethylation and ac</w:t>
      </w:r>
      <w:r>
        <w:rPr>
          <w:rFonts w:ascii="Times New Roman" w:hAnsi="Times New Roman" w:cs="Times New Roman"/>
          <w:sz w:val="24"/>
          <w:szCs w:val="24"/>
        </w:rPr>
        <w:t xml:space="preserve">tivation of endogenous retroviruses and autoimmune-related genes (Viel, 2024; Zhao </w:t>
      </w:r>
      <w:r>
        <w:rPr>
          <w:rFonts w:ascii="Times New Roman" w:hAnsi="Times New Roman" w:cs="Times New Roman"/>
          <w:i/>
          <w:iCs/>
          <w:sz w:val="24"/>
          <w:szCs w:val="24"/>
        </w:rPr>
        <w:t>et al</w:t>
      </w:r>
      <w:r>
        <w:rPr>
          <w:rFonts w:ascii="Times New Roman" w:hAnsi="Times New Roman" w:cs="Times New Roman"/>
          <w:sz w:val="24"/>
          <w:szCs w:val="24"/>
        </w:rPr>
        <w:t>., 2024))</w:t>
      </w:r>
    </w:p>
    <w:p w14:paraId="48BB348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Patients with SLE have been shown to have aberrant hypomethylation of EBV genes, leading to loss of viral control and a higher viral load. The cross</w:t>
      </w:r>
      <w:r>
        <w:rPr>
          <w:rFonts w:ascii="Times New Roman" w:hAnsi="Times New Roman" w:cs="Times New Roman"/>
          <w:sz w:val="24"/>
          <w:szCs w:val="24"/>
        </w:rPr>
        <w:t xml:space="preserve">-reactivity between EBV antigens (e.g., EBNA1) and self-antigens (e.g., </w:t>
      </w:r>
      <w:proofErr w:type="spellStart"/>
      <w:r>
        <w:rPr>
          <w:rFonts w:ascii="Times New Roman" w:hAnsi="Times New Roman" w:cs="Times New Roman"/>
          <w:sz w:val="24"/>
          <w:szCs w:val="24"/>
        </w:rPr>
        <w:t>Sm</w:t>
      </w:r>
      <w:proofErr w:type="spellEnd"/>
      <w:r>
        <w:rPr>
          <w:rFonts w:ascii="Times New Roman" w:hAnsi="Times New Roman" w:cs="Times New Roman"/>
          <w:sz w:val="24"/>
          <w:szCs w:val="24"/>
        </w:rPr>
        <w:t xml:space="preserve"> in SLE) in an epigenetically permissive environment may break tolerance.</w:t>
      </w:r>
    </w:p>
    <w:p w14:paraId="50DAAF1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4.3 Diet and the Gut Microbiome</w:t>
      </w:r>
    </w:p>
    <w:p w14:paraId="4931620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Dietary components and the metabolites produced by the commensal gut microbi</w:t>
      </w:r>
      <w:r>
        <w:rPr>
          <w:rFonts w:ascii="Times New Roman" w:hAnsi="Times New Roman" w:cs="Times New Roman"/>
          <w:sz w:val="24"/>
          <w:szCs w:val="24"/>
        </w:rPr>
        <w:t>ota are potent epigenetic modifiers that directly influence immune cell function and mucosal integrity.</w:t>
      </w:r>
    </w:p>
    <w:p w14:paraId="799FC2B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w:t>
      </w:r>
    </w:p>
    <w:p w14:paraId="4DFF9E4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Methyl Donors: Nutrients involved in one-carbon metabolism, such as folate, vitamin B12, and choline are essential for generating S-adenosylm</w:t>
      </w:r>
      <w:r>
        <w:rPr>
          <w:rFonts w:ascii="Times New Roman" w:hAnsi="Times New Roman" w:cs="Times New Roman"/>
          <w:sz w:val="24"/>
          <w:szCs w:val="24"/>
        </w:rPr>
        <w:t>ethionine (SAM), the universal methyl donor for DNA and histone methylation. Deficiencies in these nutrients can lead to global hypomethylation.</w:t>
      </w:r>
    </w:p>
    <w:p w14:paraId="1F28410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Short-Chain Fatty Acids (SCFAs): Butyrate, propionate, and acetate are produced by bacterial fermentation of di</w:t>
      </w:r>
      <w:r>
        <w:rPr>
          <w:rFonts w:ascii="Times New Roman" w:hAnsi="Times New Roman" w:cs="Times New Roman"/>
          <w:sz w:val="24"/>
          <w:szCs w:val="24"/>
        </w:rPr>
        <w:t xml:space="preserve">etary fiber. Butyrate is a potent inhibitor of HDAC (particularly Class I and </w:t>
      </w:r>
      <w:proofErr w:type="spellStart"/>
      <w:r>
        <w:rPr>
          <w:rFonts w:ascii="Times New Roman" w:hAnsi="Times New Roman" w:cs="Times New Roman"/>
          <w:sz w:val="24"/>
          <w:szCs w:val="24"/>
        </w:rPr>
        <w:t>IIa</w:t>
      </w:r>
      <w:proofErr w:type="spellEnd"/>
      <w:r>
        <w:rPr>
          <w:rFonts w:ascii="Times New Roman" w:hAnsi="Times New Roman" w:cs="Times New Roman"/>
          <w:sz w:val="24"/>
          <w:szCs w:val="24"/>
        </w:rPr>
        <w:t>). HDAC inhibition in immune cells, particularly in the gut, promotes the development and function of regulatory T cells (Tregs) via hyperacetylation of the Foxp3 promoter and</w:t>
      </w:r>
      <w:r>
        <w:rPr>
          <w:rFonts w:ascii="Times New Roman" w:hAnsi="Times New Roman" w:cs="Times New Roman"/>
          <w:sz w:val="24"/>
          <w:szCs w:val="24"/>
        </w:rPr>
        <w:t xml:space="preserve"> other loci, thereby enforcing immune tolerance (Xu </w:t>
      </w:r>
      <w:r>
        <w:rPr>
          <w:rFonts w:ascii="Times New Roman" w:hAnsi="Times New Roman" w:cs="Times New Roman"/>
          <w:i/>
          <w:iCs/>
          <w:sz w:val="24"/>
          <w:szCs w:val="24"/>
        </w:rPr>
        <w:t>et al</w:t>
      </w:r>
      <w:r>
        <w:rPr>
          <w:rFonts w:ascii="Times New Roman" w:hAnsi="Times New Roman" w:cs="Times New Roman"/>
          <w:sz w:val="24"/>
          <w:szCs w:val="24"/>
        </w:rPr>
        <w:t>., 2025)</w:t>
      </w:r>
    </w:p>
    <w:p w14:paraId="651B49E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A "Western diet" low in fiber reduces SCFA production, leading to decreased HDAC inhibition, impaired Treg function, and a heightened inflammatory state. Butyrate supplementation h</w:t>
      </w:r>
      <w:r>
        <w:rPr>
          <w:rFonts w:ascii="Times New Roman" w:hAnsi="Times New Roman" w:cs="Times New Roman"/>
          <w:sz w:val="24"/>
          <w:szCs w:val="24"/>
        </w:rPr>
        <w:t xml:space="preserve">as been shown to ameliorate disease in animal models of colitis and MS (Fisse </w:t>
      </w:r>
      <w:r>
        <w:rPr>
          <w:rFonts w:ascii="Times New Roman" w:hAnsi="Times New Roman" w:cs="Times New Roman"/>
          <w:i/>
          <w:iCs/>
          <w:sz w:val="24"/>
          <w:szCs w:val="24"/>
        </w:rPr>
        <w:t>et al</w:t>
      </w:r>
      <w:r>
        <w:rPr>
          <w:rFonts w:ascii="Times New Roman" w:hAnsi="Times New Roman" w:cs="Times New Roman"/>
          <w:sz w:val="24"/>
          <w:szCs w:val="24"/>
        </w:rPr>
        <w:t>., 2024).</w:t>
      </w:r>
    </w:p>
    <w:p w14:paraId="49AD82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4.4 Ultraviolet (UV) Radiation</w:t>
      </w:r>
    </w:p>
    <w:p w14:paraId="479C81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UV radiation is a known trigger for SLE flares and skin manifestations.</w:t>
      </w:r>
    </w:p>
    <w:p w14:paraId="750E525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UVB exposure can induce DNA damage and oxidative stress in keratinocytes, leading to the generation of ROS. ROS can directly inhibit DNMT1 activity and alter the activity of enzymes responsible for histone modifications. This can cause demethyla</w:t>
      </w:r>
      <w:r>
        <w:rPr>
          <w:rFonts w:ascii="Times New Roman" w:hAnsi="Times New Roman" w:cs="Times New Roman"/>
          <w:sz w:val="24"/>
          <w:szCs w:val="24"/>
        </w:rPr>
        <w:t xml:space="preserve">tion and overexpression of genes involved in apoptosis and inflammation, such as CD70 and CD154 (Barnes </w:t>
      </w:r>
      <w:r>
        <w:rPr>
          <w:rFonts w:ascii="Times New Roman" w:hAnsi="Times New Roman" w:cs="Times New Roman"/>
          <w:i/>
          <w:iCs/>
          <w:sz w:val="24"/>
          <w:szCs w:val="24"/>
        </w:rPr>
        <w:t>et al</w:t>
      </w:r>
      <w:r>
        <w:rPr>
          <w:rFonts w:ascii="Times New Roman" w:hAnsi="Times New Roman" w:cs="Times New Roman"/>
          <w:sz w:val="24"/>
          <w:szCs w:val="24"/>
        </w:rPr>
        <w:t>., 2025).</w:t>
      </w:r>
    </w:p>
    <w:p w14:paraId="19A5EE7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UV irradiation of skin cells in culture induces demethylation and overexpression of autoantigens like Ro/SSA, potentially makin</w:t>
      </w:r>
      <w:r>
        <w:rPr>
          <w:rFonts w:ascii="Times New Roman" w:hAnsi="Times New Roman" w:cs="Times New Roman"/>
          <w:sz w:val="24"/>
          <w:szCs w:val="24"/>
        </w:rPr>
        <w:t>g them more visible to the immune system and initiating an autoimmune response.</w:t>
      </w:r>
    </w:p>
    <w:p w14:paraId="0DB9D0C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4.5 Air Pollutants and Chemicals</w:t>
      </w:r>
    </w:p>
    <w:p w14:paraId="71589B0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Particulate matter (PM2.5), organic solvents, and other environmental chemicals have been implicated in the pathogenesis of IMIDs.</w:t>
      </w:r>
    </w:p>
    <w:p w14:paraId="74A45E5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Mechanism: S</w:t>
      </w:r>
      <w:r>
        <w:rPr>
          <w:rFonts w:ascii="Times New Roman" w:hAnsi="Times New Roman" w:cs="Times New Roman"/>
          <w:sz w:val="24"/>
          <w:szCs w:val="24"/>
        </w:rPr>
        <w:t>imilar to tobacco smoke, many pollutants generate oxidative stress, leading to impaired DNMT function and global hypomethylation. Some chemicals can also directly bind to and activate aryl hydrocarbon receptor (</w:t>
      </w:r>
      <w:proofErr w:type="spellStart"/>
      <w:r>
        <w:rPr>
          <w:rFonts w:ascii="Times New Roman" w:hAnsi="Times New Roman" w:cs="Times New Roman"/>
          <w:sz w:val="24"/>
          <w:szCs w:val="24"/>
        </w:rPr>
        <w:t>AhR</w:t>
      </w:r>
      <w:proofErr w:type="spellEnd"/>
      <w:r>
        <w:rPr>
          <w:rFonts w:ascii="Times New Roman" w:hAnsi="Times New Roman" w:cs="Times New Roman"/>
          <w:sz w:val="24"/>
          <w:szCs w:val="24"/>
        </w:rPr>
        <w:t>), a ligand-activated transcription factor</w:t>
      </w:r>
      <w:r>
        <w:rPr>
          <w:rFonts w:ascii="Times New Roman" w:hAnsi="Times New Roman" w:cs="Times New Roman"/>
          <w:sz w:val="24"/>
          <w:szCs w:val="24"/>
        </w:rPr>
        <w:t xml:space="preserve"> that recruits a variety of epigenetic modifiers to target genes, influencing Th17/Treg balance (Wais and Agrawal, </w:t>
      </w:r>
      <w:proofErr w:type="gramStart"/>
      <w:r>
        <w:rPr>
          <w:rFonts w:ascii="Times New Roman" w:hAnsi="Times New Roman" w:cs="Times New Roman"/>
          <w:sz w:val="24"/>
          <w:szCs w:val="24"/>
        </w:rPr>
        <w:t>2024 ;</w:t>
      </w:r>
      <w:proofErr w:type="gramEnd"/>
      <w:r>
        <w:rPr>
          <w:rFonts w:ascii="Times New Roman" w:hAnsi="Times New Roman" w:cs="Times New Roman"/>
          <w:sz w:val="24"/>
          <w:szCs w:val="24"/>
        </w:rPr>
        <w:t xml:space="preserve"> Hahn </w:t>
      </w:r>
      <w:r>
        <w:rPr>
          <w:rFonts w:ascii="Times New Roman" w:hAnsi="Times New Roman" w:cs="Times New Roman"/>
          <w:i/>
          <w:iCs/>
          <w:sz w:val="24"/>
          <w:szCs w:val="24"/>
        </w:rPr>
        <w:t>et al</w:t>
      </w:r>
      <w:r>
        <w:rPr>
          <w:rFonts w:ascii="Times New Roman" w:hAnsi="Times New Roman" w:cs="Times New Roman"/>
          <w:sz w:val="24"/>
          <w:szCs w:val="24"/>
        </w:rPr>
        <w:t>., 2024)  .</w:t>
      </w:r>
    </w:p>
    <w:p w14:paraId="0D98ED1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Evidence: Epidemiological studies link exposure to silica dust and organic solvents to an increased risk of SLE,</w:t>
      </w:r>
      <w:r>
        <w:rPr>
          <w:rFonts w:ascii="Times New Roman" w:hAnsi="Times New Roman" w:cs="Times New Roman"/>
          <w:sz w:val="24"/>
          <w:szCs w:val="24"/>
        </w:rPr>
        <w:t xml:space="preserve"> RA, and systemic sclerosis. Studies show that PM2.5 exposure is associated with altered DNA methylation in inflammatory genes.</w:t>
      </w:r>
    </w:p>
    <w:p w14:paraId="04959C0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5. Translational Implications and Future Directions</w:t>
      </w:r>
    </w:p>
    <w:p w14:paraId="0BBCF69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profound understanding of epigenetic dysregulation in immune-mediated di</w:t>
      </w:r>
      <w:r>
        <w:rPr>
          <w:rFonts w:ascii="Times New Roman" w:hAnsi="Times New Roman" w:cs="Times New Roman"/>
          <w:sz w:val="24"/>
          <w:szCs w:val="24"/>
        </w:rPr>
        <w:t>seases is rapidly moving from bench to bedside, offering unprecedented opportunities for improving patient care. The dynamic and reversible nature of epigenetic marks positions them as ideal targets for novel diagnostic strategies and therapeutic intervent</w:t>
      </w:r>
      <w:r>
        <w:rPr>
          <w:rFonts w:ascii="Times New Roman" w:hAnsi="Times New Roman" w:cs="Times New Roman"/>
          <w:sz w:val="24"/>
          <w:szCs w:val="24"/>
        </w:rPr>
        <w:t>ions, heralding a new era of precision medicine in autoimmunity.</w:t>
      </w:r>
    </w:p>
    <w:p w14:paraId="6B4C2EE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5.1 Epigenetic Biomarkers</w:t>
      </w:r>
    </w:p>
    <w:p w14:paraId="5CAECE6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quest for specific, sensitive, and non-invasive biomarkers is central to improving outcomes in IMIDs. Epigenetic marks, stable in biofluids and reflective of </w:t>
      </w:r>
      <w:r>
        <w:rPr>
          <w:rFonts w:ascii="Times New Roman" w:hAnsi="Times New Roman" w:cs="Times New Roman"/>
          <w:sz w:val="24"/>
          <w:szCs w:val="24"/>
        </w:rPr>
        <w:t>dynamic disease activity, hold immense promise.</w:t>
      </w:r>
    </w:p>
    <w:p w14:paraId="18CE7BE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Diagnosis and Differential Diagnosis: DNA methylation signatures and circulating miRNA profiles can distinguish patients with a specific IMID from healthy controls and, crucially, from those with other clinic</w:t>
      </w:r>
      <w:r>
        <w:rPr>
          <w:rFonts w:ascii="Times New Roman" w:hAnsi="Times New Roman" w:cs="Times New Roman"/>
          <w:sz w:val="24"/>
          <w:szCs w:val="24"/>
        </w:rPr>
        <w:t>ally similar conditions. For instance, a specific methylation signature in synovial tissue or peripheral blood can differentiate rheumatoid arthritis from other forms of inflammatory arthritis (e.g., psoriatic arthritis) with higher accuracy than current s</w:t>
      </w:r>
      <w:r>
        <w:rPr>
          <w:rFonts w:ascii="Times New Roman" w:hAnsi="Times New Roman" w:cs="Times New Roman"/>
          <w:sz w:val="24"/>
          <w:szCs w:val="24"/>
        </w:rPr>
        <w:t>erological tests (</w:t>
      </w:r>
      <w:proofErr w:type="spellStart"/>
      <w:r>
        <w:rPr>
          <w:rFonts w:ascii="Times New Roman" w:hAnsi="Times New Roman" w:cs="Times New Roman"/>
          <w:sz w:val="24"/>
          <w:szCs w:val="24"/>
        </w:rPr>
        <w:t>Proaño</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2025)</w:t>
      </w:r>
    </w:p>
    <w:p w14:paraId="0D31F3A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Monitoring Disease Activity and Predicting Flares: Unlike static genetic risk alleles, epigenetic marks change with disease state. Serial analysis of circulating cell-free DNA (cfDNA) methylation patterns or miRNA lev</w:t>
      </w:r>
      <w:r>
        <w:rPr>
          <w:rFonts w:ascii="Times New Roman" w:hAnsi="Times New Roman" w:cs="Times New Roman"/>
          <w:sz w:val="24"/>
          <w:szCs w:val="24"/>
        </w:rPr>
        <w:t xml:space="preserve">els in serum can provide a real-time "epigenetic snapshot" of disease activity, potentially predicting impending flares before clinical symptoms manifest. This allows for pre-emptive treatment adjustments (Liu </w:t>
      </w:r>
      <w:r>
        <w:rPr>
          <w:rFonts w:ascii="Times New Roman" w:hAnsi="Times New Roman" w:cs="Times New Roman"/>
          <w:i/>
          <w:iCs/>
          <w:sz w:val="24"/>
          <w:szCs w:val="24"/>
        </w:rPr>
        <w:t>et al</w:t>
      </w:r>
      <w:r>
        <w:rPr>
          <w:rFonts w:ascii="Times New Roman" w:hAnsi="Times New Roman" w:cs="Times New Roman"/>
          <w:sz w:val="24"/>
          <w:szCs w:val="24"/>
        </w:rPr>
        <w:t>., 2024).</w:t>
      </w:r>
    </w:p>
    <w:p w14:paraId="070BE2D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Prognosis and Treatment Respons</w:t>
      </w:r>
      <w:r>
        <w:rPr>
          <w:rFonts w:ascii="Times New Roman" w:hAnsi="Times New Roman" w:cs="Times New Roman"/>
          <w:sz w:val="24"/>
          <w:szCs w:val="24"/>
        </w:rPr>
        <w:t xml:space="preserve">e: Epigenetic profiles may predict disease aggressiveness and likelihood of developing extra-articular manifestations. Furthermore, baseline epigenetic markers </w:t>
      </w:r>
      <w:r>
        <w:rPr>
          <w:rFonts w:ascii="Times New Roman" w:hAnsi="Times New Roman" w:cs="Times New Roman"/>
          <w:sz w:val="24"/>
          <w:szCs w:val="24"/>
        </w:rPr>
        <w:lastRenderedPageBreak/>
        <w:t>could forecast response to specific therapies (e.g., predicting non-response to TNF inhibitors),</w:t>
      </w:r>
      <w:r>
        <w:rPr>
          <w:rFonts w:ascii="Times New Roman" w:hAnsi="Times New Roman" w:cs="Times New Roman"/>
          <w:sz w:val="24"/>
          <w:szCs w:val="24"/>
        </w:rPr>
        <w:t xml:space="preserve"> enabling a more personalized and efficient treatment approach from the outset (Shaikh </w:t>
      </w:r>
      <w:r>
        <w:rPr>
          <w:rFonts w:ascii="Times New Roman" w:hAnsi="Times New Roman" w:cs="Times New Roman"/>
          <w:i/>
          <w:iCs/>
          <w:sz w:val="24"/>
          <w:szCs w:val="24"/>
        </w:rPr>
        <w:t>et al</w:t>
      </w:r>
      <w:r>
        <w:rPr>
          <w:rFonts w:ascii="Times New Roman" w:hAnsi="Times New Roman" w:cs="Times New Roman"/>
          <w:sz w:val="24"/>
          <w:szCs w:val="24"/>
        </w:rPr>
        <w:t>., 2024).</w:t>
      </w:r>
    </w:p>
    <w:p w14:paraId="46D6F9AC" w14:textId="3C051465" w:rsidR="00EB46BC" w:rsidRDefault="00EB46BC">
      <w:pPr>
        <w:spacing w:line="480" w:lineRule="auto"/>
        <w:jc w:val="both"/>
        <w:rPr>
          <w:rFonts w:ascii="Times New Roman" w:hAnsi="Times New Roman" w:cs="Times New Roman"/>
          <w:sz w:val="24"/>
          <w:szCs w:val="24"/>
        </w:rPr>
      </w:pPr>
      <w:r>
        <w:rPr>
          <w:rFonts w:ascii="Times New Roman" w:hAnsi="Times New Roman" w:cs="Times New Roman"/>
          <w:sz w:val="24"/>
          <w:szCs w:val="24"/>
        </w:rPr>
        <w:t>Table 2-</w:t>
      </w:r>
      <w:r w:rsidR="00A16477">
        <w:rPr>
          <w:rFonts w:ascii="Times New Roman" w:hAnsi="Times New Roman" w:cs="Times New Roman"/>
          <w:sz w:val="24"/>
          <w:szCs w:val="24"/>
        </w:rPr>
        <w:t xml:space="preserve"> </w:t>
      </w:r>
      <w:r w:rsidR="00A16477" w:rsidRPr="00A16477">
        <w:rPr>
          <w:rFonts w:ascii="Times New Roman" w:hAnsi="Times New Roman" w:cs="Times New Roman"/>
          <w:sz w:val="24"/>
          <w:szCs w:val="24"/>
        </w:rPr>
        <w:t>Epigenetic and miRNA biomarkers for diagnosis, monitoring, prognosis, and treatment response in SLE and RA</w:t>
      </w:r>
    </w:p>
    <w:tbl>
      <w:tblPr>
        <w:tblStyle w:val="TableGrid"/>
        <w:tblW w:w="9625" w:type="dxa"/>
        <w:tblLayout w:type="fixed"/>
        <w:tblLook w:val="04A0" w:firstRow="1" w:lastRow="0" w:firstColumn="1" w:lastColumn="0" w:noHBand="0" w:noVBand="1"/>
      </w:tblPr>
      <w:tblGrid>
        <w:gridCol w:w="2337"/>
        <w:gridCol w:w="3688"/>
        <w:gridCol w:w="3600"/>
      </w:tblGrid>
      <w:tr w:rsidR="002C62A3" w14:paraId="4A164356" w14:textId="77777777">
        <w:tc>
          <w:tcPr>
            <w:tcW w:w="2337" w:type="dxa"/>
          </w:tcPr>
          <w:p w14:paraId="3054F749"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Application</w:t>
            </w:r>
          </w:p>
        </w:tc>
        <w:tc>
          <w:tcPr>
            <w:tcW w:w="3688" w:type="dxa"/>
          </w:tcPr>
          <w:p w14:paraId="469F66A3"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Example</w:t>
            </w:r>
          </w:p>
        </w:tc>
        <w:tc>
          <w:tcPr>
            <w:tcW w:w="3600" w:type="dxa"/>
          </w:tcPr>
          <w:p w14:paraId="6C31611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Potential Utility</w:t>
            </w:r>
          </w:p>
        </w:tc>
      </w:tr>
      <w:tr w:rsidR="002C62A3" w14:paraId="357D7D15" w14:textId="77777777">
        <w:tc>
          <w:tcPr>
            <w:tcW w:w="2337" w:type="dxa"/>
          </w:tcPr>
          <w:p w14:paraId="53222564"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Diagnosis</w:t>
            </w:r>
          </w:p>
        </w:tc>
        <w:tc>
          <w:tcPr>
            <w:tcW w:w="3688" w:type="dxa"/>
          </w:tcPr>
          <w:p w14:paraId="60013D6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Specific miRNA panel (e.g., miR-146a, miR-155) in serum for SLE</w:t>
            </w:r>
          </w:p>
        </w:tc>
        <w:tc>
          <w:tcPr>
            <w:tcW w:w="3600" w:type="dxa"/>
          </w:tcPr>
          <w:p w14:paraId="2A9E5F1B"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Earlier and more accurate diagnosis, especially in seronegative patients</w:t>
            </w:r>
          </w:p>
        </w:tc>
      </w:tr>
      <w:tr w:rsidR="002C62A3" w14:paraId="76AB1CBF" w14:textId="77777777">
        <w:tc>
          <w:tcPr>
            <w:tcW w:w="2337" w:type="dxa"/>
          </w:tcPr>
          <w:p w14:paraId="2A3457D6"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Disease Monitoring</w:t>
            </w:r>
          </w:p>
        </w:tc>
        <w:tc>
          <w:tcPr>
            <w:tcW w:w="3688" w:type="dxa"/>
          </w:tcPr>
          <w:p w14:paraId="351A71FA"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Global DNA methylation levels in PBMCs in SLE; CXCL12 methylation in RA</w:t>
            </w:r>
          </w:p>
        </w:tc>
        <w:tc>
          <w:tcPr>
            <w:tcW w:w="3600" w:type="dxa"/>
          </w:tcPr>
          <w:p w14:paraId="5293575D"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Objective </w:t>
            </w:r>
            <w:r>
              <w:rPr>
                <w:rFonts w:ascii="Times New Roman" w:hAnsi="Times New Roman" w:cs="Times New Roman"/>
                <w:sz w:val="24"/>
                <w:szCs w:val="24"/>
              </w:rPr>
              <w:t>measure of disease activity; predict flare-ups</w:t>
            </w:r>
          </w:p>
        </w:tc>
      </w:tr>
      <w:tr w:rsidR="002C62A3" w14:paraId="68366D4C" w14:textId="77777777">
        <w:tc>
          <w:tcPr>
            <w:tcW w:w="2337" w:type="dxa"/>
          </w:tcPr>
          <w:p w14:paraId="1D7AC6F2"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Prognosis</w:t>
            </w:r>
          </w:p>
        </w:tc>
        <w:tc>
          <w:tcPr>
            <w:tcW w:w="3688" w:type="dxa"/>
          </w:tcPr>
          <w:p w14:paraId="0A2EF9A0"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Methylation status of apoptosis-related genes in RA-FLS</w:t>
            </w:r>
          </w:p>
        </w:tc>
        <w:tc>
          <w:tcPr>
            <w:tcW w:w="3600" w:type="dxa"/>
          </w:tcPr>
          <w:p w14:paraId="472B1C15"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sz w:val="24"/>
                <w:szCs w:val="24"/>
              </w:rPr>
              <w:t>Predict severity of joint destruction and disease course</w:t>
            </w:r>
          </w:p>
        </w:tc>
      </w:tr>
      <w:tr w:rsidR="002C62A3" w14:paraId="596EF4FD" w14:textId="77777777">
        <w:tc>
          <w:tcPr>
            <w:tcW w:w="2337" w:type="dxa"/>
          </w:tcPr>
          <w:p w14:paraId="5461DC3A"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Treatment Response</w:t>
            </w:r>
          </w:p>
        </w:tc>
        <w:tc>
          <w:tcPr>
            <w:tcW w:w="3688" w:type="dxa"/>
          </w:tcPr>
          <w:p w14:paraId="494A8838"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Pre-treatment miR-125b levels</w:t>
            </w:r>
          </w:p>
        </w:tc>
        <w:tc>
          <w:tcPr>
            <w:tcW w:w="3600" w:type="dxa"/>
          </w:tcPr>
          <w:p w14:paraId="4B589C71" w14:textId="77777777" w:rsidR="002C62A3" w:rsidRDefault="00317B9B">
            <w:pPr>
              <w:spacing w:line="480" w:lineRule="auto"/>
              <w:rPr>
                <w:rFonts w:ascii="Times New Roman" w:hAnsi="Times New Roman" w:cs="Times New Roman"/>
                <w:sz w:val="24"/>
                <w:szCs w:val="24"/>
              </w:rPr>
            </w:pPr>
            <w:r>
              <w:rPr>
                <w:rFonts w:ascii="Times New Roman" w:hAnsi="Times New Roman" w:cs="Times New Roman"/>
                <w:sz w:val="24"/>
                <w:szCs w:val="24"/>
              </w:rPr>
              <w:t>Predict response to Rituximab in RA</w:t>
            </w:r>
            <w:r>
              <w:rPr>
                <w:rFonts w:ascii="Times New Roman" w:hAnsi="Times New Roman" w:cs="Times New Roman"/>
                <w:sz w:val="24"/>
                <w:szCs w:val="24"/>
              </w:rPr>
              <w:t xml:space="preserve"> or SLE</w:t>
            </w:r>
          </w:p>
        </w:tc>
      </w:tr>
    </w:tbl>
    <w:p w14:paraId="3CE27630" w14:textId="77777777" w:rsidR="002C62A3" w:rsidRDefault="002C62A3">
      <w:pPr>
        <w:spacing w:line="480" w:lineRule="auto"/>
        <w:jc w:val="both"/>
        <w:rPr>
          <w:rFonts w:ascii="Times New Roman" w:hAnsi="Times New Roman" w:cs="Times New Roman"/>
          <w:sz w:val="24"/>
          <w:szCs w:val="24"/>
        </w:rPr>
      </w:pPr>
    </w:p>
    <w:p w14:paraId="5ED73617" w14:textId="77777777" w:rsidR="002C62A3" w:rsidRDefault="00317B9B">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5.2 Epigenetic Therapy</w:t>
      </w:r>
    </w:p>
    <w:p w14:paraId="7FD469A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concept of pharmacologically reversing aberrant epigenetic marks to restore normal gene expression is a groundbreaking therapeutic strategy. While most epigenetic drugs are currently used in oncology, their repurposing </w:t>
      </w:r>
      <w:r>
        <w:rPr>
          <w:rFonts w:ascii="Times New Roman" w:hAnsi="Times New Roman" w:cs="Times New Roman"/>
          <w:sz w:val="24"/>
          <w:szCs w:val="24"/>
        </w:rPr>
        <w:t>for autoimmunity is actively being explored.</w:t>
      </w:r>
    </w:p>
    <w:p w14:paraId="5270A6E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DNMT Inhibitors (</w:t>
      </w:r>
      <w:proofErr w:type="spellStart"/>
      <w:r>
        <w:rPr>
          <w:rFonts w:ascii="Times New Roman" w:hAnsi="Times New Roman" w:cs="Times New Roman"/>
          <w:b/>
          <w:bCs/>
          <w:sz w:val="24"/>
          <w:szCs w:val="24"/>
        </w:rPr>
        <w:t>DNMTi</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Drugs like </w:t>
      </w:r>
      <w:proofErr w:type="spellStart"/>
      <w:r>
        <w:rPr>
          <w:rFonts w:ascii="Times New Roman" w:hAnsi="Times New Roman" w:cs="Times New Roman"/>
          <w:sz w:val="24"/>
          <w:szCs w:val="24"/>
        </w:rPr>
        <w:t>azacitidine</w:t>
      </w:r>
      <w:proofErr w:type="spellEnd"/>
      <w:r>
        <w:rPr>
          <w:rFonts w:ascii="Times New Roman" w:hAnsi="Times New Roman" w:cs="Times New Roman"/>
          <w:sz w:val="24"/>
          <w:szCs w:val="24"/>
        </w:rPr>
        <w:t xml:space="preserve"> and decitabine are approved for myelodysplastic syndromes. Their use in autoimmunity is paradoxical; while they can reverse pathological hypermethylation of silenc</w:t>
      </w:r>
      <w:r>
        <w:rPr>
          <w:rFonts w:ascii="Times New Roman" w:hAnsi="Times New Roman" w:cs="Times New Roman"/>
          <w:sz w:val="24"/>
          <w:szCs w:val="24"/>
        </w:rPr>
        <w:t>ed genes, their primary effect is global hypomethylation, which could theoretically exacerbate diseases like SLE. The future lies in developing targeted delivery systems (e.g., antibody-drug conjugates) to specific cell types or employing low-dose regimens</w:t>
      </w:r>
      <w:r>
        <w:rPr>
          <w:rFonts w:ascii="Times New Roman" w:hAnsi="Times New Roman" w:cs="Times New Roman"/>
          <w:sz w:val="24"/>
          <w:szCs w:val="24"/>
        </w:rPr>
        <w:t xml:space="preserve"> to achieve gene-specific rather than global effects (Wen </w:t>
      </w:r>
      <w:r>
        <w:rPr>
          <w:rFonts w:ascii="Times New Roman" w:hAnsi="Times New Roman" w:cs="Times New Roman"/>
          <w:i/>
          <w:iCs/>
          <w:sz w:val="24"/>
          <w:szCs w:val="24"/>
        </w:rPr>
        <w:t>et al</w:t>
      </w:r>
      <w:r>
        <w:rPr>
          <w:rFonts w:ascii="Times New Roman" w:hAnsi="Times New Roman" w:cs="Times New Roman"/>
          <w:sz w:val="24"/>
          <w:szCs w:val="24"/>
        </w:rPr>
        <w:t>., 2025)</w:t>
      </w:r>
    </w:p>
    <w:p w14:paraId="33CDA79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HDAC Inhibitors (</w:t>
      </w:r>
      <w:proofErr w:type="spellStart"/>
      <w:r>
        <w:rPr>
          <w:rFonts w:ascii="Times New Roman" w:hAnsi="Times New Roman" w:cs="Times New Roman"/>
          <w:sz w:val="24"/>
          <w:szCs w:val="24"/>
        </w:rPr>
        <w:t>HDACi</w:t>
      </w:r>
      <w:proofErr w:type="spellEnd"/>
      <w:r>
        <w:rPr>
          <w:rFonts w:ascii="Times New Roman" w:hAnsi="Times New Roman" w:cs="Times New Roman"/>
          <w:sz w:val="24"/>
          <w:szCs w:val="24"/>
        </w:rPr>
        <w:t xml:space="preserve">): This class has shown greater immediate promise. Pan-HDAC inhibitors like </w:t>
      </w:r>
      <w:proofErr w:type="spellStart"/>
      <w:r>
        <w:rPr>
          <w:rFonts w:ascii="Times New Roman" w:hAnsi="Times New Roman" w:cs="Times New Roman"/>
          <w:sz w:val="24"/>
          <w:szCs w:val="24"/>
        </w:rPr>
        <w:t>vorinostat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givinostat</w:t>
      </w:r>
      <w:proofErr w:type="spellEnd"/>
      <w:r>
        <w:rPr>
          <w:rFonts w:ascii="Times New Roman" w:hAnsi="Times New Roman" w:cs="Times New Roman"/>
          <w:sz w:val="24"/>
          <w:szCs w:val="24"/>
        </w:rPr>
        <w:t xml:space="preserve"> have demonstrated efficacy in preclinical models of RA, SLE,</w:t>
      </w:r>
      <w:r>
        <w:rPr>
          <w:rFonts w:ascii="Times New Roman" w:hAnsi="Times New Roman" w:cs="Times New Roman"/>
          <w:sz w:val="24"/>
          <w:szCs w:val="24"/>
        </w:rPr>
        <w:t xml:space="preserve"> and MS by suppressing pro-inflammatory cytokine production and promoting Treg function. More selective HDAC inhibitors (e.g., targeting HDAC6, HDAC11) are in development to enhance efficacy and reduce off-target effects (. Notably, the SCFA butyrate is a </w:t>
      </w:r>
      <w:r>
        <w:rPr>
          <w:rFonts w:ascii="Times New Roman" w:hAnsi="Times New Roman" w:cs="Times New Roman"/>
          <w:sz w:val="24"/>
          <w:szCs w:val="24"/>
        </w:rPr>
        <w:t xml:space="preserve">natural </w:t>
      </w:r>
      <w:proofErr w:type="spellStart"/>
      <w:r>
        <w:rPr>
          <w:rFonts w:ascii="Times New Roman" w:hAnsi="Times New Roman" w:cs="Times New Roman"/>
          <w:sz w:val="24"/>
          <w:szCs w:val="24"/>
        </w:rPr>
        <w:t>HDACi</w:t>
      </w:r>
      <w:proofErr w:type="spellEnd"/>
      <w:r>
        <w:rPr>
          <w:rFonts w:ascii="Times New Roman" w:hAnsi="Times New Roman" w:cs="Times New Roman"/>
          <w:sz w:val="24"/>
          <w:szCs w:val="24"/>
        </w:rPr>
        <w:t xml:space="preserve">, providing a strong rationale for dietary and microbiome-based interventions (Yue </w:t>
      </w:r>
      <w:r>
        <w:rPr>
          <w:rFonts w:ascii="Times New Roman" w:hAnsi="Times New Roman" w:cs="Times New Roman"/>
          <w:i/>
          <w:iCs/>
          <w:sz w:val="24"/>
          <w:szCs w:val="24"/>
        </w:rPr>
        <w:t>et al</w:t>
      </w:r>
      <w:r>
        <w:rPr>
          <w:rFonts w:ascii="Times New Roman" w:hAnsi="Times New Roman" w:cs="Times New Roman"/>
          <w:sz w:val="24"/>
          <w:szCs w:val="24"/>
        </w:rPr>
        <w:t>., 2025).</w:t>
      </w:r>
    </w:p>
    <w:p w14:paraId="2B4FEE7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Bromodomain and Extra-Terminal (BET) Inhibitors: These compounds disrupt the reading of histone acetylation marks by BET proteins. They have pote</w:t>
      </w:r>
      <w:r>
        <w:rPr>
          <w:rFonts w:ascii="Times New Roman" w:hAnsi="Times New Roman" w:cs="Times New Roman"/>
          <w:sz w:val="24"/>
          <w:szCs w:val="24"/>
        </w:rPr>
        <w:t xml:space="preserve">nt anti-inflammatory effects by downregulating key inflammatory genes (e.g., NFKB, IL6) and have shown efficacy in multiple animal models of IMIDs (Khokhar </w:t>
      </w:r>
      <w:r>
        <w:rPr>
          <w:rFonts w:ascii="Times New Roman" w:hAnsi="Times New Roman" w:cs="Times New Roman"/>
          <w:i/>
          <w:iCs/>
          <w:sz w:val="24"/>
          <w:szCs w:val="24"/>
        </w:rPr>
        <w:t>et al</w:t>
      </w:r>
      <w:r>
        <w:rPr>
          <w:rFonts w:ascii="Times New Roman" w:hAnsi="Times New Roman" w:cs="Times New Roman"/>
          <w:sz w:val="24"/>
          <w:szCs w:val="24"/>
        </w:rPr>
        <w:t>., 2024).</w:t>
      </w:r>
    </w:p>
    <w:p w14:paraId="3C1428B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miRNA-Based Therapeutics: This approach offers exquisite specificity. Mimics (to rest</w:t>
      </w:r>
      <w:r>
        <w:rPr>
          <w:rFonts w:ascii="Times New Roman" w:hAnsi="Times New Roman" w:cs="Times New Roman"/>
          <w:sz w:val="24"/>
          <w:szCs w:val="24"/>
        </w:rPr>
        <w:t>ore levels of deficient miRNAs like miR-146a) and antagomirs or locked nucleic acids (LNAs) (to silence overexpressed miRNAs like miR-155) are in various stages of preclinical and early clinical development. The major challenge remains the efficient and ta</w:t>
      </w:r>
      <w:r>
        <w:rPr>
          <w:rFonts w:ascii="Times New Roman" w:hAnsi="Times New Roman" w:cs="Times New Roman"/>
          <w:sz w:val="24"/>
          <w:szCs w:val="24"/>
        </w:rPr>
        <w:t>rgeted delivery of these oligonucleotides to relevant immune cells in vivo (</w:t>
      </w:r>
      <w:proofErr w:type="spellStart"/>
      <w:r>
        <w:rPr>
          <w:rFonts w:ascii="Times New Roman" w:hAnsi="Times New Roman" w:cs="Times New Roman"/>
          <w:sz w:val="24"/>
          <w:szCs w:val="24"/>
        </w:rPr>
        <w:t>Bannazadeh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2024).</w:t>
      </w:r>
    </w:p>
    <w:p w14:paraId="7344D81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6. Conclusion</w:t>
      </w:r>
    </w:p>
    <w:p w14:paraId="5BD8555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investigation into epigenetic dysregulation has fundamentally reshaped our understanding of immune-mediated diseases. No longer viewed a</w:t>
      </w:r>
      <w:r>
        <w:rPr>
          <w:rFonts w:ascii="Times New Roman" w:hAnsi="Times New Roman" w:cs="Times New Roman"/>
          <w:sz w:val="24"/>
          <w:szCs w:val="24"/>
        </w:rPr>
        <w:t>s disorders governed solely by a deterministic genetic code, IMIDs are now recognized as conditions where dynamic epigenetic mechanisms interpret genetic susceptibility through the lens of environmental exposure. This review has synthesized compelling evid</w:t>
      </w:r>
      <w:r>
        <w:rPr>
          <w:rFonts w:ascii="Times New Roman" w:hAnsi="Times New Roman" w:cs="Times New Roman"/>
          <w:sz w:val="24"/>
          <w:szCs w:val="24"/>
        </w:rPr>
        <w:t>ence that establishes aberrant DNA methylation, histone modifications, and non-coding RNA expression not as mere epiphenomena, but as central drivers of pathogenesis. These mechanisms directly mediate the loss of immune tolerance, hyperactivation of inflam</w:t>
      </w:r>
      <w:r>
        <w:rPr>
          <w:rFonts w:ascii="Times New Roman" w:hAnsi="Times New Roman" w:cs="Times New Roman"/>
          <w:sz w:val="24"/>
          <w:szCs w:val="24"/>
        </w:rPr>
        <w:t>matory pathways, and tissue damage characteristic of diseases like SLE, RA, MS, and IBD.</w:t>
      </w:r>
    </w:p>
    <w:p w14:paraId="1DEF537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The environmental dimension is particularly pivotal, with factors such as tobacco smoke, viral infections (notably EBV), diet, and the gut microbiome acting as powerfu</w:t>
      </w:r>
      <w:r>
        <w:rPr>
          <w:rFonts w:ascii="Times New Roman" w:hAnsi="Times New Roman" w:cs="Times New Roman"/>
          <w:sz w:val="24"/>
          <w:szCs w:val="24"/>
        </w:rPr>
        <w:t>l epigenetic modifiers. These triggers can induce stable, heritable changes in gene expression that lower the threshold for autoimmunity, effectively encoding the memory of environmental insults within the immune system and explaining the notable discordan</w:t>
      </w:r>
      <w:r>
        <w:rPr>
          <w:rFonts w:ascii="Times New Roman" w:hAnsi="Times New Roman" w:cs="Times New Roman"/>
          <w:sz w:val="24"/>
          <w:szCs w:val="24"/>
        </w:rPr>
        <w:t>ce in genetically identical twins.</w:t>
      </w:r>
    </w:p>
    <w:p w14:paraId="1F0B3CF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This profound mechanistic insight unlocks immense translational potential. The dynamic nature of the epigenome offers a unique opportunity to develop novel epigenetic biomarkers for early diagnosis, precise prognosis, and</w:t>
      </w:r>
      <w:r>
        <w:rPr>
          <w:rFonts w:ascii="Times New Roman" w:hAnsi="Times New Roman" w:cs="Times New Roman"/>
          <w:sz w:val="24"/>
          <w:szCs w:val="24"/>
        </w:rPr>
        <w:t xml:space="preserve"> real-time monitoring of disease activity, moving beyond the limitations of current serological and clinical markers. Furthermore, the reversibility of epigenetic marks paves the way for a revolutionary therapeutic strategy: epigenetic therapy. The repurpo</w:t>
      </w:r>
      <w:r>
        <w:rPr>
          <w:rFonts w:ascii="Times New Roman" w:hAnsi="Times New Roman" w:cs="Times New Roman"/>
          <w:sz w:val="24"/>
          <w:szCs w:val="24"/>
        </w:rPr>
        <w:t>sing and refinement of drugs targeting DNMTs, HDACs, BET proteins, and specific miRNAs hold the promise of not just suppressing inflammation but potentially restoring immunological balance and inducing long-term remission by reversing the root epigenetic d</w:t>
      </w:r>
      <w:r>
        <w:rPr>
          <w:rFonts w:ascii="Times New Roman" w:hAnsi="Times New Roman" w:cs="Times New Roman"/>
          <w:sz w:val="24"/>
          <w:szCs w:val="24"/>
        </w:rPr>
        <w:t>ysfunction.</w:t>
      </w:r>
    </w:p>
    <w:p w14:paraId="6A75AB7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However, the path forward is not without challenges. The field must overcome hurdles related to the cell-type specificity of interventions, the complex crosstalk within the epigenome, and the long-term safety of modulating these fundamental reg</w:t>
      </w:r>
      <w:r>
        <w:rPr>
          <w:rFonts w:ascii="Times New Roman" w:hAnsi="Times New Roman" w:cs="Times New Roman"/>
          <w:sz w:val="24"/>
          <w:szCs w:val="24"/>
        </w:rPr>
        <w:t>ulatory systems. Future research must focus on large-scale integrative multi-omics studies to validate biomarkers and on developing novel targeted delivery systems to enhance the precision of epigenetic drugs.</w:t>
      </w:r>
    </w:p>
    <w:p w14:paraId="22A15EE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the study of epigenetics has pr</w:t>
      </w:r>
      <w:r>
        <w:rPr>
          <w:rFonts w:ascii="Times New Roman" w:hAnsi="Times New Roman" w:cs="Times New Roman"/>
          <w:sz w:val="24"/>
          <w:szCs w:val="24"/>
        </w:rPr>
        <w:t>ovided the missing link between genes and environment in immune-mediated diseases. It offers a more complete and nuanced disease model and, most importantly, illuminates a promising path toward personalized medicine. By reading and rewriting the epigenetic</w:t>
      </w:r>
      <w:r>
        <w:rPr>
          <w:rFonts w:ascii="Times New Roman" w:hAnsi="Times New Roman" w:cs="Times New Roman"/>
          <w:sz w:val="24"/>
          <w:szCs w:val="24"/>
        </w:rPr>
        <w:t xml:space="preserve"> code that goes awry in autoimmunity, we are poised to develop more effective strategies for prediction, prevention, and treatment, ultimately aiming to restore the delicate balance of the immune system and improve the lives of millions of patients worldwi</w:t>
      </w:r>
      <w:r>
        <w:rPr>
          <w:rFonts w:ascii="Times New Roman" w:hAnsi="Times New Roman" w:cs="Times New Roman"/>
          <w:sz w:val="24"/>
          <w:szCs w:val="24"/>
        </w:rPr>
        <w:t>de.</w:t>
      </w:r>
    </w:p>
    <w:p w14:paraId="0C9BBC35" w14:textId="77777777" w:rsidR="002C62A3" w:rsidRDefault="00317B9B">
      <w:pPr>
        <w:spacing w:line="48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2A6040C2"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Antonazzo</w:t>
      </w:r>
      <w:proofErr w:type="spellEnd"/>
      <w:r>
        <w:rPr>
          <w:rFonts w:ascii="Times New Roman" w:hAnsi="Times New Roman" w:cs="Times New Roman"/>
          <w:sz w:val="24"/>
          <w:szCs w:val="24"/>
        </w:rPr>
        <w:t>, G., Gaudet, P., Lovering, R. C., &amp; Attrill, H. (2024). Representation of non-coding RNA-mediated regulation of gene expression using the Gene Ontology. RNA biology, 21(1), 981-993.</w:t>
      </w:r>
    </w:p>
    <w:p w14:paraId="49A10D2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Araki, Y., &amp; Mimura, T. (2024). Epigenetic dysreg</w:t>
      </w:r>
      <w:r>
        <w:rPr>
          <w:rFonts w:ascii="Times New Roman" w:hAnsi="Times New Roman" w:cs="Times New Roman"/>
          <w:sz w:val="24"/>
          <w:szCs w:val="24"/>
        </w:rPr>
        <w:t>ulation in the pathogenesis of systemic lupus erythematosus. International Journal of Molecular Sciences, 25(2), 1019.</w:t>
      </w:r>
    </w:p>
    <w:p w14:paraId="428226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Arneth, B. (2024). Genes, Gene Loci, and Their Impacts on the Immune System in the Development of Multiple Sclerosis: A Systematic Review</w:t>
      </w:r>
      <w:r>
        <w:rPr>
          <w:rFonts w:ascii="Times New Roman" w:hAnsi="Times New Roman" w:cs="Times New Roman"/>
          <w:sz w:val="24"/>
          <w:szCs w:val="24"/>
        </w:rPr>
        <w:t>. International Journal of Molecular Sciences, 25(23), 12906.</w:t>
      </w:r>
    </w:p>
    <w:p w14:paraId="161B12F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Ates, I., Terzi, U., Suzen, S., &amp; Irham, L. M. (2025). An overview on Sjögren’s syndrome and systemic lupus erythematosus’ genetics. Toxicology Research, 14(1), tfae194.</w:t>
      </w:r>
    </w:p>
    <w:p w14:paraId="27B30CD5"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Ausserwinkler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Gensluckner</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Voelkerer</w:t>
      </w:r>
      <w:proofErr w:type="spellEnd"/>
      <w:r>
        <w:rPr>
          <w:rFonts w:ascii="Times New Roman" w:hAnsi="Times New Roman" w:cs="Times New Roman"/>
          <w:sz w:val="24"/>
          <w:szCs w:val="24"/>
        </w:rPr>
        <w:t xml:space="preserve">, A., Thiel, J., Neumann, H. J., Flamm, M., ... &amp; </w:t>
      </w:r>
      <w:proofErr w:type="spellStart"/>
      <w:r>
        <w:rPr>
          <w:rFonts w:ascii="Times New Roman" w:hAnsi="Times New Roman" w:cs="Times New Roman"/>
          <w:sz w:val="24"/>
          <w:szCs w:val="24"/>
        </w:rPr>
        <w:t>Wernly</w:t>
      </w:r>
      <w:proofErr w:type="spellEnd"/>
      <w:r>
        <w:rPr>
          <w:rFonts w:ascii="Times New Roman" w:hAnsi="Times New Roman" w:cs="Times New Roman"/>
          <w:sz w:val="24"/>
          <w:szCs w:val="24"/>
        </w:rPr>
        <w:t xml:space="preserve">, B. (2025). Genetic relationship between rheumatoid arthritis and cardiovascular diseases: a systematic review of Mendelian randomization studies. Wiener </w:t>
      </w:r>
      <w:proofErr w:type="spellStart"/>
      <w:r>
        <w:rPr>
          <w:rFonts w:ascii="Times New Roman" w:hAnsi="Times New Roman" w:cs="Times New Roman"/>
          <w:sz w:val="24"/>
          <w:szCs w:val="24"/>
        </w:rPr>
        <w:t>klinische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Wochensch</w:t>
      </w:r>
      <w:r>
        <w:rPr>
          <w:rFonts w:ascii="Times New Roman" w:hAnsi="Times New Roman" w:cs="Times New Roman"/>
          <w:sz w:val="24"/>
          <w:szCs w:val="24"/>
        </w:rPr>
        <w:t>rift</w:t>
      </w:r>
      <w:proofErr w:type="spellEnd"/>
      <w:r>
        <w:rPr>
          <w:rFonts w:ascii="Times New Roman" w:hAnsi="Times New Roman" w:cs="Times New Roman"/>
          <w:sz w:val="24"/>
          <w:szCs w:val="24"/>
        </w:rPr>
        <w:t>, 137(9), 272-278.</w:t>
      </w:r>
    </w:p>
    <w:p w14:paraId="1B001A54"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Bannazadeh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Baghi</w:t>
      </w:r>
      <w:proofErr w:type="spellEnd"/>
      <w:r>
        <w:rPr>
          <w:rFonts w:ascii="Times New Roman" w:hAnsi="Times New Roman" w:cs="Times New Roman"/>
          <w:sz w:val="24"/>
          <w:szCs w:val="24"/>
        </w:rPr>
        <w:t xml:space="preserve">, H., Bayat, M., Mehrasa, P., Alavi, S. M. A., </w:t>
      </w:r>
      <w:proofErr w:type="spellStart"/>
      <w:r>
        <w:rPr>
          <w:rFonts w:ascii="Times New Roman" w:hAnsi="Times New Roman" w:cs="Times New Roman"/>
          <w:sz w:val="24"/>
          <w:szCs w:val="24"/>
        </w:rPr>
        <w:t>Lotfalizadeh</w:t>
      </w:r>
      <w:proofErr w:type="spellEnd"/>
      <w:r>
        <w:rPr>
          <w:rFonts w:ascii="Times New Roman" w:hAnsi="Times New Roman" w:cs="Times New Roman"/>
          <w:sz w:val="24"/>
          <w:szCs w:val="24"/>
        </w:rPr>
        <w:t xml:space="preserve">, M. H., </w:t>
      </w:r>
      <w:proofErr w:type="spellStart"/>
      <w:r>
        <w:rPr>
          <w:rFonts w:ascii="Times New Roman" w:hAnsi="Times New Roman" w:cs="Times New Roman"/>
          <w:sz w:val="24"/>
          <w:szCs w:val="24"/>
        </w:rPr>
        <w:t>Memar</w:t>
      </w:r>
      <w:proofErr w:type="spellEnd"/>
      <w:r>
        <w:rPr>
          <w:rFonts w:ascii="Times New Roman" w:hAnsi="Times New Roman" w:cs="Times New Roman"/>
          <w:sz w:val="24"/>
          <w:szCs w:val="24"/>
        </w:rPr>
        <w:t>, M. Y., ... &amp; Mirzaei, H. (2024). Regulatory role of microRNAs in virus-mediated inflammation. Journal of Inflammation, 21(1), 43.</w:t>
      </w:r>
    </w:p>
    <w:p w14:paraId="6DFEBEE9"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Barnes, B. M</w:t>
      </w:r>
      <w:r>
        <w:rPr>
          <w:rFonts w:ascii="Times New Roman" w:hAnsi="Times New Roman" w:cs="Times New Roman"/>
          <w:sz w:val="24"/>
          <w:szCs w:val="24"/>
        </w:rPr>
        <w:t>., Shyne, A., Gunn, D. A., Griffiths, C. E., &amp; Watson, R. E. (2024). Epigenetics and ultraviolet radiation: Implications for skin ageing and carcinogenesis. Skin Health and Disease, 4(6), e410.</w:t>
      </w:r>
    </w:p>
    <w:p w14:paraId="60EEEBE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Chen, G., Zhang, L., Wang, R., &amp; Xie, Z. (2024). Histone methy</w:t>
      </w:r>
      <w:r>
        <w:rPr>
          <w:rFonts w:ascii="Times New Roman" w:hAnsi="Times New Roman" w:cs="Times New Roman"/>
          <w:sz w:val="24"/>
          <w:szCs w:val="24"/>
        </w:rPr>
        <w:t>lation in Epstein–Barr virus-associated diseases. Epigenomics, 16(11-12), 865-877.</w:t>
      </w:r>
    </w:p>
    <w:p w14:paraId="48DCCF1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Chen, Y., Guo, P., &amp; Dong, Z. (2024). The role of histone acetylation in transcriptional regulation and seed development. Plant Physiology, 194(4), 1962-1979.</w:t>
      </w:r>
    </w:p>
    <w:p w14:paraId="5A026F5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Deng, T., </w:t>
      </w:r>
      <w:r>
        <w:rPr>
          <w:rFonts w:ascii="Times New Roman" w:hAnsi="Times New Roman" w:cs="Times New Roman"/>
          <w:sz w:val="24"/>
          <w:szCs w:val="24"/>
        </w:rPr>
        <w:t>Wang, Z., Geng, Q., Wang, Z., Jiao, Y., Diao, W., and Xiao, C. (2024). Methylation of T and B lymphocytes in autoimmune rheumatic diseases. Clinical Reviews in Allergy &amp; Immunology, 66(3), 401-422.</w:t>
      </w:r>
    </w:p>
    <w:p w14:paraId="2A763459"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Elbahrawi</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Aljoudi</w:t>
      </w:r>
      <w:proofErr w:type="spellEnd"/>
      <w:r>
        <w:rPr>
          <w:rFonts w:ascii="Times New Roman" w:hAnsi="Times New Roman" w:cs="Times New Roman"/>
          <w:sz w:val="24"/>
          <w:szCs w:val="24"/>
        </w:rPr>
        <w:t xml:space="preserve">, S., Rabeh, N., </w:t>
      </w:r>
      <w:proofErr w:type="spellStart"/>
      <w:r>
        <w:rPr>
          <w:rFonts w:ascii="Times New Roman" w:hAnsi="Times New Roman" w:cs="Times New Roman"/>
          <w:sz w:val="24"/>
          <w:szCs w:val="24"/>
        </w:rPr>
        <w:t>Dimassi</w:t>
      </w:r>
      <w:proofErr w:type="spellEnd"/>
      <w:r>
        <w:rPr>
          <w:rFonts w:ascii="Times New Roman" w:hAnsi="Times New Roman" w:cs="Times New Roman"/>
          <w:sz w:val="24"/>
          <w:szCs w:val="24"/>
        </w:rPr>
        <w:t>, Z., Alhosa</w:t>
      </w:r>
      <w:r>
        <w:rPr>
          <w:rFonts w:ascii="Times New Roman" w:hAnsi="Times New Roman" w:cs="Times New Roman"/>
          <w:sz w:val="24"/>
          <w:szCs w:val="24"/>
        </w:rPr>
        <w:t>ni, K. M., &amp; Hamdan, H. (2024). Epigenetics: Implication on Multiple Sclerosis. In Exploring the Effects of Diet on the Development and Prognosis of Multiple Sclerosis (MS) (pp. 207-218). Singapore: Springer Nature Singapore.</w:t>
      </w:r>
    </w:p>
    <w:p w14:paraId="13C308B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Enayati, S., </w:t>
      </w:r>
      <w:proofErr w:type="spellStart"/>
      <w:r>
        <w:rPr>
          <w:rFonts w:ascii="Times New Roman" w:hAnsi="Times New Roman" w:cs="Times New Roman"/>
          <w:sz w:val="24"/>
          <w:szCs w:val="24"/>
        </w:rPr>
        <w:t>Moharamoghli</w:t>
      </w:r>
      <w:proofErr w:type="spellEnd"/>
      <w:r>
        <w:rPr>
          <w:rFonts w:ascii="Times New Roman" w:hAnsi="Times New Roman" w:cs="Times New Roman"/>
          <w:sz w:val="24"/>
          <w:szCs w:val="24"/>
        </w:rPr>
        <w:t>, M.,</w:t>
      </w:r>
      <w:r>
        <w:rPr>
          <w:rFonts w:ascii="Times New Roman" w:hAnsi="Times New Roman" w:cs="Times New Roman"/>
          <w:sz w:val="24"/>
          <w:szCs w:val="24"/>
        </w:rPr>
        <w:t xml:space="preserve"> </w:t>
      </w:r>
      <w:proofErr w:type="spellStart"/>
      <w:r>
        <w:rPr>
          <w:rFonts w:ascii="Times New Roman" w:hAnsi="Times New Roman" w:cs="Times New Roman"/>
          <w:sz w:val="24"/>
          <w:szCs w:val="24"/>
        </w:rPr>
        <w:t>Farazmand</w:t>
      </w:r>
      <w:proofErr w:type="spellEnd"/>
      <w:r>
        <w:rPr>
          <w:rFonts w:ascii="Times New Roman" w:hAnsi="Times New Roman" w:cs="Times New Roman"/>
          <w:sz w:val="24"/>
          <w:szCs w:val="24"/>
        </w:rPr>
        <w:t xml:space="preserve">, A., Hassan-Zadeh, V., Poursani, S., </w:t>
      </w:r>
      <w:proofErr w:type="spellStart"/>
      <w:r>
        <w:rPr>
          <w:rFonts w:ascii="Times New Roman" w:hAnsi="Times New Roman" w:cs="Times New Roman"/>
          <w:sz w:val="24"/>
          <w:szCs w:val="24"/>
        </w:rPr>
        <w:t>Madreseh</w:t>
      </w:r>
      <w:proofErr w:type="spellEnd"/>
      <w:r>
        <w:rPr>
          <w:rFonts w:ascii="Times New Roman" w:hAnsi="Times New Roman" w:cs="Times New Roman"/>
          <w:sz w:val="24"/>
          <w:szCs w:val="24"/>
        </w:rPr>
        <w:t>, E., ... &amp; Mahmoudi, M. (2024). Upregulated Gene Expression of Histone Deacetylases (HDAC) 1, 2, and 11 in Peripheral Blood Mononuclear Cells of Rheumatoid Arthritis Patients. Journal of Cellular Imm</w:t>
      </w:r>
      <w:r>
        <w:rPr>
          <w:rFonts w:ascii="Times New Roman" w:hAnsi="Times New Roman" w:cs="Times New Roman"/>
          <w:sz w:val="24"/>
          <w:szCs w:val="24"/>
        </w:rPr>
        <w:t>unology, 6(4), 188-195.</w:t>
      </w:r>
    </w:p>
    <w:p w14:paraId="3C31E17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Fisse, A. L., Motte, J., Kalliopi, A. P. D., &amp; </w:t>
      </w:r>
      <w:proofErr w:type="spellStart"/>
      <w:r>
        <w:rPr>
          <w:rFonts w:ascii="Times New Roman" w:hAnsi="Times New Roman" w:cs="Times New Roman"/>
          <w:sz w:val="24"/>
          <w:szCs w:val="24"/>
        </w:rPr>
        <w:t>Pitarokoili</w:t>
      </w:r>
      <w:proofErr w:type="spellEnd"/>
      <w:r>
        <w:rPr>
          <w:rFonts w:ascii="Times New Roman" w:hAnsi="Times New Roman" w:cs="Times New Roman"/>
          <w:sz w:val="24"/>
          <w:szCs w:val="24"/>
        </w:rPr>
        <w:t xml:space="preserve">, M. D. (2024). Influence of the short-chain fatty acid propionic acid on the peripheral immune </w:t>
      </w:r>
      <w:proofErr w:type="spellStart"/>
      <w:r>
        <w:rPr>
          <w:rFonts w:ascii="Times New Roman" w:hAnsi="Times New Roman" w:cs="Times New Roman"/>
          <w:sz w:val="24"/>
          <w:szCs w:val="24"/>
        </w:rPr>
        <w:t>regula-tion</w:t>
      </w:r>
      <w:proofErr w:type="spellEnd"/>
      <w:r>
        <w:rPr>
          <w:rFonts w:ascii="Times New Roman" w:hAnsi="Times New Roman" w:cs="Times New Roman"/>
          <w:sz w:val="24"/>
          <w:szCs w:val="24"/>
        </w:rPr>
        <w:t xml:space="preserve"> in the context of chronic inflammatory demyelinating polyneuropath</w:t>
      </w:r>
      <w:r>
        <w:rPr>
          <w:rFonts w:ascii="Times New Roman" w:hAnsi="Times New Roman" w:cs="Times New Roman"/>
          <w:sz w:val="24"/>
          <w:szCs w:val="24"/>
        </w:rPr>
        <w:t>y (CIDP).</w:t>
      </w:r>
    </w:p>
    <w:p w14:paraId="60A2962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Goodarzi, G., Tehrani, S. S., Fana, S. E., </w:t>
      </w:r>
      <w:proofErr w:type="spellStart"/>
      <w:r>
        <w:rPr>
          <w:rFonts w:ascii="Times New Roman" w:hAnsi="Times New Roman" w:cs="Times New Roman"/>
          <w:sz w:val="24"/>
          <w:szCs w:val="24"/>
        </w:rPr>
        <w:t>Saleknezhad</w:t>
      </w:r>
      <w:proofErr w:type="spellEnd"/>
      <w:r>
        <w:rPr>
          <w:rFonts w:ascii="Times New Roman" w:hAnsi="Times New Roman" w:cs="Times New Roman"/>
          <w:sz w:val="24"/>
          <w:szCs w:val="24"/>
        </w:rPr>
        <w:t xml:space="preserve">, N., Panahi, G., Rayatpisheh, M., &amp; </w:t>
      </w:r>
      <w:proofErr w:type="spellStart"/>
      <w:r>
        <w:rPr>
          <w:rFonts w:ascii="Times New Roman" w:hAnsi="Times New Roman" w:cs="Times New Roman"/>
          <w:sz w:val="24"/>
          <w:szCs w:val="24"/>
        </w:rPr>
        <w:t>Anushiravani</w:t>
      </w:r>
      <w:proofErr w:type="spellEnd"/>
      <w:r>
        <w:rPr>
          <w:rFonts w:ascii="Times New Roman" w:hAnsi="Times New Roman" w:cs="Times New Roman"/>
          <w:sz w:val="24"/>
          <w:szCs w:val="24"/>
        </w:rPr>
        <w:t xml:space="preserve">, A. (2025). Evaluation of microRNA-29a expression and Dipeptidyl-peptidase 4 level in ulcerative colitis patients. Acta </w:t>
      </w:r>
      <w:proofErr w:type="spellStart"/>
      <w:r>
        <w:rPr>
          <w:rFonts w:ascii="Times New Roman" w:hAnsi="Times New Roman" w:cs="Times New Roman"/>
          <w:sz w:val="24"/>
          <w:szCs w:val="24"/>
        </w:rPr>
        <w:t>Biochimica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Iranica</w:t>
      </w:r>
      <w:proofErr w:type="spellEnd"/>
      <w:r>
        <w:rPr>
          <w:rFonts w:ascii="Times New Roman" w:hAnsi="Times New Roman" w:cs="Times New Roman"/>
          <w:sz w:val="24"/>
          <w:szCs w:val="24"/>
        </w:rPr>
        <w:t>.</w:t>
      </w:r>
    </w:p>
    <w:p w14:paraId="586711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Ha</w:t>
      </w:r>
      <w:r>
        <w:rPr>
          <w:rFonts w:ascii="Times New Roman" w:hAnsi="Times New Roman" w:cs="Times New Roman"/>
          <w:sz w:val="24"/>
          <w:szCs w:val="24"/>
        </w:rPr>
        <w:t xml:space="preserve">hn, J., Ding, S., </w:t>
      </w:r>
      <w:proofErr w:type="spellStart"/>
      <w:r>
        <w:rPr>
          <w:rFonts w:ascii="Times New Roman" w:hAnsi="Times New Roman" w:cs="Times New Roman"/>
          <w:sz w:val="24"/>
          <w:szCs w:val="24"/>
        </w:rPr>
        <w:t>Im</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Harimoto</w:t>
      </w:r>
      <w:proofErr w:type="spellEnd"/>
      <w:r>
        <w:rPr>
          <w:rFonts w:ascii="Times New Roman" w:hAnsi="Times New Roman" w:cs="Times New Roman"/>
          <w:sz w:val="24"/>
          <w:szCs w:val="24"/>
        </w:rPr>
        <w:t>, T., Leong, K. W., &amp; Danino, T. (2024). Bacterial therapies at the interface of synthetic biology and nanomedicine. Nature reviews bioengineering, 2(2), 120-135.</w:t>
      </w:r>
    </w:p>
    <w:p w14:paraId="0514C32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Harris, J., </w:t>
      </w:r>
      <w:proofErr w:type="spellStart"/>
      <w:r>
        <w:rPr>
          <w:rFonts w:ascii="Times New Roman" w:hAnsi="Times New Roman" w:cs="Times New Roman"/>
          <w:sz w:val="24"/>
          <w:szCs w:val="24"/>
        </w:rPr>
        <w:t>Mayran</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Gouhier</w:t>
      </w:r>
      <w:proofErr w:type="spellEnd"/>
      <w:r>
        <w:rPr>
          <w:rFonts w:ascii="Times New Roman" w:hAnsi="Times New Roman" w:cs="Times New Roman"/>
          <w:sz w:val="24"/>
          <w:szCs w:val="24"/>
        </w:rPr>
        <w:t>, A., Gauthier, Y., Sleiman,</w:t>
      </w:r>
      <w:r>
        <w:rPr>
          <w:rFonts w:ascii="Times New Roman" w:hAnsi="Times New Roman" w:cs="Times New Roman"/>
          <w:sz w:val="24"/>
          <w:szCs w:val="24"/>
        </w:rPr>
        <w:t xml:space="preserve"> N. H., Merabet, S., ... &amp; Drouin, J. (2025). Dual DNA demethylation mechanisms implement epigenetic memory driven by the pioneer factor PAX7. Science Advances, 11(20), eadu6632.</w:t>
      </w:r>
    </w:p>
    <w:p w14:paraId="088FF50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Jay, A., </w:t>
      </w:r>
      <w:proofErr w:type="spellStart"/>
      <w:r>
        <w:rPr>
          <w:rFonts w:ascii="Times New Roman" w:hAnsi="Times New Roman" w:cs="Times New Roman"/>
          <w:sz w:val="24"/>
          <w:szCs w:val="24"/>
        </w:rPr>
        <w:t>Pondevida</w:t>
      </w:r>
      <w:proofErr w:type="spellEnd"/>
      <w:r>
        <w:rPr>
          <w:rFonts w:ascii="Times New Roman" w:hAnsi="Times New Roman" w:cs="Times New Roman"/>
          <w:sz w:val="24"/>
          <w:szCs w:val="24"/>
        </w:rPr>
        <w:t>, C. M., &amp; Vahedi, G. (2025). The epigenetic landscape of f</w:t>
      </w:r>
      <w:r>
        <w:rPr>
          <w:rFonts w:ascii="Times New Roman" w:hAnsi="Times New Roman" w:cs="Times New Roman"/>
          <w:sz w:val="24"/>
          <w:szCs w:val="24"/>
        </w:rPr>
        <w:t>ate decisions in T cells. Nature Immunology, 1-13.</w:t>
      </w:r>
    </w:p>
    <w:p w14:paraId="15B8E8EA"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Kaszycki, J., &amp; Kim, M. (2025). Epigenetic regulation of transcription factors involved in NLRP3 inflammasome and NF-kB signaling pathways. Frontiers in Immunology, 16, 1529756.</w:t>
      </w:r>
    </w:p>
    <w:p w14:paraId="71CC0FC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Khan, A., Mazumder, A., </w:t>
      </w:r>
      <w:proofErr w:type="spellStart"/>
      <w:r>
        <w:rPr>
          <w:rFonts w:ascii="Times New Roman" w:hAnsi="Times New Roman" w:cs="Times New Roman"/>
          <w:sz w:val="24"/>
          <w:szCs w:val="24"/>
        </w:rPr>
        <w:t>Pen</w:t>
      </w:r>
      <w:r>
        <w:rPr>
          <w:rFonts w:ascii="Times New Roman" w:hAnsi="Times New Roman" w:cs="Times New Roman"/>
          <w:sz w:val="24"/>
          <w:szCs w:val="24"/>
        </w:rPr>
        <w:t>tela</w:t>
      </w:r>
      <w:proofErr w:type="spellEnd"/>
      <w:r>
        <w:rPr>
          <w:rFonts w:ascii="Times New Roman" w:hAnsi="Times New Roman" w:cs="Times New Roman"/>
          <w:sz w:val="24"/>
          <w:szCs w:val="24"/>
        </w:rPr>
        <w:t>, B., Mishra, R., &amp; Singh, S. K. (2024). The ability of indigenous plants in alleviating rheumatoid arthritis: a comprehensive review. Current Rheumatology Reviews.</w:t>
      </w:r>
    </w:p>
    <w:p w14:paraId="3C863D0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Khokhar, M., Dey, S., </w:t>
      </w:r>
      <w:proofErr w:type="spellStart"/>
      <w:r>
        <w:rPr>
          <w:rFonts w:ascii="Times New Roman" w:hAnsi="Times New Roman" w:cs="Times New Roman"/>
          <w:sz w:val="24"/>
          <w:szCs w:val="24"/>
        </w:rPr>
        <w:t>Tomo</w:t>
      </w:r>
      <w:proofErr w:type="spellEnd"/>
      <w:r>
        <w:rPr>
          <w:rFonts w:ascii="Times New Roman" w:hAnsi="Times New Roman" w:cs="Times New Roman"/>
          <w:sz w:val="24"/>
          <w:szCs w:val="24"/>
        </w:rPr>
        <w:t xml:space="preserve">, S., Jaremko, M., </w:t>
      </w:r>
      <w:proofErr w:type="spellStart"/>
      <w:r>
        <w:rPr>
          <w:rFonts w:ascii="Times New Roman" w:hAnsi="Times New Roman" w:cs="Times New Roman"/>
          <w:sz w:val="24"/>
          <w:szCs w:val="24"/>
        </w:rPr>
        <w:t>Emwas</w:t>
      </w:r>
      <w:proofErr w:type="spellEnd"/>
      <w:r>
        <w:rPr>
          <w:rFonts w:ascii="Times New Roman" w:hAnsi="Times New Roman" w:cs="Times New Roman"/>
          <w:sz w:val="24"/>
          <w:szCs w:val="24"/>
        </w:rPr>
        <w:t>, A. H., &amp; Pandey, R. K. (2024). Unve</w:t>
      </w:r>
      <w:r>
        <w:rPr>
          <w:rFonts w:ascii="Times New Roman" w:hAnsi="Times New Roman" w:cs="Times New Roman"/>
          <w:sz w:val="24"/>
          <w:szCs w:val="24"/>
        </w:rPr>
        <w:t>iling novel drug targets and emerging therapies for rheumatoid arthritis: a comprehensive review. ACS pharmacology &amp; translational science, 7(6), 1664-1693.</w:t>
      </w:r>
    </w:p>
    <w:p w14:paraId="04E0199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Kong, J., Lyu, H., Ouyang, Q., Shi, H., Zhang, R., Xiao, S., ... &amp; Tang, J. (2024). Insights into t</w:t>
      </w:r>
      <w:r>
        <w:rPr>
          <w:rFonts w:ascii="Times New Roman" w:hAnsi="Times New Roman" w:cs="Times New Roman"/>
          <w:sz w:val="24"/>
          <w:szCs w:val="24"/>
        </w:rPr>
        <w:t>he roles of epigenetic modifications in ferroptosis. Biology, 13(2), 122.</w:t>
      </w:r>
    </w:p>
    <w:p w14:paraId="2441E2B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Kwon, G., Park, Y., Kang, K., &amp; Kang, K. (2024). Selective epigenetic regulation of IFN-γ signature genes by JAK inhibitor in inflammatory diseases. </w:t>
      </w:r>
      <w:proofErr w:type="spellStart"/>
      <w:r>
        <w:rPr>
          <w:rFonts w:ascii="Times New Roman" w:hAnsi="Times New Roman" w:cs="Times New Roman"/>
          <w:sz w:val="24"/>
          <w:szCs w:val="24"/>
        </w:rPr>
        <w:t>bioRxiv</w:t>
      </w:r>
      <w:proofErr w:type="spellEnd"/>
      <w:r>
        <w:rPr>
          <w:rFonts w:ascii="Times New Roman" w:hAnsi="Times New Roman" w:cs="Times New Roman"/>
          <w:sz w:val="24"/>
          <w:szCs w:val="24"/>
        </w:rPr>
        <w:t>, 2024-08.</w:t>
      </w:r>
    </w:p>
    <w:p w14:paraId="0EA23BF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 C., Gu, S.,</w:t>
      </w:r>
      <w:r>
        <w:rPr>
          <w:rFonts w:ascii="Times New Roman" w:hAnsi="Times New Roman" w:cs="Times New Roman"/>
          <w:sz w:val="24"/>
          <w:szCs w:val="24"/>
        </w:rPr>
        <w:t xml:space="preserve"> Zhang, Y., Zhang, Z., Wang, J., Gao, T., ... &amp; Chen, Y. (2025). Histone deacetylase in inflammatory bowel disease: novel insights. Therapeutic Advances in Gastroenterology, 18, 17562848251318833.</w:t>
      </w:r>
    </w:p>
    <w:p w14:paraId="00E2B418"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Lim, E. Y., &amp; Kim, G. D. (2024). Particulate matter-induced</w:t>
      </w:r>
      <w:r>
        <w:rPr>
          <w:rFonts w:ascii="Times New Roman" w:hAnsi="Times New Roman" w:cs="Times New Roman"/>
          <w:sz w:val="24"/>
          <w:szCs w:val="24"/>
        </w:rPr>
        <w:t xml:space="preserve"> emerging health effects associated with oxidative stress and inflammation. Antioxidants, 13(10), 1256.</w:t>
      </w:r>
    </w:p>
    <w:p w14:paraId="1423B5E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Lin, H. Y., Lee, C. L., Tu, Y. R., Chang, Y. H., Niu, D. M., Chang, C. Y., ... &amp; Lin, S. P. (2024). Quantitative DNA Methylation Analysis and Epigenotyp</w:t>
      </w:r>
      <w:r>
        <w:rPr>
          <w:rFonts w:ascii="Times New Roman" w:hAnsi="Times New Roman" w:cs="Times New Roman"/>
          <w:sz w:val="24"/>
          <w:szCs w:val="24"/>
        </w:rPr>
        <w:t>e-Phenotype Correlations in Taiwanese Patients with Silver-Russell Syndrome. International Journal of Medical Sciences, 21(1), 8.</w:t>
      </w:r>
    </w:p>
    <w:p w14:paraId="3905B60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Liu, X., Zhou, S., Huang, M., Zhao, M., Zhang, W., Liu, Q., ... &amp; Chen, X. (2024). DNA methylation and whole-genome transcript</w:t>
      </w:r>
      <w:r>
        <w:rPr>
          <w:rFonts w:ascii="Times New Roman" w:hAnsi="Times New Roman" w:cs="Times New Roman"/>
          <w:sz w:val="24"/>
          <w:szCs w:val="24"/>
        </w:rPr>
        <w:t>ion analysis in CD4+ T cells from systemic lupus erythematosus patients with or without renal damage. Clinical Epigenetics, 16(1), 98.</w:t>
      </w:r>
    </w:p>
    <w:p w14:paraId="2B244953"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Mahurkar‐Joshi, S., Thompson, M., Villarruel, E., Lewis, J. D., Lin, L. D., Farid, M., ... &amp; Chang, L. (2025). Genome‐Wid</w:t>
      </w:r>
      <w:r>
        <w:rPr>
          <w:rFonts w:ascii="Times New Roman" w:hAnsi="Times New Roman" w:cs="Times New Roman"/>
          <w:sz w:val="24"/>
          <w:szCs w:val="24"/>
        </w:rPr>
        <w:t xml:space="preserve">e DNA Methylation Identifies Potential Disease‐Specific Biomarkers and Pathophysiologic Mechanisms in Irritable Bowel Syndrome, Inflammatory Bowel Disease, and Celiac Disease. </w:t>
      </w:r>
      <w:proofErr w:type="spellStart"/>
      <w:r>
        <w:rPr>
          <w:rFonts w:ascii="Times New Roman" w:hAnsi="Times New Roman" w:cs="Times New Roman"/>
          <w:sz w:val="24"/>
          <w:szCs w:val="24"/>
        </w:rPr>
        <w:t>Neurogastroenterology</w:t>
      </w:r>
      <w:proofErr w:type="spellEnd"/>
      <w:r>
        <w:rPr>
          <w:rFonts w:ascii="Times New Roman" w:hAnsi="Times New Roman" w:cs="Times New Roman"/>
          <w:sz w:val="24"/>
          <w:szCs w:val="24"/>
        </w:rPr>
        <w:t xml:space="preserve"> &amp; Motility, 37(2), e14980.</w:t>
      </w:r>
    </w:p>
    <w:p w14:paraId="2A1DC82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Mehta, P., &amp; Mazumder, S. (2025</w:t>
      </w:r>
      <w:r>
        <w:rPr>
          <w:rFonts w:ascii="Times New Roman" w:hAnsi="Times New Roman" w:cs="Times New Roman"/>
          <w:sz w:val="24"/>
          <w:szCs w:val="24"/>
        </w:rPr>
        <w:t xml:space="preserve">). miR-146a is critical for orchestrating Mycobacterium </w:t>
      </w:r>
      <w:proofErr w:type="spellStart"/>
      <w:r>
        <w:rPr>
          <w:rFonts w:ascii="Times New Roman" w:hAnsi="Times New Roman" w:cs="Times New Roman"/>
          <w:sz w:val="24"/>
          <w:szCs w:val="24"/>
        </w:rPr>
        <w:t>fortuitum</w:t>
      </w:r>
      <w:proofErr w:type="spellEnd"/>
      <w:r>
        <w:rPr>
          <w:rFonts w:ascii="Times New Roman" w:hAnsi="Times New Roman" w:cs="Times New Roman"/>
          <w:sz w:val="24"/>
          <w:szCs w:val="24"/>
        </w:rPr>
        <w:t xml:space="preserve"> survival through anti-inflammatory and M2 macrophage responses in fish. Fish &amp; Shellfish Immunology, 161, 110271.</w:t>
      </w:r>
    </w:p>
    <w:p w14:paraId="539523B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Nie, Y., Song, C., Huang, H., Mao, S., Ding, K., &amp; Tang, H. (2024). Chromati</w:t>
      </w:r>
      <w:r>
        <w:rPr>
          <w:rFonts w:ascii="Times New Roman" w:hAnsi="Times New Roman" w:cs="Times New Roman"/>
          <w:sz w:val="24"/>
          <w:szCs w:val="24"/>
        </w:rPr>
        <w:t>n modifiers in human disease: from functional roles to regulatory mechanisms. Molecular Biomedicine, 5(1), 12.</w:t>
      </w:r>
    </w:p>
    <w:p w14:paraId="1B87F44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Prideaux, E. B., Boyle, D. L., Choi, E., Buckner, J. H., Robinson, W. H., </w:t>
      </w:r>
      <w:proofErr w:type="spellStart"/>
      <w:r>
        <w:rPr>
          <w:rFonts w:ascii="Times New Roman" w:hAnsi="Times New Roman" w:cs="Times New Roman"/>
          <w:sz w:val="24"/>
          <w:szCs w:val="24"/>
        </w:rPr>
        <w:t>Holers</w:t>
      </w:r>
      <w:proofErr w:type="spellEnd"/>
      <w:r>
        <w:rPr>
          <w:rFonts w:ascii="Times New Roman" w:hAnsi="Times New Roman" w:cs="Times New Roman"/>
          <w:sz w:val="24"/>
          <w:szCs w:val="24"/>
        </w:rPr>
        <w:t>, V. M., ... &amp; Wang, W. (2024). Epigenetic trajectory predicts de</w:t>
      </w:r>
      <w:r>
        <w:rPr>
          <w:rFonts w:ascii="Times New Roman" w:hAnsi="Times New Roman" w:cs="Times New Roman"/>
          <w:sz w:val="24"/>
          <w:szCs w:val="24"/>
        </w:rPr>
        <w:t xml:space="preserve">velopment of clinical rheumatoid arthritis in ACPA+ individuals: Targeting Immune Responses for Prevention of Rheumatoid Arthritis (TIP-RA). </w:t>
      </w:r>
      <w:proofErr w:type="spellStart"/>
      <w:r>
        <w:rPr>
          <w:rFonts w:ascii="Times New Roman" w:hAnsi="Times New Roman" w:cs="Times New Roman"/>
          <w:sz w:val="24"/>
          <w:szCs w:val="24"/>
        </w:rPr>
        <w:t>bioRxiv</w:t>
      </w:r>
      <w:proofErr w:type="spellEnd"/>
      <w:r>
        <w:rPr>
          <w:rFonts w:ascii="Times New Roman" w:hAnsi="Times New Roman" w:cs="Times New Roman"/>
          <w:sz w:val="24"/>
          <w:szCs w:val="24"/>
        </w:rPr>
        <w:t>, 2024-10.</w:t>
      </w:r>
    </w:p>
    <w:p w14:paraId="49B2341C"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Proaño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Sarrion</w:t>
      </w:r>
      <w:proofErr w:type="spellEnd"/>
      <w:r>
        <w:rPr>
          <w:rFonts w:ascii="Times New Roman" w:hAnsi="Times New Roman" w:cs="Times New Roman"/>
          <w:sz w:val="24"/>
          <w:szCs w:val="24"/>
        </w:rPr>
        <w:t>-Perez, G., Bagan, L., &amp; Bagan, J. (2025). Genome-Wide DNA Methylation Confirm</w:t>
      </w:r>
      <w:r>
        <w:rPr>
          <w:rFonts w:ascii="Times New Roman" w:hAnsi="Times New Roman" w:cs="Times New Roman"/>
          <w:sz w:val="24"/>
          <w:szCs w:val="24"/>
        </w:rPr>
        <w:t>s Oral Squamous Cell Carcinomas in Proliferative Verrucous Leukoplakia as a Distinct Oral Cancer Subtype: A Case–Control Study. Cancers, 17(2), 245.</w:t>
      </w:r>
    </w:p>
    <w:p w14:paraId="5485EF7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Ribeiro, A. A., Carvalho, L. M., da Mota, J. C., </w:t>
      </w:r>
      <w:proofErr w:type="spellStart"/>
      <w:r>
        <w:rPr>
          <w:rFonts w:ascii="Times New Roman" w:hAnsi="Times New Roman" w:cs="Times New Roman"/>
          <w:sz w:val="24"/>
          <w:szCs w:val="24"/>
        </w:rPr>
        <w:t>Nonino</w:t>
      </w:r>
      <w:proofErr w:type="spellEnd"/>
      <w:r>
        <w:rPr>
          <w:rFonts w:ascii="Times New Roman" w:hAnsi="Times New Roman" w:cs="Times New Roman"/>
          <w:sz w:val="24"/>
          <w:szCs w:val="24"/>
        </w:rPr>
        <w:t>, C. B., Gualano, B., Nunes, J. A., ... &amp; Nicoletti,</w:t>
      </w:r>
      <w:r>
        <w:rPr>
          <w:rFonts w:ascii="Times New Roman" w:hAnsi="Times New Roman" w:cs="Times New Roman"/>
          <w:sz w:val="24"/>
          <w:szCs w:val="24"/>
        </w:rPr>
        <w:t xml:space="preserve"> C. F. (2024). Diet, DNA methylation, and systemic lupus erythematosus: evidence and perspectives focused on personalized nutrition. Lifestyle Genomics, 17(1), 31-40.</w:t>
      </w:r>
    </w:p>
    <w:p w14:paraId="314155A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Roy, S., Shanmugam, G., Pradeep, R., George, M., &amp; Sarkar, K. (2025). Epigenetic control </w:t>
      </w:r>
      <w:r>
        <w:rPr>
          <w:rFonts w:ascii="Times New Roman" w:hAnsi="Times New Roman" w:cs="Times New Roman"/>
          <w:sz w:val="24"/>
          <w:szCs w:val="24"/>
        </w:rPr>
        <w:t>of T helper cells differentiation: a mechanistic insight into the association between acute leukemia and coronary artery disease. Medical Oncology, 42(7), 272.</w:t>
      </w:r>
    </w:p>
    <w:p w14:paraId="328050F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Royo, M., Joseph-Mullol, B., Sandoval, S., Moline, T., Sole, C., &amp; Cortes-Hernandez, J. (2025). </w:t>
      </w:r>
      <w:r>
        <w:rPr>
          <w:rFonts w:ascii="Times New Roman" w:hAnsi="Times New Roman" w:cs="Times New Roman"/>
          <w:sz w:val="24"/>
          <w:szCs w:val="24"/>
        </w:rPr>
        <w:t>Integrative miRNA-mRNA profiling uncovers mechanisms of belimumab action in systemic lupus erythematosus. Frontiers in Immunology, 16, 1553971.</w:t>
      </w:r>
    </w:p>
    <w:p w14:paraId="7FB0123C"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Sarre</w:t>
      </w:r>
      <w:proofErr w:type="spellEnd"/>
      <w:r>
        <w:rPr>
          <w:rFonts w:ascii="Times New Roman" w:hAnsi="Times New Roman" w:cs="Times New Roman"/>
          <w:sz w:val="24"/>
          <w:szCs w:val="24"/>
        </w:rPr>
        <w:t xml:space="preserve">, L. A., </w:t>
      </w:r>
      <w:proofErr w:type="spellStart"/>
      <w:r>
        <w:rPr>
          <w:rFonts w:ascii="Times New Roman" w:hAnsi="Times New Roman" w:cs="Times New Roman"/>
          <w:sz w:val="24"/>
          <w:szCs w:val="24"/>
        </w:rPr>
        <w:t>Gastellou</w:t>
      </w:r>
      <w:proofErr w:type="spellEnd"/>
      <w:r>
        <w:rPr>
          <w:rFonts w:ascii="Times New Roman" w:hAnsi="Times New Roman" w:cs="Times New Roman"/>
          <w:sz w:val="24"/>
          <w:szCs w:val="24"/>
        </w:rPr>
        <w:t xml:space="preserve"> Peralta, G. A., Romero Charria, P., Ovchinnikov, V., &amp; de Mendoza, A. (2025). Repressive</w:t>
      </w:r>
      <w:r>
        <w:rPr>
          <w:rFonts w:ascii="Times New Roman" w:hAnsi="Times New Roman" w:cs="Times New Roman"/>
          <w:sz w:val="24"/>
          <w:szCs w:val="24"/>
        </w:rPr>
        <w:t xml:space="preserve"> cytosine methylation is a marker of viral gene transfer across divergent eukaryotes. Molecular Biology and Evolution, 42(8), msaf176.</w:t>
      </w:r>
    </w:p>
    <w:p w14:paraId="20B89291"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Seyedi, D., </w:t>
      </w:r>
      <w:proofErr w:type="spellStart"/>
      <w:r>
        <w:rPr>
          <w:rFonts w:ascii="Times New Roman" w:hAnsi="Times New Roman" w:cs="Times New Roman"/>
          <w:sz w:val="24"/>
          <w:szCs w:val="24"/>
        </w:rPr>
        <w:t>Espandar</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Hojatizadeh</w:t>
      </w:r>
      <w:proofErr w:type="spellEnd"/>
      <w:r>
        <w:rPr>
          <w:rFonts w:ascii="Times New Roman" w:hAnsi="Times New Roman" w:cs="Times New Roman"/>
          <w:sz w:val="24"/>
          <w:szCs w:val="24"/>
        </w:rPr>
        <w:t>, M., Mohammadi, Y., Sadri, F., &amp; Rezaei, Z. (2024). Noncoding RNAs in rheumatoid ar</w:t>
      </w:r>
      <w:r>
        <w:rPr>
          <w:rFonts w:ascii="Times New Roman" w:hAnsi="Times New Roman" w:cs="Times New Roman"/>
          <w:sz w:val="24"/>
          <w:szCs w:val="24"/>
        </w:rPr>
        <w:t>thritis: modulators of the NF-</w:t>
      </w:r>
      <w:proofErr w:type="spellStart"/>
      <w:r>
        <w:rPr>
          <w:rFonts w:ascii="Times New Roman" w:hAnsi="Times New Roman" w:cs="Times New Roman"/>
          <w:sz w:val="24"/>
          <w:szCs w:val="24"/>
        </w:rPr>
        <w:t>κB</w:t>
      </w:r>
      <w:proofErr w:type="spellEnd"/>
      <w:r>
        <w:rPr>
          <w:rFonts w:ascii="Times New Roman" w:hAnsi="Times New Roman" w:cs="Times New Roman"/>
          <w:sz w:val="24"/>
          <w:szCs w:val="24"/>
        </w:rPr>
        <w:t xml:space="preserve"> signaling pathway and therapeutic implications. Frontiers in Immunology, 15, 1486476.</w:t>
      </w:r>
    </w:p>
    <w:p w14:paraId="63DB876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Shaheen, N., Shaheen, A., Osama, M., Nashwan, A. J., </w:t>
      </w:r>
      <w:proofErr w:type="spellStart"/>
      <w:r>
        <w:rPr>
          <w:rFonts w:ascii="Times New Roman" w:hAnsi="Times New Roman" w:cs="Times New Roman"/>
          <w:sz w:val="24"/>
          <w:szCs w:val="24"/>
        </w:rPr>
        <w:t>Bharmauria</w:t>
      </w:r>
      <w:proofErr w:type="spellEnd"/>
      <w:r>
        <w:rPr>
          <w:rFonts w:ascii="Times New Roman" w:hAnsi="Times New Roman" w:cs="Times New Roman"/>
          <w:sz w:val="24"/>
          <w:szCs w:val="24"/>
        </w:rPr>
        <w:t xml:space="preserve">, V., &amp; </w:t>
      </w:r>
      <w:proofErr w:type="spellStart"/>
      <w:r>
        <w:rPr>
          <w:rFonts w:ascii="Times New Roman" w:hAnsi="Times New Roman" w:cs="Times New Roman"/>
          <w:sz w:val="24"/>
          <w:szCs w:val="24"/>
        </w:rPr>
        <w:t>Flouty</w:t>
      </w:r>
      <w:proofErr w:type="spellEnd"/>
      <w:r>
        <w:rPr>
          <w:rFonts w:ascii="Times New Roman" w:hAnsi="Times New Roman" w:cs="Times New Roman"/>
          <w:sz w:val="24"/>
          <w:szCs w:val="24"/>
        </w:rPr>
        <w:t>, O. (2024). MicroRNAs regulation in Parkinson’s disease, an</w:t>
      </w:r>
      <w:r>
        <w:rPr>
          <w:rFonts w:ascii="Times New Roman" w:hAnsi="Times New Roman" w:cs="Times New Roman"/>
          <w:sz w:val="24"/>
          <w:szCs w:val="24"/>
        </w:rPr>
        <w:t xml:space="preserve">d their potential role as diagnostic and therapeutic targets. </w:t>
      </w:r>
      <w:proofErr w:type="spellStart"/>
      <w:r>
        <w:rPr>
          <w:rFonts w:ascii="Times New Roman" w:hAnsi="Times New Roman" w:cs="Times New Roman"/>
          <w:sz w:val="24"/>
          <w:szCs w:val="24"/>
        </w:rPr>
        <w:t>npj</w:t>
      </w:r>
      <w:proofErr w:type="spellEnd"/>
      <w:r>
        <w:rPr>
          <w:rFonts w:ascii="Times New Roman" w:hAnsi="Times New Roman" w:cs="Times New Roman"/>
          <w:sz w:val="24"/>
          <w:szCs w:val="24"/>
        </w:rPr>
        <w:t xml:space="preserve"> Parkinson's Disease, 10(1), 186.</w:t>
      </w:r>
    </w:p>
    <w:p w14:paraId="77E7A774"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Shaikh, F. S., Siegel, R. J., Srivastava, A., Fox, D. A., &amp; Ahmed, S. (2024). Challenges and promise of targeting miRNA in rheumatic diseases: A computationa</w:t>
      </w:r>
      <w:r>
        <w:rPr>
          <w:rFonts w:ascii="Times New Roman" w:hAnsi="Times New Roman" w:cs="Times New Roman"/>
          <w:sz w:val="24"/>
          <w:szCs w:val="24"/>
        </w:rPr>
        <w:t>l approach to identify miRNA association with cell types, cytokines, and disease mechanisms. Frontiers in immunology, 14, 1322806.</w:t>
      </w:r>
    </w:p>
    <w:p w14:paraId="0D10103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Smith, Z. D., Hetzel, S., &amp; Meissner, A. (2025). DNA methylation in mammalian development and disease. Nature Reviews Genetic</w:t>
      </w:r>
      <w:r>
        <w:rPr>
          <w:rFonts w:ascii="Times New Roman" w:hAnsi="Times New Roman" w:cs="Times New Roman"/>
          <w:sz w:val="24"/>
          <w:szCs w:val="24"/>
        </w:rPr>
        <w:t>s, 26(1), 7-30.</w:t>
      </w:r>
    </w:p>
    <w:p w14:paraId="3C49F5CD"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Somers, Emily C., Jaclyn M. Goodrich, Lu Wang, Sioban D. Harlow, Wendy Marder, Afton L. Hassett, Suzanna M. Zick et al. "Associations between CD70 methylation of T cell DNA and age in adults with systemic lupus erythematosus and population </w:t>
      </w:r>
      <w:r>
        <w:rPr>
          <w:rFonts w:ascii="Times New Roman" w:hAnsi="Times New Roman" w:cs="Times New Roman"/>
          <w:sz w:val="24"/>
          <w:szCs w:val="24"/>
        </w:rPr>
        <w:t>controls: The Michigan Lupus Epidemiology &amp; Surveillance (MILES) Program." Journal of autoimmunity 142 (2024): 103137.</w:t>
      </w:r>
    </w:p>
    <w:p w14:paraId="7C6796AE"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Stroeks</w:t>
      </w:r>
      <w:proofErr w:type="spellEnd"/>
      <w:r>
        <w:rPr>
          <w:rFonts w:ascii="Times New Roman" w:hAnsi="Times New Roman" w:cs="Times New Roman"/>
          <w:sz w:val="24"/>
          <w:szCs w:val="24"/>
        </w:rPr>
        <w:t xml:space="preserve">, S. L., </w:t>
      </w:r>
      <w:proofErr w:type="spellStart"/>
      <w:r>
        <w:rPr>
          <w:rFonts w:ascii="Times New Roman" w:hAnsi="Times New Roman" w:cs="Times New Roman"/>
          <w:sz w:val="24"/>
          <w:szCs w:val="24"/>
        </w:rPr>
        <w:t>Henkens</w:t>
      </w:r>
      <w:proofErr w:type="spellEnd"/>
      <w:r>
        <w:rPr>
          <w:rFonts w:ascii="Times New Roman" w:hAnsi="Times New Roman" w:cs="Times New Roman"/>
          <w:sz w:val="24"/>
          <w:szCs w:val="24"/>
        </w:rPr>
        <w:t xml:space="preserve">, M. T., Dominguez, F., Merlo, M., </w:t>
      </w:r>
      <w:proofErr w:type="spellStart"/>
      <w:r>
        <w:rPr>
          <w:rFonts w:ascii="Times New Roman" w:hAnsi="Times New Roman" w:cs="Times New Roman"/>
          <w:sz w:val="24"/>
          <w:szCs w:val="24"/>
        </w:rPr>
        <w:t>Hellebrekers</w:t>
      </w:r>
      <w:proofErr w:type="spellEnd"/>
      <w:r>
        <w:rPr>
          <w:rFonts w:ascii="Times New Roman" w:hAnsi="Times New Roman" w:cs="Times New Roman"/>
          <w:sz w:val="24"/>
          <w:szCs w:val="24"/>
        </w:rPr>
        <w:t xml:space="preserve">, D. M., Gonzalez-Lopez, E., ... &amp; </w:t>
      </w:r>
      <w:proofErr w:type="spellStart"/>
      <w:r>
        <w:rPr>
          <w:rFonts w:ascii="Times New Roman" w:hAnsi="Times New Roman" w:cs="Times New Roman"/>
          <w:sz w:val="24"/>
          <w:szCs w:val="24"/>
        </w:rPr>
        <w:t>Verdonschot</w:t>
      </w:r>
      <w:proofErr w:type="spellEnd"/>
      <w:r>
        <w:rPr>
          <w:rFonts w:ascii="Times New Roman" w:hAnsi="Times New Roman" w:cs="Times New Roman"/>
          <w:sz w:val="24"/>
          <w:szCs w:val="24"/>
        </w:rPr>
        <w:t>, J. A. (2025). Genet</w:t>
      </w:r>
      <w:r>
        <w:rPr>
          <w:rFonts w:ascii="Times New Roman" w:hAnsi="Times New Roman" w:cs="Times New Roman"/>
          <w:sz w:val="24"/>
          <w:szCs w:val="24"/>
        </w:rPr>
        <w:t>ic landscape of patients with dilated cardiomyopathy and a systemic immune-mediated disease. Heart Failure, 13(1), 133-145.</w:t>
      </w:r>
    </w:p>
    <w:p w14:paraId="2D0C8FEB"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Svendsen, A. J., Mengel-From, J., Junker, P., Dalgård, C., Davey Smith, G., Relton, C. L., ... &amp; Tan, Q. (2025). Differential DNA me</w:t>
      </w:r>
      <w:r>
        <w:rPr>
          <w:rFonts w:ascii="Times New Roman" w:hAnsi="Times New Roman" w:cs="Times New Roman"/>
          <w:sz w:val="24"/>
          <w:szCs w:val="24"/>
        </w:rPr>
        <w:t>thylation patterns in whole blood from ACPA-positive patients with DMARD naïve rheumatoid arthritis at clinical disease onset. Frontiers in Immunology, 16, 1488161.</w:t>
      </w:r>
    </w:p>
    <w:p w14:paraId="55F9E3D7"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Svendsen, A. J., Mengel-From, J., Junker, P., Dalgård, C., Davey Smith, G., Relton, C. L., </w:t>
      </w:r>
      <w:r>
        <w:rPr>
          <w:rFonts w:ascii="Times New Roman" w:hAnsi="Times New Roman" w:cs="Times New Roman"/>
          <w:sz w:val="24"/>
          <w:szCs w:val="24"/>
        </w:rPr>
        <w:t>... &amp; Tan, Q. (2025). Differential DNA methylation patterns in whole blood from ACPA-positive patients with DMARD naïve rheumatoid arthritis at clinical disease onset. Frontiers in Immunology, 16, 1488161.</w:t>
      </w:r>
    </w:p>
    <w:p w14:paraId="6EA69528" w14:textId="77777777" w:rsidR="002C62A3" w:rsidRDefault="00317B9B">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Ueberheide</w:t>
      </w:r>
      <w:proofErr w:type="spellEnd"/>
      <w:r>
        <w:rPr>
          <w:rFonts w:ascii="Times New Roman" w:hAnsi="Times New Roman" w:cs="Times New Roman"/>
          <w:sz w:val="24"/>
          <w:szCs w:val="24"/>
        </w:rPr>
        <w:t>, B. M., Mollah, S., &amp; Garcia, B. A. (20</w:t>
      </w:r>
      <w:r>
        <w:rPr>
          <w:rFonts w:ascii="Times New Roman" w:hAnsi="Times New Roman" w:cs="Times New Roman"/>
          <w:sz w:val="24"/>
          <w:szCs w:val="24"/>
        </w:rPr>
        <w:t>24). On the Hunt for the Histone Code. Molecular &amp; Cellular Proteomics, 23(12).</w:t>
      </w:r>
    </w:p>
    <w:p w14:paraId="07B5088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Viel, K. C. M. F. (2024). Epstein-Barr Nuclear Antigen 2 (EBNA2) Type 2: Mechanisms and Disease Implications (Doctoral dissertation, University of Cincinnati).</w:t>
      </w:r>
    </w:p>
    <w:p w14:paraId="4714292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Wais, N., &amp; Agra</w:t>
      </w:r>
      <w:r>
        <w:rPr>
          <w:rFonts w:ascii="Times New Roman" w:hAnsi="Times New Roman" w:cs="Times New Roman"/>
          <w:sz w:val="24"/>
          <w:szCs w:val="24"/>
        </w:rPr>
        <w:t>wal, D. K. (2024). Systemic Lupus Erythematous: Gene Polymorphisms, Epigenetics, Environmental, Hormonal and Nutritional Factors in the Consideration of Personalized Therapy. Archives of internal medicine research, 7(4), 331.</w:t>
      </w:r>
    </w:p>
    <w:p w14:paraId="6B7AE93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Wen, J., Liu, J., Wan, L., Sun</w:t>
      </w:r>
      <w:r>
        <w:rPr>
          <w:rFonts w:ascii="Times New Roman" w:hAnsi="Times New Roman" w:cs="Times New Roman"/>
          <w:sz w:val="24"/>
          <w:szCs w:val="24"/>
        </w:rPr>
        <w:t>, Y., &amp; Wang, F. (2025). Crosstalk between N6-methyladenosine modification and ncRNAs in rheumatic diseases: therapeutic and diagnostic implications. Inflammation Research, 74(1), 79.</w:t>
      </w:r>
    </w:p>
    <w:p w14:paraId="6553054E"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Wilkinson, M. J., &amp; Shapiro, M. D. (2024). Immune-mediated inflammatory </w:t>
      </w:r>
      <w:r>
        <w:rPr>
          <w:rFonts w:ascii="Times New Roman" w:hAnsi="Times New Roman" w:cs="Times New Roman"/>
          <w:sz w:val="24"/>
          <w:szCs w:val="24"/>
        </w:rPr>
        <w:t>diseases, dyslipidemia, and cardiovascular risk: A complex interplay. Arteriosclerosis, Thrombosis, and Vascular Biology, 44(12), 2396-2406.</w:t>
      </w:r>
    </w:p>
    <w:p w14:paraId="3CFF5F12"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Xie, J., Che, S., Liu, J., &amp; Long, X. (2025). SIRT1: potential target in glucocorticoid-resistant diseases. Frontie</w:t>
      </w:r>
      <w:r>
        <w:rPr>
          <w:rFonts w:ascii="Times New Roman" w:hAnsi="Times New Roman" w:cs="Times New Roman"/>
          <w:sz w:val="24"/>
          <w:szCs w:val="24"/>
        </w:rPr>
        <w:t>rs in Immunology, 16, 1514745.</w:t>
      </w:r>
    </w:p>
    <w:p w14:paraId="2BEF184C"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Xie, J., Che, S., Liu, J., &amp; Long, X. (2025). SIRT1: potential target in glucocorticoid-resistant diseases. Frontiers in Immunology, 16, 1514745.</w:t>
      </w:r>
    </w:p>
    <w:p w14:paraId="0E83DE86"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Xu, X., Zhou, J., Xie, H., Zhang, R., Gu, B., Liu, L., ... &amp; Chang, X. (2025). </w:t>
      </w:r>
      <w:r>
        <w:rPr>
          <w:rFonts w:ascii="Times New Roman" w:hAnsi="Times New Roman" w:cs="Times New Roman"/>
          <w:sz w:val="24"/>
          <w:szCs w:val="24"/>
        </w:rPr>
        <w:t>Immunomodulatory mechanisms of the gut microbiota and metabolites on regulatory T cells in rheumatoid arthritis. Frontiers in Immunology, 16, 1610254.</w:t>
      </w:r>
    </w:p>
    <w:p w14:paraId="73FC7605"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Yue, S., Fan, J., Xie, D., Cao, C., Wang, Z., Huang, J., ... &amp; Liang, C. (2025). Unveiling the Therapeuti</w:t>
      </w:r>
      <w:r>
        <w:rPr>
          <w:rFonts w:ascii="Times New Roman" w:hAnsi="Times New Roman" w:cs="Times New Roman"/>
          <w:sz w:val="24"/>
          <w:szCs w:val="24"/>
        </w:rPr>
        <w:t xml:space="preserve">c Potential: Targeting Fibroblast-Like </w:t>
      </w:r>
      <w:proofErr w:type="spellStart"/>
      <w:r>
        <w:rPr>
          <w:rFonts w:ascii="Times New Roman" w:hAnsi="Times New Roman" w:cs="Times New Roman"/>
          <w:sz w:val="24"/>
          <w:szCs w:val="24"/>
        </w:rPr>
        <w:t>Synoviocytes</w:t>
      </w:r>
      <w:proofErr w:type="spellEnd"/>
      <w:r>
        <w:rPr>
          <w:rFonts w:ascii="Times New Roman" w:hAnsi="Times New Roman" w:cs="Times New Roman"/>
          <w:sz w:val="24"/>
          <w:szCs w:val="24"/>
        </w:rPr>
        <w:t xml:space="preserve"> in Rheumatoid Arthritis. Expert Reviews in Molecular Medicine, 1-24.</w:t>
      </w:r>
    </w:p>
    <w:p w14:paraId="374898A0"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Zhang, Y., </w:t>
      </w:r>
      <w:proofErr w:type="spellStart"/>
      <w:r>
        <w:rPr>
          <w:rFonts w:ascii="Times New Roman" w:hAnsi="Times New Roman" w:cs="Times New Roman"/>
          <w:sz w:val="24"/>
          <w:szCs w:val="24"/>
        </w:rPr>
        <w:t>Maskan</w:t>
      </w:r>
      <w:proofErr w:type="spellEnd"/>
      <w:r>
        <w:rPr>
          <w:rFonts w:ascii="Times New Roman" w:hAnsi="Times New Roman" w:cs="Times New Roman"/>
          <w:sz w:val="24"/>
          <w:szCs w:val="24"/>
        </w:rPr>
        <w:t xml:space="preserve"> Bermudez, N., Sa, B., </w:t>
      </w:r>
      <w:proofErr w:type="spellStart"/>
      <w:r>
        <w:rPr>
          <w:rFonts w:ascii="Times New Roman" w:hAnsi="Times New Roman" w:cs="Times New Roman"/>
          <w:sz w:val="24"/>
          <w:szCs w:val="24"/>
        </w:rPr>
        <w:t>Maderal</w:t>
      </w:r>
      <w:proofErr w:type="spellEnd"/>
      <w:r>
        <w:rPr>
          <w:rFonts w:ascii="Times New Roman" w:hAnsi="Times New Roman" w:cs="Times New Roman"/>
          <w:sz w:val="24"/>
          <w:szCs w:val="24"/>
        </w:rPr>
        <w:t>, A. D., &amp; Jimenez, J. J. (2024). Epigenetic mechanisms driving the pathogenesis of syst</w:t>
      </w:r>
      <w:r>
        <w:rPr>
          <w:rFonts w:ascii="Times New Roman" w:hAnsi="Times New Roman" w:cs="Times New Roman"/>
          <w:sz w:val="24"/>
          <w:szCs w:val="24"/>
        </w:rPr>
        <w:t>emic lupus erythematosus, systemic sclerosis and dermatomyositis. Experimental dermatology, 33(1), e14986.</w:t>
      </w:r>
    </w:p>
    <w:p w14:paraId="771400DF" w14:textId="77777777" w:rsidR="002C62A3" w:rsidRDefault="00317B9B">
      <w:pPr>
        <w:spacing w:line="480" w:lineRule="auto"/>
        <w:jc w:val="both"/>
        <w:rPr>
          <w:rFonts w:ascii="Times New Roman" w:hAnsi="Times New Roman" w:cs="Times New Roman"/>
          <w:sz w:val="24"/>
          <w:szCs w:val="24"/>
        </w:rPr>
      </w:pPr>
      <w:r>
        <w:rPr>
          <w:rFonts w:ascii="Times New Roman" w:hAnsi="Times New Roman" w:cs="Times New Roman"/>
          <w:sz w:val="24"/>
          <w:szCs w:val="24"/>
        </w:rPr>
        <w:t>Zhao, Y., Zhang, Q., Zhang, B., Dai, Y., Gao, Y., Li, C., ... &amp; Li, C. (2024). Epstein–Barr viruses: their immune evasion strategies and implications</w:t>
      </w:r>
      <w:r>
        <w:rPr>
          <w:rFonts w:ascii="Times New Roman" w:hAnsi="Times New Roman" w:cs="Times New Roman"/>
          <w:sz w:val="24"/>
          <w:szCs w:val="24"/>
        </w:rPr>
        <w:t xml:space="preserve"> for autoimmune diseases. International journal of molecular sciences, 25(15), 8160.</w:t>
      </w:r>
    </w:p>
    <w:sectPr w:rsidR="002C62A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B7C44" w14:textId="77777777" w:rsidR="00317B9B" w:rsidRDefault="00317B9B" w:rsidP="00EA7708">
      <w:pPr>
        <w:spacing w:after="0" w:line="240" w:lineRule="auto"/>
      </w:pPr>
      <w:r>
        <w:separator/>
      </w:r>
    </w:p>
  </w:endnote>
  <w:endnote w:type="continuationSeparator" w:id="0">
    <w:p w14:paraId="32C06E25" w14:textId="77777777" w:rsidR="00317B9B" w:rsidRDefault="00317B9B" w:rsidP="00EA7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ADA34" w14:textId="77777777" w:rsidR="00EA7708" w:rsidRDefault="00EA77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AFC56" w14:textId="77777777" w:rsidR="00EA7708" w:rsidRDefault="00EA77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99D75" w14:textId="77777777" w:rsidR="00EA7708" w:rsidRDefault="00EA77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997E2" w14:textId="77777777" w:rsidR="00317B9B" w:rsidRDefault="00317B9B" w:rsidP="00EA7708">
      <w:pPr>
        <w:spacing w:after="0" w:line="240" w:lineRule="auto"/>
      </w:pPr>
      <w:r>
        <w:separator/>
      </w:r>
    </w:p>
  </w:footnote>
  <w:footnote w:type="continuationSeparator" w:id="0">
    <w:p w14:paraId="0C45E8AC" w14:textId="77777777" w:rsidR="00317B9B" w:rsidRDefault="00317B9B" w:rsidP="00EA77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38424" w14:textId="7A38CF92" w:rsidR="00EA7708" w:rsidRDefault="00EA7708">
    <w:pPr>
      <w:pStyle w:val="Header"/>
    </w:pPr>
    <w:r>
      <w:rPr>
        <w:noProof/>
      </w:rPr>
      <w:pict w14:anchorId="04BA4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AF1D1" w14:textId="7241E490" w:rsidR="00EA7708" w:rsidRDefault="00EA7708">
    <w:pPr>
      <w:pStyle w:val="Header"/>
    </w:pPr>
    <w:r>
      <w:rPr>
        <w:noProof/>
      </w:rPr>
      <w:pict w14:anchorId="776ED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D56E4" w14:textId="5EE01D81" w:rsidR="00EA7708" w:rsidRDefault="00EA7708">
    <w:pPr>
      <w:pStyle w:val="Header"/>
    </w:pPr>
    <w:r>
      <w:rPr>
        <w:noProof/>
      </w:rPr>
      <w:pict w14:anchorId="64FD27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1961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1s7Qws7C0NDAzMDZW0lEKTi0uzszPAykwrAUAhB13gywAAAA="/>
  </w:docVars>
  <w:rsids>
    <w:rsidRoot w:val="002C62A3"/>
    <w:rsid w:val="002114FA"/>
    <w:rsid w:val="002C62A3"/>
    <w:rsid w:val="00317B9B"/>
    <w:rsid w:val="00327FBA"/>
    <w:rsid w:val="005A2706"/>
    <w:rsid w:val="00A16477"/>
    <w:rsid w:val="00C1510C"/>
    <w:rsid w:val="00EA7708"/>
    <w:rsid w:val="00EB4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41B6A1"/>
  <w15:docId w15:val="{9137491E-337E-4B23-B77F-5D0023A0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styleId="Hyperlink">
    <w:name w:val="Hyperlink"/>
    <w:basedOn w:val="DefaultParagraphFont"/>
    <w:uiPriority w:val="99"/>
    <w:unhideWhenUsed/>
    <w:rsid w:val="00EB46BC"/>
    <w:rPr>
      <w:color w:val="0563C1" w:themeColor="hyperlink"/>
      <w:u w:val="single"/>
    </w:rPr>
  </w:style>
  <w:style w:type="character" w:styleId="UnresolvedMention">
    <w:name w:val="Unresolved Mention"/>
    <w:basedOn w:val="DefaultParagraphFont"/>
    <w:uiPriority w:val="99"/>
    <w:semiHidden/>
    <w:unhideWhenUsed/>
    <w:rsid w:val="00EB46BC"/>
    <w:rPr>
      <w:color w:val="605E5C"/>
      <w:shd w:val="clear" w:color="auto" w:fill="E1DFDD"/>
    </w:rPr>
  </w:style>
  <w:style w:type="paragraph" w:styleId="Header">
    <w:name w:val="header"/>
    <w:basedOn w:val="Normal"/>
    <w:link w:val="HeaderChar"/>
    <w:uiPriority w:val="99"/>
    <w:unhideWhenUsed/>
    <w:rsid w:val="00EA7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708"/>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EA7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708"/>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6780</Words>
  <Characters>38651</Characters>
  <Application>Microsoft Office Word</Application>
  <DocSecurity>0</DocSecurity>
  <Lines>322</Lines>
  <Paragraphs>90</Paragraphs>
  <ScaleCrop>false</ScaleCrop>
  <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Ayodele</dc:creator>
  <cp:lastModifiedBy>SDI 1084</cp:lastModifiedBy>
  <cp:revision>5</cp:revision>
  <dcterms:created xsi:type="dcterms:W3CDTF">2025-09-17T06:50:00Z</dcterms:created>
  <dcterms:modified xsi:type="dcterms:W3CDTF">2025-09-17T13:55:00Z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ff99c6b2-58eb-4315-9f61-b2960b0551f2</vt:lpwstr>
  </property>
  <property fmtid="{D5CDD505-2E9C-101B-9397-08002B2CF9AE}" pid="3" name="ICV">
    <vt:lpwstr>F27BCF278DC79F8D9F9EC96887A8C9E3_33</vt:lpwstr>
  </property>
  <property fmtid="{D5CDD505-2E9C-101B-9397-08002B2CF9AE}" pid="4" name="KSOProductBuildVer">
    <vt:lpwstr>3081-11.36.02</vt:lpwstr>
  </property>
</Properties>
</file>