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2288" w14:textId="77777777" w:rsidR="0055611A" w:rsidRDefault="0055611A" w:rsidP="0055611A">
      <w:pPr>
        <w:spacing w:line="360" w:lineRule="auto"/>
        <w:jc w:val="center"/>
        <w:rPr>
          <w:rFonts w:ascii="Times New Roman" w:hAnsi="Times New Roman" w:cs="Times New Roman"/>
          <w:b/>
          <w:bCs/>
          <w:sz w:val="24"/>
          <w:szCs w:val="24"/>
        </w:rPr>
      </w:pPr>
      <w:r w:rsidRPr="0055611A">
        <w:rPr>
          <w:rFonts w:ascii="Times New Roman" w:hAnsi="Times New Roman" w:cs="Times New Roman"/>
          <w:b/>
          <w:bCs/>
          <w:sz w:val="24"/>
          <w:szCs w:val="24"/>
        </w:rPr>
        <w:t>Socio-Cultural and Educational Perspectives of Disadvantaged Higher Education Students in Pithoragarh District, Uttarakhand</w:t>
      </w:r>
    </w:p>
    <w:p w14:paraId="42BF4AEB" w14:textId="77777777" w:rsidR="000C29D6" w:rsidRPr="00922F03" w:rsidRDefault="000C29D6" w:rsidP="000C29D6">
      <w:pPr>
        <w:widowControl w:val="0"/>
        <w:pBdr>
          <w:top w:val="nil"/>
          <w:left w:val="nil"/>
          <w:bottom w:val="nil"/>
          <w:right w:val="nil"/>
          <w:between w:val="nil"/>
        </w:pBdr>
        <w:spacing w:after="0" w:line="240" w:lineRule="auto"/>
        <w:ind w:left="648" w:right="958"/>
        <w:jc w:val="center"/>
        <w:rPr>
          <w:rFonts w:ascii="Times New Roman" w:eastAsia="Times New Roman" w:hAnsi="Times New Roman" w:cs="Times New Roman"/>
          <w:bCs/>
          <w:color w:val="000000"/>
          <w:sz w:val="24"/>
          <w:szCs w:val="24"/>
        </w:rPr>
      </w:pPr>
    </w:p>
    <w:p w14:paraId="0CF5D56C" w14:textId="77777777" w:rsidR="000C29D6" w:rsidRDefault="000C29D6" w:rsidP="0055611A">
      <w:pPr>
        <w:spacing w:line="360" w:lineRule="auto"/>
        <w:jc w:val="center"/>
        <w:rPr>
          <w:rFonts w:ascii="Times New Roman" w:hAnsi="Times New Roman" w:cs="Times New Roman"/>
          <w:b/>
          <w:bCs/>
          <w:sz w:val="24"/>
          <w:szCs w:val="24"/>
        </w:rPr>
      </w:pPr>
    </w:p>
    <w:p w14:paraId="77157AD2" w14:textId="398831AC" w:rsidR="00675114" w:rsidRPr="00675114" w:rsidRDefault="00675114" w:rsidP="00675114">
      <w:pPr>
        <w:spacing w:line="360" w:lineRule="auto"/>
        <w:jc w:val="both"/>
        <w:rPr>
          <w:rFonts w:ascii="Times New Roman" w:hAnsi="Times New Roman" w:cs="Times New Roman"/>
          <w:bCs/>
          <w:sz w:val="24"/>
          <w:szCs w:val="24"/>
          <w:lang w:val="en-IN"/>
        </w:rPr>
      </w:pPr>
      <w:r w:rsidRPr="00675114">
        <w:rPr>
          <w:rFonts w:ascii="Times New Roman" w:hAnsi="Times New Roman" w:cs="Times New Roman"/>
          <w:b/>
          <w:bCs/>
          <w:sz w:val="24"/>
          <w:szCs w:val="24"/>
          <w:lang w:val="en-IN"/>
        </w:rPr>
        <w:t>Abstract:</w:t>
      </w:r>
      <w:r w:rsidRPr="00675114">
        <w:rPr>
          <w:rFonts w:ascii="Times New Roman" w:hAnsi="Times New Roman" w:cs="Times New Roman"/>
          <w:b/>
          <w:sz w:val="24"/>
          <w:szCs w:val="24"/>
          <w:lang w:val="en-IN"/>
        </w:rPr>
        <w:br/>
      </w:r>
      <w:r>
        <w:rPr>
          <w:rFonts w:ascii="Times New Roman" w:hAnsi="Times New Roman" w:cs="Times New Roman"/>
          <w:bCs/>
          <w:sz w:val="24"/>
          <w:szCs w:val="24"/>
          <w:lang w:val="en-IN"/>
        </w:rPr>
        <w:t xml:space="preserve">                 </w:t>
      </w:r>
      <w:r w:rsidRPr="00675114">
        <w:rPr>
          <w:rFonts w:ascii="Times New Roman" w:hAnsi="Times New Roman" w:cs="Times New Roman"/>
          <w:bCs/>
          <w:sz w:val="24"/>
          <w:szCs w:val="24"/>
          <w:lang w:val="en-IN"/>
        </w:rPr>
        <w:t xml:space="preserve">India’s diverse socio-cultural landscape faces challenges in balancing cultural preservation with socio-economic development, particularly in geographically remote regions like Uttarakhand. </w:t>
      </w:r>
      <w:r w:rsidRPr="00675114">
        <w:rPr>
          <w:rFonts w:ascii="Times New Roman" w:hAnsi="Times New Roman" w:cs="Times New Roman"/>
          <w:bCs/>
          <w:sz w:val="24"/>
          <w:szCs w:val="24"/>
        </w:rPr>
        <w:t xml:space="preserve">Disadvantaged groups, including Scheduled Castes (SC), Scheduled Tribes (ST), and Other Backward Classes (OBC), experience systemic and infrastructural barriers to higher education, compounded by economic hardships and geographical </w:t>
      </w:r>
      <w:proofErr w:type="gramStart"/>
      <w:r w:rsidRPr="00675114">
        <w:rPr>
          <w:rFonts w:ascii="Times New Roman" w:hAnsi="Times New Roman" w:cs="Times New Roman"/>
          <w:bCs/>
          <w:sz w:val="24"/>
          <w:szCs w:val="24"/>
        </w:rPr>
        <w:t>isolation.</w:t>
      </w:r>
      <w:r w:rsidRPr="00675114">
        <w:rPr>
          <w:rFonts w:ascii="Times New Roman" w:hAnsi="Times New Roman" w:cs="Times New Roman"/>
          <w:bCs/>
          <w:sz w:val="24"/>
          <w:szCs w:val="24"/>
          <w:lang w:val="en-IN"/>
        </w:rPr>
        <w:t>This</w:t>
      </w:r>
      <w:proofErr w:type="gramEnd"/>
      <w:r w:rsidRPr="00675114">
        <w:rPr>
          <w:rFonts w:ascii="Times New Roman" w:hAnsi="Times New Roman" w:cs="Times New Roman"/>
          <w:bCs/>
          <w:sz w:val="24"/>
          <w:szCs w:val="24"/>
          <w:lang w:val="en-IN"/>
        </w:rPr>
        <w:t xml:space="preserve"> study explored the socio-cultural and educational perspectives of 232 first-year undergraduate students from eight higher education institutions in Pithoragarh district, Uttarakhand, employing a descriptive survey design. Data were collected using structured Socio-Cultural and Educational Perspectives Scales, </w:t>
      </w:r>
      <w:r w:rsidR="0055611A" w:rsidRPr="00675114">
        <w:rPr>
          <w:rFonts w:ascii="Times New Roman" w:hAnsi="Times New Roman" w:cs="Times New Roman"/>
          <w:bCs/>
          <w:sz w:val="24"/>
          <w:szCs w:val="24"/>
          <w:lang w:val="en-IN"/>
        </w:rPr>
        <w:t>analysed</w:t>
      </w:r>
      <w:r w:rsidRPr="00675114">
        <w:rPr>
          <w:rFonts w:ascii="Times New Roman" w:hAnsi="Times New Roman" w:cs="Times New Roman"/>
          <w:bCs/>
          <w:sz w:val="24"/>
          <w:szCs w:val="24"/>
          <w:lang w:val="en-IN"/>
        </w:rPr>
        <w:t xml:space="preserve"> through non-parametric statistical methods, including Kruskal–Wallis, Mann–Whitney U, and Spearman’s rank-order correlation tests. Findings revealed no significant differences in socio-cultural or educational perspectives based on caste, family structure, or economic status, indicating shared community and institutional experiences. However, arts and science students differed significantly in educational perspectives, reflecting discipline-specific academic and resource challenges. A moderate positive correlation (ρ = 0.402, p &lt; 0.001) was found between socio-cultural and educational perspectives, suggesting that engagement with socio-cultural practices </w:t>
      </w:r>
      <w:r>
        <w:rPr>
          <w:rFonts w:ascii="Times New Roman" w:hAnsi="Times New Roman" w:cs="Times New Roman"/>
          <w:bCs/>
          <w:sz w:val="24"/>
          <w:szCs w:val="24"/>
          <w:lang w:val="en-IN"/>
        </w:rPr>
        <w:t xml:space="preserve">may </w:t>
      </w:r>
      <w:r w:rsidRPr="00675114">
        <w:rPr>
          <w:rFonts w:ascii="Times New Roman" w:hAnsi="Times New Roman" w:cs="Times New Roman"/>
          <w:bCs/>
          <w:sz w:val="24"/>
          <w:szCs w:val="24"/>
          <w:lang w:val="en-IN"/>
        </w:rPr>
        <w:t>enhance students’ educational outlook. The study highlights the need for culturally responsive curricula, stream-specific academic support, and strengthened infrastructure to improve higher education access and outcomes for disadvantaged students in remote hilly regions, promoting both educational equity and socio-cultural identity preservation.</w:t>
      </w:r>
    </w:p>
    <w:p w14:paraId="0E15B4C4" w14:textId="700E6506" w:rsidR="00675114" w:rsidRDefault="00675114" w:rsidP="00675114">
      <w:pPr>
        <w:spacing w:line="360" w:lineRule="auto"/>
        <w:jc w:val="both"/>
        <w:rPr>
          <w:rFonts w:ascii="Times New Roman" w:hAnsi="Times New Roman" w:cs="Times New Roman"/>
          <w:bCs/>
          <w:sz w:val="24"/>
          <w:szCs w:val="24"/>
          <w:lang w:val="en-IN"/>
        </w:rPr>
      </w:pPr>
      <w:r w:rsidRPr="00675114">
        <w:rPr>
          <w:rFonts w:ascii="Times New Roman" w:hAnsi="Times New Roman" w:cs="Times New Roman"/>
          <w:b/>
          <w:bCs/>
          <w:sz w:val="24"/>
          <w:szCs w:val="24"/>
          <w:lang w:val="en-IN"/>
        </w:rPr>
        <w:t>Keywords:</w:t>
      </w:r>
      <w:r w:rsidRPr="00675114">
        <w:rPr>
          <w:rFonts w:ascii="Times New Roman" w:hAnsi="Times New Roman" w:cs="Times New Roman"/>
          <w:b/>
          <w:sz w:val="24"/>
          <w:szCs w:val="24"/>
          <w:lang w:val="en-IN"/>
        </w:rPr>
        <w:br/>
      </w:r>
      <w:r w:rsidRPr="00675114">
        <w:rPr>
          <w:rFonts w:ascii="Times New Roman" w:hAnsi="Times New Roman" w:cs="Times New Roman"/>
          <w:bCs/>
          <w:sz w:val="24"/>
          <w:szCs w:val="24"/>
          <w:lang w:val="en-IN"/>
        </w:rPr>
        <w:t>Disadvantaged students, Higher education, Socio-cultural perspectives, Educational perspectives, Pithoragarh, Uttarakhand.</w:t>
      </w:r>
    </w:p>
    <w:p w14:paraId="734690EF" w14:textId="75332778" w:rsidR="005C7A92" w:rsidRDefault="005C7A92" w:rsidP="00675114">
      <w:pPr>
        <w:spacing w:line="360" w:lineRule="auto"/>
        <w:jc w:val="both"/>
        <w:rPr>
          <w:rFonts w:ascii="Times New Roman" w:hAnsi="Times New Roman" w:cs="Times New Roman"/>
          <w:b/>
          <w:sz w:val="24"/>
          <w:szCs w:val="24"/>
          <w:lang w:val="en-IN"/>
        </w:rPr>
      </w:pPr>
    </w:p>
    <w:p w14:paraId="467E102B" w14:textId="77777777" w:rsidR="005C7A92" w:rsidRPr="00675114" w:rsidRDefault="005C7A92" w:rsidP="00675114">
      <w:pPr>
        <w:spacing w:line="360" w:lineRule="auto"/>
        <w:jc w:val="both"/>
        <w:rPr>
          <w:rFonts w:ascii="Times New Roman" w:hAnsi="Times New Roman" w:cs="Times New Roman"/>
          <w:b/>
          <w:sz w:val="24"/>
          <w:szCs w:val="24"/>
          <w:lang w:val="en-IN"/>
        </w:rPr>
      </w:pPr>
      <w:bookmarkStart w:id="0" w:name="_GoBack"/>
      <w:bookmarkEnd w:id="0"/>
    </w:p>
    <w:p w14:paraId="4E7F75BC" w14:textId="77777777" w:rsidR="00AD6708" w:rsidRPr="00F20CFA" w:rsidRDefault="00AD6708" w:rsidP="00B91A28">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lastRenderedPageBreak/>
        <w:t>Introduction</w:t>
      </w:r>
    </w:p>
    <w:p w14:paraId="0AD48737" w14:textId="77777777" w:rsidR="00B91A28" w:rsidRPr="00F20CFA" w:rsidRDefault="00B91A28" w:rsidP="00AD6708">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India's socio-cultural fabric reflects a rich blend of regional, linguistic, cultural, and religious diversity (</w:t>
      </w:r>
      <w:proofErr w:type="spellStart"/>
      <w:r w:rsidRPr="00F20CFA">
        <w:rPr>
          <w:rFonts w:ascii="Times New Roman" w:hAnsi="Times New Roman" w:cs="Times New Roman"/>
          <w:sz w:val="24"/>
          <w:szCs w:val="24"/>
        </w:rPr>
        <w:t>Chhokar</w:t>
      </w:r>
      <w:proofErr w:type="spellEnd"/>
      <w:r w:rsidRPr="00F20CFA">
        <w:rPr>
          <w:rFonts w:ascii="Times New Roman" w:hAnsi="Times New Roman" w:cs="Times New Roman"/>
          <w:sz w:val="24"/>
          <w:szCs w:val="24"/>
        </w:rPr>
        <w:t>, 2007). Modernization and globalization have significantly transformed India’s economy, society, culture, and politics, leading many to feel that the cultural resilience is diminishing (Ghosh, 2011). These changes often disrupt traditional community structures as younger generations gravitate toward urbanized, global identities. Balancing cultural preservation with progressive development remains challenging, requiring sensitivity to local traditions while ensuring tangible improvements in living standards.</w:t>
      </w:r>
    </w:p>
    <w:p w14:paraId="1653FB43" w14:textId="4517B7AF" w:rsidR="00B91A28" w:rsidRPr="00F20CFA" w:rsidRDefault="00B91A28" w:rsidP="00AD6708">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Within this diverse landscape, Uttarakhand stands out as a distinct geographical and socio-cultural unit in the central Himalayas. The state, comprising mountainous and </w:t>
      </w:r>
      <w:proofErr w:type="spellStart"/>
      <w:r w:rsidRPr="00F20CFA">
        <w:rPr>
          <w:rFonts w:ascii="Times New Roman" w:hAnsi="Times New Roman" w:cs="Times New Roman"/>
          <w:sz w:val="24"/>
          <w:szCs w:val="24"/>
        </w:rPr>
        <w:t>terai</w:t>
      </w:r>
      <w:proofErr w:type="spellEnd"/>
      <w:r w:rsidRPr="00F20CFA">
        <w:rPr>
          <w:rFonts w:ascii="Times New Roman" w:hAnsi="Times New Roman" w:cs="Times New Roman"/>
          <w:sz w:val="24"/>
          <w:szCs w:val="24"/>
        </w:rPr>
        <w:t xml:space="preserve"> regions, includes the Garhwal and </w:t>
      </w:r>
      <w:proofErr w:type="spellStart"/>
      <w:r w:rsidRPr="00F20CFA">
        <w:rPr>
          <w:rFonts w:ascii="Times New Roman" w:hAnsi="Times New Roman" w:cs="Times New Roman"/>
          <w:sz w:val="24"/>
          <w:szCs w:val="24"/>
        </w:rPr>
        <w:t>Kumaun</w:t>
      </w:r>
      <w:proofErr w:type="spellEnd"/>
      <w:r w:rsidRPr="00F20CFA">
        <w:rPr>
          <w:rFonts w:ascii="Times New Roman" w:hAnsi="Times New Roman" w:cs="Times New Roman"/>
          <w:sz w:val="24"/>
          <w:szCs w:val="24"/>
        </w:rPr>
        <w:t xml:space="preserve"> divisions, which share ecological, socio-economic, and ethno-cultural similarities (</w:t>
      </w:r>
      <w:r w:rsidR="008B63D7">
        <w:rPr>
          <w:rFonts w:ascii="Times New Roman" w:hAnsi="Times New Roman" w:cs="Times New Roman"/>
          <w:sz w:val="24"/>
          <w:szCs w:val="24"/>
        </w:rPr>
        <w:t>Sati, 2024</w:t>
      </w:r>
      <w:r w:rsidRPr="00F20CFA">
        <w:rPr>
          <w:rFonts w:ascii="Times New Roman" w:hAnsi="Times New Roman" w:cs="Times New Roman"/>
          <w:sz w:val="24"/>
          <w:szCs w:val="24"/>
        </w:rPr>
        <w:t xml:space="preserve">). Uttarakhand’s terrain preserves a rich cultural heritage upheld by its resilient communities. Rituals, festivals, and indigenous arts and crafts reflect the people’s strong ties to their ancestral roots, fostering identity and pride. The Epics and Puranas also mention the region’s early inhabitants as tribal communities such as the </w:t>
      </w:r>
      <w:proofErr w:type="spellStart"/>
      <w:r w:rsidRPr="00F20CFA">
        <w:rPr>
          <w:rFonts w:ascii="Times New Roman" w:hAnsi="Times New Roman" w:cs="Times New Roman"/>
          <w:sz w:val="24"/>
          <w:szCs w:val="24"/>
        </w:rPr>
        <w:t>Yaksha</w:t>
      </w:r>
      <w:proofErr w:type="spellEnd"/>
      <w:r w:rsidRPr="00F20CFA">
        <w:rPr>
          <w:rFonts w:ascii="Times New Roman" w:hAnsi="Times New Roman" w:cs="Times New Roman"/>
          <w:sz w:val="24"/>
          <w:szCs w:val="24"/>
        </w:rPr>
        <w:t xml:space="preserve">, </w:t>
      </w:r>
      <w:proofErr w:type="spellStart"/>
      <w:r w:rsidRPr="00F20CFA">
        <w:rPr>
          <w:rFonts w:ascii="Times New Roman" w:hAnsi="Times New Roman" w:cs="Times New Roman"/>
          <w:sz w:val="24"/>
          <w:szCs w:val="24"/>
        </w:rPr>
        <w:t>Gandharva</w:t>
      </w:r>
      <w:proofErr w:type="spellEnd"/>
      <w:r w:rsidRPr="00F20CFA">
        <w:rPr>
          <w:rFonts w:ascii="Times New Roman" w:hAnsi="Times New Roman" w:cs="Times New Roman"/>
          <w:sz w:val="24"/>
          <w:szCs w:val="24"/>
        </w:rPr>
        <w:t xml:space="preserve">, Kinnara, </w:t>
      </w:r>
      <w:proofErr w:type="spellStart"/>
      <w:r w:rsidRPr="00F20CFA">
        <w:rPr>
          <w:rFonts w:ascii="Times New Roman" w:hAnsi="Times New Roman" w:cs="Times New Roman"/>
          <w:sz w:val="24"/>
          <w:szCs w:val="24"/>
        </w:rPr>
        <w:t>Kirata</w:t>
      </w:r>
      <w:proofErr w:type="spellEnd"/>
      <w:r w:rsidRPr="00F20CFA">
        <w:rPr>
          <w:rFonts w:ascii="Times New Roman" w:hAnsi="Times New Roman" w:cs="Times New Roman"/>
          <w:sz w:val="24"/>
          <w:szCs w:val="24"/>
        </w:rPr>
        <w:t xml:space="preserve">, </w:t>
      </w:r>
      <w:proofErr w:type="spellStart"/>
      <w:r w:rsidRPr="00F20CFA">
        <w:rPr>
          <w:rFonts w:ascii="Times New Roman" w:hAnsi="Times New Roman" w:cs="Times New Roman"/>
          <w:sz w:val="24"/>
          <w:szCs w:val="24"/>
        </w:rPr>
        <w:t>Tangana</w:t>
      </w:r>
      <w:proofErr w:type="spellEnd"/>
      <w:r w:rsidRPr="00F20CFA">
        <w:rPr>
          <w:rFonts w:ascii="Times New Roman" w:hAnsi="Times New Roman" w:cs="Times New Roman"/>
          <w:sz w:val="24"/>
          <w:szCs w:val="24"/>
        </w:rPr>
        <w:t>, and Khas (Thapliyal, 200</w:t>
      </w:r>
      <w:r w:rsidR="008B63D7">
        <w:rPr>
          <w:rFonts w:ascii="Times New Roman" w:hAnsi="Times New Roman" w:cs="Times New Roman"/>
          <w:sz w:val="24"/>
          <w:szCs w:val="24"/>
        </w:rPr>
        <w:t>5</w:t>
      </w:r>
      <w:r w:rsidRPr="00F20CFA">
        <w:rPr>
          <w:rFonts w:ascii="Times New Roman" w:hAnsi="Times New Roman" w:cs="Times New Roman"/>
          <w:sz w:val="24"/>
          <w:szCs w:val="24"/>
        </w:rPr>
        <w:t>).</w:t>
      </w:r>
    </w:p>
    <w:p w14:paraId="2EDAE83F" w14:textId="0CB07C47" w:rsidR="00B91A28" w:rsidRPr="00F20CFA" w:rsidRDefault="00B91A28" w:rsidP="00700080">
      <w:pPr>
        <w:pStyle w:val="NormalWeb"/>
        <w:spacing w:line="360" w:lineRule="auto"/>
        <w:ind w:firstLine="720"/>
        <w:jc w:val="both"/>
      </w:pPr>
      <w:r w:rsidRPr="00F20CFA">
        <w:t xml:space="preserve">Uttarakhand’s socio-cultural structure faces significant challenges. The geographical remoteness and isolation of many communities in rugged terrains hinder access to essential services like healthcare and education, worsening existing socio-economic disparities. These regions reflect diverse linguistic and cultural influences due to proximity to various traditional cultures (Mohanty, 2006). Mountains, as complex socio-ecological systems, are marked by geological instability, ecological fragility, and economic backwardness (Singh &amp; Thadani, 2015). </w:t>
      </w:r>
      <w:r w:rsidR="00675114" w:rsidRPr="00675114">
        <w:t>Additionally, migration driven by economic opportunities outside the state threatens the hill economy, particularly agriculture, posing a serious challenge to marginal hill societies</w:t>
      </w:r>
      <w:r w:rsidR="00675114">
        <w:t xml:space="preserve"> (</w:t>
      </w:r>
      <w:proofErr w:type="spellStart"/>
      <w:r w:rsidRPr="00F20CFA">
        <w:t>Taragi</w:t>
      </w:r>
      <w:proofErr w:type="spellEnd"/>
      <w:r w:rsidRPr="00F20CFA">
        <w:t xml:space="preserve"> &amp; Chand, 2017).</w:t>
      </w:r>
      <w:r w:rsidR="00700080">
        <w:t xml:space="preserve"> </w:t>
      </w:r>
      <w:r w:rsidRPr="00F20CFA">
        <w:t xml:space="preserve">Preserving the socio-cultural identity of Uttarakhand’s native communities is a complex and urgent concern. Local heritage, embedded in customs, languages, and practices, faces pressure from geographic isolation, infrastructural limitations, and urban influences. Mountain ecosystems and communities are under threat from global environmental changes, population pressures, and economic globalization (ICIMOD, 2010), leading to resource depletion and the </w:t>
      </w:r>
      <w:r w:rsidRPr="00F20CFA">
        <w:lastRenderedPageBreak/>
        <w:t>weakening of socio-cultural resilience, thereby causing ecological, social, and economic unsustainability (FAO, 2008).</w:t>
      </w:r>
    </w:p>
    <w:p w14:paraId="1F0C877D" w14:textId="0FB01F0F" w:rsidR="00B91A28" w:rsidRPr="00F20CFA" w:rsidRDefault="00EB14ED" w:rsidP="00B91A28">
      <w:pPr>
        <w:pStyle w:val="NormalWeb"/>
        <w:spacing w:line="360" w:lineRule="auto"/>
        <w:jc w:val="both"/>
      </w:pPr>
      <w:r>
        <w:t xml:space="preserve">               </w:t>
      </w:r>
      <w:r w:rsidR="00B91A28" w:rsidRPr="00F20CFA">
        <w:t>Education plays a pivotal role in social development, driving equity, growth, and empowerment. Nationally, education is being positioned as a right, not a privilege. In Uttarakhand, efforts have focused on increasing the Gross Enrollment Ratio (GER) in school and higher education. However, the state’s challenging terrain and dispersed populations hinder equitable access and quality education. Despite policy interventions, enrollment in government schools declined from 209,834 in 2013–14 to 180,132 in 2017–18, while private school enrollment rose during the same period (</w:t>
      </w:r>
      <w:r w:rsidR="005159DB">
        <w:t>UDISE, 2024</w:t>
      </w:r>
      <w:r w:rsidR="00B91A28" w:rsidRPr="00F20CFA">
        <w:t>). Disparities remain in Uttarakhand’s school education, with SCs, STs, and OBCs contributing less than the national average to gross enrollment. Their share rose from 32.23% in 2015–16 to 35.9% in 2018–19 but declined to 35.15% in 2019–20 (Joshi et al., 2022).</w:t>
      </w:r>
    </w:p>
    <w:p w14:paraId="3EB68EA4" w14:textId="33E427C1" w:rsidR="00B91A28" w:rsidRPr="00F20CFA" w:rsidRDefault="00EB14ED" w:rsidP="00B91A28">
      <w:pPr>
        <w:pStyle w:val="NormalWeb"/>
        <w:spacing w:line="360" w:lineRule="auto"/>
        <w:jc w:val="both"/>
      </w:pPr>
      <w:r>
        <w:t xml:space="preserve">                </w:t>
      </w:r>
      <w:r w:rsidR="00B91A28" w:rsidRPr="00F20CFA">
        <w:t>Higher education faces challenges in hilly and rural areas due to limited institutions, poor infrastructure, and faculty shortages. Many colleges have a 1:30 teacher-student ratio and vacant posts (Bhatt, 2020). Government Degree Colleges were opened in rural areas, but over a decade after statehood, they still lack adequate infrastructure, faculty, and planning, affecting employability (</w:t>
      </w:r>
      <w:proofErr w:type="spellStart"/>
      <w:r w:rsidR="00B91A28" w:rsidRPr="00F20CFA">
        <w:t>Paliwal</w:t>
      </w:r>
      <w:proofErr w:type="spellEnd"/>
      <w:r w:rsidR="00B91A28" w:rsidRPr="00F20CFA">
        <w:t xml:space="preserve"> and </w:t>
      </w:r>
      <w:proofErr w:type="spellStart"/>
      <w:r w:rsidR="00B91A28" w:rsidRPr="00F20CFA">
        <w:t>Paliwal</w:t>
      </w:r>
      <w:proofErr w:type="spellEnd"/>
      <w:r w:rsidR="00B91A28" w:rsidRPr="00F20CFA">
        <w:t>, 2011).</w:t>
      </w:r>
    </w:p>
    <w:p w14:paraId="7C8B074F" w14:textId="3E899FCF" w:rsidR="00B91A28" w:rsidRPr="00F20CFA" w:rsidRDefault="00EB14ED" w:rsidP="00B91A28">
      <w:pPr>
        <w:pStyle w:val="NormalWeb"/>
        <w:spacing w:line="360" w:lineRule="auto"/>
        <w:jc w:val="both"/>
      </w:pPr>
      <w:r>
        <w:t xml:space="preserve">             </w:t>
      </w:r>
      <w:r w:rsidR="00B91A28" w:rsidRPr="00F20CFA">
        <w:t xml:space="preserve">Education in India is closely tied to social class, shaping academic outcomes and quality of life. Marginalized groups such as SCs, STs, OBCs, girls, CWSN, and minorities face persistent disadvantages. Though access has improved nationally, higher education remains less inclusive for disadvantaged students in remote Uttarakhand. Difficult terrain and scarce resources </w:t>
      </w:r>
      <w:proofErr w:type="gramStart"/>
      <w:r w:rsidR="00B91A28" w:rsidRPr="00F20CFA">
        <w:t>worsen</w:t>
      </w:r>
      <w:proofErr w:type="gramEnd"/>
      <w:r w:rsidR="00B91A28" w:rsidRPr="00F20CFA">
        <w:t xml:space="preserve"> these gaps. The participation divide between affluent and marginalized groups continues.</w:t>
      </w:r>
    </w:p>
    <w:p w14:paraId="7CA46AD1" w14:textId="0CE80D2D" w:rsidR="00B91A28" w:rsidRPr="00F20CFA" w:rsidRDefault="00EB14ED" w:rsidP="00B91A28">
      <w:pPr>
        <w:pStyle w:val="NormalWeb"/>
        <w:spacing w:line="360" w:lineRule="auto"/>
        <w:jc w:val="both"/>
      </w:pPr>
      <w:r>
        <w:t xml:space="preserve">              </w:t>
      </w:r>
      <w:r w:rsidR="00B91A28" w:rsidRPr="00F20CFA">
        <w:t>The proposed study will explore socio-cultural and educational perspectives of disadvantaged students in Pithoragarh. It aims to identify factors that support or hinder their participation in higher education. The goal is to understand barriers and enhance opportunities for students in hilly and underprivileged areas of Uttarakhand.</w:t>
      </w:r>
    </w:p>
    <w:p w14:paraId="1C4D98E5" w14:textId="77777777" w:rsidR="00B91A28" w:rsidRPr="00F20CFA" w:rsidRDefault="00B91A28" w:rsidP="00B91A28">
      <w:pPr>
        <w:spacing w:before="100" w:beforeAutospacing="1" w:after="100" w:afterAutospacing="1" w:line="240" w:lineRule="auto"/>
        <w:jc w:val="both"/>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Disadvantaged Groups and Higher Education in India</w:t>
      </w:r>
    </w:p>
    <w:p w14:paraId="67EF547E" w14:textId="77777777" w:rsidR="00B91A28" w:rsidRPr="00F20CFA" w:rsidRDefault="00B91A28" w:rsidP="00B91A2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lastRenderedPageBreak/>
        <w:t>India has made significant advances in improving access to higher education for disadvantaged groups, through policies such as the Right to Education Act, reservation quotas, and scholarship schemes. However, disparities persist, with the Gross Enrollment Ratio (GER) for SCs and STs at 15.3% and 6.3%, respectively, compared to the national average of 28.4% (AISHE, 2020-21). Historically, systemic exclusion under the caste system denied SCs access to education, while tribal communities faced geographic isolation and inadequate resources. Economic hardships further limited participation, as families often prioritized survival over education. While initiatives like reservations and financial aid have improved enrollment, significant gaps remain, especially for female students facing intersecting caste- and gender-based discrimination. Addressing these inequities requires improving infrastructure, introducing culturally relevant curriculum, and enforcing equality measures to foster a more inclusive education system.</w:t>
      </w:r>
    </w:p>
    <w:p w14:paraId="638954AA" w14:textId="1815A0AF" w:rsidR="00B91A28" w:rsidRPr="00F20CFA" w:rsidRDefault="00B91A28" w:rsidP="002E2264">
      <w:pPr>
        <w:spacing w:after="0" w:line="240" w:lineRule="auto"/>
        <w:jc w:val="center"/>
        <w:rPr>
          <w:rFonts w:ascii="Times New Roman" w:eastAsia="Times New Roman" w:hAnsi="Times New Roman" w:cs="Times New Roman"/>
          <w:b/>
          <w:sz w:val="24"/>
          <w:szCs w:val="24"/>
        </w:rPr>
      </w:pPr>
      <w:r w:rsidRPr="00F20CFA">
        <w:rPr>
          <w:rFonts w:ascii="Times New Roman" w:eastAsia="Times New Roman" w:hAnsi="Times New Roman" w:cs="Times New Roman"/>
          <w:b/>
          <w:sz w:val="24"/>
          <w:szCs w:val="24"/>
        </w:rPr>
        <w:t>Table 1: Enrollment Data of Higher Education Students at National Level</w:t>
      </w:r>
    </w:p>
    <w:p w14:paraId="2681F75E" w14:textId="77777777" w:rsidR="00B91A28" w:rsidRPr="00F20CFA" w:rsidRDefault="00B91A28" w:rsidP="00B91A28">
      <w:pPr>
        <w:spacing w:after="0" w:line="240" w:lineRule="auto"/>
        <w:rPr>
          <w:rFonts w:ascii="Times New Roman" w:eastAsia="Times New Roman" w:hAnsi="Times New Roman" w:cs="Times New Roman"/>
          <w:b/>
          <w:sz w:val="24"/>
          <w:szCs w:val="24"/>
        </w:rPr>
      </w:pPr>
    </w:p>
    <w:tbl>
      <w:tblPr>
        <w:tblStyle w:val="TableGrid"/>
        <w:tblW w:w="9360" w:type="dxa"/>
        <w:tblInd w:w="108" w:type="dxa"/>
        <w:tblLayout w:type="fixed"/>
        <w:tblLook w:val="04A0" w:firstRow="1" w:lastRow="0" w:firstColumn="1" w:lastColumn="0" w:noHBand="0" w:noVBand="1"/>
      </w:tblPr>
      <w:tblGrid>
        <w:gridCol w:w="1134"/>
        <w:gridCol w:w="993"/>
        <w:gridCol w:w="992"/>
        <w:gridCol w:w="992"/>
        <w:gridCol w:w="929"/>
        <w:gridCol w:w="990"/>
        <w:gridCol w:w="990"/>
        <w:gridCol w:w="990"/>
        <w:gridCol w:w="1350"/>
      </w:tblGrid>
      <w:tr w:rsidR="00B91A28" w:rsidRPr="00F20CFA" w14:paraId="366E5E32" w14:textId="77777777" w:rsidTr="002E2264">
        <w:trPr>
          <w:trHeight w:val="1200"/>
        </w:trPr>
        <w:tc>
          <w:tcPr>
            <w:tcW w:w="1134" w:type="dxa"/>
            <w:vAlign w:val="center"/>
            <w:hideMark/>
          </w:tcPr>
          <w:p w14:paraId="62FBA36B"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Academic Year</w:t>
            </w:r>
          </w:p>
        </w:tc>
        <w:tc>
          <w:tcPr>
            <w:tcW w:w="993" w:type="dxa"/>
            <w:vAlign w:val="center"/>
            <w:hideMark/>
          </w:tcPr>
          <w:p w14:paraId="6AB92AA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Gross Enrol. Ratio (GER)</w:t>
            </w:r>
          </w:p>
        </w:tc>
        <w:tc>
          <w:tcPr>
            <w:tcW w:w="992" w:type="dxa"/>
            <w:vAlign w:val="center"/>
            <w:hideMark/>
          </w:tcPr>
          <w:p w14:paraId="5CA5CF8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SC Enrol. (%)</w:t>
            </w:r>
          </w:p>
        </w:tc>
        <w:tc>
          <w:tcPr>
            <w:tcW w:w="992" w:type="dxa"/>
            <w:vAlign w:val="center"/>
            <w:hideMark/>
          </w:tcPr>
          <w:p w14:paraId="6018960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ST Enrol.   (%)</w:t>
            </w:r>
          </w:p>
        </w:tc>
        <w:tc>
          <w:tcPr>
            <w:tcW w:w="929" w:type="dxa"/>
            <w:vAlign w:val="center"/>
            <w:hideMark/>
          </w:tcPr>
          <w:p w14:paraId="2A41B9FB"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OBC Enrol. (%)</w:t>
            </w:r>
          </w:p>
        </w:tc>
        <w:tc>
          <w:tcPr>
            <w:tcW w:w="990" w:type="dxa"/>
            <w:vAlign w:val="center"/>
            <w:hideMark/>
          </w:tcPr>
          <w:p w14:paraId="3688A7AD"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Muslim Minority (%)</w:t>
            </w:r>
          </w:p>
        </w:tc>
        <w:tc>
          <w:tcPr>
            <w:tcW w:w="990" w:type="dxa"/>
            <w:vAlign w:val="center"/>
            <w:hideMark/>
          </w:tcPr>
          <w:p w14:paraId="33957B5A" w14:textId="77777777" w:rsidR="00B91A28" w:rsidRPr="002E2264" w:rsidRDefault="00B91A28" w:rsidP="00157140">
            <w:pPr>
              <w:jc w:val="center"/>
              <w:rPr>
                <w:rFonts w:ascii="Times New Roman" w:eastAsia="Times New Roman" w:hAnsi="Times New Roman" w:cs="Times New Roman"/>
                <w:b/>
                <w:bCs/>
                <w:color w:val="000000"/>
                <w:sz w:val="20"/>
                <w:szCs w:val="24"/>
              </w:rPr>
            </w:pPr>
            <w:proofErr w:type="gramStart"/>
            <w:r w:rsidRPr="002E2264">
              <w:rPr>
                <w:rFonts w:ascii="Times New Roman" w:eastAsia="Times New Roman" w:hAnsi="Times New Roman" w:cs="Times New Roman"/>
                <w:b/>
                <w:bCs/>
                <w:color w:val="000000"/>
                <w:sz w:val="20"/>
                <w:szCs w:val="24"/>
              </w:rPr>
              <w:t>Other</w:t>
            </w:r>
            <w:proofErr w:type="gramEnd"/>
            <w:r w:rsidRPr="002E2264">
              <w:rPr>
                <w:rFonts w:ascii="Times New Roman" w:eastAsia="Times New Roman" w:hAnsi="Times New Roman" w:cs="Times New Roman"/>
                <w:b/>
                <w:bCs/>
                <w:color w:val="000000"/>
                <w:sz w:val="20"/>
                <w:szCs w:val="24"/>
              </w:rPr>
              <w:t xml:space="preserve"> Minority (%)</w:t>
            </w:r>
          </w:p>
        </w:tc>
        <w:tc>
          <w:tcPr>
            <w:tcW w:w="990" w:type="dxa"/>
            <w:vAlign w:val="center"/>
            <w:hideMark/>
          </w:tcPr>
          <w:p w14:paraId="08AA0DEE"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Gender Parity Index (GPI)</w:t>
            </w:r>
          </w:p>
        </w:tc>
        <w:tc>
          <w:tcPr>
            <w:tcW w:w="1350" w:type="dxa"/>
            <w:vAlign w:val="center"/>
            <w:hideMark/>
          </w:tcPr>
          <w:p w14:paraId="7EE51BF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Total Enrol.             (in Crores)</w:t>
            </w:r>
          </w:p>
        </w:tc>
      </w:tr>
      <w:tr w:rsidR="00B91A28" w:rsidRPr="00F20CFA" w14:paraId="0A9A8897" w14:textId="77777777" w:rsidTr="002E2264">
        <w:trPr>
          <w:trHeight w:val="1200"/>
        </w:trPr>
        <w:tc>
          <w:tcPr>
            <w:tcW w:w="1134" w:type="dxa"/>
            <w:vAlign w:val="center"/>
            <w:hideMark/>
          </w:tcPr>
          <w:p w14:paraId="43207610"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2017-18</w:t>
            </w:r>
          </w:p>
        </w:tc>
        <w:tc>
          <w:tcPr>
            <w:tcW w:w="993" w:type="dxa"/>
            <w:vAlign w:val="center"/>
            <w:hideMark/>
          </w:tcPr>
          <w:p w14:paraId="4F5E0BBE"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25.8% (18-23 age group)</w:t>
            </w:r>
          </w:p>
        </w:tc>
        <w:tc>
          <w:tcPr>
            <w:tcW w:w="992" w:type="dxa"/>
            <w:vAlign w:val="center"/>
            <w:hideMark/>
          </w:tcPr>
          <w:p w14:paraId="65F5603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GER: 21.8%</w:t>
            </w:r>
          </w:p>
        </w:tc>
        <w:tc>
          <w:tcPr>
            <w:tcW w:w="992" w:type="dxa"/>
            <w:vAlign w:val="center"/>
            <w:hideMark/>
          </w:tcPr>
          <w:p w14:paraId="117A442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GER: 15.9%</w:t>
            </w:r>
          </w:p>
        </w:tc>
        <w:tc>
          <w:tcPr>
            <w:tcW w:w="929" w:type="dxa"/>
            <w:vAlign w:val="center"/>
            <w:hideMark/>
          </w:tcPr>
          <w:p w14:paraId="1A94676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 xml:space="preserve">27.3% </w:t>
            </w:r>
          </w:p>
        </w:tc>
        <w:tc>
          <w:tcPr>
            <w:tcW w:w="990" w:type="dxa"/>
            <w:vAlign w:val="center"/>
            <w:hideMark/>
          </w:tcPr>
          <w:p w14:paraId="4A4FA3D9"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C4D95F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777F38A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w:t>
            </w:r>
          </w:p>
        </w:tc>
        <w:tc>
          <w:tcPr>
            <w:tcW w:w="1350" w:type="dxa"/>
            <w:vAlign w:val="center"/>
            <w:hideMark/>
          </w:tcPr>
          <w:p w14:paraId="66ACB4A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2BCA1F08" w14:textId="77777777" w:rsidTr="002E2264">
        <w:trPr>
          <w:trHeight w:val="485"/>
        </w:trPr>
        <w:tc>
          <w:tcPr>
            <w:tcW w:w="1134" w:type="dxa"/>
            <w:vAlign w:val="center"/>
            <w:hideMark/>
          </w:tcPr>
          <w:p w14:paraId="6576C53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2018-19</w:t>
            </w:r>
          </w:p>
        </w:tc>
        <w:tc>
          <w:tcPr>
            <w:tcW w:w="993" w:type="dxa"/>
            <w:vAlign w:val="center"/>
            <w:hideMark/>
          </w:tcPr>
          <w:p w14:paraId="1879EB2A"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183F659B"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14.89%</w:t>
            </w:r>
          </w:p>
        </w:tc>
        <w:tc>
          <w:tcPr>
            <w:tcW w:w="992" w:type="dxa"/>
            <w:vAlign w:val="center"/>
            <w:hideMark/>
          </w:tcPr>
          <w:p w14:paraId="5329996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5.53%</w:t>
            </w:r>
          </w:p>
        </w:tc>
        <w:tc>
          <w:tcPr>
            <w:tcW w:w="929" w:type="dxa"/>
            <w:vAlign w:val="center"/>
            <w:hideMark/>
          </w:tcPr>
          <w:p w14:paraId="7DEE600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36.34%</w:t>
            </w:r>
          </w:p>
        </w:tc>
        <w:tc>
          <w:tcPr>
            <w:tcW w:w="990" w:type="dxa"/>
            <w:vAlign w:val="center"/>
            <w:hideMark/>
          </w:tcPr>
          <w:p w14:paraId="3CE5D59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583ECF0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7C981D1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72A129B6"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6A02382C" w14:textId="77777777" w:rsidTr="002E2264">
        <w:trPr>
          <w:trHeight w:val="539"/>
        </w:trPr>
        <w:tc>
          <w:tcPr>
            <w:tcW w:w="1134" w:type="dxa"/>
            <w:vAlign w:val="center"/>
            <w:hideMark/>
          </w:tcPr>
          <w:p w14:paraId="04154FC0"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2019-20</w:t>
            </w:r>
          </w:p>
        </w:tc>
        <w:tc>
          <w:tcPr>
            <w:tcW w:w="993" w:type="dxa"/>
            <w:vAlign w:val="center"/>
            <w:hideMark/>
          </w:tcPr>
          <w:p w14:paraId="40A1240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00F12CD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14.70%</w:t>
            </w:r>
          </w:p>
        </w:tc>
        <w:tc>
          <w:tcPr>
            <w:tcW w:w="992" w:type="dxa"/>
            <w:vAlign w:val="center"/>
            <w:hideMark/>
          </w:tcPr>
          <w:p w14:paraId="3F520255"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5.60%</w:t>
            </w:r>
          </w:p>
        </w:tc>
        <w:tc>
          <w:tcPr>
            <w:tcW w:w="929" w:type="dxa"/>
            <w:vAlign w:val="center"/>
            <w:hideMark/>
          </w:tcPr>
          <w:p w14:paraId="483042A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37%</w:t>
            </w:r>
          </w:p>
        </w:tc>
        <w:tc>
          <w:tcPr>
            <w:tcW w:w="990" w:type="dxa"/>
            <w:vAlign w:val="center"/>
            <w:hideMark/>
          </w:tcPr>
          <w:p w14:paraId="7E79184A"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5.50%</w:t>
            </w:r>
          </w:p>
        </w:tc>
        <w:tc>
          <w:tcPr>
            <w:tcW w:w="990" w:type="dxa"/>
            <w:vAlign w:val="center"/>
            <w:hideMark/>
          </w:tcPr>
          <w:p w14:paraId="06A5CE1D"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2.30%</w:t>
            </w:r>
          </w:p>
        </w:tc>
        <w:tc>
          <w:tcPr>
            <w:tcW w:w="990" w:type="dxa"/>
            <w:vAlign w:val="center"/>
            <w:hideMark/>
          </w:tcPr>
          <w:p w14:paraId="21E0F27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4DC3C24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418212B0" w14:textId="77777777" w:rsidTr="002E2264">
        <w:trPr>
          <w:trHeight w:val="971"/>
        </w:trPr>
        <w:tc>
          <w:tcPr>
            <w:tcW w:w="1134" w:type="dxa"/>
            <w:vAlign w:val="center"/>
            <w:hideMark/>
          </w:tcPr>
          <w:p w14:paraId="7231EA4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2020-21</w:t>
            </w:r>
          </w:p>
        </w:tc>
        <w:tc>
          <w:tcPr>
            <w:tcW w:w="993" w:type="dxa"/>
            <w:vAlign w:val="center"/>
            <w:hideMark/>
          </w:tcPr>
          <w:p w14:paraId="7FF51D5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7972E545"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14.20%</w:t>
            </w:r>
          </w:p>
        </w:tc>
        <w:tc>
          <w:tcPr>
            <w:tcW w:w="992" w:type="dxa"/>
            <w:vAlign w:val="center"/>
            <w:hideMark/>
          </w:tcPr>
          <w:p w14:paraId="47D28C7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29" w:type="dxa"/>
            <w:vAlign w:val="center"/>
            <w:hideMark/>
          </w:tcPr>
          <w:p w14:paraId="7363899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 xml:space="preserve">31.67% </w:t>
            </w:r>
          </w:p>
        </w:tc>
        <w:tc>
          <w:tcPr>
            <w:tcW w:w="990" w:type="dxa"/>
            <w:vAlign w:val="center"/>
            <w:hideMark/>
          </w:tcPr>
          <w:p w14:paraId="4CA185CC"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B96C25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11AA7EA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1.05</w:t>
            </w:r>
          </w:p>
        </w:tc>
        <w:tc>
          <w:tcPr>
            <w:tcW w:w="1350" w:type="dxa"/>
            <w:vAlign w:val="center"/>
            <w:hideMark/>
          </w:tcPr>
          <w:p w14:paraId="54C916F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4.13 crore</w:t>
            </w:r>
          </w:p>
        </w:tc>
      </w:tr>
      <w:tr w:rsidR="00B91A28" w:rsidRPr="00F20CFA" w14:paraId="25ABCE41" w14:textId="77777777" w:rsidTr="002E2264">
        <w:trPr>
          <w:trHeight w:val="1025"/>
        </w:trPr>
        <w:tc>
          <w:tcPr>
            <w:tcW w:w="1134" w:type="dxa"/>
            <w:vAlign w:val="center"/>
            <w:hideMark/>
          </w:tcPr>
          <w:p w14:paraId="3613BC6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2021-22</w:t>
            </w:r>
          </w:p>
        </w:tc>
        <w:tc>
          <w:tcPr>
            <w:tcW w:w="993" w:type="dxa"/>
            <w:vAlign w:val="center"/>
            <w:hideMark/>
          </w:tcPr>
          <w:p w14:paraId="2E30C7A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28.4% (18-23 age group)</w:t>
            </w:r>
          </w:p>
        </w:tc>
        <w:tc>
          <w:tcPr>
            <w:tcW w:w="992" w:type="dxa"/>
            <w:vAlign w:val="center"/>
            <w:hideMark/>
          </w:tcPr>
          <w:p w14:paraId="2067A5D6"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15.3% (66.23 lakh)</w:t>
            </w:r>
          </w:p>
        </w:tc>
        <w:tc>
          <w:tcPr>
            <w:tcW w:w="992" w:type="dxa"/>
            <w:vAlign w:val="center"/>
            <w:hideMark/>
          </w:tcPr>
          <w:p w14:paraId="4351D29E"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6.3% (27.1 lakh)</w:t>
            </w:r>
          </w:p>
        </w:tc>
        <w:tc>
          <w:tcPr>
            <w:tcW w:w="929" w:type="dxa"/>
            <w:vAlign w:val="center"/>
            <w:hideMark/>
          </w:tcPr>
          <w:p w14:paraId="3509C30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37.8% (1.63 crore)</w:t>
            </w:r>
          </w:p>
        </w:tc>
        <w:tc>
          <w:tcPr>
            <w:tcW w:w="990" w:type="dxa"/>
            <w:vAlign w:val="center"/>
            <w:hideMark/>
          </w:tcPr>
          <w:p w14:paraId="528ABB6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2F44478B"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979734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7347D46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4.33 crore</w:t>
            </w:r>
          </w:p>
        </w:tc>
      </w:tr>
    </w:tbl>
    <w:p w14:paraId="4B1469DB" w14:textId="7A3F235B" w:rsidR="00B91A28" w:rsidRPr="002E2264" w:rsidRDefault="0055611A" w:rsidP="00B91A28">
      <w:pPr>
        <w:spacing w:before="100" w:beforeAutospacing="1" w:after="100" w:afterAutospacing="1" w:line="360" w:lineRule="auto"/>
        <w:jc w:val="both"/>
        <w:rPr>
          <w:rFonts w:ascii="Times New Roman" w:eastAsia="Times New Roman" w:hAnsi="Times New Roman" w:cs="Times New Roman"/>
          <w:bCs/>
          <w:i/>
          <w:iCs/>
          <w:sz w:val="20"/>
          <w:szCs w:val="24"/>
        </w:rPr>
      </w:pPr>
      <w:r>
        <w:rPr>
          <w:rFonts w:ascii="Times New Roman" w:eastAsia="Times New Roman" w:hAnsi="Times New Roman" w:cs="Times New Roman"/>
          <w:bCs/>
          <w:i/>
          <w:iCs/>
          <w:sz w:val="20"/>
          <w:szCs w:val="24"/>
        </w:rPr>
        <w:t xml:space="preserve">  </w:t>
      </w:r>
      <w:r w:rsidR="00B91A28" w:rsidRPr="002E2264">
        <w:rPr>
          <w:rFonts w:ascii="Times New Roman" w:eastAsia="Times New Roman" w:hAnsi="Times New Roman" w:cs="Times New Roman"/>
          <w:bCs/>
          <w:i/>
          <w:iCs/>
          <w:sz w:val="20"/>
          <w:szCs w:val="24"/>
        </w:rPr>
        <w:t>Source: AISHE 2017-18 to 2021-22</w:t>
      </w:r>
    </w:p>
    <w:p w14:paraId="1F35B30C" w14:textId="53F7D01E" w:rsidR="00754C45" w:rsidRDefault="0055611A" w:rsidP="00B91A2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4C45" w:rsidRPr="00754C45">
        <w:rPr>
          <w:rFonts w:ascii="Times New Roman" w:eastAsia="Times New Roman" w:hAnsi="Times New Roman" w:cs="Times New Roman"/>
          <w:sz w:val="24"/>
          <w:szCs w:val="24"/>
        </w:rPr>
        <w:t xml:space="preserve">The All-India Survey on Higher Education (AISHE) data from 2017-18 to 2021-22, as demonstrated in Table 1, provides key insights into enrollment trends, highlighting both progress and ongoing challenges for marginalized communities in higher education. The Gross Enrollment </w:t>
      </w:r>
      <w:r w:rsidR="00754C45" w:rsidRPr="00754C45">
        <w:rPr>
          <w:rFonts w:ascii="Times New Roman" w:eastAsia="Times New Roman" w:hAnsi="Times New Roman" w:cs="Times New Roman"/>
          <w:sz w:val="24"/>
          <w:szCs w:val="24"/>
        </w:rPr>
        <w:lastRenderedPageBreak/>
        <w:t>Ratio (GER) for the 18-23 age group increased from 25.8% in 2017-18 to 28.4% in 2021-22, reflecting gradual improvements. Scheduled Castes (SCs) showed progress, with total enrollment reaching 66.23 lakh in 2021-22, of which 31.71 lakh were female students, indicating the positive impact of scholarships and free education initiatives. Scheduled Tribes (STs) also saw incremental improvements, although geographic isolation and economic constraints continue to limit full participation. Other Backward Classes (OBCs) experienced substantial growth, with total enrollment rising to 1.63 crore students in 2021-22, including 78.19 lakh females, highlighting the success of reservation policies and gender-focused interventions. Gender equity has improved, as reflected in the Gender Parity Index (GPI), which rose from 1.00 in 2017-18 to 1.05 in 2020-21, and the female GER increased to 28.5% in 2021-22. Despite these gains, enrollment among Muslim minorities (5.5% in 2019-20) and other minority groups (2.3%) remains low, signaling the need for targeted outreach to ensure inclusive access.</w:t>
      </w:r>
    </w:p>
    <w:p w14:paraId="4B62F522" w14:textId="56FF6795" w:rsidR="00B91A28" w:rsidRPr="00F20CFA" w:rsidRDefault="00B91A28" w:rsidP="00B91A28">
      <w:pPr>
        <w:spacing w:before="100" w:beforeAutospacing="1" w:after="100" w:afterAutospacing="1" w:line="360" w:lineRule="auto"/>
        <w:jc w:val="both"/>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lang w:eastAsia="en-IN" w:bidi="hi-IN"/>
        </w:rPr>
        <w:t>Higher Education Status of Uttarakhand and Its Disadvantaged Groups</w:t>
      </w:r>
    </w:p>
    <w:p w14:paraId="2E62F4B1" w14:textId="77777777" w:rsidR="00B91A28" w:rsidRPr="00F20CFA" w:rsidRDefault="00B91A28" w:rsidP="002536A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The higher education landscape in Uttarakhand, particularly for disadvantaged groups such as Scheduled Castes (SC), Scheduled Tribes (ST), and Other Backward Classes (OBC), reveals gradual progress in enrollment trends from 2017-18 to 2022-23. However, disparities in gender representation and overall participation among these groups remain a concern.</w:t>
      </w:r>
    </w:p>
    <w:p w14:paraId="2551EDE3" w14:textId="64F7EF54" w:rsidR="002E2264" w:rsidRDefault="002E2264" w:rsidP="002E2264">
      <w:pPr>
        <w:spacing w:before="100" w:beforeAutospacing="1" w:after="100" w:afterAutospacing="1" w:line="360" w:lineRule="auto"/>
        <w:ind w:firstLine="720"/>
        <w:jc w:val="both"/>
        <w:rPr>
          <w:rFonts w:ascii="Times New Roman" w:hAnsi="Times New Roman" w:cs="Times New Roman"/>
          <w:sz w:val="24"/>
          <w:szCs w:val="24"/>
        </w:rPr>
      </w:pPr>
      <w:r w:rsidRPr="003C2317">
        <w:rPr>
          <w:rFonts w:ascii="Times New Roman" w:hAnsi="Times New Roman" w:cs="Times New Roman"/>
          <w:sz w:val="24"/>
          <w:szCs w:val="24"/>
        </w:rPr>
        <w:t xml:space="preserve">Total higher education enrollment in Uttarakhand remained stable, </w:t>
      </w:r>
      <w:r w:rsidR="00754C45" w:rsidRPr="00754C45">
        <w:rPr>
          <w:rFonts w:ascii="Times New Roman" w:hAnsi="Times New Roman" w:cs="Times New Roman"/>
          <w:sz w:val="24"/>
          <w:szCs w:val="24"/>
        </w:rPr>
        <w:t>As shown in Table 2, the total higher education enrollment slightly decreased from 106,267 in 2017–18 to 104,286 in 2022–23, with girls consistently outnumbering boys. Enrollment of Scheduled Caste (SC) students increased from 20,525 to 21,671, with girls surpassing boys, indicating progress toward gender parity.</w:t>
      </w:r>
      <w:r w:rsidRPr="003C2317">
        <w:rPr>
          <w:rFonts w:ascii="Times New Roman" w:hAnsi="Times New Roman" w:cs="Times New Roman"/>
          <w:sz w:val="24"/>
          <w:szCs w:val="24"/>
        </w:rPr>
        <w:t xml:space="preserve"> Scheduled Tribe (ST) enrollment remained low with slight increases, but ST boys lagged behind girls. Other Backward Classes (OBC) enrollment was stable. Despite gender progress, challenges persist in increasing ST participation and addressing disparities among disadvantaged groups.</w:t>
      </w:r>
    </w:p>
    <w:p w14:paraId="531FF129" w14:textId="10C22661" w:rsidR="00B91A28" w:rsidRPr="00F20CFA" w:rsidRDefault="00B91A28" w:rsidP="002E2264">
      <w:pPr>
        <w:spacing w:before="100" w:beforeAutospacing="1" w:after="100" w:afterAutospacing="1" w:line="360" w:lineRule="auto"/>
        <w:jc w:val="center"/>
        <w:rPr>
          <w:rFonts w:ascii="Times New Roman" w:eastAsia="Times New Roman" w:hAnsi="Times New Roman" w:cs="Times New Roman"/>
          <w:b/>
          <w:sz w:val="24"/>
          <w:szCs w:val="24"/>
          <w:lang w:eastAsia="en-IN" w:bidi="hi-IN"/>
        </w:rPr>
      </w:pPr>
      <w:r w:rsidRPr="00F20CFA">
        <w:rPr>
          <w:rFonts w:ascii="Times New Roman" w:eastAsia="Times New Roman" w:hAnsi="Times New Roman" w:cs="Times New Roman"/>
          <w:b/>
          <w:sz w:val="24"/>
          <w:szCs w:val="24"/>
          <w:lang w:eastAsia="en-IN" w:bidi="hi-IN"/>
        </w:rPr>
        <w:t xml:space="preserve">Table 2: </w:t>
      </w:r>
      <w:r w:rsidRPr="00F20CFA">
        <w:rPr>
          <w:rFonts w:ascii="Times New Roman" w:eastAsia="Times New Roman" w:hAnsi="Times New Roman" w:cs="Times New Roman"/>
          <w:b/>
          <w:sz w:val="24"/>
          <w:szCs w:val="24"/>
        </w:rPr>
        <w:t>Number of Students in Higher Education Uttarakhand</w:t>
      </w:r>
    </w:p>
    <w:tbl>
      <w:tblPr>
        <w:tblW w:w="9360" w:type="dxa"/>
        <w:tblInd w:w="108" w:type="dxa"/>
        <w:tblLook w:val="04A0" w:firstRow="1" w:lastRow="0" w:firstColumn="1" w:lastColumn="0" w:noHBand="0" w:noVBand="1"/>
      </w:tblPr>
      <w:tblGrid>
        <w:gridCol w:w="1040"/>
        <w:gridCol w:w="893"/>
        <w:gridCol w:w="893"/>
        <w:gridCol w:w="1063"/>
        <w:gridCol w:w="881"/>
        <w:gridCol w:w="810"/>
        <w:gridCol w:w="900"/>
        <w:gridCol w:w="900"/>
        <w:gridCol w:w="990"/>
        <w:gridCol w:w="990"/>
      </w:tblGrid>
      <w:tr w:rsidR="002E2264" w:rsidRPr="00F20CFA" w14:paraId="79C20232" w14:textId="77777777" w:rsidTr="002E2264">
        <w:trPr>
          <w:trHeight w:val="348"/>
        </w:trPr>
        <w:tc>
          <w:tcPr>
            <w:tcW w:w="1040" w:type="dxa"/>
            <w:vMerge w:val="restart"/>
            <w:tcBorders>
              <w:top w:val="single" w:sz="4" w:space="0" w:color="auto"/>
              <w:left w:val="single" w:sz="4" w:space="0" w:color="auto"/>
              <w:right w:val="single" w:sz="4" w:space="0" w:color="auto"/>
            </w:tcBorders>
            <w:noWrap/>
            <w:vAlign w:val="center"/>
            <w:hideMark/>
          </w:tcPr>
          <w:p w14:paraId="0B73879E"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 </w:t>
            </w:r>
            <w:r>
              <w:rPr>
                <w:rFonts w:ascii="Times New Roman" w:eastAsia="Times New Roman" w:hAnsi="Times New Roman" w:cs="Times New Roman"/>
                <w:color w:val="000000"/>
                <w:sz w:val="24"/>
                <w:szCs w:val="24"/>
                <w:lang w:eastAsia="en-IN" w:bidi="hi-IN"/>
              </w:rPr>
              <w:t>Session</w:t>
            </w:r>
          </w:p>
        </w:tc>
        <w:tc>
          <w:tcPr>
            <w:tcW w:w="2849" w:type="dxa"/>
            <w:gridSpan w:val="3"/>
            <w:tcBorders>
              <w:top w:val="single" w:sz="4" w:space="0" w:color="auto"/>
              <w:left w:val="nil"/>
              <w:bottom w:val="single" w:sz="4" w:space="0" w:color="auto"/>
              <w:right w:val="single" w:sz="4" w:space="0" w:color="000000"/>
            </w:tcBorders>
            <w:noWrap/>
            <w:vAlign w:val="center"/>
            <w:hideMark/>
          </w:tcPr>
          <w:p w14:paraId="6A266414"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 xml:space="preserve">Total Students </w:t>
            </w:r>
          </w:p>
        </w:tc>
        <w:tc>
          <w:tcPr>
            <w:tcW w:w="1691" w:type="dxa"/>
            <w:gridSpan w:val="2"/>
            <w:tcBorders>
              <w:top w:val="single" w:sz="4" w:space="0" w:color="auto"/>
              <w:left w:val="nil"/>
              <w:bottom w:val="single" w:sz="4" w:space="0" w:color="auto"/>
              <w:right w:val="single" w:sz="4" w:space="0" w:color="000000"/>
            </w:tcBorders>
            <w:noWrap/>
            <w:vAlign w:val="center"/>
            <w:hideMark/>
          </w:tcPr>
          <w:p w14:paraId="5DDA4F7F"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SC</w:t>
            </w:r>
          </w:p>
        </w:tc>
        <w:tc>
          <w:tcPr>
            <w:tcW w:w="1800" w:type="dxa"/>
            <w:gridSpan w:val="2"/>
            <w:tcBorders>
              <w:top w:val="single" w:sz="4" w:space="0" w:color="auto"/>
              <w:left w:val="nil"/>
              <w:bottom w:val="single" w:sz="4" w:space="0" w:color="auto"/>
              <w:right w:val="single" w:sz="4" w:space="0" w:color="000000"/>
            </w:tcBorders>
            <w:noWrap/>
            <w:vAlign w:val="center"/>
            <w:hideMark/>
          </w:tcPr>
          <w:p w14:paraId="1B289B1F"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ST</w:t>
            </w:r>
          </w:p>
        </w:tc>
        <w:tc>
          <w:tcPr>
            <w:tcW w:w="1980" w:type="dxa"/>
            <w:gridSpan w:val="2"/>
            <w:tcBorders>
              <w:top w:val="single" w:sz="4" w:space="0" w:color="auto"/>
              <w:left w:val="nil"/>
              <w:bottom w:val="single" w:sz="4" w:space="0" w:color="auto"/>
              <w:right w:val="single" w:sz="4" w:space="0" w:color="000000"/>
            </w:tcBorders>
            <w:noWrap/>
            <w:vAlign w:val="center"/>
            <w:hideMark/>
          </w:tcPr>
          <w:p w14:paraId="7FD3C1E2"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OBC</w:t>
            </w:r>
          </w:p>
        </w:tc>
      </w:tr>
      <w:tr w:rsidR="002E2264" w:rsidRPr="00F20CFA" w14:paraId="5FFA0EB3" w14:textId="77777777" w:rsidTr="002E2264">
        <w:trPr>
          <w:trHeight w:val="348"/>
        </w:trPr>
        <w:tc>
          <w:tcPr>
            <w:tcW w:w="1040" w:type="dxa"/>
            <w:vMerge/>
            <w:tcBorders>
              <w:left w:val="single" w:sz="4" w:space="0" w:color="auto"/>
              <w:bottom w:val="single" w:sz="4" w:space="0" w:color="auto"/>
              <w:right w:val="single" w:sz="4" w:space="0" w:color="auto"/>
            </w:tcBorders>
            <w:noWrap/>
            <w:vAlign w:val="center"/>
            <w:hideMark/>
          </w:tcPr>
          <w:p w14:paraId="22DB2530"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p>
        </w:tc>
        <w:tc>
          <w:tcPr>
            <w:tcW w:w="893" w:type="dxa"/>
            <w:tcBorders>
              <w:top w:val="nil"/>
              <w:left w:val="nil"/>
              <w:bottom w:val="single" w:sz="4" w:space="0" w:color="auto"/>
              <w:right w:val="single" w:sz="4" w:space="0" w:color="auto"/>
            </w:tcBorders>
            <w:noWrap/>
            <w:vAlign w:val="center"/>
            <w:hideMark/>
          </w:tcPr>
          <w:p w14:paraId="4C2E6101"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893" w:type="dxa"/>
            <w:tcBorders>
              <w:top w:val="nil"/>
              <w:left w:val="nil"/>
              <w:bottom w:val="single" w:sz="4" w:space="0" w:color="auto"/>
              <w:right w:val="single" w:sz="4" w:space="0" w:color="auto"/>
            </w:tcBorders>
            <w:noWrap/>
            <w:vAlign w:val="center"/>
            <w:hideMark/>
          </w:tcPr>
          <w:p w14:paraId="2A4C308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1063" w:type="dxa"/>
            <w:tcBorders>
              <w:top w:val="nil"/>
              <w:left w:val="nil"/>
              <w:bottom w:val="single" w:sz="4" w:space="0" w:color="auto"/>
              <w:right w:val="single" w:sz="4" w:space="0" w:color="auto"/>
            </w:tcBorders>
            <w:noWrap/>
            <w:vAlign w:val="center"/>
            <w:hideMark/>
          </w:tcPr>
          <w:p w14:paraId="47EEFB6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Total</w:t>
            </w:r>
          </w:p>
        </w:tc>
        <w:tc>
          <w:tcPr>
            <w:tcW w:w="881" w:type="dxa"/>
            <w:tcBorders>
              <w:top w:val="nil"/>
              <w:left w:val="nil"/>
              <w:bottom w:val="single" w:sz="4" w:space="0" w:color="auto"/>
              <w:right w:val="single" w:sz="4" w:space="0" w:color="auto"/>
            </w:tcBorders>
            <w:noWrap/>
            <w:vAlign w:val="center"/>
            <w:hideMark/>
          </w:tcPr>
          <w:p w14:paraId="3630172E"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810" w:type="dxa"/>
            <w:tcBorders>
              <w:top w:val="nil"/>
              <w:left w:val="nil"/>
              <w:bottom w:val="single" w:sz="4" w:space="0" w:color="auto"/>
              <w:right w:val="single" w:sz="4" w:space="0" w:color="auto"/>
            </w:tcBorders>
            <w:noWrap/>
            <w:vAlign w:val="center"/>
            <w:hideMark/>
          </w:tcPr>
          <w:p w14:paraId="6DF61B59"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900" w:type="dxa"/>
            <w:tcBorders>
              <w:top w:val="nil"/>
              <w:left w:val="nil"/>
              <w:bottom w:val="single" w:sz="4" w:space="0" w:color="auto"/>
              <w:right w:val="single" w:sz="4" w:space="0" w:color="auto"/>
            </w:tcBorders>
            <w:noWrap/>
            <w:vAlign w:val="center"/>
            <w:hideMark/>
          </w:tcPr>
          <w:p w14:paraId="158404C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900" w:type="dxa"/>
            <w:tcBorders>
              <w:top w:val="nil"/>
              <w:left w:val="nil"/>
              <w:bottom w:val="single" w:sz="4" w:space="0" w:color="auto"/>
              <w:right w:val="single" w:sz="4" w:space="0" w:color="auto"/>
            </w:tcBorders>
            <w:noWrap/>
            <w:vAlign w:val="center"/>
            <w:hideMark/>
          </w:tcPr>
          <w:p w14:paraId="04B8A31C"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990" w:type="dxa"/>
            <w:tcBorders>
              <w:top w:val="nil"/>
              <w:left w:val="nil"/>
              <w:bottom w:val="single" w:sz="4" w:space="0" w:color="auto"/>
              <w:right w:val="single" w:sz="4" w:space="0" w:color="auto"/>
            </w:tcBorders>
            <w:noWrap/>
            <w:vAlign w:val="center"/>
            <w:hideMark/>
          </w:tcPr>
          <w:p w14:paraId="3A5627F6"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990" w:type="dxa"/>
            <w:tcBorders>
              <w:top w:val="nil"/>
              <w:left w:val="nil"/>
              <w:bottom w:val="single" w:sz="4" w:space="0" w:color="auto"/>
              <w:right w:val="single" w:sz="4" w:space="0" w:color="auto"/>
            </w:tcBorders>
            <w:noWrap/>
            <w:vAlign w:val="center"/>
            <w:hideMark/>
          </w:tcPr>
          <w:p w14:paraId="1647EA74"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r>
      <w:tr w:rsidR="00B91A28" w:rsidRPr="00F20CFA" w14:paraId="01C48A70"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1712C97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lastRenderedPageBreak/>
              <w:t>2017-18</w:t>
            </w:r>
          </w:p>
        </w:tc>
        <w:tc>
          <w:tcPr>
            <w:tcW w:w="893" w:type="dxa"/>
            <w:tcBorders>
              <w:top w:val="nil"/>
              <w:left w:val="nil"/>
              <w:bottom w:val="single" w:sz="4" w:space="0" w:color="auto"/>
              <w:right w:val="single" w:sz="4" w:space="0" w:color="auto"/>
            </w:tcBorders>
            <w:noWrap/>
            <w:vAlign w:val="center"/>
            <w:hideMark/>
          </w:tcPr>
          <w:p w14:paraId="46C784F1"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66462</w:t>
            </w:r>
          </w:p>
        </w:tc>
        <w:tc>
          <w:tcPr>
            <w:tcW w:w="893" w:type="dxa"/>
            <w:tcBorders>
              <w:top w:val="nil"/>
              <w:left w:val="nil"/>
              <w:bottom w:val="single" w:sz="4" w:space="0" w:color="auto"/>
              <w:right w:val="single" w:sz="4" w:space="0" w:color="auto"/>
            </w:tcBorders>
            <w:noWrap/>
            <w:vAlign w:val="center"/>
            <w:hideMark/>
          </w:tcPr>
          <w:p w14:paraId="6F43D98E"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39805</w:t>
            </w:r>
          </w:p>
        </w:tc>
        <w:tc>
          <w:tcPr>
            <w:tcW w:w="1063" w:type="dxa"/>
            <w:tcBorders>
              <w:top w:val="nil"/>
              <w:left w:val="nil"/>
              <w:bottom w:val="single" w:sz="4" w:space="0" w:color="auto"/>
              <w:right w:val="single" w:sz="4" w:space="0" w:color="auto"/>
            </w:tcBorders>
            <w:noWrap/>
            <w:vAlign w:val="center"/>
            <w:hideMark/>
          </w:tcPr>
          <w:p w14:paraId="18FE0BC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106267</w:t>
            </w:r>
          </w:p>
        </w:tc>
        <w:tc>
          <w:tcPr>
            <w:tcW w:w="881" w:type="dxa"/>
            <w:tcBorders>
              <w:top w:val="nil"/>
              <w:left w:val="nil"/>
              <w:bottom w:val="single" w:sz="4" w:space="0" w:color="auto"/>
              <w:right w:val="single" w:sz="4" w:space="0" w:color="auto"/>
            </w:tcBorders>
            <w:noWrap/>
            <w:vAlign w:val="center"/>
            <w:hideMark/>
          </w:tcPr>
          <w:p w14:paraId="6516C06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12189</w:t>
            </w:r>
          </w:p>
        </w:tc>
        <w:tc>
          <w:tcPr>
            <w:tcW w:w="810" w:type="dxa"/>
            <w:tcBorders>
              <w:top w:val="nil"/>
              <w:left w:val="nil"/>
              <w:bottom w:val="single" w:sz="4" w:space="0" w:color="auto"/>
              <w:right w:val="single" w:sz="4" w:space="0" w:color="auto"/>
            </w:tcBorders>
            <w:shd w:val="clear" w:color="000000" w:fill="FFFFFF"/>
            <w:noWrap/>
            <w:vAlign w:val="center"/>
            <w:hideMark/>
          </w:tcPr>
          <w:p w14:paraId="34E0644C" w14:textId="77777777" w:rsidR="00B91A28" w:rsidRPr="00F20CFA" w:rsidRDefault="00B91A28" w:rsidP="00157140">
            <w:pPr>
              <w:spacing w:after="0" w:line="240" w:lineRule="auto"/>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8336</w:t>
            </w:r>
          </w:p>
        </w:tc>
        <w:tc>
          <w:tcPr>
            <w:tcW w:w="900" w:type="dxa"/>
            <w:tcBorders>
              <w:top w:val="nil"/>
              <w:left w:val="nil"/>
              <w:bottom w:val="single" w:sz="4" w:space="0" w:color="auto"/>
              <w:right w:val="single" w:sz="4" w:space="0" w:color="auto"/>
            </w:tcBorders>
            <w:noWrap/>
            <w:vAlign w:val="center"/>
            <w:hideMark/>
          </w:tcPr>
          <w:p w14:paraId="1F747D8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2967</w:t>
            </w:r>
          </w:p>
        </w:tc>
        <w:tc>
          <w:tcPr>
            <w:tcW w:w="900" w:type="dxa"/>
            <w:tcBorders>
              <w:top w:val="nil"/>
              <w:left w:val="nil"/>
              <w:bottom w:val="single" w:sz="4" w:space="0" w:color="auto"/>
              <w:right w:val="single" w:sz="4" w:space="0" w:color="auto"/>
            </w:tcBorders>
            <w:noWrap/>
            <w:vAlign w:val="center"/>
            <w:hideMark/>
          </w:tcPr>
          <w:p w14:paraId="53001CD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1575</w:t>
            </w:r>
          </w:p>
        </w:tc>
        <w:tc>
          <w:tcPr>
            <w:tcW w:w="990" w:type="dxa"/>
            <w:tcBorders>
              <w:top w:val="nil"/>
              <w:left w:val="nil"/>
              <w:bottom w:val="single" w:sz="4" w:space="0" w:color="auto"/>
              <w:right w:val="single" w:sz="4" w:space="0" w:color="auto"/>
            </w:tcBorders>
            <w:noWrap/>
            <w:vAlign w:val="center"/>
            <w:hideMark/>
          </w:tcPr>
          <w:p w14:paraId="465FA04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9680</w:t>
            </w:r>
          </w:p>
        </w:tc>
        <w:tc>
          <w:tcPr>
            <w:tcW w:w="990" w:type="dxa"/>
            <w:tcBorders>
              <w:top w:val="nil"/>
              <w:left w:val="nil"/>
              <w:bottom w:val="single" w:sz="4" w:space="0" w:color="auto"/>
              <w:right w:val="single" w:sz="4" w:space="0" w:color="auto"/>
            </w:tcBorders>
            <w:noWrap/>
            <w:vAlign w:val="center"/>
            <w:hideMark/>
          </w:tcPr>
          <w:p w14:paraId="5D9394E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6039</w:t>
            </w:r>
          </w:p>
        </w:tc>
      </w:tr>
      <w:tr w:rsidR="00B91A28" w:rsidRPr="00F20CFA" w14:paraId="029C5776"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6BFF8B5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2018-19</w:t>
            </w:r>
          </w:p>
        </w:tc>
        <w:tc>
          <w:tcPr>
            <w:tcW w:w="893" w:type="dxa"/>
            <w:tcBorders>
              <w:top w:val="nil"/>
              <w:left w:val="nil"/>
              <w:bottom w:val="single" w:sz="4" w:space="0" w:color="auto"/>
              <w:right w:val="single" w:sz="4" w:space="0" w:color="auto"/>
            </w:tcBorders>
            <w:noWrap/>
            <w:vAlign w:val="center"/>
            <w:hideMark/>
          </w:tcPr>
          <w:p w14:paraId="4592036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64356</w:t>
            </w:r>
          </w:p>
        </w:tc>
        <w:tc>
          <w:tcPr>
            <w:tcW w:w="893" w:type="dxa"/>
            <w:tcBorders>
              <w:top w:val="nil"/>
              <w:left w:val="nil"/>
              <w:bottom w:val="single" w:sz="4" w:space="0" w:color="auto"/>
              <w:right w:val="single" w:sz="4" w:space="0" w:color="auto"/>
            </w:tcBorders>
            <w:noWrap/>
            <w:vAlign w:val="center"/>
            <w:hideMark/>
          </w:tcPr>
          <w:p w14:paraId="0D99024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37425</w:t>
            </w:r>
          </w:p>
        </w:tc>
        <w:tc>
          <w:tcPr>
            <w:tcW w:w="1063" w:type="dxa"/>
            <w:tcBorders>
              <w:top w:val="nil"/>
              <w:left w:val="nil"/>
              <w:bottom w:val="single" w:sz="4" w:space="0" w:color="auto"/>
              <w:right w:val="single" w:sz="4" w:space="0" w:color="auto"/>
            </w:tcBorders>
            <w:noWrap/>
            <w:vAlign w:val="center"/>
            <w:hideMark/>
          </w:tcPr>
          <w:p w14:paraId="41F9F7D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101781</w:t>
            </w:r>
          </w:p>
        </w:tc>
        <w:tc>
          <w:tcPr>
            <w:tcW w:w="881" w:type="dxa"/>
            <w:tcBorders>
              <w:top w:val="nil"/>
              <w:left w:val="nil"/>
              <w:bottom w:val="single" w:sz="4" w:space="0" w:color="auto"/>
              <w:right w:val="single" w:sz="4" w:space="0" w:color="auto"/>
            </w:tcBorders>
            <w:noWrap/>
            <w:vAlign w:val="center"/>
            <w:hideMark/>
          </w:tcPr>
          <w:p w14:paraId="2DA527CE"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11701</w:t>
            </w:r>
          </w:p>
        </w:tc>
        <w:tc>
          <w:tcPr>
            <w:tcW w:w="810" w:type="dxa"/>
            <w:tcBorders>
              <w:top w:val="nil"/>
              <w:left w:val="nil"/>
              <w:bottom w:val="single" w:sz="4" w:space="0" w:color="auto"/>
              <w:right w:val="single" w:sz="4" w:space="0" w:color="auto"/>
            </w:tcBorders>
            <w:shd w:val="clear" w:color="000000" w:fill="FFFFFF"/>
            <w:noWrap/>
            <w:vAlign w:val="center"/>
            <w:hideMark/>
          </w:tcPr>
          <w:p w14:paraId="33F4CE9F" w14:textId="77777777" w:rsidR="00B91A28" w:rsidRPr="00F20CFA" w:rsidRDefault="00B91A28" w:rsidP="00157140">
            <w:pPr>
              <w:spacing w:after="0" w:line="240" w:lineRule="auto"/>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7841</w:t>
            </w:r>
          </w:p>
        </w:tc>
        <w:tc>
          <w:tcPr>
            <w:tcW w:w="900" w:type="dxa"/>
            <w:tcBorders>
              <w:top w:val="nil"/>
              <w:left w:val="nil"/>
              <w:bottom w:val="single" w:sz="4" w:space="0" w:color="auto"/>
              <w:right w:val="single" w:sz="4" w:space="0" w:color="auto"/>
            </w:tcBorders>
            <w:noWrap/>
            <w:vAlign w:val="center"/>
            <w:hideMark/>
          </w:tcPr>
          <w:p w14:paraId="51A779DC"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1800</w:t>
            </w:r>
          </w:p>
        </w:tc>
        <w:tc>
          <w:tcPr>
            <w:tcW w:w="900" w:type="dxa"/>
            <w:tcBorders>
              <w:top w:val="nil"/>
              <w:left w:val="nil"/>
              <w:bottom w:val="single" w:sz="4" w:space="0" w:color="auto"/>
              <w:right w:val="single" w:sz="4" w:space="0" w:color="auto"/>
            </w:tcBorders>
            <w:noWrap/>
            <w:vAlign w:val="center"/>
            <w:hideMark/>
          </w:tcPr>
          <w:p w14:paraId="20FACD6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896</w:t>
            </w:r>
          </w:p>
        </w:tc>
        <w:tc>
          <w:tcPr>
            <w:tcW w:w="990" w:type="dxa"/>
            <w:tcBorders>
              <w:top w:val="nil"/>
              <w:left w:val="nil"/>
              <w:bottom w:val="single" w:sz="4" w:space="0" w:color="auto"/>
              <w:right w:val="single" w:sz="4" w:space="0" w:color="auto"/>
            </w:tcBorders>
            <w:noWrap/>
            <w:vAlign w:val="center"/>
            <w:hideMark/>
          </w:tcPr>
          <w:p w14:paraId="50A7CD0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9604</w:t>
            </w:r>
          </w:p>
        </w:tc>
        <w:tc>
          <w:tcPr>
            <w:tcW w:w="990" w:type="dxa"/>
            <w:tcBorders>
              <w:top w:val="nil"/>
              <w:left w:val="nil"/>
              <w:bottom w:val="single" w:sz="4" w:space="0" w:color="auto"/>
              <w:right w:val="single" w:sz="4" w:space="0" w:color="auto"/>
            </w:tcBorders>
            <w:noWrap/>
            <w:vAlign w:val="center"/>
            <w:hideMark/>
          </w:tcPr>
          <w:p w14:paraId="5070633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5398</w:t>
            </w:r>
          </w:p>
        </w:tc>
      </w:tr>
      <w:tr w:rsidR="00B91A28" w:rsidRPr="00F20CFA" w14:paraId="6E8FB352"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42D3E8B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2020-21</w:t>
            </w:r>
          </w:p>
        </w:tc>
        <w:tc>
          <w:tcPr>
            <w:tcW w:w="893" w:type="dxa"/>
            <w:tcBorders>
              <w:top w:val="nil"/>
              <w:left w:val="nil"/>
              <w:bottom w:val="single" w:sz="4" w:space="0" w:color="auto"/>
              <w:right w:val="single" w:sz="4" w:space="0" w:color="auto"/>
            </w:tcBorders>
            <w:noWrap/>
            <w:vAlign w:val="center"/>
            <w:hideMark/>
          </w:tcPr>
          <w:p w14:paraId="56946E3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66395</w:t>
            </w:r>
          </w:p>
        </w:tc>
        <w:tc>
          <w:tcPr>
            <w:tcW w:w="893" w:type="dxa"/>
            <w:tcBorders>
              <w:top w:val="nil"/>
              <w:left w:val="nil"/>
              <w:bottom w:val="single" w:sz="4" w:space="0" w:color="auto"/>
              <w:right w:val="single" w:sz="4" w:space="0" w:color="auto"/>
            </w:tcBorders>
            <w:noWrap/>
            <w:vAlign w:val="center"/>
            <w:hideMark/>
          </w:tcPr>
          <w:p w14:paraId="1754C60A"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35689</w:t>
            </w:r>
          </w:p>
        </w:tc>
        <w:tc>
          <w:tcPr>
            <w:tcW w:w="1063" w:type="dxa"/>
            <w:tcBorders>
              <w:top w:val="nil"/>
              <w:left w:val="nil"/>
              <w:bottom w:val="single" w:sz="4" w:space="0" w:color="auto"/>
              <w:right w:val="single" w:sz="4" w:space="0" w:color="auto"/>
            </w:tcBorders>
            <w:noWrap/>
            <w:vAlign w:val="center"/>
            <w:hideMark/>
          </w:tcPr>
          <w:p w14:paraId="2A3E3ED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102084</w:t>
            </w:r>
          </w:p>
        </w:tc>
        <w:tc>
          <w:tcPr>
            <w:tcW w:w="881" w:type="dxa"/>
            <w:tcBorders>
              <w:top w:val="nil"/>
              <w:left w:val="nil"/>
              <w:bottom w:val="single" w:sz="4" w:space="0" w:color="auto"/>
              <w:right w:val="single" w:sz="4" w:space="0" w:color="auto"/>
            </w:tcBorders>
            <w:noWrap/>
            <w:vAlign w:val="center"/>
            <w:hideMark/>
          </w:tcPr>
          <w:p w14:paraId="30FE2D81"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12470</w:t>
            </w:r>
          </w:p>
        </w:tc>
        <w:tc>
          <w:tcPr>
            <w:tcW w:w="810" w:type="dxa"/>
            <w:tcBorders>
              <w:top w:val="nil"/>
              <w:left w:val="nil"/>
              <w:bottom w:val="nil"/>
              <w:right w:val="single" w:sz="4" w:space="0" w:color="auto"/>
            </w:tcBorders>
            <w:noWrap/>
            <w:vAlign w:val="center"/>
            <w:hideMark/>
          </w:tcPr>
          <w:p w14:paraId="22246E7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7503</w:t>
            </w:r>
          </w:p>
        </w:tc>
        <w:tc>
          <w:tcPr>
            <w:tcW w:w="900" w:type="dxa"/>
            <w:tcBorders>
              <w:top w:val="nil"/>
              <w:left w:val="nil"/>
              <w:bottom w:val="single" w:sz="4" w:space="0" w:color="auto"/>
              <w:right w:val="single" w:sz="4" w:space="0" w:color="auto"/>
            </w:tcBorders>
            <w:noWrap/>
            <w:vAlign w:val="center"/>
            <w:hideMark/>
          </w:tcPr>
          <w:p w14:paraId="6AAE21A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2049</w:t>
            </w:r>
          </w:p>
        </w:tc>
        <w:tc>
          <w:tcPr>
            <w:tcW w:w="900" w:type="dxa"/>
            <w:tcBorders>
              <w:top w:val="nil"/>
              <w:left w:val="nil"/>
              <w:bottom w:val="single" w:sz="4" w:space="0" w:color="auto"/>
              <w:right w:val="single" w:sz="4" w:space="0" w:color="auto"/>
            </w:tcBorders>
            <w:noWrap/>
            <w:vAlign w:val="center"/>
            <w:hideMark/>
          </w:tcPr>
          <w:p w14:paraId="354D980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1037</w:t>
            </w:r>
          </w:p>
        </w:tc>
        <w:tc>
          <w:tcPr>
            <w:tcW w:w="990" w:type="dxa"/>
            <w:tcBorders>
              <w:top w:val="nil"/>
              <w:left w:val="nil"/>
              <w:bottom w:val="single" w:sz="4" w:space="0" w:color="auto"/>
              <w:right w:val="single" w:sz="4" w:space="0" w:color="auto"/>
            </w:tcBorders>
            <w:noWrap/>
            <w:vAlign w:val="center"/>
            <w:hideMark/>
          </w:tcPr>
          <w:p w14:paraId="7CCEEDC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10386</w:t>
            </w:r>
          </w:p>
        </w:tc>
        <w:tc>
          <w:tcPr>
            <w:tcW w:w="990" w:type="dxa"/>
            <w:tcBorders>
              <w:top w:val="nil"/>
              <w:left w:val="nil"/>
              <w:bottom w:val="single" w:sz="4" w:space="0" w:color="auto"/>
              <w:right w:val="single" w:sz="4" w:space="0" w:color="auto"/>
            </w:tcBorders>
            <w:noWrap/>
            <w:vAlign w:val="center"/>
            <w:hideMark/>
          </w:tcPr>
          <w:p w14:paraId="2985014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5533</w:t>
            </w:r>
          </w:p>
        </w:tc>
      </w:tr>
      <w:tr w:rsidR="00B91A28" w:rsidRPr="00F20CFA" w14:paraId="16118D42"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19DF548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2021-22</w:t>
            </w:r>
          </w:p>
        </w:tc>
        <w:tc>
          <w:tcPr>
            <w:tcW w:w="893" w:type="dxa"/>
            <w:tcBorders>
              <w:top w:val="nil"/>
              <w:left w:val="nil"/>
              <w:bottom w:val="single" w:sz="4" w:space="0" w:color="auto"/>
              <w:right w:val="single" w:sz="4" w:space="0" w:color="auto"/>
            </w:tcBorders>
            <w:noWrap/>
            <w:vAlign w:val="center"/>
            <w:hideMark/>
          </w:tcPr>
          <w:p w14:paraId="27BA0C0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64963</w:t>
            </w:r>
          </w:p>
        </w:tc>
        <w:tc>
          <w:tcPr>
            <w:tcW w:w="893" w:type="dxa"/>
            <w:tcBorders>
              <w:top w:val="nil"/>
              <w:left w:val="nil"/>
              <w:bottom w:val="single" w:sz="4" w:space="0" w:color="auto"/>
              <w:right w:val="single" w:sz="4" w:space="0" w:color="auto"/>
            </w:tcBorders>
            <w:noWrap/>
            <w:vAlign w:val="center"/>
            <w:hideMark/>
          </w:tcPr>
          <w:p w14:paraId="276BDAE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37337</w:t>
            </w:r>
          </w:p>
        </w:tc>
        <w:tc>
          <w:tcPr>
            <w:tcW w:w="1063" w:type="dxa"/>
            <w:tcBorders>
              <w:top w:val="nil"/>
              <w:left w:val="nil"/>
              <w:bottom w:val="single" w:sz="4" w:space="0" w:color="auto"/>
              <w:right w:val="single" w:sz="4" w:space="0" w:color="auto"/>
            </w:tcBorders>
            <w:noWrap/>
            <w:vAlign w:val="center"/>
            <w:hideMark/>
          </w:tcPr>
          <w:p w14:paraId="6FB9CDD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102300</w:t>
            </w:r>
          </w:p>
        </w:tc>
        <w:tc>
          <w:tcPr>
            <w:tcW w:w="881" w:type="dxa"/>
            <w:tcBorders>
              <w:top w:val="nil"/>
              <w:left w:val="nil"/>
              <w:bottom w:val="single" w:sz="4" w:space="0" w:color="auto"/>
              <w:right w:val="single" w:sz="4" w:space="0" w:color="auto"/>
            </w:tcBorders>
            <w:noWrap/>
            <w:vAlign w:val="center"/>
            <w:hideMark/>
          </w:tcPr>
          <w:p w14:paraId="461BCAD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13114</w:t>
            </w:r>
          </w:p>
        </w:tc>
        <w:tc>
          <w:tcPr>
            <w:tcW w:w="810" w:type="dxa"/>
            <w:tcBorders>
              <w:top w:val="single" w:sz="4" w:space="0" w:color="auto"/>
              <w:left w:val="nil"/>
              <w:bottom w:val="single" w:sz="4" w:space="0" w:color="auto"/>
              <w:right w:val="single" w:sz="4" w:space="0" w:color="auto"/>
            </w:tcBorders>
            <w:noWrap/>
            <w:vAlign w:val="center"/>
            <w:hideMark/>
          </w:tcPr>
          <w:p w14:paraId="33406F7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8137</w:t>
            </w:r>
          </w:p>
        </w:tc>
        <w:tc>
          <w:tcPr>
            <w:tcW w:w="900" w:type="dxa"/>
            <w:tcBorders>
              <w:top w:val="nil"/>
              <w:left w:val="nil"/>
              <w:bottom w:val="single" w:sz="4" w:space="0" w:color="auto"/>
              <w:right w:val="single" w:sz="4" w:space="0" w:color="auto"/>
            </w:tcBorders>
            <w:noWrap/>
            <w:vAlign w:val="center"/>
            <w:hideMark/>
          </w:tcPr>
          <w:p w14:paraId="4A021E1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1873</w:t>
            </w:r>
          </w:p>
        </w:tc>
        <w:tc>
          <w:tcPr>
            <w:tcW w:w="900" w:type="dxa"/>
            <w:tcBorders>
              <w:top w:val="nil"/>
              <w:left w:val="nil"/>
              <w:bottom w:val="single" w:sz="4" w:space="0" w:color="auto"/>
              <w:right w:val="single" w:sz="4" w:space="0" w:color="auto"/>
            </w:tcBorders>
            <w:noWrap/>
            <w:vAlign w:val="center"/>
            <w:hideMark/>
          </w:tcPr>
          <w:p w14:paraId="4E4A73F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1006</w:t>
            </w:r>
          </w:p>
        </w:tc>
        <w:tc>
          <w:tcPr>
            <w:tcW w:w="990" w:type="dxa"/>
            <w:tcBorders>
              <w:top w:val="nil"/>
              <w:left w:val="nil"/>
              <w:bottom w:val="single" w:sz="4" w:space="0" w:color="auto"/>
              <w:right w:val="single" w:sz="4" w:space="0" w:color="auto"/>
            </w:tcBorders>
            <w:noWrap/>
            <w:vAlign w:val="center"/>
            <w:hideMark/>
          </w:tcPr>
          <w:p w14:paraId="194E8E8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10061</w:t>
            </w:r>
          </w:p>
        </w:tc>
        <w:tc>
          <w:tcPr>
            <w:tcW w:w="990" w:type="dxa"/>
            <w:tcBorders>
              <w:top w:val="nil"/>
              <w:left w:val="nil"/>
              <w:bottom w:val="single" w:sz="4" w:space="0" w:color="auto"/>
              <w:right w:val="single" w:sz="4" w:space="0" w:color="auto"/>
            </w:tcBorders>
            <w:noWrap/>
            <w:vAlign w:val="center"/>
            <w:hideMark/>
          </w:tcPr>
          <w:p w14:paraId="75BE06A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5603</w:t>
            </w:r>
          </w:p>
        </w:tc>
      </w:tr>
      <w:tr w:rsidR="00B91A28" w:rsidRPr="00F20CFA" w14:paraId="5610F3DD"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3A64E22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2022-23</w:t>
            </w:r>
          </w:p>
        </w:tc>
        <w:tc>
          <w:tcPr>
            <w:tcW w:w="893" w:type="dxa"/>
            <w:tcBorders>
              <w:top w:val="nil"/>
              <w:left w:val="nil"/>
              <w:bottom w:val="single" w:sz="4" w:space="0" w:color="auto"/>
              <w:right w:val="single" w:sz="4" w:space="0" w:color="auto"/>
            </w:tcBorders>
            <w:noWrap/>
            <w:vAlign w:val="center"/>
            <w:hideMark/>
          </w:tcPr>
          <w:p w14:paraId="4B44254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66343</w:t>
            </w:r>
          </w:p>
        </w:tc>
        <w:tc>
          <w:tcPr>
            <w:tcW w:w="893" w:type="dxa"/>
            <w:tcBorders>
              <w:top w:val="nil"/>
              <w:left w:val="nil"/>
              <w:bottom w:val="single" w:sz="4" w:space="0" w:color="auto"/>
              <w:right w:val="single" w:sz="4" w:space="0" w:color="auto"/>
            </w:tcBorders>
            <w:noWrap/>
            <w:vAlign w:val="center"/>
            <w:hideMark/>
          </w:tcPr>
          <w:p w14:paraId="10577A27"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37943</w:t>
            </w:r>
          </w:p>
        </w:tc>
        <w:tc>
          <w:tcPr>
            <w:tcW w:w="1063" w:type="dxa"/>
            <w:tcBorders>
              <w:top w:val="nil"/>
              <w:left w:val="nil"/>
              <w:bottom w:val="single" w:sz="4" w:space="0" w:color="auto"/>
              <w:right w:val="single" w:sz="4" w:space="0" w:color="auto"/>
            </w:tcBorders>
            <w:noWrap/>
            <w:vAlign w:val="center"/>
            <w:hideMark/>
          </w:tcPr>
          <w:p w14:paraId="06F5DDB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104286</w:t>
            </w:r>
          </w:p>
        </w:tc>
        <w:tc>
          <w:tcPr>
            <w:tcW w:w="881" w:type="dxa"/>
            <w:tcBorders>
              <w:top w:val="nil"/>
              <w:left w:val="nil"/>
              <w:bottom w:val="single" w:sz="4" w:space="0" w:color="auto"/>
              <w:right w:val="single" w:sz="4" w:space="0" w:color="auto"/>
            </w:tcBorders>
            <w:noWrap/>
            <w:vAlign w:val="center"/>
            <w:hideMark/>
          </w:tcPr>
          <w:p w14:paraId="2147B47C"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13414</w:t>
            </w:r>
          </w:p>
        </w:tc>
        <w:tc>
          <w:tcPr>
            <w:tcW w:w="810" w:type="dxa"/>
            <w:tcBorders>
              <w:top w:val="nil"/>
              <w:left w:val="nil"/>
              <w:bottom w:val="single" w:sz="4" w:space="0" w:color="auto"/>
              <w:right w:val="single" w:sz="4" w:space="0" w:color="auto"/>
            </w:tcBorders>
            <w:noWrap/>
            <w:vAlign w:val="center"/>
            <w:hideMark/>
          </w:tcPr>
          <w:p w14:paraId="56E3CE5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8257</w:t>
            </w:r>
          </w:p>
        </w:tc>
        <w:tc>
          <w:tcPr>
            <w:tcW w:w="900" w:type="dxa"/>
            <w:tcBorders>
              <w:top w:val="nil"/>
              <w:left w:val="nil"/>
              <w:bottom w:val="single" w:sz="4" w:space="0" w:color="auto"/>
              <w:right w:val="single" w:sz="4" w:space="0" w:color="auto"/>
            </w:tcBorders>
            <w:noWrap/>
            <w:vAlign w:val="center"/>
            <w:hideMark/>
          </w:tcPr>
          <w:p w14:paraId="7C6EC80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1830</w:t>
            </w:r>
          </w:p>
        </w:tc>
        <w:tc>
          <w:tcPr>
            <w:tcW w:w="900" w:type="dxa"/>
            <w:tcBorders>
              <w:top w:val="nil"/>
              <w:left w:val="nil"/>
              <w:bottom w:val="single" w:sz="4" w:space="0" w:color="auto"/>
              <w:right w:val="single" w:sz="4" w:space="0" w:color="auto"/>
            </w:tcBorders>
            <w:noWrap/>
            <w:vAlign w:val="center"/>
            <w:hideMark/>
          </w:tcPr>
          <w:p w14:paraId="40FC7CC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999</w:t>
            </w:r>
          </w:p>
        </w:tc>
        <w:tc>
          <w:tcPr>
            <w:tcW w:w="990" w:type="dxa"/>
            <w:tcBorders>
              <w:top w:val="nil"/>
              <w:left w:val="nil"/>
              <w:bottom w:val="single" w:sz="4" w:space="0" w:color="auto"/>
              <w:right w:val="single" w:sz="4" w:space="0" w:color="auto"/>
            </w:tcBorders>
            <w:noWrap/>
            <w:vAlign w:val="center"/>
            <w:hideMark/>
          </w:tcPr>
          <w:p w14:paraId="314B95A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10188</w:t>
            </w:r>
          </w:p>
        </w:tc>
        <w:tc>
          <w:tcPr>
            <w:tcW w:w="990" w:type="dxa"/>
            <w:tcBorders>
              <w:top w:val="nil"/>
              <w:left w:val="nil"/>
              <w:bottom w:val="single" w:sz="4" w:space="0" w:color="auto"/>
              <w:right w:val="single" w:sz="4" w:space="0" w:color="auto"/>
            </w:tcBorders>
            <w:noWrap/>
            <w:vAlign w:val="center"/>
            <w:hideMark/>
          </w:tcPr>
          <w:p w14:paraId="3BB97D8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5672</w:t>
            </w:r>
          </w:p>
        </w:tc>
      </w:tr>
    </w:tbl>
    <w:p w14:paraId="636846FD" w14:textId="0946BD95" w:rsidR="00B91A28" w:rsidRPr="0055611A" w:rsidRDefault="00754C45" w:rsidP="00B91A28">
      <w:pPr>
        <w:jc w:val="both"/>
        <w:rPr>
          <w:rFonts w:ascii="Times New Roman" w:hAnsi="Times New Roman" w:cs="Times New Roman"/>
          <w:i/>
          <w:sz w:val="20"/>
          <w:szCs w:val="20"/>
        </w:rPr>
      </w:pPr>
      <w:r w:rsidRPr="0055611A">
        <w:rPr>
          <w:rFonts w:ascii="Times New Roman" w:hAnsi="Times New Roman" w:cs="Times New Roman"/>
          <w:i/>
          <w:sz w:val="20"/>
          <w:szCs w:val="20"/>
        </w:rPr>
        <w:t xml:space="preserve">  </w:t>
      </w:r>
      <w:r w:rsidR="00B91A28" w:rsidRPr="0055611A">
        <w:rPr>
          <w:rFonts w:ascii="Times New Roman" w:hAnsi="Times New Roman" w:cs="Times New Roman"/>
          <w:i/>
          <w:sz w:val="20"/>
          <w:szCs w:val="20"/>
        </w:rPr>
        <w:t>Source: Directorate of Higher Education Uttarakhand (2024)</w:t>
      </w:r>
    </w:p>
    <w:p w14:paraId="327852B8" w14:textId="6A2286C2" w:rsidR="00EF4020" w:rsidRPr="00F20CFA" w:rsidRDefault="00EF4020" w:rsidP="00EF4020">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F20CFA">
        <w:rPr>
          <w:rFonts w:ascii="Times New Roman" w:eastAsia="Times New Roman" w:hAnsi="Times New Roman" w:cs="Times New Roman"/>
          <w:b/>
          <w:bCs/>
          <w:sz w:val="24"/>
          <w:szCs w:val="24"/>
          <w:lang w:eastAsia="en-IN" w:bidi="hi-IN"/>
        </w:rPr>
        <w:t>Higher Education Status of Pithoragarh and Its Disadvantaged Groups</w:t>
      </w:r>
    </w:p>
    <w:p w14:paraId="4D0A2B85" w14:textId="77777777" w:rsidR="00EF4020" w:rsidRDefault="00EF4020" w:rsidP="00EF4020">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Focusing on the Pithoragarh district, the challenges become even more pronounced. Pithoragarh, with its difficult terrain and dispersed population, presents unique obstacles for students from disadvantaged groups. Educational facilities are often located far from students' homes, making access to quality education difficult. Students from SC, ST and OBC categories in this region experience higher dropout rates and lower enrollment compared to other parts of Uttarakhand. Contributing factors include inadequate infrastructure, financial constraints, and limited awareness about available educational opportunities, which exacerbate the disparities in higher education outcomes for these groups.</w:t>
      </w:r>
    </w:p>
    <w:p w14:paraId="31314D60" w14:textId="16A560F4" w:rsidR="00675114" w:rsidRDefault="00754C45" w:rsidP="00754C45">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 xml:space="preserve">            </w:t>
      </w:r>
      <w:r w:rsidRPr="00754C45">
        <w:rPr>
          <w:rFonts w:ascii="Times New Roman" w:hAnsi="Times New Roman" w:cs="Times New Roman"/>
          <w:color w:val="000000" w:themeColor="text1"/>
          <w:sz w:val="24"/>
          <w:szCs w:val="24"/>
        </w:rPr>
        <w:t>Student enrollment in higher education in Pithoragarh, Uttarakhand, showed a slight increase from 10,715 in 2017–18 to 10,730 in 2022–23, with girls consistently outnumbering boys, indicating progress in female participation. However, enrollment trends among disadvantaged groups reveal ongoing challenges. Scheduled Caste (SC) boys’ enrollment declined from 1,173 to 998, while SC girls’ enrollment decreased slightly from 1,868 to 1,691. Scheduled Tribe (ST) enrollment remained consistently low, with ST boys decreasing from 153 to 127 and ST girls from 248 to 179, highlighting the need for targeted interventions. Other Backward Classes (OBC) boys’ enrollment dropped significantly from 880 to 636, whereas OBC girls’ enrollment remained relatively stable at around 1,083–1,085. Overall, combined ST and OBC enrollment declined, with boys decreasing from 1,033 to 763 and girls from 1,333 to 1,262, underscoring persistent gender and social disparities that require focused efforts to ensure equitable access (Refer Table 3).</w:t>
      </w:r>
    </w:p>
    <w:p w14:paraId="75FC90BD" w14:textId="77777777" w:rsidR="00675114" w:rsidRDefault="00675114" w:rsidP="002E2264">
      <w:pPr>
        <w:spacing w:before="100" w:beforeAutospacing="1" w:after="100" w:afterAutospacing="1" w:line="360" w:lineRule="auto"/>
        <w:jc w:val="center"/>
        <w:rPr>
          <w:rFonts w:ascii="Times New Roman" w:eastAsia="Times New Roman" w:hAnsi="Times New Roman" w:cs="Times New Roman"/>
          <w:b/>
          <w:sz w:val="24"/>
          <w:szCs w:val="24"/>
        </w:rPr>
      </w:pPr>
    </w:p>
    <w:p w14:paraId="65CE0D91" w14:textId="034711B0" w:rsidR="00EF4020" w:rsidRPr="00F20CFA" w:rsidRDefault="00EF4020" w:rsidP="002E2264">
      <w:pPr>
        <w:spacing w:before="100" w:beforeAutospacing="1" w:after="100" w:afterAutospacing="1" w:line="360" w:lineRule="auto"/>
        <w:jc w:val="center"/>
        <w:rPr>
          <w:rFonts w:ascii="Times New Roman" w:eastAsia="Times New Roman" w:hAnsi="Times New Roman" w:cs="Times New Roman"/>
          <w:b/>
          <w:sz w:val="24"/>
          <w:szCs w:val="24"/>
        </w:rPr>
      </w:pPr>
      <w:r w:rsidRPr="00F20CFA">
        <w:rPr>
          <w:rFonts w:ascii="Times New Roman" w:eastAsia="Times New Roman" w:hAnsi="Times New Roman" w:cs="Times New Roman"/>
          <w:b/>
          <w:sz w:val="24"/>
          <w:szCs w:val="24"/>
        </w:rPr>
        <w:t>Table 3: Number of Students in Higher Education Pithoragarh</w:t>
      </w:r>
    </w:p>
    <w:tbl>
      <w:tblPr>
        <w:tblpPr w:leftFromText="180" w:rightFromText="180" w:vertAnchor="text" w:tblpXSpec="center" w:tblpY="1"/>
        <w:tblOverlap w:val="never"/>
        <w:tblW w:w="9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3"/>
        <w:gridCol w:w="586"/>
        <w:gridCol w:w="586"/>
        <w:gridCol w:w="715"/>
        <w:gridCol w:w="540"/>
        <w:gridCol w:w="450"/>
        <w:gridCol w:w="720"/>
        <w:gridCol w:w="720"/>
        <w:gridCol w:w="433"/>
        <w:gridCol w:w="879"/>
        <w:gridCol w:w="879"/>
        <w:gridCol w:w="684"/>
        <w:gridCol w:w="782"/>
      </w:tblGrid>
      <w:tr w:rsidR="00EF4020" w:rsidRPr="00F20CFA" w14:paraId="0560109C" w14:textId="77777777" w:rsidTr="00303544">
        <w:trPr>
          <w:trHeight w:val="1151"/>
        </w:trPr>
        <w:tc>
          <w:tcPr>
            <w:tcW w:w="1183" w:type="dxa"/>
            <w:vMerge w:val="restart"/>
            <w:vAlign w:val="center"/>
          </w:tcPr>
          <w:p w14:paraId="2CEB56CF" w14:textId="77777777" w:rsidR="00EF4020" w:rsidRPr="00F20CFA" w:rsidRDefault="00EF4020" w:rsidP="00157140">
            <w:pPr>
              <w:pStyle w:val="TableParagraph"/>
              <w:spacing w:before="52" w:line="310" w:lineRule="atLeast"/>
              <w:ind w:left="256" w:right="7" w:hanging="207"/>
              <w:jc w:val="center"/>
              <w:rPr>
                <w:rFonts w:ascii="Times New Roman" w:hAnsi="Times New Roman" w:cs="Times New Roman"/>
                <w:sz w:val="24"/>
                <w:szCs w:val="24"/>
              </w:rPr>
            </w:pPr>
            <w:r w:rsidRPr="00F20CFA">
              <w:rPr>
                <w:rFonts w:ascii="Times New Roman" w:hAnsi="Times New Roman" w:cs="Times New Roman"/>
                <w:sz w:val="24"/>
                <w:szCs w:val="24"/>
              </w:rPr>
              <w:lastRenderedPageBreak/>
              <w:t>Categories/</w:t>
            </w:r>
            <w:r w:rsidRPr="00F20CFA">
              <w:rPr>
                <w:rFonts w:ascii="Times New Roman" w:hAnsi="Times New Roman" w:cs="Times New Roman"/>
                <w:spacing w:val="-53"/>
                <w:sz w:val="24"/>
                <w:szCs w:val="24"/>
              </w:rPr>
              <w:t xml:space="preserve"> </w:t>
            </w:r>
            <w:r w:rsidRPr="00F20CFA">
              <w:rPr>
                <w:rFonts w:ascii="Times New Roman" w:hAnsi="Times New Roman" w:cs="Times New Roman"/>
                <w:sz w:val="24"/>
                <w:szCs w:val="24"/>
              </w:rPr>
              <w:t>Session</w:t>
            </w:r>
          </w:p>
        </w:tc>
        <w:tc>
          <w:tcPr>
            <w:tcW w:w="1887" w:type="dxa"/>
            <w:gridSpan w:val="3"/>
            <w:vAlign w:val="center"/>
          </w:tcPr>
          <w:p w14:paraId="5B6E0296" w14:textId="77777777" w:rsidR="00EF4020" w:rsidRPr="00F20CFA" w:rsidRDefault="00EF4020" w:rsidP="00157140">
            <w:pPr>
              <w:pStyle w:val="TableParagraph"/>
              <w:spacing w:before="2" w:line="320" w:lineRule="exact"/>
              <w:ind w:left="486" w:right="0"/>
              <w:jc w:val="center"/>
              <w:rPr>
                <w:rFonts w:ascii="Times New Roman" w:hAnsi="Times New Roman" w:cs="Times New Roman"/>
                <w:sz w:val="24"/>
                <w:szCs w:val="24"/>
              </w:rPr>
            </w:pPr>
            <w:r w:rsidRPr="00F20CFA">
              <w:rPr>
                <w:rFonts w:ascii="Times New Roman" w:hAnsi="Times New Roman" w:cs="Times New Roman"/>
                <w:sz w:val="24"/>
                <w:szCs w:val="24"/>
              </w:rPr>
              <w:t>Overall Total Student</w:t>
            </w:r>
            <w:r w:rsidRPr="00F20CFA">
              <w:rPr>
                <w:rFonts w:ascii="Times New Roman" w:hAnsi="Times New Roman" w:cs="Times New Roman"/>
                <w:spacing w:val="1"/>
                <w:sz w:val="24"/>
                <w:szCs w:val="24"/>
              </w:rPr>
              <w:t xml:space="preserve"> </w:t>
            </w:r>
            <w:r w:rsidRPr="00F20CFA">
              <w:rPr>
                <w:rFonts w:ascii="Times New Roman" w:hAnsi="Times New Roman" w:cs="Times New Roman"/>
                <w:sz w:val="24"/>
                <w:szCs w:val="24"/>
              </w:rPr>
              <w:t>Strength</w:t>
            </w:r>
          </w:p>
        </w:tc>
        <w:tc>
          <w:tcPr>
            <w:tcW w:w="1710" w:type="dxa"/>
            <w:gridSpan w:val="3"/>
            <w:vAlign w:val="center"/>
          </w:tcPr>
          <w:p w14:paraId="266627F5"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SC, ST and OBC Boys</w:t>
            </w:r>
          </w:p>
        </w:tc>
        <w:tc>
          <w:tcPr>
            <w:tcW w:w="2032" w:type="dxa"/>
            <w:gridSpan w:val="3"/>
            <w:vAlign w:val="center"/>
          </w:tcPr>
          <w:p w14:paraId="3817B852"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ST and OBC Girls</w:t>
            </w:r>
          </w:p>
        </w:tc>
        <w:tc>
          <w:tcPr>
            <w:tcW w:w="2345" w:type="dxa"/>
            <w:gridSpan w:val="3"/>
            <w:vAlign w:val="center"/>
          </w:tcPr>
          <w:p w14:paraId="01070539"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ST and OBC Total</w:t>
            </w:r>
          </w:p>
        </w:tc>
      </w:tr>
      <w:tr w:rsidR="00EF4020" w:rsidRPr="00F20CFA" w14:paraId="2F954F5F" w14:textId="77777777" w:rsidTr="00303544">
        <w:trPr>
          <w:trHeight w:val="369"/>
        </w:trPr>
        <w:tc>
          <w:tcPr>
            <w:tcW w:w="1183" w:type="dxa"/>
            <w:vMerge/>
            <w:tcBorders>
              <w:top w:val="nil"/>
            </w:tcBorders>
            <w:vAlign w:val="center"/>
          </w:tcPr>
          <w:p w14:paraId="5169ED4A" w14:textId="77777777" w:rsidR="00EF4020" w:rsidRPr="00F20CFA" w:rsidRDefault="00EF4020" w:rsidP="00157140">
            <w:pPr>
              <w:jc w:val="center"/>
              <w:rPr>
                <w:rFonts w:ascii="Times New Roman" w:hAnsi="Times New Roman" w:cs="Times New Roman"/>
                <w:sz w:val="24"/>
                <w:szCs w:val="24"/>
              </w:rPr>
            </w:pPr>
          </w:p>
        </w:tc>
        <w:tc>
          <w:tcPr>
            <w:tcW w:w="586" w:type="dxa"/>
            <w:vAlign w:val="center"/>
          </w:tcPr>
          <w:p w14:paraId="67C11332"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Boys</w:t>
            </w:r>
          </w:p>
        </w:tc>
        <w:tc>
          <w:tcPr>
            <w:tcW w:w="586" w:type="dxa"/>
            <w:vAlign w:val="center"/>
          </w:tcPr>
          <w:p w14:paraId="750A418C"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Girls</w:t>
            </w:r>
          </w:p>
        </w:tc>
        <w:tc>
          <w:tcPr>
            <w:tcW w:w="715" w:type="dxa"/>
            <w:vAlign w:val="center"/>
          </w:tcPr>
          <w:p w14:paraId="258196A4"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Total</w:t>
            </w:r>
          </w:p>
        </w:tc>
        <w:tc>
          <w:tcPr>
            <w:tcW w:w="540" w:type="dxa"/>
            <w:vAlign w:val="center"/>
          </w:tcPr>
          <w:p w14:paraId="777CD1F0"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450" w:type="dxa"/>
            <w:vAlign w:val="center"/>
          </w:tcPr>
          <w:p w14:paraId="0A8EE584"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720" w:type="dxa"/>
            <w:vAlign w:val="center"/>
          </w:tcPr>
          <w:p w14:paraId="2707C036"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c>
          <w:tcPr>
            <w:tcW w:w="720" w:type="dxa"/>
            <w:vAlign w:val="center"/>
          </w:tcPr>
          <w:p w14:paraId="6F65A77D"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433" w:type="dxa"/>
            <w:vAlign w:val="center"/>
          </w:tcPr>
          <w:p w14:paraId="29D75861"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879" w:type="dxa"/>
            <w:vAlign w:val="center"/>
          </w:tcPr>
          <w:p w14:paraId="45663F5B"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c>
          <w:tcPr>
            <w:tcW w:w="879" w:type="dxa"/>
            <w:vAlign w:val="center"/>
          </w:tcPr>
          <w:p w14:paraId="7E994FC9"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684" w:type="dxa"/>
            <w:vAlign w:val="center"/>
          </w:tcPr>
          <w:p w14:paraId="5A96C808"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782" w:type="dxa"/>
            <w:vAlign w:val="center"/>
          </w:tcPr>
          <w:p w14:paraId="6584B80A"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r>
      <w:tr w:rsidR="00EF4020" w:rsidRPr="00F20CFA" w14:paraId="5AFCDE21" w14:textId="77777777" w:rsidTr="00303544">
        <w:trPr>
          <w:trHeight w:val="400"/>
        </w:trPr>
        <w:tc>
          <w:tcPr>
            <w:tcW w:w="1183" w:type="dxa"/>
            <w:vAlign w:val="center"/>
          </w:tcPr>
          <w:p w14:paraId="0E12AD08"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2017-18</w:t>
            </w:r>
          </w:p>
        </w:tc>
        <w:tc>
          <w:tcPr>
            <w:tcW w:w="586" w:type="dxa"/>
            <w:vAlign w:val="center"/>
          </w:tcPr>
          <w:p w14:paraId="7D84C440"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3937</w:t>
            </w:r>
          </w:p>
        </w:tc>
        <w:tc>
          <w:tcPr>
            <w:tcW w:w="586" w:type="dxa"/>
            <w:vAlign w:val="center"/>
          </w:tcPr>
          <w:p w14:paraId="6969BBD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6778</w:t>
            </w:r>
          </w:p>
        </w:tc>
        <w:tc>
          <w:tcPr>
            <w:tcW w:w="715" w:type="dxa"/>
            <w:vAlign w:val="center"/>
          </w:tcPr>
          <w:p w14:paraId="18590DCA"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10715</w:t>
            </w:r>
          </w:p>
        </w:tc>
        <w:tc>
          <w:tcPr>
            <w:tcW w:w="540" w:type="dxa"/>
            <w:vAlign w:val="center"/>
          </w:tcPr>
          <w:p w14:paraId="2B72C591"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1173</w:t>
            </w:r>
          </w:p>
        </w:tc>
        <w:tc>
          <w:tcPr>
            <w:tcW w:w="450" w:type="dxa"/>
            <w:vAlign w:val="center"/>
          </w:tcPr>
          <w:p w14:paraId="6D12149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153</w:t>
            </w:r>
          </w:p>
        </w:tc>
        <w:tc>
          <w:tcPr>
            <w:tcW w:w="720" w:type="dxa"/>
            <w:vAlign w:val="center"/>
          </w:tcPr>
          <w:p w14:paraId="69AC67D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880</w:t>
            </w:r>
          </w:p>
        </w:tc>
        <w:tc>
          <w:tcPr>
            <w:tcW w:w="720" w:type="dxa"/>
            <w:vAlign w:val="center"/>
          </w:tcPr>
          <w:p w14:paraId="1618FA3A"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1868</w:t>
            </w:r>
          </w:p>
        </w:tc>
        <w:tc>
          <w:tcPr>
            <w:tcW w:w="433" w:type="dxa"/>
            <w:vAlign w:val="center"/>
          </w:tcPr>
          <w:p w14:paraId="5744495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248</w:t>
            </w:r>
          </w:p>
        </w:tc>
        <w:tc>
          <w:tcPr>
            <w:tcW w:w="879" w:type="dxa"/>
            <w:vAlign w:val="center"/>
          </w:tcPr>
          <w:p w14:paraId="71BEEA11"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1085</w:t>
            </w:r>
          </w:p>
        </w:tc>
        <w:tc>
          <w:tcPr>
            <w:tcW w:w="879" w:type="dxa"/>
            <w:vAlign w:val="center"/>
          </w:tcPr>
          <w:p w14:paraId="44268F5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3041</w:t>
            </w:r>
          </w:p>
        </w:tc>
        <w:tc>
          <w:tcPr>
            <w:tcW w:w="684" w:type="dxa"/>
            <w:vAlign w:val="center"/>
          </w:tcPr>
          <w:p w14:paraId="16564F3B"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401</w:t>
            </w:r>
          </w:p>
        </w:tc>
        <w:tc>
          <w:tcPr>
            <w:tcW w:w="782" w:type="dxa"/>
            <w:vAlign w:val="center"/>
          </w:tcPr>
          <w:p w14:paraId="082A549E"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1965</w:t>
            </w:r>
          </w:p>
        </w:tc>
      </w:tr>
      <w:tr w:rsidR="00EF4020" w:rsidRPr="00F20CFA" w14:paraId="1293B45B" w14:textId="77777777" w:rsidTr="00303544">
        <w:trPr>
          <w:trHeight w:val="302"/>
        </w:trPr>
        <w:tc>
          <w:tcPr>
            <w:tcW w:w="1183" w:type="dxa"/>
            <w:vAlign w:val="center"/>
          </w:tcPr>
          <w:p w14:paraId="31E282B0"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2018-19</w:t>
            </w:r>
          </w:p>
        </w:tc>
        <w:tc>
          <w:tcPr>
            <w:tcW w:w="586" w:type="dxa"/>
            <w:vAlign w:val="center"/>
          </w:tcPr>
          <w:p w14:paraId="59BC6697"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3809</w:t>
            </w:r>
          </w:p>
        </w:tc>
        <w:tc>
          <w:tcPr>
            <w:tcW w:w="586" w:type="dxa"/>
            <w:vAlign w:val="center"/>
          </w:tcPr>
          <w:p w14:paraId="2BB881BA"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5893</w:t>
            </w:r>
          </w:p>
        </w:tc>
        <w:tc>
          <w:tcPr>
            <w:tcW w:w="715" w:type="dxa"/>
            <w:vAlign w:val="center"/>
          </w:tcPr>
          <w:p w14:paraId="6055925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9702</w:t>
            </w:r>
          </w:p>
        </w:tc>
        <w:tc>
          <w:tcPr>
            <w:tcW w:w="540" w:type="dxa"/>
            <w:vAlign w:val="center"/>
          </w:tcPr>
          <w:p w14:paraId="4DDCD2CD"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917</w:t>
            </w:r>
          </w:p>
        </w:tc>
        <w:tc>
          <w:tcPr>
            <w:tcW w:w="450" w:type="dxa"/>
            <w:vAlign w:val="center"/>
          </w:tcPr>
          <w:p w14:paraId="2B8FD439"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145</w:t>
            </w:r>
          </w:p>
        </w:tc>
        <w:tc>
          <w:tcPr>
            <w:tcW w:w="720" w:type="dxa"/>
            <w:vAlign w:val="center"/>
          </w:tcPr>
          <w:p w14:paraId="47CD48B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688</w:t>
            </w:r>
          </w:p>
        </w:tc>
        <w:tc>
          <w:tcPr>
            <w:tcW w:w="720" w:type="dxa"/>
            <w:vAlign w:val="center"/>
          </w:tcPr>
          <w:p w14:paraId="296AEB7F"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1647</w:t>
            </w:r>
          </w:p>
        </w:tc>
        <w:tc>
          <w:tcPr>
            <w:tcW w:w="433" w:type="dxa"/>
            <w:vAlign w:val="center"/>
          </w:tcPr>
          <w:p w14:paraId="05D93345"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261</w:t>
            </w:r>
          </w:p>
        </w:tc>
        <w:tc>
          <w:tcPr>
            <w:tcW w:w="879" w:type="dxa"/>
            <w:vAlign w:val="center"/>
          </w:tcPr>
          <w:p w14:paraId="78908028"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1144</w:t>
            </w:r>
          </w:p>
        </w:tc>
        <w:tc>
          <w:tcPr>
            <w:tcW w:w="879" w:type="dxa"/>
            <w:vAlign w:val="center"/>
          </w:tcPr>
          <w:p w14:paraId="5A91712C"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2564</w:t>
            </w:r>
          </w:p>
        </w:tc>
        <w:tc>
          <w:tcPr>
            <w:tcW w:w="684" w:type="dxa"/>
            <w:vAlign w:val="center"/>
          </w:tcPr>
          <w:p w14:paraId="18AF7B87"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406</w:t>
            </w:r>
          </w:p>
        </w:tc>
        <w:tc>
          <w:tcPr>
            <w:tcW w:w="782" w:type="dxa"/>
            <w:vAlign w:val="center"/>
          </w:tcPr>
          <w:p w14:paraId="1F22BC0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1832</w:t>
            </w:r>
          </w:p>
        </w:tc>
      </w:tr>
      <w:tr w:rsidR="00EF4020" w:rsidRPr="00F20CFA" w14:paraId="43B553D5" w14:textId="77777777" w:rsidTr="00303544">
        <w:trPr>
          <w:trHeight w:val="302"/>
        </w:trPr>
        <w:tc>
          <w:tcPr>
            <w:tcW w:w="1183" w:type="dxa"/>
            <w:vAlign w:val="center"/>
          </w:tcPr>
          <w:p w14:paraId="477AC4CD"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2020-21</w:t>
            </w:r>
          </w:p>
        </w:tc>
        <w:tc>
          <w:tcPr>
            <w:tcW w:w="586" w:type="dxa"/>
            <w:vAlign w:val="center"/>
          </w:tcPr>
          <w:p w14:paraId="4BDCB9B9"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3862</w:t>
            </w:r>
          </w:p>
        </w:tc>
        <w:tc>
          <w:tcPr>
            <w:tcW w:w="586" w:type="dxa"/>
            <w:vAlign w:val="center"/>
          </w:tcPr>
          <w:p w14:paraId="6DCDD275"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6510</w:t>
            </w:r>
          </w:p>
        </w:tc>
        <w:tc>
          <w:tcPr>
            <w:tcW w:w="715" w:type="dxa"/>
            <w:vAlign w:val="center"/>
          </w:tcPr>
          <w:p w14:paraId="0C0FD40F"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10372</w:t>
            </w:r>
          </w:p>
        </w:tc>
        <w:tc>
          <w:tcPr>
            <w:tcW w:w="540" w:type="dxa"/>
            <w:vAlign w:val="center"/>
          </w:tcPr>
          <w:p w14:paraId="5646F92C"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958</w:t>
            </w:r>
          </w:p>
        </w:tc>
        <w:tc>
          <w:tcPr>
            <w:tcW w:w="450" w:type="dxa"/>
            <w:vAlign w:val="center"/>
          </w:tcPr>
          <w:p w14:paraId="7BD1EFE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139</w:t>
            </w:r>
          </w:p>
        </w:tc>
        <w:tc>
          <w:tcPr>
            <w:tcW w:w="720" w:type="dxa"/>
            <w:vAlign w:val="center"/>
          </w:tcPr>
          <w:p w14:paraId="3FECCEA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690</w:t>
            </w:r>
          </w:p>
        </w:tc>
        <w:tc>
          <w:tcPr>
            <w:tcW w:w="720" w:type="dxa"/>
            <w:vAlign w:val="center"/>
          </w:tcPr>
          <w:p w14:paraId="7AC19C62"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1668</w:t>
            </w:r>
          </w:p>
        </w:tc>
        <w:tc>
          <w:tcPr>
            <w:tcW w:w="433" w:type="dxa"/>
            <w:vAlign w:val="center"/>
          </w:tcPr>
          <w:p w14:paraId="70995E20"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211</w:t>
            </w:r>
          </w:p>
        </w:tc>
        <w:tc>
          <w:tcPr>
            <w:tcW w:w="879" w:type="dxa"/>
            <w:vAlign w:val="center"/>
          </w:tcPr>
          <w:p w14:paraId="46BCDBA6"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1131</w:t>
            </w:r>
          </w:p>
        </w:tc>
        <w:tc>
          <w:tcPr>
            <w:tcW w:w="879" w:type="dxa"/>
            <w:vAlign w:val="center"/>
          </w:tcPr>
          <w:p w14:paraId="56434A0B"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2626</w:t>
            </w:r>
          </w:p>
        </w:tc>
        <w:tc>
          <w:tcPr>
            <w:tcW w:w="684" w:type="dxa"/>
            <w:vAlign w:val="center"/>
          </w:tcPr>
          <w:p w14:paraId="6E7C608F"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350</w:t>
            </w:r>
          </w:p>
        </w:tc>
        <w:tc>
          <w:tcPr>
            <w:tcW w:w="782" w:type="dxa"/>
            <w:vAlign w:val="center"/>
          </w:tcPr>
          <w:p w14:paraId="3491429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1821</w:t>
            </w:r>
          </w:p>
        </w:tc>
      </w:tr>
      <w:tr w:rsidR="00EF4020" w:rsidRPr="00F20CFA" w14:paraId="54EF8972" w14:textId="77777777" w:rsidTr="00303544">
        <w:trPr>
          <w:trHeight w:val="302"/>
        </w:trPr>
        <w:tc>
          <w:tcPr>
            <w:tcW w:w="1183" w:type="dxa"/>
            <w:vAlign w:val="center"/>
          </w:tcPr>
          <w:p w14:paraId="1E5DE135"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2021-22</w:t>
            </w:r>
          </w:p>
        </w:tc>
        <w:tc>
          <w:tcPr>
            <w:tcW w:w="586" w:type="dxa"/>
            <w:vAlign w:val="center"/>
          </w:tcPr>
          <w:p w14:paraId="12956508"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4089</w:t>
            </w:r>
          </w:p>
        </w:tc>
        <w:tc>
          <w:tcPr>
            <w:tcW w:w="586" w:type="dxa"/>
            <w:vAlign w:val="center"/>
          </w:tcPr>
          <w:p w14:paraId="08518EEB"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6522</w:t>
            </w:r>
          </w:p>
        </w:tc>
        <w:tc>
          <w:tcPr>
            <w:tcW w:w="715" w:type="dxa"/>
            <w:vAlign w:val="center"/>
          </w:tcPr>
          <w:p w14:paraId="3BE48AE3"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10611</w:t>
            </w:r>
          </w:p>
        </w:tc>
        <w:tc>
          <w:tcPr>
            <w:tcW w:w="540" w:type="dxa"/>
            <w:vAlign w:val="center"/>
          </w:tcPr>
          <w:p w14:paraId="49B1052D"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954</w:t>
            </w:r>
          </w:p>
        </w:tc>
        <w:tc>
          <w:tcPr>
            <w:tcW w:w="450" w:type="dxa"/>
            <w:vAlign w:val="center"/>
          </w:tcPr>
          <w:p w14:paraId="2720599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122</w:t>
            </w:r>
          </w:p>
        </w:tc>
        <w:tc>
          <w:tcPr>
            <w:tcW w:w="720" w:type="dxa"/>
            <w:vAlign w:val="center"/>
          </w:tcPr>
          <w:p w14:paraId="1F1A430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642</w:t>
            </w:r>
          </w:p>
        </w:tc>
        <w:tc>
          <w:tcPr>
            <w:tcW w:w="720" w:type="dxa"/>
            <w:vAlign w:val="center"/>
          </w:tcPr>
          <w:p w14:paraId="4D898A4E"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1656</w:t>
            </w:r>
          </w:p>
        </w:tc>
        <w:tc>
          <w:tcPr>
            <w:tcW w:w="433" w:type="dxa"/>
            <w:vAlign w:val="center"/>
          </w:tcPr>
          <w:p w14:paraId="308B9F5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193</w:t>
            </w:r>
          </w:p>
        </w:tc>
        <w:tc>
          <w:tcPr>
            <w:tcW w:w="879" w:type="dxa"/>
            <w:vAlign w:val="center"/>
          </w:tcPr>
          <w:p w14:paraId="776D8222"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1069</w:t>
            </w:r>
          </w:p>
        </w:tc>
        <w:tc>
          <w:tcPr>
            <w:tcW w:w="879" w:type="dxa"/>
            <w:vAlign w:val="center"/>
          </w:tcPr>
          <w:p w14:paraId="3F2639E7"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2610</w:t>
            </w:r>
          </w:p>
        </w:tc>
        <w:tc>
          <w:tcPr>
            <w:tcW w:w="684" w:type="dxa"/>
            <w:vAlign w:val="center"/>
          </w:tcPr>
          <w:p w14:paraId="38882DF5"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315</w:t>
            </w:r>
          </w:p>
        </w:tc>
        <w:tc>
          <w:tcPr>
            <w:tcW w:w="782" w:type="dxa"/>
            <w:vAlign w:val="center"/>
          </w:tcPr>
          <w:p w14:paraId="5B57DE1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1711</w:t>
            </w:r>
          </w:p>
        </w:tc>
      </w:tr>
      <w:tr w:rsidR="00EF4020" w:rsidRPr="00F20CFA" w14:paraId="0A083679" w14:textId="77777777" w:rsidTr="00303544">
        <w:trPr>
          <w:trHeight w:val="302"/>
        </w:trPr>
        <w:tc>
          <w:tcPr>
            <w:tcW w:w="1183" w:type="dxa"/>
            <w:vAlign w:val="center"/>
          </w:tcPr>
          <w:p w14:paraId="0478AEA3"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2022-23</w:t>
            </w:r>
          </w:p>
        </w:tc>
        <w:tc>
          <w:tcPr>
            <w:tcW w:w="586" w:type="dxa"/>
            <w:vAlign w:val="center"/>
          </w:tcPr>
          <w:p w14:paraId="24D05CF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4153</w:t>
            </w:r>
          </w:p>
        </w:tc>
        <w:tc>
          <w:tcPr>
            <w:tcW w:w="586" w:type="dxa"/>
            <w:vAlign w:val="center"/>
          </w:tcPr>
          <w:p w14:paraId="688C0B1B"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6577</w:t>
            </w:r>
          </w:p>
        </w:tc>
        <w:tc>
          <w:tcPr>
            <w:tcW w:w="715" w:type="dxa"/>
            <w:vAlign w:val="center"/>
          </w:tcPr>
          <w:p w14:paraId="5F9309A9"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10730</w:t>
            </w:r>
          </w:p>
        </w:tc>
        <w:tc>
          <w:tcPr>
            <w:tcW w:w="540" w:type="dxa"/>
            <w:vAlign w:val="center"/>
          </w:tcPr>
          <w:p w14:paraId="26E68617"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998</w:t>
            </w:r>
          </w:p>
        </w:tc>
        <w:tc>
          <w:tcPr>
            <w:tcW w:w="450" w:type="dxa"/>
            <w:vAlign w:val="center"/>
          </w:tcPr>
          <w:p w14:paraId="74B2F732"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127</w:t>
            </w:r>
          </w:p>
        </w:tc>
        <w:tc>
          <w:tcPr>
            <w:tcW w:w="720" w:type="dxa"/>
            <w:vAlign w:val="center"/>
          </w:tcPr>
          <w:p w14:paraId="10C2270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636</w:t>
            </w:r>
          </w:p>
        </w:tc>
        <w:tc>
          <w:tcPr>
            <w:tcW w:w="720" w:type="dxa"/>
            <w:vAlign w:val="center"/>
          </w:tcPr>
          <w:p w14:paraId="035F5CA9"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1691</w:t>
            </w:r>
          </w:p>
        </w:tc>
        <w:tc>
          <w:tcPr>
            <w:tcW w:w="433" w:type="dxa"/>
            <w:vAlign w:val="center"/>
          </w:tcPr>
          <w:p w14:paraId="7C72663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179</w:t>
            </w:r>
          </w:p>
        </w:tc>
        <w:tc>
          <w:tcPr>
            <w:tcW w:w="879" w:type="dxa"/>
            <w:vAlign w:val="center"/>
          </w:tcPr>
          <w:p w14:paraId="4BC7DC8A"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1083</w:t>
            </w:r>
          </w:p>
        </w:tc>
        <w:tc>
          <w:tcPr>
            <w:tcW w:w="879" w:type="dxa"/>
            <w:vAlign w:val="center"/>
          </w:tcPr>
          <w:p w14:paraId="4D64798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2689</w:t>
            </w:r>
          </w:p>
        </w:tc>
        <w:tc>
          <w:tcPr>
            <w:tcW w:w="684" w:type="dxa"/>
            <w:vAlign w:val="center"/>
          </w:tcPr>
          <w:p w14:paraId="22969F90"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306</w:t>
            </w:r>
          </w:p>
        </w:tc>
        <w:tc>
          <w:tcPr>
            <w:tcW w:w="782" w:type="dxa"/>
            <w:vAlign w:val="center"/>
          </w:tcPr>
          <w:p w14:paraId="07740C4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1719</w:t>
            </w:r>
          </w:p>
        </w:tc>
      </w:tr>
    </w:tbl>
    <w:p w14:paraId="781E6D49" w14:textId="77777777" w:rsidR="00EF4020" w:rsidRPr="002E2264" w:rsidRDefault="00EF4020" w:rsidP="00EF4020">
      <w:pPr>
        <w:jc w:val="both"/>
        <w:rPr>
          <w:rFonts w:ascii="Times New Roman" w:hAnsi="Times New Roman" w:cs="Times New Roman"/>
          <w:i/>
          <w:sz w:val="20"/>
          <w:szCs w:val="24"/>
        </w:rPr>
      </w:pPr>
      <w:r w:rsidRPr="002E2264">
        <w:rPr>
          <w:rFonts w:ascii="Times New Roman" w:hAnsi="Times New Roman" w:cs="Times New Roman"/>
          <w:i/>
          <w:sz w:val="20"/>
          <w:szCs w:val="24"/>
        </w:rPr>
        <w:t>Source: Directorate of Higher Education Uttarakhand (2024)</w:t>
      </w:r>
    </w:p>
    <w:p w14:paraId="4253859A" w14:textId="77777777" w:rsidR="00265597" w:rsidRPr="00206768" w:rsidRDefault="00265597" w:rsidP="00265597">
      <w:pPr>
        <w:spacing w:before="100" w:beforeAutospacing="1" w:after="100" w:afterAutospacing="1" w:line="240" w:lineRule="auto"/>
        <w:rPr>
          <w:rFonts w:ascii="Times New Roman" w:eastAsia="Times New Roman" w:hAnsi="Times New Roman" w:cs="Times New Roman"/>
          <w:b/>
          <w:sz w:val="24"/>
          <w:szCs w:val="24"/>
        </w:rPr>
      </w:pPr>
      <w:r w:rsidRPr="00206768">
        <w:rPr>
          <w:rFonts w:ascii="Times New Roman" w:eastAsia="Times New Roman" w:hAnsi="Times New Roman" w:cs="Times New Roman"/>
          <w:b/>
          <w:sz w:val="24"/>
          <w:szCs w:val="24"/>
        </w:rPr>
        <w:t xml:space="preserve">Research </w:t>
      </w:r>
      <w:r w:rsidR="00682AE2">
        <w:rPr>
          <w:rFonts w:ascii="Times New Roman" w:eastAsia="Times New Roman" w:hAnsi="Times New Roman" w:cs="Times New Roman"/>
          <w:b/>
          <w:sz w:val="24"/>
          <w:szCs w:val="24"/>
        </w:rPr>
        <w:t>Hypotheses</w:t>
      </w:r>
    </w:p>
    <w:p w14:paraId="193936FF"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eastAsia="Times New Roman" w:hAnsi="Times New Roman" w:cs="Times New Roman"/>
          <w:sz w:val="24"/>
          <w:szCs w:val="24"/>
        </w:rPr>
        <w:t>There is no significant difference in the socio-cultural perspectives among higher education students belonging to disadvantaged communities on the basis of subgroups.</w:t>
      </w:r>
    </w:p>
    <w:p w14:paraId="42FF8424"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eastAsia="Times New Roman" w:hAnsi="Times New Roman" w:cs="Times New Roman"/>
          <w:sz w:val="24"/>
          <w:szCs w:val="24"/>
        </w:rPr>
        <w:t>There is no significant difference in the educational perspectives among higher education students belonging to disadvantaged communities on the basis of subgroups.</w:t>
      </w:r>
    </w:p>
    <w:p w14:paraId="5F7D390F"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hAnsi="Times New Roman" w:cs="Times New Roman"/>
          <w:sz w:val="24"/>
          <w:szCs w:val="24"/>
        </w:rPr>
        <w:t>There is no significant relationship between the socio-cultural perspectives and educational perspectives of higher education students belonging to disadvantaged communities.</w:t>
      </w:r>
    </w:p>
    <w:p w14:paraId="6202E870" w14:textId="77777777" w:rsidR="00265597" w:rsidRPr="00157140" w:rsidRDefault="00265597" w:rsidP="00265597">
      <w:pPr>
        <w:spacing w:before="100" w:beforeAutospacing="1" w:after="100" w:afterAutospacing="1" w:line="240" w:lineRule="auto"/>
        <w:rPr>
          <w:rFonts w:ascii="Times New Roman" w:eastAsia="Times New Roman" w:hAnsi="Times New Roman" w:cs="Times New Roman"/>
          <w:b/>
          <w:sz w:val="24"/>
          <w:szCs w:val="24"/>
        </w:rPr>
      </w:pPr>
      <w:r w:rsidRPr="00157140">
        <w:rPr>
          <w:rFonts w:ascii="Times New Roman" w:eastAsia="Times New Roman" w:hAnsi="Times New Roman" w:cs="Times New Roman"/>
          <w:b/>
          <w:sz w:val="24"/>
          <w:szCs w:val="24"/>
        </w:rPr>
        <w:t>Signific</w:t>
      </w:r>
      <w:r w:rsidR="00206768">
        <w:rPr>
          <w:rFonts w:ascii="Times New Roman" w:eastAsia="Times New Roman" w:hAnsi="Times New Roman" w:cs="Times New Roman"/>
          <w:b/>
          <w:sz w:val="24"/>
          <w:szCs w:val="24"/>
        </w:rPr>
        <w:t xml:space="preserve">ance and Rationale </w:t>
      </w:r>
    </w:p>
    <w:p w14:paraId="249BF16C" w14:textId="77777777" w:rsidR="00157140" w:rsidRDefault="00206768" w:rsidP="003C2317">
      <w:pPr>
        <w:pStyle w:val="NormalWeb"/>
        <w:spacing w:line="360" w:lineRule="auto"/>
        <w:ind w:firstLine="720"/>
        <w:jc w:val="both"/>
        <w:rPr>
          <w:b/>
        </w:rPr>
      </w:pPr>
      <w:r>
        <w:t xml:space="preserve">To promote sociocultural identity and educational participation among higher education students from disadvantaged communities in Uttarakhand, this initiative emphasizes the need for culturally sensitive educational provisions, supported by fieldwork-based insights into students' lived experiences. It aims to examine the factors influencing their sociocultural and educational perspectives and seeks ways to enhance their participation in academic and community life. The study supports the Ministry of Education and the Government of Uttarakhand in formulating inclusive action plans that recognize education as a tool for empowerment and social transformation. It also highlights the role of education in shaping sociocultural identities, improving life opportunities, and fostering equal participation. By engaging youth-led networks, community structures, and key stakeholders such as policymakers, media, faith-based organizations, and the private sector, the initiative seeks to build awareness, enhance life skills, </w:t>
      </w:r>
      <w:r>
        <w:lastRenderedPageBreak/>
        <w:t>and ensures that education benefits rather than stigmatizes disadvantaged students, ultimately contributing to their successful transition into adulthood and a more inclusive society.</w:t>
      </w:r>
    </w:p>
    <w:p w14:paraId="0D8982D2" w14:textId="77777777" w:rsidR="002536A9" w:rsidRPr="00F20CFA" w:rsidRDefault="002536A9" w:rsidP="00B91A28">
      <w:pPr>
        <w:pStyle w:val="NormalWeb"/>
        <w:spacing w:line="360" w:lineRule="auto"/>
        <w:jc w:val="both"/>
        <w:rPr>
          <w:b/>
        </w:rPr>
      </w:pPr>
      <w:r w:rsidRPr="00F20CFA">
        <w:rPr>
          <w:b/>
        </w:rPr>
        <w:t>Literature Review</w:t>
      </w:r>
    </w:p>
    <w:p w14:paraId="6F6C69CF" w14:textId="612735B0" w:rsidR="007D63CC" w:rsidRPr="007D63CC" w:rsidRDefault="007D63CC"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7D63CC">
        <w:rPr>
          <w:rFonts w:ascii="Times New Roman" w:eastAsia="Times New Roman" w:hAnsi="Times New Roman" w:cs="Times New Roman"/>
          <w:sz w:val="24"/>
          <w:szCs w:val="24"/>
        </w:rPr>
        <w:t xml:space="preserve">The socio-cultural landscape of Uttarakhand, particularly in Pithoragarh district, significantly shapes the higher education experiences of students from disadvantaged communities. Indigenous tribes, such as the </w:t>
      </w:r>
      <w:proofErr w:type="spellStart"/>
      <w:r w:rsidRPr="007D63CC">
        <w:rPr>
          <w:rFonts w:ascii="Times New Roman" w:eastAsia="Times New Roman" w:hAnsi="Times New Roman" w:cs="Times New Roman"/>
          <w:sz w:val="24"/>
          <w:szCs w:val="24"/>
        </w:rPr>
        <w:t>Bhotiya</w:t>
      </w:r>
      <w:proofErr w:type="spellEnd"/>
      <w:r w:rsidRPr="007D63CC">
        <w:rPr>
          <w:rFonts w:ascii="Times New Roman" w:eastAsia="Times New Roman" w:hAnsi="Times New Roman" w:cs="Times New Roman"/>
          <w:sz w:val="24"/>
          <w:szCs w:val="24"/>
        </w:rPr>
        <w:t xml:space="preserve">, maintain rich cultural heritage and distinct social traditions rooted in agricultural and pastoral livelihoods, yet face barriers to formal education due to geographical isolation and socio-economic challenges (Singh, 2019; Verma, 2024). These communities, including the </w:t>
      </w:r>
      <w:proofErr w:type="spellStart"/>
      <w:r w:rsidRPr="007D63CC">
        <w:rPr>
          <w:rFonts w:ascii="Times New Roman" w:eastAsia="Times New Roman" w:hAnsi="Times New Roman" w:cs="Times New Roman"/>
          <w:sz w:val="24"/>
          <w:szCs w:val="24"/>
        </w:rPr>
        <w:t>Jaunsari</w:t>
      </w:r>
      <w:proofErr w:type="spellEnd"/>
      <w:r w:rsidRPr="007D63CC">
        <w:rPr>
          <w:rFonts w:ascii="Times New Roman" w:eastAsia="Times New Roman" w:hAnsi="Times New Roman" w:cs="Times New Roman"/>
          <w:sz w:val="24"/>
          <w:szCs w:val="24"/>
        </w:rPr>
        <w:t xml:space="preserve"> and Khas Patti, exhibit unique socio-cultural identities that influence their sustenance and resilience, with cultural practices deeply intertwined with environmental and social dynamics (Gautam, 2015; Joshi, 2016). Socio-economic factors, such as migration driven by cultural ties and economic needs, further impact community settlement patterns and access to educational resources (</w:t>
      </w:r>
      <w:proofErr w:type="spellStart"/>
      <w:r w:rsidRPr="007D63CC">
        <w:rPr>
          <w:rFonts w:ascii="Times New Roman" w:eastAsia="Times New Roman" w:hAnsi="Times New Roman" w:cs="Times New Roman"/>
          <w:sz w:val="24"/>
          <w:szCs w:val="24"/>
        </w:rPr>
        <w:t>Jangwan</w:t>
      </w:r>
      <w:proofErr w:type="spellEnd"/>
      <w:r w:rsidRPr="007D63CC">
        <w:rPr>
          <w:rFonts w:ascii="Times New Roman" w:eastAsia="Times New Roman" w:hAnsi="Times New Roman" w:cs="Times New Roman"/>
          <w:sz w:val="24"/>
          <w:szCs w:val="24"/>
        </w:rPr>
        <w:t xml:space="preserve"> </w:t>
      </w:r>
      <w:r w:rsidR="00EE3713">
        <w:rPr>
          <w:rFonts w:ascii="Times New Roman" w:eastAsia="Times New Roman" w:hAnsi="Times New Roman" w:cs="Times New Roman"/>
          <w:sz w:val="24"/>
          <w:szCs w:val="24"/>
        </w:rPr>
        <w:t xml:space="preserve">&amp; </w:t>
      </w:r>
      <w:proofErr w:type="spellStart"/>
      <w:r w:rsidR="00EE3713">
        <w:rPr>
          <w:rFonts w:ascii="Times New Roman" w:eastAsia="Times New Roman" w:hAnsi="Times New Roman" w:cs="Times New Roman"/>
          <w:sz w:val="24"/>
          <w:szCs w:val="24"/>
        </w:rPr>
        <w:t>Upreti</w:t>
      </w:r>
      <w:proofErr w:type="spellEnd"/>
      <w:r w:rsidRPr="007D63CC">
        <w:rPr>
          <w:rFonts w:ascii="Times New Roman" w:eastAsia="Times New Roman" w:hAnsi="Times New Roman" w:cs="Times New Roman"/>
          <w:sz w:val="24"/>
          <w:szCs w:val="24"/>
        </w:rPr>
        <w:t>, 2019). These socio-cultural elements highlight the need for culturally sensitive policies to enhance educational access and support sustainable development for marginalized groups in Uttarakhand.</w:t>
      </w:r>
    </w:p>
    <w:p w14:paraId="2D241AE5" w14:textId="7568FAB3" w:rsidR="007D63CC" w:rsidRPr="007D63CC" w:rsidRDefault="007D63CC"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7D63CC">
        <w:rPr>
          <w:rFonts w:ascii="Times New Roman" w:eastAsia="Times New Roman" w:hAnsi="Times New Roman" w:cs="Times New Roman"/>
          <w:sz w:val="24"/>
          <w:szCs w:val="24"/>
        </w:rPr>
        <w:t xml:space="preserve">Educationally, higher education in Uttarakhand faces significant challenges in ensuring equity and access for disadvantaged students. The Twelfth Five Year Plan (2012–2017) emphasized support for marginalized groups, including SCs, STs, OBCs, and minorities, yet access remains limited by prior academic achievement and socio-economic disadvantages (Forsyth &amp; Furlong, 2003; Ramavath &amp; </w:t>
      </w:r>
      <w:proofErr w:type="spellStart"/>
      <w:r w:rsidRPr="007D63CC">
        <w:rPr>
          <w:rFonts w:ascii="Times New Roman" w:eastAsia="Times New Roman" w:hAnsi="Times New Roman" w:cs="Times New Roman"/>
          <w:sz w:val="24"/>
          <w:szCs w:val="24"/>
        </w:rPr>
        <w:t>Krishnaiah</w:t>
      </w:r>
      <w:proofErr w:type="spellEnd"/>
      <w:r w:rsidRPr="007D63CC">
        <w:rPr>
          <w:rFonts w:ascii="Times New Roman" w:eastAsia="Times New Roman" w:hAnsi="Times New Roman" w:cs="Times New Roman"/>
          <w:sz w:val="24"/>
          <w:szCs w:val="24"/>
        </w:rPr>
        <w:t xml:space="preserve">, 2023). Studies indicate that despite increased enrollment, disadvantaged </w:t>
      </w:r>
      <w:r w:rsidRPr="00675114">
        <w:rPr>
          <w:rFonts w:ascii="Times New Roman" w:eastAsia="Times New Roman" w:hAnsi="Times New Roman" w:cs="Times New Roman"/>
          <w:color w:val="000000" w:themeColor="text1"/>
          <w:sz w:val="24"/>
          <w:szCs w:val="24"/>
        </w:rPr>
        <w:t>students often attend lower-prestige institutions, perpetuating inequality (Espinoza &amp; González, 2017; Sabharwal</w:t>
      </w:r>
      <w:r w:rsidR="00675114" w:rsidRPr="00675114">
        <w:rPr>
          <w:rFonts w:ascii="Times New Roman" w:eastAsia="Times New Roman" w:hAnsi="Times New Roman" w:cs="Times New Roman"/>
          <w:color w:val="000000" w:themeColor="text1"/>
          <w:sz w:val="24"/>
          <w:szCs w:val="24"/>
        </w:rPr>
        <w:t xml:space="preserve"> et al.</w:t>
      </w:r>
      <w:r w:rsidRPr="00675114">
        <w:rPr>
          <w:rFonts w:ascii="Times New Roman" w:eastAsia="Times New Roman" w:hAnsi="Times New Roman" w:cs="Times New Roman"/>
          <w:color w:val="000000" w:themeColor="text1"/>
          <w:sz w:val="24"/>
          <w:szCs w:val="24"/>
        </w:rPr>
        <w:t>, 2017). In Uttarakhand</w:t>
      </w:r>
      <w:r w:rsidRPr="007D63CC">
        <w:rPr>
          <w:rFonts w:ascii="Times New Roman" w:eastAsia="Times New Roman" w:hAnsi="Times New Roman" w:cs="Times New Roman"/>
          <w:sz w:val="24"/>
          <w:szCs w:val="24"/>
        </w:rPr>
        <w:t>, rural government degree colleges face issues like outdated curricula, lack of interdisciplinary courses, and inadequate teacher performance evaluations, which hinder educational quality and employability (</w:t>
      </w:r>
      <w:proofErr w:type="spellStart"/>
      <w:r w:rsidRPr="007D63CC">
        <w:rPr>
          <w:rFonts w:ascii="Times New Roman" w:eastAsia="Times New Roman" w:hAnsi="Times New Roman" w:cs="Times New Roman"/>
          <w:sz w:val="24"/>
          <w:szCs w:val="24"/>
        </w:rPr>
        <w:t>Paliwal</w:t>
      </w:r>
      <w:proofErr w:type="spellEnd"/>
      <w:r w:rsidRPr="007D63CC">
        <w:rPr>
          <w:rFonts w:ascii="Times New Roman" w:eastAsia="Times New Roman" w:hAnsi="Times New Roman" w:cs="Times New Roman"/>
          <w:sz w:val="24"/>
          <w:szCs w:val="24"/>
        </w:rPr>
        <w:t xml:space="preserve"> et al., 2011). However, interventions like Supplemental Instruction show promise in reducing performance gaps for disadvantaged students (Yue et al., 2018). Social factors such as class, gender, and household income further exacerbate disparities in higher education attainment, underscoring the need for targeted institutional strategies to improve access, literacy, and retention for marginalized communities in Pithoragarh (Goswami, 2022; Ramavath &amp; </w:t>
      </w:r>
      <w:proofErr w:type="spellStart"/>
      <w:r w:rsidRPr="007D63CC">
        <w:rPr>
          <w:rFonts w:ascii="Times New Roman" w:eastAsia="Times New Roman" w:hAnsi="Times New Roman" w:cs="Times New Roman"/>
          <w:sz w:val="24"/>
          <w:szCs w:val="24"/>
        </w:rPr>
        <w:t>Krishnaiah</w:t>
      </w:r>
      <w:proofErr w:type="spellEnd"/>
      <w:r w:rsidRPr="007D63CC">
        <w:rPr>
          <w:rFonts w:ascii="Times New Roman" w:eastAsia="Times New Roman" w:hAnsi="Times New Roman" w:cs="Times New Roman"/>
          <w:sz w:val="24"/>
          <w:szCs w:val="24"/>
        </w:rPr>
        <w:t>, 2023).</w:t>
      </w:r>
    </w:p>
    <w:p w14:paraId="5D287DDC" w14:textId="77777777" w:rsidR="00B91A28" w:rsidRPr="00F20CFA" w:rsidRDefault="002536A9" w:rsidP="00B91A28">
      <w:pPr>
        <w:pStyle w:val="NormalWeb"/>
        <w:spacing w:line="360" w:lineRule="auto"/>
        <w:jc w:val="both"/>
        <w:rPr>
          <w:b/>
        </w:rPr>
      </w:pPr>
      <w:r w:rsidRPr="00F20CFA">
        <w:rPr>
          <w:b/>
        </w:rPr>
        <w:lastRenderedPageBreak/>
        <w:t>Methodology</w:t>
      </w:r>
    </w:p>
    <w:p w14:paraId="75714360" w14:textId="753B91AB" w:rsidR="003C2317" w:rsidRDefault="00F20CFA"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 xml:space="preserve">The present study adopted a </w:t>
      </w:r>
      <w:r w:rsidRPr="00F20CFA">
        <w:rPr>
          <w:rFonts w:ascii="Times New Roman" w:eastAsia="Times New Roman" w:hAnsi="Times New Roman" w:cs="Times New Roman"/>
          <w:bCs/>
          <w:sz w:val="24"/>
          <w:szCs w:val="24"/>
        </w:rPr>
        <w:t>descriptive survey design</w:t>
      </w:r>
      <w:r w:rsidRPr="00F20CFA">
        <w:rPr>
          <w:rFonts w:ascii="Times New Roman" w:eastAsia="Times New Roman" w:hAnsi="Times New Roman" w:cs="Times New Roman"/>
          <w:sz w:val="24"/>
          <w:szCs w:val="24"/>
        </w:rPr>
        <w:t xml:space="preserve"> to explore the socio-cultural and educational perspectives of undergraduate students in the remote and hilly region of Pithoragarh district, Uttarakhand. The sample consisted of </w:t>
      </w:r>
      <w:r w:rsidRPr="00F20CFA">
        <w:rPr>
          <w:rFonts w:ascii="Times New Roman" w:eastAsia="Times New Roman" w:hAnsi="Times New Roman" w:cs="Times New Roman"/>
          <w:bCs/>
          <w:sz w:val="24"/>
          <w:szCs w:val="24"/>
        </w:rPr>
        <w:t>232 first-year undergraduate students</w:t>
      </w:r>
      <w:r w:rsidRPr="00F20CFA">
        <w:rPr>
          <w:rFonts w:ascii="Times New Roman" w:eastAsia="Times New Roman" w:hAnsi="Times New Roman" w:cs="Times New Roman"/>
          <w:sz w:val="24"/>
          <w:szCs w:val="24"/>
        </w:rPr>
        <w:t xml:space="preserve"> enrolled in </w:t>
      </w:r>
      <w:r w:rsidRPr="00F20CFA">
        <w:rPr>
          <w:rFonts w:ascii="Times New Roman" w:eastAsia="Times New Roman" w:hAnsi="Times New Roman" w:cs="Times New Roman"/>
          <w:bCs/>
          <w:sz w:val="24"/>
          <w:szCs w:val="24"/>
        </w:rPr>
        <w:t>B.A.</w:t>
      </w:r>
      <w:r w:rsidR="00EB14ED">
        <w:rPr>
          <w:rFonts w:ascii="Times New Roman" w:eastAsia="Times New Roman" w:hAnsi="Times New Roman" w:cs="Times New Roman"/>
          <w:bCs/>
          <w:sz w:val="24"/>
          <w:szCs w:val="24"/>
        </w:rPr>
        <w:t xml:space="preserve"> and</w:t>
      </w:r>
      <w:r w:rsidRPr="00F20CFA">
        <w:rPr>
          <w:rFonts w:ascii="Times New Roman" w:eastAsia="Times New Roman" w:hAnsi="Times New Roman" w:cs="Times New Roman"/>
          <w:bCs/>
          <w:sz w:val="24"/>
          <w:szCs w:val="24"/>
        </w:rPr>
        <w:t xml:space="preserve"> B.Sc.</w:t>
      </w:r>
      <w:r w:rsidR="00EB14ED">
        <w:rPr>
          <w:rFonts w:ascii="Times New Roman" w:eastAsia="Times New Roman" w:hAnsi="Times New Roman" w:cs="Times New Roman"/>
          <w:bCs/>
          <w:sz w:val="24"/>
          <w:szCs w:val="24"/>
        </w:rPr>
        <w:t xml:space="preserve"> </w:t>
      </w:r>
      <w:proofErr w:type="spellStart"/>
      <w:r w:rsidRPr="00F20CFA">
        <w:rPr>
          <w:rFonts w:ascii="Times New Roman" w:eastAsia="Times New Roman" w:hAnsi="Times New Roman" w:cs="Times New Roman"/>
          <w:sz w:val="24"/>
          <w:szCs w:val="24"/>
        </w:rPr>
        <w:t>program</w:t>
      </w:r>
      <w:r w:rsidR="00EB14ED">
        <w:rPr>
          <w:rFonts w:ascii="Times New Roman" w:eastAsia="Times New Roman" w:hAnsi="Times New Roman" w:cs="Times New Roman"/>
          <w:sz w:val="24"/>
          <w:szCs w:val="24"/>
        </w:rPr>
        <w:t>me</w:t>
      </w:r>
      <w:r w:rsidRPr="00F20CFA">
        <w:rPr>
          <w:rFonts w:ascii="Times New Roman" w:eastAsia="Times New Roman" w:hAnsi="Times New Roman" w:cs="Times New Roman"/>
          <w:sz w:val="24"/>
          <w:szCs w:val="24"/>
        </w:rPr>
        <w:t>s</w:t>
      </w:r>
      <w:proofErr w:type="spellEnd"/>
      <w:r w:rsidRPr="00F20CFA">
        <w:rPr>
          <w:rFonts w:ascii="Times New Roman" w:eastAsia="Times New Roman" w:hAnsi="Times New Roman" w:cs="Times New Roman"/>
          <w:sz w:val="24"/>
          <w:szCs w:val="24"/>
        </w:rPr>
        <w:t xml:space="preserve"> across </w:t>
      </w:r>
      <w:r w:rsidRPr="00F20CFA">
        <w:rPr>
          <w:rFonts w:ascii="Times New Roman" w:eastAsia="Times New Roman" w:hAnsi="Times New Roman" w:cs="Times New Roman"/>
          <w:bCs/>
          <w:sz w:val="24"/>
          <w:szCs w:val="24"/>
        </w:rPr>
        <w:t>eight higher education institutions</w:t>
      </w:r>
      <w:r w:rsidRPr="00F20CFA">
        <w:rPr>
          <w:rFonts w:ascii="Times New Roman" w:eastAsia="Times New Roman" w:hAnsi="Times New Roman" w:cs="Times New Roman"/>
          <w:sz w:val="24"/>
          <w:szCs w:val="24"/>
        </w:rPr>
        <w:t xml:space="preserve"> situated in various </w:t>
      </w:r>
      <w:r w:rsidR="00206768">
        <w:rPr>
          <w:rFonts w:ascii="Times New Roman" w:eastAsia="Times New Roman" w:hAnsi="Times New Roman" w:cs="Times New Roman"/>
          <w:sz w:val="24"/>
          <w:szCs w:val="24"/>
        </w:rPr>
        <w:t xml:space="preserve">blocks of Pithoragarh district. </w:t>
      </w:r>
    </w:p>
    <w:p w14:paraId="1532ADA4" w14:textId="77777777" w:rsidR="003C2317" w:rsidRDefault="003C2317" w:rsidP="003C2317">
      <w:pPr>
        <w:spacing w:line="360" w:lineRule="auto"/>
        <w:jc w:val="both"/>
        <w:rPr>
          <w:rFonts w:ascii="Times New Roman" w:hAnsi="Times New Roman" w:cs="Times New Roman"/>
          <w:b/>
          <w:sz w:val="24"/>
          <w:szCs w:val="24"/>
        </w:rPr>
      </w:pPr>
      <w:r w:rsidRPr="007D63CC">
        <w:rPr>
          <w:rFonts w:ascii="Times New Roman" w:hAnsi="Times New Roman" w:cs="Times New Roman"/>
          <w:b/>
          <w:sz w:val="24"/>
          <w:szCs w:val="24"/>
        </w:rPr>
        <w:t>Sampling Procedure</w:t>
      </w:r>
    </w:p>
    <w:p w14:paraId="543C387B" w14:textId="77777777" w:rsidR="00F20CFA" w:rsidRDefault="00F20CFA"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 xml:space="preserve">A </w:t>
      </w:r>
      <w:r w:rsidRPr="00F20CFA">
        <w:rPr>
          <w:rFonts w:ascii="Times New Roman" w:eastAsia="Times New Roman" w:hAnsi="Times New Roman" w:cs="Times New Roman"/>
          <w:bCs/>
          <w:sz w:val="24"/>
          <w:szCs w:val="24"/>
        </w:rPr>
        <w:t>purposive sampling technique</w:t>
      </w:r>
      <w:r w:rsidRPr="00F20CFA">
        <w:rPr>
          <w:rFonts w:ascii="Times New Roman" w:eastAsia="Times New Roman" w:hAnsi="Times New Roman" w:cs="Times New Roman"/>
          <w:sz w:val="24"/>
          <w:szCs w:val="24"/>
        </w:rPr>
        <w:t xml:space="preserve"> was employed to ensure representation from geographically diverse and educationally significant institutions. The sample distribution is detailed below:</w:t>
      </w:r>
    </w:p>
    <w:p w14:paraId="027DA30A" w14:textId="48F9563D" w:rsidR="007B4F5C" w:rsidRPr="00F20CFA" w:rsidRDefault="007B4F5C"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7B4F5C">
        <w:rPr>
          <w:rFonts w:ascii="Times New Roman" w:eastAsia="Times New Roman" w:hAnsi="Times New Roman" w:cs="Times New Roman"/>
          <w:sz w:val="24"/>
          <w:szCs w:val="24"/>
        </w:rPr>
        <w:t xml:space="preserve">Table </w:t>
      </w:r>
      <w:r w:rsidR="006C7562">
        <w:rPr>
          <w:rFonts w:ascii="Times New Roman" w:eastAsia="Times New Roman" w:hAnsi="Times New Roman" w:cs="Times New Roman"/>
          <w:sz w:val="24"/>
          <w:szCs w:val="24"/>
        </w:rPr>
        <w:t>4</w:t>
      </w:r>
      <w:r w:rsidRPr="007B4F5C">
        <w:rPr>
          <w:rFonts w:ascii="Times New Roman" w:eastAsia="Times New Roman" w:hAnsi="Times New Roman" w:cs="Times New Roman"/>
          <w:sz w:val="24"/>
          <w:szCs w:val="24"/>
        </w:rPr>
        <w:t>:</w:t>
      </w:r>
      <w:r w:rsidR="001F6E02">
        <w:rPr>
          <w:rFonts w:ascii="Times New Roman" w:eastAsia="Times New Roman" w:hAnsi="Times New Roman" w:cs="Times New Roman"/>
          <w:sz w:val="24"/>
          <w:szCs w:val="24"/>
        </w:rPr>
        <w:t xml:space="preserve"> The table presents the sample collection from these institutions</w:t>
      </w:r>
    </w:p>
    <w:tbl>
      <w:tblPr>
        <w:tblStyle w:val="TableGrid"/>
        <w:tblW w:w="6930" w:type="dxa"/>
        <w:tblInd w:w="1368" w:type="dxa"/>
        <w:tblLook w:val="04A0" w:firstRow="1" w:lastRow="0" w:firstColumn="1" w:lastColumn="0" w:noHBand="0" w:noVBand="1"/>
      </w:tblPr>
      <w:tblGrid>
        <w:gridCol w:w="1073"/>
        <w:gridCol w:w="2887"/>
        <w:gridCol w:w="2970"/>
      </w:tblGrid>
      <w:tr w:rsidR="00F20CFA" w:rsidRPr="00F20CFA" w14:paraId="5FE25E91" w14:textId="77777777" w:rsidTr="00682AE2">
        <w:trPr>
          <w:trHeight w:val="365"/>
        </w:trPr>
        <w:tc>
          <w:tcPr>
            <w:tcW w:w="1073" w:type="dxa"/>
            <w:vAlign w:val="center"/>
            <w:hideMark/>
          </w:tcPr>
          <w:p w14:paraId="254FA099"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S. No.</w:t>
            </w:r>
          </w:p>
        </w:tc>
        <w:tc>
          <w:tcPr>
            <w:tcW w:w="2887" w:type="dxa"/>
            <w:vAlign w:val="center"/>
            <w:hideMark/>
          </w:tcPr>
          <w:p w14:paraId="7AD0E638"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Name of the Institution</w:t>
            </w:r>
          </w:p>
        </w:tc>
        <w:tc>
          <w:tcPr>
            <w:tcW w:w="2970" w:type="dxa"/>
            <w:vAlign w:val="center"/>
            <w:hideMark/>
          </w:tcPr>
          <w:p w14:paraId="3B1CEDFA"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No. of Samples Collected</w:t>
            </w:r>
          </w:p>
        </w:tc>
      </w:tr>
      <w:tr w:rsidR="00F20CFA" w:rsidRPr="00F20CFA" w14:paraId="0D530E10" w14:textId="77777777" w:rsidTr="00682AE2">
        <w:trPr>
          <w:trHeight w:val="341"/>
        </w:trPr>
        <w:tc>
          <w:tcPr>
            <w:tcW w:w="1073" w:type="dxa"/>
            <w:vAlign w:val="center"/>
            <w:hideMark/>
          </w:tcPr>
          <w:p w14:paraId="0A52DD3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1.</w:t>
            </w:r>
          </w:p>
        </w:tc>
        <w:tc>
          <w:tcPr>
            <w:tcW w:w="2887" w:type="dxa"/>
            <w:vAlign w:val="center"/>
            <w:hideMark/>
          </w:tcPr>
          <w:p w14:paraId="27FD0FC0"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Ganai</w:t>
            </w:r>
            <w:proofErr w:type="spellEnd"/>
            <w:r w:rsidRPr="00F20CFA">
              <w:rPr>
                <w:rFonts w:ascii="Times New Roman" w:eastAsia="Times New Roman" w:hAnsi="Times New Roman" w:cs="Times New Roman"/>
                <w:sz w:val="24"/>
                <w:szCs w:val="24"/>
              </w:rPr>
              <w:t xml:space="preserve"> </w:t>
            </w:r>
            <w:proofErr w:type="spellStart"/>
            <w:r w:rsidRPr="00F20CFA">
              <w:rPr>
                <w:rFonts w:ascii="Times New Roman" w:eastAsia="Times New Roman" w:hAnsi="Times New Roman" w:cs="Times New Roman"/>
                <w:sz w:val="24"/>
                <w:szCs w:val="24"/>
              </w:rPr>
              <w:t>Gangoli</w:t>
            </w:r>
            <w:proofErr w:type="spellEnd"/>
          </w:p>
        </w:tc>
        <w:tc>
          <w:tcPr>
            <w:tcW w:w="2970" w:type="dxa"/>
            <w:vAlign w:val="center"/>
            <w:hideMark/>
          </w:tcPr>
          <w:p w14:paraId="3251F5E5"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61A1F5A1" w14:textId="77777777" w:rsidTr="00682AE2">
        <w:trPr>
          <w:trHeight w:val="341"/>
        </w:trPr>
        <w:tc>
          <w:tcPr>
            <w:tcW w:w="1073" w:type="dxa"/>
            <w:vAlign w:val="center"/>
            <w:hideMark/>
          </w:tcPr>
          <w:p w14:paraId="464F344F"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w:t>
            </w:r>
          </w:p>
        </w:tc>
        <w:tc>
          <w:tcPr>
            <w:tcW w:w="2887" w:type="dxa"/>
            <w:vAlign w:val="center"/>
            <w:hideMark/>
          </w:tcPr>
          <w:p w14:paraId="679692E3"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Gangolihat</w:t>
            </w:r>
            <w:proofErr w:type="spellEnd"/>
          </w:p>
        </w:tc>
        <w:tc>
          <w:tcPr>
            <w:tcW w:w="2970" w:type="dxa"/>
            <w:vAlign w:val="center"/>
            <w:hideMark/>
          </w:tcPr>
          <w:p w14:paraId="168E06A7"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29</w:t>
            </w:r>
          </w:p>
        </w:tc>
      </w:tr>
      <w:tr w:rsidR="00F20CFA" w:rsidRPr="00F20CFA" w14:paraId="32212653" w14:textId="77777777" w:rsidTr="00682AE2">
        <w:trPr>
          <w:trHeight w:val="365"/>
        </w:trPr>
        <w:tc>
          <w:tcPr>
            <w:tcW w:w="1073" w:type="dxa"/>
            <w:vAlign w:val="center"/>
            <w:hideMark/>
          </w:tcPr>
          <w:p w14:paraId="1D590DD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w:t>
            </w:r>
          </w:p>
        </w:tc>
        <w:tc>
          <w:tcPr>
            <w:tcW w:w="2887" w:type="dxa"/>
            <w:vAlign w:val="center"/>
            <w:hideMark/>
          </w:tcPr>
          <w:p w14:paraId="7C74973E"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Narayan Nagar</w:t>
            </w:r>
          </w:p>
        </w:tc>
        <w:tc>
          <w:tcPr>
            <w:tcW w:w="2970" w:type="dxa"/>
            <w:vAlign w:val="center"/>
            <w:hideMark/>
          </w:tcPr>
          <w:p w14:paraId="1FDB10D3"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23</w:t>
            </w:r>
          </w:p>
        </w:tc>
      </w:tr>
      <w:tr w:rsidR="00F20CFA" w:rsidRPr="00F20CFA" w14:paraId="41EB8F4E" w14:textId="77777777" w:rsidTr="00682AE2">
        <w:trPr>
          <w:trHeight w:val="341"/>
        </w:trPr>
        <w:tc>
          <w:tcPr>
            <w:tcW w:w="1073" w:type="dxa"/>
            <w:vAlign w:val="center"/>
            <w:hideMark/>
          </w:tcPr>
          <w:p w14:paraId="3CC8166B"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4.</w:t>
            </w:r>
          </w:p>
        </w:tc>
        <w:tc>
          <w:tcPr>
            <w:tcW w:w="2887" w:type="dxa"/>
            <w:vAlign w:val="center"/>
            <w:hideMark/>
          </w:tcPr>
          <w:p w14:paraId="6310DFA9"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Muwani</w:t>
            </w:r>
            <w:proofErr w:type="spellEnd"/>
          </w:p>
        </w:tc>
        <w:tc>
          <w:tcPr>
            <w:tcW w:w="2970" w:type="dxa"/>
            <w:vAlign w:val="center"/>
            <w:hideMark/>
          </w:tcPr>
          <w:p w14:paraId="1961399A"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1A7857DC" w14:textId="77777777" w:rsidTr="00682AE2">
        <w:trPr>
          <w:trHeight w:val="365"/>
        </w:trPr>
        <w:tc>
          <w:tcPr>
            <w:tcW w:w="1073" w:type="dxa"/>
            <w:vAlign w:val="center"/>
            <w:hideMark/>
          </w:tcPr>
          <w:p w14:paraId="04E56C52"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5.</w:t>
            </w:r>
          </w:p>
        </w:tc>
        <w:tc>
          <w:tcPr>
            <w:tcW w:w="2887" w:type="dxa"/>
            <w:vAlign w:val="center"/>
            <w:hideMark/>
          </w:tcPr>
          <w:p w14:paraId="7079361D"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Munsyari</w:t>
            </w:r>
            <w:proofErr w:type="spellEnd"/>
          </w:p>
        </w:tc>
        <w:tc>
          <w:tcPr>
            <w:tcW w:w="2970" w:type="dxa"/>
            <w:vAlign w:val="center"/>
            <w:hideMark/>
          </w:tcPr>
          <w:p w14:paraId="751DFCCE"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6869A99A" w14:textId="77777777" w:rsidTr="00682AE2">
        <w:trPr>
          <w:trHeight w:val="341"/>
        </w:trPr>
        <w:tc>
          <w:tcPr>
            <w:tcW w:w="1073" w:type="dxa"/>
            <w:vAlign w:val="center"/>
            <w:hideMark/>
          </w:tcPr>
          <w:p w14:paraId="15CF517D"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6.</w:t>
            </w:r>
          </w:p>
        </w:tc>
        <w:tc>
          <w:tcPr>
            <w:tcW w:w="2887" w:type="dxa"/>
            <w:vAlign w:val="center"/>
            <w:hideMark/>
          </w:tcPr>
          <w:p w14:paraId="4D75F596"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Berinag</w:t>
            </w:r>
            <w:proofErr w:type="spellEnd"/>
          </w:p>
        </w:tc>
        <w:tc>
          <w:tcPr>
            <w:tcW w:w="2970" w:type="dxa"/>
            <w:vAlign w:val="center"/>
            <w:hideMark/>
          </w:tcPr>
          <w:p w14:paraId="415B58C7"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08BA6665" w14:textId="77777777" w:rsidTr="00682AE2">
        <w:trPr>
          <w:trHeight w:val="365"/>
        </w:trPr>
        <w:tc>
          <w:tcPr>
            <w:tcW w:w="1073" w:type="dxa"/>
            <w:vAlign w:val="center"/>
            <w:hideMark/>
          </w:tcPr>
          <w:p w14:paraId="389C5495"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7.</w:t>
            </w:r>
          </w:p>
        </w:tc>
        <w:tc>
          <w:tcPr>
            <w:tcW w:w="2887" w:type="dxa"/>
            <w:vAlign w:val="center"/>
            <w:hideMark/>
          </w:tcPr>
          <w:p w14:paraId="6065B796"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Baluwakote</w:t>
            </w:r>
            <w:proofErr w:type="spellEnd"/>
          </w:p>
        </w:tc>
        <w:tc>
          <w:tcPr>
            <w:tcW w:w="2970" w:type="dxa"/>
            <w:vAlign w:val="center"/>
            <w:hideMark/>
          </w:tcPr>
          <w:p w14:paraId="3940DF11"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5B4CF4CA" w14:textId="77777777" w:rsidTr="00682AE2">
        <w:trPr>
          <w:trHeight w:val="341"/>
        </w:trPr>
        <w:tc>
          <w:tcPr>
            <w:tcW w:w="1073" w:type="dxa"/>
            <w:vAlign w:val="center"/>
            <w:hideMark/>
          </w:tcPr>
          <w:p w14:paraId="71F6F4A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8.</w:t>
            </w:r>
          </w:p>
        </w:tc>
        <w:tc>
          <w:tcPr>
            <w:tcW w:w="2887" w:type="dxa"/>
            <w:vAlign w:val="center"/>
            <w:hideMark/>
          </w:tcPr>
          <w:p w14:paraId="2A147AD8"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Pithoragarh</w:t>
            </w:r>
          </w:p>
        </w:tc>
        <w:tc>
          <w:tcPr>
            <w:tcW w:w="2970" w:type="dxa"/>
            <w:vAlign w:val="center"/>
            <w:hideMark/>
          </w:tcPr>
          <w:p w14:paraId="6EB971BB"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74F7EB4E" w14:textId="77777777" w:rsidTr="00682AE2">
        <w:trPr>
          <w:trHeight w:val="365"/>
        </w:trPr>
        <w:tc>
          <w:tcPr>
            <w:tcW w:w="1073" w:type="dxa"/>
            <w:vAlign w:val="center"/>
            <w:hideMark/>
          </w:tcPr>
          <w:p w14:paraId="3257CBEA" w14:textId="77777777" w:rsidR="00F20CFA" w:rsidRPr="00F20CFA" w:rsidRDefault="00F20CFA" w:rsidP="00206768">
            <w:pPr>
              <w:jc w:val="center"/>
              <w:rPr>
                <w:rFonts w:ascii="Times New Roman" w:eastAsia="Times New Roman" w:hAnsi="Times New Roman" w:cs="Times New Roman"/>
                <w:sz w:val="24"/>
                <w:szCs w:val="24"/>
              </w:rPr>
            </w:pPr>
          </w:p>
        </w:tc>
        <w:tc>
          <w:tcPr>
            <w:tcW w:w="2887" w:type="dxa"/>
            <w:vAlign w:val="center"/>
            <w:hideMark/>
          </w:tcPr>
          <w:p w14:paraId="6D36A460"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Total</w:t>
            </w:r>
          </w:p>
        </w:tc>
        <w:tc>
          <w:tcPr>
            <w:tcW w:w="2970" w:type="dxa"/>
            <w:vAlign w:val="center"/>
            <w:hideMark/>
          </w:tcPr>
          <w:p w14:paraId="644CE4F1"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232</w:t>
            </w:r>
          </w:p>
        </w:tc>
      </w:tr>
    </w:tbl>
    <w:p w14:paraId="0F243B01" w14:textId="77777777" w:rsidR="00675114" w:rsidRDefault="00675114" w:rsidP="003C2317">
      <w:pPr>
        <w:spacing w:line="360" w:lineRule="auto"/>
        <w:jc w:val="both"/>
        <w:rPr>
          <w:rFonts w:ascii="Times New Roman" w:hAnsi="Times New Roman" w:cs="Times New Roman"/>
          <w:b/>
          <w:sz w:val="24"/>
          <w:szCs w:val="24"/>
        </w:rPr>
      </w:pPr>
    </w:p>
    <w:p w14:paraId="660B15E8" w14:textId="1AE99C77" w:rsidR="003C2317" w:rsidRDefault="003C2317" w:rsidP="003C2317">
      <w:pPr>
        <w:spacing w:line="360" w:lineRule="auto"/>
        <w:jc w:val="both"/>
        <w:rPr>
          <w:rFonts w:ascii="Times New Roman" w:hAnsi="Times New Roman" w:cs="Times New Roman"/>
          <w:b/>
          <w:sz w:val="24"/>
          <w:szCs w:val="24"/>
        </w:rPr>
      </w:pPr>
      <w:r w:rsidRPr="007D63CC">
        <w:rPr>
          <w:rFonts w:ascii="Times New Roman" w:hAnsi="Times New Roman" w:cs="Times New Roman"/>
          <w:b/>
          <w:sz w:val="24"/>
          <w:szCs w:val="24"/>
        </w:rPr>
        <w:t xml:space="preserve">Area of Study </w:t>
      </w:r>
    </w:p>
    <w:p w14:paraId="525447D0" w14:textId="77777777" w:rsidR="003C2317" w:rsidRPr="00303544" w:rsidRDefault="003C2317" w:rsidP="003C2317">
      <w:pPr>
        <w:spacing w:line="360" w:lineRule="auto"/>
        <w:ind w:firstLine="720"/>
        <w:jc w:val="both"/>
        <w:rPr>
          <w:rFonts w:ascii="Times New Roman" w:hAnsi="Times New Roman" w:cs="Times New Roman"/>
          <w:sz w:val="24"/>
          <w:szCs w:val="24"/>
        </w:rPr>
      </w:pPr>
      <w:r w:rsidRPr="00303544">
        <w:rPr>
          <w:rFonts w:ascii="Times New Roman" w:hAnsi="Times New Roman" w:cs="Times New Roman"/>
          <w:sz w:val="24"/>
          <w:szCs w:val="24"/>
        </w:rPr>
        <w:t xml:space="preserve"> </w:t>
      </w:r>
      <w:r w:rsidR="00303544" w:rsidRPr="00303544">
        <w:rPr>
          <w:rFonts w:ascii="Times New Roman" w:hAnsi="Times New Roman" w:cs="Times New Roman"/>
          <w:sz w:val="24"/>
          <w:szCs w:val="24"/>
        </w:rPr>
        <w:t>The research was conducted in Pithoragarh district, Uttarakhand, a Himalayan region with a diverse socio-cultural landscape and challenging terrain, ideal for studying higher education access for SC, ST, and OBC communities. The district’s government colleges, offering B</w:t>
      </w:r>
      <w:r w:rsidR="00303544">
        <w:rPr>
          <w:rFonts w:ascii="Times New Roman" w:hAnsi="Times New Roman" w:cs="Times New Roman"/>
          <w:sz w:val="24"/>
          <w:szCs w:val="24"/>
        </w:rPr>
        <w:t>.</w:t>
      </w:r>
      <w:r w:rsidR="00303544" w:rsidRPr="00303544">
        <w:rPr>
          <w:rFonts w:ascii="Times New Roman" w:hAnsi="Times New Roman" w:cs="Times New Roman"/>
          <w:sz w:val="24"/>
          <w:szCs w:val="24"/>
        </w:rPr>
        <w:t>A</w:t>
      </w:r>
      <w:r w:rsidR="00303544">
        <w:rPr>
          <w:rFonts w:ascii="Times New Roman" w:hAnsi="Times New Roman" w:cs="Times New Roman"/>
          <w:sz w:val="24"/>
          <w:szCs w:val="24"/>
        </w:rPr>
        <w:t>.</w:t>
      </w:r>
      <w:r w:rsidR="00303544" w:rsidRPr="00303544">
        <w:rPr>
          <w:rFonts w:ascii="Times New Roman" w:hAnsi="Times New Roman" w:cs="Times New Roman"/>
          <w:sz w:val="24"/>
          <w:szCs w:val="24"/>
        </w:rPr>
        <w:t>, B</w:t>
      </w:r>
      <w:r w:rsidR="00303544">
        <w:rPr>
          <w:rFonts w:ascii="Times New Roman" w:hAnsi="Times New Roman" w:cs="Times New Roman"/>
          <w:sz w:val="24"/>
          <w:szCs w:val="24"/>
        </w:rPr>
        <w:t>.</w:t>
      </w:r>
      <w:r w:rsidR="00303544" w:rsidRPr="00303544">
        <w:rPr>
          <w:rFonts w:ascii="Times New Roman" w:hAnsi="Times New Roman" w:cs="Times New Roman"/>
          <w:sz w:val="24"/>
          <w:szCs w:val="24"/>
        </w:rPr>
        <w:t>Sc</w:t>
      </w:r>
      <w:r w:rsidR="00303544">
        <w:rPr>
          <w:rFonts w:ascii="Times New Roman" w:hAnsi="Times New Roman" w:cs="Times New Roman"/>
          <w:sz w:val="24"/>
          <w:szCs w:val="24"/>
        </w:rPr>
        <w:t>.</w:t>
      </w:r>
      <w:r w:rsidR="00303544" w:rsidRPr="00303544">
        <w:rPr>
          <w:rFonts w:ascii="Times New Roman" w:hAnsi="Times New Roman" w:cs="Times New Roman"/>
          <w:sz w:val="24"/>
          <w:szCs w:val="24"/>
        </w:rPr>
        <w:t>, and B</w:t>
      </w:r>
      <w:r w:rsidR="00303544">
        <w:rPr>
          <w:rFonts w:ascii="Times New Roman" w:hAnsi="Times New Roman" w:cs="Times New Roman"/>
          <w:sz w:val="24"/>
          <w:szCs w:val="24"/>
        </w:rPr>
        <w:t>.</w:t>
      </w:r>
      <w:r w:rsidR="00303544" w:rsidRPr="00303544">
        <w:rPr>
          <w:rFonts w:ascii="Times New Roman" w:hAnsi="Times New Roman" w:cs="Times New Roman"/>
          <w:sz w:val="24"/>
          <w:szCs w:val="24"/>
        </w:rPr>
        <w:t>Com</w:t>
      </w:r>
      <w:r w:rsidR="00303544">
        <w:rPr>
          <w:rFonts w:ascii="Times New Roman" w:hAnsi="Times New Roman" w:cs="Times New Roman"/>
          <w:sz w:val="24"/>
          <w:szCs w:val="24"/>
        </w:rPr>
        <w:t>.</w:t>
      </w:r>
      <w:r w:rsidR="00303544" w:rsidRPr="00303544">
        <w:rPr>
          <w:rFonts w:ascii="Times New Roman" w:hAnsi="Times New Roman" w:cs="Times New Roman"/>
          <w:sz w:val="24"/>
          <w:szCs w:val="24"/>
        </w:rPr>
        <w:t xml:space="preserve"> courses and affiliated with </w:t>
      </w:r>
      <w:proofErr w:type="spellStart"/>
      <w:r w:rsidR="00303544" w:rsidRPr="00303544">
        <w:rPr>
          <w:rFonts w:ascii="Times New Roman" w:hAnsi="Times New Roman" w:cs="Times New Roman"/>
          <w:sz w:val="24"/>
          <w:szCs w:val="24"/>
        </w:rPr>
        <w:t>Soban</w:t>
      </w:r>
      <w:proofErr w:type="spellEnd"/>
      <w:r w:rsidR="00303544" w:rsidRPr="00303544">
        <w:rPr>
          <w:rFonts w:ascii="Times New Roman" w:hAnsi="Times New Roman" w:cs="Times New Roman"/>
          <w:sz w:val="24"/>
          <w:szCs w:val="24"/>
        </w:rPr>
        <w:t xml:space="preserve"> Singh </w:t>
      </w:r>
      <w:proofErr w:type="spellStart"/>
      <w:r w:rsidR="00303544" w:rsidRPr="00303544">
        <w:rPr>
          <w:rFonts w:ascii="Times New Roman" w:hAnsi="Times New Roman" w:cs="Times New Roman"/>
          <w:sz w:val="24"/>
          <w:szCs w:val="24"/>
        </w:rPr>
        <w:t>Jeena</w:t>
      </w:r>
      <w:proofErr w:type="spellEnd"/>
      <w:r w:rsidR="00303544" w:rsidRPr="00303544">
        <w:rPr>
          <w:rFonts w:ascii="Times New Roman" w:hAnsi="Times New Roman" w:cs="Times New Roman"/>
          <w:sz w:val="24"/>
          <w:szCs w:val="24"/>
        </w:rPr>
        <w:t xml:space="preserve"> University, </w:t>
      </w:r>
      <w:proofErr w:type="spellStart"/>
      <w:r w:rsidR="00303544" w:rsidRPr="00303544">
        <w:rPr>
          <w:rFonts w:ascii="Times New Roman" w:hAnsi="Times New Roman" w:cs="Times New Roman"/>
          <w:sz w:val="24"/>
          <w:szCs w:val="24"/>
        </w:rPr>
        <w:t>Almora</w:t>
      </w:r>
      <w:proofErr w:type="spellEnd"/>
      <w:r w:rsidR="00303544" w:rsidRPr="00303544">
        <w:rPr>
          <w:rFonts w:ascii="Times New Roman" w:hAnsi="Times New Roman" w:cs="Times New Roman"/>
          <w:sz w:val="24"/>
          <w:szCs w:val="24"/>
        </w:rPr>
        <w:t xml:space="preserve">, provide a </w:t>
      </w:r>
      <w:r w:rsidR="00303544" w:rsidRPr="00303544">
        <w:rPr>
          <w:rFonts w:ascii="Times New Roman" w:hAnsi="Times New Roman" w:cs="Times New Roman"/>
          <w:sz w:val="24"/>
          <w:szCs w:val="24"/>
        </w:rPr>
        <w:lastRenderedPageBreak/>
        <w:t>platform to examine inclusivity, quality, and challenges in higher education for equitable socio-economic development.</w:t>
      </w:r>
    </w:p>
    <w:p w14:paraId="0653CAF0" w14:textId="77777777" w:rsidR="00682AE2" w:rsidRPr="00682AE2" w:rsidRDefault="00682AE2" w:rsidP="00682AE2">
      <w:pPr>
        <w:spacing w:line="360" w:lineRule="auto"/>
        <w:jc w:val="both"/>
        <w:rPr>
          <w:rFonts w:ascii="Times New Roman" w:hAnsi="Times New Roman" w:cs="Times New Roman"/>
          <w:b/>
          <w:sz w:val="24"/>
          <w:szCs w:val="24"/>
        </w:rPr>
      </w:pPr>
      <w:r w:rsidRPr="00682AE2">
        <w:rPr>
          <w:rFonts w:ascii="Times New Roman" w:hAnsi="Times New Roman" w:cs="Times New Roman"/>
          <w:b/>
          <w:sz w:val="24"/>
          <w:szCs w:val="24"/>
        </w:rPr>
        <w:t>Statistical Method</w:t>
      </w:r>
    </w:p>
    <w:p w14:paraId="579CFA88" w14:textId="77777777" w:rsidR="00206768" w:rsidRPr="00206768" w:rsidRDefault="00206768" w:rsidP="00682AE2">
      <w:pPr>
        <w:spacing w:line="360" w:lineRule="auto"/>
        <w:ind w:firstLine="720"/>
        <w:jc w:val="both"/>
        <w:rPr>
          <w:rFonts w:ascii="Times New Roman" w:hAnsi="Times New Roman" w:cs="Times New Roman"/>
          <w:sz w:val="24"/>
          <w:szCs w:val="24"/>
        </w:rPr>
      </w:pPr>
      <w:r w:rsidRPr="00206768">
        <w:rPr>
          <w:rFonts w:ascii="Times New Roman" w:hAnsi="Times New Roman" w:cs="Times New Roman"/>
          <w:sz w:val="24"/>
          <w:szCs w:val="24"/>
        </w:rPr>
        <w:t xml:space="preserve">Two structured tools were developed to collect data: </w:t>
      </w:r>
      <w:proofErr w:type="gramStart"/>
      <w:r w:rsidRPr="00206768">
        <w:rPr>
          <w:rFonts w:ascii="Times New Roman" w:hAnsi="Times New Roman" w:cs="Times New Roman"/>
          <w:sz w:val="24"/>
          <w:szCs w:val="24"/>
        </w:rPr>
        <w:t>the</w:t>
      </w:r>
      <w:proofErr w:type="gramEnd"/>
      <w:r w:rsidRPr="00206768">
        <w:rPr>
          <w:rFonts w:ascii="Times New Roman" w:hAnsi="Times New Roman" w:cs="Times New Roman"/>
          <w:sz w:val="24"/>
          <w:szCs w:val="24"/>
        </w:rPr>
        <w:t xml:space="preserve"> Socio-Cultural Perspectives </w:t>
      </w:r>
      <w:r>
        <w:rPr>
          <w:rFonts w:ascii="Times New Roman" w:hAnsi="Times New Roman" w:cs="Times New Roman"/>
          <w:sz w:val="24"/>
          <w:szCs w:val="24"/>
        </w:rPr>
        <w:t xml:space="preserve">Scale </w:t>
      </w:r>
      <w:r w:rsidRPr="00206768">
        <w:rPr>
          <w:rFonts w:ascii="Times New Roman" w:hAnsi="Times New Roman" w:cs="Times New Roman"/>
          <w:sz w:val="24"/>
          <w:szCs w:val="24"/>
        </w:rPr>
        <w:t xml:space="preserve">captured students’ views and experiences related to language, customs, traditions, gender roles, community influence, and social support, while the Educational Perspectives </w:t>
      </w:r>
      <w:r>
        <w:rPr>
          <w:rFonts w:ascii="Times New Roman" w:hAnsi="Times New Roman" w:cs="Times New Roman"/>
          <w:sz w:val="24"/>
          <w:szCs w:val="24"/>
        </w:rPr>
        <w:t xml:space="preserve">Scale </w:t>
      </w:r>
      <w:r w:rsidRPr="00206768">
        <w:rPr>
          <w:rFonts w:ascii="Times New Roman" w:hAnsi="Times New Roman" w:cs="Times New Roman"/>
          <w:sz w:val="24"/>
          <w:szCs w:val="24"/>
        </w:rPr>
        <w:t>assessed their perceptions of access to higher education, academic environment, teaching-learning processes, aspirations, and perceived barriers. Both tools were validated by experts and pilot tested for clarity and reliability. Data were collected in respective institutions with prior permission, ensuring informed consent and confidentiality. Questionnaires were administered in a controlled environment. Due to the ordinal nature and non-normal distribution of data, non-parametric methods were used. The Kruskal–Wallis Test examined differences among multiple groups, the Mann–Whitney U Test compared two independent groups, and Spearman’s Rank-Order Correlation assessed associations between variables. Statistical analysis was performed using appropriate software at a significance level of p &lt; 0.05.</w:t>
      </w:r>
    </w:p>
    <w:p w14:paraId="3C4406BA" w14:textId="7795660D" w:rsidR="00B91A28" w:rsidRPr="00F20CFA" w:rsidRDefault="002536A9" w:rsidP="00B91A28">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Results</w:t>
      </w:r>
      <w:r w:rsidR="007B4F5C">
        <w:rPr>
          <w:rFonts w:ascii="Times New Roman" w:hAnsi="Times New Roman" w:cs="Times New Roman"/>
          <w:b/>
          <w:sz w:val="24"/>
          <w:szCs w:val="24"/>
        </w:rPr>
        <w:t xml:space="preserve"> &amp; Discussion</w:t>
      </w:r>
    </w:p>
    <w:p w14:paraId="18C2E6D0" w14:textId="77777777" w:rsidR="003E7B77" w:rsidRPr="00F20CFA" w:rsidRDefault="003E7B77"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This study explores how socio-cultural and educational perspectives vary across different demographic backgrounds, including gender, caste, family structure, and economic status, using a diverse sample of 232 participants drawn from multiple institutions. To ensure a robust understanding of these differences, the analysis employs non-parametric statistical tools—namely the Kruskal-Wallis test and the Mann-Whitney U test—to examine group-level variations, and Spearman’s rank-order correlation to investigate the relationship between socio-cultural and educational domains. The findings are interpreted in the broader context of community practices, institutional environments, and prevailing socio-economic conditions.</w:t>
      </w:r>
    </w:p>
    <w:p w14:paraId="081D79DB" w14:textId="057FB749"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Demographic Profile of the Sample</w:t>
      </w:r>
    </w:p>
    <w:p w14:paraId="6DD87430" w14:textId="77777777" w:rsidR="003E7B77" w:rsidRPr="00F20CFA" w:rsidRDefault="003E7B77"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The sample comprises 232 individuals, reflecting a predominantly female representation (89.2% female and 10.8% male). In terms of caste, 51.7% belong to the Scheduled Castes (SC), 12.5% to the Scheduled Tribes (ST), and 35.8% to Other Backward Classes (OBC). Regarding </w:t>
      </w:r>
      <w:r w:rsidRPr="00F20CFA">
        <w:rPr>
          <w:rFonts w:ascii="Times New Roman" w:hAnsi="Times New Roman" w:cs="Times New Roman"/>
          <w:sz w:val="24"/>
          <w:szCs w:val="24"/>
        </w:rPr>
        <w:lastRenderedPageBreak/>
        <w:t xml:space="preserve">family composition, 38.8% come from joint families while 61.2% belong to nuclear families. The economic distribution indicates that 78% of participants are from Below Poverty Line (BPL) </w:t>
      </w:r>
      <w:r w:rsidR="00692E26" w:rsidRPr="00F20CFA">
        <w:rPr>
          <w:rFonts w:ascii="Times New Roman" w:hAnsi="Times New Roman" w:cs="Times New Roman"/>
          <w:sz w:val="24"/>
          <w:szCs w:val="24"/>
        </w:rPr>
        <w:t>households</w:t>
      </w:r>
      <w:r w:rsidRPr="00F20CFA">
        <w:rPr>
          <w:rFonts w:ascii="Times New Roman" w:hAnsi="Times New Roman" w:cs="Times New Roman"/>
          <w:sz w:val="24"/>
          <w:szCs w:val="24"/>
        </w:rPr>
        <w:t xml:space="preserve"> and 22% from Above Poverty Line (APL) families. This range of backgrounds provides a meaningful basis for examining how diverse social contexts </w:t>
      </w:r>
      <w:proofErr w:type="gramStart"/>
      <w:r w:rsidRPr="00F20CFA">
        <w:rPr>
          <w:rFonts w:ascii="Times New Roman" w:hAnsi="Times New Roman" w:cs="Times New Roman"/>
          <w:sz w:val="24"/>
          <w:szCs w:val="24"/>
        </w:rPr>
        <w:t>shape</w:t>
      </w:r>
      <w:proofErr w:type="gramEnd"/>
      <w:r w:rsidRPr="00F20CFA">
        <w:rPr>
          <w:rFonts w:ascii="Times New Roman" w:hAnsi="Times New Roman" w:cs="Times New Roman"/>
          <w:sz w:val="24"/>
          <w:szCs w:val="24"/>
        </w:rPr>
        <w:t xml:space="preserve"> individual perspectives.</w:t>
      </w:r>
    </w:p>
    <w:p w14:paraId="23EE4708" w14:textId="5B2C5DC0"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Socio-Cultural Perspectives</w:t>
      </w:r>
    </w:p>
    <w:p w14:paraId="0727BF79"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Caste Groups</w:t>
      </w:r>
    </w:p>
    <w:p w14:paraId="1AE935F6" w14:textId="77777777" w:rsidR="003E7B77" w:rsidRDefault="00692E26"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The analysis showed no significant difference in socio-cultural perspectives among students from SC, ST, and OBC groups (χ² = 1.12, df = 2, p = 0.571). This indicates that caste identity may not play a major role in shaping their views, possibly due to shared educational settings, common community experiences, or similar exposure to institutional influences in the Pithoragarh district.</w:t>
      </w:r>
    </w:p>
    <w:p w14:paraId="53226979" w14:textId="3A7A7A57" w:rsidR="007B4F5C" w:rsidRPr="00F20CFA" w:rsidRDefault="007B4F5C" w:rsidP="00303544">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5</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Kruskal-Wallis Test Summary</w:t>
      </w:r>
    </w:p>
    <w:tbl>
      <w:tblPr>
        <w:tblStyle w:val="TableGrid"/>
        <w:tblW w:w="0" w:type="auto"/>
        <w:tblInd w:w="1278" w:type="dxa"/>
        <w:tblLook w:val="04A0" w:firstRow="1" w:lastRow="0" w:firstColumn="1" w:lastColumn="0" w:noHBand="0" w:noVBand="1"/>
      </w:tblPr>
      <w:tblGrid>
        <w:gridCol w:w="3510"/>
        <w:gridCol w:w="3780"/>
      </w:tblGrid>
      <w:tr w:rsidR="00BA5D69" w:rsidRPr="00F20CFA" w14:paraId="345928A3" w14:textId="77777777" w:rsidTr="00200760">
        <w:tc>
          <w:tcPr>
            <w:tcW w:w="7290" w:type="dxa"/>
            <w:gridSpan w:val="2"/>
          </w:tcPr>
          <w:p w14:paraId="7FC7F043" w14:textId="77777777" w:rsidR="00BA5D69" w:rsidRPr="00F20CFA" w:rsidRDefault="00BA5D69" w:rsidP="00BA5D69">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Kruskal-Wallis Test Summary</w:t>
            </w:r>
          </w:p>
        </w:tc>
      </w:tr>
      <w:tr w:rsidR="00BA5D69" w:rsidRPr="00F20CFA" w14:paraId="41FA17DB" w14:textId="77777777" w:rsidTr="00200760">
        <w:tc>
          <w:tcPr>
            <w:tcW w:w="3510" w:type="dxa"/>
          </w:tcPr>
          <w:p w14:paraId="5B78B713"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Total N</w:t>
            </w:r>
          </w:p>
        </w:tc>
        <w:tc>
          <w:tcPr>
            <w:tcW w:w="3780" w:type="dxa"/>
          </w:tcPr>
          <w:p w14:paraId="41144724"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BA5D69" w:rsidRPr="00F20CFA" w14:paraId="0DF24AE8" w14:textId="77777777" w:rsidTr="00200760">
        <w:tc>
          <w:tcPr>
            <w:tcW w:w="3510" w:type="dxa"/>
          </w:tcPr>
          <w:p w14:paraId="3271F5FD"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3780" w:type="dxa"/>
          </w:tcPr>
          <w:p w14:paraId="58F6C50C"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1.12</w:t>
            </w:r>
          </w:p>
        </w:tc>
      </w:tr>
      <w:tr w:rsidR="00BA5D69" w:rsidRPr="00F20CFA" w14:paraId="1D778CED" w14:textId="77777777" w:rsidTr="00200760">
        <w:tc>
          <w:tcPr>
            <w:tcW w:w="3510" w:type="dxa"/>
          </w:tcPr>
          <w:p w14:paraId="23306F30"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Degree of Freedom</w:t>
            </w:r>
          </w:p>
        </w:tc>
        <w:tc>
          <w:tcPr>
            <w:tcW w:w="3780" w:type="dxa"/>
          </w:tcPr>
          <w:p w14:paraId="1426542A"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w:t>
            </w:r>
          </w:p>
        </w:tc>
      </w:tr>
      <w:tr w:rsidR="00BA5D69" w:rsidRPr="00F20CFA" w14:paraId="192444DA" w14:textId="77777777" w:rsidTr="00200760">
        <w:tc>
          <w:tcPr>
            <w:tcW w:w="3510" w:type="dxa"/>
          </w:tcPr>
          <w:p w14:paraId="0E662662" w14:textId="45D5F9EE" w:rsidR="00BA5D69" w:rsidRPr="00F20CFA" w:rsidRDefault="00EB14ED" w:rsidP="003E7B77">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3780" w:type="dxa"/>
          </w:tcPr>
          <w:p w14:paraId="7FDB3F9C" w14:textId="77777777" w:rsidR="00BA5D69" w:rsidRPr="00F20CFA" w:rsidRDefault="00BA5D69"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1F72185E" w14:textId="77777777" w:rsidR="00BA5D69" w:rsidRPr="00F20CFA" w:rsidRDefault="00BA5D69" w:rsidP="003E7B77">
      <w:pPr>
        <w:spacing w:line="360" w:lineRule="auto"/>
        <w:jc w:val="both"/>
        <w:rPr>
          <w:rFonts w:ascii="Times New Roman" w:hAnsi="Times New Roman" w:cs="Times New Roman"/>
          <w:sz w:val="24"/>
          <w:szCs w:val="24"/>
        </w:rPr>
      </w:pPr>
    </w:p>
    <w:p w14:paraId="771D9853"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Academic Discipline</w:t>
      </w:r>
    </w:p>
    <w:p w14:paraId="4569A19C" w14:textId="77777777" w:rsidR="003E7B77" w:rsidRDefault="00200760" w:rsidP="00200760">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The comparison between students of arts and science streams showed no significant difference in their socio-cultural perspectives (U = 3855, p = 0.51). This suggests that academic discipline does not have a strong influence on how students view socio-cultural issues. Factors such as shared classroom experiences, similar exposure to social realities, and a collective sense of identity within the educational environment may contribute to shaping a common outlook. It also reflects how institutional values and peer interactions can bridge disciplinary boundaries and promote a more unified socio-cultural understanding.</w:t>
      </w:r>
    </w:p>
    <w:p w14:paraId="76B95DB1" w14:textId="622C8AF2" w:rsidR="007B4F5C" w:rsidRPr="00F20CFA" w:rsidRDefault="007B4F5C" w:rsidP="00200760">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lastRenderedPageBreak/>
        <w:t xml:space="preserve">Table </w:t>
      </w:r>
      <w:r w:rsidR="006C7562">
        <w:rPr>
          <w:rFonts w:ascii="Times New Roman" w:hAnsi="Times New Roman" w:cs="Times New Roman"/>
          <w:sz w:val="24"/>
          <w:szCs w:val="24"/>
        </w:rPr>
        <w:t>6</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(U = 3855, p = 0.51)</w:t>
      </w:r>
    </w:p>
    <w:tbl>
      <w:tblPr>
        <w:tblStyle w:val="TableGrid"/>
        <w:tblW w:w="0" w:type="auto"/>
        <w:tblInd w:w="444" w:type="dxa"/>
        <w:tblLook w:val="04A0" w:firstRow="1" w:lastRow="0" w:firstColumn="1" w:lastColumn="0" w:noHBand="0" w:noVBand="1"/>
      </w:tblPr>
      <w:tblGrid>
        <w:gridCol w:w="4685"/>
        <w:gridCol w:w="3793"/>
      </w:tblGrid>
      <w:tr w:rsidR="00BA5D69" w:rsidRPr="00F20CFA" w14:paraId="753B9108" w14:textId="77777777" w:rsidTr="00692E26">
        <w:trPr>
          <w:trHeight w:val="391"/>
        </w:trPr>
        <w:tc>
          <w:tcPr>
            <w:tcW w:w="8478" w:type="dxa"/>
            <w:gridSpan w:val="2"/>
            <w:vAlign w:val="center"/>
          </w:tcPr>
          <w:p w14:paraId="0069C873"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BA5D69" w:rsidRPr="00F20CFA" w14:paraId="5581BE14" w14:textId="77777777" w:rsidTr="00692E26">
        <w:trPr>
          <w:trHeight w:val="377"/>
        </w:trPr>
        <w:tc>
          <w:tcPr>
            <w:tcW w:w="4685" w:type="dxa"/>
            <w:vAlign w:val="center"/>
          </w:tcPr>
          <w:p w14:paraId="0937D506"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Total N</w:t>
            </w:r>
          </w:p>
        </w:tc>
        <w:tc>
          <w:tcPr>
            <w:tcW w:w="3793" w:type="dxa"/>
            <w:vAlign w:val="center"/>
          </w:tcPr>
          <w:p w14:paraId="3DF40572"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232</w:t>
            </w:r>
          </w:p>
        </w:tc>
      </w:tr>
      <w:tr w:rsidR="00BA5D69" w:rsidRPr="00F20CFA" w14:paraId="01D6AEFE" w14:textId="77777777" w:rsidTr="00692E26">
        <w:trPr>
          <w:trHeight w:val="377"/>
        </w:trPr>
        <w:tc>
          <w:tcPr>
            <w:tcW w:w="4685" w:type="dxa"/>
            <w:vAlign w:val="center"/>
          </w:tcPr>
          <w:p w14:paraId="6D65F308"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3793" w:type="dxa"/>
            <w:vAlign w:val="center"/>
          </w:tcPr>
          <w:p w14:paraId="7B297E14"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3185</w:t>
            </w:r>
          </w:p>
        </w:tc>
      </w:tr>
      <w:tr w:rsidR="00BA5D69" w:rsidRPr="00F20CFA" w14:paraId="1C655B03" w14:textId="77777777" w:rsidTr="00692E26">
        <w:trPr>
          <w:trHeight w:val="391"/>
        </w:trPr>
        <w:tc>
          <w:tcPr>
            <w:tcW w:w="4685" w:type="dxa"/>
            <w:vAlign w:val="center"/>
          </w:tcPr>
          <w:p w14:paraId="24040524"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Wilcoxon</w:t>
            </w:r>
          </w:p>
        </w:tc>
        <w:tc>
          <w:tcPr>
            <w:tcW w:w="3793" w:type="dxa"/>
            <w:vAlign w:val="center"/>
          </w:tcPr>
          <w:p w14:paraId="4945F8C4"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3650</w:t>
            </w:r>
          </w:p>
        </w:tc>
      </w:tr>
      <w:tr w:rsidR="00BA5D69" w:rsidRPr="00F20CFA" w14:paraId="122F13F0" w14:textId="77777777" w:rsidTr="00692E26">
        <w:trPr>
          <w:trHeight w:val="377"/>
        </w:trPr>
        <w:tc>
          <w:tcPr>
            <w:tcW w:w="4685" w:type="dxa"/>
            <w:vAlign w:val="center"/>
          </w:tcPr>
          <w:p w14:paraId="77613377"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3793" w:type="dxa"/>
            <w:vAlign w:val="center"/>
          </w:tcPr>
          <w:p w14:paraId="670050F7"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3185</w:t>
            </w:r>
          </w:p>
        </w:tc>
      </w:tr>
      <w:tr w:rsidR="00BA5D69" w:rsidRPr="00F20CFA" w14:paraId="1AA85745" w14:textId="77777777" w:rsidTr="00692E26">
        <w:trPr>
          <w:trHeight w:val="391"/>
        </w:trPr>
        <w:tc>
          <w:tcPr>
            <w:tcW w:w="4685" w:type="dxa"/>
            <w:vAlign w:val="center"/>
          </w:tcPr>
          <w:p w14:paraId="331C897F"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Standard Error</w:t>
            </w:r>
          </w:p>
        </w:tc>
        <w:tc>
          <w:tcPr>
            <w:tcW w:w="3793" w:type="dxa"/>
            <w:vAlign w:val="center"/>
          </w:tcPr>
          <w:p w14:paraId="68D3A686"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342.8</w:t>
            </w:r>
          </w:p>
        </w:tc>
      </w:tr>
      <w:tr w:rsidR="00BA5D69" w:rsidRPr="00F20CFA" w14:paraId="01C92A97" w14:textId="77777777" w:rsidTr="00692E26">
        <w:trPr>
          <w:trHeight w:val="377"/>
        </w:trPr>
        <w:tc>
          <w:tcPr>
            <w:tcW w:w="4685" w:type="dxa"/>
            <w:vAlign w:val="center"/>
          </w:tcPr>
          <w:p w14:paraId="4728BDD2"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3793" w:type="dxa"/>
            <w:vAlign w:val="center"/>
          </w:tcPr>
          <w:p w14:paraId="0106ED45"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0.45</w:t>
            </w:r>
          </w:p>
        </w:tc>
      </w:tr>
      <w:tr w:rsidR="00BA5D69" w:rsidRPr="00F20CFA" w14:paraId="0A2F1D86" w14:textId="77777777" w:rsidTr="00692E26">
        <w:trPr>
          <w:trHeight w:val="391"/>
        </w:trPr>
        <w:tc>
          <w:tcPr>
            <w:tcW w:w="4685" w:type="dxa"/>
            <w:vAlign w:val="center"/>
          </w:tcPr>
          <w:p w14:paraId="1D739104" w14:textId="542FD763" w:rsidR="00BA5D69" w:rsidRPr="00F20CFA" w:rsidRDefault="00EB14ED" w:rsidP="00692E26">
            <w:pPr>
              <w:spacing w:line="360" w:lineRule="auto"/>
              <w:jc w:val="center"/>
              <w:rPr>
                <w:rFonts w:ascii="Times New Roman" w:hAnsi="Times New Roman" w:cs="Times New Roman"/>
                <w:sz w:val="24"/>
                <w:szCs w:val="24"/>
              </w:rPr>
            </w:pPr>
            <w:r>
              <w:rPr>
                <w:rFonts w:ascii="Times New Roman" w:hAnsi="Times New Roman" w:cs="Times New Roman"/>
                <w:sz w:val="24"/>
                <w:szCs w:val="24"/>
              </w:rPr>
              <w:t>Level of Significance</w:t>
            </w:r>
          </w:p>
        </w:tc>
        <w:tc>
          <w:tcPr>
            <w:tcW w:w="3793" w:type="dxa"/>
            <w:vAlign w:val="center"/>
          </w:tcPr>
          <w:p w14:paraId="758F013B" w14:textId="77777777" w:rsidR="00BA5D69" w:rsidRPr="00F20CFA" w:rsidRDefault="00BA5D69"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4C8C5AE5" w14:textId="77777777" w:rsidR="00BA5D69" w:rsidRPr="00F20CFA" w:rsidRDefault="00BA5D69" w:rsidP="003E7B77">
      <w:pPr>
        <w:spacing w:line="360" w:lineRule="auto"/>
        <w:jc w:val="both"/>
        <w:rPr>
          <w:rFonts w:ascii="Times New Roman" w:hAnsi="Times New Roman" w:cs="Times New Roman"/>
          <w:sz w:val="24"/>
          <w:szCs w:val="24"/>
        </w:rPr>
      </w:pPr>
    </w:p>
    <w:p w14:paraId="3F87EC64"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Family Structure</w:t>
      </w:r>
    </w:p>
    <w:p w14:paraId="5C849311" w14:textId="77777777" w:rsidR="003E7B77" w:rsidRDefault="003E7B77" w:rsidP="00200760">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When comparing individuals from joint and nuclear families, the Mann-Whitney U test (U = 5891, p = 0.316) revealed no significant differences in socio-cultural perspectives. This suggests that family structure alone does not lead to distinct socio-cultural orientations, possibly because community norms exert a unifying influence across family types.</w:t>
      </w:r>
    </w:p>
    <w:p w14:paraId="311FE288" w14:textId="64AE8DC1" w:rsidR="007B4F5C" w:rsidRPr="00F20CFA" w:rsidRDefault="007B4F5C" w:rsidP="00200760">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7</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 xml:space="preserve">(U = 5891, p = 0.316) </w:t>
      </w:r>
    </w:p>
    <w:tbl>
      <w:tblPr>
        <w:tblStyle w:val="TableGrid"/>
        <w:tblW w:w="0" w:type="auto"/>
        <w:tblInd w:w="468" w:type="dxa"/>
        <w:tblLook w:val="04A0" w:firstRow="1" w:lastRow="0" w:firstColumn="1" w:lastColumn="0" w:noHBand="0" w:noVBand="1"/>
      </w:tblPr>
      <w:tblGrid>
        <w:gridCol w:w="4320"/>
        <w:gridCol w:w="4140"/>
      </w:tblGrid>
      <w:tr w:rsidR="00372DCE" w:rsidRPr="00F20CFA" w14:paraId="6A370652" w14:textId="77777777" w:rsidTr="00692E26">
        <w:tc>
          <w:tcPr>
            <w:tcW w:w="8460" w:type="dxa"/>
            <w:gridSpan w:val="2"/>
            <w:vAlign w:val="center"/>
          </w:tcPr>
          <w:p w14:paraId="650ACBBD"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372DCE" w:rsidRPr="00F20CFA" w14:paraId="0873FDB2" w14:textId="77777777" w:rsidTr="00692E26">
        <w:tc>
          <w:tcPr>
            <w:tcW w:w="4320" w:type="dxa"/>
            <w:vAlign w:val="center"/>
          </w:tcPr>
          <w:p w14:paraId="5BFA70DF"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Total N</w:t>
            </w:r>
          </w:p>
        </w:tc>
        <w:tc>
          <w:tcPr>
            <w:tcW w:w="4140" w:type="dxa"/>
            <w:vAlign w:val="center"/>
          </w:tcPr>
          <w:p w14:paraId="31C9093C"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232</w:t>
            </w:r>
          </w:p>
        </w:tc>
      </w:tr>
      <w:tr w:rsidR="00372DCE" w:rsidRPr="00F20CFA" w14:paraId="230CBF0B" w14:textId="77777777" w:rsidTr="00692E26">
        <w:tc>
          <w:tcPr>
            <w:tcW w:w="4320" w:type="dxa"/>
            <w:vAlign w:val="center"/>
          </w:tcPr>
          <w:p w14:paraId="64D8404C"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4140" w:type="dxa"/>
            <w:vAlign w:val="center"/>
          </w:tcPr>
          <w:p w14:paraId="57278B02"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5891</w:t>
            </w:r>
          </w:p>
        </w:tc>
      </w:tr>
      <w:tr w:rsidR="00372DCE" w:rsidRPr="00F20CFA" w14:paraId="0AA34460" w14:textId="77777777" w:rsidTr="00692E26">
        <w:tc>
          <w:tcPr>
            <w:tcW w:w="4320" w:type="dxa"/>
            <w:vAlign w:val="center"/>
          </w:tcPr>
          <w:p w14:paraId="3B09D161"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Wilcoxon</w:t>
            </w:r>
          </w:p>
        </w:tc>
        <w:tc>
          <w:tcPr>
            <w:tcW w:w="4140" w:type="dxa"/>
            <w:vAlign w:val="center"/>
          </w:tcPr>
          <w:p w14:paraId="02B23B8D"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16044</w:t>
            </w:r>
          </w:p>
        </w:tc>
      </w:tr>
      <w:tr w:rsidR="00372DCE" w:rsidRPr="00F20CFA" w14:paraId="69EB543E" w14:textId="77777777" w:rsidTr="00692E26">
        <w:tc>
          <w:tcPr>
            <w:tcW w:w="4320" w:type="dxa"/>
            <w:vAlign w:val="center"/>
          </w:tcPr>
          <w:p w14:paraId="3482DA8A"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4140" w:type="dxa"/>
            <w:vAlign w:val="center"/>
          </w:tcPr>
          <w:p w14:paraId="1B06AB6E"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5981</w:t>
            </w:r>
          </w:p>
        </w:tc>
      </w:tr>
      <w:tr w:rsidR="00372DCE" w:rsidRPr="00F20CFA" w14:paraId="62F61B91" w14:textId="77777777" w:rsidTr="00692E26">
        <w:tc>
          <w:tcPr>
            <w:tcW w:w="4320" w:type="dxa"/>
            <w:vAlign w:val="center"/>
          </w:tcPr>
          <w:p w14:paraId="040BB657"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Standard Error</w:t>
            </w:r>
          </w:p>
        </w:tc>
        <w:tc>
          <w:tcPr>
            <w:tcW w:w="4140" w:type="dxa"/>
            <w:vAlign w:val="center"/>
          </w:tcPr>
          <w:p w14:paraId="505EE14D"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497.85</w:t>
            </w:r>
          </w:p>
        </w:tc>
      </w:tr>
      <w:tr w:rsidR="00372DCE" w:rsidRPr="00F20CFA" w14:paraId="73307177" w14:textId="77777777" w:rsidTr="00692E26">
        <w:tc>
          <w:tcPr>
            <w:tcW w:w="4320" w:type="dxa"/>
            <w:vAlign w:val="center"/>
          </w:tcPr>
          <w:p w14:paraId="168C664A"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4140" w:type="dxa"/>
            <w:vAlign w:val="center"/>
          </w:tcPr>
          <w:p w14:paraId="233CEBD8"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-1.002</w:t>
            </w:r>
          </w:p>
        </w:tc>
      </w:tr>
      <w:tr w:rsidR="00372DCE" w:rsidRPr="00F20CFA" w14:paraId="74EB919D" w14:textId="77777777" w:rsidTr="00692E26">
        <w:tc>
          <w:tcPr>
            <w:tcW w:w="4320" w:type="dxa"/>
            <w:vAlign w:val="center"/>
          </w:tcPr>
          <w:p w14:paraId="247DE4AF" w14:textId="6F323766" w:rsidR="00372DCE" w:rsidRPr="00F20CFA" w:rsidRDefault="00EB14ED" w:rsidP="00692E26">
            <w:pPr>
              <w:spacing w:line="360" w:lineRule="auto"/>
              <w:jc w:val="center"/>
              <w:rPr>
                <w:rFonts w:ascii="Times New Roman" w:hAnsi="Times New Roman" w:cs="Times New Roman"/>
                <w:sz w:val="24"/>
                <w:szCs w:val="24"/>
              </w:rPr>
            </w:pPr>
            <w:r>
              <w:rPr>
                <w:rFonts w:ascii="Times New Roman" w:hAnsi="Times New Roman" w:cs="Times New Roman"/>
                <w:sz w:val="24"/>
                <w:szCs w:val="24"/>
              </w:rPr>
              <w:t>Level of Significance</w:t>
            </w:r>
          </w:p>
        </w:tc>
        <w:tc>
          <w:tcPr>
            <w:tcW w:w="4140" w:type="dxa"/>
            <w:vAlign w:val="center"/>
          </w:tcPr>
          <w:p w14:paraId="0CBACA32" w14:textId="77777777" w:rsidR="00372DCE" w:rsidRPr="00F20CFA" w:rsidRDefault="00372DCE" w:rsidP="00692E26">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0C3E2FBF" w14:textId="77777777" w:rsidR="00BA5D69" w:rsidRPr="00F20CFA" w:rsidRDefault="00BA5D69" w:rsidP="003E7B77">
      <w:pPr>
        <w:spacing w:line="360" w:lineRule="auto"/>
        <w:jc w:val="both"/>
        <w:rPr>
          <w:rFonts w:ascii="Times New Roman" w:hAnsi="Times New Roman" w:cs="Times New Roman"/>
          <w:b/>
          <w:sz w:val="24"/>
          <w:szCs w:val="24"/>
        </w:rPr>
      </w:pPr>
    </w:p>
    <w:p w14:paraId="48BA61AB"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Economic Status</w:t>
      </w:r>
    </w:p>
    <w:p w14:paraId="3141A833" w14:textId="77777777" w:rsidR="003E7B77" w:rsidRDefault="003B3233" w:rsidP="003B3233">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lastRenderedPageBreak/>
        <w:t>The comparison between students from BPL and APL households showed no significant difference in their socio-cultural perspectives (p = 0.971). Despite economic differences, students seem to share similar views, possibly shaped by the close-knit nature of communities in remote and hilly regions where collective traditions, shared struggles, and strong social ties often play a more influential role than income levels in shaping socio-cultural perspectives.</w:t>
      </w:r>
    </w:p>
    <w:p w14:paraId="332B097C" w14:textId="1FBC4321" w:rsidR="007B4F5C" w:rsidRPr="00F20CFA" w:rsidRDefault="007B4F5C" w:rsidP="003B3233">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8</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(p = 0.971)</w:t>
      </w:r>
    </w:p>
    <w:tbl>
      <w:tblPr>
        <w:tblStyle w:val="TableGrid"/>
        <w:tblW w:w="0" w:type="auto"/>
        <w:tblInd w:w="378" w:type="dxa"/>
        <w:tblLook w:val="04A0" w:firstRow="1" w:lastRow="0" w:firstColumn="1" w:lastColumn="0" w:noHBand="0" w:noVBand="1"/>
      </w:tblPr>
      <w:tblGrid>
        <w:gridCol w:w="4410"/>
        <w:gridCol w:w="4140"/>
      </w:tblGrid>
      <w:tr w:rsidR="00372DCE" w:rsidRPr="00F20CFA" w14:paraId="79DB558F" w14:textId="77777777" w:rsidTr="00692E26">
        <w:tc>
          <w:tcPr>
            <w:tcW w:w="8550" w:type="dxa"/>
            <w:gridSpan w:val="2"/>
          </w:tcPr>
          <w:p w14:paraId="3EDE8684" w14:textId="77777777" w:rsidR="00372DCE" w:rsidRPr="00F20CFA" w:rsidRDefault="00372DCE" w:rsidP="0015714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372DCE" w:rsidRPr="00F20CFA" w14:paraId="5414621F" w14:textId="77777777" w:rsidTr="00692E26">
        <w:tc>
          <w:tcPr>
            <w:tcW w:w="4410" w:type="dxa"/>
          </w:tcPr>
          <w:p w14:paraId="6E6E4675"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Total N</w:t>
            </w:r>
          </w:p>
        </w:tc>
        <w:tc>
          <w:tcPr>
            <w:tcW w:w="4140" w:type="dxa"/>
          </w:tcPr>
          <w:p w14:paraId="1791EBEB"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372DCE" w:rsidRPr="00F20CFA" w14:paraId="0AB4B68A" w14:textId="77777777" w:rsidTr="00692E26">
        <w:tc>
          <w:tcPr>
            <w:tcW w:w="4410" w:type="dxa"/>
          </w:tcPr>
          <w:p w14:paraId="2D05319B"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4140" w:type="dxa"/>
          </w:tcPr>
          <w:p w14:paraId="3B4CC1D4"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4631</w:t>
            </w:r>
          </w:p>
        </w:tc>
      </w:tr>
      <w:tr w:rsidR="00372DCE" w:rsidRPr="00F20CFA" w14:paraId="6DCEC07B" w14:textId="77777777" w:rsidTr="00692E26">
        <w:tc>
          <w:tcPr>
            <w:tcW w:w="4410" w:type="dxa"/>
          </w:tcPr>
          <w:p w14:paraId="51CB7B69"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Wilcoxon</w:t>
            </w:r>
          </w:p>
        </w:tc>
        <w:tc>
          <w:tcPr>
            <w:tcW w:w="4140" w:type="dxa"/>
          </w:tcPr>
          <w:p w14:paraId="064A5C97"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5957</w:t>
            </w:r>
          </w:p>
        </w:tc>
      </w:tr>
      <w:tr w:rsidR="00372DCE" w:rsidRPr="00F20CFA" w14:paraId="0A2105AB" w14:textId="77777777" w:rsidTr="00692E26">
        <w:tc>
          <w:tcPr>
            <w:tcW w:w="4410" w:type="dxa"/>
          </w:tcPr>
          <w:p w14:paraId="2FBB0E4B"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4140" w:type="dxa"/>
          </w:tcPr>
          <w:p w14:paraId="36202465"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4631</w:t>
            </w:r>
          </w:p>
        </w:tc>
      </w:tr>
      <w:tr w:rsidR="00372DCE" w:rsidRPr="00F20CFA" w14:paraId="7F9B60DA" w14:textId="77777777" w:rsidTr="00692E26">
        <w:tc>
          <w:tcPr>
            <w:tcW w:w="4410" w:type="dxa"/>
          </w:tcPr>
          <w:p w14:paraId="2FE335D5"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 Error</w:t>
            </w:r>
          </w:p>
        </w:tc>
        <w:tc>
          <w:tcPr>
            <w:tcW w:w="4140" w:type="dxa"/>
          </w:tcPr>
          <w:p w14:paraId="3A94F582"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423.12</w:t>
            </w:r>
          </w:p>
        </w:tc>
      </w:tr>
      <w:tr w:rsidR="00372DCE" w:rsidRPr="00F20CFA" w14:paraId="46690EDF" w14:textId="77777777" w:rsidTr="00692E26">
        <w:tc>
          <w:tcPr>
            <w:tcW w:w="4410" w:type="dxa"/>
          </w:tcPr>
          <w:p w14:paraId="06DF893B"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4140" w:type="dxa"/>
          </w:tcPr>
          <w:p w14:paraId="48A03DA0"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.037</w:t>
            </w:r>
          </w:p>
        </w:tc>
      </w:tr>
      <w:tr w:rsidR="00372DCE" w:rsidRPr="00F20CFA" w14:paraId="63AF04E2" w14:textId="77777777" w:rsidTr="00692E26">
        <w:tc>
          <w:tcPr>
            <w:tcW w:w="4410" w:type="dxa"/>
          </w:tcPr>
          <w:p w14:paraId="476C627E" w14:textId="46C3F202" w:rsidR="00372DCE" w:rsidRPr="00F20CFA" w:rsidRDefault="00EB14ED" w:rsidP="00157140">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4140" w:type="dxa"/>
          </w:tcPr>
          <w:p w14:paraId="240B61AE"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4C5B468A" w14:textId="77777777" w:rsidR="00372DCE" w:rsidRPr="00F20CFA" w:rsidRDefault="00372DCE" w:rsidP="003E7B77">
      <w:pPr>
        <w:spacing w:line="360" w:lineRule="auto"/>
        <w:jc w:val="both"/>
        <w:rPr>
          <w:rFonts w:ascii="Times New Roman" w:hAnsi="Times New Roman" w:cs="Times New Roman"/>
          <w:sz w:val="24"/>
          <w:szCs w:val="24"/>
        </w:rPr>
      </w:pPr>
    </w:p>
    <w:p w14:paraId="64AE004F"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Educational Perspectives</w:t>
      </w:r>
    </w:p>
    <w:p w14:paraId="024ED149"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Caste Groups</w:t>
      </w:r>
    </w:p>
    <w:p w14:paraId="24BF974B" w14:textId="77777777" w:rsidR="003E7B77" w:rsidRDefault="003B3233" w:rsidP="003B3233">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The educational perspectives among higher education students from SC, ST, and OBC groups revealed no significant difference (χ² = 0.421, p = 0.81). This indicates that caste background does not substantially impact students’ academic experiences in the institutions studied. Factors such as equal access to teaching resources, supportive faculty, peer interaction, and government initiatives like scholarships and reservations may have contributed to reducing disparities. In the context of remote and hilly regions like Pithoragarh, where students often face similar challenges and share common goals, educational settings appear to foster an inclusive and equitable learning environment across caste groups.</w:t>
      </w:r>
    </w:p>
    <w:p w14:paraId="27FE9669" w14:textId="2A27F553" w:rsidR="007B4F5C" w:rsidRPr="00F20CFA" w:rsidRDefault="007B4F5C" w:rsidP="003B3233">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9</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Kruskal-Wallis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(χ² = 0.421, p = 0.81)</w:t>
      </w:r>
    </w:p>
    <w:tbl>
      <w:tblPr>
        <w:tblStyle w:val="TableGrid"/>
        <w:tblW w:w="0" w:type="auto"/>
        <w:tblInd w:w="378" w:type="dxa"/>
        <w:tblLook w:val="04A0" w:firstRow="1" w:lastRow="0" w:firstColumn="1" w:lastColumn="0" w:noHBand="0" w:noVBand="1"/>
      </w:tblPr>
      <w:tblGrid>
        <w:gridCol w:w="4410"/>
        <w:gridCol w:w="4140"/>
      </w:tblGrid>
      <w:tr w:rsidR="00372DCE" w:rsidRPr="00F20CFA" w14:paraId="76A57DE8" w14:textId="77777777" w:rsidTr="00692E26">
        <w:tc>
          <w:tcPr>
            <w:tcW w:w="8550" w:type="dxa"/>
            <w:gridSpan w:val="2"/>
          </w:tcPr>
          <w:p w14:paraId="651BCD72" w14:textId="77777777" w:rsidR="00372DCE" w:rsidRPr="00F20CFA" w:rsidRDefault="00372DCE" w:rsidP="0015714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Kruskal-Wallis Test Summary</w:t>
            </w:r>
          </w:p>
        </w:tc>
      </w:tr>
      <w:tr w:rsidR="00372DCE" w:rsidRPr="00F20CFA" w14:paraId="13977758" w14:textId="77777777" w:rsidTr="00692E26">
        <w:tc>
          <w:tcPr>
            <w:tcW w:w="4410" w:type="dxa"/>
          </w:tcPr>
          <w:p w14:paraId="45DC11E9"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lastRenderedPageBreak/>
              <w:t>Total N</w:t>
            </w:r>
          </w:p>
        </w:tc>
        <w:tc>
          <w:tcPr>
            <w:tcW w:w="4140" w:type="dxa"/>
          </w:tcPr>
          <w:p w14:paraId="26A7EF63"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372DCE" w:rsidRPr="00F20CFA" w14:paraId="1581CA9A" w14:textId="77777777" w:rsidTr="00692E26">
        <w:tc>
          <w:tcPr>
            <w:tcW w:w="4410" w:type="dxa"/>
          </w:tcPr>
          <w:p w14:paraId="34CA1E4C"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4140" w:type="dxa"/>
          </w:tcPr>
          <w:p w14:paraId="48F90D58"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0.421</w:t>
            </w:r>
          </w:p>
        </w:tc>
      </w:tr>
      <w:tr w:rsidR="00372DCE" w:rsidRPr="00F20CFA" w14:paraId="3D8556BB" w14:textId="77777777" w:rsidTr="00692E26">
        <w:tc>
          <w:tcPr>
            <w:tcW w:w="4410" w:type="dxa"/>
          </w:tcPr>
          <w:p w14:paraId="2F46436C"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Degree of Freedom</w:t>
            </w:r>
          </w:p>
        </w:tc>
        <w:tc>
          <w:tcPr>
            <w:tcW w:w="4140" w:type="dxa"/>
          </w:tcPr>
          <w:p w14:paraId="35955908"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w:t>
            </w:r>
          </w:p>
        </w:tc>
      </w:tr>
      <w:tr w:rsidR="00372DCE" w:rsidRPr="00F20CFA" w14:paraId="5DC04E86" w14:textId="77777777" w:rsidTr="00692E26">
        <w:tc>
          <w:tcPr>
            <w:tcW w:w="4410" w:type="dxa"/>
          </w:tcPr>
          <w:p w14:paraId="3F5D2112" w14:textId="621598C2" w:rsidR="00372DCE" w:rsidRPr="00F20CFA" w:rsidRDefault="00EB14ED" w:rsidP="00157140">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4140" w:type="dxa"/>
          </w:tcPr>
          <w:p w14:paraId="72CA80E9"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35914977" w14:textId="77777777" w:rsidR="00372DCE" w:rsidRPr="00F20CFA" w:rsidRDefault="00372DCE" w:rsidP="003E7B77">
      <w:pPr>
        <w:spacing w:line="360" w:lineRule="auto"/>
        <w:jc w:val="both"/>
        <w:rPr>
          <w:rFonts w:ascii="Times New Roman" w:hAnsi="Times New Roman" w:cs="Times New Roman"/>
          <w:b/>
          <w:sz w:val="24"/>
          <w:szCs w:val="24"/>
        </w:rPr>
      </w:pPr>
    </w:p>
    <w:p w14:paraId="21BC2B74"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Academic Discipline</w:t>
      </w:r>
    </w:p>
    <w:p w14:paraId="4ADBD715" w14:textId="77777777" w:rsidR="003E7B77" w:rsidRDefault="008F57B0"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Students from arts and science streams were found to differ significantly in their educational experiences (U = 6816.5, z = 2.361, p = 0.018). This difference may stem from various factors such as the nature of the curriculum, teaching methods, and access to academic resources like labs or fieldwork opportunities. Arts students may have more theoretical and discussion-based learning, while science students often engage in practical and experimental work. Differences in faculty approach, classroom environment, and future career orientation can also influence how students from each stream perceive their academic journey. These findings highlight the need to address stream-specific challenges in higher education.</w:t>
      </w:r>
    </w:p>
    <w:p w14:paraId="2003433B" w14:textId="126E6B66" w:rsidR="007B4F5C" w:rsidRPr="00F20CFA" w:rsidRDefault="007B4F5C" w:rsidP="00303544">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10</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(U = 6816.5, z = 2.361, p = 0.018)</w:t>
      </w:r>
    </w:p>
    <w:tbl>
      <w:tblPr>
        <w:tblStyle w:val="TableGrid"/>
        <w:tblW w:w="0" w:type="auto"/>
        <w:tblInd w:w="378" w:type="dxa"/>
        <w:tblLook w:val="04A0" w:firstRow="1" w:lastRow="0" w:firstColumn="1" w:lastColumn="0" w:noHBand="0" w:noVBand="1"/>
      </w:tblPr>
      <w:tblGrid>
        <w:gridCol w:w="4410"/>
        <w:gridCol w:w="4230"/>
      </w:tblGrid>
      <w:tr w:rsidR="00372DCE" w:rsidRPr="00F20CFA" w14:paraId="4F1648A2" w14:textId="77777777" w:rsidTr="00692E26">
        <w:tc>
          <w:tcPr>
            <w:tcW w:w="8640" w:type="dxa"/>
            <w:gridSpan w:val="2"/>
          </w:tcPr>
          <w:p w14:paraId="6ED72794" w14:textId="77777777" w:rsidR="00372DCE" w:rsidRPr="00F20CFA" w:rsidRDefault="00372DCE" w:rsidP="0015714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372DCE" w:rsidRPr="00F20CFA" w14:paraId="6AD0D621" w14:textId="77777777" w:rsidTr="00692E26">
        <w:tc>
          <w:tcPr>
            <w:tcW w:w="4410" w:type="dxa"/>
          </w:tcPr>
          <w:p w14:paraId="24ED5009"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Total N</w:t>
            </w:r>
          </w:p>
        </w:tc>
        <w:tc>
          <w:tcPr>
            <w:tcW w:w="4230" w:type="dxa"/>
          </w:tcPr>
          <w:p w14:paraId="3F24334D"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372DCE" w:rsidRPr="00F20CFA" w14:paraId="5EE39970" w14:textId="77777777" w:rsidTr="00692E26">
        <w:tc>
          <w:tcPr>
            <w:tcW w:w="4410" w:type="dxa"/>
          </w:tcPr>
          <w:p w14:paraId="68B3A2ED"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4230" w:type="dxa"/>
          </w:tcPr>
          <w:p w14:paraId="4E7E5083"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5541.5</w:t>
            </w:r>
          </w:p>
        </w:tc>
      </w:tr>
      <w:tr w:rsidR="00372DCE" w:rsidRPr="00F20CFA" w14:paraId="71F57AAA" w14:textId="77777777" w:rsidTr="00692E26">
        <w:tc>
          <w:tcPr>
            <w:tcW w:w="4410" w:type="dxa"/>
          </w:tcPr>
          <w:p w14:paraId="5C825473"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Wilcoxon</w:t>
            </w:r>
          </w:p>
        </w:tc>
        <w:tc>
          <w:tcPr>
            <w:tcW w:w="4230" w:type="dxa"/>
          </w:tcPr>
          <w:p w14:paraId="0EEE95CC"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6816.5</w:t>
            </w:r>
          </w:p>
        </w:tc>
      </w:tr>
      <w:tr w:rsidR="00372DCE" w:rsidRPr="00F20CFA" w14:paraId="51A922B0" w14:textId="77777777" w:rsidTr="00692E26">
        <w:tc>
          <w:tcPr>
            <w:tcW w:w="4410" w:type="dxa"/>
          </w:tcPr>
          <w:p w14:paraId="716FB781"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4230" w:type="dxa"/>
          </w:tcPr>
          <w:p w14:paraId="65DFB17E"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5541.5</w:t>
            </w:r>
          </w:p>
        </w:tc>
      </w:tr>
      <w:tr w:rsidR="00372DCE" w:rsidRPr="00F20CFA" w14:paraId="6E59153A" w14:textId="77777777" w:rsidTr="00692E26">
        <w:tc>
          <w:tcPr>
            <w:tcW w:w="4410" w:type="dxa"/>
          </w:tcPr>
          <w:p w14:paraId="60A493B3"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 Error</w:t>
            </w:r>
          </w:p>
        </w:tc>
        <w:tc>
          <w:tcPr>
            <w:tcW w:w="4230" w:type="dxa"/>
          </w:tcPr>
          <w:p w14:paraId="24C32B19"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420.03</w:t>
            </w:r>
          </w:p>
        </w:tc>
      </w:tr>
      <w:tr w:rsidR="00372DCE" w:rsidRPr="00F20CFA" w14:paraId="621D8533" w14:textId="77777777" w:rsidTr="00692E26">
        <w:tc>
          <w:tcPr>
            <w:tcW w:w="4410" w:type="dxa"/>
          </w:tcPr>
          <w:p w14:paraId="6A904648"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4230" w:type="dxa"/>
          </w:tcPr>
          <w:p w14:paraId="3BE52DDF"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2.36</w:t>
            </w:r>
          </w:p>
        </w:tc>
      </w:tr>
      <w:tr w:rsidR="00372DCE" w:rsidRPr="00F20CFA" w14:paraId="79AE8E25" w14:textId="77777777" w:rsidTr="00692E26">
        <w:tc>
          <w:tcPr>
            <w:tcW w:w="4410" w:type="dxa"/>
          </w:tcPr>
          <w:p w14:paraId="218BD06B" w14:textId="03366D60" w:rsidR="00372DCE" w:rsidRPr="00F20CFA" w:rsidRDefault="00EB14ED" w:rsidP="00157140">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4230" w:type="dxa"/>
          </w:tcPr>
          <w:p w14:paraId="0BC75903" w14:textId="09503C65" w:rsidR="00372DCE" w:rsidRPr="00EB14ED" w:rsidRDefault="00372DCE" w:rsidP="00157140">
            <w:pPr>
              <w:spacing w:line="360" w:lineRule="auto"/>
              <w:jc w:val="both"/>
              <w:rPr>
                <w:rFonts w:ascii="Times New Roman" w:hAnsi="Times New Roman" w:cs="Times New Roman"/>
                <w:b/>
                <w:bCs/>
                <w:sz w:val="24"/>
                <w:szCs w:val="24"/>
              </w:rPr>
            </w:pPr>
            <w:r w:rsidRPr="00EB14ED">
              <w:rPr>
                <w:rFonts w:ascii="Times New Roman" w:hAnsi="Times New Roman" w:cs="Times New Roman"/>
                <w:b/>
                <w:bCs/>
                <w:sz w:val="24"/>
                <w:szCs w:val="24"/>
              </w:rPr>
              <w:t>Significant</w:t>
            </w:r>
            <w:r w:rsidR="00EB14ED">
              <w:rPr>
                <w:rFonts w:ascii="Times New Roman" w:hAnsi="Times New Roman" w:cs="Times New Roman"/>
                <w:b/>
                <w:bCs/>
                <w:sz w:val="24"/>
                <w:szCs w:val="24"/>
              </w:rPr>
              <w:t>*</w:t>
            </w:r>
          </w:p>
        </w:tc>
      </w:tr>
    </w:tbl>
    <w:p w14:paraId="38901B47" w14:textId="77777777" w:rsidR="00372DCE" w:rsidRPr="00F20CFA" w:rsidRDefault="00372DCE" w:rsidP="003E7B77">
      <w:pPr>
        <w:spacing w:line="360" w:lineRule="auto"/>
        <w:jc w:val="both"/>
        <w:rPr>
          <w:rFonts w:ascii="Times New Roman" w:hAnsi="Times New Roman" w:cs="Times New Roman"/>
          <w:b/>
          <w:sz w:val="24"/>
          <w:szCs w:val="24"/>
        </w:rPr>
      </w:pPr>
    </w:p>
    <w:p w14:paraId="0B7333C2"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Family Structure</w:t>
      </w:r>
    </w:p>
    <w:p w14:paraId="5D955F75" w14:textId="77777777" w:rsidR="003E7B77" w:rsidRDefault="008F57B0"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The analysis showed no significant difference in educational perspectives between students from joint and nuclear families (p = 0.536). This suggests that the type of family a student comes </w:t>
      </w:r>
      <w:r w:rsidRPr="00F20CFA">
        <w:rPr>
          <w:rFonts w:ascii="Times New Roman" w:hAnsi="Times New Roman" w:cs="Times New Roman"/>
          <w:sz w:val="24"/>
          <w:szCs w:val="24"/>
        </w:rPr>
        <w:lastRenderedPageBreak/>
        <w:t>from may not have much impact on their educational experience. Instead, factors like the learning environment, support from teachers, peer interactions, and overall institutional culture seem to play a more important role in shaping how students view their education.</w:t>
      </w:r>
    </w:p>
    <w:p w14:paraId="01C4AD29" w14:textId="65E489AA" w:rsidR="007B4F5C" w:rsidRPr="00F20CFA" w:rsidRDefault="007B4F5C" w:rsidP="00303544">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11</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(p = 0.536)</w:t>
      </w:r>
    </w:p>
    <w:tbl>
      <w:tblPr>
        <w:tblStyle w:val="TableGrid"/>
        <w:tblW w:w="0" w:type="auto"/>
        <w:tblInd w:w="828" w:type="dxa"/>
        <w:tblLook w:val="04A0" w:firstRow="1" w:lastRow="0" w:firstColumn="1" w:lastColumn="0" w:noHBand="0" w:noVBand="1"/>
      </w:tblPr>
      <w:tblGrid>
        <w:gridCol w:w="3960"/>
        <w:gridCol w:w="3960"/>
      </w:tblGrid>
      <w:tr w:rsidR="00372DCE" w:rsidRPr="00F20CFA" w14:paraId="1DDA4773" w14:textId="77777777" w:rsidTr="00692E26">
        <w:tc>
          <w:tcPr>
            <w:tcW w:w="7920" w:type="dxa"/>
            <w:gridSpan w:val="2"/>
          </w:tcPr>
          <w:p w14:paraId="467BFE5E" w14:textId="77777777" w:rsidR="00372DCE" w:rsidRPr="00F20CFA" w:rsidRDefault="00372DCE" w:rsidP="0015714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372DCE" w:rsidRPr="00F20CFA" w14:paraId="4199F0C9" w14:textId="77777777" w:rsidTr="00692E26">
        <w:tc>
          <w:tcPr>
            <w:tcW w:w="3960" w:type="dxa"/>
          </w:tcPr>
          <w:p w14:paraId="59F3BE73"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Total N</w:t>
            </w:r>
          </w:p>
        </w:tc>
        <w:tc>
          <w:tcPr>
            <w:tcW w:w="3960" w:type="dxa"/>
          </w:tcPr>
          <w:p w14:paraId="76DE1A0A"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372DCE" w:rsidRPr="00F20CFA" w14:paraId="7E9A2BD4" w14:textId="77777777" w:rsidTr="00692E26">
        <w:tc>
          <w:tcPr>
            <w:tcW w:w="3960" w:type="dxa"/>
          </w:tcPr>
          <w:p w14:paraId="49B7324D"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3960" w:type="dxa"/>
          </w:tcPr>
          <w:p w14:paraId="1411814D"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6082</w:t>
            </w:r>
          </w:p>
        </w:tc>
      </w:tr>
      <w:tr w:rsidR="00372DCE" w:rsidRPr="00F20CFA" w14:paraId="61D106B4" w14:textId="77777777" w:rsidTr="00692E26">
        <w:tc>
          <w:tcPr>
            <w:tcW w:w="3960" w:type="dxa"/>
          </w:tcPr>
          <w:p w14:paraId="7B906171"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Wilcoxon</w:t>
            </w:r>
          </w:p>
        </w:tc>
        <w:tc>
          <w:tcPr>
            <w:tcW w:w="3960" w:type="dxa"/>
          </w:tcPr>
          <w:p w14:paraId="6CF72EF3"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16235</w:t>
            </w:r>
          </w:p>
        </w:tc>
      </w:tr>
      <w:tr w:rsidR="00372DCE" w:rsidRPr="00F20CFA" w14:paraId="29BE9A25" w14:textId="77777777" w:rsidTr="00692E26">
        <w:tc>
          <w:tcPr>
            <w:tcW w:w="3960" w:type="dxa"/>
          </w:tcPr>
          <w:p w14:paraId="2AFB0CEC"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3960" w:type="dxa"/>
          </w:tcPr>
          <w:p w14:paraId="7C2B71ED"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6082</w:t>
            </w:r>
          </w:p>
        </w:tc>
      </w:tr>
      <w:tr w:rsidR="00372DCE" w:rsidRPr="00F20CFA" w14:paraId="5A549BEB" w14:textId="77777777" w:rsidTr="00692E26">
        <w:tc>
          <w:tcPr>
            <w:tcW w:w="3960" w:type="dxa"/>
          </w:tcPr>
          <w:p w14:paraId="102C3976"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 Error</w:t>
            </w:r>
          </w:p>
        </w:tc>
        <w:tc>
          <w:tcPr>
            <w:tcW w:w="3960" w:type="dxa"/>
          </w:tcPr>
          <w:p w14:paraId="0BA52A4E"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497.69</w:t>
            </w:r>
          </w:p>
        </w:tc>
      </w:tr>
      <w:tr w:rsidR="00372DCE" w:rsidRPr="00F20CFA" w14:paraId="72759DF8" w14:textId="77777777" w:rsidTr="00692E26">
        <w:tc>
          <w:tcPr>
            <w:tcW w:w="3960" w:type="dxa"/>
          </w:tcPr>
          <w:p w14:paraId="7AEE7F4D" w14:textId="77777777" w:rsidR="00372DCE" w:rsidRPr="00F20CFA" w:rsidRDefault="00372DCE"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3960" w:type="dxa"/>
          </w:tcPr>
          <w:p w14:paraId="2A96B39F"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0.62</w:t>
            </w:r>
          </w:p>
        </w:tc>
      </w:tr>
      <w:tr w:rsidR="00372DCE" w:rsidRPr="00F20CFA" w14:paraId="36797560" w14:textId="77777777" w:rsidTr="00692E26">
        <w:tc>
          <w:tcPr>
            <w:tcW w:w="3960" w:type="dxa"/>
          </w:tcPr>
          <w:p w14:paraId="253A30AD" w14:textId="4502F46F" w:rsidR="00372DCE" w:rsidRPr="00F20CFA" w:rsidRDefault="00EB14ED" w:rsidP="00157140">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3960" w:type="dxa"/>
          </w:tcPr>
          <w:p w14:paraId="446A20CF" w14:textId="77777777" w:rsidR="00372DCE"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 xml:space="preserve">Not </w:t>
            </w:r>
            <w:r w:rsidR="00372DCE" w:rsidRPr="00F20CFA">
              <w:rPr>
                <w:rFonts w:ascii="Times New Roman" w:hAnsi="Times New Roman" w:cs="Times New Roman"/>
                <w:sz w:val="24"/>
                <w:szCs w:val="24"/>
              </w:rPr>
              <w:t>Significant</w:t>
            </w:r>
          </w:p>
        </w:tc>
      </w:tr>
    </w:tbl>
    <w:p w14:paraId="6C98A4FC" w14:textId="77777777" w:rsidR="00303544" w:rsidRDefault="00303544" w:rsidP="003E7B77">
      <w:pPr>
        <w:spacing w:line="360" w:lineRule="auto"/>
        <w:jc w:val="both"/>
        <w:rPr>
          <w:rFonts w:ascii="Times New Roman" w:hAnsi="Times New Roman" w:cs="Times New Roman"/>
          <w:b/>
          <w:sz w:val="24"/>
          <w:szCs w:val="24"/>
        </w:rPr>
      </w:pPr>
    </w:p>
    <w:p w14:paraId="6113C6AD" w14:textId="77777777" w:rsidR="0055611A" w:rsidRDefault="0055611A" w:rsidP="003E7B77">
      <w:pPr>
        <w:spacing w:line="360" w:lineRule="auto"/>
        <w:jc w:val="both"/>
        <w:rPr>
          <w:rFonts w:ascii="Times New Roman" w:hAnsi="Times New Roman" w:cs="Times New Roman"/>
          <w:b/>
          <w:sz w:val="24"/>
          <w:szCs w:val="24"/>
        </w:rPr>
      </w:pPr>
    </w:p>
    <w:p w14:paraId="49A28414" w14:textId="77777777" w:rsidR="0055611A" w:rsidRDefault="0055611A" w:rsidP="003E7B77">
      <w:pPr>
        <w:spacing w:line="360" w:lineRule="auto"/>
        <w:jc w:val="both"/>
        <w:rPr>
          <w:rFonts w:ascii="Times New Roman" w:hAnsi="Times New Roman" w:cs="Times New Roman"/>
          <w:b/>
          <w:sz w:val="24"/>
          <w:szCs w:val="24"/>
        </w:rPr>
      </w:pPr>
    </w:p>
    <w:p w14:paraId="36FE51D5" w14:textId="4EB9D162"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Economic Status</w:t>
      </w:r>
    </w:p>
    <w:p w14:paraId="55961CA3" w14:textId="77777777" w:rsidR="003E7B77" w:rsidRDefault="003E7B77"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Similarly, no significant difference was found between BPL and APL participants regarding educational perspectives (U = 5185.5, z = 1.284, p = 0.99). This suggests that economic status, in this context, does not play a pivotal role in shaping educational </w:t>
      </w:r>
      <w:r w:rsidR="008F57B0" w:rsidRPr="00F20CFA">
        <w:rPr>
          <w:rFonts w:ascii="Times New Roman" w:hAnsi="Times New Roman" w:cs="Times New Roman"/>
          <w:sz w:val="24"/>
          <w:szCs w:val="24"/>
        </w:rPr>
        <w:t>perspective</w:t>
      </w:r>
      <w:r w:rsidRPr="00F20CFA">
        <w:rPr>
          <w:rFonts w:ascii="Times New Roman" w:hAnsi="Times New Roman" w:cs="Times New Roman"/>
          <w:sz w:val="24"/>
          <w:szCs w:val="24"/>
        </w:rPr>
        <w:t>s, which may reflect efforts to provide equitable educational support across socio-economic backgrounds.</w:t>
      </w:r>
    </w:p>
    <w:p w14:paraId="566C26BB" w14:textId="3D05B6F4" w:rsidR="007B4F5C" w:rsidRPr="00F20CFA" w:rsidRDefault="007B4F5C" w:rsidP="00303544">
      <w:pPr>
        <w:spacing w:line="360" w:lineRule="auto"/>
        <w:ind w:firstLine="720"/>
        <w:jc w:val="both"/>
        <w:rPr>
          <w:rFonts w:ascii="Times New Roman" w:hAnsi="Times New Roman" w:cs="Times New Roman"/>
          <w:sz w:val="24"/>
          <w:szCs w:val="24"/>
        </w:rPr>
      </w:pPr>
      <w:r w:rsidRPr="007B4F5C">
        <w:rPr>
          <w:rFonts w:ascii="Times New Roman" w:hAnsi="Times New Roman" w:cs="Times New Roman"/>
          <w:sz w:val="24"/>
          <w:szCs w:val="24"/>
        </w:rPr>
        <w:t xml:space="preserve">Table </w:t>
      </w:r>
      <w:r w:rsidR="006C7562">
        <w:rPr>
          <w:rFonts w:ascii="Times New Roman" w:hAnsi="Times New Roman" w:cs="Times New Roman"/>
          <w:sz w:val="24"/>
          <w:szCs w:val="24"/>
        </w:rPr>
        <w:t>12</w:t>
      </w:r>
      <w:r w:rsidRPr="007B4F5C">
        <w:rPr>
          <w:rFonts w:ascii="Times New Roman" w:hAnsi="Times New Roman" w:cs="Times New Roman"/>
          <w:sz w:val="24"/>
          <w:szCs w:val="24"/>
        </w:rPr>
        <w:t>:</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Independent-Samples Mann-Whitney U Test Summary</w:t>
      </w:r>
      <w:r w:rsidR="001F6E02">
        <w:rPr>
          <w:rFonts w:ascii="Times New Roman" w:hAnsi="Times New Roman" w:cs="Times New Roman"/>
          <w:sz w:val="24"/>
          <w:szCs w:val="24"/>
        </w:rPr>
        <w:t xml:space="preserve"> </w:t>
      </w:r>
      <w:r w:rsidR="001F6E02" w:rsidRPr="001F6E02">
        <w:rPr>
          <w:rFonts w:ascii="Times New Roman" w:hAnsi="Times New Roman" w:cs="Times New Roman"/>
          <w:sz w:val="24"/>
          <w:szCs w:val="24"/>
        </w:rPr>
        <w:t>(U = 5185.5, z = 1.284, p = 0.99)</w:t>
      </w:r>
    </w:p>
    <w:tbl>
      <w:tblPr>
        <w:tblStyle w:val="TableGrid"/>
        <w:tblW w:w="0" w:type="auto"/>
        <w:tblInd w:w="828" w:type="dxa"/>
        <w:tblLook w:val="04A0" w:firstRow="1" w:lastRow="0" w:firstColumn="1" w:lastColumn="0" w:noHBand="0" w:noVBand="1"/>
      </w:tblPr>
      <w:tblGrid>
        <w:gridCol w:w="3960"/>
        <w:gridCol w:w="3960"/>
      </w:tblGrid>
      <w:tr w:rsidR="00544D82" w:rsidRPr="00F20CFA" w14:paraId="6C663254" w14:textId="77777777" w:rsidTr="00692E26">
        <w:tc>
          <w:tcPr>
            <w:tcW w:w="7920" w:type="dxa"/>
            <w:gridSpan w:val="2"/>
          </w:tcPr>
          <w:p w14:paraId="7AD58542" w14:textId="77777777" w:rsidR="00544D82" w:rsidRPr="00F20CFA" w:rsidRDefault="00544D82" w:rsidP="0015714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Independent-Samples Mann-Whitney U Test Summary</w:t>
            </w:r>
          </w:p>
        </w:tc>
      </w:tr>
      <w:tr w:rsidR="00544D82" w:rsidRPr="00F20CFA" w14:paraId="3B97978E" w14:textId="77777777" w:rsidTr="00692E26">
        <w:tc>
          <w:tcPr>
            <w:tcW w:w="3960" w:type="dxa"/>
          </w:tcPr>
          <w:p w14:paraId="27A5BC60"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Total N</w:t>
            </w:r>
          </w:p>
        </w:tc>
        <w:tc>
          <w:tcPr>
            <w:tcW w:w="3960" w:type="dxa"/>
          </w:tcPr>
          <w:p w14:paraId="1C386C18"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r w:rsidR="00544D82" w:rsidRPr="00F20CFA" w14:paraId="1FDC2E25" w14:textId="77777777" w:rsidTr="00692E26">
        <w:tc>
          <w:tcPr>
            <w:tcW w:w="3960" w:type="dxa"/>
          </w:tcPr>
          <w:p w14:paraId="419DFD53"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Mann Whitney U</w:t>
            </w:r>
          </w:p>
        </w:tc>
        <w:tc>
          <w:tcPr>
            <w:tcW w:w="3960" w:type="dxa"/>
          </w:tcPr>
          <w:p w14:paraId="650C31B7"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5158.5</w:t>
            </w:r>
          </w:p>
        </w:tc>
      </w:tr>
      <w:tr w:rsidR="00544D82" w:rsidRPr="00F20CFA" w14:paraId="45DFD4CB" w14:textId="77777777" w:rsidTr="00692E26">
        <w:tc>
          <w:tcPr>
            <w:tcW w:w="3960" w:type="dxa"/>
          </w:tcPr>
          <w:p w14:paraId="5CE31429"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Wilcoxon</w:t>
            </w:r>
          </w:p>
        </w:tc>
        <w:tc>
          <w:tcPr>
            <w:tcW w:w="3960" w:type="dxa"/>
          </w:tcPr>
          <w:p w14:paraId="0E89571E"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6484.5</w:t>
            </w:r>
          </w:p>
        </w:tc>
      </w:tr>
      <w:tr w:rsidR="00544D82" w:rsidRPr="00F20CFA" w14:paraId="18A2428D" w14:textId="77777777" w:rsidTr="00692E26">
        <w:tc>
          <w:tcPr>
            <w:tcW w:w="3960" w:type="dxa"/>
          </w:tcPr>
          <w:p w14:paraId="36F340BF"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Test Statistics</w:t>
            </w:r>
          </w:p>
        </w:tc>
        <w:tc>
          <w:tcPr>
            <w:tcW w:w="3960" w:type="dxa"/>
          </w:tcPr>
          <w:p w14:paraId="2D07A06D"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5158.5</w:t>
            </w:r>
          </w:p>
        </w:tc>
      </w:tr>
      <w:tr w:rsidR="00544D82" w:rsidRPr="00F20CFA" w14:paraId="217265EA" w14:textId="77777777" w:rsidTr="00692E26">
        <w:tc>
          <w:tcPr>
            <w:tcW w:w="3960" w:type="dxa"/>
          </w:tcPr>
          <w:p w14:paraId="23DFE39B"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lastRenderedPageBreak/>
              <w:t>Standard Error</w:t>
            </w:r>
          </w:p>
        </w:tc>
        <w:tc>
          <w:tcPr>
            <w:tcW w:w="3960" w:type="dxa"/>
          </w:tcPr>
          <w:p w14:paraId="5F2B769E"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422.97</w:t>
            </w:r>
          </w:p>
        </w:tc>
      </w:tr>
      <w:tr w:rsidR="00544D82" w:rsidRPr="00F20CFA" w14:paraId="4776AF9E" w14:textId="77777777" w:rsidTr="00692E26">
        <w:tc>
          <w:tcPr>
            <w:tcW w:w="3960" w:type="dxa"/>
          </w:tcPr>
          <w:p w14:paraId="3CBC85AB"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Standardised Test Statistic</w:t>
            </w:r>
          </w:p>
        </w:tc>
        <w:tc>
          <w:tcPr>
            <w:tcW w:w="3960" w:type="dxa"/>
          </w:tcPr>
          <w:p w14:paraId="2760CBC9"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1.28</w:t>
            </w:r>
          </w:p>
        </w:tc>
      </w:tr>
      <w:tr w:rsidR="00544D82" w:rsidRPr="00F20CFA" w14:paraId="6AAC3C97" w14:textId="77777777" w:rsidTr="00692E26">
        <w:tc>
          <w:tcPr>
            <w:tcW w:w="3960" w:type="dxa"/>
          </w:tcPr>
          <w:p w14:paraId="2F3C12D2" w14:textId="3BBB2797" w:rsidR="00544D82" w:rsidRPr="00F20CFA" w:rsidRDefault="00EB14ED" w:rsidP="00157140">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Significance</w:t>
            </w:r>
          </w:p>
        </w:tc>
        <w:tc>
          <w:tcPr>
            <w:tcW w:w="3960" w:type="dxa"/>
          </w:tcPr>
          <w:p w14:paraId="2EAAD4A3" w14:textId="77777777" w:rsidR="00544D82" w:rsidRPr="00F20CFA" w:rsidRDefault="00544D82" w:rsidP="00157140">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Not Significant</w:t>
            </w:r>
          </w:p>
        </w:tc>
      </w:tr>
    </w:tbl>
    <w:p w14:paraId="6C9D62B7" w14:textId="77777777" w:rsidR="00544D82" w:rsidRPr="00F20CFA" w:rsidRDefault="00544D82" w:rsidP="003E7B77">
      <w:pPr>
        <w:spacing w:line="360" w:lineRule="auto"/>
        <w:jc w:val="both"/>
        <w:rPr>
          <w:rFonts w:ascii="Times New Roman" w:hAnsi="Times New Roman" w:cs="Times New Roman"/>
          <w:b/>
          <w:sz w:val="24"/>
          <w:szCs w:val="24"/>
        </w:rPr>
      </w:pPr>
    </w:p>
    <w:p w14:paraId="6CE0FBF7"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 xml:space="preserve">Correlation </w:t>
      </w:r>
      <w:r w:rsidR="008F57B0" w:rsidRPr="00F20CFA">
        <w:rPr>
          <w:rFonts w:ascii="Times New Roman" w:hAnsi="Times New Roman" w:cs="Times New Roman"/>
          <w:b/>
          <w:sz w:val="24"/>
          <w:szCs w:val="24"/>
        </w:rPr>
        <w:t>between</w:t>
      </w:r>
      <w:r w:rsidRPr="00F20CFA">
        <w:rPr>
          <w:rFonts w:ascii="Times New Roman" w:hAnsi="Times New Roman" w:cs="Times New Roman"/>
          <w:b/>
          <w:sz w:val="24"/>
          <w:szCs w:val="24"/>
        </w:rPr>
        <w:t xml:space="preserve"> Socio-Cultural and Educational Perspectives</w:t>
      </w:r>
    </w:p>
    <w:p w14:paraId="0E2F2BBE" w14:textId="77777777" w:rsidR="008F57B0" w:rsidRPr="00F20CFA" w:rsidRDefault="008F57B0" w:rsidP="008F57B0">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A Spearman’s rank-order correlation revealed a moderate, positive, and statistically significant relationship between socio-cultural and educational perspectives (ρ = 0.402, p &lt; 0.001). This indicates that students who are more engaged with socio-cultural values such as community participation, respect for diversity, and awareness of social issues also tend to hold more positive views about their educational experiences.</w:t>
      </w:r>
    </w:p>
    <w:p w14:paraId="226A27E5" w14:textId="75B41568" w:rsidR="003E7B77" w:rsidRPr="00F20CFA" w:rsidRDefault="008F57B0" w:rsidP="0055611A">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Several factors may contribute to this relationship. Active involvement in cultural and social settings often builds essential skills like communication, collaboration, and empathy, which enhance classroom participation and peer learning. Exposure to diverse cultural contexts can broaden worldviews, encouraging critical thinking, adaptability, and openness to new ideas. Students who feel rooted in their cultural identity may also experience a stronger sense of belonging and motivation, both of which support academic </w:t>
      </w:r>
      <w:proofErr w:type="spellStart"/>
      <w:proofErr w:type="gramStart"/>
      <w:r w:rsidRPr="00F20CFA">
        <w:rPr>
          <w:rFonts w:ascii="Times New Roman" w:hAnsi="Times New Roman" w:cs="Times New Roman"/>
          <w:sz w:val="24"/>
          <w:szCs w:val="24"/>
        </w:rPr>
        <w:t>engagement.This</w:t>
      </w:r>
      <w:proofErr w:type="spellEnd"/>
      <w:proofErr w:type="gramEnd"/>
      <w:r w:rsidRPr="00F20CFA">
        <w:rPr>
          <w:rFonts w:ascii="Times New Roman" w:hAnsi="Times New Roman" w:cs="Times New Roman"/>
          <w:sz w:val="24"/>
          <w:szCs w:val="24"/>
        </w:rPr>
        <w:t xml:space="preserve"> meaningful connection highlights the importance of creating educational environments that integrate academic learning with socio-cultural awareness through inclusive curricula, participatory activities, and community-based initiatives.</w:t>
      </w:r>
    </w:p>
    <w:tbl>
      <w:tblPr>
        <w:tblStyle w:val="TableGrid"/>
        <w:tblW w:w="0" w:type="auto"/>
        <w:tblInd w:w="558" w:type="dxa"/>
        <w:tblLook w:val="04A0" w:firstRow="1" w:lastRow="0" w:firstColumn="1" w:lastColumn="0" w:noHBand="0" w:noVBand="1"/>
      </w:tblPr>
      <w:tblGrid>
        <w:gridCol w:w="2961"/>
        <w:gridCol w:w="2847"/>
        <w:gridCol w:w="2984"/>
      </w:tblGrid>
      <w:tr w:rsidR="00544D82" w:rsidRPr="00F20CFA" w14:paraId="562F609E" w14:textId="77777777" w:rsidTr="00206768">
        <w:trPr>
          <w:trHeight w:val="440"/>
        </w:trPr>
        <w:tc>
          <w:tcPr>
            <w:tcW w:w="8820" w:type="dxa"/>
            <w:gridSpan w:val="3"/>
          </w:tcPr>
          <w:p w14:paraId="5D8948B1" w14:textId="4393EC0C" w:rsidR="00544D82" w:rsidRPr="00206768" w:rsidRDefault="007B4F5C" w:rsidP="00206768">
            <w:pPr>
              <w:spacing w:line="276" w:lineRule="auto"/>
              <w:jc w:val="center"/>
              <w:rPr>
                <w:rFonts w:ascii="Times New Roman" w:hAnsi="Times New Roman" w:cs="Times New Roman"/>
                <w:b/>
                <w:sz w:val="24"/>
                <w:szCs w:val="24"/>
              </w:rPr>
            </w:pPr>
            <w:r w:rsidRPr="007B4F5C">
              <w:rPr>
                <w:rFonts w:ascii="Times New Roman" w:hAnsi="Times New Roman" w:cs="Times New Roman"/>
                <w:b/>
                <w:sz w:val="24"/>
                <w:szCs w:val="24"/>
              </w:rPr>
              <w:t xml:space="preserve">Table </w:t>
            </w:r>
            <w:r w:rsidR="006C7562">
              <w:rPr>
                <w:rFonts w:ascii="Times New Roman" w:hAnsi="Times New Roman" w:cs="Times New Roman"/>
                <w:b/>
                <w:sz w:val="24"/>
                <w:szCs w:val="24"/>
              </w:rPr>
              <w:t>1</w:t>
            </w:r>
            <w:r w:rsidRPr="007B4F5C">
              <w:rPr>
                <w:rFonts w:ascii="Times New Roman" w:hAnsi="Times New Roman" w:cs="Times New Roman"/>
                <w:b/>
                <w:sz w:val="24"/>
                <w:szCs w:val="24"/>
              </w:rPr>
              <w:t xml:space="preserve">3: </w:t>
            </w:r>
            <w:r w:rsidR="00544D82" w:rsidRPr="00206768">
              <w:rPr>
                <w:rFonts w:ascii="Times New Roman" w:hAnsi="Times New Roman" w:cs="Times New Roman"/>
                <w:b/>
                <w:sz w:val="24"/>
                <w:szCs w:val="24"/>
              </w:rPr>
              <w:t>Spearman’s Rank-Order Correlation Between Socio</w:t>
            </w:r>
          </w:p>
          <w:p w14:paraId="76B69998" w14:textId="77777777" w:rsidR="00544D82" w:rsidRPr="00F20CFA" w:rsidRDefault="00544D82" w:rsidP="00206768">
            <w:pPr>
              <w:spacing w:line="276" w:lineRule="auto"/>
              <w:jc w:val="center"/>
              <w:rPr>
                <w:rFonts w:ascii="Times New Roman" w:hAnsi="Times New Roman" w:cs="Times New Roman"/>
                <w:sz w:val="24"/>
                <w:szCs w:val="24"/>
              </w:rPr>
            </w:pPr>
            <w:r w:rsidRPr="00206768">
              <w:rPr>
                <w:rFonts w:ascii="Times New Roman" w:hAnsi="Times New Roman" w:cs="Times New Roman"/>
                <w:b/>
                <w:sz w:val="24"/>
                <w:szCs w:val="24"/>
              </w:rPr>
              <w:t>cultural and Educational Perspectives</w:t>
            </w:r>
          </w:p>
        </w:tc>
      </w:tr>
      <w:tr w:rsidR="00544D82" w:rsidRPr="00F20CFA" w14:paraId="652F637A" w14:textId="77777777" w:rsidTr="00206768">
        <w:tc>
          <w:tcPr>
            <w:tcW w:w="2970" w:type="dxa"/>
          </w:tcPr>
          <w:p w14:paraId="729A65B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Variables</w:t>
            </w:r>
          </w:p>
        </w:tc>
        <w:tc>
          <w:tcPr>
            <w:tcW w:w="2856" w:type="dxa"/>
          </w:tcPr>
          <w:p w14:paraId="283DE36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Sociocultural Perspectives</w:t>
            </w:r>
          </w:p>
        </w:tc>
        <w:tc>
          <w:tcPr>
            <w:tcW w:w="2994" w:type="dxa"/>
          </w:tcPr>
          <w:p w14:paraId="694A5F1A"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Educational Perspectives</w:t>
            </w:r>
          </w:p>
        </w:tc>
      </w:tr>
      <w:tr w:rsidR="00544D82" w:rsidRPr="00F20CFA" w14:paraId="7D897BC2" w14:textId="77777777" w:rsidTr="00206768">
        <w:tc>
          <w:tcPr>
            <w:tcW w:w="2970" w:type="dxa"/>
          </w:tcPr>
          <w:p w14:paraId="660822E6"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Sociocultural Perspectives</w:t>
            </w:r>
          </w:p>
        </w:tc>
        <w:tc>
          <w:tcPr>
            <w:tcW w:w="2856" w:type="dxa"/>
          </w:tcPr>
          <w:p w14:paraId="612FBAC1"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1.0000</w:t>
            </w:r>
          </w:p>
        </w:tc>
        <w:tc>
          <w:tcPr>
            <w:tcW w:w="2994" w:type="dxa"/>
          </w:tcPr>
          <w:p w14:paraId="7F1C58D9"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0.402**</w:t>
            </w:r>
          </w:p>
        </w:tc>
      </w:tr>
      <w:tr w:rsidR="00544D82" w:rsidRPr="00F20CFA" w14:paraId="70B2BF11" w14:textId="77777777" w:rsidTr="00206768">
        <w:tc>
          <w:tcPr>
            <w:tcW w:w="2970" w:type="dxa"/>
          </w:tcPr>
          <w:p w14:paraId="1E5DB64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Educational Perspectives</w:t>
            </w:r>
          </w:p>
        </w:tc>
        <w:tc>
          <w:tcPr>
            <w:tcW w:w="2856" w:type="dxa"/>
          </w:tcPr>
          <w:p w14:paraId="0C27159E"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0.402**</w:t>
            </w:r>
          </w:p>
        </w:tc>
        <w:tc>
          <w:tcPr>
            <w:tcW w:w="2994" w:type="dxa"/>
          </w:tcPr>
          <w:p w14:paraId="527514F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1.0000</w:t>
            </w:r>
          </w:p>
        </w:tc>
      </w:tr>
      <w:tr w:rsidR="00544D82" w:rsidRPr="00F20CFA" w14:paraId="652BD685" w14:textId="77777777" w:rsidTr="00206768">
        <w:tc>
          <w:tcPr>
            <w:tcW w:w="2970" w:type="dxa"/>
          </w:tcPr>
          <w:p w14:paraId="1458DFDF"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Sig. (2-Tailed)</w:t>
            </w:r>
          </w:p>
        </w:tc>
        <w:tc>
          <w:tcPr>
            <w:tcW w:w="2856" w:type="dxa"/>
          </w:tcPr>
          <w:p w14:paraId="309128AF"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t>
            </w:r>
          </w:p>
        </w:tc>
        <w:tc>
          <w:tcPr>
            <w:tcW w:w="2994" w:type="dxa"/>
          </w:tcPr>
          <w:p w14:paraId="4BD27DA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0.000</w:t>
            </w:r>
          </w:p>
        </w:tc>
      </w:tr>
      <w:tr w:rsidR="00544D82" w:rsidRPr="00F20CFA" w14:paraId="7EEDEC47" w14:textId="77777777" w:rsidTr="00206768">
        <w:tc>
          <w:tcPr>
            <w:tcW w:w="2970" w:type="dxa"/>
          </w:tcPr>
          <w:p w14:paraId="5DD19E81"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w:t>
            </w:r>
          </w:p>
        </w:tc>
        <w:tc>
          <w:tcPr>
            <w:tcW w:w="2856" w:type="dxa"/>
          </w:tcPr>
          <w:p w14:paraId="4DBAB42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c>
          <w:tcPr>
            <w:tcW w:w="2994" w:type="dxa"/>
          </w:tcPr>
          <w:p w14:paraId="0E9ED8C0"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bl>
    <w:p w14:paraId="088E5848" w14:textId="77777777" w:rsidR="00544D82" w:rsidRPr="00F20CFA" w:rsidRDefault="00544D82" w:rsidP="003E7B77">
      <w:pPr>
        <w:spacing w:line="360" w:lineRule="auto"/>
        <w:jc w:val="both"/>
        <w:rPr>
          <w:rFonts w:ascii="Times New Roman" w:hAnsi="Times New Roman" w:cs="Times New Roman"/>
          <w:sz w:val="24"/>
          <w:szCs w:val="24"/>
        </w:rPr>
      </w:pPr>
    </w:p>
    <w:p w14:paraId="57DD78A1" w14:textId="77777777" w:rsidR="003E7B77" w:rsidRPr="00F20CFA" w:rsidRDefault="008F57B0"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 xml:space="preserve">Educational </w:t>
      </w:r>
      <w:r w:rsidR="003E7B77" w:rsidRPr="00F20CFA">
        <w:rPr>
          <w:rFonts w:ascii="Times New Roman" w:hAnsi="Times New Roman" w:cs="Times New Roman"/>
          <w:b/>
          <w:sz w:val="24"/>
          <w:szCs w:val="24"/>
        </w:rPr>
        <w:t>Implications</w:t>
      </w:r>
    </w:p>
    <w:p w14:paraId="66699459" w14:textId="77777777" w:rsidR="009B063B" w:rsidRPr="00F20CFA" w:rsidRDefault="009B063B" w:rsidP="009B063B">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lastRenderedPageBreak/>
        <w:t>The findings from higher education students in Pithoragarh suggest that caste, family structure, and economic status do not significantly influence socio-cultural or educational perspectives, indicating effective inclusive practices. However, the difference between arts and science students points to the need for stream-specific academic support. The positive link between socio-cultural engagement and educational outlook highlights the value of integrating cultural awareness, community participation, and social learning into academics. Teachers and institutional culture play a key role in shaping student experiences.</w:t>
      </w:r>
    </w:p>
    <w:p w14:paraId="7B6D0EB1" w14:textId="77777777" w:rsidR="00BB523C" w:rsidRPr="00F20CFA" w:rsidRDefault="009B063B" w:rsidP="009B063B">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With a large number of students from BPL backgrounds, continued financial aid, digital access, and infrastructure development remain essential. Overall, a balanced approach that addresses academic, social, and cultural needs is crucial for empowering students in remote and hilly areas.</w:t>
      </w:r>
    </w:p>
    <w:p w14:paraId="12C96BF2" w14:textId="7DFB3681" w:rsidR="00956241" w:rsidRDefault="00956241" w:rsidP="009B063B">
      <w:pPr>
        <w:spacing w:line="360" w:lineRule="auto"/>
        <w:rPr>
          <w:rFonts w:ascii="Times New Roman" w:hAnsi="Times New Roman" w:cs="Times New Roman"/>
          <w:b/>
          <w:sz w:val="24"/>
          <w:szCs w:val="24"/>
        </w:rPr>
      </w:pPr>
      <w:r>
        <w:rPr>
          <w:rFonts w:ascii="Times New Roman" w:hAnsi="Times New Roman" w:cs="Times New Roman"/>
          <w:b/>
          <w:sz w:val="24"/>
          <w:szCs w:val="24"/>
        </w:rPr>
        <w:t>Delimitation</w:t>
      </w:r>
    </w:p>
    <w:p w14:paraId="6B86D834" w14:textId="77777777" w:rsidR="00956241" w:rsidRPr="00956241" w:rsidRDefault="00956241" w:rsidP="00956241">
      <w:pPr>
        <w:spacing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The scope of the present study was delimited to higher education institutions located in Pithoragarh district of Uttarakhand, and the findings cannot be generalized to other districts of the state or beyond, owing to variations in socio-cultural and educational contexts. The population was restricted to students belonging to disadvantaged social groups (Scheduled Castes, Scheduled Tribes, and Other Backward Classes), while students from other social categories were excluded. Furthermore, the sample was confined to a specific number of arts and science students enrolled in selected colleges, thereby limiting representation from other academic streams such as commerce, professional, and vocational courses. The study focused exclusively on the variables of socio-cultural and educational perspectives, without including other dimensions such as psychological, emotional, or economic factors that might also influence students’ higher education experiences.</w:t>
      </w:r>
    </w:p>
    <w:p w14:paraId="06E6E7CC" w14:textId="62DA4B47" w:rsidR="009B063B" w:rsidRDefault="009B063B" w:rsidP="009B063B">
      <w:pPr>
        <w:spacing w:line="360" w:lineRule="auto"/>
        <w:rPr>
          <w:rFonts w:ascii="Times New Roman" w:hAnsi="Times New Roman" w:cs="Times New Roman"/>
          <w:b/>
          <w:sz w:val="24"/>
          <w:szCs w:val="24"/>
        </w:rPr>
      </w:pPr>
      <w:r w:rsidRPr="00F20CFA">
        <w:rPr>
          <w:rFonts w:ascii="Times New Roman" w:hAnsi="Times New Roman" w:cs="Times New Roman"/>
          <w:b/>
          <w:sz w:val="24"/>
          <w:szCs w:val="24"/>
        </w:rPr>
        <w:t>Conclusion</w:t>
      </w:r>
    </w:p>
    <w:p w14:paraId="79EFA3C1" w14:textId="77777777" w:rsidR="00956241" w:rsidRP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 xml:space="preserve">The present study examined the socio-cultural and educational perspectives of disadvantaged students in higher education institutions of Pithoragarh district, Uttarakhand. The findings revealed that caste, family structure, and economic status did not significantly influence students’ socio-cultural or educational perspectives, suggesting that shared geographical and institutional contexts create a relatively uniform outlook among learners from marginalized </w:t>
      </w:r>
      <w:r w:rsidRPr="00956241">
        <w:rPr>
          <w:rFonts w:ascii="Times New Roman" w:hAnsi="Times New Roman" w:cs="Times New Roman"/>
          <w:bCs/>
          <w:sz w:val="24"/>
          <w:szCs w:val="24"/>
        </w:rPr>
        <w:lastRenderedPageBreak/>
        <w:t>groups. However, significant variation was observed between arts and science students with respect to educational perspectives, reflecting the influence of discipline-specific resources, pedagogical approaches, and curricular demands.</w:t>
      </w:r>
    </w:p>
    <w:p w14:paraId="77C86CF2" w14:textId="77777777" w:rsidR="00956241" w:rsidRP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Importantly, a moderate positive correlation between socio-cultural and educational perspectives was established, indicating that students with stronger socio-cultural engagement also tend to demonstrate more positive educational outlooks. This highlights the interconnectedness of cultural identity and academic development in the context of remote, hilly regions.</w:t>
      </w:r>
    </w:p>
    <w:p w14:paraId="3471E5CE" w14:textId="63199CCD" w:rsid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Overall, the study underscores the need to strengthen higher education in Pithoragarh by ensuring discipline-sensitive academic support, expanding infrastructural and financial resources, and integrating culturally responsive practices into teaching and learning. By addressing these dimensions, higher education can serve not only as a means of academic advancement but also as a pathway for preserving cultural identity, reducing disparities, and fostering equitable development among disadvantaged communities in Uttarakhand.</w:t>
      </w:r>
    </w:p>
    <w:p w14:paraId="06673CFE" w14:textId="77777777" w:rsidR="000E6212" w:rsidRDefault="000E6212" w:rsidP="0055611A">
      <w:pPr>
        <w:spacing w:before="240" w:line="360" w:lineRule="auto"/>
        <w:ind w:firstLine="720"/>
        <w:jc w:val="both"/>
        <w:rPr>
          <w:rFonts w:ascii="Times New Roman" w:hAnsi="Times New Roman" w:cs="Times New Roman"/>
          <w:bCs/>
          <w:sz w:val="24"/>
          <w:szCs w:val="24"/>
        </w:rPr>
      </w:pPr>
    </w:p>
    <w:p w14:paraId="03373E36" w14:textId="77777777" w:rsidR="000E6212" w:rsidRPr="000E6212" w:rsidRDefault="000E6212" w:rsidP="000E6212">
      <w:pPr>
        <w:jc w:val="both"/>
        <w:outlineLvl w:val="0"/>
        <w:rPr>
          <w:rFonts w:ascii="Arial" w:eastAsia="Times New Roman" w:hAnsi="Arial" w:cs="Arial"/>
          <w:lang w:val="en-GB" w:eastAsia="en-GB"/>
        </w:rPr>
      </w:pPr>
      <w:r w:rsidRPr="000E6212">
        <w:rPr>
          <w:rFonts w:ascii="Arial" w:eastAsia="Times New Roman" w:hAnsi="Arial" w:cs="Arial"/>
          <w:b/>
          <w:bCs/>
          <w:lang w:val="en-GB" w:eastAsia="en-GB"/>
        </w:rPr>
        <w:t>COMPETING INTERESTS DISCLAIMER:</w:t>
      </w:r>
    </w:p>
    <w:p w14:paraId="795A55CF" w14:textId="77777777" w:rsidR="000E6212" w:rsidRPr="000E6212" w:rsidRDefault="000E6212" w:rsidP="000E6212">
      <w:pPr>
        <w:rPr>
          <w:rFonts w:ascii="Calibri" w:eastAsia="Times New Roman" w:hAnsi="Calibri" w:cs="Times New Roman"/>
          <w:lang w:val="en-GB" w:eastAsia="en-GB"/>
        </w:rPr>
      </w:pPr>
      <w:r w:rsidRPr="000E621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822E7B6" w14:textId="77777777" w:rsidR="000E6212" w:rsidRDefault="000E6212" w:rsidP="0055611A">
      <w:pPr>
        <w:spacing w:before="240" w:line="360" w:lineRule="auto"/>
        <w:ind w:firstLine="720"/>
        <w:jc w:val="both"/>
        <w:rPr>
          <w:rFonts w:ascii="Times New Roman" w:hAnsi="Times New Roman" w:cs="Times New Roman"/>
          <w:bCs/>
          <w:sz w:val="24"/>
          <w:szCs w:val="24"/>
        </w:rPr>
      </w:pPr>
    </w:p>
    <w:p w14:paraId="64AE28D0" w14:textId="77777777" w:rsidR="00956241" w:rsidRDefault="00956241" w:rsidP="00956241">
      <w:pPr>
        <w:rPr>
          <w:rFonts w:ascii="Times New Roman" w:hAnsi="Times New Roman" w:cs="Times New Roman"/>
          <w:b/>
          <w:sz w:val="24"/>
          <w:szCs w:val="24"/>
        </w:rPr>
      </w:pPr>
    </w:p>
    <w:p w14:paraId="4957F181" w14:textId="50BC58F9" w:rsidR="00956241" w:rsidRDefault="00956241" w:rsidP="00956241">
      <w:pPr>
        <w:rPr>
          <w:rFonts w:ascii="Times New Roman" w:hAnsi="Times New Roman" w:cs="Times New Roman"/>
          <w:b/>
          <w:sz w:val="24"/>
          <w:szCs w:val="24"/>
        </w:rPr>
      </w:pPr>
      <w:r w:rsidRPr="00956241">
        <w:rPr>
          <w:rFonts w:ascii="Times New Roman" w:hAnsi="Times New Roman" w:cs="Times New Roman"/>
          <w:b/>
          <w:sz w:val="24"/>
          <w:szCs w:val="24"/>
        </w:rPr>
        <w:t>References:</w:t>
      </w:r>
    </w:p>
    <w:p w14:paraId="6F9D3C8A"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Bhatt, T. (2022). New education policy 2020 challenges and opportunities for teacher education. </w:t>
      </w:r>
      <w:proofErr w:type="spellStart"/>
      <w:r w:rsidRPr="000E6212">
        <w:rPr>
          <w:rFonts w:ascii="Times New Roman" w:hAnsi="Times New Roman" w:cs="Times New Roman"/>
          <w:i/>
          <w:iCs/>
          <w:sz w:val="24"/>
          <w:szCs w:val="24"/>
          <w:lang w:val="en-IN"/>
        </w:rPr>
        <w:t>NeuroQuantology</w:t>
      </w:r>
      <w:proofErr w:type="spellEnd"/>
      <w:r w:rsidRPr="000E6212">
        <w:rPr>
          <w:rFonts w:ascii="Times New Roman" w:hAnsi="Times New Roman" w:cs="Times New Roman"/>
          <w:i/>
          <w:iCs/>
          <w:sz w:val="24"/>
          <w:szCs w:val="24"/>
          <w:lang w:val="en-IN"/>
        </w:rPr>
        <w:t>, 20</w:t>
      </w:r>
      <w:r w:rsidRPr="000E6212">
        <w:rPr>
          <w:rFonts w:ascii="Times New Roman" w:hAnsi="Times New Roman" w:cs="Times New Roman"/>
          <w:sz w:val="24"/>
          <w:szCs w:val="24"/>
          <w:lang w:val="en-IN"/>
        </w:rPr>
        <w:t>, 3414–3419. https://doi.org/10.14704/nq.2022.20.13.NQ88421</w:t>
      </w:r>
    </w:p>
    <w:p w14:paraId="7E286461"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proofErr w:type="spellStart"/>
      <w:r w:rsidRPr="000E6212">
        <w:rPr>
          <w:rFonts w:ascii="Times New Roman" w:hAnsi="Times New Roman" w:cs="Times New Roman"/>
          <w:sz w:val="24"/>
          <w:szCs w:val="24"/>
          <w:lang w:val="en-IN"/>
        </w:rPr>
        <w:t>Chhokar</w:t>
      </w:r>
      <w:proofErr w:type="spellEnd"/>
      <w:r w:rsidRPr="000E6212">
        <w:rPr>
          <w:rFonts w:ascii="Times New Roman" w:hAnsi="Times New Roman" w:cs="Times New Roman"/>
          <w:sz w:val="24"/>
          <w:szCs w:val="24"/>
          <w:lang w:val="en-IN"/>
        </w:rPr>
        <w:t xml:space="preserve">, J. S., </w:t>
      </w:r>
      <w:proofErr w:type="spellStart"/>
      <w:r w:rsidRPr="000E6212">
        <w:rPr>
          <w:rFonts w:ascii="Times New Roman" w:hAnsi="Times New Roman" w:cs="Times New Roman"/>
          <w:sz w:val="24"/>
          <w:szCs w:val="24"/>
          <w:lang w:val="en-IN"/>
        </w:rPr>
        <w:t>Brodbeck</w:t>
      </w:r>
      <w:proofErr w:type="spellEnd"/>
      <w:r w:rsidRPr="000E6212">
        <w:rPr>
          <w:rFonts w:ascii="Times New Roman" w:hAnsi="Times New Roman" w:cs="Times New Roman"/>
          <w:sz w:val="24"/>
          <w:szCs w:val="24"/>
          <w:lang w:val="en-IN"/>
        </w:rPr>
        <w:t xml:space="preserve">, F. C., &amp; House, R. J. (Eds.). (2008). </w:t>
      </w:r>
      <w:r w:rsidRPr="000E6212">
        <w:rPr>
          <w:rFonts w:ascii="Times New Roman" w:hAnsi="Times New Roman" w:cs="Times New Roman"/>
          <w:i/>
          <w:iCs/>
          <w:sz w:val="24"/>
          <w:szCs w:val="24"/>
          <w:lang w:val="en-IN"/>
        </w:rPr>
        <w:t>Culture and leadership across the world: The GLOBE book of in-depth studies of 25 societies</w:t>
      </w:r>
      <w:r w:rsidRPr="000E6212">
        <w:rPr>
          <w:rFonts w:ascii="Times New Roman" w:hAnsi="Times New Roman" w:cs="Times New Roman"/>
          <w:sz w:val="24"/>
          <w:szCs w:val="24"/>
          <w:lang w:val="en-IN"/>
        </w:rPr>
        <w:t>. Lawrence Erlbaum Associates Publishers.</w:t>
      </w:r>
    </w:p>
    <w:p w14:paraId="6E9FCCF4"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Directorate of Higher Education Uttarakhand. (2024). </w:t>
      </w:r>
      <w:r w:rsidRPr="000E6212">
        <w:rPr>
          <w:rFonts w:ascii="Times New Roman" w:hAnsi="Times New Roman" w:cs="Times New Roman"/>
          <w:i/>
          <w:iCs/>
          <w:sz w:val="24"/>
          <w:szCs w:val="24"/>
          <w:lang w:val="en-IN"/>
        </w:rPr>
        <w:t>Directorate of Higher Education Uttarakhand</w:t>
      </w:r>
      <w:r w:rsidRPr="000E6212">
        <w:rPr>
          <w:rFonts w:ascii="Times New Roman" w:hAnsi="Times New Roman" w:cs="Times New Roman"/>
          <w:sz w:val="24"/>
          <w:szCs w:val="24"/>
          <w:lang w:val="en-IN"/>
        </w:rPr>
        <w:t>. Government of Uttarakhand.</w:t>
      </w:r>
    </w:p>
    <w:p w14:paraId="0386A641"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Espinosa-Espinosa, D., &amp; Gonzalez-Garcia, A. (2017). D. Espinosa and A. C. González-García (2017): "a. d. VIIII </w:t>
      </w:r>
      <w:proofErr w:type="spellStart"/>
      <w:r w:rsidRPr="000E6212">
        <w:rPr>
          <w:rFonts w:ascii="Times New Roman" w:hAnsi="Times New Roman" w:cs="Times New Roman"/>
          <w:sz w:val="24"/>
          <w:szCs w:val="24"/>
          <w:lang w:val="en-IN"/>
        </w:rPr>
        <w:t>Kalendas</w:t>
      </w:r>
      <w:proofErr w:type="spellEnd"/>
      <w:r w:rsidRPr="000E6212">
        <w:rPr>
          <w:rFonts w:ascii="Times New Roman" w:hAnsi="Times New Roman" w:cs="Times New Roman"/>
          <w:sz w:val="24"/>
          <w:szCs w:val="24"/>
          <w:lang w:val="en-IN"/>
        </w:rPr>
        <w:t xml:space="preserve"> </w:t>
      </w:r>
      <w:proofErr w:type="spellStart"/>
      <w:r w:rsidRPr="000E6212">
        <w:rPr>
          <w:rFonts w:ascii="Times New Roman" w:hAnsi="Times New Roman" w:cs="Times New Roman"/>
          <w:sz w:val="24"/>
          <w:szCs w:val="24"/>
          <w:lang w:val="en-IN"/>
        </w:rPr>
        <w:t>Octobres</w:t>
      </w:r>
      <w:proofErr w:type="spellEnd"/>
      <w:r w:rsidRPr="000E6212">
        <w:rPr>
          <w:rFonts w:ascii="Times New Roman" w:hAnsi="Times New Roman" w:cs="Times New Roman"/>
          <w:sz w:val="24"/>
          <w:szCs w:val="24"/>
          <w:lang w:val="en-IN"/>
        </w:rPr>
        <w:t xml:space="preserve">, dies </w:t>
      </w:r>
      <w:proofErr w:type="spellStart"/>
      <w:r w:rsidRPr="000E6212">
        <w:rPr>
          <w:rFonts w:ascii="Times New Roman" w:hAnsi="Times New Roman" w:cs="Times New Roman"/>
          <w:sz w:val="24"/>
          <w:szCs w:val="24"/>
          <w:lang w:val="en-IN"/>
        </w:rPr>
        <w:t>natalis</w:t>
      </w:r>
      <w:proofErr w:type="spellEnd"/>
      <w:r w:rsidRPr="000E6212">
        <w:rPr>
          <w:rFonts w:ascii="Times New Roman" w:hAnsi="Times New Roman" w:cs="Times New Roman"/>
          <w:sz w:val="24"/>
          <w:szCs w:val="24"/>
          <w:lang w:val="en-IN"/>
        </w:rPr>
        <w:t xml:space="preserve"> </w:t>
      </w:r>
      <w:proofErr w:type="spellStart"/>
      <w:r w:rsidRPr="000E6212">
        <w:rPr>
          <w:rFonts w:ascii="Times New Roman" w:hAnsi="Times New Roman" w:cs="Times New Roman"/>
          <w:sz w:val="24"/>
          <w:szCs w:val="24"/>
          <w:lang w:val="en-IN"/>
        </w:rPr>
        <w:t>Augusti</w:t>
      </w:r>
      <w:proofErr w:type="spellEnd"/>
      <w:r w:rsidRPr="000E6212">
        <w:rPr>
          <w:rFonts w:ascii="Times New Roman" w:hAnsi="Times New Roman" w:cs="Times New Roman"/>
          <w:sz w:val="24"/>
          <w:szCs w:val="24"/>
          <w:lang w:val="en-IN"/>
        </w:rPr>
        <w:t xml:space="preserve">. Some considerations </w:t>
      </w:r>
      <w:r w:rsidRPr="000E6212">
        <w:rPr>
          <w:rFonts w:ascii="Times New Roman" w:hAnsi="Times New Roman" w:cs="Times New Roman"/>
          <w:sz w:val="24"/>
          <w:szCs w:val="24"/>
          <w:lang w:val="en-IN"/>
        </w:rPr>
        <w:lastRenderedPageBreak/>
        <w:t xml:space="preserve">on the astronomical orientation of Roman Cologne and the imperial cult." </w:t>
      </w:r>
      <w:r w:rsidRPr="000E6212">
        <w:rPr>
          <w:rFonts w:ascii="Times New Roman" w:hAnsi="Times New Roman" w:cs="Times New Roman"/>
          <w:i/>
          <w:iCs/>
          <w:sz w:val="24"/>
          <w:szCs w:val="24"/>
          <w:lang w:val="en-IN"/>
        </w:rPr>
        <w:t>Numen. International Review for the History of Religions, 64</w:t>
      </w:r>
      <w:r w:rsidRPr="000E6212">
        <w:rPr>
          <w:rFonts w:ascii="Times New Roman" w:hAnsi="Times New Roman" w:cs="Times New Roman"/>
          <w:sz w:val="24"/>
          <w:szCs w:val="24"/>
          <w:lang w:val="en-IN"/>
        </w:rPr>
        <w:t>(5–6), 545–567. https://doi.org/10.1163/15685276-12341479</w:t>
      </w:r>
    </w:p>
    <w:p w14:paraId="5FA4B798"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FAO. (2008). </w:t>
      </w:r>
      <w:r w:rsidRPr="000E6212">
        <w:rPr>
          <w:rFonts w:ascii="Times New Roman" w:hAnsi="Times New Roman" w:cs="Times New Roman"/>
          <w:i/>
          <w:iCs/>
          <w:sz w:val="24"/>
          <w:szCs w:val="24"/>
          <w:lang w:val="en-IN"/>
        </w:rPr>
        <w:t>An introduction to the basic concepts of food security</w:t>
      </w:r>
      <w:r w:rsidRPr="000E6212">
        <w:rPr>
          <w:rFonts w:ascii="Times New Roman" w:hAnsi="Times New Roman" w:cs="Times New Roman"/>
          <w:sz w:val="24"/>
          <w:szCs w:val="24"/>
          <w:lang w:val="en-IN"/>
        </w:rPr>
        <w:t>. Rome: Food and Agriculture Organization of the United Nations.</w:t>
      </w:r>
    </w:p>
    <w:p w14:paraId="4D2433F6"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Forsyth, A., &amp; Furlong, A. (2003). Access to higher education and disadvantaged young people. </w:t>
      </w:r>
      <w:r w:rsidRPr="000E6212">
        <w:rPr>
          <w:rFonts w:ascii="Times New Roman" w:hAnsi="Times New Roman" w:cs="Times New Roman"/>
          <w:i/>
          <w:iCs/>
          <w:sz w:val="24"/>
          <w:szCs w:val="24"/>
          <w:lang w:val="en-IN"/>
        </w:rPr>
        <w:t>British Educational Research Journal, 29</w:t>
      </w:r>
      <w:r w:rsidRPr="000E6212">
        <w:rPr>
          <w:rFonts w:ascii="Times New Roman" w:hAnsi="Times New Roman" w:cs="Times New Roman"/>
          <w:sz w:val="24"/>
          <w:szCs w:val="24"/>
          <w:lang w:val="en-IN"/>
        </w:rPr>
        <w:t>(2), 205–225.</w:t>
      </w:r>
    </w:p>
    <w:p w14:paraId="00EA33DF"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Gautam, N. (2015). Reflection on culture of the </w:t>
      </w:r>
      <w:proofErr w:type="spellStart"/>
      <w:r w:rsidRPr="000E6212">
        <w:rPr>
          <w:rFonts w:ascii="Times New Roman" w:hAnsi="Times New Roman" w:cs="Times New Roman"/>
          <w:sz w:val="24"/>
          <w:szCs w:val="24"/>
          <w:lang w:val="en-IN"/>
        </w:rPr>
        <w:t>Jaunsari</w:t>
      </w:r>
      <w:proofErr w:type="spellEnd"/>
      <w:r w:rsidRPr="000E6212">
        <w:rPr>
          <w:rFonts w:ascii="Times New Roman" w:hAnsi="Times New Roman" w:cs="Times New Roman"/>
          <w:sz w:val="24"/>
          <w:szCs w:val="24"/>
          <w:lang w:val="en-IN"/>
        </w:rPr>
        <w:t xml:space="preserve"> tribe in Uttarakhand. </w:t>
      </w:r>
      <w:r w:rsidRPr="000E6212">
        <w:rPr>
          <w:rFonts w:ascii="Times New Roman" w:hAnsi="Times New Roman" w:cs="Times New Roman"/>
          <w:i/>
          <w:iCs/>
          <w:sz w:val="24"/>
          <w:szCs w:val="24"/>
          <w:lang w:val="en-IN"/>
        </w:rPr>
        <w:t>Asian Man (The) – An International Journal, 9</w:t>
      </w:r>
      <w:r w:rsidRPr="000E6212">
        <w:rPr>
          <w:rFonts w:ascii="Times New Roman" w:hAnsi="Times New Roman" w:cs="Times New Roman"/>
          <w:sz w:val="24"/>
          <w:szCs w:val="24"/>
          <w:lang w:val="en-IN"/>
        </w:rPr>
        <w:t>, 228. https://doi.org/10.5958/0975-6884.2015.00034.1</w:t>
      </w:r>
    </w:p>
    <w:p w14:paraId="33D49AC6"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Ghosh, B. (2011). Cultural changes and challenges in the era of globalization: The case of India. </w:t>
      </w:r>
      <w:r w:rsidRPr="000E6212">
        <w:rPr>
          <w:rFonts w:ascii="Times New Roman" w:hAnsi="Times New Roman" w:cs="Times New Roman"/>
          <w:i/>
          <w:iCs/>
          <w:sz w:val="24"/>
          <w:szCs w:val="24"/>
          <w:lang w:val="en-IN"/>
        </w:rPr>
        <w:t>Journal of Developing Societies, 27</w:t>
      </w:r>
      <w:r w:rsidRPr="000E6212">
        <w:rPr>
          <w:rFonts w:ascii="Times New Roman" w:hAnsi="Times New Roman" w:cs="Times New Roman"/>
          <w:sz w:val="24"/>
          <w:szCs w:val="24"/>
          <w:lang w:val="en-IN"/>
        </w:rPr>
        <w:t xml:space="preserve">(2), 153–175. </w:t>
      </w:r>
      <w:hyperlink r:id="rId8" w:tgtFrame="_new" w:history="1">
        <w:r w:rsidRPr="000E6212">
          <w:rPr>
            <w:rStyle w:val="Hyperlink"/>
            <w:rFonts w:ascii="Times New Roman" w:hAnsi="Times New Roman" w:cs="Times New Roman"/>
            <w:sz w:val="24"/>
            <w:szCs w:val="24"/>
            <w:lang w:val="en-IN"/>
          </w:rPr>
          <w:t>https://doi.org/10.1177/0169796X1102700203</w:t>
        </w:r>
      </w:hyperlink>
    </w:p>
    <w:p w14:paraId="7E427093"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Goswami, M., &amp; Krishnan, B. (2022). eHED2SDG: A framework towards sustainable professionalism and attaining SDG through online holistic education in Indian higher education. </w:t>
      </w:r>
      <w:r w:rsidRPr="000E6212">
        <w:rPr>
          <w:rFonts w:ascii="Times New Roman" w:hAnsi="Times New Roman" w:cs="Times New Roman"/>
          <w:i/>
          <w:iCs/>
          <w:sz w:val="24"/>
          <w:szCs w:val="24"/>
          <w:lang w:val="en-IN"/>
        </w:rPr>
        <w:t>ECS Transactions, 107</w:t>
      </w:r>
      <w:r w:rsidRPr="000E6212">
        <w:rPr>
          <w:rFonts w:ascii="Times New Roman" w:hAnsi="Times New Roman" w:cs="Times New Roman"/>
          <w:sz w:val="24"/>
          <w:szCs w:val="24"/>
          <w:lang w:val="en-IN"/>
        </w:rPr>
        <w:t>(1), 15337.</w:t>
      </w:r>
    </w:p>
    <w:p w14:paraId="55E5AA27"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ICIMOD. (2010). </w:t>
      </w:r>
      <w:r w:rsidRPr="000E6212">
        <w:rPr>
          <w:rFonts w:ascii="Times New Roman" w:hAnsi="Times New Roman" w:cs="Times New Roman"/>
          <w:i/>
          <w:iCs/>
          <w:sz w:val="24"/>
          <w:szCs w:val="24"/>
          <w:lang w:val="en-IN"/>
        </w:rPr>
        <w:t>Mountains of the world: Ecosystem services in a time of global and climate change – Seizing opportunities, meeting challenges</w:t>
      </w:r>
      <w:r w:rsidRPr="000E6212">
        <w:rPr>
          <w:rFonts w:ascii="Times New Roman" w:hAnsi="Times New Roman" w:cs="Times New Roman"/>
          <w:sz w:val="24"/>
          <w:szCs w:val="24"/>
          <w:lang w:val="en-IN"/>
        </w:rPr>
        <w:t>. Kathmandu: International Centre for Integrated Mountain Development.</w:t>
      </w:r>
    </w:p>
    <w:p w14:paraId="66BD8E3B"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proofErr w:type="spellStart"/>
      <w:r w:rsidRPr="000E6212">
        <w:rPr>
          <w:rFonts w:ascii="Times New Roman" w:hAnsi="Times New Roman" w:cs="Times New Roman"/>
          <w:sz w:val="24"/>
          <w:szCs w:val="24"/>
          <w:lang w:val="en-IN"/>
        </w:rPr>
        <w:t>Jangwan</w:t>
      </w:r>
      <w:proofErr w:type="spellEnd"/>
      <w:r w:rsidRPr="000E6212">
        <w:rPr>
          <w:rFonts w:ascii="Times New Roman" w:hAnsi="Times New Roman" w:cs="Times New Roman"/>
          <w:sz w:val="24"/>
          <w:szCs w:val="24"/>
          <w:lang w:val="en-IN"/>
        </w:rPr>
        <w:t xml:space="preserve">, A., &amp; </w:t>
      </w:r>
      <w:proofErr w:type="spellStart"/>
      <w:r w:rsidRPr="000E6212">
        <w:rPr>
          <w:rFonts w:ascii="Times New Roman" w:hAnsi="Times New Roman" w:cs="Times New Roman"/>
          <w:sz w:val="24"/>
          <w:szCs w:val="24"/>
          <w:lang w:val="en-IN"/>
        </w:rPr>
        <w:t>Upreti</w:t>
      </w:r>
      <w:proofErr w:type="spellEnd"/>
      <w:r w:rsidRPr="000E6212">
        <w:rPr>
          <w:rFonts w:ascii="Times New Roman" w:hAnsi="Times New Roman" w:cs="Times New Roman"/>
          <w:sz w:val="24"/>
          <w:szCs w:val="24"/>
          <w:lang w:val="en-IN"/>
        </w:rPr>
        <w:t xml:space="preserve">, P. (2019). Status of migration in Uttarakhand: A case study of </w:t>
      </w:r>
      <w:proofErr w:type="spellStart"/>
      <w:r w:rsidRPr="000E6212">
        <w:rPr>
          <w:rFonts w:ascii="Times New Roman" w:hAnsi="Times New Roman" w:cs="Times New Roman"/>
          <w:sz w:val="24"/>
          <w:szCs w:val="24"/>
          <w:lang w:val="en-IN"/>
        </w:rPr>
        <w:t>Rudraprayag</w:t>
      </w:r>
      <w:proofErr w:type="spellEnd"/>
      <w:r w:rsidRPr="000E6212">
        <w:rPr>
          <w:rFonts w:ascii="Times New Roman" w:hAnsi="Times New Roman" w:cs="Times New Roman"/>
          <w:sz w:val="24"/>
          <w:szCs w:val="24"/>
          <w:lang w:val="en-IN"/>
        </w:rPr>
        <w:t xml:space="preserve"> District. </w:t>
      </w:r>
      <w:r w:rsidRPr="000E6212">
        <w:rPr>
          <w:rFonts w:ascii="Times New Roman" w:hAnsi="Times New Roman" w:cs="Times New Roman"/>
          <w:i/>
          <w:iCs/>
          <w:sz w:val="24"/>
          <w:szCs w:val="24"/>
          <w:lang w:val="en-IN"/>
        </w:rPr>
        <w:t>Environment Conservation Journal, 20</w:t>
      </w:r>
      <w:r w:rsidRPr="000E6212">
        <w:rPr>
          <w:rFonts w:ascii="Times New Roman" w:hAnsi="Times New Roman" w:cs="Times New Roman"/>
          <w:sz w:val="24"/>
          <w:szCs w:val="24"/>
          <w:lang w:val="en-IN"/>
        </w:rPr>
        <w:t>, 61–72. https://doi.org/10.36953/ECJ.2019.20309</w:t>
      </w:r>
    </w:p>
    <w:p w14:paraId="11065523"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Joshi, D. C. (2016). Education and changing lifestyle among tribal students: A sociological analysis. </w:t>
      </w:r>
      <w:r w:rsidRPr="000E6212">
        <w:rPr>
          <w:rFonts w:ascii="Times New Roman" w:hAnsi="Times New Roman" w:cs="Times New Roman"/>
          <w:i/>
          <w:iCs/>
          <w:sz w:val="24"/>
          <w:szCs w:val="24"/>
          <w:lang w:val="en-IN"/>
        </w:rPr>
        <w:t>International Journal of Multidisciplinary Educational Research, 5</w:t>
      </w:r>
      <w:r w:rsidRPr="000E6212">
        <w:rPr>
          <w:rFonts w:ascii="Times New Roman" w:hAnsi="Times New Roman" w:cs="Times New Roman"/>
          <w:sz w:val="24"/>
          <w:szCs w:val="24"/>
          <w:lang w:val="en-IN"/>
        </w:rPr>
        <w:t>(10), 77–88.</w:t>
      </w:r>
    </w:p>
    <w:p w14:paraId="3AFCE22D"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Joshi, N., Wende, W., &amp; Tiwari, P. (2022). Urban planning as an instrument for disaster risk reduction in the Uttarakhand Himalayas. </w:t>
      </w:r>
      <w:r w:rsidRPr="000E6212">
        <w:rPr>
          <w:rFonts w:ascii="Times New Roman" w:hAnsi="Times New Roman" w:cs="Times New Roman"/>
          <w:i/>
          <w:iCs/>
          <w:sz w:val="24"/>
          <w:szCs w:val="24"/>
          <w:lang w:val="en-IN"/>
        </w:rPr>
        <w:t>Mountain Research and Development, 42</w:t>
      </w:r>
      <w:r w:rsidRPr="000E6212">
        <w:rPr>
          <w:rFonts w:ascii="Times New Roman" w:hAnsi="Times New Roman" w:cs="Times New Roman"/>
          <w:sz w:val="24"/>
          <w:szCs w:val="24"/>
          <w:lang w:val="en-IN"/>
        </w:rPr>
        <w:t>. https://doi.org/10.1659/MRD-JOURNAL-D-21-00048.1</w:t>
      </w:r>
    </w:p>
    <w:p w14:paraId="127DB69C"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(2022). </w:t>
      </w:r>
      <w:r w:rsidRPr="000E6212">
        <w:rPr>
          <w:rFonts w:ascii="Times New Roman" w:hAnsi="Times New Roman" w:cs="Times New Roman"/>
          <w:i/>
          <w:iCs/>
          <w:sz w:val="24"/>
          <w:szCs w:val="24"/>
          <w:lang w:val="en-IN"/>
        </w:rPr>
        <w:t>All India survey on higher education (AISHE) 2021–22: Final report</w:t>
      </w:r>
      <w:r w:rsidRPr="000E6212">
        <w:rPr>
          <w:rFonts w:ascii="Times New Roman" w:hAnsi="Times New Roman" w:cs="Times New Roman"/>
          <w:sz w:val="24"/>
          <w:szCs w:val="24"/>
          <w:lang w:val="en-IN"/>
        </w:rPr>
        <w:t>. Department of Higher Education, Government of India.</w:t>
      </w:r>
    </w:p>
    <w:p w14:paraId="7BD3457A"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(2022). </w:t>
      </w:r>
      <w:r w:rsidRPr="000E6212">
        <w:rPr>
          <w:rFonts w:ascii="Times New Roman" w:hAnsi="Times New Roman" w:cs="Times New Roman"/>
          <w:i/>
          <w:iCs/>
          <w:sz w:val="24"/>
          <w:szCs w:val="24"/>
          <w:lang w:val="en-IN"/>
        </w:rPr>
        <w:t>All India survey on higher education (AISHE) 2020–21</w:t>
      </w:r>
      <w:r w:rsidRPr="000E6212">
        <w:rPr>
          <w:rFonts w:ascii="Times New Roman" w:hAnsi="Times New Roman" w:cs="Times New Roman"/>
          <w:sz w:val="24"/>
          <w:szCs w:val="24"/>
          <w:lang w:val="en-IN"/>
        </w:rPr>
        <w:t xml:space="preserve">. Department of Higher Education, Government of India. </w:t>
      </w:r>
      <w:hyperlink r:id="rId9" w:tgtFrame="_new" w:history="1">
        <w:r w:rsidRPr="000E6212">
          <w:rPr>
            <w:rStyle w:val="Hyperlink"/>
            <w:rFonts w:ascii="Times New Roman" w:hAnsi="Times New Roman" w:cs="Times New Roman"/>
            <w:sz w:val="24"/>
            <w:szCs w:val="24"/>
            <w:lang w:val="en-IN"/>
          </w:rPr>
          <w:t>https://www.pib.gov.in/PressReleseDetailm.aspx?PRID=1894517</w:t>
        </w:r>
      </w:hyperlink>
    </w:p>
    <w:p w14:paraId="731D4C1C"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Government of India. (2018). </w:t>
      </w:r>
      <w:r w:rsidRPr="000E6212">
        <w:rPr>
          <w:rFonts w:ascii="Times New Roman" w:hAnsi="Times New Roman" w:cs="Times New Roman"/>
          <w:i/>
          <w:iCs/>
          <w:sz w:val="24"/>
          <w:szCs w:val="24"/>
          <w:lang w:val="en-IN"/>
        </w:rPr>
        <w:t>All India survey on higher education (AISHE) 2017–18: Final report</w:t>
      </w:r>
      <w:r w:rsidRPr="000E6212">
        <w:rPr>
          <w:rFonts w:ascii="Times New Roman" w:hAnsi="Times New Roman" w:cs="Times New Roman"/>
          <w:sz w:val="24"/>
          <w:szCs w:val="24"/>
          <w:lang w:val="en-IN"/>
        </w:rPr>
        <w:t>. Department of Higher Education.</w:t>
      </w:r>
    </w:p>
    <w:p w14:paraId="45FDB280"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Government of India. (2020). </w:t>
      </w:r>
      <w:r w:rsidRPr="000E6212">
        <w:rPr>
          <w:rFonts w:ascii="Times New Roman" w:hAnsi="Times New Roman" w:cs="Times New Roman"/>
          <w:i/>
          <w:iCs/>
          <w:sz w:val="24"/>
          <w:szCs w:val="24"/>
          <w:lang w:val="en-IN"/>
        </w:rPr>
        <w:t>All India survey on higher education (AISHE) 2019–20: Final report</w:t>
      </w:r>
      <w:r w:rsidRPr="000E6212">
        <w:rPr>
          <w:rFonts w:ascii="Times New Roman" w:hAnsi="Times New Roman" w:cs="Times New Roman"/>
          <w:sz w:val="24"/>
          <w:szCs w:val="24"/>
          <w:lang w:val="en-IN"/>
        </w:rPr>
        <w:t>. Department of Higher Education.</w:t>
      </w:r>
    </w:p>
    <w:p w14:paraId="30B5BABB"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Government of India. (2021). </w:t>
      </w:r>
      <w:r w:rsidRPr="000E6212">
        <w:rPr>
          <w:rFonts w:ascii="Times New Roman" w:hAnsi="Times New Roman" w:cs="Times New Roman"/>
          <w:i/>
          <w:iCs/>
          <w:sz w:val="24"/>
          <w:szCs w:val="24"/>
          <w:lang w:val="en-IN"/>
        </w:rPr>
        <w:t>All India survey on higher education (AISHE) 2020–21: Final report</w:t>
      </w:r>
      <w:r w:rsidRPr="000E6212">
        <w:rPr>
          <w:rFonts w:ascii="Times New Roman" w:hAnsi="Times New Roman" w:cs="Times New Roman"/>
          <w:sz w:val="24"/>
          <w:szCs w:val="24"/>
          <w:lang w:val="en-IN"/>
        </w:rPr>
        <w:t>. Department of Higher Education.</w:t>
      </w:r>
    </w:p>
    <w:p w14:paraId="46C976CB"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Ministry of Education. (2025). </w:t>
      </w:r>
      <w:r w:rsidRPr="000E6212">
        <w:rPr>
          <w:rFonts w:ascii="Times New Roman" w:hAnsi="Times New Roman" w:cs="Times New Roman"/>
          <w:i/>
          <w:iCs/>
          <w:sz w:val="24"/>
          <w:szCs w:val="24"/>
          <w:lang w:val="en-IN"/>
        </w:rPr>
        <w:t>UDISE+ 2024–25: School education in India</w:t>
      </w:r>
      <w:r w:rsidRPr="000E6212">
        <w:rPr>
          <w:rFonts w:ascii="Times New Roman" w:hAnsi="Times New Roman" w:cs="Times New Roman"/>
          <w:sz w:val="24"/>
          <w:szCs w:val="24"/>
          <w:lang w:val="en-IN"/>
        </w:rPr>
        <w:t xml:space="preserve">. Government of India. </w:t>
      </w:r>
      <w:hyperlink r:id="rId10" w:tgtFrame="_new" w:history="1">
        <w:r w:rsidRPr="000E6212">
          <w:rPr>
            <w:rStyle w:val="Hyperlink"/>
            <w:rFonts w:ascii="Times New Roman" w:hAnsi="Times New Roman" w:cs="Times New Roman"/>
            <w:sz w:val="24"/>
            <w:szCs w:val="24"/>
            <w:lang w:val="en-IN"/>
          </w:rPr>
          <w:t>https://udiseplus.gov.in</w:t>
        </w:r>
      </w:hyperlink>
    </w:p>
    <w:p w14:paraId="39DF21F0"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lastRenderedPageBreak/>
        <w:t xml:space="preserve">Mohanty, A. (2006). Chapter 13. Multilingualism of the </w:t>
      </w:r>
      <w:proofErr w:type="spellStart"/>
      <w:r w:rsidRPr="000E6212">
        <w:rPr>
          <w:rFonts w:ascii="Times New Roman" w:hAnsi="Times New Roman" w:cs="Times New Roman"/>
          <w:sz w:val="24"/>
          <w:szCs w:val="24"/>
          <w:lang w:val="en-IN"/>
        </w:rPr>
        <w:t>unequals</w:t>
      </w:r>
      <w:proofErr w:type="spellEnd"/>
      <w:r w:rsidRPr="000E6212">
        <w:rPr>
          <w:rFonts w:ascii="Times New Roman" w:hAnsi="Times New Roman" w:cs="Times New Roman"/>
          <w:sz w:val="24"/>
          <w:szCs w:val="24"/>
          <w:lang w:val="en-IN"/>
        </w:rPr>
        <w:t xml:space="preserve"> and predicaments of education in India: Mother tongue or other </w:t>
      </w:r>
      <w:proofErr w:type="gramStart"/>
      <w:r w:rsidRPr="000E6212">
        <w:rPr>
          <w:rFonts w:ascii="Times New Roman" w:hAnsi="Times New Roman" w:cs="Times New Roman"/>
          <w:sz w:val="24"/>
          <w:szCs w:val="24"/>
          <w:lang w:val="en-IN"/>
        </w:rPr>
        <w:t>tongue?:</w:t>
      </w:r>
      <w:proofErr w:type="gramEnd"/>
      <w:r w:rsidRPr="000E6212">
        <w:rPr>
          <w:rFonts w:ascii="Times New Roman" w:hAnsi="Times New Roman" w:cs="Times New Roman"/>
          <w:sz w:val="24"/>
          <w:szCs w:val="24"/>
          <w:lang w:val="en-IN"/>
        </w:rPr>
        <w:t xml:space="preserve"> Languages in education and glocalization. https://doi.org/10.21832/9781853598968-014</w:t>
      </w:r>
    </w:p>
    <w:p w14:paraId="4025C602"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proofErr w:type="spellStart"/>
      <w:r w:rsidRPr="000E6212">
        <w:rPr>
          <w:rFonts w:ascii="Times New Roman" w:hAnsi="Times New Roman" w:cs="Times New Roman"/>
          <w:sz w:val="24"/>
          <w:szCs w:val="24"/>
          <w:lang w:val="en-IN"/>
        </w:rPr>
        <w:t>Paliwal</w:t>
      </w:r>
      <w:proofErr w:type="spellEnd"/>
      <w:r w:rsidRPr="000E6212">
        <w:rPr>
          <w:rFonts w:ascii="Times New Roman" w:hAnsi="Times New Roman" w:cs="Times New Roman"/>
          <w:sz w:val="24"/>
          <w:szCs w:val="24"/>
          <w:lang w:val="en-IN"/>
        </w:rPr>
        <w:t xml:space="preserve">, R., &amp; </w:t>
      </w:r>
      <w:proofErr w:type="spellStart"/>
      <w:r w:rsidRPr="000E6212">
        <w:rPr>
          <w:rFonts w:ascii="Times New Roman" w:hAnsi="Times New Roman" w:cs="Times New Roman"/>
          <w:sz w:val="24"/>
          <w:szCs w:val="24"/>
          <w:lang w:val="en-IN"/>
        </w:rPr>
        <w:t>Paliwal</w:t>
      </w:r>
      <w:proofErr w:type="spellEnd"/>
      <w:r w:rsidRPr="000E6212">
        <w:rPr>
          <w:rFonts w:ascii="Times New Roman" w:hAnsi="Times New Roman" w:cs="Times New Roman"/>
          <w:sz w:val="24"/>
          <w:szCs w:val="24"/>
          <w:lang w:val="en-IN"/>
        </w:rPr>
        <w:t xml:space="preserve">, D. (2011). Higher education in Uttarakhand: Problems and prospects of the government degree colleges. </w:t>
      </w:r>
      <w:r w:rsidRPr="000E6212">
        <w:rPr>
          <w:rFonts w:ascii="Times New Roman" w:hAnsi="Times New Roman" w:cs="Times New Roman"/>
          <w:i/>
          <w:iCs/>
          <w:sz w:val="24"/>
          <w:szCs w:val="24"/>
          <w:lang w:val="en-IN"/>
        </w:rPr>
        <w:t>Quest – The Journal of UGC-ASC Nainital, 5</w:t>
      </w:r>
      <w:r w:rsidRPr="000E6212">
        <w:rPr>
          <w:rFonts w:ascii="Times New Roman" w:hAnsi="Times New Roman" w:cs="Times New Roman"/>
          <w:sz w:val="24"/>
          <w:szCs w:val="24"/>
          <w:lang w:val="en-IN"/>
        </w:rPr>
        <w:t>, 133. https://doi.org/10.5958/j.0974-5041.5.1.010</w:t>
      </w:r>
    </w:p>
    <w:p w14:paraId="042A220F"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Pratap, S., Surendra, &amp; Thadani, R. (2015). Complexities and controversies in Himalayan research: A call for collaboration and rigor for better data. </w:t>
      </w:r>
      <w:r w:rsidRPr="000E6212">
        <w:rPr>
          <w:rFonts w:ascii="Times New Roman" w:hAnsi="Times New Roman" w:cs="Times New Roman"/>
          <w:i/>
          <w:iCs/>
          <w:sz w:val="24"/>
          <w:szCs w:val="24"/>
          <w:lang w:val="en-IN"/>
        </w:rPr>
        <w:t>Mountain Research and Development, 35</w:t>
      </w:r>
      <w:r w:rsidRPr="000E6212">
        <w:rPr>
          <w:rFonts w:ascii="Times New Roman" w:hAnsi="Times New Roman" w:cs="Times New Roman"/>
          <w:sz w:val="24"/>
          <w:szCs w:val="24"/>
          <w:lang w:val="en-IN"/>
        </w:rPr>
        <w:t>. https://doi.org/10.1659/MRD-JOURNAL-D-15-00045</w:t>
      </w:r>
    </w:p>
    <w:p w14:paraId="5F693911"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Ramavath, N., &amp; </w:t>
      </w:r>
      <w:proofErr w:type="spellStart"/>
      <w:r w:rsidRPr="000E6212">
        <w:rPr>
          <w:rFonts w:ascii="Times New Roman" w:hAnsi="Times New Roman" w:cs="Times New Roman"/>
          <w:sz w:val="24"/>
          <w:szCs w:val="24"/>
          <w:lang w:val="en-IN"/>
        </w:rPr>
        <w:t>Krishnaiah</w:t>
      </w:r>
      <w:proofErr w:type="spellEnd"/>
      <w:r w:rsidRPr="000E6212">
        <w:rPr>
          <w:rFonts w:ascii="Times New Roman" w:hAnsi="Times New Roman" w:cs="Times New Roman"/>
          <w:sz w:val="24"/>
          <w:szCs w:val="24"/>
          <w:lang w:val="en-IN"/>
        </w:rPr>
        <w:t>, R. (2023). Inclusivity in higher education: A study on disadvantaged groups in India.</w:t>
      </w:r>
    </w:p>
    <w:p w14:paraId="62BF340A"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Sabharwal, N., &amp; C M, M. (2017). Student diversity and challenges of inclusion in higher education in India. </w:t>
      </w:r>
      <w:r w:rsidRPr="000E6212">
        <w:rPr>
          <w:rFonts w:ascii="Times New Roman" w:hAnsi="Times New Roman" w:cs="Times New Roman"/>
          <w:i/>
          <w:iCs/>
          <w:sz w:val="24"/>
          <w:szCs w:val="24"/>
          <w:lang w:val="en-IN"/>
        </w:rPr>
        <w:t>International Higher Education, 91</w:t>
      </w:r>
      <w:r w:rsidRPr="000E6212">
        <w:rPr>
          <w:rFonts w:ascii="Times New Roman" w:hAnsi="Times New Roman" w:cs="Times New Roman"/>
          <w:sz w:val="24"/>
          <w:szCs w:val="24"/>
          <w:lang w:val="en-IN"/>
        </w:rPr>
        <w:t>, 25–27. https://doi.org/10.6017/ihe.2017.91.10136</w:t>
      </w:r>
    </w:p>
    <w:p w14:paraId="5C3C4EEE"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Sati, V. (2024). </w:t>
      </w:r>
      <w:r w:rsidRPr="000E6212">
        <w:rPr>
          <w:rFonts w:ascii="Times New Roman" w:hAnsi="Times New Roman" w:cs="Times New Roman"/>
          <w:i/>
          <w:iCs/>
          <w:sz w:val="24"/>
          <w:szCs w:val="24"/>
          <w:lang w:val="en-IN"/>
        </w:rPr>
        <w:t>Exploring the cultural riches: Heritage and cultural realms of Uttarakhand</w:t>
      </w:r>
      <w:r w:rsidRPr="000E6212">
        <w:rPr>
          <w:rFonts w:ascii="Times New Roman" w:hAnsi="Times New Roman" w:cs="Times New Roman"/>
          <w:sz w:val="24"/>
          <w:szCs w:val="24"/>
          <w:lang w:val="en-IN"/>
        </w:rPr>
        <w:t>.</w:t>
      </w:r>
    </w:p>
    <w:p w14:paraId="10ACDE80"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Singh, R. (2019). Socio-cultural study on tribal communities of Uttarakhand. </w:t>
      </w:r>
      <w:r w:rsidRPr="000E6212">
        <w:rPr>
          <w:rFonts w:ascii="Times New Roman" w:hAnsi="Times New Roman" w:cs="Times New Roman"/>
          <w:i/>
          <w:iCs/>
          <w:sz w:val="24"/>
          <w:szCs w:val="24"/>
          <w:lang w:val="en-IN"/>
        </w:rPr>
        <w:t>International Journal of Applied Social Science, 6</w:t>
      </w:r>
      <w:r w:rsidRPr="000E6212">
        <w:rPr>
          <w:rFonts w:ascii="Times New Roman" w:hAnsi="Times New Roman" w:cs="Times New Roman"/>
          <w:sz w:val="24"/>
          <w:szCs w:val="24"/>
          <w:lang w:val="en-IN"/>
        </w:rPr>
        <w:t>(6), 1688–1690.</w:t>
      </w:r>
    </w:p>
    <w:p w14:paraId="52E08667"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proofErr w:type="spellStart"/>
      <w:r w:rsidRPr="000E6212">
        <w:rPr>
          <w:rFonts w:ascii="Times New Roman" w:hAnsi="Times New Roman" w:cs="Times New Roman"/>
          <w:sz w:val="24"/>
          <w:szCs w:val="24"/>
          <w:lang w:val="en-IN"/>
        </w:rPr>
        <w:t>Taragi</w:t>
      </w:r>
      <w:proofErr w:type="spellEnd"/>
      <w:r w:rsidRPr="000E6212">
        <w:rPr>
          <w:rFonts w:ascii="Times New Roman" w:hAnsi="Times New Roman" w:cs="Times New Roman"/>
          <w:sz w:val="24"/>
          <w:szCs w:val="24"/>
          <w:lang w:val="en-IN"/>
        </w:rPr>
        <w:t>, R., &amp; Chand, R. (2017). Regional pattern of migration flows in Uttarakhand, India. https://doi.org/10.1007/978-3-319-50998-3_16</w:t>
      </w:r>
    </w:p>
    <w:p w14:paraId="0A90F636"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Thapliyal, U. P. (2005). </w:t>
      </w:r>
      <w:r w:rsidRPr="000E6212">
        <w:rPr>
          <w:rFonts w:ascii="Times New Roman" w:hAnsi="Times New Roman" w:cs="Times New Roman"/>
          <w:i/>
          <w:iCs/>
          <w:sz w:val="24"/>
          <w:szCs w:val="24"/>
          <w:lang w:val="en-IN"/>
        </w:rPr>
        <w:t>Uttaranchal: Historical and cultural perspectives</w:t>
      </w:r>
      <w:r w:rsidRPr="000E6212">
        <w:rPr>
          <w:rFonts w:ascii="Times New Roman" w:hAnsi="Times New Roman" w:cs="Times New Roman"/>
          <w:sz w:val="24"/>
          <w:szCs w:val="24"/>
          <w:lang w:val="en-IN"/>
        </w:rPr>
        <w:t>. BR Publishing.</w:t>
      </w:r>
    </w:p>
    <w:p w14:paraId="76423275"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Verma, S. (2024). The role of education in empowering the </w:t>
      </w:r>
      <w:proofErr w:type="spellStart"/>
      <w:r w:rsidRPr="000E6212">
        <w:rPr>
          <w:rFonts w:ascii="Times New Roman" w:hAnsi="Times New Roman" w:cs="Times New Roman"/>
          <w:sz w:val="24"/>
          <w:szCs w:val="24"/>
          <w:lang w:val="en-IN"/>
        </w:rPr>
        <w:t>Bhotiya</w:t>
      </w:r>
      <w:proofErr w:type="spellEnd"/>
      <w:r w:rsidRPr="000E6212">
        <w:rPr>
          <w:rFonts w:ascii="Times New Roman" w:hAnsi="Times New Roman" w:cs="Times New Roman"/>
          <w:sz w:val="24"/>
          <w:szCs w:val="24"/>
          <w:lang w:val="en-IN"/>
        </w:rPr>
        <w:t xml:space="preserve"> community: A socio-cultural perspective. </w:t>
      </w:r>
      <w:r w:rsidRPr="000E6212">
        <w:rPr>
          <w:rFonts w:ascii="Times New Roman" w:hAnsi="Times New Roman" w:cs="Times New Roman"/>
          <w:i/>
          <w:iCs/>
          <w:sz w:val="24"/>
          <w:szCs w:val="24"/>
          <w:lang w:val="en-IN"/>
        </w:rPr>
        <w:t>International Journal of Scientific Research in Science and Technology, 11</w:t>
      </w:r>
      <w:r w:rsidRPr="000E6212">
        <w:rPr>
          <w:rFonts w:ascii="Times New Roman" w:hAnsi="Times New Roman" w:cs="Times New Roman"/>
          <w:sz w:val="24"/>
          <w:szCs w:val="24"/>
          <w:lang w:val="en-IN"/>
        </w:rPr>
        <w:t xml:space="preserve">(7). </w:t>
      </w:r>
      <w:hyperlink r:id="rId11" w:tgtFrame="_new" w:history="1">
        <w:r w:rsidRPr="000E6212">
          <w:rPr>
            <w:rStyle w:val="Hyperlink"/>
            <w:rFonts w:ascii="Times New Roman" w:hAnsi="Times New Roman" w:cs="Times New Roman"/>
            <w:sz w:val="24"/>
            <w:szCs w:val="24"/>
            <w:lang w:val="en-IN"/>
          </w:rPr>
          <w:t>https://doi.org/10.32628/IJSRST1007</w:t>
        </w:r>
      </w:hyperlink>
    </w:p>
    <w:p w14:paraId="64969F39" w14:textId="77777777" w:rsidR="00675114" w:rsidRPr="000E6212" w:rsidRDefault="00675114" w:rsidP="000E6212">
      <w:pPr>
        <w:pStyle w:val="ListParagraph"/>
        <w:numPr>
          <w:ilvl w:val="0"/>
          <w:numId w:val="9"/>
        </w:numPr>
        <w:jc w:val="both"/>
        <w:rPr>
          <w:rFonts w:ascii="Times New Roman" w:hAnsi="Times New Roman" w:cs="Times New Roman"/>
          <w:sz w:val="24"/>
          <w:szCs w:val="24"/>
          <w:lang w:val="en-IN"/>
        </w:rPr>
      </w:pPr>
      <w:r w:rsidRPr="000E6212">
        <w:rPr>
          <w:rFonts w:ascii="Times New Roman" w:hAnsi="Times New Roman" w:cs="Times New Roman"/>
          <w:sz w:val="24"/>
          <w:szCs w:val="24"/>
          <w:lang w:val="en-IN"/>
        </w:rPr>
        <w:t xml:space="preserve">Yue, H., Sangha Rico, R., Kou </w:t>
      </w:r>
      <w:proofErr w:type="spellStart"/>
      <w:r w:rsidRPr="000E6212">
        <w:rPr>
          <w:rFonts w:ascii="Times New Roman" w:hAnsi="Times New Roman" w:cs="Times New Roman"/>
          <w:sz w:val="24"/>
          <w:szCs w:val="24"/>
          <w:lang w:val="en-IN"/>
        </w:rPr>
        <w:t>Vang</w:t>
      </w:r>
      <w:proofErr w:type="spellEnd"/>
      <w:r w:rsidRPr="000E6212">
        <w:rPr>
          <w:rFonts w:ascii="Times New Roman" w:hAnsi="Times New Roman" w:cs="Times New Roman"/>
          <w:sz w:val="24"/>
          <w:szCs w:val="24"/>
          <w:lang w:val="en-IN"/>
        </w:rPr>
        <w:t xml:space="preserve">, M., &amp; Aquino Giuffrida, T. (2018). Supplemental instruction: Helping disadvantaged students reduce performance gap. </w:t>
      </w:r>
      <w:r w:rsidRPr="000E6212">
        <w:rPr>
          <w:rFonts w:ascii="Times New Roman" w:hAnsi="Times New Roman" w:cs="Times New Roman"/>
          <w:i/>
          <w:iCs/>
          <w:sz w:val="24"/>
          <w:szCs w:val="24"/>
          <w:lang w:val="en-IN"/>
        </w:rPr>
        <w:t>Journal of Developmental Education, 41</w:t>
      </w:r>
      <w:r w:rsidRPr="000E6212">
        <w:rPr>
          <w:rFonts w:ascii="Times New Roman" w:hAnsi="Times New Roman" w:cs="Times New Roman"/>
          <w:sz w:val="24"/>
          <w:szCs w:val="24"/>
          <w:lang w:val="en-IN"/>
        </w:rPr>
        <w:t>(2), 18–25.</w:t>
      </w:r>
    </w:p>
    <w:p w14:paraId="78FCD4E5" w14:textId="77777777" w:rsidR="000B19AB" w:rsidRPr="000B19AB" w:rsidRDefault="000B19AB" w:rsidP="0055611A">
      <w:pPr>
        <w:jc w:val="both"/>
        <w:rPr>
          <w:rFonts w:ascii="Times New Roman" w:hAnsi="Times New Roman" w:cs="Times New Roman"/>
          <w:sz w:val="24"/>
          <w:szCs w:val="24"/>
        </w:rPr>
      </w:pPr>
    </w:p>
    <w:sectPr w:rsidR="000B19AB" w:rsidRPr="000B19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E5ED8" w14:textId="77777777" w:rsidR="00894920" w:rsidRDefault="00894920" w:rsidP="005C7A92">
      <w:pPr>
        <w:spacing w:after="0" w:line="240" w:lineRule="auto"/>
      </w:pPr>
      <w:r>
        <w:separator/>
      </w:r>
    </w:p>
  </w:endnote>
  <w:endnote w:type="continuationSeparator" w:id="0">
    <w:p w14:paraId="2CC97769" w14:textId="77777777" w:rsidR="00894920" w:rsidRDefault="00894920" w:rsidP="005C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13C2" w14:textId="77777777" w:rsidR="005C7A92" w:rsidRDefault="005C7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C378" w14:textId="77777777" w:rsidR="005C7A92" w:rsidRDefault="005C7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2D53" w14:textId="77777777" w:rsidR="005C7A92" w:rsidRDefault="005C7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BFD1" w14:textId="77777777" w:rsidR="00894920" w:rsidRDefault="00894920" w:rsidP="005C7A92">
      <w:pPr>
        <w:spacing w:after="0" w:line="240" w:lineRule="auto"/>
      </w:pPr>
      <w:r>
        <w:separator/>
      </w:r>
    </w:p>
  </w:footnote>
  <w:footnote w:type="continuationSeparator" w:id="0">
    <w:p w14:paraId="06215E1A" w14:textId="77777777" w:rsidR="00894920" w:rsidRDefault="00894920" w:rsidP="005C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4B2B" w14:textId="1DF3CADD" w:rsidR="005C7A92" w:rsidRDefault="005C7A92">
    <w:pPr>
      <w:pStyle w:val="Header"/>
    </w:pPr>
    <w:r>
      <w:rPr>
        <w:noProof/>
      </w:rPr>
      <w:pict w14:anchorId="3F5AE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52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4014" w14:textId="5BF2633B" w:rsidR="005C7A92" w:rsidRDefault="005C7A92">
    <w:pPr>
      <w:pStyle w:val="Header"/>
    </w:pPr>
    <w:r>
      <w:rPr>
        <w:noProof/>
      </w:rPr>
      <w:pict w14:anchorId="3D2F5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52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C8A0" w14:textId="45D33325" w:rsidR="005C7A92" w:rsidRDefault="005C7A92">
    <w:pPr>
      <w:pStyle w:val="Header"/>
    </w:pPr>
    <w:r>
      <w:rPr>
        <w:noProof/>
      </w:rPr>
      <w:pict w14:anchorId="5EAD9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352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952BA"/>
    <w:multiLevelType w:val="hybridMultilevel"/>
    <w:tmpl w:val="FDE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40233"/>
    <w:multiLevelType w:val="multilevel"/>
    <w:tmpl w:val="27A8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43239"/>
    <w:multiLevelType w:val="hybridMultilevel"/>
    <w:tmpl w:val="FD3C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108C1"/>
    <w:multiLevelType w:val="hybridMultilevel"/>
    <w:tmpl w:val="23F6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95738"/>
    <w:multiLevelType w:val="hybridMultilevel"/>
    <w:tmpl w:val="AD6A65B0"/>
    <w:lvl w:ilvl="0" w:tplc="7EA05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96CAD"/>
    <w:multiLevelType w:val="hybridMultilevel"/>
    <w:tmpl w:val="B9F45968"/>
    <w:lvl w:ilvl="0" w:tplc="7EA05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73FAA"/>
    <w:multiLevelType w:val="hybridMultilevel"/>
    <w:tmpl w:val="18E4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25535"/>
    <w:multiLevelType w:val="multilevel"/>
    <w:tmpl w:val="563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7FD0"/>
    <w:multiLevelType w:val="hybridMultilevel"/>
    <w:tmpl w:val="5E185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NzUxNDExNDCzNDBT0lEKTi0uzszPAykwrAUARLhKdCwAAAA="/>
  </w:docVars>
  <w:rsids>
    <w:rsidRoot w:val="003C4EDA"/>
    <w:rsid w:val="0003519D"/>
    <w:rsid w:val="000A5012"/>
    <w:rsid w:val="000B19AB"/>
    <w:rsid w:val="000C29D6"/>
    <w:rsid w:val="000E6212"/>
    <w:rsid w:val="00116818"/>
    <w:rsid w:val="00157140"/>
    <w:rsid w:val="001F6E02"/>
    <w:rsid w:val="00200760"/>
    <w:rsid w:val="00206768"/>
    <w:rsid w:val="002536A9"/>
    <w:rsid w:val="00265597"/>
    <w:rsid w:val="002E2264"/>
    <w:rsid w:val="00303544"/>
    <w:rsid w:val="00372DCE"/>
    <w:rsid w:val="00392360"/>
    <w:rsid w:val="003B3233"/>
    <w:rsid w:val="003C2317"/>
    <w:rsid w:val="003C4EDA"/>
    <w:rsid w:val="003D3314"/>
    <w:rsid w:val="003E7B77"/>
    <w:rsid w:val="005159DB"/>
    <w:rsid w:val="00544D82"/>
    <w:rsid w:val="0055611A"/>
    <w:rsid w:val="005C7A92"/>
    <w:rsid w:val="00675114"/>
    <w:rsid w:val="00682AE2"/>
    <w:rsid w:val="00692E26"/>
    <w:rsid w:val="006C7562"/>
    <w:rsid w:val="00700080"/>
    <w:rsid w:val="00754C45"/>
    <w:rsid w:val="007B4F5C"/>
    <w:rsid w:val="007D63CC"/>
    <w:rsid w:val="007F7943"/>
    <w:rsid w:val="00880286"/>
    <w:rsid w:val="00894920"/>
    <w:rsid w:val="00895805"/>
    <w:rsid w:val="008B63D7"/>
    <w:rsid w:val="008F57B0"/>
    <w:rsid w:val="00956241"/>
    <w:rsid w:val="00956594"/>
    <w:rsid w:val="009B063B"/>
    <w:rsid w:val="00A415AE"/>
    <w:rsid w:val="00A75021"/>
    <w:rsid w:val="00AA3BDB"/>
    <w:rsid w:val="00AD6708"/>
    <w:rsid w:val="00AF5158"/>
    <w:rsid w:val="00B337B7"/>
    <w:rsid w:val="00B91A28"/>
    <w:rsid w:val="00BA5D69"/>
    <w:rsid w:val="00BB03C6"/>
    <w:rsid w:val="00BB523C"/>
    <w:rsid w:val="00CD52EF"/>
    <w:rsid w:val="00E12115"/>
    <w:rsid w:val="00E27ACF"/>
    <w:rsid w:val="00E5488F"/>
    <w:rsid w:val="00E66EF4"/>
    <w:rsid w:val="00EB14ED"/>
    <w:rsid w:val="00EE3713"/>
    <w:rsid w:val="00EF4020"/>
    <w:rsid w:val="00F20CFA"/>
    <w:rsid w:val="00F27606"/>
    <w:rsid w:val="00F366BF"/>
    <w:rsid w:val="00F568BA"/>
    <w:rsid w:val="00FE730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119406"/>
  <w15:docId w15:val="{930A6BE0-22C4-44FA-871C-B380F16A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D82"/>
  </w:style>
  <w:style w:type="paragraph" w:styleId="Heading4">
    <w:name w:val="heading 4"/>
    <w:basedOn w:val="Normal"/>
    <w:link w:val="Heading4Char"/>
    <w:uiPriority w:val="9"/>
    <w:qFormat/>
    <w:rsid w:val="00F20C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565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A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1A28"/>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F4020"/>
    <w:pPr>
      <w:widowControl w:val="0"/>
      <w:autoSpaceDE w:val="0"/>
      <w:autoSpaceDN w:val="0"/>
      <w:spacing w:after="0" w:line="250" w:lineRule="exact"/>
      <w:ind w:right="15"/>
      <w:jc w:val="right"/>
    </w:pPr>
    <w:rPr>
      <w:rFonts w:ascii="Calibri" w:eastAsia="Calibri" w:hAnsi="Calibri" w:cs="Calibri"/>
    </w:rPr>
  </w:style>
  <w:style w:type="character" w:customStyle="1" w:styleId="Heading4Char">
    <w:name w:val="Heading 4 Char"/>
    <w:basedOn w:val="DefaultParagraphFont"/>
    <w:link w:val="Heading4"/>
    <w:uiPriority w:val="9"/>
    <w:rsid w:val="00F20CFA"/>
    <w:rPr>
      <w:rFonts w:ascii="Times New Roman" w:eastAsia="Times New Roman" w:hAnsi="Times New Roman" w:cs="Times New Roman"/>
      <w:b/>
      <w:bCs/>
      <w:sz w:val="24"/>
      <w:szCs w:val="24"/>
    </w:rPr>
  </w:style>
  <w:style w:type="character" w:styleId="Strong">
    <w:name w:val="Strong"/>
    <w:basedOn w:val="DefaultParagraphFont"/>
    <w:uiPriority w:val="22"/>
    <w:qFormat/>
    <w:rsid w:val="00F20CFA"/>
    <w:rPr>
      <w:b/>
      <w:bCs/>
    </w:rPr>
  </w:style>
  <w:style w:type="character" w:styleId="Emphasis">
    <w:name w:val="Emphasis"/>
    <w:basedOn w:val="DefaultParagraphFont"/>
    <w:uiPriority w:val="20"/>
    <w:qFormat/>
    <w:rsid w:val="00F20CFA"/>
    <w:rPr>
      <w:i/>
      <w:iCs/>
    </w:rPr>
  </w:style>
  <w:style w:type="character" w:customStyle="1" w:styleId="Heading5Char">
    <w:name w:val="Heading 5 Char"/>
    <w:basedOn w:val="DefaultParagraphFont"/>
    <w:link w:val="Heading5"/>
    <w:uiPriority w:val="9"/>
    <w:semiHidden/>
    <w:rsid w:val="0095659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206768"/>
    <w:pPr>
      <w:ind w:left="720"/>
      <w:contextualSpacing/>
    </w:pPr>
  </w:style>
  <w:style w:type="character" w:styleId="Hyperlink">
    <w:name w:val="Hyperlink"/>
    <w:basedOn w:val="DefaultParagraphFont"/>
    <w:uiPriority w:val="99"/>
    <w:unhideWhenUsed/>
    <w:rsid w:val="000A5012"/>
    <w:rPr>
      <w:color w:val="0000FF" w:themeColor="hyperlink"/>
      <w:u w:val="single"/>
    </w:rPr>
  </w:style>
  <w:style w:type="character" w:styleId="UnresolvedMention">
    <w:name w:val="Unresolved Mention"/>
    <w:basedOn w:val="DefaultParagraphFont"/>
    <w:uiPriority w:val="99"/>
    <w:semiHidden/>
    <w:unhideWhenUsed/>
    <w:rsid w:val="000A5012"/>
    <w:rPr>
      <w:color w:val="605E5C"/>
      <w:shd w:val="clear" w:color="auto" w:fill="E1DFDD"/>
    </w:rPr>
  </w:style>
  <w:style w:type="paragraph" w:styleId="Header">
    <w:name w:val="header"/>
    <w:basedOn w:val="Normal"/>
    <w:link w:val="HeaderChar"/>
    <w:uiPriority w:val="99"/>
    <w:unhideWhenUsed/>
    <w:rsid w:val="005C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92"/>
  </w:style>
  <w:style w:type="paragraph" w:styleId="Footer">
    <w:name w:val="footer"/>
    <w:basedOn w:val="Normal"/>
    <w:link w:val="FooterChar"/>
    <w:uiPriority w:val="99"/>
    <w:unhideWhenUsed/>
    <w:rsid w:val="005C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966">
      <w:bodyDiv w:val="1"/>
      <w:marLeft w:val="0"/>
      <w:marRight w:val="0"/>
      <w:marTop w:val="0"/>
      <w:marBottom w:val="0"/>
      <w:divBdr>
        <w:top w:val="none" w:sz="0" w:space="0" w:color="auto"/>
        <w:left w:val="none" w:sz="0" w:space="0" w:color="auto"/>
        <w:bottom w:val="none" w:sz="0" w:space="0" w:color="auto"/>
        <w:right w:val="none" w:sz="0" w:space="0" w:color="auto"/>
      </w:divBdr>
    </w:div>
    <w:div w:id="232475435">
      <w:bodyDiv w:val="1"/>
      <w:marLeft w:val="0"/>
      <w:marRight w:val="0"/>
      <w:marTop w:val="0"/>
      <w:marBottom w:val="0"/>
      <w:divBdr>
        <w:top w:val="none" w:sz="0" w:space="0" w:color="auto"/>
        <w:left w:val="none" w:sz="0" w:space="0" w:color="auto"/>
        <w:bottom w:val="none" w:sz="0" w:space="0" w:color="auto"/>
        <w:right w:val="none" w:sz="0" w:space="0" w:color="auto"/>
      </w:divBdr>
    </w:div>
    <w:div w:id="246695494">
      <w:bodyDiv w:val="1"/>
      <w:marLeft w:val="0"/>
      <w:marRight w:val="0"/>
      <w:marTop w:val="0"/>
      <w:marBottom w:val="0"/>
      <w:divBdr>
        <w:top w:val="none" w:sz="0" w:space="0" w:color="auto"/>
        <w:left w:val="none" w:sz="0" w:space="0" w:color="auto"/>
        <w:bottom w:val="none" w:sz="0" w:space="0" w:color="auto"/>
        <w:right w:val="none" w:sz="0" w:space="0" w:color="auto"/>
      </w:divBdr>
      <w:divsChild>
        <w:div w:id="400561548">
          <w:marLeft w:val="0"/>
          <w:marRight w:val="0"/>
          <w:marTop w:val="0"/>
          <w:marBottom w:val="0"/>
          <w:divBdr>
            <w:top w:val="none" w:sz="0" w:space="0" w:color="auto"/>
            <w:left w:val="none" w:sz="0" w:space="0" w:color="auto"/>
            <w:bottom w:val="none" w:sz="0" w:space="0" w:color="auto"/>
            <w:right w:val="none" w:sz="0" w:space="0" w:color="auto"/>
          </w:divBdr>
          <w:divsChild>
            <w:div w:id="11172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1893">
      <w:bodyDiv w:val="1"/>
      <w:marLeft w:val="0"/>
      <w:marRight w:val="0"/>
      <w:marTop w:val="0"/>
      <w:marBottom w:val="0"/>
      <w:divBdr>
        <w:top w:val="none" w:sz="0" w:space="0" w:color="auto"/>
        <w:left w:val="none" w:sz="0" w:space="0" w:color="auto"/>
        <w:bottom w:val="none" w:sz="0" w:space="0" w:color="auto"/>
        <w:right w:val="none" w:sz="0" w:space="0" w:color="auto"/>
      </w:divBdr>
    </w:div>
    <w:div w:id="369767485">
      <w:bodyDiv w:val="1"/>
      <w:marLeft w:val="0"/>
      <w:marRight w:val="0"/>
      <w:marTop w:val="0"/>
      <w:marBottom w:val="0"/>
      <w:divBdr>
        <w:top w:val="none" w:sz="0" w:space="0" w:color="auto"/>
        <w:left w:val="none" w:sz="0" w:space="0" w:color="auto"/>
        <w:bottom w:val="none" w:sz="0" w:space="0" w:color="auto"/>
        <w:right w:val="none" w:sz="0" w:space="0" w:color="auto"/>
      </w:divBdr>
    </w:div>
    <w:div w:id="939138985">
      <w:bodyDiv w:val="1"/>
      <w:marLeft w:val="0"/>
      <w:marRight w:val="0"/>
      <w:marTop w:val="0"/>
      <w:marBottom w:val="0"/>
      <w:divBdr>
        <w:top w:val="none" w:sz="0" w:space="0" w:color="auto"/>
        <w:left w:val="none" w:sz="0" w:space="0" w:color="auto"/>
        <w:bottom w:val="none" w:sz="0" w:space="0" w:color="auto"/>
        <w:right w:val="none" w:sz="0" w:space="0" w:color="auto"/>
      </w:divBdr>
    </w:div>
    <w:div w:id="1035615277">
      <w:bodyDiv w:val="1"/>
      <w:marLeft w:val="0"/>
      <w:marRight w:val="0"/>
      <w:marTop w:val="0"/>
      <w:marBottom w:val="0"/>
      <w:divBdr>
        <w:top w:val="none" w:sz="0" w:space="0" w:color="auto"/>
        <w:left w:val="none" w:sz="0" w:space="0" w:color="auto"/>
        <w:bottom w:val="none" w:sz="0" w:space="0" w:color="auto"/>
        <w:right w:val="none" w:sz="0" w:space="0" w:color="auto"/>
      </w:divBdr>
    </w:div>
    <w:div w:id="1134058852">
      <w:bodyDiv w:val="1"/>
      <w:marLeft w:val="0"/>
      <w:marRight w:val="0"/>
      <w:marTop w:val="0"/>
      <w:marBottom w:val="0"/>
      <w:divBdr>
        <w:top w:val="none" w:sz="0" w:space="0" w:color="auto"/>
        <w:left w:val="none" w:sz="0" w:space="0" w:color="auto"/>
        <w:bottom w:val="none" w:sz="0" w:space="0" w:color="auto"/>
        <w:right w:val="none" w:sz="0" w:space="0" w:color="auto"/>
      </w:divBdr>
    </w:div>
    <w:div w:id="1155294677">
      <w:bodyDiv w:val="1"/>
      <w:marLeft w:val="0"/>
      <w:marRight w:val="0"/>
      <w:marTop w:val="0"/>
      <w:marBottom w:val="0"/>
      <w:divBdr>
        <w:top w:val="none" w:sz="0" w:space="0" w:color="auto"/>
        <w:left w:val="none" w:sz="0" w:space="0" w:color="auto"/>
        <w:bottom w:val="none" w:sz="0" w:space="0" w:color="auto"/>
        <w:right w:val="none" w:sz="0" w:space="0" w:color="auto"/>
      </w:divBdr>
    </w:div>
    <w:div w:id="1337152341">
      <w:bodyDiv w:val="1"/>
      <w:marLeft w:val="0"/>
      <w:marRight w:val="0"/>
      <w:marTop w:val="0"/>
      <w:marBottom w:val="0"/>
      <w:divBdr>
        <w:top w:val="none" w:sz="0" w:space="0" w:color="auto"/>
        <w:left w:val="none" w:sz="0" w:space="0" w:color="auto"/>
        <w:bottom w:val="none" w:sz="0" w:space="0" w:color="auto"/>
        <w:right w:val="none" w:sz="0" w:space="0" w:color="auto"/>
      </w:divBdr>
    </w:div>
    <w:div w:id="1418862970">
      <w:bodyDiv w:val="1"/>
      <w:marLeft w:val="0"/>
      <w:marRight w:val="0"/>
      <w:marTop w:val="0"/>
      <w:marBottom w:val="0"/>
      <w:divBdr>
        <w:top w:val="none" w:sz="0" w:space="0" w:color="auto"/>
        <w:left w:val="none" w:sz="0" w:space="0" w:color="auto"/>
        <w:bottom w:val="none" w:sz="0" w:space="0" w:color="auto"/>
        <w:right w:val="none" w:sz="0" w:space="0" w:color="auto"/>
      </w:divBdr>
    </w:div>
    <w:div w:id="1440830737">
      <w:bodyDiv w:val="1"/>
      <w:marLeft w:val="0"/>
      <w:marRight w:val="0"/>
      <w:marTop w:val="0"/>
      <w:marBottom w:val="0"/>
      <w:divBdr>
        <w:top w:val="none" w:sz="0" w:space="0" w:color="auto"/>
        <w:left w:val="none" w:sz="0" w:space="0" w:color="auto"/>
        <w:bottom w:val="none" w:sz="0" w:space="0" w:color="auto"/>
        <w:right w:val="none" w:sz="0" w:space="0" w:color="auto"/>
      </w:divBdr>
    </w:div>
    <w:div w:id="1666785514">
      <w:bodyDiv w:val="1"/>
      <w:marLeft w:val="0"/>
      <w:marRight w:val="0"/>
      <w:marTop w:val="0"/>
      <w:marBottom w:val="0"/>
      <w:divBdr>
        <w:top w:val="none" w:sz="0" w:space="0" w:color="auto"/>
        <w:left w:val="none" w:sz="0" w:space="0" w:color="auto"/>
        <w:bottom w:val="none" w:sz="0" w:space="0" w:color="auto"/>
        <w:right w:val="none" w:sz="0" w:space="0" w:color="auto"/>
      </w:divBdr>
    </w:div>
    <w:div w:id="1684892002">
      <w:bodyDiv w:val="1"/>
      <w:marLeft w:val="0"/>
      <w:marRight w:val="0"/>
      <w:marTop w:val="0"/>
      <w:marBottom w:val="0"/>
      <w:divBdr>
        <w:top w:val="none" w:sz="0" w:space="0" w:color="auto"/>
        <w:left w:val="none" w:sz="0" w:space="0" w:color="auto"/>
        <w:bottom w:val="none" w:sz="0" w:space="0" w:color="auto"/>
        <w:right w:val="none" w:sz="0" w:space="0" w:color="auto"/>
      </w:divBdr>
    </w:div>
    <w:div w:id="1883206359">
      <w:bodyDiv w:val="1"/>
      <w:marLeft w:val="0"/>
      <w:marRight w:val="0"/>
      <w:marTop w:val="0"/>
      <w:marBottom w:val="0"/>
      <w:divBdr>
        <w:top w:val="none" w:sz="0" w:space="0" w:color="auto"/>
        <w:left w:val="none" w:sz="0" w:space="0" w:color="auto"/>
        <w:bottom w:val="none" w:sz="0" w:space="0" w:color="auto"/>
        <w:right w:val="none" w:sz="0" w:space="0" w:color="auto"/>
      </w:divBdr>
      <w:divsChild>
        <w:div w:id="224996415">
          <w:marLeft w:val="0"/>
          <w:marRight w:val="0"/>
          <w:marTop w:val="0"/>
          <w:marBottom w:val="0"/>
          <w:divBdr>
            <w:top w:val="none" w:sz="0" w:space="0" w:color="auto"/>
            <w:left w:val="none" w:sz="0" w:space="0" w:color="auto"/>
            <w:bottom w:val="none" w:sz="0" w:space="0" w:color="auto"/>
            <w:right w:val="none" w:sz="0" w:space="0" w:color="auto"/>
          </w:divBdr>
          <w:divsChild>
            <w:div w:id="1174684784">
              <w:marLeft w:val="0"/>
              <w:marRight w:val="0"/>
              <w:marTop w:val="0"/>
              <w:marBottom w:val="0"/>
              <w:divBdr>
                <w:top w:val="none" w:sz="0" w:space="0" w:color="auto"/>
                <w:left w:val="none" w:sz="0" w:space="0" w:color="auto"/>
                <w:bottom w:val="none" w:sz="0" w:space="0" w:color="auto"/>
                <w:right w:val="none" w:sz="0" w:space="0" w:color="auto"/>
              </w:divBdr>
              <w:divsChild>
                <w:div w:id="69356539">
                  <w:marLeft w:val="0"/>
                  <w:marRight w:val="0"/>
                  <w:marTop w:val="0"/>
                  <w:marBottom w:val="0"/>
                  <w:divBdr>
                    <w:top w:val="none" w:sz="0" w:space="0" w:color="auto"/>
                    <w:left w:val="none" w:sz="0" w:space="0" w:color="auto"/>
                    <w:bottom w:val="none" w:sz="0" w:space="0" w:color="auto"/>
                    <w:right w:val="none" w:sz="0" w:space="0" w:color="auto"/>
                  </w:divBdr>
                  <w:divsChild>
                    <w:div w:id="992172815">
                      <w:marLeft w:val="0"/>
                      <w:marRight w:val="0"/>
                      <w:marTop w:val="0"/>
                      <w:marBottom w:val="0"/>
                      <w:divBdr>
                        <w:top w:val="none" w:sz="0" w:space="0" w:color="auto"/>
                        <w:left w:val="none" w:sz="0" w:space="0" w:color="auto"/>
                        <w:bottom w:val="none" w:sz="0" w:space="0" w:color="auto"/>
                        <w:right w:val="none" w:sz="0" w:space="0" w:color="auto"/>
                      </w:divBdr>
                      <w:divsChild>
                        <w:div w:id="525871325">
                          <w:marLeft w:val="0"/>
                          <w:marRight w:val="0"/>
                          <w:marTop w:val="0"/>
                          <w:marBottom w:val="0"/>
                          <w:divBdr>
                            <w:top w:val="none" w:sz="0" w:space="0" w:color="auto"/>
                            <w:left w:val="none" w:sz="0" w:space="0" w:color="auto"/>
                            <w:bottom w:val="none" w:sz="0" w:space="0" w:color="auto"/>
                            <w:right w:val="none" w:sz="0" w:space="0" w:color="auto"/>
                          </w:divBdr>
                          <w:divsChild>
                            <w:div w:id="20345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116">
                  <w:marLeft w:val="0"/>
                  <w:marRight w:val="0"/>
                  <w:marTop w:val="0"/>
                  <w:marBottom w:val="0"/>
                  <w:divBdr>
                    <w:top w:val="none" w:sz="0" w:space="0" w:color="auto"/>
                    <w:left w:val="none" w:sz="0" w:space="0" w:color="auto"/>
                    <w:bottom w:val="none" w:sz="0" w:space="0" w:color="auto"/>
                    <w:right w:val="none" w:sz="0" w:space="0" w:color="auto"/>
                  </w:divBdr>
                  <w:divsChild>
                    <w:div w:id="17629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37283">
      <w:bodyDiv w:val="1"/>
      <w:marLeft w:val="0"/>
      <w:marRight w:val="0"/>
      <w:marTop w:val="0"/>
      <w:marBottom w:val="0"/>
      <w:divBdr>
        <w:top w:val="none" w:sz="0" w:space="0" w:color="auto"/>
        <w:left w:val="none" w:sz="0" w:space="0" w:color="auto"/>
        <w:bottom w:val="none" w:sz="0" w:space="0" w:color="auto"/>
        <w:right w:val="none" w:sz="0" w:space="0" w:color="auto"/>
      </w:divBdr>
    </w:div>
    <w:div w:id="21111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69796X1102700203?utm_source=chatgp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628/IJSRST1007?utm_source=chatgp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diseplus.gov.in?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ib.gov.in/PressReleseDetailm.aspx?PRID=1894517&amp;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032D-8ABD-4BA9-9191-B15DE738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18</cp:revision>
  <dcterms:created xsi:type="dcterms:W3CDTF">2025-09-09T10:01:00Z</dcterms:created>
  <dcterms:modified xsi:type="dcterms:W3CDTF">2025-09-10T13:45:00Z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aadd4325-539c-4ed4-8d9b-4fd36c0c3aa0</vt:lpwstr>
  </property>
</Properties>
</file>