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64FE" w14:textId="07A3D4DD" w:rsidR="003613F0" w:rsidRPr="003613F0" w:rsidRDefault="003613F0" w:rsidP="003613F0">
      <w:pPr>
        <w:rPr>
          <w:rFonts w:ascii="Times New Roman" w:hAnsi="Times New Roman" w:cs="Times New Roman"/>
          <w:b/>
          <w:bCs/>
          <w:sz w:val="28"/>
          <w:szCs w:val="28"/>
          <w:u w:val="single"/>
        </w:rPr>
      </w:pPr>
      <w:r w:rsidRPr="003613F0">
        <w:rPr>
          <w:rFonts w:ascii="Times New Roman" w:hAnsi="Times New Roman" w:cs="Times New Roman"/>
          <w:b/>
          <w:bCs/>
          <w:sz w:val="28"/>
          <w:szCs w:val="28"/>
          <w:u w:val="single"/>
        </w:rPr>
        <w:t>Original Research Article</w:t>
      </w:r>
    </w:p>
    <w:p w14:paraId="518634B1" w14:textId="001F4FFE" w:rsidR="008C5F1C" w:rsidRDefault="008C5F1C" w:rsidP="004914D5">
      <w:pPr>
        <w:jc w:val="center"/>
        <w:rPr>
          <w:rFonts w:ascii="Times New Roman" w:hAnsi="Times New Roman" w:cs="Times New Roman"/>
          <w:b/>
          <w:bCs/>
          <w:sz w:val="28"/>
          <w:szCs w:val="28"/>
        </w:rPr>
      </w:pPr>
      <w:r w:rsidRPr="000C38D2">
        <w:rPr>
          <w:rFonts w:ascii="Times New Roman" w:hAnsi="Times New Roman" w:cs="Times New Roman"/>
          <w:b/>
          <w:bCs/>
          <w:sz w:val="28"/>
          <w:szCs w:val="28"/>
        </w:rPr>
        <w:t>Digital Competence as a Predictor of Teacher Educators’ Continuous Professional Development: An Empirical Study</w:t>
      </w:r>
    </w:p>
    <w:p w14:paraId="2A2C8F03" w14:textId="7752E88C" w:rsidR="003613F0" w:rsidRDefault="003613F0" w:rsidP="00BB2F60">
      <w:pPr>
        <w:spacing w:after="0" w:line="276" w:lineRule="auto"/>
        <w:jc w:val="center"/>
        <w:rPr>
          <w:rFonts w:ascii="Times New Roman" w:hAnsi="Times New Roman" w:cs="Times New Roman"/>
          <w:color w:val="2E74B5" w:themeColor="accent5" w:themeShade="BF"/>
          <w:sz w:val="24"/>
          <w:szCs w:val="24"/>
          <w:vertAlign w:val="superscript"/>
        </w:rPr>
      </w:pPr>
    </w:p>
    <w:p w14:paraId="3F00262D" w14:textId="77777777" w:rsidR="003613F0" w:rsidRPr="00141874" w:rsidRDefault="003613F0" w:rsidP="00BB2F60">
      <w:pPr>
        <w:spacing w:after="0" w:line="276" w:lineRule="auto"/>
        <w:jc w:val="center"/>
        <w:rPr>
          <w:rFonts w:ascii="Times New Roman" w:hAnsi="Times New Roman" w:cs="Times New Roman"/>
          <w:sz w:val="24"/>
          <w:szCs w:val="24"/>
          <w:vertAlign w:val="superscript"/>
        </w:rPr>
      </w:pPr>
    </w:p>
    <w:p w14:paraId="59850D20" w14:textId="7015A4F1" w:rsidR="00280DCF" w:rsidRPr="00BB2F60" w:rsidRDefault="00280DCF" w:rsidP="00BB2F60">
      <w:pPr>
        <w:spacing w:line="360" w:lineRule="auto"/>
        <w:jc w:val="center"/>
        <w:rPr>
          <w:rFonts w:ascii="Times New Roman" w:hAnsi="Times New Roman" w:cs="Times New Roman"/>
          <w:b/>
          <w:bCs/>
          <w:sz w:val="24"/>
          <w:szCs w:val="24"/>
        </w:rPr>
      </w:pPr>
      <w:r w:rsidRPr="00BB2F60">
        <w:rPr>
          <w:rFonts w:ascii="Times New Roman" w:hAnsi="Times New Roman" w:cs="Times New Roman"/>
          <w:b/>
          <w:bCs/>
          <w:sz w:val="24"/>
          <w:szCs w:val="24"/>
        </w:rPr>
        <w:t>Abstract</w:t>
      </w:r>
    </w:p>
    <w:p w14:paraId="2A6A6C5B" w14:textId="1FB74051" w:rsidR="00EB663D" w:rsidRPr="00622066" w:rsidRDefault="00EB663D" w:rsidP="008A1EF6">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This research looks at how digital competence relates to continuing professional development (CPD) for teacher educators in Odisha. With the increasing use of digitalisation in education, it is important to understand the role of digital literacy in professional develo</w:t>
      </w:r>
      <w:bookmarkStart w:id="0" w:name="_GoBack"/>
      <w:bookmarkEnd w:id="0"/>
      <w:r w:rsidRPr="00622066">
        <w:rPr>
          <w:rFonts w:ascii="Times New Roman" w:hAnsi="Times New Roman" w:cs="Times New Roman"/>
          <w:sz w:val="24"/>
          <w:szCs w:val="24"/>
        </w:rPr>
        <w:t xml:space="preserve">pment. This research used a correlational design, with a sample of </w:t>
      </w:r>
      <w:r w:rsidR="007A7F89">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who completed a structured questionnaire. The results found a strong positive correlation, which is statistically significant (r = 0.942, p &lt; 0.0001), between digital competence and CPD. The </w:t>
      </w:r>
      <w:r w:rsidR="007C614E" w:rsidRPr="00622066">
        <w:rPr>
          <w:rFonts w:ascii="Times New Roman" w:hAnsi="Times New Roman" w:cs="Times New Roman"/>
          <w:sz w:val="24"/>
          <w:szCs w:val="24"/>
        </w:rPr>
        <w:t>regression</w:t>
      </w:r>
      <w:r w:rsidRPr="00622066">
        <w:rPr>
          <w:rFonts w:ascii="Times New Roman" w:hAnsi="Times New Roman" w:cs="Times New Roman"/>
          <w:sz w:val="24"/>
          <w:szCs w:val="24"/>
        </w:rPr>
        <w:t xml:space="preserve"> equations find</w:t>
      </w:r>
      <w:r w:rsidR="000953CE">
        <w:rPr>
          <w:rFonts w:ascii="Times New Roman" w:hAnsi="Times New Roman" w:cs="Times New Roman"/>
          <w:sz w:val="24"/>
          <w:szCs w:val="24"/>
        </w:rPr>
        <w:t>s</w:t>
      </w:r>
      <w:r w:rsidRPr="00622066">
        <w:rPr>
          <w:rFonts w:ascii="Times New Roman" w:hAnsi="Times New Roman" w:cs="Times New Roman"/>
          <w:sz w:val="24"/>
          <w:szCs w:val="24"/>
        </w:rPr>
        <w:t xml:space="preserve"> that digital competence is a significant and strong predictor of CPD, and accounts for 88.7% of the variance. The correlations and regression equations demonstrate </w:t>
      </w:r>
      <w:r w:rsidR="004E00A4">
        <w:rPr>
          <w:rFonts w:ascii="Times New Roman" w:hAnsi="Times New Roman" w:cs="Times New Roman"/>
          <w:sz w:val="24"/>
          <w:szCs w:val="24"/>
        </w:rPr>
        <w:t xml:space="preserve">that </w:t>
      </w:r>
      <w:r w:rsidRPr="00622066">
        <w:rPr>
          <w:rFonts w:ascii="Times New Roman" w:hAnsi="Times New Roman" w:cs="Times New Roman"/>
          <w:sz w:val="24"/>
          <w:szCs w:val="24"/>
        </w:rPr>
        <w:t>an effective digital competence training course could be incorporated into teacher education methods subjects</w:t>
      </w:r>
      <w:r w:rsidR="004E00A4">
        <w:rPr>
          <w:rFonts w:ascii="Times New Roman" w:hAnsi="Times New Roman" w:cs="Times New Roman"/>
          <w:sz w:val="24"/>
          <w:szCs w:val="24"/>
        </w:rPr>
        <w:t>,</w:t>
      </w:r>
      <w:r w:rsidRPr="00622066">
        <w:rPr>
          <w:rFonts w:ascii="Times New Roman" w:hAnsi="Times New Roman" w:cs="Times New Roman"/>
          <w:sz w:val="24"/>
          <w:szCs w:val="24"/>
        </w:rPr>
        <w:t xml:space="preserve"> which could facilitate continu</w:t>
      </w:r>
      <w:r w:rsidR="004E00A4">
        <w:rPr>
          <w:rFonts w:ascii="Times New Roman" w:hAnsi="Times New Roman" w:cs="Times New Roman"/>
          <w:sz w:val="24"/>
          <w:szCs w:val="24"/>
        </w:rPr>
        <w:t>ous</w:t>
      </w:r>
      <w:r w:rsidRPr="00622066">
        <w:rPr>
          <w:rFonts w:ascii="Times New Roman" w:hAnsi="Times New Roman" w:cs="Times New Roman"/>
          <w:sz w:val="24"/>
          <w:szCs w:val="24"/>
        </w:rPr>
        <w:t xml:space="preserve"> professional development. This research has contributed much to the ongoing discourse about the digital transformation in teacher education</w:t>
      </w:r>
      <w:r w:rsidR="004E00A4">
        <w:rPr>
          <w:rFonts w:ascii="Times New Roman" w:hAnsi="Times New Roman" w:cs="Times New Roman"/>
          <w:sz w:val="24"/>
          <w:szCs w:val="24"/>
        </w:rPr>
        <w:t>,</w:t>
      </w:r>
      <w:r w:rsidRPr="00622066">
        <w:rPr>
          <w:rFonts w:ascii="Times New Roman" w:hAnsi="Times New Roman" w:cs="Times New Roman"/>
          <w:sz w:val="24"/>
          <w:szCs w:val="24"/>
        </w:rPr>
        <w:t xml:space="preserve"> especially in </w:t>
      </w:r>
      <w:r w:rsidR="004E00A4">
        <w:rPr>
          <w:rFonts w:ascii="Times New Roman" w:hAnsi="Times New Roman" w:cs="Times New Roman"/>
          <w:sz w:val="24"/>
          <w:szCs w:val="24"/>
        </w:rPr>
        <w:t>under-researched</w:t>
      </w:r>
      <w:r w:rsidRPr="00622066">
        <w:rPr>
          <w:rFonts w:ascii="Times New Roman" w:hAnsi="Times New Roman" w:cs="Times New Roman"/>
          <w:sz w:val="24"/>
          <w:szCs w:val="24"/>
        </w:rPr>
        <w:t xml:space="preserve"> areas.</w:t>
      </w:r>
    </w:p>
    <w:p w14:paraId="20BB6132" w14:textId="7728B98E" w:rsidR="00B944F5" w:rsidRPr="00622066" w:rsidRDefault="00327C47"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i/>
          <w:iCs/>
          <w:sz w:val="24"/>
          <w:szCs w:val="24"/>
        </w:rPr>
        <w:t>Keywords</w:t>
      </w:r>
      <w:r w:rsidRPr="00622066">
        <w:rPr>
          <w:rFonts w:ascii="Times New Roman" w:hAnsi="Times New Roman" w:cs="Times New Roman"/>
          <w:b/>
          <w:bCs/>
          <w:sz w:val="24"/>
          <w:szCs w:val="24"/>
        </w:rPr>
        <w:t>:</w:t>
      </w:r>
      <w:r w:rsidRPr="00622066">
        <w:rPr>
          <w:rFonts w:ascii="Times New Roman" w:hAnsi="Times New Roman" w:cs="Times New Roman"/>
          <w:sz w:val="24"/>
          <w:szCs w:val="24"/>
        </w:rPr>
        <w:t xml:space="preserve"> </w:t>
      </w:r>
      <w:r w:rsidR="00F923DD" w:rsidRPr="00622066">
        <w:rPr>
          <w:rFonts w:ascii="Times New Roman" w:hAnsi="Times New Roman" w:cs="Times New Roman"/>
          <w:sz w:val="24"/>
          <w:szCs w:val="24"/>
        </w:rPr>
        <w:t>D</w:t>
      </w:r>
      <w:r w:rsidR="001E148E" w:rsidRPr="00622066">
        <w:rPr>
          <w:rFonts w:ascii="Times New Roman" w:hAnsi="Times New Roman" w:cs="Times New Roman"/>
          <w:sz w:val="24"/>
          <w:szCs w:val="24"/>
        </w:rPr>
        <w:t>igital Competence,</w:t>
      </w:r>
      <w:r w:rsidR="00BB2F60">
        <w:rPr>
          <w:rFonts w:ascii="Times New Roman" w:hAnsi="Times New Roman" w:cs="Times New Roman"/>
          <w:sz w:val="24"/>
          <w:szCs w:val="24"/>
        </w:rPr>
        <w:t xml:space="preserve"> Digital Competence Skill, Professional Development,</w:t>
      </w:r>
      <w:r w:rsidR="001E148E" w:rsidRPr="00622066">
        <w:rPr>
          <w:rFonts w:ascii="Times New Roman" w:hAnsi="Times New Roman" w:cs="Times New Roman"/>
          <w:sz w:val="24"/>
          <w:szCs w:val="24"/>
        </w:rPr>
        <w:t xml:space="preserve"> </w:t>
      </w:r>
      <w:r w:rsidR="00B34C08" w:rsidRPr="00622066">
        <w:rPr>
          <w:rFonts w:ascii="Times New Roman" w:hAnsi="Times New Roman" w:cs="Times New Roman"/>
          <w:sz w:val="24"/>
          <w:szCs w:val="24"/>
        </w:rPr>
        <w:t xml:space="preserve">Teacher Educator, </w:t>
      </w:r>
      <w:r w:rsidR="003E1305" w:rsidRPr="00622066">
        <w:rPr>
          <w:rFonts w:ascii="Times New Roman" w:hAnsi="Times New Roman" w:cs="Times New Roman"/>
          <w:sz w:val="24"/>
          <w:szCs w:val="24"/>
        </w:rPr>
        <w:t>Continuous Professional Development</w:t>
      </w:r>
    </w:p>
    <w:p w14:paraId="34E55385" w14:textId="77777777" w:rsidR="00B74D2C" w:rsidRPr="00622066" w:rsidRDefault="00B74D2C">
      <w:pPr>
        <w:rPr>
          <w:rFonts w:ascii="Times New Roman" w:hAnsi="Times New Roman" w:cs="Times New Roman"/>
          <w:b/>
          <w:bCs/>
          <w:sz w:val="24"/>
          <w:szCs w:val="24"/>
        </w:rPr>
      </w:pPr>
      <w:r w:rsidRPr="00622066">
        <w:rPr>
          <w:rFonts w:ascii="Times New Roman" w:hAnsi="Times New Roman" w:cs="Times New Roman"/>
          <w:b/>
          <w:bCs/>
          <w:sz w:val="24"/>
          <w:szCs w:val="24"/>
        </w:rPr>
        <w:br w:type="page"/>
      </w:r>
    </w:p>
    <w:p w14:paraId="32AAF307" w14:textId="3E0730BB" w:rsidR="008C5F1C" w:rsidRPr="00622066" w:rsidRDefault="008C5F1C"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lastRenderedPageBreak/>
        <w:t>Introduction</w:t>
      </w:r>
    </w:p>
    <w:p w14:paraId="633A2823" w14:textId="1571F928" w:rsidR="008C5F1C" w:rsidRPr="00622066" w:rsidRDefault="008C5F1C"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Teachers are the foundation of education, so they need to have good knowledge, proper tools like labs, modern teaching methods, and ICT to teach well and help students learn better (</w:t>
      </w:r>
      <w:proofErr w:type="spellStart"/>
      <w:r w:rsidRPr="00622066">
        <w:rPr>
          <w:rFonts w:ascii="Times New Roman" w:hAnsi="Times New Roman" w:cs="Times New Roman"/>
          <w:sz w:val="24"/>
          <w:szCs w:val="24"/>
        </w:rPr>
        <w:t>Tallvid</w:t>
      </w:r>
      <w:proofErr w:type="spellEnd"/>
      <w:r w:rsidRPr="00622066">
        <w:rPr>
          <w:rFonts w:ascii="Times New Roman" w:hAnsi="Times New Roman" w:cs="Times New Roman"/>
          <w:sz w:val="24"/>
          <w:szCs w:val="24"/>
        </w:rPr>
        <w:t>, 2016). As the foundation of education, teachers must be well-equipped with strong subject knowledge, access to laboratories, ICT tools, and innovative teaching methods. Continuous Professional Development (CPD) helps educators grow, adapt to new roles, and embrace modern teaching methods to meet the evolving challenges of education (</w:t>
      </w:r>
      <w:proofErr w:type="spellStart"/>
      <w:r w:rsidRPr="00622066">
        <w:rPr>
          <w:rFonts w:ascii="Times New Roman" w:hAnsi="Times New Roman" w:cs="Times New Roman"/>
          <w:sz w:val="24"/>
          <w:szCs w:val="24"/>
        </w:rPr>
        <w:t>Gartia</w:t>
      </w:r>
      <w:proofErr w:type="spellEnd"/>
      <w:r w:rsidRPr="00622066">
        <w:rPr>
          <w:rFonts w:ascii="Times New Roman" w:hAnsi="Times New Roman" w:cs="Times New Roman"/>
          <w:sz w:val="24"/>
          <w:szCs w:val="24"/>
        </w:rPr>
        <w:t xml:space="preserve"> &amp; Sharma, 2013). Such Continuing professional development helps schools get better, improves teachers' skills, and supports students in learning more effectively (Day, 1999; Hargreaves, 2000; Opfer &amp; Pedder, 2011; </w:t>
      </w:r>
      <w:proofErr w:type="spellStart"/>
      <w:r w:rsidRPr="00622066">
        <w:rPr>
          <w:rFonts w:ascii="Times New Roman" w:hAnsi="Times New Roman" w:cs="Times New Roman"/>
          <w:sz w:val="24"/>
          <w:szCs w:val="24"/>
        </w:rPr>
        <w:t>Verloop</w:t>
      </w:r>
      <w:proofErr w:type="spellEnd"/>
      <w:r w:rsidRPr="00622066">
        <w:rPr>
          <w:rFonts w:ascii="Times New Roman" w:hAnsi="Times New Roman" w:cs="Times New Roman"/>
          <w:sz w:val="24"/>
          <w:szCs w:val="24"/>
        </w:rPr>
        <w:t xml:space="preserve">, 2003). </w:t>
      </w:r>
      <w:r w:rsidR="00D921E1" w:rsidRPr="00D921E1">
        <w:rPr>
          <w:rFonts w:ascii="Times New Roman" w:hAnsi="Times New Roman" w:cs="Times New Roman"/>
          <w:sz w:val="24"/>
          <w:szCs w:val="24"/>
        </w:rPr>
        <w:t xml:space="preserve">Collaboration, reflection activities, and updating knowledge and skills are important CPD activities for educators (Schraw, 1998; Timperley et al., 2007; </w:t>
      </w:r>
      <w:proofErr w:type="spellStart"/>
      <w:r w:rsidR="00D921E1" w:rsidRPr="00D921E1">
        <w:rPr>
          <w:rFonts w:ascii="Times New Roman" w:hAnsi="Times New Roman" w:cs="Times New Roman"/>
          <w:sz w:val="24"/>
          <w:szCs w:val="24"/>
        </w:rPr>
        <w:t>Verloop</w:t>
      </w:r>
      <w:proofErr w:type="spellEnd"/>
      <w:r w:rsidR="00D921E1" w:rsidRPr="00D921E1">
        <w:rPr>
          <w:rFonts w:ascii="Times New Roman" w:hAnsi="Times New Roman" w:cs="Times New Roman"/>
          <w:sz w:val="24"/>
          <w:szCs w:val="24"/>
        </w:rPr>
        <w:t xml:space="preserve">, 2003). In a sense, updating activities provide a basic foundation for reflection and collaboration (Cheetham &amp; </w:t>
      </w:r>
      <w:proofErr w:type="spellStart"/>
      <w:r w:rsidR="00D921E1" w:rsidRPr="00D921E1">
        <w:rPr>
          <w:rFonts w:ascii="Times New Roman" w:hAnsi="Times New Roman" w:cs="Times New Roman"/>
          <w:sz w:val="24"/>
          <w:szCs w:val="24"/>
        </w:rPr>
        <w:t>Chivers</w:t>
      </w:r>
      <w:proofErr w:type="spellEnd"/>
      <w:r w:rsidR="00D921E1" w:rsidRPr="00D921E1">
        <w:rPr>
          <w:rFonts w:ascii="Times New Roman" w:hAnsi="Times New Roman" w:cs="Times New Roman"/>
          <w:sz w:val="24"/>
          <w:szCs w:val="24"/>
        </w:rPr>
        <w:t>, 2001); practicing reflection seems to be essential for professional development (Eraut, 1994; Schön, 1983)</w:t>
      </w:r>
      <w:r w:rsidRPr="00622066">
        <w:rPr>
          <w:rFonts w:ascii="Times New Roman" w:hAnsi="Times New Roman" w:cs="Times New Roman"/>
          <w:sz w:val="24"/>
          <w:szCs w:val="24"/>
        </w:rPr>
        <w:t xml:space="preserve">. However, there is also a rising recognition of how teacher cooperation can promote teacher learning (Cordingley et al., 2005; Levine &amp; Marcus, 2010; Westheimer, 2008). In today’s 21st-century classrooms, they are also expected to possess creative, collaborative, and pedagogical skills to plan and deliver meaningful learning experiences effectively (Bray-Clark &amp; Bates, 2003). </w:t>
      </w:r>
      <w:r w:rsidR="00EF2213" w:rsidRPr="00C80567">
        <w:rPr>
          <w:rFonts w:ascii="Times New Roman" w:hAnsi="Times New Roman" w:cs="Times New Roman"/>
          <w:sz w:val="24"/>
          <w:szCs w:val="24"/>
        </w:rPr>
        <w:t>Digital transformation entails incorporating digital technology into different societal activities, including education, in which digital tools, platforms, and resources are used to improve both teaching and learning (</w:t>
      </w:r>
      <w:proofErr w:type="spellStart"/>
      <w:r w:rsidR="00EF2213" w:rsidRPr="00C80567">
        <w:rPr>
          <w:rFonts w:ascii="Times New Roman" w:hAnsi="Times New Roman" w:cs="Times New Roman"/>
          <w:sz w:val="24"/>
          <w:szCs w:val="24"/>
        </w:rPr>
        <w:t>Kiryakova</w:t>
      </w:r>
      <w:proofErr w:type="spellEnd"/>
      <w:r w:rsidR="00EF2213" w:rsidRPr="00C80567">
        <w:rPr>
          <w:rFonts w:ascii="Times New Roman" w:hAnsi="Times New Roman" w:cs="Times New Roman"/>
          <w:sz w:val="24"/>
          <w:szCs w:val="24"/>
        </w:rPr>
        <w:t xml:space="preserve"> &amp; </w:t>
      </w:r>
      <w:proofErr w:type="spellStart"/>
      <w:r w:rsidR="00EF2213" w:rsidRPr="00C80567">
        <w:rPr>
          <w:rFonts w:ascii="Times New Roman" w:hAnsi="Times New Roman" w:cs="Times New Roman"/>
          <w:sz w:val="24"/>
          <w:szCs w:val="24"/>
        </w:rPr>
        <w:t>Kozhuharova</w:t>
      </w:r>
      <w:proofErr w:type="spellEnd"/>
      <w:r w:rsidR="00EF2213" w:rsidRPr="00C80567">
        <w:rPr>
          <w:rFonts w:ascii="Times New Roman" w:hAnsi="Times New Roman" w:cs="Times New Roman"/>
          <w:sz w:val="24"/>
          <w:szCs w:val="24"/>
        </w:rPr>
        <w:t>, 2024).</w:t>
      </w:r>
      <w:r w:rsidR="00B34FB9">
        <w:rPr>
          <w:rFonts w:ascii="Times New Roman" w:hAnsi="Times New Roman" w:cs="Times New Roman"/>
          <w:sz w:val="24"/>
          <w:szCs w:val="24"/>
        </w:rPr>
        <w:t xml:space="preserve"> </w:t>
      </w:r>
      <w:r w:rsidR="00AD5C67" w:rsidRPr="00C80567">
        <w:rPr>
          <w:rFonts w:ascii="Times New Roman" w:hAnsi="Times New Roman" w:cs="Times New Roman"/>
          <w:sz w:val="24"/>
          <w:szCs w:val="24"/>
        </w:rPr>
        <w:t xml:space="preserve">Adapting education to the 21st-century demands requires focusing on digital transformation, inclusivity, lifelong learning, global perspectives, mental health, and data-driven decision-making (Srivastava, 2023). Digital competence is important for educators, as it relates to technological, informational, multimedia, and communication skills, and can help overcome gender gaps (Esteve-Mon et al., 2020). </w:t>
      </w:r>
      <w:r w:rsidRPr="00622066">
        <w:rPr>
          <w:rFonts w:ascii="Times New Roman" w:hAnsi="Times New Roman" w:cs="Times New Roman"/>
          <w:sz w:val="24"/>
          <w:szCs w:val="24"/>
        </w:rPr>
        <w:t>The skills of the teachers play a crucial role in students' learning, even more than their social background or personal circumstances. In particular, a teacher’s knowledge of their subject directly impacts how well students do and how interested they are in that subject (Blazar &amp; Kraft, 2017; Hill et al., 2008; Keller et al., 2017). Teachers need to have a strong understanding of the subjects they teach, as well as a clear idea of how using certain technologies can change or improve the way those subjects are taught (</w:t>
      </w:r>
      <w:proofErr w:type="spellStart"/>
      <w:r w:rsidRPr="00622066">
        <w:rPr>
          <w:rFonts w:ascii="Times New Roman" w:hAnsi="Times New Roman" w:cs="Times New Roman"/>
          <w:sz w:val="24"/>
          <w:szCs w:val="24"/>
        </w:rPr>
        <w:t>Nsabayezu</w:t>
      </w:r>
      <w:proofErr w:type="spellEnd"/>
      <w:r w:rsidRPr="00622066">
        <w:rPr>
          <w:rFonts w:ascii="Times New Roman" w:hAnsi="Times New Roman" w:cs="Times New Roman"/>
          <w:sz w:val="24"/>
          <w:szCs w:val="24"/>
        </w:rPr>
        <w:t xml:space="preserve"> et al., 2022). Teachers need to understand which technologies are best for teaching their subjects and how the subject and technology can influence or change each other (Schmidt et al., 2014). </w:t>
      </w:r>
    </w:p>
    <w:p w14:paraId="50E09479" w14:textId="3EFA9153" w:rsidR="008C5F1C" w:rsidRPr="00622066" w:rsidRDefault="00FF2CE0" w:rsidP="008C5F1C">
      <w:pPr>
        <w:spacing w:line="360" w:lineRule="auto"/>
        <w:jc w:val="both"/>
        <w:rPr>
          <w:rFonts w:ascii="Times New Roman" w:hAnsi="Times New Roman" w:cs="Times New Roman"/>
          <w:sz w:val="24"/>
          <w:szCs w:val="24"/>
        </w:rPr>
      </w:pPr>
      <w:r w:rsidRPr="00FF2CE0">
        <w:rPr>
          <w:rFonts w:ascii="Times New Roman" w:hAnsi="Times New Roman" w:cs="Times New Roman"/>
          <w:sz w:val="24"/>
          <w:szCs w:val="24"/>
        </w:rPr>
        <w:lastRenderedPageBreak/>
        <w:t>The game-changing potential of digital tools is still largely unknown, and most students do not have the chance to obtain the knowledge and skills referring to the creative use of these resources (Redecker 2017). Therefore, it is so important that educators develop their digital competences in order to educate students for both jobs that require 21st century skills and life in general (</w:t>
      </w:r>
      <w:proofErr w:type="spellStart"/>
      <w:r w:rsidRPr="00FF2CE0">
        <w:rPr>
          <w:rFonts w:ascii="Times New Roman" w:hAnsi="Times New Roman" w:cs="Times New Roman"/>
          <w:sz w:val="24"/>
          <w:szCs w:val="24"/>
        </w:rPr>
        <w:t>Instefjord</w:t>
      </w:r>
      <w:proofErr w:type="spellEnd"/>
      <w:r w:rsidRPr="00FF2CE0">
        <w:rPr>
          <w:rFonts w:ascii="Times New Roman" w:hAnsi="Times New Roman" w:cs="Times New Roman"/>
          <w:sz w:val="24"/>
          <w:szCs w:val="24"/>
        </w:rPr>
        <w:t xml:space="preserve"> &amp; </w:t>
      </w:r>
      <w:proofErr w:type="spellStart"/>
      <w:r w:rsidRPr="00FF2CE0">
        <w:rPr>
          <w:rFonts w:ascii="Times New Roman" w:hAnsi="Times New Roman" w:cs="Times New Roman"/>
          <w:sz w:val="24"/>
          <w:szCs w:val="24"/>
        </w:rPr>
        <w:t>Munthe</w:t>
      </w:r>
      <w:proofErr w:type="spellEnd"/>
      <w:r w:rsidRPr="00FF2CE0">
        <w:rPr>
          <w:rFonts w:ascii="Times New Roman" w:hAnsi="Times New Roman" w:cs="Times New Roman"/>
          <w:sz w:val="24"/>
          <w:szCs w:val="24"/>
        </w:rPr>
        <w:t>, 2017; Starkey, 2019). A number of research studies have shown that educators who are less knowledgeable and competent with digital competences have a hard time integrating digital tools into their lessons (Silva et al., 2019; Petko 2012).</w:t>
      </w:r>
      <w:r w:rsidR="008C5F1C" w:rsidRPr="00622066">
        <w:rPr>
          <w:rFonts w:ascii="Times New Roman" w:hAnsi="Times New Roman" w:cs="Times New Roman"/>
          <w:sz w:val="24"/>
          <w:szCs w:val="24"/>
        </w:rPr>
        <w:t xml:space="preserve"> Teachers with digital competences, on the other hand, can promote students' digital learning and engagement by integrating digital technology as key components of their curricula (Dincer</w:t>
      </w:r>
      <w:r w:rsidR="00961D15">
        <w:rPr>
          <w:rFonts w:ascii="Times New Roman" w:hAnsi="Times New Roman" w:cs="Times New Roman"/>
          <w:sz w:val="24"/>
          <w:szCs w:val="24"/>
        </w:rPr>
        <w:t>,</w:t>
      </w:r>
      <w:r w:rsidR="008C5F1C" w:rsidRPr="00622066">
        <w:rPr>
          <w:rFonts w:ascii="Times New Roman" w:hAnsi="Times New Roman" w:cs="Times New Roman"/>
          <w:sz w:val="24"/>
          <w:szCs w:val="24"/>
        </w:rPr>
        <w:t xml:space="preserve"> 2018). For this reason, it is crucial to train educators in digital competence (</w:t>
      </w:r>
      <w:proofErr w:type="spellStart"/>
      <w:r w:rsidR="008C5F1C" w:rsidRPr="00622066">
        <w:rPr>
          <w:rFonts w:ascii="Times New Roman" w:hAnsi="Times New Roman" w:cs="Times New Roman"/>
          <w:sz w:val="24"/>
          <w:szCs w:val="24"/>
        </w:rPr>
        <w:t>Smarkola</w:t>
      </w:r>
      <w:proofErr w:type="spellEnd"/>
      <w:r w:rsidR="00961D15">
        <w:rPr>
          <w:rFonts w:ascii="Times New Roman" w:hAnsi="Times New Roman" w:cs="Times New Roman"/>
          <w:sz w:val="24"/>
          <w:szCs w:val="24"/>
        </w:rPr>
        <w:t>,</w:t>
      </w:r>
      <w:r w:rsidR="008C5F1C" w:rsidRPr="00622066">
        <w:rPr>
          <w:rFonts w:ascii="Times New Roman" w:hAnsi="Times New Roman" w:cs="Times New Roman"/>
          <w:sz w:val="24"/>
          <w:szCs w:val="24"/>
        </w:rPr>
        <w:t xml:space="preserve"> 2008). The increasing integration of technology in education necessitates that teacher educators develop strong digital competencies. Digital competence enhances teaching effectiveness and fosters lifelong learning among educators. This study aims to examine how digital competence serves as a predictor of professional development among teacher educators. It focuses on how digital skills can help teachers improve their teaching methods, assessment techniques, and overall growth in their profession.</w:t>
      </w:r>
    </w:p>
    <w:p w14:paraId="52ACC052" w14:textId="77777777" w:rsidR="008C5F1C" w:rsidRPr="00622066" w:rsidRDefault="008C5F1C"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Review of Related Literature</w:t>
      </w:r>
    </w:p>
    <w:p w14:paraId="485AE5E0"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sz w:val="24"/>
          <w:szCs w:val="24"/>
        </w:rPr>
        <w:t>Digital Competence and Education</w:t>
      </w:r>
      <w:r w:rsidRPr="00622066">
        <w:rPr>
          <w:rFonts w:ascii="Times New Roman" w:hAnsi="Times New Roman" w:cs="Times New Roman"/>
          <w:sz w:val="24"/>
          <w:szCs w:val="24"/>
        </w:rPr>
        <w:t xml:space="preserve"> </w:t>
      </w:r>
    </w:p>
    <w:p w14:paraId="6231A547" w14:textId="77777777" w:rsidR="008C5F1C" w:rsidRPr="00622066" w:rsidRDefault="008C5F1C"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At present, a variety of digital technology and the Internet are all around us. The changes in society and technology have transformed not only how we live but also how we learn. The Covid-19 pandemic has caused regular classroom teaching to stop. Most organisations and institutions are modifying their teaching strategies to give their students access to a convenient, secure, and adaptable learning environment (Schleicher, 2020). Due to the fact that 21st-century college students are the generation that grew up with the rapid development of computer networks and have witnessed the unprecedented growth of online media represented by the Internet, virtual reality, and artificial intelligence, as well as the increased social attention brought about by COVID-19, the emphasis on digital competence is becoming more and more popular in higher education (</w:t>
      </w:r>
      <w:proofErr w:type="spellStart"/>
      <w:r w:rsidRPr="00622066">
        <w:rPr>
          <w:rFonts w:ascii="Times New Roman" w:hAnsi="Times New Roman" w:cs="Times New Roman"/>
          <w:sz w:val="24"/>
          <w:szCs w:val="24"/>
        </w:rPr>
        <w:t>Iansiti</w:t>
      </w:r>
      <w:proofErr w:type="spellEnd"/>
      <w:r w:rsidRPr="00622066">
        <w:rPr>
          <w:rFonts w:ascii="Times New Roman" w:hAnsi="Times New Roman" w:cs="Times New Roman"/>
          <w:sz w:val="24"/>
          <w:szCs w:val="24"/>
        </w:rPr>
        <w:t xml:space="preserve"> &amp; Richards, 2020). Furthermore, integrating such applications into the teaching-learning process would be extremely beneficial for today's prospective educators, who are digital natives who use technology on a daily basis (Guillen-Gamez, Mayorga-Fernandez, &amp; Alvarez-Garcia, 2020). Digital competence is a set of skills that enable us to effectively use technology to improve our daily life (Ferrari, 2013; </w:t>
      </w:r>
      <w:r w:rsidRPr="00622066">
        <w:rPr>
          <w:rFonts w:ascii="Times New Roman" w:hAnsi="Times New Roman" w:cs="Times New Roman"/>
          <w:sz w:val="24"/>
          <w:szCs w:val="24"/>
        </w:rPr>
        <w:lastRenderedPageBreak/>
        <w:t>INTEF, 2017), recognised as "the self-assured, critical, and responsible use of the technologies borrowed from the information society for work, entertainment, and education” (European Commission, 2018).</w:t>
      </w:r>
    </w:p>
    <w:p w14:paraId="259E8C01"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sz w:val="24"/>
          <w:szCs w:val="24"/>
        </w:rPr>
        <w:t>Continuous Professional Development in Teaching</w:t>
      </w:r>
      <w:r w:rsidRPr="00622066">
        <w:rPr>
          <w:rFonts w:ascii="Times New Roman" w:hAnsi="Times New Roman" w:cs="Times New Roman"/>
          <w:sz w:val="24"/>
          <w:szCs w:val="24"/>
        </w:rPr>
        <w:t xml:space="preserve"> </w:t>
      </w:r>
    </w:p>
    <w:p w14:paraId="10B9979B" w14:textId="4EBC7BF3" w:rsidR="008C5F1C" w:rsidRPr="00622066" w:rsidRDefault="008C5F1C"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Continuous professional development techniques provide customised teacher supervision that is centred on a specific teacher in his workplace, acknowledging the value of support supervision from peers within a given teacher's workplace while taking into account its individuality and the ways in which this teacher can benefit from peers and students (Fullan, 1995; Similarity Musaazi Zepeda, 2010; Russell, 2012; Mulkeen, 2010). CPD has been widely regarded as essential to teacher education given the nature of teaching and learning today, because it is the most practical means of ensuring that teachers' capacity is developed to ensure expertise in their diverse academic fields, making it the best practice of capacity building in education (MOE&amp;S, 2014).</w:t>
      </w:r>
      <w:r w:rsidR="00CE4A20" w:rsidRPr="00622066">
        <w:rPr>
          <w:rFonts w:ascii="Times New Roman" w:hAnsi="Times New Roman" w:cs="Times New Roman"/>
          <w:sz w:val="24"/>
          <w:szCs w:val="24"/>
        </w:rPr>
        <w:t xml:space="preserve"> </w:t>
      </w:r>
      <w:r w:rsidRPr="00622066">
        <w:rPr>
          <w:rFonts w:ascii="Times New Roman" w:hAnsi="Times New Roman" w:cs="Times New Roman"/>
          <w:sz w:val="24"/>
          <w:szCs w:val="24"/>
        </w:rPr>
        <w:t>CPD is a lifelong process that helps professionals stay current by boosting and improving their competence because of the quick changes in the body of evidence, technology, and professional skill requirements (</w:t>
      </w:r>
      <w:proofErr w:type="spellStart"/>
      <w:r w:rsidRPr="00622066">
        <w:rPr>
          <w:rFonts w:ascii="Times New Roman" w:hAnsi="Times New Roman" w:cs="Times New Roman"/>
          <w:sz w:val="24"/>
          <w:szCs w:val="24"/>
        </w:rPr>
        <w:t>Gartia</w:t>
      </w:r>
      <w:proofErr w:type="spellEnd"/>
      <w:r w:rsidRPr="00622066">
        <w:rPr>
          <w:rFonts w:ascii="Times New Roman" w:hAnsi="Times New Roman" w:cs="Times New Roman"/>
          <w:sz w:val="24"/>
          <w:szCs w:val="24"/>
        </w:rPr>
        <w:t xml:space="preserve"> &amp; Sharma, 2013). It helps teachers to gain new and improved teaching skills, boosting their confidence, capability, and job satisfaction (</w:t>
      </w:r>
      <w:proofErr w:type="spellStart"/>
      <w:r w:rsidRPr="00622066">
        <w:rPr>
          <w:rFonts w:ascii="Times New Roman" w:hAnsi="Times New Roman" w:cs="Times New Roman"/>
          <w:sz w:val="24"/>
          <w:szCs w:val="24"/>
        </w:rPr>
        <w:t>Goodal</w:t>
      </w:r>
      <w:proofErr w:type="spellEnd"/>
      <w:r w:rsidRPr="00622066">
        <w:rPr>
          <w:rFonts w:ascii="Times New Roman" w:hAnsi="Times New Roman" w:cs="Times New Roman"/>
          <w:sz w:val="24"/>
          <w:szCs w:val="24"/>
        </w:rPr>
        <w:t xml:space="preserve"> et al., 2005).</w:t>
      </w:r>
      <w:r w:rsidR="00CE4A20" w:rsidRPr="00622066">
        <w:rPr>
          <w:rFonts w:ascii="Times New Roman" w:hAnsi="Times New Roman" w:cs="Times New Roman"/>
          <w:sz w:val="24"/>
          <w:szCs w:val="24"/>
        </w:rPr>
        <w:t xml:space="preserve"> </w:t>
      </w:r>
      <w:r w:rsidRPr="00622066">
        <w:rPr>
          <w:rFonts w:ascii="Times New Roman" w:hAnsi="Times New Roman" w:cs="Times New Roman"/>
          <w:sz w:val="24"/>
          <w:szCs w:val="24"/>
        </w:rPr>
        <w:t>First</w:t>
      </w:r>
      <w:r w:rsidR="00CE4A20" w:rsidRPr="00622066">
        <w:rPr>
          <w:rFonts w:ascii="Times New Roman" w:hAnsi="Times New Roman" w:cs="Times New Roman"/>
          <w:sz w:val="24"/>
          <w:szCs w:val="24"/>
        </w:rPr>
        <w:t>ly</w:t>
      </w:r>
      <w:r w:rsidRPr="00622066">
        <w:rPr>
          <w:rFonts w:ascii="Times New Roman" w:hAnsi="Times New Roman" w:cs="Times New Roman"/>
          <w:sz w:val="24"/>
          <w:szCs w:val="24"/>
        </w:rPr>
        <w:t xml:space="preserve">, Continuous professional development for teachers can serve various purposes, such as maintenance, enhancement, or modification (Day &amp; Sachs, 2004). Teachers need to keep learning new things all the time in order to stay current with trends and to meet new challenges in the classroom (Cheetham &amp; </w:t>
      </w:r>
      <w:proofErr w:type="spellStart"/>
      <w:r w:rsidRPr="00622066">
        <w:rPr>
          <w:rFonts w:ascii="Times New Roman" w:hAnsi="Times New Roman" w:cs="Times New Roman"/>
          <w:sz w:val="24"/>
          <w:szCs w:val="24"/>
        </w:rPr>
        <w:t>Chivers</w:t>
      </w:r>
      <w:proofErr w:type="spellEnd"/>
      <w:r w:rsidRPr="00622066">
        <w:rPr>
          <w:rFonts w:ascii="Times New Roman" w:hAnsi="Times New Roman" w:cs="Times New Roman"/>
          <w:sz w:val="24"/>
          <w:szCs w:val="24"/>
        </w:rPr>
        <w:t>, 2001); to become better individuals and create learning communities in their schools (Stoll</w:t>
      </w:r>
      <w:r w:rsidR="0052662C">
        <w:rPr>
          <w:rFonts w:ascii="Times New Roman" w:hAnsi="Times New Roman" w:cs="Times New Roman"/>
          <w:sz w:val="24"/>
          <w:szCs w:val="24"/>
        </w:rPr>
        <w:t xml:space="preserve"> et al., </w:t>
      </w:r>
      <w:r w:rsidRPr="00622066">
        <w:rPr>
          <w:rFonts w:ascii="Times New Roman" w:hAnsi="Times New Roman" w:cs="Times New Roman"/>
          <w:sz w:val="24"/>
          <w:szCs w:val="24"/>
        </w:rPr>
        <w:t>2006) and in response to changes in education (Fullan, 2007).Second</w:t>
      </w:r>
      <w:r w:rsidR="00CE4A20" w:rsidRPr="00622066">
        <w:rPr>
          <w:rFonts w:ascii="Times New Roman" w:hAnsi="Times New Roman" w:cs="Times New Roman"/>
          <w:sz w:val="24"/>
          <w:szCs w:val="24"/>
        </w:rPr>
        <w:t>ly</w:t>
      </w:r>
      <w:r w:rsidRPr="00622066">
        <w:rPr>
          <w:rFonts w:ascii="Times New Roman" w:hAnsi="Times New Roman" w:cs="Times New Roman"/>
          <w:sz w:val="24"/>
          <w:szCs w:val="24"/>
        </w:rPr>
        <w:t xml:space="preserve">, the demands of the organisation and the individual are symbiotic, as the latter functions highlight (Schleicher, 2020). In a professional learning community that emphasises student learning, shared values and vision, collective responsibility, reflective professional inquiry, collaboration, and both group and individual learning, teachers take full responsibility for their actions and gain the knowledge, abilities, and skill set needed to become more involved in the classroom (Stoll et al., 2006). Teachers can significantly improve educational practice by engaging in a variety of professional activities that foster both individual professional growth and the growth of the school (Russell, 2012). Additionally, learning outcomes for teams, organisations, and individual teachers are all closely interconnected in terms of educational innovation (Miedema &amp; Stam, 2008). </w:t>
      </w:r>
    </w:p>
    <w:p w14:paraId="3AF9CC4E" w14:textId="77777777"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lastRenderedPageBreak/>
        <w:t>Relationship Between Digital Competence and Professional Development</w:t>
      </w:r>
    </w:p>
    <w:p w14:paraId="11197DAB" w14:textId="77777777" w:rsidR="00FB66CD" w:rsidRDefault="008C5F1C" w:rsidP="00FB66CD">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For CPD activities to succeed, TE institutions must provide resources, foster support, and cultivate a shared commitment to enhancing teacher educators’ professional digital competence (PDC) while rethinking conventional teaching and learning methods (</w:t>
      </w:r>
      <w:proofErr w:type="spellStart"/>
      <w:r w:rsidRPr="00622066">
        <w:rPr>
          <w:rFonts w:ascii="Times New Roman" w:hAnsi="Times New Roman" w:cs="Times New Roman"/>
          <w:sz w:val="24"/>
          <w:szCs w:val="24"/>
        </w:rPr>
        <w:t>Krumsvik</w:t>
      </w:r>
      <w:proofErr w:type="spellEnd"/>
      <w:r w:rsidRPr="00622066">
        <w:rPr>
          <w:rFonts w:ascii="Times New Roman" w:hAnsi="Times New Roman" w:cs="Times New Roman"/>
          <w:sz w:val="24"/>
          <w:szCs w:val="24"/>
        </w:rPr>
        <w:t>, 2011). Similarly, the management level must serve as the foundation for the teacher educators' PDC's long-term professional development (</w:t>
      </w:r>
      <w:proofErr w:type="spellStart"/>
      <w:r w:rsidRPr="00622066">
        <w:rPr>
          <w:rFonts w:ascii="Times New Roman" w:hAnsi="Times New Roman" w:cs="Times New Roman"/>
          <w:sz w:val="24"/>
          <w:szCs w:val="24"/>
        </w:rPr>
        <w:t>Tomte</w:t>
      </w:r>
      <w:proofErr w:type="spellEnd"/>
      <w:r w:rsidRPr="00622066">
        <w:rPr>
          <w:rFonts w:ascii="Times New Roman" w:hAnsi="Times New Roman" w:cs="Times New Roman"/>
          <w:sz w:val="24"/>
          <w:szCs w:val="24"/>
        </w:rPr>
        <w:t xml:space="preserve"> et al. 2013). TE institution leaders need to back further initiatives to boost teacher educators' PDC and motivate them to use digital technology more actively in their instruction (Maria et al., 2021). </w:t>
      </w:r>
      <w:proofErr w:type="spellStart"/>
      <w:r w:rsidRPr="00622066">
        <w:rPr>
          <w:rFonts w:ascii="Times New Roman" w:hAnsi="Times New Roman" w:cs="Times New Roman"/>
          <w:sz w:val="24"/>
          <w:szCs w:val="24"/>
        </w:rPr>
        <w:t>Tondeur</w:t>
      </w:r>
      <w:proofErr w:type="spellEnd"/>
      <w:r w:rsidRPr="00622066">
        <w:rPr>
          <w:rFonts w:ascii="Times New Roman" w:hAnsi="Times New Roman" w:cs="Times New Roman"/>
          <w:sz w:val="24"/>
          <w:szCs w:val="24"/>
        </w:rPr>
        <w:t xml:space="preserve"> et al. (2012) made a similar point, highlighting how crucial it is for TE institutions to create digital technology planning strategies that link different TE institutions and improve the learning experiences of teachers. Additionally, </w:t>
      </w:r>
      <w:proofErr w:type="spellStart"/>
      <w:r w:rsidRPr="00622066">
        <w:rPr>
          <w:rFonts w:ascii="Times New Roman" w:hAnsi="Times New Roman" w:cs="Times New Roman"/>
          <w:sz w:val="24"/>
          <w:szCs w:val="24"/>
        </w:rPr>
        <w:t>Amhag</w:t>
      </w:r>
      <w:proofErr w:type="spellEnd"/>
      <w:r w:rsidRPr="00622066">
        <w:rPr>
          <w:rFonts w:ascii="Times New Roman" w:hAnsi="Times New Roman" w:cs="Times New Roman"/>
          <w:sz w:val="24"/>
          <w:szCs w:val="24"/>
        </w:rPr>
        <w:t xml:space="preserve"> et al. (2019) noted that the greatest motivating aspect for teacher educators to use digital technology is continuing professional development that is marked by pedagogical and technological assistance.</w:t>
      </w:r>
      <w:r w:rsidR="00CE4A20" w:rsidRPr="00622066">
        <w:rPr>
          <w:rFonts w:ascii="Times New Roman" w:hAnsi="Times New Roman" w:cs="Times New Roman"/>
          <w:sz w:val="24"/>
          <w:szCs w:val="24"/>
        </w:rPr>
        <w:t xml:space="preserve"> </w:t>
      </w:r>
      <w:proofErr w:type="gramStart"/>
      <w:r w:rsidR="00CE4A20" w:rsidRPr="00622066">
        <w:rPr>
          <w:rFonts w:ascii="Times New Roman" w:hAnsi="Times New Roman" w:cs="Times New Roman"/>
          <w:sz w:val="24"/>
          <w:szCs w:val="24"/>
        </w:rPr>
        <w:t>Moreover</w:t>
      </w:r>
      <w:proofErr w:type="gramEnd"/>
      <w:r w:rsidR="00CE4A20" w:rsidRPr="00622066">
        <w:rPr>
          <w:rFonts w:ascii="Times New Roman" w:hAnsi="Times New Roman" w:cs="Times New Roman"/>
          <w:sz w:val="24"/>
          <w:szCs w:val="24"/>
        </w:rPr>
        <w:t xml:space="preserve"> t</w:t>
      </w:r>
      <w:r w:rsidRPr="00622066">
        <w:rPr>
          <w:rFonts w:ascii="Times New Roman" w:hAnsi="Times New Roman" w:cs="Times New Roman"/>
          <w:sz w:val="24"/>
          <w:szCs w:val="24"/>
        </w:rPr>
        <w:t>he digital competencies demanded of members of the general public today are undoubtedly different from those expected of teachers (</w:t>
      </w:r>
      <w:proofErr w:type="spellStart"/>
      <w:r w:rsidRPr="00622066">
        <w:rPr>
          <w:rFonts w:ascii="Times New Roman" w:hAnsi="Times New Roman" w:cs="Times New Roman"/>
          <w:sz w:val="24"/>
          <w:szCs w:val="24"/>
        </w:rPr>
        <w:t>Reisoglu</w:t>
      </w:r>
      <w:proofErr w:type="spellEnd"/>
      <w:r w:rsidRPr="00622066">
        <w:rPr>
          <w:rFonts w:ascii="Times New Roman" w:hAnsi="Times New Roman" w:cs="Times New Roman"/>
          <w:sz w:val="24"/>
          <w:szCs w:val="24"/>
        </w:rPr>
        <w:t>, 2021). Teachers naturally serve as role models in helping students improve their digital competencies by supporting students' learning opportunities and modelling effective digital technology use through their pedagogical judgements (</w:t>
      </w:r>
      <w:proofErr w:type="spellStart"/>
      <w:r w:rsidRPr="00622066">
        <w:rPr>
          <w:rFonts w:ascii="Times New Roman" w:hAnsi="Times New Roman" w:cs="Times New Roman"/>
          <w:sz w:val="24"/>
          <w:szCs w:val="24"/>
        </w:rPr>
        <w:t>Krumsvik</w:t>
      </w:r>
      <w:proofErr w:type="spellEnd"/>
      <w:r w:rsidRPr="00622066">
        <w:rPr>
          <w:rFonts w:ascii="Times New Roman" w:hAnsi="Times New Roman" w:cs="Times New Roman"/>
          <w:sz w:val="24"/>
          <w:szCs w:val="24"/>
        </w:rPr>
        <w:t xml:space="preserve">, 2014). Redecker (2017) defines a teacher's digital competence as instruction that encourages students to actively use digital tools in their personal and professional lives. </w:t>
      </w:r>
      <w:r w:rsidR="00FB66CD" w:rsidRPr="00FB66CD">
        <w:rPr>
          <w:rFonts w:ascii="Times New Roman" w:hAnsi="Times New Roman" w:cs="Times New Roman"/>
          <w:sz w:val="24"/>
          <w:szCs w:val="24"/>
        </w:rPr>
        <w:t>This type of instruction requires the use of digital technology in learning and teaching environments, and also requires new types of pedagogies and new types of organization (</w:t>
      </w:r>
      <w:proofErr w:type="spellStart"/>
      <w:r w:rsidR="00FB66CD" w:rsidRPr="00FB66CD">
        <w:rPr>
          <w:rFonts w:ascii="Times New Roman" w:hAnsi="Times New Roman" w:cs="Times New Roman"/>
          <w:sz w:val="24"/>
          <w:szCs w:val="24"/>
        </w:rPr>
        <w:t>Hatlevik</w:t>
      </w:r>
      <w:proofErr w:type="spellEnd"/>
      <w:r w:rsidR="00FB66CD" w:rsidRPr="00FB66CD">
        <w:rPr>
          <w:rFonts w:ascii="Times New Roman" w:hAnsi="Times New Roman" w:cs="Times New Roman"/>
          <w:sz w:val="24"/>
          <w:szCs w:val="24"/>
        </w:rPr>
        <w:t xml:space="preserve"> 2017; </w:t>
      </w:r>
      <w:proofErr w:type="spellStart"/>
      <w:r w:rsidR="00FB66CD" w:rsidRPr="00FB66CD">
        <w:rPr>
          <w:rFonts w:ascii="Times New Roman" w:hAnsi="Times New Roman" w:cs="Times New Roman"/>
          <w:sz w:val="24"/>
          <w:szCs w:val="24"/>
        </w:rPr>
        <w:t>Krumsvik</w:t>
      </w:r>
      <w:proofErr w:type="spellEnd"/>
      <w:r w:rsidR="00FB66CD" w:rsidRPr="00FB66CD">
        <w:rPr>
          <w:rFonts w:ascii="Times New Roman" w:hAnsi="Times New Roman" w:cs="Times New Roman"/>
          <w:sz w:val="24"/>
          <w:szCs w:val="24"/>
        </w:rPr>
        <w:t xml:space="preserve"> 2011; Johannesen et al. 2014; </w:t>
      </w:r>
      <w:proofErr w:type="spellStart"/>
      <w:r w:rsidR="00FB66CD" w:rsidRPr="00FB66CD">
        <w:rPr>
          <w:rFonts w:ascii="Times New Roman" w:hAnsi="Times New Roman" w:cs="Times New Roman"/>
          <w:sz w:val="24"/>
          <w:szCs w:val="24"/>
        </w:rPr>
        <w:t>Kelentric</w:t>
      </w:r>
      <w:proofErr w:type="spellEnd"/>
      <w:r w:rsidR="00FB66CD" w:rsidRPr="00FB66CD">
        <w:rPr>
          <w:rFonts w:ascii="Times New Roman" w:hAnsi="Times New Roman" w:cs="Times New Roman"/>
          <w:sz w:val="24"/>
          <w:szCs w:val="24"/>
        </w:rPr>
        <w:t xml:space="preserve"> et al. 2018; </w:t>
      </w:r>
      <w:proofErr w:type="spellStart"/>
      <w:r w:rsidR="00FB66CD" w:rsidRPr="00FB66CD">
        <w:rPr>
          <w:rFonts w:ascii="Times New Roman" w:hAnsi="Times New Roman" w:cs="Times New Roman"/>
          <w:sz w:val="24"/>
          <w:szCs w:val="24"/>
        </w:rPr>
        <w:t>Ottestad</w:t>
      </w:r>
      <w:proofErr w:type="spellEnd"/>
      <w:r w:rsidR="00FB66CD" w:rsidRPr="00FB66CD">
        <w:rPr>
          <w:rFonts w:ascii="Times New Roman" w:hAnsi="Times New Roman" w:cs="Times New Roman"/>
          <w:sz w:val="24"/>
          <w:szCs w:val="24"/>
        </w:rPr>
        <w:t xml:space="preserve"> et al. 2014; Ranieri &amp; Bruni, 2018). A number of different frameworks have been developed to assess teachers' digital competencies (</w:t>
      </w:r>
      <w:proofErr w:type="spellStart"/>
      <w:r w:rsidR="00FB66CD" w:rsidRPr="00FB66CD">
        <w:rPr>
          <w:rFonts w:ascii="Times New Roman" w:hAnsi="Times New Roman" w:cs="Times New Roman"/>
          <w:sz w:val="24"/>
          <w:szCs w:val="24"/>
        </w:rPr>
        <w:t>Hatlevik</w:t>
      </w:r>
      <w:proofErr w:type="spellEnd"/>
      <w:r w:rsidR="00FB66CD" w:rsidRPr="00FB66CD">
        <w:rPr>
          <w:rFonts w:ascii="Times New Roman" w:hAnsi="Times New Roman" w:cs="Times New Roman"/>
          <w:sz w:val="24"/>
          <w:szCs w:val="24"/>
        </w:rPr>
        <w:t xml:space="preserve"> 2017; </w:t>
      </w:r>
      <w:proofErr w:type="spellStart"/>
      <w:r w:rsidR="00FB66CD" w:rsidRPr="00FB66CD">
        <w:rPr>
          <w:rFonts w:ascii="Times New Roman" w:hAnsi="Times New Roman" w:cs="Times New Roman"/>
          <w:sz w:val="24"/>
          <w:szCs w:val="24"/>
        </w:rPr>
        <w:t>Krumsvik</w:t>
      </w:r>
      <w:proofErr w:type="spellEnd"/>
      <w:r w:rsidR="00FB66CD" w:rsidRPr="00FB66CD">
        <w:rPr>
          <w:rFonts w:ascii="Times New Roman" w:hAnsi="Times New Roman" w:cs="Times New Roman"/>
          <w:sz w:val="24"/>
          <w:szCs w:val="24"/>
        </w:rPr>
        <w:t xml:space="preserve"> 2011; Johannesen et al. 2014; </w:t>
      </w:r>
      <w:proofErr w:type="spellStart"/>
      <w:r w:rsidR="00FB66CD" w:rsidRPr="00FB66CD">
        <w:rPr>
          <w:rFonts w:ascii="Times New Roman" w:hAnsi="Times New Roman" w:cs="Times New Roman"/>
          <w:sz w:val="24"/>
          <w:szCs w:val="24"/>
        </w:rPr>
        <w:t>Kelentric</w:t>
      </w:r>
      <w:proofErr w:type="spellEnd"/>
      <w:r w:rsidR="00FB66CD" w:rsidRPr="00FB66CD">
        <w:rPr>
          <w:rFonts w:ascii="Times New Roman" w:hAnsi="Times New Roman" w:cs="Times New Roman"/>
          <w:sz w:val="24"/>
          <w:szCs w:val="24"/>
        </w:rPr>
        <w:t xml:space="preserve"> et al. 2018; </w:t>
      </w:r>
      <w:proofErr w:type="spellStart"/>
      <w:r w:rsidR="00FB66CD" w:rsidRPr="00FB66CD">
        <w:rPr>
          <w:rFonts w:ascii="Times New Roman" w:hAnsi="Times New Roman" w:cs="Times New Roman"/>
          <w:sz w:val="24"/>
          <w:szCs w:val="24"/>
        </w:rPr>
        <w:t>Ottestad</w:t>
      </w:r>
      <w:proofErr w:type="spellEnd"/>
      <w:r w:rsidR="00FB66CD" w:rsidRPr="00FB66CD">
        <w:rPr>
          <w:rFonts w:ascii="Times New Roman" w:hAnsi="Times New Roman" w:cs="Times New Roman"/>
          <w:sz w:val="24"/>
          <w:szCs w:val="24"/>
        </w:rPr>
        <w:t xml:space="preserve"> et al. 2014; Ranieri &amp; Bruni, 2018). While these models provide comprehensive descriptions of digital competence (</w:t>
      </w:r>
      <w:proofErr w:type="spellStart"/>
      <w:r w:rsidR="00FB66CD" w:rsidRPr="00FB66CD">
        <w:rPr>
          <w:rFonts w:ascii="Times New Roman" w:hAnsi="Times New Roman" w:cs="Times New Roman"/>
          <w:sz w:val="24"/>
          <w:szCs w:val="24"/>
        </w:rPr>
        <w:t>Instefjord</w:t>
      </w:r>
      <w:proofErr w:type="spellEnd"/>
      <w:r w:rsidR="00FB66CD" w:rsidRPr="00FB66CD">
        <w:rPr>
          <w:rFonts w:ascii="Times New Roman" w:hAnsi="Times New Roman" w:cs="Times New Roman"/>
          <w:sz w:val="24"/>
          <w:szCs w:val="24"/>
        </w:rPr>
        <w:t xml:space="preserve"> &amp; </w:t>
      </w:r>
      <w:proofErr w:type="spellStart"/>
      <w:r w:rsidR="00FB66CD" w:rsidRPr="00FB66CD">
        <w:rPr>
          <w:rFonts w:ascii="Times New Roman" w:hAnsi="Times New Roman" w:cs="Times New Roman"/>
          <w:sz w:val="24"/>
          <w:szCs w:val="24"/>
        </w:rPr>
        <w:t>Munthe</w:t>
      </w:r>
      <w:proofErr w:type="spellEnd"/>
      <w:r w:rsidR="00FB66CD" w:rsidRPr="00FB66CD">
        <w:rPr>
          <w:rFonts w:ascii="Times New Roman" w:hAnsi="Times New Roman" w:cs="Times New Roman"/>
          <w:sz w:val="24"/>
          <w:szCs w:val="24"/>
        </w:rPr>
        <w:t>, 2016), they usually do not present specific criteria that need to be met to be considered digitally competent (Garcia-Martin &amp; Garcia-Sanchez, 2017).</w:t>
      </w:r>
    </w:p>
    <w:p w14:paraId="1AD2AFCD" w14:textId="525E9225" w:rsidR="008C5F1C" w:rsidRPr="00622066" w:rsidRDefault="008C5F1C" w:rsidP="00FB66CD">
      <w:pPr>
        <w:spacing w:line="360" w:lineRule="auto"/>
        <w:ind w:firstLine="720"/>
        <w:jc w:val="center"/>
        <w:rPr>
          <w:rFonts w:ascii="Times New Roman" w:hAnsi="Times New Roman" w:cs="Times New Roman"/>
          <w:b/>
          <w:bCs/>
          <w:sz w:val="24"/>
          <w:szCs w:val="24"/>
        </w:rPr>
      </w:pPr>
      <w:r w:rsidRPr="00622066">
        <w:rPr>
          <w:rFonts w:ascii="Times New Roman" w:hAnsi="Times New Roman" w:cs="Times New Roman"/>
          <w:b/>
          <w:bCs/>
          <w:sz w:val="24"/>
          <w:szCs w:val="24"/>
        </w:rPr>
        <w:t xml:space="preserve">Rationale of the </w:t>
      </w:r>
      <w:r w:rsidR="00CE4A20" w:rsidRPr="00622066">
        <w:rPr>
          <w:rFonts w:ascii="Times New Roman" w:hAnsi="Times New Roman" w:cs="Times New Roman"/>
          <w:b/>
          <w:bCs/>
          <w:sz w:val="24"/>
          <w:szCs w:val="24"/>
        </w:rPr>
        <w:t>S</w:t>
      </w:r>
      <w:r w:rsidRPr="00622066">
        <w:rPr>
          <w:rFonts w:ascii="Times New Roman" w:hAnsi="Times New Roman" w:cs="Times New Roman"/>
          <w:b/>
          <w:bCs/>
          <w:sz w:val="24"/>
          <w:szCs w:val="24"/>
        </w:rPr>
        <w:t>tudy</w:t>
      </w:r>
    </w:p>
    <w:p w14:paraId="1FAEFE34" w14:textId="0336E776" w:rsidR="008C5F1C" w:rsidRPr="00622066" w:rsidRDefault="008C5F1C"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Continuous Professional Development (CPD) helps teachers grow, adapt to new roles, and embrace modern teaching methods to meet the evolving challenges of education (</w:t>
      </w:r>
      <w:proofErr w:type="spellStart"/>
      <w:r w:rsidRPr="00622066">
        <w:rPr>
          <w:rFonts w:ascii="Times New Roman" w:hAnsi="Times New Roman" w:cs="Times New Roman"/>
          <w:sz w:val="24"/>
          <w:szCs w:val="24"/>
        </w:rPr>
        <w:t>Gartia</w:t>
      </w:r>
      <w:proofErr w:type="spellEnd"/>
      <w:r w:rsidRPr="00622066">
        <w:rPr>
          <w:rFonts w:ascii="Times New Roman" w:hAnsi="Times New Roman" w:cs="Times New Roman"/>
          <w:sz w:val="24"/>
          <w:szCs w:val="24"/>
        </w:rPr>
        <w:t xml:space="preserve"> &amp; Sharma, 2013). Such Continuing professional development helps schools get better, improves teachers' skills, and supports students in learning more effectively (Day, 1999; Hargreaves, </w:t>
      </w:r>
      <w:r w:rsidRPr="00622066">
        <w:rPr>
          <w:rFonts w:ascii="Times New Roman" w:hAnsi="Times New Roman" w:cs="Times New Roman"/>
          <w:sz w:val="24"/>
          <w:szCs w:val="24"/>
        </w:rPr>
        <w:lastRenderedPageBreak/>
        <w:t xml:space="preserve">2000; Opfer &amp; Pedder, 2011; </w:t>
      </w:r>
      <w:proofErr w:type="spellStart"/>
      <w:r w:rsidRPr="00622066">
        <w:rPr>
          <w:rFonts w:ascii="Times New Roman" w:hAnsi="Times New Roman" w:cs="Times New Roman"/>
          <w:sz w:val="24"/>
          <w:szCs w:val="24"/>
        </w:rPr>
        <w:t>Verloop</w:t>
      </w:r>
      <w:proofErr w:type="spellEnd"/>
      <w:r w:rsidRPr="00622066">
        <w:rPr>
          <w:rFonts w:ascii="Times New Roman" w:hAnsi="Times New Roman" w:cs="Times New Roman"/>
          <w:sz w:val="24"/>
          <w:szCs w:val="24"/>
        </w:rPr>
        <w:t>, 2003). As the foundation of education, teachers must be well-equipped with strong subject knowledge, access to laboratories, ICT tools, and innovative teaching methods. Teachers need to understand which technologies are best for teaching their subjects and how the subject and technology can influence or change each other (Schmidt et al., 2014).  Thus, it is crucial for educators to improve their digital capabilities in order to educate students for both occupations that require 21st-century skills and life in general (</w:t>
      </w:r>
      <w:proofErr w:type="spellStart"/>
      <w:r w:rsidRPr="00622066">
        <w:rPr>
          <w:rFonts w:ascii="Times New Roman" w:hAnsi="Times New Roman" w:cs="Times New Roman"/>
          <w:sz w:val="24"/>
          <w:szCs w:val="24"/>
        </w:rPr>
        <w:t>Instefjord</w:t>
      </w:r>
      <w:proofErr w:type="spellEnd"/>
      <w:r w:rsidRPr="00622066">
        <w:rPr>
          <w:rFonts w:ascii="Times New Roman" w:hAnsi="Times New Roman" w:cs="Times New Roman"/>
          <w:sz w:val="24"/>
          <w:szCs w:val="24"/>
        </w:rPr>
        <w:t xml:space="preserve"> &amp; </w:t>
      </w:r>
      <w:proofErr w:type="spellStart"/>
      <w:r w:rsidRPr="00622066">
        <w:rPr>
          <w:rFonts w:ascii="Times New Roman" w:hAnsi="Times New Roman" w:cs="Times New Roman"/>
          <w:sz w:val="24"/>
          <w:szCs w:val="24"/>
        </w:rPr>
        <w:t>Munthe</w:t>
      </w:r>
      <w:proofErr w:type="spellEnd"/>
      <w:r w:rsidRPr="00622066">
        <w:rPr>
          <w:rFonts w:ascii="Times New Roman" w:hAnsi="Times New Roman" w:cs="Times New Roman"/>
          <w:sz w:val="24"/>
          <w:szCs w:val="24"/>
        </w:rPr>
        <w:t>, 2017; Starkey, 2019). Analysis of previous research found that the majority of research conducted on the professional development of teachers and few studies on the continuous professional development at teacher education institutions in India, and also in Odisha. Many research studies indicate that educators who are not as proficient in digital competences find it challenging to include digital tools into their regular lesson plans (Silva et al., 2019; Petko 2012). Teachers with digital competences, on the other hand, can promote students' digital learning and engagement by integrating digital technology as key components of their curricula (Dincer</w:t>
      </w:r>
      <w:r w:rsidR="003D4A7C">
        <w:rPr>
          <w:rFonts w:ascii="Times New Roman" w:hAnsi="Times New Roman" w:cs="Times New Roman"/>
          <w:sz w:val="24"/>
          <w:szCs w:val="24"/>
        </w:rPr>
        <w:t>,</w:t>
      </w:r>
      <w:r w:rsidRPr="00622066">
        <w:rPr>
          <w:rFonts w:ascii="Times New Roman" w:hAnsi="Times New Roman" w:cs="Times New Roman"/>
          <w:sz w:val="24"/>
          <w:szCs w:val="24"/>
        </w:rPr>
        <w:t xml:space="preserve"> 2018). For this reason, it is crucial to train educators in digital competence (</w:t>
      </w:r>
      <w:proofErr w:type="spellStart"/>
      <w:r w:rsidRPr="00622066">
        <w:rPr>
          <w:rFonts w:ascii="Times New Roman" w:hAnsi="Times New Roman" w:cs="Times New Roman"/>
          <w:sz w:val="24"/>
          <w:szCs w:val="24"/>
        </w:rPr>
        <w:t>Smarkola</w:t>
      </w:r>
      <w:proofErr w:type="spellEnd"/>
      <w:r w:rsidR="003D4A7C">
        <w:rPr>
          <w:rFonts w:ascii="Times New Roman" w:hAnsi="Times New Roman" w:cs="Times New Roman"/>
          <w:sz w:val="24"/>
          <w:szCs w:val="24"/>
        </w:rPr>
        <w:t xml:space="preserve">, </w:t>
      </w:r>
      <w:r w:rsidRPr="00622066">
        <w:rPr>
          <w:rFonts w:ascii="Times New Roman" w:hAnsi="Times New Roman" w:cs="Times New Roman"/>
          <w:sz w:val="24"/>
          <w:szCs w:val="24"/>
        </w:rPr>
        <w:t xml:space="preserve">2008). Learning strategies have been profoundly impacted by the rapid speed of technology change, necessitating continuing innovation and adaptation on the part of educators.  Teacher educators responsible for preparing prospective teachers need not only to master pedagogical knowledge but also demonstrate digital competence - a key competence in developing technology-enriched learning environments. The current study plays an important role since it examines the relationship between digital competence and continuous professional development of teacher educators. This research fills this gap by examining how digital competence is a predictor of teacher educators' CPD participation and effectiveness, providing insights that are essential to improve educational quality. </w:t>
      </w:r>
    </w:p>
    <w:p w14:paraId="175AC33F" w14:textId="36A71E15" w:rsidR="008C5F1C" w:rsidRPr="00622066" w:rsidRDefault="008C5F1C"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 xml:space="preserve">Objectives of the </w:t>
      </w:r>
      <w:r w:rsidR="00CE4A20" w:rsidRPr="00622066">
        <w:rPr>
          <w:rFonts w:ascii="Times New Roman" w:hAnsi="Times New Roman" w:cs="Times New Roman"/>
          <w:b/>
          <w:bCs/>
          <w:sz w:val="24"/>
          <w:szCs w:val="24"/>
        </w:rPr>
        <w:t>S</w:t>
      </w:r>
      <w:r w:rsidRPr="00622066">
        <w:rPr>
          <w:rFonts w:ascii="Times New Roman" w:hAnsi="Times New Roman" w:cs="Times New Roman"/>
          <w:b/>
          <w:bCs/>
          <w:sz w:val="24"/>
          <w:szCs w:val="24"/>
        </w:rPr>
        <w:t>tudy</w:t>
      </w:r>
    </w:p>
    <w:p w14:paraId="1000FDC3" w14:textId="77777777" w:rsidR="008C5F1C" w:rsidRPr="00622066" w:rsidRDefault="008C5F1C" w:rsidP="008C5F1C">
      <w:pPr>
        <w:pStyle w:val="ListParagraph"/>
        <w:numPr>
          <w:ilvl w:val="0"/>
          <w:numId w:val="1"/>
        </w:num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To assess the level of digital competence among teacher educators.</w:t>
      </w:r>
    </w:p>
    <w:p w14:paraId="1113EC52" w14:textId="1F283808" w:rsidR="008C5F1C" w:rsidRPr="00622066" w:rsidRDefault="008C5F1C" w:rsidP="008C5F1C">
      <w:pPr>
        <w:pStyle w:val="ListParagraph"/>
        <w:numPr>
          <w:ilvl w:val="0"/>
          <w:numId w:val="1"/>
        </w:num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To study the </w:t>
      </w:r>
      <w:r w:rsidR="004856F9" w:rsidRPr="00622066">
        <w:rPr>
          <w:rFonts w:ascii="Times New Roman" w:hAnsi="Times New Roman" w:cs="Times New Roman"/>
          <w:sz w:val="24"/>
          <w:szCs w:val="24"/>
        </w:rPr>
        <w:t>correlation</w:t>
      </w:r>
      <w:r w:rsidRPr="00622066">
        <w:rPr>
          <w:rFonts w:ascii="Times New Roman" w:hAnsi="Times New Roman" w:cs="Times New Roman"/>
          <w:sz w:val="24"/>
          <w:szCs w:val="24"/>
        </w:rPr>
        <w:t xml:space="preserve"> between digital competence and continuous professional development of teacher educators.</w:t>
      </w:r>
    </w:p>
    <w:p w14:paraId="445DCE65" w14:textId="77777777" w:rsidR="008C5F1C" w:rsidRPr="00622066" w:rsidRDefault="008C5F1C" w:rsidP="008C5F1C">
      <w:pPr>
        <w:pStyle w:val="ListParagraph"/>
        <w:numPr>
          <w:ilvl w:val="0"/>
          <w:numId w:val="1"/>
        </w:num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To study the role of digital competence as a predictor of continuous professional development among teacher educators.</w:t>
      </w:r>
    </w:p>
    <w:p w14:paraId="5DC3D2E7" w14:textId="7008CB6D" w:rsidR="008C5F1C" w:rsidRPr="00622066" w:rsidRDefault="008C5F1C"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 xml:space="preserve">Hypothesis of the </w:t>
      </w:r>
      <w:r w:rsidR="00CE4A20" w:rsidRPr="00622066">
        <w:rPr>
          <w:rFonts w:ascii="Times New Roman" w:hAnsi="Times New Roman" w:cs="Times New Roman"/>
          <w:b/>
          <w:bCs/>
          <w:sz w:val="24"/>
          <w:szCs w:val="24"/>
        </w:rPr>
        <w:t>S</w:t>
      </w:r>
      <w:r w:rsidRPr="00622066">
        <w:rPr>
          <w:rFonts w:ascii="Times New Roman" w:hAnsi="Times New Roman" w:cs="Times New Roman"/>
          <w:b/>
          <w:bCs/>
          <w:sz w:val="24"/>
          <w:szCs w:val="24"/>
        </w:rPr>
        <w:t>tudy</w:t>
      </w:r>
    </w:p>
    <w:p w14:paraId="3C7EDC6F" w14:textId="2CD3DA76" w:rsidR="008C5F1C" w:rsidRPr="00622066" w:rsidRDefault="008C5F1C" w:rsidP="008C5F1C">
      <w:pPr>
        <w:pStyle w:val="ListParagraph"/>
        <w:numPr>
          <w:ilvl w:val="0"/>
          <w:numId w:val="2"/>
        </w:numPr>
        <w:spacing w:line="360" w:lineRule="auto"/>
        <w:ind w:left="502"/>
        <w:jc w:val="both"/>
        <w:rPr>
          <w:rFonts w:ascii="Times New Roman" w:hAnsi="Times New Roman" w:cs="Times New Roman"/>
          <w:sz w:val="24"/>
          <w:szCs w:val="24"/>
        </w:rPr>
      </w:pPr>
      <w:r w:rsidRPr="00622066">
        <w:rPr>
          <w:rFonts w:ascii="Times New Roman" w:hAnsi="Times New Roman" w:cs="Times New Roman"/>
          <w:sz w:val="24"/>
          <w:szCs w:val="24"/>
        </w:rPr>
        <w:t xml:space="preserve">There is no significant </w:t>
      </w:r>
      <w:r w:rsidR="004856F9" w:rsidRPr="00622066">
        <w:rPr>
          <w:rFonts w:ascii="Times New Roman" w:hAnsi="Times New Roman" w:cs="Times New Roman"/>
          <w:sz w:val="24"/>
          <w:szCs w:val="24"/>
        </w:rPr>
        <w:t>correlation</w:t>
      </w:r>
      <w:r w:rsidRPr="00622066">
        <w:rPr>
          <w:rFonts w:ascii="Times New Roman" w:hAnsi="Times New Roman" w:cs="Times New Roman"/>
          <w:sz w:val="24"/>
          <w:szCs w:val="24"/>
        </w:rPr>
        <w:t xml:space="preserve"> between digital competence and continuous professional development of teacher educators.</w:t>
      </w:r>
    </w:p>
    <w:p w14:paraId="69DB531B" w14:textId="77777777" w:rsidR="008C5F1C" w:rsidRPr="00622066" w:rsidRDefault="008C5F1C" w:rsidP="008C5F1C">
      <w:pPr>
        <w:pStyle w:val="ListParagraph"/>
        <w:numPr>
          <w:ilvl w:val="0"/>
          <w:numId w:val="2"/>
        </w:numPr>
        <w:spacing w:line="360" w:lineRule="auto"/>
        <w:ind w:left="502"/>
        <w:jc w:val="both"/>
        <w:rPr>
          <w:rFonts w:ascii="Times New Roman" w:hAnsi="Times New Roman" w:cs="Times New Roman"/>
          <w:sz w:val="24"/>
          <w:szCs w:val="24"/>
        </w:rPr>
      </w:pPr>
      <w:r w:rsidRPr="00622066">
        <w:rPr>
          <w:rFonts w:ascii="Times New Roman" w:hAnsi="Times New Roman" w:cs="Times New Roman"/>
          <w:sz w:val="24"/>
          <w:szCs w:val="24"/>
        </w:rPr>
        <w:lastRenderedPageBreak/>
        <w:t>Digital competence is not a significant predictor of continuous professional development among teacher educators.</w:t>
      </w:r>
    </w:p>
    <w:p w14:paraId="1E102946" w14:textId="5E4807DA" w:rsidR="008C5F1C" w:rsidRPr="00622066" w:rsidRDefault="008C5F1C"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Method</w:t>
      </w:r>
      <w:r w:rsidR="00AA73D1" w:rsidRPr="00622066">
        <w:rPr>
          <w:rFonts w:ascii="Times New Roman" w:hAnsi="Times New Roman" w:cs="Times New Roman"/>
          <w:b/>
          <w:bCs/>
          <w:sz w:val="24"/>
          <w:szCs w:val="24"/>
        </w:rPr>
        <w:t>ology</w:t>
      </w:r>
    </w:p>
    <w:p w14:paraId="6D0C1C92" w14:textId="1C710B23" w:rsidR="008C5F1C" w:rsidRPr="00622066" w:rsidRDefault="00AA73D1"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Research </w:t>
      </w:r>
      <w:r w:rsidR="008C5F1C" w:rsidRPr="00622066">
        <w:rPr>
          <w:rFonts w:ascii="Times New Roman" w:hAnsi="Times New Roman" w:cs="Times New Roman"/>
          <w:b/>
          <w:bCs/>
          <w:sz w:val="24"/>
          <w:szCs w:val="24"/>
        </w:rPr>
        <w:t>Design</w:t>
      </w:r>
    </w:p>
    <w:p w14:paraId="04B10B72" w14:textId="7A889AB9" w:rsidR="008C5F1C" w:rsidRPr="00622066" w:rsidRDefault="00E57F38"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A correlational research design was used in the present study to examine the role of digital competence teacher educators’ continuous professional development.</w:t>
      </w:r>
    </w:p>
    <w:p w14:paraId="1710D860" w14:textId="37C65CC8"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Population and Sample</w:t>
      </w:r>
    </w:p>
    <w:p w14:paraId="7C49AB0B" w14:textId="2EB68F52" w:rsidR="008C5F1C" w:rsidRPr="00622066" w:rsidRDefault="008C5F1C"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 xml:space="preserve">The study encompassed the Teacher Educators of all the DIET (District Institute of Education and Training) </w:t>
      </w:r>
      <w:r w:rsidR="00BA69AA">
        <w:rPr>
          <w:rFonts w:ascii="Times New Roman" w:hAnsi="Times New Roman" w:cs="Times New Roman"/>
          <w:sz w:val="24"/>
          <w:szCs w:val="24"/>
        </w:rPr>
        <w:t>as per the SCERT</w:t>
      </w:r>
      <w:r w:rsidR="00685EDD">
        <w:rPr>
          <w:rFonts w:ascii="Times New Roman" w:hAnsi="Times New Roman" w:cs="Times New Roman"/>
          <w:sz w:val="24"/>
          <w:szCs w:val="24"/>
        </w:rPr>
        <w:t xml:space="preserve"> (State Council of Education Research </w:t>
      </w:r>
      <w:r w:rsidR="007543CA">
        <w:rPr>
          <w:rFonts w:ascii="Times New Roman" w:hAnsi="Times New Roman" w:cs="Times New Roman"/>
          <w:sz w:val="24"/>
          <w:szCs w:val="24"/>
        </w:rPr>
        <w:t>and Training)</w:t>
      </w:r>
      <w:r w:rsidR="00BA69AA">
        <w:rPr>
          <w:rFonts w:ascii="Times New Roman" w:hAnsi="Times New Roman" w:cs="Times New Roman"/>
          <w:sz w:val="24"/>
          <w:szCs w:val="24"/>
        </w:rPr>
        <w:t>, Government</w:t>
      </w:r>
      <w:r w:rsidR="00BA69AA" w:rsidRPr="00C80567">
        <w:rPr>
          <w:rFonts w:ascii="Times New Roman" w:hAnsi="Times New Roman" w:cs="Times New Roman"/>
          <w:sz w:val="24"/>
          <w:szCs w:val="24"/>
        </w:rPr>
        <w:t xml:space="preserve"> of Odisha</w:t>
      </w:r>
      <w:r w:rsidR="00BA69AA">
        <w:rPr>
          <w:rFonts w:ascii="Times New Roman" w:hAnsi="Times New Roman" w:cs="Times New Roman"/>
          <w:sz w:val="24"/>
          <w:szCs w:val="24"/>
        </w:rPr>
        <w:t>,</w:t>
      </w:r>
      <w:r w:rsidR="00BA69AA" w:rsidRPr="00C80567">
        <w:rPr>
          <w:rFonts w:ascii="Times New Roman" w:hAnsi="Times New Roman" w:cs="Times New Roman"/>
          <w:sz w:val="24"/>
          <w:szCs w:val="24"/>
        </w:rPr>
        <w:t xml:space="preserve"> as the population of</w:t>
      </w:r>
      <w:r w:rsidR="00BA69AA">
        <w:rPr>
          <w:rFonts w:ascii="Times New Roman" w:hAnsi="Times New Roman" w:cs="Times New Roman"/>
          <w:sz w:val="24"/>
          <w:szCs w:val="24"/>
        </w:rPr>
        <w:t xml:space="preserve"> </w:t>
      </w:r>
      <w:r w:rsidR="00BA69AA" w:rsidRPr="00C80567">
        <w:rPr>
          <w:rFonts w:ascii="Times New Roman" w:hAnsi="Times New Roman" w:cs="Times New Roman"/>
          <w:sz w:val="24"/>
          <w:szCs w:val="24"/>
        </w:rPr>
        <w:t>the study</w:t>
      </w:r>
      <w:r w:rsidR="00CE4A20" w:rsidRPr="00622066">
        <w:rPr>
          <w:rFonts w:ascii="Times New Roman" w:hAnsi="Times New Roman" w:cs="Times New Roman"/>
          <w:sz w:val="24"/>
          <w:szCs w:val="24"/>
        </w:rPr>
        <w:t xml:space="preserve">. </w:t>
      </w:r>
      <w:r w:rsidR="009E2E54">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were selected for the best representation of the whole population </w:t>
      </w:r>
      <w:r w:rsidR="00CE4A20" w:rsidRPr="00622066">
        <w:rPr>
          <w:rFonts w:ascii="Times New Roman" w:hAnsi="Times New Roman" w:cs="Times New Roman"/>
          <w:sz w:val="24"/>
          <w:szCs w:val="24"/>
        </w:rPr>
        <w:t>and t</w:t>
      </w:r>
      <w:r w:rsidRPr="00622066">
        <w:rPr>
          <w:rFonts w:ascii="Times New Roman" w:hAnsi="Times New Roman" w:cs="Times New Roman"/>
          <w:sz w:val="24"/>
          <w:szCs w:val="24"/>
        </w:rPr>
        <w:t>he researcher</w:t>
      </w:r>
      <w:r w:rsidR="00CE4A20" w:rsidRPr="00622066">
        <w:rPr>
          <w:rFonts w:ascii="Times New Roman" w:hAnsi="Times New Roman" w:cs="Times New Roman"/>
          <w:sz w:val="24"/>
          <w:szCs w:val="24"/>
        </w:rPr>
        <w:t xml:space="preserve">s </w:t>
      </w:r>
      <w:r w:rsidRPr="00622066">
        <w:rPr>
          <w:rFonts w:ascii="Times New Roman" w:hAnsi="Times New Roman" w:cs="Times New Roman"/>
          <w:sz w:val="24"/>
          <w:szCs w:val="24"/>
        </w:rPr>
        <w:t xml:space="preserve">utilized </w:t>
      </w:r>
      <w:r w:rsidR="001A24AE">
        <w:rPr>
          <w:rFonts w:ascii="Times New Roman" w:hAnsi="Times New Roman" w:cs="Times New Roman"/>
          <w:sz w:val="24"/>
          <w:szCs w:val="24"/>
        </w:rPr>
        <w:t xml:space="preserve">multi-stage </w:t>
      </w:r>
      <w:r w:rsidRPr="00622066">
        <w:rPr>
          <w:rFonts w:ascii="Times New Roman" w:hAnsi="Times New Roman" w:cs="Times New Roman"/>
          <w:sz w:val="24"/>
          <w:szCs w:val="24"/>
        </w:rPr>
        <w:t xml:space="preserve">sampling </w:t>
      </w:r>
      <w:r w:rsidR="001A53B1">
        <w:rPr>
          <w:rFonts w:ascii="Times New Roman" w:hAnsi="Times New Roman" w:cs="Times New Roman"/>
          <w:sz w:val="24"/>
          <w:szCs w:val="24"/>
        </w:rPr>
        <w:t xml:space="preserve">technique </w:t>
      </w:r>
      <w:r w:rsidRPr="00622066">
        <w:rPr>
          <w:rFonts w:ascii="Times New Roman" w:hAnsi="Times New Roman" w:cs="Times New Roman"/>
          <w:sz w:val="24"/>
          <w:szCs w:val="24"/>
        </w:rPr>
        <w:t xml:space="preserve">to </w:t>
      </w:r>
      <w:r w:rsidR="00CE4A20" w:rsidRPr="00622066">
        <w:rPr>
          <w:rFonts w:ascii="Times New Roman" w:hAnsi="Times New Roman" w:cs="Times New Roman"/>
          <w:sz w:val="24"/>
          <w:szCs w:val="24"/>
        </w:rPr>
        <w:t>select</w:t>
      </w:r>
      <w:r w:rsidRPr="00622066">
        <w:rPr>
          <w:rFonts w:ascii="Times New Roman" w:hAnsi="Times New Roman" w:cs="Times New Roman"/>
          <w:sz w:val="24"/>
          <w:szCs w:val="24"/>
        </w:rPr>
        <w:t xml:space="preserve"> the </w:t>
      </w:r>
      <w:r w:rsidR="00CE4A20" w:rsidRPr="00622066">
        <w:rPr>
          <w:rFonts w:ascii="Times New Roman" w:hAnsi="Times New Roman" w:cs="Times New Roman"/>
          <w:sz w:val="24"/>
          <w:szCs w:val="24"/>
        </w:rPr>
        <w:t>sample</w:t>
      </w:r>
      <w:r w:rsidRPr="00622066">
        <w:rPr>
          <w:rFonts w:ascii="Times New Roman" w:hAnsi="Times New Roman" w:cs="Times New Roman"/>
          <w:sz w:val="24"/>
          <w:szCs w:val="24"/>
        </w:rPr>
        <w:t xml:space="preserve"> from the state of Odisha.</w:t>
      </w:r>
    </w:p>
    <w:p w14:paraId="050CA8A2" w14:textId="1833CCAC" w:rsidR="009A5670" w:rsidRPr="00622066" w:rsidRDefault="00AA73D1"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Research Tools</w:t>
      </w:r>
    </w:p>
    <w:p w14:paraId="3BBB2B45" w14:textId="3BA0D98E" w:rsidR="007C7072" w:rsidRPr="00622066" w:rsidRDefault="007C7072"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 xml:space="preserve">In this study, two </w:t>
      </w:r>
      <w:r w:rsidR="00F95D9F">
        <w:rPr>
          <w:rFonts w:ascii="Times New Roman" w:hAnsi="Times New Roman" w:cs="Times New Roman"/>
          <w:sz w:val="24"/>
          <w:szCs w:val="24"/>
        </w:rPr>
        <w:t>Likert</w:t>
      </w:r>
      <w:r w:rsidR="00CE4A20" w:rsidRPr="00622066">
        <w:rPr>
          <w:rFonts w:ascii="Times New Roman" w:hAnsi="Times New Roman" w:cs="Times New Roman"/>
          <w:sz w:val="24"/>
          <w:szCs w:val="24"/>
        </w:rPr>
        <w:t xml:space="preserve"> </w:t>
      </w:r>
      <w:r w:rsidR="00F95D9F">
        <w:rPr>
          <w:rFonts w:ascii="Times New Roman" w:hAnsi="Times New Roman" w:cs="Times New Roman"/>
          <w:sz w:val="24"/>
          <w:szCs w:val="24"/>
        </w:rPr>
        <w:t>S</w:t>
      </w:r>
      <w:r w:rsidR="00CE4A20" w:rsidRPr="00622066">
        <w:rPr>
          <w:rFonts w:ascii="Times New Roman" w:hAnsi="Times New Roman" w:cs="Times New Roman"/>
          <w:sz w:val="24"/>
          <w:szCs w:val="24"/>
        </w:rPr>
        <w:t>cales</w:t>
      </w:r>
      <w:r w:rsidRPr="00622066">
        <w:rPr>
          <w:rFonts w:ascii="Times New Roman" w:hAnsi="Times New Roman" w:cs="Times New Roman"/>
          <w:sz w:val="24"/>
          <w:szCs w:val="24"/>
        </w:rPr>
        <w:t xml:space="preserve"> were used to collect data. One was the Continuous Professional Development Scale with 54 questions, and the other was the Digital Competence Scale with 60 questions. The Continuous Professional Development Scale showed a reliability score (Cronbach's alpha) of 0.932, which means it was very reliable. The Digital Competence Scale was taken from a study by </w:t>
      </w:r>
      <w:proofErr w:type="spellStart"/>
      <w:r w:rsidRPr="00622066">
        <w:rPr>
          <w:rFonts w:ascii="Times New Roman" w:hAnsi="Times New Roman" w:cs="Times New Roman"/>
          <w:sz w:val="24"/>
          <w:szCs w:val="24"/>
        </w:rPr>
        <w:t>Duygu</w:t>
      </w:r>
      <w:proofErr w:type="spellEnd"/>
      <w:r w:rsidRPr="00622066">
        <w:rPr>
          <w:rFonts w:ascii="Times New Roman" w:hAnsi="Times New Roman" w:cs="Times New Roman"/>
          <w:sz w:val="24"/>
          <w:szCs w:val="24"/>
        </w:rPr>
        <w:t xml:space="preserve"> </w:t>
      </w:r>
      <w:proofErr w:type="spellStart"/>
      <w:r w:rsidRPr="00622066">
        <w:rPr>
          <w:rFonts w:ascii="Times New Roman" w:hAnsi="Times New Roman" w:cs="Times New Roman"/>
          <w:sz w:val="24"/>
          <w:szCs w:val="24"/>
        </w:rPr>
        <w:t>Yılmaz</w:t>
      </w:r>
      <w:proofErr w:type="spellEnd"/>
      <w:r w:rsidRPr="00622066">
        <w:rPr>
          <w:rFonts w:ascii="Times New Roman" w:hAnsi="Times New Roman" w:cs="Times New Roman"/>
          <w:sz w:val="24"/>
          <w:szCs w:val="24"/>
        </w:rPr>
        <w:t xml:space="preserve"> </w:t>
      </w:r>
      <w:proofErr w:type="spellStart"/>
      <w:r w:rsidRPr="00622066">
        <w:rPr>
          <w:rFonts w:ascii="Times New Roman" w:hAnsi="Times New Roman" w:cs="Times New Roman"/>
          <w:sz w:val="24"/>
          <w:szCs w:val="24"/>
        </w:rPr>
        <w:t>Ergul</w:t>
      </w:r>
      <w:proofErr w:type="spellEnd"/>
      <w:r w:rsidRPr="00622066">
        <w:rPr>
          <w:rFonts w:ascii="Times New Roman" w:hAnsi="Times New Roman" w:cs="Times New Roman"/>
          <w:sz w:val="24"/>
          <w:szCs w:val="24"/>
        </w:rPr>
        <w:t xml:space="preserve"> and Mehmet </w:t>
      </w:r>
      <w:proofErr w:type="spellStart"/>
      <w:r w:rsidRPr="00622066">
        <w:rPr>
          <w:rFonts w:ascii="Times New Roman" w:hAnsi="Times New Roman" w:cs="Times New Roman"/>
          <w:sz w:val="24"/>
          <w:szCs w:val="24"/>
        </w:rPr>
        <w:t>Fatih</w:t>
      </w:r>
      <w:proofErr w:type="spellEnd"/>
      <w:r w:rsidRPr="00622066">
        <w:rPr>
          <w:rFonts w:ascii="Times New Roman" w:hAnsi="Times New Roman" w:cs="Times New Roman"/>
          <w:sz w:val="24"/>
          <w:szCs w:val="24"/>
        </w:rPr>
        <w:t xml:space="preserve"> Tasar, and it also showed a high reliability score of 0.944. Both scales used a 5-point Likert scale for responses: Strongly Agree (5), Agree (4), Neutral (3), Disagree (2), and Strongly Disagree (1). Since the reliability scores were both above </w:t>
      </w:r>
      <w:r w:rsidRPr="00622066">
        <w:rPr>
          <w:rFonts w:ascii="Times New Roman" w:hAnsi="Times New Roman" w:cs="Times New Roman"/>
          <w:color w:val="000000" w:themeColor="text1"/>
          <w:sz w:val="24"/>
          <w:szCs w:val="24"/>
        </w:rPr>
        <w:t>0.</w:t>
      </w:r>
      <w:r w:rsidR="0079596E" w:rsidRPr="00622066">
        <w:rPr>
          <w:rFonts w:ascii="Times New Roman" w:hAnsi="Times New Roman" w:cs="Times New Roman"/>
          <w:color w:val="000000" w:themeColor="text1"/>
          <w:sz w:val="24"/>
          <w:szCs w:val="24"/>
        </w:rPr>
        <w:t>8</w:t>
      </w:r>
      <w:r w:rsidRPr="00622066">
        <w:rPr>
          <w:rFonts w:ascii="Times New Roman" w:hAnsi="Times New Roman" w:cs="Times New Roman"/>
          <w:color w:val="000000" w:themeColor="text1"/>
          <w:sz w:val="24"/>
          <w:szCs w:val="24"/>
        </w:rPr>
        <w:t>0</w:t>
      </w:r>
      <w:r w:rsidR="00314D3C">
        <w:rPr>
          <w:rFonts w:ascii="Times New Roman" w:hAnsi="Times New Roman" w:cs="Times New Roman"/>
          <w:color w:val="000000" w:themeColor="text1"/>
          <w:sz w:val="24"/>
          <w:szCs w:val="24"/>
        </w:rPr>
        <w:t>,</w:t>
      </w:r>
      <w:r w:rsidRPr="00622066">
        <w:rPr>
          <w:rFonts w:ascii="Times New Roman" w:hAnsi="Times New Roman" w:cs="Times New Roman"/>
          <w:color w:val="FF0000"/>
          <w:sz w:val="24"/>
          <w:szCs w:val="24"/>
        </w:rPr>
        <w:t xml:space="preserve"> </w:t>
      </w:r>
      <w:r w:rsidRPr="00622066">
        <w:rPr>
          <w:rFonts w:ascii="Times New Roman" w:hAnsi="Times New Roman" w:cs="Times New Roman"/>
          <w:sz w:val="24"/>
          <w:szCs w:val="24"/>
        </w:rPr>
        <w:t>the tools were considered reliable.</w:t>
      </w:r>
    </w:p>
    <w:p w14:paraId="24F4FBAA" w14:textId="405C1E39" w:rsidR="00AA73D1" w:rsidRPr="00622066" w:rsidRDefault="00AA73D1"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Procedure</w:t>
      </w:r>
    </w:p>
    <w:p w14:paraId="4A99510B" w14:textId="6F497245" w:rsidR="00934B41" w:rsidRPr="00622066" w:rsidRDefault="00934B41"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The researcher</w:t>
      </w:r>
      <w:r w:rsidR="00CE4A20" w:rsidRPr="00622066">
        <w:rPr>
          <w:rFonts w:ascii="Times New Roman" w:hAnsi="Times New Roman" w:cs="Times New Roman"/>
          <w:sz w:val="24"/>
          <w:szCs w:val="24"/>
        </w:rPr>
        <w:t>s</w:t>
      </w:r>
      <w:r w:rsidRPr="00622066">
        <w:rPr>
          <w:rFonts w:ascii="Times New Roman" w:hAnsi="Times New Roman" w:cs="Times New Roman"/>
          <w:sz w:val="24"/>
          <w:szCs w:val="24"/>
        </w:rPr>
        <w:t xml:space="preserve"> administered the scale</w:t>
      </w:r>
      <w:r w:rsidR="00CE4A20" w:rsidRPr="00622066">
        <w:rPr>
          <w:rFonts w:ascii="Times New Roman" w:hAnsi="Times New Roman" w:cs="Times New Roman"/>
          <w:sz w:val="24"/>
          <w:szCs w:val="24"/>
        </w:rPr>
        <w:t>s</w:t>
      </w:r>
      <w:r w:rsidRPr="00622066">
        <w:rPr>
          <w:rFonts w:ascii="Times New Roman" w:hAnsi="Times New Roman" w:cs="Times New Roman"/>
          <w:sz w:val="24"/>
          <w:szCs w:val="24"/>
        </w:rPr>
        <w:t xml:space="preserve"> to a sample of </w:t>
      </w:r>
      <w:r w:rsidR="00E43B53">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Prior permission was obtained from the </w:t>
      </w:r>
      <w:r w:rsidR="006F044E" w:rsidRPr="00622066">
        <w:rPr>
          <w:rFonts w:ascii="Times New Roman" w:hAnsi="Times New Roman" w:cs="Times New Roman"/>
          <w:sz w:val="24"/>
          <w:szCs w:val="24"/>
        </w:rPr>
        <w:t>P</w:t>
      </w:r>
      <w:r w:rsidRPr="00622066">
        <w:rPr>
          <w:rFonts w:ascii="Times New Roman" w:hAnsi="Times New Roman" w:cs="Times New Roman"/>
          <w:sz w:val="24"/>
          <w:szCs w:val="24"/>
        </w:rPr>
        <w:t>rincipals of DIET. The investigator was physically present during the administration of the scale. Afterward, the teacher educators' responses were collected and evaluated according to the established scoring procedure.</w:t>
      </w:r>
    </w:p>
    <w:p w14:paraId="13D731A8" w14:textId="77777777" w:rsidR="005B29F7" w:rsidRPr="00C80567" w:rsidRDefault="005B29F7" w:rsidP="005B29F7">
      <w:pPr>
        <w:spacing w:line="360" w:lineRule="auto"/>
        <w:rPr>
          <w:rFonts w:ascii="Times New Roman" w:hAnsi="Times New Roman" w:cs="Times New Roman"/>
          <w:b/>
          <w:bCs/>
          <w:sz w:val="24"/>
          <w:szCs w:val="24"/>
        </w:rPr>
      </w:pPr>
      <w:r w:rsidRPr="00C80567">
        <w:rPr>
          <w:rFonts w:ascii="Times New Roman" w:hAnsi="Times New Roman" w:cs="Times New Roman"/>
          <w:b/>
          <w:bCs/>
          <w:sz w:val="24"/>
          <w:szCs w:val="24"/>
        </w:rPr>
        <w:t>Statistical Techniques</w:t>
      </w:r>
    </w:p>
    <w:p w14:paraId="5B7B940E" w14:textId="530EC5FA" w:rsidR="00FF5817" w:rsidRPr="00622066" w:rsidRDefault="00FF5817"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 xml:space="preserve">The data collected were examined using </w:t>
      </w:r>
      <w:r w:rsidR="00CE4A20" w:rsidRPr="00622066">
        <w:rPr>
          <w:rFonts w:ascii="Times New Roman" w:hAnsi="Times New Roman" w:cs="Times New Roman"/>
          <w:sz w:val="24"/>
          <w:szCs w:val="24"/>
        </w:rPr>
        <w:t>descriptive</w:t>
      </w:r>
      <w:r w:rsidRPr="00622066">
        <w:rPr>
          <w:rFonts w:ascii="Times New Roman" w:hAnsi="Times New Roman" w:cs="Times New Roman"/>
          <w:sz w:val="24"/>
          <w:szCs w:val="24"/>
        </w:rPr>
        <w:t xml:space="preserve"> statistics (</w:t>
      </w:r>
      <w:r w:rsidR="00CE4A20" w:rsidRPr="00622066">
        <w:rPr>
          <w:rFonts w:ascii="Times New Roman" w:hAnsi="Times New Roman" w:cs="Times New Roman"/>
          <w:sz w:val="24"/>
          <w:szCs w:val="24"/>
        </w:rPr>
        <w:t>mean and SD</w:t>
      </w:r>
      <w:r w:rsidRPr="00622066">
        <w:rPr>
          <w:rFonts w:ascii="Times New Roman" w:hAnsi="Times New Roman" w:cs="Times New Roman"/>
          <w:sz w:val="24"/>
          <w:szCs w:val="24"/>
        </w:rPr>
        <w:t xml:space="preserve">), </w:t>
      </w:r>
      <w:r w:rsidR="00CE4A20" w:rsidRPr="00622066">
        <w:rPr>
          <w:rFonts w:ascii="Times New Roman" w:hAnsi="Times New Roman" w:cs="Times New Roman"/>
          <w:sz w:val="24"/>
          <w:szCs w:val="24"/>
        </w:rPr>
        <w:t>inferential statistics</w:t>
      </w:r>
      <w:r w:rsidRPr="00622066">
        <w:rPr>
          <w:rFonts w:ascii="Times New Roman" w:hAnsi="Times New Roman" w:cs="Times New Roman"/>
          <w:sz w:val="24"/>
          <w:szCs w:val="24"/>
        </w:rPr>
        <w:t xml:space="preserve"> Pearson correlation</w:t>
      </w:r>
      <w:r w:rsidR="00CE4A20" w:rsidRPr="00622066">
        <w:rPr>
          <w:rFonts w:ascii="Times New Roman" w:hAnsi="Times New Roman" w:cs="Times New Roman"/>
          <w:sz w:val="24"/>
          <w:szCs w:val="24"/>
        </w:rPr>
        <w:t xml:space="preserve"> a</w:t>
      </w:r>
      <w:r w:rsidRPr="00622066">
        <w:rPr>
          <w:rFonts w:ascii="Times New Roman" w:hAnsi="Times New Roman" w:cs="Times New Roman"/>
          <w:sz w:val="24"/>
          <w:szCs w:val="24"/>
        </w:rPr>
        <w:t>nd linear regression.</w:t>
      </w:r>
    </w:p>
    <w:p w14:paraId="4A429CC2" w14:textId="486A0461" w:rsidR="0088624B" w:rsidRDefault="00C846A4" w:rsidP="00C846A4">
      <w:pPr>
        <w:pStyle w:val="ListParagraph"/>
        <w:spacing w:line="360" w:lineRule="auto"/>
        <w:ind w:left="90"/>
        <w:rPr>
          <w:rFonts w:ascii="Times New Roman" w:hAnsi="Times New Roman" w:cs="Times New Roman"/>
          <w:b/>
          <w:bCs/>
          <w:sz w:val="24"/>
          <w:szCs w:val="24"/>
        </w:rPr>
      </w:pPr>
      <w:r w:rsidRPr="00C846A4">
        <w:rPr>
          <w:rFonts w:ascii="Times New Roman" w:hAnsi="Times New Roman" w:cs="Times New Roman"/>
          <w:b/>
          <w:bCs/>
          <w:sz w:val="24"/>
          <w:szCs w:val="24"/>
        </w:rPr>
        <w:lastRenderedPageBreak/>
        <w:t>Result and Discussion</w:t>
      </w:r>
    </w:p>
    <w:p w14:paraId="1401D403" w14:textId="77777777" w:rsidR="0088624B" w:rsidRDefault="0088624B" w:rsidP="00BB2F60">
      <w:pPr>
        <w:pStyle w:val="ListParagraph"/>
        <w:spacing w:line="360" w:lineRule="auto"/>
        <w:jc w:val="center"/>
        <w:rPr>
          <w:rFonts w:ascii="Times New Roman" w:hAnsi="Times New Roman" w:cs="Times New Roman"/>
          <w:b/>
          <w:bCs/>
          <w:sz w:val="24"/>
          <w:szCs w:val="24"/>
        </w:rPr>
      </w:pPr>
    </w:p>
    <w:p w14:paraId="0FA3A4A2" w14:textId="7884A6D9" w:rsidR="008C5F1C" w:rsidRPr="00BB2F60" w:rsidRDefault="008C5F1C" w:rsidP="00BB2F60">
      <w:pPr>
        <w:pStyle w:val="ListParagraph"/>
        <w:spacing w:line="360" w:lineRule="auto"/>
        <w:jc w:val="center"/>
        <w:rPr>
          <w:rFonts w:ascii="Times New Roman" w:hAnsi="Times New Roman" w:cs="Times New Roman"/>
          <w:sz w:val="24"/>
          <w:szCs w:val="24"/>
        </w:rPr>
      </w:pPr>
      <w:r w:rsidRPr="00BB2F60">
        <w:rPr>
          <w:rFonts w:ascii="Times New Roman" w:hAnsi="Times New Roman" w:cs="Times New Roman"/>
          <w:b/>
          <w:bCs/>
          <w:sz w:val="24"/>
          <w:szCs w:val="24"/>
        </w:rPr>
        <w:t>Analysis and Interpretation of the Data</w:t>
      </w:r>
    </w:p>
    <w:p w14:paraId="283BF082" w14:textId="77777777" w:rsidR="000A3CBF" w:rsidRPr="00622066" w:rsidRDefault="008C5F1C" w:rsidP="008C5F1C">
      <w:pPr>
        <w:pStyle w:val="ListParagraph"/>
        <w:numPr>
          <w:ilvl w:val="0"/>
          <w:numId w:val="4"/>
        </w:numPr>
        <w:tabs>
          <w:tab w:val="left" w:pos="270"/>
        </w:tabs>
        <w:spacing w:line="360" w:lineRule="auto"/>
        <w:ind w:left="450" w:hanging="450"/>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The </w:t>
      </w:r>
      <w:r w:rsidR="00792FC9" w:rsidRPr="00622066">
        <w:rPr>
          <w:rFonts w:ascii="Times New Roman" w:hAnsi="Times New Roman" w:cs="Times New Roman"/>
          <w:b/>
          <w:bCs/>
          <w:sz w:val="24"/>
          <w:szCs w:val="24"/>
        </w:rPr>
        <w:t xml:space="preserve">Level of Digital Competence Among Teacher Educators </w:t>
      </w:r>
    </w:p>
    <w:p w14:paraId="6BD54769" w14:textId="16135A04" w:rsidR="008A20E5" w:rsidRPr="00622066" w:rsidRDefault="00BB2F60" w:rsidP="00606D86">
      <w:pPr>
        <w:pStyle w:val="ListParagraph"/>
        <w:tabs>
          <w:tab w:val="left" w:pos="270"/>
        </w:tabs>
        <w:spacing w:line="360" w:lineRule="auto"/>
        <w:ind w:left="450"/>
        <w:jc w:val="both"/>
        <w:rPr>
          <w:rFonts w:ascii="Times New Roman" w:hAnsi="Times New Roman" w:cs="Times New Roman"/>
          <w:b/>
          <w:bCs/>
          <w:sz w:val="24"/>
          <w:szCs w:val="24"/>
        </w:rPr>
      </w:pPr>
      <w:r>
        <w:rPr>
          <w:rFonts w:ascii="Times New Roman" w:hAnsi="Times New Roman" w:cs="Times New Roman"/>
          <w:sz w:val="24"/>
          <w:szCs w:val="24"/>
        </w:rPr>
        <w:tab/>
      </w:r>
      <w:r w:rsidR="008A20E5" w:rsidRPr="00622066">
        <w:rPr>
          <w:rFonts w:ascii="Times New Roman" w:hAnsi="Times New Roman" w:cs="Times New Roman"/>
          <w:sz w:val="24"/>
          <w:szCs w:val="24"/>
        </w:rPr>
        <w:t>In the present study, digital competence was measured to assess the levels among</w:t>
      </w:r>
      <w:r>
        <w:rPr>
          <w:rFonts w:ascii="Times New Roman" w:hAnsi="Times New Roman" w:cs="Times New Roman"/>
          <w:sz w:val="24"/>
          <w:szCs w:val="24"/>
        </w:rPr>
        <w:t xml:space="preserve"> </w:t>
      </w:r>
      <w:r w:rsidR="008A20E5" w:rsidRPr="00622066">
        <w:rPr>
          <w:rFonts w:ascii="Times New Roman" w:hAnsi="Times New Roman" w:cs="Times New Roman"/>
          <w:sz w:val="24"/>
          <w:szCs w:val="24"/>
        </w:rPr>
        <w:t xml:space="preserve">teacher educators. </w:t>
      </w:r>
      <w:r w:rsidR="00D41E67" w:rsidRPr="00622066">
        <w:rPr>
          <w:rFonts w:ascii="Times New Roman" w:hAnsi="Times New Roman" w:cs="Times New Roman"/>
          <w:sz w:val="24"/>
          <w:szCs w:val="24"/>
        </w:rPr>
        <w:t>T</w:t>
      </w:r>
      <w:r w:rsidR="008A20E5" w:rsidRPr="00622066">
        <w:rPr>
          <w:rFonts w:ascii="Times New Roman" w:hAnsi="Times New Roman" w:cs="Times New Roman"/>
          <w:sz w:val="24"/>
          <w:szCs w:val="24"/>
        </w:rPr>
        <w:t xml:space="preserve">he </w:t>
      </w:r>
      <w:r w:rsidR="00B34AC1" w:rsidRPr="00622066">
        <w:rPr>
          <w:rFonts w:ascii="Times New Roman" w:hAnsi="Times New Roman" w:cs="Times New Roman"/>
          <w:sz w:val="24"/>
          <w:szCs w:val="24"/>
        </w:rPr>
        <w:t xml:space="preserve">mean and standard deviation were </w:t>
      </w:r>
      <w:r w:rsidR="008A20E5" w:rsidRPr="00622066">
        <w:rPr>
          <w:rFonts w:ascii="Times New Roman" w:hAnsi="Times New Roman" w:cs="Times New Roman"/>
          <w:sz w:val="24"/>
          <w:szCs w:val="24"/>
        </w:rPr>
        <w:t>calculated using SPSS-2</w:t>
      </w:r>
      <w:r w:rsidR="00550C67">
        <w:rPr>
          <w:rFonts w:ascii="Times New Roman" w:hAnsi="Times New Roman" w:cs="Times New Roman"/>
          <w:sz w:val="24"/>
          <w:szCs w:val="24"/>
        </w:rPr>
        <w:t>2</w:t>
      </w:r>
      <w:r w:rsidR="00D41E67" w:rsidRPr="00622066">
        <w:rPr>
          <w:rFonts w:ascii="Times New Roman" w:hAnsi="Times New Roman" w:cs="Times New Roman"/>
          <w:sz w:val="24"/>
          <w:szCs w:val="24"/>
        </w:rPr>
        <w:t xml:space="preserve"> to analyse the digital competence level,</w:t>
      </w:r>
      <w:r w:rsidR="008A20E5" w:rsidRPr="00622066">
        <w:rPr>
          <w:rFonts w:ascii="Times New Roman" w:hAnsi="Times New Roman" w:cs="Times New Roman"/>
          <w:sz w:val="24"/>
          <w:szCs w:val="24"/>
        </w:rPr>
        <w:t xml:space="preserve"> and the results are given in </w:t>
      </w:r>
      <w:r w:rsidR="008C5F1C" w:rsidRPr="00622066">
        <w:rPr>
          <w:rFonts w:ascii="Times New Roman" w:hAnsi="Times New Roman" w:cs="Times New Roman"/>
          <w:sz w:val="24"/>
          <w:szCs w:val="24"/>
        </w:rPr>
        <w:t>Table 1</w:t>
      </w:r>
      <w:r w:rsidR="008A20E5" w:rsidRPr="00622066">
        <w:rPr>
          <w:rFonts w:ascii="Times New Roman" w:hAnsi="Times New Roman" w:cs="Times New Roman"/>
          <w:sz w:val="24"/>
          <w:szCs w:val="24"/>
        </w:rPr>
        <w:t>.</w:t>
      </w:r>
    </w:p>
    <w:p w14:paraId="238D4AFA" w14:textId="1C581EC0" w:rsidR="008C5F1C" w:rsidRPr="00622066" w:rsidRDefault="008C5F1C" w:rsidP="00246161">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Table 1</w:t>
      </w:r>
      <w:r w:rsidR="00D51B17" w:rsidRPr="00622066">
        <w:rPr>
          <w:rFonts w:ascii="Times New Roman" w:hAnsi="Times New Roman" w:cs="Times New Roman"/>
          <w:b/>
          <w:bCs/>
          <w:sz w:val="24"/>
          <w:szCs w:val="24"/>
        </w:rPr>
        <w:t>:</w:t>
      </w:r>
      <w:r w:rsidRPr="00622066">
        <w:rPr>
          <w:rFonts w:ascii="Times New Roman" w:hAnsi="Times New Roman" w:cs="Times New Roman"/>
          <w:b/>
          <w:bCs/>
          <w:sz w:val="24"/>
          <w:szCs w:val="24"/>
        </w:rPr>
        <w:t xml:space="preserve"> Descriptive Statistics of Digital Competence among </w:t>
      </w:r>
      <w:r w:rsidR="009E2A9B" w:rsidRPr="00622066">
        <w:rPr>
          <w:rFonts w:ascii="Times New Roman" w:hAnsi="Times New Roman" w:cs="Times New Roman"/>
          <w:b/>
          <w:bCs/>
          <w:sz w:val="24"/>
          <w:szCs w:val="24"/>
        </w:rPr>
        <w:t>Teacher Educators</w:t>
      </w:r>
    </w:p>
    <w:tbl>
      <w:tblPr>
        <w:tblStyle w:val="TableGrid"/>
        <w:tblW w:w="9175" w:type="dxa"/>
        <w:tblBorders>
          <w:left w:val="none" w:sz="0" w:space="0" w:color="auto"/>
          <w:right w:val="none" w:sz="0" w:space="0" w:color="auto"/>
          <w:insideV w:val="none" w:sz="0" w:space="0" w:color="auto"/>
        </w:tblBorders>
        <w:tblLook w:val="04A0" w:firstRow="1" w:lastRow="0" w:firstColumn="1" w:lastColumn="0" w:noHBand="0" w:noVBand="1"/>
      </w:tblPr>
      <w:tblGrid>
        <w:gridCol w:w="1483"/>
        <w:gridCol w:w="576"/>
        <w:gridCol w:w="1243"/>
        <w:gridCol w:w="1283"/>
        <w:gridCol w:w="1116"/>
        <w:gridCol w:w="1203"/>
        <w:gridCol w:w="1243"/>
        <w:gridCol w:w="1283"/>
      </w:tblGrid>
      <w:tr w:rsidR="008C5F1C" w:rsidRPr="00622066" w14:paraId="549D7148" w14:textId="77777777" w:rsidTr="000E086A">
        <w:trPr>
          <w:trHeight w:val="827"/>
        </w:trPr>
        <w:tc>
          <w:tcPr>
            <w:tcW w:w="1483" w:type="dxa"/>
            <w:vMerge w:val="restart"/>
          </w:tcPr>
          <w:p w14:paraId="7E8210A3" w14:textId="77777777" w:rsidR="008C5F1C" w:rsidRPr="00622066" w:rsidRDefault="008C5F1C" w:rsidP="00792FC9">
            <w:pPr>
              <w:jc w:val="both"/>
              <w:rPr>
                <w:rFonts w:ascii="Times New Roman" w:hAnsi="Times New Roman" w:cs="Times New Roman"/>
                <w:b/>
                <w:bCs/>
                <w:sz w:val="24"/>
                <w:szCs w:val="24"/>
              </w:rPr>
            </w:pPr>
          </w:p>
          <w:p w14:paraId="5EC549C7"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Digital</w:t>
            </w:r>
          </w:p>
          <w:p w14:paraId="51AC4E34"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Competence</w:t>
            </w:r>
          </w:p>
        </w:tc>
        <w:tc>
          <w:tcPr>
            <w:tcW w:w="456" w:type="dxa"/>
          </w:tcPr>
          <w:p w14:paraId="5A4104D8" w14:textId="77777777" w:rsidR="008C5F1C" w:rsidRPr="00622066" w:rsidRDefault="008C5F1C" w:rsidP="00792FC9">
            <w:pPr>
              <w:jc w:val="both"/>
              <w:rPr>
                <w:rFonts w:ascii="Times New Roman" w:hAnsi="Times New Roman" w:cs="Times New Roman"/>
                <w:b/>
                <w:bCs/>
                <w:sz w:val="24"/>
                <w:szCs w:val="24"/>
              </w:rPr>
            </w:pPr>
          </w:p>
          <w:p w14:paraId="0B63B826"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N</w:t>
            </w:r>
          </w:p>
        </w:tc>
        <w:tc>
          <w:tcPr>
            <w:tcW w:w="1243" w:type="dxa"/>
          </w:tcPr>
          <w:p w14:paraId="0B9C4FF1"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Minimum</w:t>
            </w:r>
          </w:p>
          <w:p w14:paraId="06B384A1"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Possible </w:t>
            </w:r>
          </w:p>
          <w:p w14:paraId="2FF3D12E"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Score</w:t>
            </w:r>
          </w:p>
        </w:tc>
        <w:tc>
          <w:tcPr>
            <w:tcW w:w="1283" w:type="dxa"/>
          </w:tcPr>
          <w:p w14:paraId="37ACB07F"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Maximum</w:t>
            </w:r>
          </w:p>
          <w:p w14:paraId="76FBC95B"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Possible </w:t>
            </w:r>
          </w:p>
          <w:p w14:paraId="3468A45E"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Score</w:t>
            </w:r>
          </w:p>
        </w:tc>
        <w:tc>
          <w:tcPr>
            <w:tcW w:w="1116" w:type="dxa"/>
          </w:tcPr>
          <w:p w14:paraId="2D766AD0" w14:textId="77777777" w:rsidR="008C5F1C" w:rsidRPr="00622066" w:rsidRDefault="008C5F1C" w:rsidP="00792FC9">
            <w:pPr>
              <w:jc w:val="both"/>
              <w:rPr>
                <w:rFonts w:ascii="Times New Roman" w:hAnsi="Times New Roman" w:cs="Times New Roman"/>
                <w:b/>
                <w:bCs/>
                <w:sz w:val="24"/>
                <w:szCs w:val="24"/>
              </w:rPr>
            </w:pPr>
          </w:p>
          <w:p w14:paraId="32EC7E09"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  Mean</w:t>
            </w:r>
          </w:p>
        </w:tc>
        <w:tc>
          <w:tcPr>
            <w:tcW w:w="1203" w:type="dxa"/>
          </w:tcPr>
          <w:p w14:paraId="35ABFC42"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Standard</w:t>
            </w:r>
          </w:p>
          <w:p w14:paraId="21F9336A"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Deviation</w:t>
            </w:r>
          </w:p>
        </w:tc>
        <w:tc>
          <w:tcPr>
            <w:tcW w:w="1243" w:type="dxa"/>
          </w:tcPr>
          <w:p w14:paraId="70362F43"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Minimum</w:t>
            </w:r>
          </w:p>
          <w:p w14:paraId="69C021A9"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Obtain</w:t>
            </w:r>
          </w:p>
          <w:p w14:paraId="0AD84835"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Score</w:t>
            </w:r>
          </w:p>
        </w:tc>
        <w:tc>
          <w:tcPr>
            <w:tcW w:w="1148" w:type="dxa"/>
          </w:tcPr>
          <w:p w14:paraId="2656DDBE"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Maximum</w:t>
            </w:r>
          </w:p>
          <w:p w14:paraId="6D85763F"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Obtain </w:t>
            </w:r>
          </w:p>
          <w:p w14:paraId="34163FE1" w14:textId="77777777" w:rsidR="008C5F1C" w:rsidRPr="00622066" w:rsidRDefault="008C5F1C" w:rsidP="00792FC9">
            <w:pPr>
              <w:jc w:val="both"/>
              <w:rPr>
                <w:rFonts w:ascii="Times New Roman" w:hAnsi="Times New Roman" w:cs="Times New Roman"/>
                <w:b/>
                <w:bCs/>
                <w:sz w:val="24"/>
                <w:szCs w:val="24"/>
              </w:rPr>
            </w:pPr>
            <w:r w:rsidRPr="00622066">
              <w:rPr>
                <w:rFonts w:ascii="Times New Roman" w:hAnsi="Times New Roman" w:cs="Times New Roman"/>
                <w:b/>
                <w:bCs/>
                <w:sz w:val="24"/>
                <w:szCs w:val="24"/>
              </w:rPr>
              <w:t>Score</w:t>
            </w:r>
          </w:p>
        </w:tc>
      </w:tr>
      <w:tr w:rsidR="008C5F1C" w:rsidRPr="00622066" w14:paraId="3E6DD365" w14:textId="77777777" w:rsidTr="000E086A">
        <w:trPr>
          <w:trHeight w:val="150"/>
        </w:trPr>
        <w:tc>
          <w:tcPr>
            <w:tcW w:w="1483" w:type="dxa"/>
            <w:vMerge/>
          </w:tcPr>
          <w:p w14:paraId="370FA921" w14:textId="77777777" w:rsidR="008C5F1C" w:rsidRPr="00622066" w:rsidRDefault="008C5F1C" w:rsidP="00792FC9">
            <w:pPr>
              <w:jc w:val="both"/>
              <w:rPr>
                <w:rFonts w:ascii="Times New Roman" w:hAnsi="Times New Roman" w:cs="Times New Roman"/>
                <w:b/>
                <w:bCs/>
                <w:sz w:val="24"/>
                <w:szCs w:val="24"/>
              </w:rPr>
            </w:pPr>
          </w:p>
        </w:tc>
        <w:tc>
          <w:tcPr>
            <w:tcW w:w="456" w:type="dxa"/>
          </w:tcPr>
          <w:p w14:paraId="6ED825E3" w14:textId="5137136D" w:rsidR="008C5F1C" w:rsidRPr="00622066" w:rsidRDefault="0088554B" w:rsidP="00792FC9">
            <w:pPr>
              <w:jc w:val="both"/>
              <w:rPr>
                <w:rFonts w:ascii="Times New Roman" w:hAnsi="Times New Roman" w:cs="Times New Roman"/>
                <w:sz w:val="24"/>
                <w:szCs w:val="24"/>
              </w:rPr>
            </w:pPr>
            <w:r>
              <w:rPr>
                <w:rFonts w:ascii="Times New Roman" w:hAnsi="Times New Roman" w:cs="Times New Roman"/>
                <w:sz w:val="24"/>
                <w:szCs w:val="24"/>
              </w:rPr>
              <w:t>10</w:t>
            </w:r>
            <w:r w:rsidR="008C5F1C" w:rsidRPr="00622066">
              <w:rPr>
                <w:rFonts w:ascii="Times New Roman" w:hAnsi="Times New Roman" w:cs="Times New Roman"/>
                <w:sz w:val="24"/>
                <w:szCs w:val="24"/>
              </w:rPr>
              <w:t>0</w:t>
            </w:r>
          </w:p>
        </w:tc>
        <w:tc>
          <w:tcPr>
            <w:tcW w:w="1243" w:type="dxa"/>
          </w:tcPr>
          <w:p w14:paraId="75325991"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60</w:t>
            </w:r>
          </w:p>
        </w:tc>
        <w:tc>
          <w:tcPr>
            <w:tcW w:w="1283" w:type="dxa"/>
          </w:tcPr>
          <w:p w14:paraId="27A3034B"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300</w:t>
            </w:r>
          </w:p>
        </w:tc>
        <w:tc>
          <w:tcPr>
            <w:tcW w:w="1116" w:type="dxa"/>
          </w:tcPr>
          <w:p w14:paraId="33C21236"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186.0200</w:t>
            </w:r>
          </w:p>
        </w:tc>
        <w:tc>
          <w:tcPr>
            <w:tcW w:w="1203" w:type="dxa"/>
          </w:tcPr>
          <w:p w14:paraId="374183C6" w14:textId="6963A668" w:rsidR="008C5F1C" w:rsidRPr="00622066" w:rsidRDefault="006E3234" w:rsidP="00792FC9">
            <w:pPr>
              <w:jc w:val="both"/>
              <w:rPr>
                <w:rFonts w:ascii="Times New Roman" w:hAnsi="Times New Roman" w:cs="Times New Roman"/>
                <w:sz w:val="24"/>
                <w:szCs w:val="24"/>
              </w:rPr>
            </w:pPr>
            <w:r w:rsidRPr="00622066">
              <w:rPr>
                <w:rFonts w:ascii="Times New Roman" w:hAnsi="Times New Roman" w:cs="Times New Roman"/>
                <w:sz w:val="24"/>
                <w:szCs w:val="24"/>
              </w:rPr>
              <w:t>29.1408</w:t>
            </w:r>
          </w:p>
        </w:tc>
        <w:tc>
          <w:tcPr>
            <w:tcW w:w="1243" w:type="dxa"/>
          </w:tcPr>
          <w:p w14:paraId="67691AD2"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61</w:t>
            </w:r>
          </w:p>
        </w:tc>
        <w:tc>
          <w:tcPr>
            <w:tcW w:w="1148" w:type="dxa"/>
          </w:tcPr>
          <w:p w14:paraId="4636C69A" w14:textId="77777777" w:rsidR="008C5F1C" w:rsidRPr="00622066" w:rsidRDefault="008C5F1C" w:rsidP="00792FC9">
            <w:pPr>
              <w:jc w:val="both"/>
              <w:rPr>
                <w:rFonts w:ascii="Times New Roman" w:hAnsi="Times New Roman" w:cs="Times New Roman"/>
                <w:sz w:val="24"/>
                <w:szCs w:val="24"/>
              </w:rPr>
            </w:pPr>
            <w:r w:rsidRPr="00622066">
              <w:rPr>
                <w:rFonts w:ascii="Times New Roman" w:hAnsi="Times New Roman" w:cs="Times New Roman"/>
                <w:sz w:val="24"/>
                <w:szCs w:val="24"/>
              </w:rPr>
              <w:t>295</w:t>
            </w:r>
          </w:p>
        </w:tc>
      </w:tr>
    </w:tbl>
    <w:p w14:paraId="2FC9DF7A" w14:textId="77777777" w:rsidR="00792FC9" w:rsidRPr="00622066" w:rsidRDefault="00792FC9" w:rsidP="008C5F1C">
      <w:pPr>
        <w:spacing w:line="360" w:lineRule="auto"/>
        <w:jc w:val="both"/>
        <w:rPr>
          <w:rFonts w:ascii="Times New Roman" w:hAnsi="Times New Roman" w:cs="Times New Roman"/>
          <w:sz w:val="24"/>
          <w:szCs w:val="24"/>
        </w:rPr>
      </w:pPr>
    </w:p>
    <w:p w14:paraId="6A756E04" w14:textId="5CFF91E8" w:rsidR="00C5542F" w:rsidRPr="00622066" w:rsidRDefault="00C5542F"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From Table 1, the results revealed that the digital competence scores among teacher educators ranged from 61 to 295. These scores represent the lowest and highest levels of digital competence reported by the respondents, which indicate a wide variation in their digital preparedness. The mean score of 186.02 suggests that, on average, teacher educators demonstrate a moderate to high level of digital competence</w:t>
      </w:r>
      <w:r w:rsidR="00C46133" w:rsidRPr="00622066">
        <w:rPr>
          <w:rFonts w:ascii="Times New Roman" w:hAnsi="Times New Roman" w:cs="Times New Roman"/>
          <w:sz w:val="24"/>
          <w:szCs w:val="24"/>
        </w:rPr>
        <w:t xml:space="preserve">. However, the S.D. is </w:t>
      </w:r>
      <w:r w:rsidR="006E3234" w:rsidRPr="00622066">
        <w:rPr>
          <w:rFonts w:ascii="Times New Roman" w:hAnsi="Times New Roman" w:cs="Times New Roman"/>
          <w:sz w:val="24"/>
          <w:szCs w:val="24"/>
        </w:rPr>
        <w:t>29.1408</w:t>
      </w:r>
      <w:r w:rsidR="00C46133" w:rsidRPr="00622066">
        <w:rPr>
          <w:rFonts w:ascii="Times New Roman" w:hAnsi="Times New Roman" w:cs="Times New Roman"/>
          <w:sz w:val="24"/>
          <w:szCs w:val="24"/>
        </w:rPr>
        <w:t xml:space="preserve">, which indicates a high degree of variability in digital competence among the </w:t>
      </w:r>
      <w:r w:rsidR="00E35A8E" w:rsidRPr="00622066">
        <w:rPr>
          <w:rFonts w:ascii="Times New Roman" w:hAnsi="Times New Roman" w:cs="Times New Roman"/>
          <w:sz w:val="24"/>
          <w:szCs w:val="24"/>
        </w:rPr>
        <w:t>teacher educators</w:t>
      </w:r>
      <w:r w:rsidR="00C46133" w:rsidRPr="00622066">
        <w:rPr>
          <w:rFonts w:ascii="Times New Roman" w:hAnsi="Times New Roman" w:cs="Times New Roman"/>
          <w:sz w:val="24"/>
          <w:szCs w:val="24"/>
        </w:rPr>
        <w:t>. While some educators exhibit strong digital skills, others may still struggle with digital tools and integration in teaching. Overall, the findings suggest that many teacher educators are digitally competent</w:t>
      </w:r>
      <w:r w:rsidR="001628F4" w:rsidRPr="00622066">
        <w:rPr>
          <w:rFonts w:ascii="Times New Roman" w:hAnsi="Times New Roman" w:cs="Times New Roman"/>
          <w:sz w:val="24"/>
          <w:szCs w:val="24"/>
        </w:rPr>
        <w:t>.</w:t>
      </w:r>
    </w:p>
    <w:p w14:paraId="034F77D2" w14:textId="34604480" w:rsidR="008C5F1C" w:rsidRPr="00622066" w:rsidRDefault="008C5F1C" w:rsidP="00D24BE4">
      <w:pPr>
        <w:pStyle w:val="ListParagraph"/>
        <w:numPr>
          <w:ilvl w:val="0"/>
          <w:numId w:val="4"/>
        </w:numPr>
        <w:tabs>
          <w:tab w:val="left" w:pos="630"/>
          <w:tab w:val="left" w:pos="720"/>
        </w:tabs>
        <w:spacing w:line="360" w:lineRule="auto"/>
        <w:ind w:left="450" w:hanging="450"/>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The </w:t>
      </w:r>
      <w:r w:rsidR="00246161" w:rsidRPr="00622066">
        <w:rPr>
          <w:rFonts w:ascii="Times New Roman" w:hAnsi="Times New Roman" w:cs="Times New Roman"/>
          <w:b/>
          <w:bCs/>
          <w:sz w:val="24"/>
          <w:szCs w:val="24"/>
        </w:rPr>
        <w:t xml:space="preserve">Relationship Between Digital Competence and Continuous Professional Development </w:t>
      </w:r>
      <w:r w:rsidR="00D51B17" w:rsidRPr="00622066">
        <w:rPr>
          <w:rFonts w:ascii="Times New Roman" w:hAnsi="Times New Roman" w:cs="Times New Roman"/>
          <w:b/>
          <w:bCs/>
          <w:sz w:val="24"/>
          <w:szCs w:val="24"/>
        </w:rPr>
        <w:t>o</w:t>
      </w:r>
      <w:r w:rsidR="00246161" w:rsidRPr="00622066">
        <w:rPr>
          <w:rFonts w:ascii="Times New Roman" w:hAnsi="Times New Roman" w:cs="Times New Roman"/>
          <w:b/>
          <w:bCs/>
          <w:sz w:val="24"/>
          <w:szCs w:val="24"/>
        </w:rPr>
        <w:t>f Teacher Educators.</w:t>
      </w:r>
    </w:p>
    <w:p w14:paraId="1AB46378" w14:textId="4582F6BD" w:rsidR="008C5F1C" w:rsidRPr="00622066" w:rsidRDefault="00A33662" w:rsidP="00BB2F60">
      <w:pPr>
        <w:spacing w:line="360" w:lineRule="auto"/>
        <w:ind w:firstLine="450"/>
        <w:jc w:val="both"/>
        <w:rPr>
          <w:rFonts w:ascii="Times New Roman" w:hAnsi="Times New Roman" w:cs="Times New Roman"/>
          <w:sz w:val="24"/>
          <w:szCs w:val="24"/>
        </w:rPr>
      </w:pPr>
      <w:r w:rsidRPr="00622066">
        <w:rPr>
          <w:rFonts w:ascii="Times New Roman" w:hAnsi="Times New Roman" w:cs="Times New Roman"/>
          <w:sz w:val="24"/>
          <w:szCs w:val="24"/>
        </w:rPr>
        <w:t xml:space="preserve">The objective was to </w:t>
      </w:r>
      <w:r w:rsidR="00573C6F" w:rsidRPr="00622066">
        <w:rPr>
          <w:rFonts w:ascii="Times New Roman" w:hAnsi="Times New Roman" w:cs="Times New Roman"/>
          <w:sz w:val="24"/>
          <w:szCs w:val="24"/>
        </w:rPr>
        <w:t>study the correlation</w:t>
      </w:r>
      <w:r w:rsidRPr="00622066">
        <w:rPr>
          <w:rFonts w:ascii="Times New Roman" w:hAnsi="Times New Roman" w:cs="Times New Roman"/>
          <w:sz w:val="24"/>
          <w:szCs w:val="24"/>
        </w:rPr>
        <w:t xml:space="preserve"> between digital competence and continuous professional development of teacher educators. </w:t>
      </w:r>
      <w:r w:rsidR="00573C6F" w:rsidRPr="00622066">
        <w:rPr>
          <w:rFonts w:ascii="Times New Roman" w:hAnsi="Times New Roman" w:cs="Times New Roman"/>
          <w:sz w:val="24"/>
          <w:szCs w:val="24"/>
        </w:rPr>
        <w:t xml:space="preserve">The data were analysed with the help of </w:t>
      </w:r>
      <w:r w:rsidR="008C5F1C" w:rsidRPr="00622066">
        <w:rPr>
          <w:rFonts w:ascii="Times New Roman" w:hAnsi="Times New Roman" w:cs="Times New Roman"/>
          <w:sz w:val="24"/>
          <w:szCs w:val="24"/>
        </w:rPr>
        <w:t xml:space="preserve">Pearson’s product-moment </w:t>
      </w:r>
      <w:r w:rsidRPr="00622066">
        <w:rPr>
          <w:rFonts w:ascii="Times New Roman" w:hAnsi="Times New Roman" w:cs="Times New Roman"/>
          <w:sz w:val="24"/>
          <w:szCs w:val="24"/>
        </w:rPr>
        <w:t>using SPSS-2</w:t>
      </w:r>
      <w:r w:rsidR="000E086A">
        <w:rPr>
          <w:rFonts w:ascii="Times New Roman" w:hAnsi="Times New Roman" w:cs="Times New Roman"/>
          <w:sz w:val="24"/>
          <w:szCs w:val="24"/>
        </w:rPr>
        <w:t>2</w:t>
      </w:r>
      <w:r w:rsidR="00573C6F" w:rsidRPr="00622066">
        <w:rPr>
          <w:rFonts w:ascii="Times New Roman" w:hAnsi="Times New Roman" w:cs="Times New Roman"/>
          <w:sz w:val="24"/>
          <w:szCs w:val="24"/>
        </w:rPr>
        <w:t>,</w:t>
      </w:r>
      <w:r w:rsidR="008C5F1C" w:rsidRPr="00622066">
        <w:rPr>
          <w:rFonts w:ascii="Times New Roman" w:hAnsi="Times New Roman" w:cs="Times New Roman"/>
          <w:sz w:val="24"/>
          <w:szCs w:val="24"/>
        </w:rPr>
        <w:t xml:space="preserve"> </w:t>
      </w:r>
      <w:r w:rsidRPr="00622066">
        <w:rPr>
          <w:rFonts w:ascii="Times New Roman" w:hAnsi="Times New Roman" w:cs="Times New Roman"/>
          <w:sz w:val="24"/>
          <w:szCs w:val="24"/>
        </w:rPr>
        <w:t>and the results are given in Table 2.</w:t>
      </w:r>
    </w:p>
    <w:p w14:paraId="1558C492" w14:textId="6FDEAE76"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b/>
          <w:bCs/>
          <w:sz w:val="24"/>
          <w:szCs w:val="24"/>
        </w:rPr>
        <w:t xml:space="preserve">Table </w:t>
      </w:r>
      <w:r w:rsidR="00F920F0" w:rsidRPr="00622066">
        <w:rPr>
          <w:rFonts w:ascii="Times New Roman" w:hAnsi="Times New Roman" w:cs="Times New Roman"/>
          <w:b/>
          <w:bCs/>
          <w:sz w:val="24"/>
          <w:szCs w:val="24"/>
        </w:rPr>
        <w:t>2</w:t>
      </w:r>
      <w:r w:rsidR="00D51B17" w:rsidRPr="00622066">
        <w:rPr>
          <w:rFonts w:ascii="Times New Roman" w:hAnsi="Times New Roman" w:cs="Times New Roman"/>
          <w:b/>
          <w:bCs/>
          <w:sz w:val="24"/>
          <w:szCs w:val="24"/>
        </w:rPr>
        <w:t>:</w:t>
      </w:r>
      <w:r w:rsidRPr="00622066">
        <w:rPr>
          <w:rFonts w:ascii="Times New Roman" w:hAnsi="Times New Roman" w:cs="Times New Roman"/>
          <w:b/>
          <w:bCs/>
          <w:sz w:val="24"/>
          <w:szCs w:val="24"/>
        </w:rPr>
        <w:t xml:space="preserve"> </w:t>
      </w:r>
      <w:r w:rsidR="00FC7B70" w:rsidRPr="00622066">
        <w:rPr>
          <w:rFonts w:ascii="Times New Roman" w:hAnsi="Times New Roman" w:cs="Times New Roman"/>
          <w:b/>
          <w:bCs/>
          <w:sz w:val="24"/>
          <w:szCs w:val="24"/>
        </w:rPr>
        <w:t>Correlation</w:t>
      </w:r>
      <w:r w:rsidR="00D664DC" w:rsidRPr="00622066">
        <w:rPr>
          <w:rFonts w:ascii="Times New Roman" w:hAnsi="Times New Roman" w:cs="Times New Roman"/>
          <w:b/>
          <w:bCs/>
          <w:sz w:val="24"/>
          <w:szCs w:val="24"/>
        </w:rPr>
        <w:t xml:space="preserve"> between </w:t>
      </w:r>
      <w:r w:rsidRPr="00622066">
        <w:rPr>
          <w:rFonts w:ascii="Times New Roman" w:hAnsi="Times New Roman" w:cs="Times New Roman"/>
          <w:b/>
          <w:bCs/>
          <w:sz w:val="24"/>
          <w:szCs w:val="24"/>
        </w:rPr>
        <w:t>Digital Competence and Continuous Professional Development of Teacher Educators</w:t>
      </w:r>
    </w:p>
    <w:tbl>
      <w:tblPr>
        <w:tblStyle w:val="TableGrid"/>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1564"/>
        <w:gridCol w:w="829"/>
        <w:gridCol w:w="1271"/>
        <w:gridCol w:w="1133"/>
        <w:gridCol w:w="760"/>
        <w:gridCol w:w="1030"/>
        <w:gridCol w:w="2339"/>
      </w:tblGrid>
      <w:tr w:rsidR="008C5F1C" w:rsidRPr="00622066" w14:paraId="2921C4E4" w14:textId="77777777" w:rsidTr="000E086A">
        <w:tc>
          <w:tcPr>
            <w:tcW w:w="1564" w:type="dxa"/>
            <w:vMerge w:val="restart"/>
            <w:vAlign w:val="center"/>
          </w:tcPr>
          <w:p w14:paraId="0979D495"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Digital</w:t>
            </w:r>
          </w:p>
          <w:p w14:paraId="21DD0CCE"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Competence</w:t>
            </w:r>
          </w:p>
        </w:tc>
        <w:tc>
          <w:tcPr>
            <w:tcW w:w="829" w:type="dxa"/>
            <w:vAlign w:val="center"/>
          </w:tcPr>
          <w:p w14:paraId="384108E9"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N</w:t>
            </w:r>
          </w:p>
        </w:tc>
        <w:tc>
          <w:tcPr>
            <w:tcW w:w="1271" w:type="dxa"/>
            <w:vAlign w:val="center"/>
          </w:tcPr>
          <w:p w14:paraId="31FFB6D3"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Mean</w:t>
            </w:r>
          </w:p>
        </w:tc>
        <w:tc>
          <w:tcPr>
            <w:tcW w:w="1133" w:type="dxa"/>
            <w:vAlign w:val="center"/>
          </w:tcPr>
          <w:p w14:paraId="3A1590DF"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SD</w:t>
            </w:r>
          </w:p>
        </w:tc>
        <w:tc>
          <w:tcPr>
            <w:tcW w:w="760" w:type="dxa"/>
            <w:vAlign w:val="center"/>
          </w:tcPr>
          <w:p w14:paraId="68639B24"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w:t>
            </w:r>
          </w:p>
        </w:tc>
        <w:tc>
          <w:tcPr>
            <w:tcW w:w="1030" w:type="dxa"/>
            <w:vAlign w:val="center"/>
          </w:tcPr>
          <w:p w14:paraId="5043B601"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p-value</w:t>
            </w:r>
          </w:p>
        </w:tc>
        <w:tc>
          <w:tcPr>
            <w:tcW w:w="2339" w:type="dxa"/>
            <w:vAlign w:val="center"/>
          </w:tcPr>
          <w:p w14:paraId="50AA1CDA" w14:textId="77777777" w:rsidR="008C5F1C" w:rsidRPr="00622066" w:rsidRDefault="008C5F1C"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Remark</w:t>
            </w:r>
          </w:p>
        </w:tc>
      </w:tr>
      <w:tr w:rsidR="00E42D96" w:rsidRPr="00622066" w14:paraId="4658C80E" w14:textId="77777777" w:rsidTr="000E086A">
        <w:tc>
          <w:tcPr>
            <w:tcW w:w="1564" w:type="dxa"/>
            <w:vMerge/>
            <w:vAlign w:val="center"/>
          </w:tcPr>
          <w:p w14:paraId="0F8B35AC" w14:textId="77777777" w:rsidR="00E42D96" w:rsidRPr="00622066" w:rsidRDefault="00E42D96" w:rsidP="00E42D96">
            <w:pPr>
              <w:spacing w:line="360" w:lineRule="auto"/>
              <w:jc w:val="center"/>
              <w:rPr>
                <w:rFonts w:ascii="Times New Roman" w:hAnsi="Times New Roman" w:cs="Times New Roman"/>
                <w:b/>
                <w:bCs/>
                <w:sz w:val="24"/>
                <w:szCs w:val="24"/>
              </w:rPr>
            </w:pPr>
          </w:p>
        </w:tc>
        <w:tc>
          <w:tcPr>
            <w:tcW w:w="829" w:type="dxa"/>
            <w:vAlign w:val="center"/>
          </w:tcPr>
          <w:p w14:paraId="6A96CEF7" w14:textId="4D79C30C" w:rsidR="00E42D96" w:rsidRPr="00622066" w:rsidRDefault="008B5349" w:rsidP="00E42D9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E42D96" w:rsidRPr="00622066">
              <w:rPr>
                <w:rFonts w:ascii="Times New Roman" w:hAnsi="Times New Roman" w:cs="Times New Roman"/>
                <w:sz w:val="24"/>
                <w:szCs w:val="24"/>
              </w:rPr>
              <w:t>0</w:t>
            </w:r>
          </w:p>
        </w:tc>
        <w:tc>
          <w:tcPr>
            <w:tcW w:w="1271" w:type="dxa"/>
            <w:vAlign w:val="center"/>
          </w:tcPr>
          <w:p w14:paraId="368EBE83"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186.0200</w:t>
            </w:r>
          </w:p>
        </w:tc>
        <w:tc>
          <w:tcPr>
            <w:tcW w:w="1133" w:type="dxa"/>
            <w:vAlign w:val="center"/>
          </w:tcPr>
          <w:p w14:paraId="1D2F66D5" w14:textId="1E0EA264" w:rsidR="00E42D96" w:rsidRPr="00622066" w:rsidRDefault="00EF5C7A"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29.1408</w:t>
            </w:r>
          </w:p>
        </w:tc>
        <w:tc>
          <w:tcPr>
            <w:tcW w:w="760" w:type="dxa"/>
            <w:vMerge w:val="restart"/>
            <w:vAlign w:val="center"/>
          </w:tcPr>
          <w:p w14:paraId="3E88B88B"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0.942</w:t>
            </w:r>
          </w:p>
        </w:tc>
        <w:tc>
          <w:tcPr>
            <w:tcW w:w="1030" w:type="dxa"/>
            <w:vMerge w:val="restart"/>
            <w:vAlign w:val="center"/>
          </w:tcPr>
          <w:p w14:paraId="1E1C8B0F"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&lt;0.0001</w:t>
            </w:r>
          </w:p>
        </w:tc>
        <w:tc>
          <w:tcPr>
            <w:tcW w:w="2339" w:type="dxa"/>
            <w:vMerge w:val="restart"/>
            <w:vAlign w:val="center"/>
          </w:tcPr>
          <w:p w14:paraId="480F7AC4" w14:textId="13BE0393"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Highly Positive</w:t>
            </w:r>
          </w:p>
          <w:p w14:paraId="14E59383"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Correlation Exist</w:t>
            </w:r>
          </w:p>
        </w:tc>
      </w:tr>
      <w:tr w:rsidR="00E42D96" w:rsidRPr="00622066" w14:paraId="358002C5" w14:textId="4C38A742" w:rsidTr="000E086A">
        <w:tc>
          <w:tcPr>
            <w:tcW w:w="1564" w:type="dxa"/>
            <w:vAlign w:val="center"/>
          </w:tcPr>
          <w:p w14:paraId="56FF9528" w14:textId="77777777" w:rsidR="00E42D96" w:rsidRPr="00622066" w:rsidRDefault="00E42D96"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Continuous</w:t>
            </w:r>
          </w:p>
          <w:p w14:paraId="2609F1BB" w14:textId="7B9BC7AF" w:rsidR="00E42D96" w:rsidRPr="00622066" w:rsidRDefault="00E42D96"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lastRenderedPageBreak/>
              <w:t>Professional</w:t>
            </w:r>
          </w:p>
          <w:p w14:paraId="668B505F" w14:textId="77777777" w:rsidR="00E42D96" w:rsidRPr="00622066" w:rsidRDefault="00E42D96" w:rsidP="00E42D96">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Development</w:t>
            </w:r>
          </w:p>
        </w:tc>
        <w:tc>
          <w:tcPr>
            <w:tcW w:w="829" w:type="dxa"/>
            <w:vAlign w:val="center"/>
          </w:tcPr>
          <w:p w14:paraId="09974A9F" w14:textId="48892E47" w:rsidR="00E42D96" w:rsidRPr="00622066" w:rsidRDefault="008B5349" w:rsidP="00E42D9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r w:rsidR="00E42D96" w:rsidRPr="00622066">
              <w:rPr>
                <w:rFonts w:ascii="Times New Roman" w:hAnsi="Times New Roman" w:cs="Times New Roman"/>
                <w:sz w:val="24"/>
                <w:szCs w:val="24"/>
              </w:rPr>
              <w:t>0</w:t>
            </w:r>
          </w:p>
        </w:tc>
        <w:tc>
          <w:tcPr>
            <w:tcW w:w="1271" w:type="dxa"/>
            <w:vAlign w:val="center"/>
          </w:tcPr>
          <w:p w14:paraId="0C165DC7" w14:textId="77777777" w:rsidR="00E42D96" w:rsidRPr="00622066" w:rsidRDefault="00E42D96"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122.8600</w:t>
            </w:r>
          </w:p>
        </w:tc>
        <w:tc>
          <w:tcPr>
            <w:tcW w:w="1133" w:type="dxa"/>
            <w:vAlign w:val="center"/>
          </w:tcPr>
          <w:p w14:paraId="51184E9E" w14:textId="31CD3A61" w:rsidR="00E42D96" w:rsidRPr="00622066" w:rsidRDefault="00327EFB" w:rsidP="00E42D96">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19.5008</w:t>
            </w:r>
          </w:p>
        </w:tc>
        <w:tc>
          <w:tcPr>
            <w:tcW w:w="760" w:type="dxa"/>
            <w:vMerge/>
            <w:vAlign w:val="center"/>
          </w:tcPr>
          <w:p w14:paraId="2C8CED80" w14:textId="77777777" w:rsidR="00E42D96" w:rsidRPr="00622066" w:rsidRDefault="00E42D96" w:rsidP="00E42D96">
            <w:pPr>
              <w:spacing w:line="360" w:lineRule="auto"/>
              <w:jc w:val="center"/>
              <w:rPr>
                <w:rFonts w:ascii="Times New Roman" w:hAnsi="Times New Roman" w:cs="Times New Roman"/>
                <w:sz w:val="24"/>
                <w:szCs w:val="24"/>
              </w:rPr>
            </w:pPr>
          </w:p>
        </w:tc>
        <w:tc>
          <w:tcPr>
            <w:tcW w:w="1030" w:type="dxa"/>
            <w:vMerge/>
            <w:vAlign w:val="center"/>
          </w:tcPr>
          <w:p w14:paraId="38EC4428" w14:textId="77777777" w:rsidR="00E42D96" w:rsidRPr="00622066" w:rsidRDefault="00E42D96" w:rsidP="00E42D96">
            <w:pPr>
              <w:spacing w:line="360" w:lineRule="auto"/>
              <w:jc w:val="center"/>
              <w:rPr>
                <w:rFonts w:ascii="Times New Roman" w:hAnsi="Times New Roman" w:cs="Times New Roman"/>
                <w:sz w:val="24"/>
                <w:szCs w:val="24"/>
              </w:rPr>
            </w:pPr>
          </w:p>
        </w:tc>
        <w:tc>
          <w:tcPr>
            <w:tcW w:w="2339" w:type="dxa"/>
            <w:vMerge/>
            <w:vAlign w:val="center"/>
          </w:tcPr>
          <w:p w14:paraId="3475666B" w14:textId="77777777" w:rsidR="00E42D96" w:rsidRPr="00622066" w:rsidRDefault="00E42D96" w:rsidP="00E42D96">
            <w:pPr>
              <w:spacing w:line="360" w:lineRule="auto"/>
              <w:jc w:val="center"/>
              <w:rPr>
                <w:rFonts w:ascii="Times New Roman" w:hAnsi="Times New Roman" w:cs="Times New Roman"/>
                <w:sz w:val="24"/>
                <w:szCs w:val="24"/>
              </w:rPr>
            </w:pPr>
          </w:p>
        </w:tc>
      </w:tr>
    </w:tbl>
    <w:p w14:paraId="75534C85" w14:textId="77777777" w:rsidR="00A33662" w:rsidRPr="00622066" w:rsidRDefault="00A33662" w:rsidP="008C5F1C">
      <w:pPr>
        <w:spacing w:line="360" w:lineRule="auto"/>
        <w:jc w:val="both"/>
        <w:rPr>
          <w:rFonts w:ascii="Times New Roman" w:hAnsi="Times New Roman" w:cs="Times New Roman"/>
          <w:sz w:val="24"/>
          <w:szCs w:val="24"/>
        </w:rPr>
      </w:pPr>
    </w:p>
    <w:p w14:paraId="18F892FC" w14:textId="21C3BC7D" w:rsidR="00726F0A" w:rsidRPr="00622066" w:rsidRDefault="008C5F1C" w:rsidP="008C5F1C">
      <w:pPr>
        <w:spacing w:line="360" w:lineRule="auto"/>
        <w:jc w:val="both"/>
        <w:rPr>
          <w:rFonts w:ascii="Times New Roman" w:hAnsi="Times New Roman" w:cs="Times New Roman"/>
          <w:sz w:val="24"/>
          <w:szCs w:val="24"/>
        </w:rPr>
      </w:pPr>
      <w:bookmarkStart w:id="1" w:name="_Hlk196808594"/>
      <w:r w:rsidRPr="00622066">
        <w:rPr>
          <w:rFonts w:ascii="Times New Roman" w:hAnsi="Times New Roman" w:cs="Times New Roman"/>
          <w:sz w:val="24"/>
          <w:szCs w:val="24"/>
        </w:rPr>
        <w:t xml:space="preserve">Based on the data in </w:t>
      </w:r>
      <w:r w:rsidR="00A33662" w:rsidRPr="00622066">
        <w:rPr>
          <w:rFonts w:ascii="Times New Roman" w:hAnsi="Times New Roman" w:cs="Times New Roman"/>
          <w:sz w:val="24"/>
          <w:szCs w:val="24"/>
        </w:rPr>
        <w:t>Table</w:t>
      </w:r>
      <w:r w:rsidR="00F03353" w:rsidRPr="00622066">
        <w:rPr>
          <w:rFonts w:ascii="Times New Roman" w:hAnsi="Times New Roman" w:cs="Times New Roman"/>
          <w:sz w:val="24"/>
          <w:szCs w:val="24"/>
        </w:rPr>
        <w:t xml:space="preserve"> </w:t>
      </w:r>
      <w:r w:rsidR="00F920F0" w:rsidRPr="00622066">
        <w:rPr>
          <w:rFonts w:ascii="Times New Roman" w:hAnsi="Times New Roman" w:cs="Times New Roman"/>
          <w:sz w:val="24"/>
          <w:szCs w:val="24"/>
        </w:rPr>
        <w:t>2</w:t>
      </w:r>
      <w:r w:rsidRPr="00622066">
        <w:rPr>
          <w:rFonts w:ascii="Times New Roman" w:hAnsi="Times New Roman" w:cs="Times New Roman"/>
          <w:sz w:val="24"/>
          <w:szCs w:val="24"/>
        </w:rPr>
        <w:t xml:space="preserve">, it is evident that the correlation coefficient between Digital Competence and Continuous Professional Development among teacher educators is 0.942, </w:t>
      </w:r>
      <w:r w:rsidR="00FC7B70" w:rsidRPr="00622066">
        <w:rPr>
          <w:rFonts w:ascii="Times New Roman" w:hAnsi="Times New Roman" w:cs="Times New Roman"/>
          <w:sz w:val="24"/>
          <w:szCs w:val="24"/>
        </w:rPr>
        <w:t>which indicates</w:t>
      </w:r>
      <w:r w:rsidRPr="00622066">
        <w:rPr>
          <w:rFonts w:ascii="Times New Roman" w:hAnsi="Times New Roman" w:cs="Times New Roman"/>
          <w:sz w:val="24"/>
          <w:szCs w:val="24"/>
        </w:rPr>
        <w:t xml:space="preserve"> a positive and statistically significant </w:t>
      </w:r>
      <w:r w:rsidR="004856F9" w:rsidRPr="00622066">
        <w:rPr>
          <w:rFonts w:ascii="Times New Roman" w:hAnsi="Times New Roman" w:cs="Times New Roman"/>
          <w:sz w:val="24"/>
          <w:szCs w:val="24"/>
        </w:rPr>
        <w:t>correlation</w:t>
      </w:r>
      <w:r w:rsidR="00FC7B70" w:rsidRPr="00622066">
        <w:rPr>
          <w:rFonts w:ascii="Times New Roman" w:hAnsi="Times New Roman" w:cs="Times New Roman"/>
          <w:sz w:val="24"/>
          <w:szCs w:val="24"/>
        </w:rPr>
        <w:t xml:space="preserve"> </w:t>
      </w:r>
      <w:r w:rsidR="00F03353" w:rsidRPr="00622066">
        <w:rPr>
          <w:rFonts w:ascii="Times New Roman" w:hAnsi="Times New Roman" w:cs="Times New Roman"/>
          <w:sz w:val="24"/>
          <w:szCs w:val="24"/>
        </w:rPr>
        <w:t xml:space="preserve">with </w:t>
      </w:r>
      <w:r w:rsidR="00F80800">
        <w:rPr>
          <w:rFonts w:ascii="Times New Roman" w:hAnsi="Times New Roman" w:cs="Times New Roman"/>
          <w:sz w:val="24"/>
          <w:szCs w:val="24"/>
        </w:rPr>
        <w:t>9</w:t>
      </w:r>
      <w:r w:rsidR="00F03353" w:rsidRPr="00622066">
        <w:rPr>
          <w:rFonts w:ascii="Times New Roman" w:hAnsi="Times New Roman" w:cs="Times New Roman"/>
          <w:sz w:val="24"/>
          <w:szCs w:val="24"/>
        </w:rPr>
        <w:t>8 degrees of freedom</w:t>
      </w:r>
      <w:r w:rsidR="00FC7B70" w:rsidRPr="00622066">
        <w:rPr>
          <w:rFonts w:ascii="Times New Roman" w:hAnsi="Times New Roman" w:cs="Times New Roman"/>
          <w:sz w:val="24"/>
          <w:szCs w:val="24"/>
        </w:rPr>
        <w:t>.</w:t>
      </w:r>
      <w:r w:rsidRPr="00622066">
        <w:rPr>
          <w:rFonts w:ascii="Times New Roman" w:hAnsi="Times New Roman" w:cs="Times New Roman"/>
          <w:sz w:val="24"/>
          <w:szCs w:val="24"/>
        </w:rPr>
        <w:t xml:space="preserve"> </w:t>
      </w:r>
      <w:bookmarkEnd w:id="1"/>
      <w:r w:rsidR="006F24A7" w:rsidRPr="00622066">
        <w:rPr>
          <w:rFonts w:ascii="Times New Roman" w:hAnsi="Times New Roman" w:cs="Times New Roman"/>
          <w:sz w:val="24"/>
          <w:szCs w:val="24"/>
        </w:rPr>
        <w:t>T</w:t>
      </w:r>
      <w:r w:rsidR="00726F0A" w:rsidRPr="00622066">
        <w:rPr>
          <w:rFonts w:ascii="Times New Roman" w:hAnsi="Times New Roman" w:cs="Times New Roman"/>
          <w:sz w:val="24"/>
          <w:szCs w:val="24"/>
        </w:rPr>
        <w:t>hus</w:t>
      </w:r>
      <w:r w:rsidRPr="00622066">
        <w:rPr>
          <w:rFonts w:ascii="Times New Roman" w:hAnsi="Times New Roman" w:cs="Times New Roman"/>
          <w:sz w:val="24"/>
          <w:szCs w:val="24"/>
        </w:rPr>
        <w:t xml:space="preserve">, the null hypothesis, which proposed that there is no significant </w:t>
      </w:r>
      <w:r w:rsidR="00726F0A" w:rsidRPr="00622066">
        <w:rPr>
          <w:rFonts w:ascii="Times New Roman" w:hAnsi="Times New Roman" w:cs="Times New Roman"/>
          <w:sz w:val="24"/>
          <w:szCs w:val="24"/>
        </w:rPr>
        <w:t>correlation</w:t>
      </w:r>
      <w:r w:rsidRPr="00622066">
        <w:rPr>
          <w:rFonts w:ascii="Times New Roman" w:hAnsi="Times New Roman" w:cs="Times New Roman"/>
          <w:sz w:val="24"/>
          <w:szCs w:val="24"/>
        </w:rPr>
        <w:t xml:space="preserve"> between digital competence and continuous professional development of teacher educators, is rejected. It indicates that when teacher educators’ digital competence increases, on the other hand the continuous professional development of teacher educators also increases. </w:t>
      </w:r>
      <w:r w:rsidR="00726F0A" w:rsidRPr="00622066">
        <w:rPr>
          <w:rFonts w:ascii="Times New Roman" w:hAnsi="Times New Roman" w:cs="Times New Roman"/>
          <w:sz w:val="24"/>
          <w:szCs w:val="24"/>
        </w:rPr>
        <w:t>Overall, the results indicate a very strong statistically significant positive correlation between digital competence and continuous professional development among teacher educators.</w:t>
      </w:r>
    </w:p>
    <w:p w14:paraId="42BC31CB" w14:textId="6EBD5123" w:rsidR="008C5F1C" w:rsidRPr="00622066" w:rsidRDefault="008C5F1C" w:rsidP="004856F9">
      <w:pPr>
        <w:pStyle w:val="ListParagraph"/>
        <w:numPr>
          <w:ilvl w:val="0"/>
          <w:numId w:val="4"/>
        </w:numPr>
        <w:spacing w:line="360" w:lineRule="auto"/>
        <w:ind w:left="540" w:hanging="450"/>
        <w:jc w:val="both"/>
        <w:rPr>
          <w:rFonts w:ascii="Times New Roman" w:hAnsi="Times New Roman" w:cs="Times New Roman"/>
          <w:b/>
          <w:bCs/>
          <w:sz w:val="24"/>
          <w:szCs w:val="24"/>
        </w:rPr>
      </w:pPr>
      <w:r w:rsidRPr="00622066">
        <w:rPr>
          <w:rFonts w:ascii="Times New Roman" w:hAnsi="Times New Roman" w:cs="Times New Roman"/>
          <w:b/>
          <w:bCs/>
          <w:sz w:val="24"/>
          <w:szCs w:val="24"/>
        </w:rPr>
        <w:t>T</w:t>
      </w:r>
      <w:r w:rsidR="004856F9" w:rsidRPr="00622066">
        <w:rPr>
          <w:rFonts w:ascii="Times New Roman" w:hAnsi="Times New Roman" w:cs="Times New Roman"/>
          <w:b/>
          <w:bCs/>
          <w:sz w:val="24"/>
          <w:szCs w:val="24"/>
        </w:rPr>
        <w:t>he D</w:t>
      </w:r>
      <w:r w:rsidRPr="00622066">
        <w:rPr>
          <w:rFonts w:ascii="Times New Roman" w:hAnsi="Times New Roman" w:cs="Times New Roman"/>
          <w:b/>
          <w:bCs/>
          <w:sz w:val="24"/>
          <w:szCs w:val="24"/>
        </w:rPr>
        <w:t xml:space="preserve">igital </w:t>
      </w:r>
      <w:r w:rsidR="00D51B17" w:rsidRPr="00622066">
        <w:rPr>
          <w:rFonts w:ascii="Times New Roman" w:hAnsi="Times New Roman" w:cs="Times New Roman"/>
          <w:b/>
          <w:bCs/>
          <w:sz w:val="24"/>
          <w:szCs w:val="24"/>
        </w:rPr>
        <w:t>Competence as A Predictor of Continuous Professional Development among Teacher Educators</w:t>
      </w:r>
    </w:p>
    <w:p w14:paraId="4962492D" w14:textId="77777777" w:rsidR="008C5F1C" w:rsidRPr="00622066" w:rsidRDefault="008C5F1C" w:rsidP="00BB2F60">
      <w:pPr>
        <w:spacing w:line="360" w:lineRule="auto"/>
        <w:ind w:firstLine="540"/>
        <w:jc w:val="both"/>
        <w:rPr>
          <w:rFonts w:ascii="Times New Roman" w:hAnsi="Times New Roman" w:cs="Times New Roman"/>
          <w:sz w:val="24"/>
          <w:szCs w:val="24"/>
        </w:rPr>
      </w:pPr>
      <w:r w:rsidRPr="00622066">
        <w:rPr>
          <w:rFonts w:ascii="Times New Roman" w:hAnsi="Times New Roman" w:cs="Times New Roman"/>
          <w:sz w:val="24"/>
          <w:szCs w:val="24"/>
        </w:rPr>
        <w:t>Regression analysis was performed to ascertain the actual level of influence of teacher educators’ digital competence on continuous professional development. Digital Competence and Continuous professional development of teacher educators' data were computed from the questionnaire.</w:t>
      </w:r>
    </w:p>
    <w:p w14:paraId="7BF1E69F" w14:textId="379406E6"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Table</w:t>
      </w:r>
      <w:r w:rsidR="00246161" w:rsidRPr="00622066">
        <w:rPr>
          <w:rFonts w:ascii="Times New Roman" w:hAnsi="Times New Roman" w:cs="Times New Roman"/>
          <w:b/>
          <w:bCs/>
          <w:sz w:val="24"/>
          <w:szCs w:val="24"/>
        </w:rPr>
        <w:t xml:space="preserve"> </w:t>
      </w:r>
      <w:r w:rsidR="00A570B7" w:rsidRPr="00622066">
        <w:rPr>
          <w:rFonts w:ascii="Times New Roman" w:hAnsi="Times New Roman" w:cs="Times New Roman"/>
          <w:b/>
          <w:bCs/>
          <w:sz w:val="24"/>
          <w:szCs w:val="24"/>
        </w:rPr>
        <w:t>3</w:t>
      </w:r>
      <w:r w:rsidRPr="00622066">
        <w:rPr>
          <w:rFonts w:ascii="Times New Roman" w:hAnsi="Times New Roman" w:cs="Times New Roman"/>
          <w:b/>
          <w:bCs/>
          <w:sz w:val="24"/>
          <w:szCs w:val="24"/>
        </w:rPr>
        <w:t xml:space="preserve">: Model </w:t>
      </w:r>
      <w:r w:rsidR="00AD0BAA" w:rsidRPr="00622066">
        <w:rPr>
          <w:rFonts w:ascii="Times New Roman" w:hAnsi="Times New Roman" w:cs="Times New Roman"/>
          <w:b/>
          <w:bCs/>
          <w:sz w:val="24"/>
          <w:szCs w:val="24"/>
        </w:rPr>
        <w:t>Summary on Teacher Educators' Digital Competence on Continuous Professional Development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9"/>
        <w:gridCol w:w="993"/>
        <w:gridCol w:w="1701"/>
        <w:gridCol w:w="2268"/>
        <w:gridCol w:w="2925"/>
      </w:tblGrid>
      <w:tr w:rsidR="008C5F1C" w:rsidRPr="00622066" w14:paraId="398055E9" w14:textId="77777777" w:rsidTr="006C1026">
        <w:tc>
          <w:tcPr>
            <w:tcW w:w="1129" w:type="dxa"/>
            <w:vAlign w:val="center"/>
          </w:tcPr>
          <w:p w14:paraId="0A296231"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Model</w:t>
            </w:r>
          </w:p>
        </w:tc>
        <w:tc>
          <w:tcPr>
            <w:tcW w:w="993" w:type="dxa"/>
            <w:vAlign w:val="center"/>
          </w:tcPr>
          <w:p w14:paraId="70A8B229"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w:t>
            </w:r>
          </w:p>
        </w:tc>
        <w:tc>
          <w:tcPr>
            <w:tcW w:w="1701" w:type="dxa"/>
            <w:vAlign w:val="center"/>
          </w:tcPr>
          <w:p w14:paraId="12C7D039"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R Square</w:t>
            </w:r>
          </w:p>
        </w:tc>
        <w:tc>
          <w:tcPr>
            <w:tcW w:w="2268" w:type="dxa"/>
            <w:vAlign w:val="center"/>
          </w:tcPr>
          <w:p w14:paraId="168BE1F7"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Adjusted R Square</w:t>
            </w:r>
          </w:p>
        </w:tc>
        <w:tc>
          <w:tcPr>
            <w:tcW w:w="2925" w:type="dxa"/>
            <w:vAlign w:val="center"/>
          </w:tcPr>
          <w:p w14:paraId="0F68909B" w14:textId="77777777" w:rsidR="008C5F1C" w:rsidRPr="00622066" w:rsidRDefault="008C5F1C" w:rsidP="00EA6F97">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Std. Error of the Estimate</w:t>
            </w:r>
          </w:p>
        </w:tc>
      </w:tr>
      <w:tr w:rsidR="008C5F1C" w:rsidRPr="00622066" w14:paraId="1113129D" w14:textId="77777777" w:rsidTr="006C1026">
        <w:tc>
          <w:tcPr>
            <w:tcW w:w="1129" w:type="dxa"/>
            <w:vAlign w:val="center"/>
          </w:tcPr>
          <w:p w14:paraId="0B6CB00D"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993" w:type="dxa"/>
            <w:vAlign w:val="center"/>
          </w:tcPr>
          <w:p w14:paraId="63AAA57B"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0.942</w:t>
            </w:r>
          </w:p>
        </w:tc>
        <w:tc>
          <w:tcPr>
            <w:tcW w:w="1701" w:type="dxa"/>
            <w:vAlign w:val="center"/>
          </w:tcPr>
          <w:p w14:paraId="249B59D2"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.887</w:t>
            </w:r>
          </w:p>
        </w:tc>
        <w:tc>
          <w:tcPr>
            <w:tcW w:w="2268" w:type="dxa"/>
            <w:vAlign w:val="center"/>
          </w:tcPr>
          <w:p w14:paraId="76D1839C"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.885</w:t>
            </w:r>
          </w:p>
        </w:tc>
        <w:tc>
          <w:tcPr>
            <w:tcW w:w="2925" w:type="dxa"/>
            <w:vAlign w:val="center"/>
          </w:tcPr>
          <w:p w14:paraId="5EB2EBF6" w14:textId="77777777" w:rsidR="008C5F1C" w:rsidRPr="00622066" w:rsidRDefault="008C5F1C" w:rsidP="00EA6F97">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13.96096</w:t>
            </w:r>
          </w:p>
        </w:tc>
      </w:tr>
      <w:tr w:rsidR="008C5F1C" w:rsidRPr="00622066" w14:paraId="428D42BC" w14:textId="77777777" w:rsidTr="006C1026">
        <w:tc>
          <w:tcPr>
            <w:tcW w:w="9016" w:type="dxa"/>
            <w:gridSpan w:val="5"/>
            <w:vAlign w:val="center"/>
          </w:tcPr>
          <w:p w14:paraId="23BDC723" w14:textId="77777777" w:rsidR="008C5F1C" w:rsidRPr="00622066" w:rsidRDefault="008C5F1C" w:rsidP="00EA6F97">
            <w:pPr>
              <w:pStyle w:val="ListParagraph"/>
              <w:numPr>
                <w:ilvl w:val="0"/>
                <w:numId w:val="5"/>
              </w:numPr>
              <w:spacing w:line="360" w:lineRule="auto"/>
              <w:rPr>
                <w:rFonts w:ascii="Times New Roman" w:hAnsi="Times New Roman" w:cs="Times New Roman"/>
                <w:sz w:val="24"/>
                <w:szCs w:val="24"/>
              </w:rPr>
            </w:pPr>
            <w:r w:rsidRPr="00622066">
              <w:rPr>
                <w:rFonts w:ascii="Times New Roman" w:hAnsi="Times New Roman" w:cs="Times New Roman"/>
                <w:sz w:val="24"/>
                <w:szCs w:val="24"/>
              </w:rPr>
              <w:t>Predictors: (Constant), Teacher Educators’ Digital Competence</w:t>
            </w:r>
          </w:p>
        </w:tc>
      </w:tr>
      <w:tr w:rsidR="008C5F1C" w:rsidRPr="00622066" w14:paraId="59D06141" w14:textId="77777777" w:rsidTr="006C1026">
        <w:tc>
          <w:tcPr>
            <w:tcW w:w="9016" w:type="dxa"/>
            <w:gridSpan w:val="5"/>
            <w:vAlign w:val="center"/>
          </w:tcPr>
          <w:p w14:paraId="404608E7" w14:textId="77777777" w:rsidR="008C5F1C" w:rsidRPr="00622066" w:rsidRDefault="008C5F1C" w:rsidP="00EA6F97">
            <w:pPr>
              <w:pStyle w:val="ListParagraph"/>
              <w:numPr>
                <w:ilvl w:val="0"/>
                <w:numId w:val="5"/>
              </w:numPr>
              <w:spacing w:line="360" w:lineRule="auto"/>
              <w:rPr>
                <w:rFonts w:ascii="Times New Roman" w:hAnsi="Times New Roman" w:cs="Times New Roman"/>
                <w:sz w:val="24"/>
                <w:szCs w:val="24"/>
              </w:rPr>
            </w:pPr>
            <w:r w:rsidRPr="00622066">
              <w:rPr>
                <w:rFonts w:ascii="Times New Roman" w:hAnsi="Times New Roman" w:cs="Times New Roman"/>
                <w:sz w:val="24"/>
                <w:szCs w:val="24"/>
              </w:rPr>
              <w:t>Dependent Variable: Teacher Educators’ Continuous Professional Development</w:t>
            </w:r>
          </w:p>
        </w:tc>
      </w:tr>
    </w:tbl>
    <w:p w14:paraId="02D11CCA" w14:textId="77777777" w:rsidR="004856F9" w:rsidRPr="00622066" w:rsidRDefault="004856F9" w:rsidP="008C5F1C">
      <w:pPr>
        <w:spacing w:line="360" w:lineRule="auto"/>
        <w:jc w:val="both"/>
        <w:rPr>
          <w:rFonts w:ascii="Times New Roman" w:hAnsi="Times New Roman" w:cs="Times New Roman"/>
          <w:sz w:val="24"/>
          <w:szCs w:val="24"/>
        </w:rPr>
      </w:pPr>
    </w:p>
    <w:p w14:paraId="2A2FE490" w14:textId="3B85F6D4"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results in Table </w:t>
      </w:r>
      <w:r w:rsidR="00D51B17" w:rsidRPr="00622066">
        <w:rPr>
          <w:rFonts w:ascii="Times New Roman" w:hAnsi="Times New Roman" w:cs="Times New Roman"/>
          <w:sz w:val="24"/>
          <w:szCs w:val="24"/>
        </w:rPr>
        <w:t>3</w:t>
      </w:r>
      <w:r w:rsidRPr="00622066">
        <w:rPr>
          <w:rFonts w:ascii="Times New Roman" w:hAnsi="Times New Roman" w:cs="Times New Roman"/>
          <w:sz w:val="24"/>
          <w:szCs w:val="24"/>
        </w:rPr>
        <w:t xml:space="preserve"> revealed that digital competence is strongly correlated with continuous professional development among teacher educators at DIET (n=</w:t>
      </w:r>
      <w:r w:rsidR="008B5349">
        <w:rPr>
          <w:rFonts w:ascii="Times New Roman" w:hAnsi="Times New Roman" w:cs="Times New Roman"/>
          <w:sz w:val="24"/>
          <w:szCs w:val="24"/>
        </w:rPr>
        <w:t>10</w:t>
      </w:r>
      <w:r w:rsidRPr="00622066">
        <w:rPr>
          <w:rFonts w:ascii="Times New Roman" w:hAnsi="Times New Roman" w:cs="Times New Roman"/>
          <w:sz w:val="24"/>
          <w:szCs w:val="24"/>
        </w:rPr>
        <w:t>0; r=0.942; p&lt;.01)</w:t>
      </w:r>
      <w:r w:rsidR="00567A14" w:rsidRPr="00622066">
        <w:rPr>
          <w:rFonts w:ascii="Times New Roman" w:hAnsi="Times New Roman" w:cs="Times New Roman"/>
          <w:sz w:val="24"/>
          <w:szCs w:val="24"/>
        </w:rPr>
        <w:t>,</w:t>
      </w:r>
      <w:r w:rsidRPr="00622066">
        <w:rPr>
          <w:rFonts w:ascii="Times New Roman" w:hAnsi="Times New Roman" w:cs="Times New Roman"/>
          <w:sz w:val="24"/>
          <w:szCs w:val="24"/>
        </w:rPr>
        <w:t xml:space="preserve"> with increased digital competence associated </w:t>
      </w:r>
      <w:r w:rsidR="00567A14" w:rsidRPr="00622066">
        <w:rPr>
          <w:rFonts w:ascii="Times New Roman" w:hAnsi="Times New Roman" w:cs="Times New Roman"/>
          <w:sz w:val="24"/>
          <w:szCs w:val="24"/>
        </w:rPr>
        <w:t>with</w:t>
      </w:r>
      <w:r w:rsidRPr="00622066">
        <w:rPr>
          <w:rFonts w:ascii="Times New Roman" w:hAnsi="Times New Roman" w:cs="Times New Roman"/>
          <w:sz w:val="24"/>
          <w:szCs w:val="24"/>
        </w:rPr>
        <w:t xml:space="preserve"> </w:t>
      </w:r>
      <w:r w:rsidR="00567A14" w:rsidRPr="00622066">
        <w:rPr>
          <w:rFonts w:ascii="Times New Roman" w:hAnsi="Times New Roman" w:cs="Times New Roman"/>
          <w:sz w:val="24"/>
          <w:szCs w:val="24"/>
        </w:rPr>
        <w:t xml:space="preserve">a </w:t>
      </w:r>
      <w:r w:rsidRPr="00622066">
        <w:rPr>
          <w:rFonts w:ascii="Times New Roman" w:hAnsi="Times New Roman" w:cs="Times New Roman"/>
          <w:sz w:val="24"/>
          <w:szCs w:val="24"/>
        </w:rPr>
        <w:t xml:space="preserve">rise in continuous professional development. Further, the model summary shows that teacher educators’ digital competence accounted for 88.7% </w:t>
      </w:r>
      <w:r w:rsidR="004856F9" w:rsidRPr="00622066">
        <w:rPr>
          <w:rFonts w:ascii="Times New Roman" w:hAnsi="Times New Roman" w:cs="Times New Roman"/>
          <w:sz w:val="24"/>
          <w:szCs w:val="24"/>
        </w:rPr>
        <w:t>(Adjusted</w:t>
      </w:r>
      <w:r w:rsidRPr="00622066">
        <w:rPr>
          <w:rFonts w:ascii="Times New Roman" w:hAnsi="Times New Roman" w:cs="Times New Roman"/>
          <w:sz w:val="24"/>
          <w:szCs w:val="24"/>
        </w:rPr>
        <w:t xml:space="preserve"> R</w:t>
      </w:r>
      <w:r w:rsidRPr="00622066">
        <w:rPr>
          <w:rFonts w:ascii="Times New Roman" w:hAnsi="Times New Roman" w:cs="Times New Roman"/>
          <w:sz w:val="24"/>
          <w:szCs w:val="24"/>
          <w:vertAlign w:val="superscript"/>
        </w:rPr>
        <w:t>2</w:t>
      </w:r>
      <w:r w:rsidRPr="00622066">
        <w:rPr>
          <w:rFonts w:ascii="Times New Roman" w:hAnsi="Times New Roman" w:cs="Times New Roman"/>
          <w:sz w:val="24"/>
          <w:szCs w:val="24"/>
        </w:rPr>
        <w:t xml:space="preserve">=.885) of the teachers’ continuous professional development. This finding implies that the digital competence accounts for 88.7% in explaining continuous professional </w:t>
      </w:r>
      <w:r w:rsidRPr="00622066">
        <w:rPr>
          <w:rFonts w:ascii="Times New Roman" w:hAnsi="Times New Roman" w:cs="Times New Roman"/>
          <w:sz w:val="24"/>
          <w:szCs w:val="24"/>
        </w:rPr>
        <w:lastRenderedPageBreak/>
        <w:t xml:space="preserve">development among teacher educators, and that the remaining 11.3% could be attributed to other factors, which were not studied. To ascertain </w:t>
      </w:r>
      <w:r w:rsidR="00567A14" w:rsidRPr="00622066">
        <w:rPr>
          <w:rFonts w:ascii="Times New Roman" w:hAnsi="Times New Roman" w:cs="Times New Roman"/>
          <w:sz w:val="24"/>
          <w:szCs w:val="24"/>
        </w:rPr>
        <w:t>whether</w:t>
      </w:r>
      <w:r w:rsidRPr="00622066">
        <w:rPr>
          <w:rFonts w:ascii="Times New Roman" w:hAnsi="Times New Roman" w:cs="Times New Roman"/>
          <w:sz w:val="24"/>
          <w:szCs w:val="24"/>
        </w:rPr>
        <w:t xml:space="preserve"> teacher educators’ digital competence is a significant predictor of continuous professional development, regression was performed</w:t>
      </w:r>
      <w:r w:rsidR="00567A14" w:rsidRPr="00622066">
        <w:rPr>
          <w:rFonts w:ascii="Times New Roman" w:hAnsi="Times New Roman" w:cs="Times New Roman"/>
          <w:sz w:val="24"/>
          <w:szCs w:val="24"/>
        </w:rPr>
        <w:t>,</w:t>
      </w:r>
      <w:r w:rsidRPr="00622066">
        <w:rPr>
          <w:rFonts w:ascii="Times New Roman" w:hAnsi="Times New Roman" w:cs="Times New Roman"/>
          <w:sz w:val="24"/>
          <w:szCs w:val="24"/>
        </w:rPr>
        <w:t xml:space="preserve"> and the results are presented in </w:t>
      </w:r>
      <w:r w:rsidR="00567A14" w:rsidRPr="00622066">
        <w:rPr>
          <w:rFonts w:ascii="Times New Roman" w:hAnsi="Times New Roman" w:cs="Times New Roman"/>
          <w:sz w:val="24"/>
          <w:szCs w:val="24"/>
        </w:rPr>
        <w:t>Table</w:t>
      </w:r>
      <w:r w:rsidRPr="00622066">
        <w:rPr>
          <w:rFonts w:ascii="Times New Roman" w:hAnsi="Times New Roman" w:cs="Times New Roman"/>
          <w:sz w:val="24"/>
          <w:szCs w:val="24"/>
        </w:rPr>
        <w:t xml:space="preserve"> </w:t>
      </w:r>
      <w:r w:rsidR="00D51B17" w:rsidRPr="00622066">
        <w:rPr>
          <w:rFonts w:ascii="Times New Roman" w:hAnsi="Times New Roman" w:cs="Times New Roman"/>
          <w:sz w:val="24"/>
          <w:szCs w:val="24"/>
        </w:rPr>
        <w:t>3</w:t>
      </w:r>
      <w:r w:rsidRPr="00622066">
        <w:rPr>
          <w:rFonts w:ascii="Times New Roman" w:hAnsi="Times New Roman" w:cs="Times New Roman"/>
          <w:sz w:val="24"/>
          <w:szCs w:val="24"/>
        </w:rPr>
        <w:t>.</w:t>
      </w:r>
    </w:p>
    <w:p w14:paraId="0A603C03" w14:textId="1EC2F898"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Table </w:t>
      </w:r>
      <w:r w:rsidR="00D51B17" w:rsidRPr="00622066">
        <w:rPr>
          <w:rFonts w:ascii="Times New Roman" w:hAnsi="Times New Roman" w:cs="Times New Roman"/>
          <w:b/>
          <w:bCs/>
          <w:sz w:val="24"/>
          <w:szCs w:val="24"/>
        </w:rPr>
        <w:t>4</w:t>
      </w:r>
      <w:r w:rsidRPr="00622066">
        <w:rPr>
          <w:rFonts w:ascii="Times New Roman" w:hAnsi="Times New Roman" w:cs="Times New Roman"/>
          <w:b/>
          <w:bCs/>
          <w:sz w:val="24"/>
          <w:szCs w:val="24"/>
        </w:rPr>
        <w:t xml:space="preserve">: </w:t>
      </w:r>
      <w:r w:rsidR="00D51B17" w:rsidRPr="00622066">
        <w:rPr>
          <w:rFonts w:ascii="Times New Roman" w:hAnsi="Times New Roman" w:cs="Times New Roman"/>
          <w:b/>
          <w:bCs/>
          <w:sz w:val="24"/>
          <w:szCs w:val="24"/>
        </w:rPr>
        <w:t xml:space="preserve">Coefficients- Influence of Teacher Educators’ Digital Competence on Continuous Professional Development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27"/>
        <w:gridCol w:w="2128"/>
        <w:gridCol w:w="1259"/>
        <w:gridCol w:w="1535"/>
        <w:gridCol w:w="1590"/>
        <w:gridCol w:w="944"/>
        <w:gridCol w:w="1043"/>
      </w:tblGrid>
      <w:tr w:rsidR="008C5F1C" w:rsidRPr="00622066" w14:paraId="2FBA3FE9" w14:textId="77777777" w:rsidTr="006C1026">
        <w:tc>
          <w:tcPr>
            <w:tcW w:w="2695" w:type="dxa"/>
            <w:gridSpan w:val="2"/>
            <w:vMerge w:val="restart"/>
            <w:vAlign w:val="center"/>
          </w:tcPr>
          <w:p w14:paraId="28EAEE72"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Model</w:t>
            </w:r>
          </w:p>
        </w:tc>
        <w:tc>
          <w:tcPr>
            <w:tcW w:w="2827" w:type="dxa"/>
            <w:gridSpan w:val="2"/>
            <w:vAlign w:val="center"/>
          </w:tcPr>
          <w:p w14:paraId="57CA5D76"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Unstandardized Coefficient</w:t>
            </w:r>
          </w:p>
        </w:tc>
        <w:tc>
          <w:tcPr>
            <w:tcW w:w="1486" w:type="dxa"/>
            <w:vAlign w:val="center"/>
          </w:tcPr>
          <w:p w14:paraId="09704DBD"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Standardized</w:t>
            </w:r>
          </w:p>
          <w:p w14:paraId="34630548"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Coefficients</w:t>
            </w:r>
          </w:p>
        </w:tc>
        <w:tc>
          <w:tcPr>
            <w:tcW w:w="947" w:type="dxa"/>
            <w:vMerge w:val="restart"/>
            <w:vAlign w:val="center"/>
          </w:tcPr>
          <w:p w14:paraId="55CE68C8"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t</w:t>
            </w:r>
          </w:p>
        </w:tc>
        <w:tc>
          <w:tcPr>
            <w:tcW w:w="1061" w:type="dxa"/>
            <w:vMerge w:val="restart"/>
            <w:vAlign w:val="center"/>
          </w:tcPr>
          <w:p w14:paraId="6A96A163"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Sig.</w:t>
            </w:r>
          </w:p>
        </w:tc>
      </w:tr>
      <w:tr w:rsidR="008C5F1C" w:rsidRPr="00622066" w14:paraId="5215A86D" w14:textId="77777777" w:rsidTr="006C1026">
        <w:tc>
          <w:tcPr>
            <w:tcW w:w="2695" w:type="dxa"/>
            <w:gridSpan w:val="2"/>
            <w:vMerge/>
            <w:vAlign w:val="center"/>
          </w:tcPr>
          <w:p w14:paraId="1732AB88" w14:textId="77777777" w:rsidR="008C5F1C" w:rsidRPr="00622066" w:rsidRDefault="008C5F1C" w:rsidP="00EA6F97">
            <w:pPr>
              <w:jc w:val="center"/>
              <w:rPr>
                <w:rFonts w:ascii="Times New Roman" w:hAnsi="Times New Roman" w:cs="Times New Roman"/>
                <w:sz w:val="24"/>
                <w:szCs w:val="24"/>
              </w:rPr>
            </w:pPr>
          </w:p>
        </w:tc>
        <w:tc>
          <w:tcPr>
            <w:tcW w:w="1260" w:type="dxa"/>
            <w:vAlign w:val="center"/>
          </w:tcPr>
          <w:p w14:paraId="0DEB4ABD"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B</w:t>
            </w:r>
          </w:p>
        </w:tc>
        <w:tc>
          <w:tcPr>
            <w:tcW w:w="1567" w:type="dxa"/>
            <w:vAlign w:val="center"/>
          </w:tcPr>
          <w:p w14:paraId="169EEF55"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Std.</w:t>
            </w:r>
          </w:p>
          <w:p w14:paraId="6A504BF8"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Error</w:t>
            </w:r>
          </w:p>
        </w:tc>
        <w:tc>
          <w:tcPr>
            <w:tcW w:w="1486" w:type="dxa"/>
            <w:vAlign w:val="center"/>
          </w:tcPr>
          <w:p w14:paraId="257F5CDC" w14:textId="77777777" w:rsidR="008C5F1C" w:rsidRPr="00622066" w:rsidRDefault="008C5F1C" w:rsidP="00EA6F97">
            <w:pPr>
              <w:jc w:val="center"/>
              <w:rPr>
                <w:rFonts w:ascii="Times New Roman" w:hAnsi="Times New Roman" w:cs="Times New Roman"/>
                <w:b/>
                <w:bCs/>
                <w:sz w:val="24"/>
                <w:szCs w:val="24"/>
              </w:rPr>
            </w:pPr>
            <w:r w:rsidRPr="00622066">
              <w:rPr>
                <w:rFonts w:ascii="Times New Roman" w:hAnsi="Times New Roman" w:cs="Times New Roman"/>
                <w:b/>
                <w:bCs/>
                <w:sz w:val="24"/>
                <w:szCs w:val="24"/>
              </w:rPr>
              <w:t>Beta</w:t>
            </w:r>
          </w:p>
        </w:tc>
        <w:tc>
          <w:tcPr>
            <w:tcW w:w="947" w:type="dxa"/>
            <w:vMerge/>
            <w:vAlign w:val="center"/>
          </w:tcPr>
          <w:p w14:paraId="221A2FC0" w14:textId="77777777" w:rsidR="008C5F1C" w:rsidRPr="00622066" w:rsidRDefault="008C5F1C" w:rsidP="00EA6F97">
            <w:pPr>
              <w:jc w:val="center"/>
              <w:rPr>
                <w:rFonts w:ascii="Times New Roman" w:hAnsi="Times New Roman" w:cs="Times New Roman"/>
                <w:sz w:val="24"/>
                <w:szCs w:val="24"/>
              </w:rPr>
            </w:pPr>
          </w:p>
        </w:tc>
        <w:tc>
          <w:tcPr>
            <w:tcW w:w="1061" w:type="dxa"/>
            <w:vMerge/>
            <w:vAlign w:val="center"/>
          </w:tcPr>
          <w:p w14:paraId="61A6ABB2" w14:textId="77777777" w:rsidR="008C5F1C" w:rsidRPr="00622066" w:rsidRDefault="008C5F1C" w:rsidP="00EA6F97">
            <w:pPr>
              <w:jc w:val="center"/>
              <w:rPr>
                <w:rFonts w:ascii="Times New Roman" w:hAnsi="Times New Roman" w:cs="Times New Roman"/>
                <w:sz w:val="24"/>
                <w:szCs w:val="24"/>
              </w:rPr>
            </w:pPr>
          </w:p>
        </w:tc>
      </w:tr>
      <w:tr w:rsidR="008C5F1C" w:rsidRPr="00622066" w14:paraId="08082EFD" w14:textId="77777777" w:rsidTr="006C1026">
        <w:trPr>
          <w:trHeight w:val="476"/>
        </w:trPr>
        <w:tc>
          <w:tcPr>
            <w:tcW w:w="535" w:type="dxa"/>
            <w:vMerge w:val="restart"/>
            <w:vAlign w:val="center"/>
          </w:tcPr>
          <w:p w14:paraId="23EB327E"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2160" w:type="dxa"/>
            <w:vAlign w:val="center"/>
          </w:tcPr>
          <w:p w14:paraId="10FCDDE6"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(Constant)</w:t>
            </w:r>
          </w:p>
        </w:tc>
        <w:tc>
          <w:tcPr>
            <w:tcW w:w="1260" w:type="dxa"/>
            <w:vAlign w:val="center"/>
          </w:tcPr>
          <w:p w14:paraId="4FD97707"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18.637179</w:t>
            </w:r>
          </w:p>
        </w:tc>
        <w:tc>
          <w:tcPr>
            <w:tcW w:w="1567" w:type="dxa"/>
            <w:vAlign w:val="center"/>
          </w:tcPr>
          <w:p w14:paraId="4E9747DE" w14:textId="0BBF47A6"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5.712</w:t>
            </w:r>
          </w:p>
        </w:tc>
        <w:tc>
          <w:tcPr>
            <w:tcW w:w="1486" w:type="dxa"/>
            <w:vMerge w:val="restart"/>
            <w:vAlign w:val="center"/>
          </w:tcPr>
          <w:p w14:paraId="1CACE7FE"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.942</w:t>
            </w:r>
          </w:p>
        </w:tc>
        <w:tc>
          <w:tcPr>
            <w:tcW w:w="947" w:type="dxa"/>
            <w:vAlign w:val="center"/>
          </w:tcPr>
          <w:p w14:paraId="304CB4AB"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3.263</w:t>
            </w:r>
          </w:p>
        </w:tc>
        <w:tc>
          <w:tcPr>
            <w:tcW w:w="1061" w:type="dxa"/>
            <w:vAlign w:val="center"/>
          </w:tcPr>
          <w:p w14:paraId="09BBE335"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.002</w:t>
            </w:r>
          </w:p>
        </w:tc>
      </w:tr>
      <w:tr w:rsidR="008C5F1C" w:rsidRPr="00622066" w14:paraId="0DC87D5F" w14:textId="77777777" w:rsidTr="006C1026">
        <w:tc>
          <w:tcPr>
            <w:tcW w:w="535" w:type="dxa"/>
            <w:vMerge/>
            <w:vAlign w:val="center"/>
          </w:tcPr>
          <w:p w14:paraId="3CFF655F" w14:textId="77777777" w:rsidR="008C5F1C" w:rsidRPr="00622066" w:rsidRDefault="008C5F1C" w:rsidP="00EA6F97">
            <w:pPr>
              <w:jc w:val="center"/>
              <w:rPr>
                <w:rFonts w:ascii="Times New Roman" w:hAnsi="Times New Roman" w:cs="Times New Roman"/>
                <w:sz w:val="24"/>
                <w:szCs w:val="24"/>
              </w:rPr>
            </w:pPr>
          </w:p>
        </w:tc>
        <w:tc>
          <w:tcPr>
            <w:tcW w:w="2160" w:type="dxa"/>
            <w:vAlign w:val="center"/>
          </w:tcPr>
          <w:p w14:paraId="2CE0AF9A"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Teacher Educators’</w:t>
            </w:r>
          </w:p>
          <w:p w14:paraId="42BD625D"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Digital Competence</w:t>
            </w:r>
          </w:p>
        </w:tc>
        <w:tc>
          <w:tcPr>
            <w:tcW w:w="1260" w:type="dxa"/>
            <w:vAlign w:val="center"/>
          </w:tcPr>
          <w:p w14:paraId="76736532"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.560</w:t>
            </w:r>
          </w:p>
        </w:tc>
        <w:tc>
          <w:tcPr>
            <w:tcW w:w="1567" w:type="dxa"/>
            <w:vAlign w:val="center"/>
          </w:tcPr>
          <w:p w14:paraId="43FE2015"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.029</w:t>
            </w:r>
          </w:p>
        </w:tc>
        <w:tc>
          <w:tcPr>
            <w:tcW w:w="1486" w:type="dxa"/>
            <w:vMerge/>
            <w:vAlign w:val="center"/>
          </w:tcPr>
          <w:p w14:paraId="07219548" w14:textId="77777777" w:rsidR="008C5F1C" w:rsidRPr="00622066" w:rsidRDefault="008C5F1C" w:rsidP="00EA6F97">
            <w:pPr>
              <w:jc w:val="center"/>
              <w:rPr>
                <w:rFonts w:ascii="Times New Roman" w:hAnsi="Times New Roman" w:cs="Times New Roman"/>
                <w:sz w:val="24"/>
                <w:szCs w:val="24"/>
              </w:rPr>
            </w:pPr>
          </w:p>
        </w:tc>
        <w:tc>
          <w:tcPr>
            <w:tcW w:w="947" w:type="dxa"/>
            <w:vAlign w:val="center"/>
          </w:tcPr>
          <w:p w14:paraId="2E68A1DB"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19.445</w:t>
            </w:r>
          </w:p>
        </w:tc>
        <w:tc>
          <w:tcPr>
            <w:tcW w:w="1061" w:type="dxa"/>
            <w:vAlign w:val="center"/>
          </w:tcPr>
          <w:p w14:paraId="7F1618F5" w14:textId="77777777" w:rsidR="008C5F1C" w:rsidRPr="00622066" w:rsidRDefault="008C5F1C" w:rsidP="00EA6F97">
            <w:pPr>
              <w:jc w:val="center"/>
              <w:rPr>
                <w:rFonts w:ascii="Times New Roman" w:hAnsi="Times New Roman" w:cs="Times New Roman"/>
                <w:sz w:val="24"/>
                <w:szCs w:val="24"/>
              </w:rPr>
            </w:pPr>
            <w:r w:rsidRPr="00622066">
              <w:rPr>
                <w:rFonts w:ascii="Times New Roman" w:hAnsi="Times New Roman" w:cs="Times New Roman"/>
                <w:sz w:val="24"/>
                <w:szCs w:val="24"/>
              </w:rPr>
              <w:t>.000</w:t>
            </w:r>
          </w:p>
        </w:tc>
      </w:tr>
      <w:tr w:rsidR="008C5F1C" w:rsidRPr="00622066" w14:paraId="0DD52BD3" w14:textId="77777777" w:rsidTr="006C1026">
        <w:tc>
          <w:tcPr>
            <w:tcW w:w="9016" w:type="dxa"/>
            <w:gridSpan w:val="7"/>
            <w:vAlign w:val="center"/>
          </w:tcPr>
          <w:p w14:paraId="5F7E5D7B" w14:textId="77777777" w:rsidR="008C5F1C" w:rsidRPr="00622066" w:rsidRDefault="008C5F1C" w:rsidP="00EA6F97">
            <w:pPr>
              <w:pStyle w:val="ListParagraph"/>
              <w:numPr>
                <w:ilvl w:val="0"/>
                <w:numId w:val="6"/>
              </w:numPr>
              <w:jc w:val="center"/>
              <w:rPr>
                <w:rFonts w:ascii="Times New Roman" w:hAnsi="Times New Roman" w:cs="Times New Roman"/>
                <w:sz w:val="24"/>
                <w:szCs w:val="24"/>
              </w:rPr>
            </w:pPr>
            <w:r w:rsidRPr="00622066">
              <w:rPr>
                <w:rFonts w:ascii="Times New Roman" w:hAnsi="Times New Roman" w:cs="Times New Roman"/>
                <w:sz w:val="24"/>
                <w:szCs w:val="24"/>
              </w:rPr>
              <w:t>Dependent Variable: Teacher Educators’ Continuous Professional Development</w:t>
            </w:r>
          </w:p>
        </w:tc>
      </w:tr>
    </w:tbl>
    <w:p w14:paraId="45FF05F5" w14:textId="636C15EA" w:rsidR="008C5F1C" w:rsidRPr="00622066" w:rsidRDefault="008C5F1C" w:rsidP="008C5F1C">
      <w:pPr>
        <w:spacing w:line="360" w:lineRule="auto"/>
        <w:jc w:val="both"/>
        <w:rPr>
          <w:rFonts w:ascii="Times New Roman" w:hAnsi="Times New Roman" w:cs="Times New Roman"/>
          <w:sz w:val="24"/>
          <w:szCs w:val="24"/>
        </w:rPr>
      </w:pPr>
    </w:p>
    <w:p w14:paraId="63946CB5"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Continuous Professional Development =18.637+0.560 (Digital Competence) + error term</w:t>
      </w:r>
    </w:p>
    <w:p w14:paraId="501B3A63" w14:textId="183FBEB5"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results in Table </w:t>
      </w:r>
      <w:r w:rsidR="00CD090E">
        <w:rPr>
          <w:rFonts w:ascii="Times New Roman" w:hAnsi="Times New Roman" w:cs="Times New Roman"/>
          <w:sz w:val="24"/>
          <w:szCs w:val="24"/>
        </w:rPr>
        <w:t>4</w:t>
      </w:r>
      <w:r w:rsidRPr="00622066">
        <w:rPr>
          <w:rFonts w:ascii="Times New Roman" w:hAnsi="Times New Roman" w:cs="Times New Roman"/>
          <w:sz w:val="24"/>
          <w:szCs w:val="24"/>
        </w:rPr>
        <w:t xml:space="preserve"> indicate that Digital Competence significantly predicts Continuous Professional Development (β = 0.560, p = 0.000). The fitted regression model was: Approximated Teacher Educators’ Continuous Professional Development = 18.637+0.560 (Teacher Educators’ Digital Competence). This suggests that when the level of teacher educators’ digital competence is improved by one unit, there would be an ensuing rise in teacher educators’ continuous professional development by .560 units. Equally, when teacher educators’ digital competence is improved by one standard deviation, there would be an improvement in the level of teacher educators’ continuous professional development by </w:t>
      </w:r>
      <w:r w:rsidR="00567A14" w:rsidRPr="00622066">
        <w:rPr>
          <w:rFonts w:ascii="Times New Roman" w:hAnsi="Times New Roman" w:cs="Times New Roman"/>
          <w:sz w:val="24"/>
          <w:szCs w:val="24"/>
        </w:rPr>
        <w:t>0.942 (</w:t>
      </w:r>
      <w:r w:rsidRPr="00622066">
        <w:rPr>
          <w:rFonts w:ascii="Times New Roman" w:hAnsi="Times New Roman" w:cs="Times New Roman"/>
          <w:sz w:val="24"/>
          <w:szCs w:val="24"/>
        </w:rPr>
        <w:t xml:space="preserve">Beta value = 0.942). However, the result indicates whether the digital competence is a significant predictor of continuous professional development among teacher educators, is presented in Table </w:t>
      </w:r>
      <w:r w:rsidR="00D51B17" w:rsidRPr="00622066">
        <w:rPr>
          <w:rFonts w:ascii="Times New Roman" w:hAnsi="Times New Roman" w:cs="Times New Roman"/>
          <w:sz w:val="24"/>
          <w:szCs w:val="24"/>
        </w:rPr>
        <w:t>4</w:t>
      </w:r>
      <w:r w:rsidRPr="00622066">
        <w:rPr>
          <w:rFonts w:ascii="Times New Roman" w:hAnsi="Times New Roman" w:cs="Times New Roman"/>
          <w:sz w:val="24"/>
          <w:szCs w:val="24"/>
        </w:rPr>
        <w:t>.</w:t>
      </w:r>
    </w:p>
    <w:p w14:paraId="3F9BD19D" w14:textId="58CD55EE" w:rsidR="008C5F1C" w:rsidRPr="00622066" w:rsidRDefault="008C5F1C" w:rsidP="008C5F1C">
      <w:pPr>
        <w:spacing w:line="360" w:lineRule="auto"/>
        <w:jc w:val="both"/>
        <w:rPr>
          <w:rFonts w:ascii="Times New Roman" w:hAnsi="Times New Roman" w:cs="Times New Roman"/>
          <w:b/>
          <w:bCs/>
          <w:sz w:val="24"/>
          <w:szCs w:val="24"/>
        </w:rPr>
      </w:pPr>
      <w:r w:rsidRPr="00622066">
        <w:rPr>
          <w:rFonts w:ascii="Times New Roman" w:hAnsi="Times New Roman" w:cs="Times New Roman"/>
          <w:b/>
          <w:bCs/>
          <w:sz w:val="24"/>
          <w:szCs w:val="24"/>
        </w:rPr>
        <w:t xml:space="preserve">Table </w:t>
      </w:r>
      <w:r w:rsidR="00D51B17" w:rsidRPr="00622066">
        <w:rPr>
          <w:rFonts w:ascii="Times New Roman" w:hAnsi="Times New Roman" w:cs="Times New Roman"/>
          <w:b/>
          <w:bCs/>
          <w:sz w:val="24"/>
          <w:szCs w:val="24"/>
        </w:rPr>
        <w:t>5</w:t>
      </w:r>
      <w:r w:rsidRPr="00622066">
        <w:rPr>
          <w:rFonts w:ascii="Times New Roman" w:hAnsi="Times New Roman" w:cs="Times New Roman"/>
          <w:b/>
          <w:bCs/>
          <w:sz w:val="24"/>
          <w:szCs w:val="24"/>
        </w:rPr>
        <w:t xml:space="preserve">: </w:t>
      </w:r>
      <w:r w:rsidR="00D51B17" w:rsidRPr="00622066">
        <w:rPr>
          <w:rFonts w:ascii="Times New Roman" w:hAnsi="Times New Roman" w:cs="Times New Roman"/>
          <w:b/>
          <w:bCs/>
          <w:sz w:val="24"/>
          <w:szCs w:val="24"/>
        </w:rPr>
        <w:t xml:space="preserve">Anova- Influence of Teacher Educators’ Digital Competence on Continuous Professional Development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8C5F1C" w:rsidRPr="00622066" w14:paraId="65712C14" w14:textId="77777777" w:rsidTr="006C1026">
        <w:tc>
          <w:tcPr>
            <w:tcW w:w="2576" w:type="dxa"/>
            <w:gridSpan w:val="2"/>
          </w:tcPr>
          <w:p w14:paraId="57C55238"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Model</w:t>
            </w:r>
          </w:p>
        </w:tc>
        <w:tc>
          <w:tcPr>
            <w:tcW w:w="1288" w:type="dxa"/>
          </w:tcPr>
          <w:p w14:paraId="47F0148C"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Sum of Squares</w:t>
            </w:r>
          </w:p>
        </w:tc>
        <w:tc>
          <w:tcPr>
            <w:tcW w:w="1288" w:type="dxa"/>
          </w:tcPr>
          <w:p w14:paraId="60510F68"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Df</w:t>
            </w:r>
          </w:p>
        </w:tc>
        <w:tc>
          <w:tcPr>
            <w:tcW w:w="1288" w:type="dxa"/>
          </w:tcPr>
          <w:p w14:paraId="20C8ECBD"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Mean Square</w:t>
            </w:r>
          </w:p>
        </w:tc>
        <w:tc>
          <w:tcPr>
            <w:tcW w:w="1288" w:type="dxa"/>
          </w:tcPr>
          <w:p w14:paraId="572ECDF9"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F</w:t>
            </w:r>
          </w:p>
        </w:tc>
        <w:tc>
          <w:tcPr>
            <w:tcW w:w="1288" w:type="dxa"/>
          </w:tcPr>
          <w:p w14:paraId="39A0B5F4" w14:textId="77777777" w:rsidR="008C5F1C" w:rsidRPr="00622066" w:rsidRDefault="008C5F1C" w:rsidP="00D41C49">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Sig.</w:t>
            </w:r>
          </w:p>
        </w:tc>
      </w:tr>
      <w:tr w:rsidR="008C5F1C" w:rsidRPr="00622066" w14:paraId="7FE3232E" w14:textId="77777777" w:rsidTr="006C1026">
        <w:tc>
          <w:tcPr>
            <w:tcW w:w="1288" w:type="dxa"/>
            <w:vMerge w:val="restart"/>
          </w:tcPr>
          <w:p w14:paraId="41B4DE52"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1288" w:type="dxa"/>
          </w:tcPr>
          <w:p w14:paraId="52C1CE93"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Regression</w:t>
            </w:r>
          </w:p>
        </w:tc>
        <w:tc>
          <w:tcPr>
            <w:tcW w:w="1288" w:type="dxa"/>
          </w:tcPr>
          <w:p w14:paraId="701EAE9F"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73698.421</w:t>
            </w:r>
          </w:p>
        </w:tc>
        <w:tc>
          <w:tcPr>
            <w:tcW w:w="1288" w:type="dxa"/>
          </w:tcPr>
          <w:p w14:paraId="641E0611"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w:t>
            </w:r>
          </w:p>
        </w:tc>
        <w:tc>
          <w:tcPr>
            <w:tcW w:w="1288" w:type="dxa"/>
          </w:tcPr>
          <w:p w14:paraId="6EDBA133"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73698.421</w:t>
            </w:r>
          </w:p>
        </w:tc>
        <w:tc>
          <w:tcPr>
            <w:tcW w:w="1288" w:type="dxa"/>
            <w:vMerge w:val="restart"/>
          </w:tcPr>
          <w:p w14:paraId="7AC4185C"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378.118</w:t>
            </w:r>
          </w:p>
        </w:tc>
        <w:tc>
          <w:tcPr>
            <w:tcW w:w="1288" w:type="dxa"/>
            <w:vMerge w:val="restart"/>
          </w:tcPr>
          <w:p w14:paraId="4FE784EC"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.000</w:t>
            </w:r>
            <w:r w:rsidRPr="00622066">
              <w:rPr>
                <w:rFonts w:ascii="Times New Roman" w:hAnsi="Times New Roman" w:cs="Times New Roman"/>
                <w:sz w:val="24"/>
                <w:szCs w:val="24"/>
                <w:vertAlign w:val="superscript"/>
              </w:rPr>
              <w:t>b</w:t>
            </w:r>
          </w:p>
        </w:tc>
      </w:tr>
      <w:tr w:rsidR="008C5F1C" w:rsidRPr="00622066" w14:paraId="494D2AD3" w14:textId="77777777" w:rsidTr="006C1026">
        <w:tc>
          <w:tcPr>
            <w:tcW w:w="1288" w:type="dxa"/>
            <w:vMerge/>
          </w:tcPr>
          <w:p w14:paraId="47C9868F" w14:textId="77777777" w:rsidR="008C5F1C" w:rsidRPr="00622066" w:rsidRDefault="008C5F1C" w:rsidP="00D41C49">
            <w:pPr>
              <w:spacing w:line="360" w:lineRule="auto"/>
              <w:jc w:val="both"/>
              <w:rPr>
                <w:rFonts w:ascii="Times New Roman" w:hAnsi="Times New Roman" w:cs="Times New Roman"/>
                <w:b/>
                <w:bCs/>
                <w:sz w:val="24"/>
                <w:szCs w:val="24"/>
              </w:rPr>
            </w:pPr>
          </w:p>
        </w:tc>
        <w:tc>
          <w:tcPr>
            <w:tcW w:w="1288" w:type="dxa"/>
          </w:tcPr>
          <w:p w14:paraId="193BF6B1"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Residual</w:t>
            </w:r>
          </w:p>
        </w:tc>
        <w:tc>
          <w:tcPr>
            <w:tcW w:w="1288" w:type="dxa"/>
          </w:tcPr>
          <w:p w14:paraId="2C739681"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9355.599</w:t>
            </w:r>
          </w:p>
        </w:tc>
        <w:tc>
          <w:tcPr>
            <w:tcW w:w="1288" w:type="dxa"/>
          </w:tcPr>
          <w:p w14:paraId="6961A129" w14:textId="70D66ECD" w:rsidR="008C5F1C" w:rsidRPr="00622066" w:rsidRDefault="00F06B0F" w:rsidP="00D41C4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8C5F1C" w:rsidRPr="00622066">
              <w:rPr>
                <w:rFonts w:ascii="Times New Roman" w:hAnsi="Times New Roman" w:cs="Times New Roman"/>
                <w:sz w:val="24"/>
                <w:szCs w:val="24"/>
              </w:rPr>
              <w:t>8</w:t>
            </w:r>
          </w:p>
        </w:tc>
        <w:tc>
          <w:tcPr>
            <w:tcW w:w="1288" w:type="dxa"/>
            <w:vMerge w:val="restart"/>
          </w:tcPr>
          <w:p w14:paraId="61709AFA"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194.908</w:t>
            </w:r>
          </w:p>
        </w:tc>
        <w:tc>
          <w:tcPr>
            <w:tcW w:w="1288" w:type="dxa"/>
            <w:vMerge/>
          </w:tcPr>
          <w:p w14:paraId="37F6570A" w14:textId="77777777" w:rsidR="008C5F1C" w:rsidRPr="00622066" w:rsidRDefault="008C5F1C" w:rsidP="00D41C49">
            <w:pPr>
              <w:spacing w:line="360" w:lineRule="auto"/>
              <w:jc w:val="center"/>
              <w:rPr>
                <w:rFonts w:ascii="Times New Roman" w:hAnsi="Times New Roman" w:cs="Times New Roman"/>
                <w:sz w:val="24"/>
                <w:szCs w:val="24"/>
              </w:rPr>
            </w:pPr>
          </w:p>
        </w:tc>
        <w:tc>
          <w:tcPr>
            <w:tcW w:w="1288" w:type="dxa"/>
            <w:vMerge/>
          </w:tcPr>
          <w:p w14:paraId="0075FBE5" w14:textId="77777777" w:rsidR="008C5F1C" w:rsidRPr="00622066" w:rsidRDefault="008C5F1C" w:rsidP="00D41C49">
            <w:pPr>
              <w:spacing w:line="360" w:lineRule="auto"/>
              <w:jc w:val="center"/>
              <w:rPr>
                <w:rFonts w:ascii="Times New Roman" w:hAnsi="Times New Roman" w:cs="Times New Roman"/>
                <w:sz w:val="24"/>
                <w:szCs w:val="24"/>
              </w:rPr>
            </w:pPr>
          </w:p>
        </w:tc>
      </w:tr>
      <w:tr w:rsidR="008C5F1C" w:rsidRPr="00622066" w14:paraId="31D94DD3" w14:textId="77777777" w:rsidTr="006C1026">
        <w:tc>
          <w:tcPr>
            <w:tcW w:w="1288" w:type="dxa"/>
            <w:vMerge/>
          </w:tcPr>
          <w:p w14:paraId="3070C80E" w14:textId="77777777" w:rsidR="008C5F1C" w:rsidRPr="00622066" w:rsidRDefault="008C5F1C" w:rsidP="00D41C49">
            <w:pPr>
              <w:spacing w:line="360" w:lineRule="auto"/>
              <w:jc w:val="both"/>
              <w:rPr>
                <w:rFonts w:ascii="Times New Roman" w:hAnsi="Times New Roman" w:cs="Times New Roman"/>
                <w:b/>
                <w:bCs/>
                <w:sz w:val="24"/>
                <w:szCs w:val="24"/>
              </w:rPr>
            </w:pPr>
          </w:p>
        </w:tc>
        <w:tc>
          <w:tcPr>
            <w:tcW w:w="1288" w:type="dxa"/>
          </w:tcPr>
          <w:p w14:paraId="71B79980"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Total</w:t>
            </w:r>
          </w:p>
        </w:tc>
        <w:tc>
          <w:tcPr>
            <w:tcW w:w="1288" w:type="dxa"/>
          </w:tcPr>
          <w:p w14:paraId="2B88AA3A" w14:textId="77777777" w:rsidR="008C5F1C" w:rsidRPr="00622066" w:rsidRDefault="008C5F1C" w:rsidP="00D41C49">
            <w:pPr>
              <w:spacing w:line="360" w:lineRule="auto"/>
              <w:jc w:val="center"/>
              <w:rPr>
                <w:rFonts w:ascii="Times New Roman" w:hAnsi="Times New Roman" w:cs="Times New Roman"/>
                <w:sz w:val="24"/>
                <w:szCs w:val="24"/>
              </w:rPr>
            </w:pPr>
            <w:r w:rsidRPr="00622066">
              <w:rPr>
                <w:rFonts w:ascii="Times New Roman" w:hAnsi="Times New Roman" w:cs="Times New Roman"/>
                <w:sz w:val="24"/>
                <w:szCs w:val="24"/>
              </w:rPr>
              <w:t>83054.020</w:t>
            </w:r>
          </w:p>
        </w:tc>
        <w:tc>
          <w:tcPr>
            <w:tcW w:w="1288" w:type="dxa"/>
          </w:tcPr>
          <w:p w14:paraId="34F74E1C" w14:textId="714F9024" w:rsidR="008C5F1C" w:rsidRPr="00622066" w:rsidRDefault="00F06B0F" w:rsidP="00D41C4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8C5F1C" w:rsidRPr="00622066">
              <w:rPr>
                <w:rFonts w:ascii="Times New Roman" w:hAnsi="Times New Roman" w:cs="Times New Roman"/>
                <w:sz w:val="24"/>
                <w:szCs w:val="24"/>
              </w:rPr>
              <w:t>9</w:t>
            </w:r>
          </w:p>
        </w:tc>
        <w:tc>
          <w:tcPr>
            <w:tcW w:w="1288" w:type="dxa"/>
            <w:vMerge/>
          </w:tcPr>
          <w:p w14:paraId="0E7C5640" w14:textId="77777777" w:rsidR="008C5F1C" w:rsidRPr="00622066" w:rsidRDefault="008C5F1C" w:rsidP="00D41C49">
            <w:pPr>
              <w:spacing w:line="360" w:lineRule="auto"/>
              <w:jc w:val="center"/>
              <w:rPr>
                <w:rFonts w:ascii="Times New Roman" w:hAnsi="Times New Roman" w:cs="Times New Roman"/>
                <w:sz w:val="24"/>
                <w:szCs w:val="24"/>
              </w:rPr>
            </w:pPr>
          </w:p>
        </w:tc>
        <w:tc>
          <w:tcPr>
            <w:tcW w:w="1288" w:type="dxa"/>
            <w:vMerge/>
          </w:tcPr>
          <w:p w14:paraId="53059311" w14:textId="77777777" w:rsidR="008C5F1C" w:rsidRPr="00622066" w:rsidRDefault="008C5F1C" w:rsidP="00D41C49">
            <w:pPr>
              <w:spacing w:line="360" w:lineRule="auto"/>
              <w:jc w:val="center"/>
              <w:rPr>
                <w:rFonts w:ascii="Times New Roman" w:hAnsi="Times New Roman" w:cs="Times New Roman"/>
                <w:sz w:val="24"/>
                <w:szCs w:val="24"/>
              </w:rPr>
            </w:pPr>
          </w:p>
        </w:tc>
        <w:tc>
          <w:tcPr>
            <w:tcW w:w="1288" w:type="dxa"/>
            <w:vMerge/>
          </w:tcPr>
          <w:p w14:paraId="17E7C766" w14:textId="77777777" w:rsidR="008C5F1C" w:rsidRPr="00622066" w:rsidRDefault="008C5F1C" w:rsidP="00D41C49">
            <w:pPr>
              <w:spacing w:line="360" w:lineRule="auto"/>
              <w:jc w:val="center"/>
              <w:rPr>
                <w:rFonts w:ascii="Times New Roman" w:hAnsi="Times New Roman" w:cs="Times New Roman"/>
                <w:sz w:val="24"/>
                <w:szCs w:val="24"/>
              </w:rPr>
            </w:pPr>
          </w:p>
        </w:tc>
      </w:tr>
      <w:tr w:rsidR="008C5F1C" w:rsidRPr="00622066" w14:paraId="18CFDD79" w14:textId="77777777" w:rsidTr="006C1026">
        <w:tc>
          <w:tcPr>
            <w:tcW w:w="9016" w:type="dxa"/>
            <w:gridSpan w:val="7"/>
          </w:tcPr>
          <w:p w14:paraId="788B7336" w14:textId="77777777" w:rsidR="008C5F1C" w:rsidRPr="00622066" w:rsidRDefault="008C5F1C" w:rsidP="008C5F1C">
            <w:pPr>
              <w:pStyle w:val="ListParagraph"/>
              <w:numPr>
                <w:ilvl w:val="0"/>
                <w:numId w:val="7"/>
              </w:numPr>
              <w:spacing w:line="360" w:lineRule="auto"/>
              <w:jc w:val="both"/>
              <w:rPr>
                <w:rFonts w:ascii="Times New Roman" w:hAnsi="Times New Roman" w:cs="Times New Roman"/>
                <w:b/>
                <w:bCs/>
                <w:sz w:val="24"/>
                <w:szCs w:val="24"/>
              </w:rPr>
            </w:pPr>
            <w:r w:rsidRPr="00622066">
              <w:rPr>
                <w:rFonts w:ascii="Times New Roman" w:hAnsi="Times New Roman" w:cs="Times New Roman"/>
                <w:sz w:val="24"/>
                <w:szCs w:val="24"/>
              </w:rPr>
              <w:t>Dependent Variable: Teacher Educators’ Continuous Professional Development</w:t>
            </w:r>
          </w:p>
        </w:tc>
      </w:tr>
      <w:tr w:rsidR="008C5F1C" w:rsidRPr="00622066" w14:paraId="6048F798" w14:textId="77777777" w:rsidTr="006C1026">
        <w:tc>
          <w:tcPr>
            <w:tcW w:w="9016" w:type="dxa"/>
            <w:gridSpan w:val="7"/>
          </w:tcPr>
          <w:p w14:paraId="7970325C" w14:textId="77777777" w:rsidR="008C5F1C" w:rsidRPr="00622066" w:rsidRDefault="008C5F1C" w:rsidP="008C5F1C">
            <w:pPr>
              <w:pStyle w:val="ListParagraph"/>
              <w:numPr>
                <w:ilvl w:val="0"/>
                <w:numId w:val="7"/>
              </w:numPr>
              <w:spacing w:line="360" w:lineRule="auto"/>
              <w:jc w:val="both"/>
              <w:rPr>
                <w:rFonts w:ascii="Times New Roman" w:hAnsi="Times New Roman" w:cs="Times New Roman"/>
                <w:b/>
                <w:bCs/>
                <w:sz w:val="24"/>
                <w:szCs w:val="24"/>
              </w:rPr>
            </w:pPr>
            <w:r w:rsidRPr="00622066">
              <w:rPr>
                <w:rFonts w:ascii="Times New Roman" w:hAnsi="Times New Roman" w:cs="Times New Roman"/>
                <w:sz w:val="24"/>
                <w:szCs w:val="24"/>
              </w:rPr>
              <w:t>Predictor: (Constant), Teacher Educators’ Digital Competence</w:t>
            </w:r>
          </w:p>
        </w:tc>
      </w:tr>
    </w:tbl>
    <w:p w14:paraId="75CF89BB" w14:textId="77777777" w:rsidR="00DE72E3" w:rsidRPr="00622066" w:rsidRDefault="00DE72E3" w:rsidP="008C5F1C">
      <w:pPr>
        <w:spacing w:line="360" w:lineRule="auto"/>
        <w:jc w:val="both"/>
        <w:rPr>
          <w:rFonts w:ascii="Times New Roman" w:hAnsi="Times New Roman" w:cs="Times New Roman"/>
          <w:sz w:val="24"/>
          <w:szCs w:val="24"/>
        </w:rPr>
      </w:pPr>
    </w:p>
    <w:p w14:paraId="6A4F6BF1" w14:textId="5FD92CFC"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 xml:space="preserve">The results in the above table indicate that teacher educators’ digital competence is a significant predictor of teacher educators’ continuous professional development [F (1, </w:t>
      </w:r>
      <w:r w:rsidR="00C73A31">
        <w:rPr>
          <w:rFonts w:ascii="Times New Roman" w:hAnsi="Times New Roman" w:cs="Times New Roman"/>
          <w:sz w:val="24"/>
          <w:szCs w:val="24"/>
        </w:rPr>
        <w:t>9</w:t>
      </w:r>
      <w:r w:rsidRPr="00622066">
        <w:rPr>
          <w:rFonts w:ascii="Times New Roman" w:hAnsi="Times New Roman" w:cs="Times New Roman"/>
          <w:sz w:val="24"/>
          <w:szCs w:val="24"/>
        </w:rPr>
        <w:t>8) =378.118, p=.000&lt;.05. This indicates a statistically significant relationship, suggesting that teacher educators with higher levels of digital competence are more likely to engage in or benefit from continuous professional development activities compared to those with lower digital competence.</w:t>
      </w:r>
    </w:p>
    <w:p w14:paraId="319B9879" w14:textId="3548F112" w:rsidR="008C5F1C" w:rsidRPr="00622066" w:rsidRDefault="008C5F1C"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 xml:space="preserve">The present study investigated the digital competence of teacher educators and </w:t>
      </w:r>
      <w:r w:rsidR="00567A14" w:rsidRPr="00622066">
        <w:rPr>
          <w:rFonts w:ascii="Times New Roman" w:hAnsi="Times New Roman" w:cs="Times New Roman"/>
          <w:sz w:val="24"/>
          <w:szCs w:val="24"/>
        </w:rPr>
        <w:t>their</w:t>
      </w:r>
      <w:r w:rsidRPr="00622066">
        <w:rPr>
          <w:rFonts w:ascii="Times New Roman" w:hAnsi="Times New Roman" w:cs="Times New Roman"/>
          <w:sz w:val="24"/>
          <w:szCs w:val="24"/>
        </w:rPr>
        <w:t xml:space="preserve"> relationship with their continuous professional development (CPD). The findings highlight the critical role digital competence </w:t>
      </w:r>
      <w:r w:rsidR="00567A14" w:rsidRPr="00622066">
        <w:rPr>
          <w:rFonts w:ascii="Times New Roman" w:hAnsi="Times New Roman" w:cs="Times New Roman"/>
          <w:sz w:val="24"/>
          <w:szCs w:val="24"/>
        </w:rPr>
        <w:t>plays</w:t>
      </w:r>
      <w:r w:rsidRPr="00622066">
        <w:rPr>
          <w:rFonts w:ascii="Times New Roman" w:hAnsi="Times New Roman" w:cs="Times New Roman"/>
          <w:sz w:val="24"/>
          <w:szCs w:val="24"/>
        </w:rPr>
        <w:t xml:space="preserve"> in fostering educators’ continuing learning and growth. Descriptive analysis revealed that the digital competence scores among the </w:t>
      </w:r>
      <w:r w:rsidR="00CB1459">
        <w:rPr>
          <w:rFonts w:ascii="Times New Roman" w:hAnsi="Times New Roman" w:cs="Times New Roman"/>
          <w:sz w:val="24"/>
          <w:szCs w:val="24"/>
        </w:rPr>
        <w:t>10</w:t>
      </w:r>
      <w:r w:rsidRPr="00622066">
        <w:rPr>
          <w:rFonts w:ascii="Times New Roman" w:hAnsi="Times New Roman" w:cs="Times New Roman"/>
          <w:sz w:val="24"/>
          <w:szCs w:val="24"/>
        </w:rPr>
        <w:t xml:space="preserve">0 teacher educators surveyed ranged from 61 to 295, with a mean score of 186.02 and a standard deviation of </w:t>
      </w:r>
      <w:r w:rsidR="00AD0BAA" w:rsidRPr="00622066">
        <w:rPr>
          <w:rFonts w:ascii="Times New Roman" w:hAnsi="Times New Roman" w:cs="Times New Roman"/>
          <w:sz w:val="24"/>
          <w:szCs w:val="24"/>
        </w:rPr>
        <w:t>29.1408</w:t>
      </w:r>
      <w:r w:rsidRPr="00622066">
        <w:rPr>
          <w:rFonts w:ascii="Times New Roman" w:hAnsi="Times New Roman" w:cs="Times New Roman"/>
          <w:sz w:val="24"/>
          <w:szCs w:val="24"/>
        </w:rPr>
        <w:t>. This wide variation indicates a diverse level of digital preparedness among teacher educators in Odisha, with some demonstrating high proficiency while others remain at a basic level. To examine the relationship between digital competence and CPD, Pearson’s correlation coefficient was employed. The analysis revealed a highly significant and strong positive correlation (r = 0.942, p &lt; 0.0001), indicating that higher levels of digital competence are strongly associated with increased engagement in professional development. This finding supports previous research asserting that digital proficiency enables educators to effectively engage in CPD activities by integrating digital tools into their pedagogy and professional learning (</w:t>
      </w:r>
      <w:proofErr w:type="spellStart"/>
      <w:r w:rsidRPr="00622066">
        <w:rPr>
          <w:rFonts w:ascii="Times New Roman" w:hAnsi="Times New Roman" w:cs="Times New Roman"/>
          <w:sz w:val="24"/>
          <w:szCs w:val="24"/>
        </w:rPr>
        <w:t>Instefjord</w:t>
      </w:r>
      <w:proofErr w:type="spellEnd"/>
      <w:r w:rsidRPr="00622066">
        <w:rPr>
          <w:rFonts w:ascii="Times New Roman" w:hAnsi="Times New Roman" w:cs="Times New Roman"/>
          <w:sz w:val="24"/>
          <w:szCs w:val="24"/>
        </w:rPr>
        <w:t xml:space="preserve"> &amp; </w:t>
      </w:r>
      <w:proofErr w:type="spellStart"/>
      <w:r w:rsidRPr="00622066">
        <w:rPr>
          <w:rFonts w:ascii="Times New Roman" w:hAnsi="Times New Roman" w:cs="Times New Roman"/>
          <w:sz w:val="24"/>
          <w:szCs w:val="24"/>
        </w:rPr>
        <w:t>Munthe</w:t>
      </w:r>
      <w:proofErr w:type="spellEnd"/>
      <w:r w:rsidRPr="00622066">
        <w:rPr>
          <w:rFonts w:ascii="Times New Roman" w:hAnsi="Times New Roman" w:cs="Times New Roman"/>
          <w:sz w:val="24"/>
          <w:szCs w:val="24"/>
        </w:rPr>
        <w:t>, 2017; Silva et al., 2019; Dincer, 2018).</w:t>
      </w:r>
    </w:p>
    <w:p w14:paraId="39352AE1" w14:textId="3E650848"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Further, regression analysis was conducted to evaluate the predictive power of digital competence on CPD. The results confirmed that digital competence is a significant predictor of CPD, explaining 88.7% of the variance (Adjusted R² = 0.885). The regression equation: CPD=18.637+0.560 (Digital </w:t>
      </w:r>
      <w:r w:rsidR="00567A14" w:rsidRPr="00622066">
        <w:rPr>
          <w:rFonts w:ascii="Times New Roman" w:hAnsi="Times New Roman" w:cs="Times New Roman"/>
          <w:sz w:val="24"/>
          <w:szCs w:val="24"/>
        </w:rPr>
        <w:t>Competence) demonstrates</w:t>
      </w:r>
      <w:r w:rsidRPr="00622066">
        <w:rPr>
          <w:rFonts w:ascii="Times New Roman" w:hAnsi="Times New Roman" w:cs="Times New Roman"/>
          <w:sz w:val="24"/>
          <w:szCs w:val="24"/>
        </w:rPr>
        <w:t xml:space="preserve"> that for every unit increase in digital competence, there is a 0.560 unit increase in CPD. The ANOVA result [F (1, </w:t>
      </w:r>
      <w:r w:rsidR="00CB1459">
        <w:rPr>
          <w:rFonts w:ascii="Times New Roman" w:hAnsi="Times New Roman" w:cs="Times New Roman"/>
          <w:sz w:val="24"/>
          <w:szCs w:val="24"/>
        </w:rPr>
        <w:t>9</w:t>
      </w:r>
      <w:r w:rsidRPr="00622066">
        <w:rPr>
          <w:rFonts w:ascii="Times New Roman" w:hAnsi="Times New Roman" w:cs="Times New Roman"/>
          <w:sz w:val="24"/>
          <w:szCs w:val="24"/>
        </w:rPr>
        <w:t xml:space="preserve">8) = 378.118, p &lt; 0.0001] confirms that this relationship is statistically significant. These results substantiate the hypothesis that digital competence is a key enabler of sustained professional learning and </w:t>
      </w:r>
      <w:r w:rsidRPr="00622066">
        <w:rPr>
          <w:rFonts w:ascii="Times New Roman" w:hAnsi="Times New Roman" w:cs="Times New Roman"/>
          <w:sz w:val="24"/>
          <w:szCs w:val="24"/>
        </w:rPr>
        <w:lastRenderedPageBreak/>
        <w:t>suggest that teacher educators who possess higher digital competence are better positioned to participate in and benefit from CPD activities.  This outcome is consistent with the literature, which emphasizes the growing necessity for educators to develop strong digital capabilities in the face of rapid technological advancements and changing pedagogical demands (</w:t>
      </w:r>
      <w:proofErr w:type="spellStart"/>
      <w:r w:rsidRPr="00622066">
        <w:rPr>
          <w:rFonts w:ascii="Times New Roman" w:hAnsi="Times New Roman" w:cs="Times New Roman"/>
          <w:sz w:val="24"/>
          <w:szCs w:val="24"/>
        </w:rPr>
        <w:t>Krumsvik</w:t>
      </w:r>
      <w:proofErr w:type="spellEnd"/>
      <w:r w:rsidRPr="00622066">
        <w:rPr>
          <w:rFonts w:ascii="Times New Roman" w:hAnsi="Times New Roman" w:cs="Times New Roman"/>
          <w:sz w:val="24"/>
          <w:szCs w:val="24"/>
        </w:rPr>
        <w:t>, 2011; Maria et al., 2021). With the shift towards blended and remote learning environments, especially following the COVID-19 pandemic (Schleicher, 2020), digital skills have become indispensable for effective teaching and continuous learning.</w:t>
      </w:r>
    </w:p>
    <w:p w14:paraId="47BADA2C" w14:textId="77777777" w:rsidR="008C5F1C" w:rsidRPr="00622066" w:rsidRDefault="008C5F1C" w:rsidP="008C5F1C">
      <w:pPr>
        <w:spacing w:line="360" w:lineRule="auto"/>
        <w:jc w:val="both"/>
        <w:rPr>
          <w:rFonts w:ascii="Times New Roman" w:hAnsi="Times New Roman" w:cs="Times New Roman"/>
          <w:sz w:val="24"/>
          <w:szCs w:val="24"/>
        </w:rPr>
      </w:pPr>
      <w:r w:rsidRPr="00622066">
        <w:rPr>
          <w:rFonts w:ascii="Times New Roman" w:hAnsi="Times New Roman" w:cs="Times New Roman"/>
          <w:sz w:val="24"/>
          <w:szCs w:val="24"/>
        </w:rPr>
        <w:t>The findings of this study highlight the critical need to integrate digital competence training into teacher education programmes. Prioritizing digital competence is essential for enhancing instructional effectiveness and supporting the continuing professional development of teacher educators. By addressing a research gap specific to teacher education in Odisha, this study offers valuable contributions to the wider discourse on the role of digital transformation in shaping effective professional development practices.</w:t>
      </w:r>
    </w:p>
    <w:p w14:paraId="1E47EDDA" w14:textId="609D8A1A" w:rsidR="0000682F" w:rsidRPr="00622066" w:rsidRDefault="0000682F"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Educational Implications</w:t>
      </w:r>
    </w:p>
    <w:p w14:paraId="0F6AA48E" w14:textId="76986BAF" w:rsidR="0000682F" w:rsidRPr="008E560C" w:rsidRDefault="0000682F" w:rsidP="009A29FB">
      <w:pPr>
        <w:spacing w:line="360" w:lineRule="auto"/>
        <w:ind w:firstLine="720"/>
        <w:jc w:val="both"/>
        <w:rPr>
          <w:rFonts w:ascii="Times New Roman" w:hAnsi="Times New Roman" w:cs="Times New Roman"/>
          <w:sz w:val="24"/>
          <w:szCs w:val="24"/>
        </w:rPr>
      </w:pPr>
      <w:r w:rsidRPr="0018369C">
        <w:rPr>
          <w:rFonts w:ascii="Times New Roman" w:hAnsi="Times New Roman" w:cs="Times New Roman"/>
          <w:sz w:val="24"/>
          <w:szCs w:val="24"/>
        </w:rPr>
        <w:t xml:space="preserve">The findings of this study reveal several key educational implications. Firstly, there is a need for the integration of digital literacy training in both pre-service and in-service teacher education programs, as digital competence is strongly linked to professional development. curriculum reforms are essential, particularly in teacher training institutions like DIETs, where structured modules on digital pedagogy and technology integration should be incorporated. </w:t>
      </w:r>
      <w:r w:rsidR="008E560C">
        <w:rPr>
          <w:rFonts w:ascii="Times New Roman" w:hAnsi="Times New Roman" w:cs="Times New Roman"/>
          <w:sz w:val="24"/>
          <w:szCs w:val="24"/>
        </w:rPr>
        <w:t>T</w:t>
      </w:r>
      <w:r w:rsidRPr="008E560C">
        <w:rPr>
          <w:rFonts w:ascii="Times New Roman" w:hAnsi="Times New Roman" w:cs="Times New Roman"/>
          <w:sz w:val="24"/>
          <w:szCs w:val="24"/>
        </w:rPr>
        <w:t>he empowerment of teacher educators through digital tools can significantly enhance their teaching methodologies while also promoting greater student engagement and fostering 21st-century skills.</w:t>
      </w:r>
    </w:p>
    <w:p w14:paraId="4F29594F" w14:textId="661BE69E" w:rsidR="00C7646D" w:rsidRPr="00622066" w:rsidRDefault="00C7646D" w:rsidP="00BB2F60">
      <w:pPr>
        <w:spacing w:line="360" w:lineRule="auto"/>
        <w:jc w:val="center"/>
        <w:rPr>
          <w:rFonts w:ascii="Times New Roman" w:hAnsi="Times New Roman" w:cs="Times New Roman"/>
          <w:b/>
          <w:bCs/>
          <w:sz w:val="24"/>
          <w:szCs w:val="24"/>
        </w:rPr>
      </w:pPr>
      <w:r w:rsidRPr="00622066">
        <w:rPr>
          <w:rFonts w:ascii="Times New Roman" w:hAnsi="Times New Roman" w:cs="Times New Roman"/>
          <w:b/>
          <w:bCs/>
          <w:sz w:val="24"/>
          <w:szCs w:val="24"/>
        </w:rPr>
        <w:t>Conclusion</w:t>
      </w:r>
    </w:p>
    <w:p w14:paraId="2451D869" w14:textId="769D26AC" w:rsidR="001D78E8" w:rsidRDefault="001D78E8" w:rsidP="00BB2F60">
      <w:pPr>
        <w:spacing w:line="360" w:lineRule="auto"/>
        <w:ind w:firstLine="720"/>
        <w:jc w:val="both"/>
        <w:rPr>
          <w:rFonts w:ascii="Times New Roman" w:hAnsi="Times New Roman" w:cs="Times New Roman"/>
          <w:sz w:val="24"/>
          <w:szCs w:val="24"/>
        </w:rPr>
      </w:pPr>
      <w:r w:rsidRPr="00622066">
        <w:rPr>
          <w:rFonts w:ascii="Times New Roman" w:hAnsi="Times New Roman" w:cs="Times New Roman"/>
          <w:sz w:val="24"/>
          <w:szCs w:val="24"/>
        </w:rPr>
        <w:t>This study indicates that among teacher educators, digital competence is a key predictor of continuing professional development</w:t>
      </w:r>
      <w:r w:rsidR="00CF5FAF" w:rsidRPr="00622066">
        <w:rPr>
          <w:rFonts w:ascii="Times New Roman" w:hAnsi="Times New Roman" w:cs="Times New Roman"/>
          <w:sz w:val="24"/>
          <w:szCs w:val="24"/>
        </w:rPr>
        <w:t>,</w:t>
      </w:r>
      <w:r w:rsidRPr="00622066">
        <w:rPr>
          <w:rFonts w:ascii="Times New Roman" w:hAnsi="Times New Roman" w:cs="Times New Roman"/>
          <w:sz w:val="24"/>
          <w:szCs w:val="24"/>
        </w:rPr>
        <w:t xml:space="preserve"> in addition to having a positive relationship with it. Given that digital </w:t>
      </w:r>
      <w:r w:rsidR="00560C1C" w:rsidRPr="00622066">
        <w:rPr>
          <w:rFonts w:ascii="Times New Roman" w:hAnsi="Times New Roman" w:cs="Times New Roman"/>
          <w:sz w:val="24"/>
          <w:szCs w:val="24"/>
        </w:rPr>
        <w:t>competence</w:t>
      </w:r>
      <w:r w:rsidRPr="00622066">
        <w:rPr>
          <w:rFonts w:ascii="Times New Roman" w:hAnsi="Times New Roman" w:cs="Times New Roman"/>
          <w:sz w:val="24"/>
          <w:szCs w:val="24"/>
        </w:rPr>
        <w:t xml:space="preserve">s explain almost 89% of the variation in CPD levels, the data emphasises how important digital proficiency is for raising educational standards. As the education sector continues to change in response to global issues like the COVID-19 epidemic and technology breakthroughs, developing digital competency becomes increasingly important for both professional development and high-quality instruction. To develop reflective, creative, and future-ready teachers, including focused digital training </w:t>
      </w:r>
      <w:r w:rsidR="00560C1C" w:rsidRPr="00622066">
        <w:rPr>
          <w:rFonts w:ascii="Times New Roman" w:hAnsi="Times New Roman" w:cs="Times New Roman"/>
          <w:sz w:val="24"/>
          <w:szCs w:val="24"/>
        </w:rPr>
        <w:t>in</w:t>
      </w:r>
      <w:r w:rsidRPr="00622066">
        <w:rPr>
          <w:rFonts w:ascii="Times New Roman" w:hAnsi="Times New Roman" w:cs="Times New Roman"/>
          <w:sz w:val="24"/>
          <w:szCs w:val="24"/>
        </w:rPr>
        <w:t xml:space="preserve"> teacher education</w:t>
      </w:r>
      <w:r w:rsidR="00E40976" w:rsidRPr="00622066">
        <w:rPr>
          <w:rFonts w:ascii="Times New Roman" w:hAnsi="Times New Roman" w:cs="Times New Roman"/>
          <w:sz w:val="24"/>
          <w:szCs w:val="24"/>
        </w:rPr>
        <w:t>,</w:t>
      </w:r>
      <w:r w:rsidRPr="00622066">
        <w:rPr>
          <w:rFonts w:ascii="Times New Roman" w:hAnsi="Times New Roman" w:cs="Times New Roman"/>
          <w:sz w:val="24"/>
          <w:szCs w:val="24"/>
        </w:rPr>
        <w:t xml:space="preserve"> is now a must, not a choice.</w:t>
      </w:r>
    </w:p>
    <w:p w14:paraId="12187803" w14:textId="77777777" w:rsidR="00C846A4" w:rsidRPr="00622066" w:rsidRDefault="00C846A4" w:rsidP="00C846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w:t>
      </w:r>
      <w:r w:rsidRPr="00622066">
        <w:rPr>
          <w:rFonts w:ascii="Times New Roman" w:hAnsi="Times New Roman" w:cs="Times New Roman"/>
          <w:b/>
          <w:bCs/>
          <w:sz w:val="24"/>
          <w:szCs w:val="24"/>
        </w:rPr>
        <w:t>imitations of the Study</w:t>
      </w:r>
    </w:p>
    <w:p w14:paraId="4FC0BF6D" w14:textId="77777777" w:rsidR="00C846A4" w:rsidRPr="005B29F7" w:rsidRDefault="00C846A4" w:rsidP="00C846A4">
      <w:pPr>
        <w:spacing w:line="360" w:lineRule="auto"/>
        <w:jc w:val="both"/>
        <w:rPr>
          <w:rFonts w:ascii="Times New Roman" w:hAnsi="Times New Roman" w:cs="Times New Roman"/>
          <w:sz w:val="24"/>
          <w:szCs w:val="24"/>
        </w:rPr>
      </w:pPr>
      <w:r w:rsidRPr="005B29F7">
        <w:rPr>
          <w:rFonts w:ascii="Times New Roman" w:hAnsi="Times New Roman" w:cs="Times New Roman"/>
          <w:sz w:val="24"/>
          <w:szCs w:val="24"/>
        </w:rPr>
        <w:t>The present study is delimited to digital competence and continuous professional development of teacher educators.</w:t>
      </w:r>
      <w:r>
        <w:rPr>
          <w:rFonts w:ascii="Times New Roman" w:hAnsi="Times New Roman" w:cs="Times New Roman"/>
          <w:sz w:val="24"/>
          <w:szCs w:val="24"/>
        </w:rPr>
        <w:t xml:space="preserve"> </w:t>
      </w:r>
      <w:r w:rsidRPr="005B29F7">
        <w:rPr>
          <w:rFonts w:ascii="Times New Roman" w:hAnsi="Times New Roman" w:cs="Times New Roman"/>
          <w:sz w:val="24"/>
          <w:szCs w:val="24"/>
        </w:rPr>
        <w:t>The present study is delimited to teacher educators working in DIETs of Odisha only.</w:t>
      </w:r>
      <w:r>
        <w:rPr>
          <w:rFonts w:ascii="Times New Roman" w:hAnsi="Times New Roman" w:cs="Times New Roman"/>
          <w:sz w:val="24"/>
          <w:szCs w:val="24"/>
        </w:rPr>
        <w:t xml:space="preserve"> </w:t>
      </w:r>
      <w:r w:rsidRPr="005B29F7">
        <w:rPr>
          <w:rFonts w:ascii="Times New Roman" w:hAnsi="Times New Roman" w:cs="Times New Roman"/>
          <w:sz w:val="24"/>
          <w:szCs w:val="24"/>
        </w:rPr>
        <w:t>The present study is delimited to permanent teacher educators working in DIETs only.</w:t>
      </w:r>
    </w:p>
    <w:p w14:paraId="60055123" w14:textId="77777777" w:rsidR="00BB2F60" w:rsidRDefault="00BB2F60" w:rsidP="008C5F1C">
      <w:pPr>
        <w:spacing w:line="360" w:lineRule="auto"/>
        <w:jc w:val="both"/>
        <w:rPr>
          <w:rFonts w:ascii="Times New Roman" w:hAnsi="Times New Roman" w:cs="Times New Roman"/>
          <w:b/>
          <w:bCs/>
          <w:sz w:val="24"/>
          <w:szCs w:val="24"/>
        </w:rPr>
      </w:pPr>
    </w:p>
    <w:p w14:paraId="3E7184CA" w14:textId="2B5110FC" w:rsidR="008C5F1C" w:rsidRPr="003B3185" w:rsidRDefault="008C5F1C" w:rsidP="00BB2F60">
      <w:pPr>
        <w:spacing w:line="360" w:lineRule="auto"/>
        <w:jc w:val="center"/>
        <w:rPr>
          <w:rFonts w:ascii="Times New Roman" w:hAnsi="Times New Roman" w:cs="Times New Roman"/>
          <w:b/>
          <w:bCs/>
          <w:sz w:val="24"/>
          <w:szCs w:val="24"/>
        </w:rPr>
      </w:pPr>
      <w:r w:rsidRPr="003B3185">
        <w:rPr>
          <w:rFonts w:ascii="Times New Roman" w:hAnsi="Times New Roman" w:cs="Times New Roman"/>
          <w:b/>
          <w:bCs/>
          <w:sz w:val="24"/>
          <w:szCs w:val="24"/>
        </w:rPr>
        <w:t>References</w:t>
      </w:r>
    </w:p>
    <w:p w14:paraId="664BA99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Amhag</w:t>
      </w:r>
      <w:proofErr w:type="spellEnd"/>
      <w:r w:rsidRPr="00DE0CF1">
        <w:rPr>
          <w:rFonts w:ascii="Times New Roman" w:hAnsi="Times New Roman" w:cs="Times New Roman"/>
          <w:sz w:val="24"/>
          <w:szCs w:val="24"/>
        </w:rPr>
        <w:t xml:space="preserve">, L., Hellström, L., &amp; </w:t>
      </w:r>
      <w:proofErr w:type="spellStart"/>
      <w:r w:rsidRPr="00DE0CF1">
        <w:rPr>
          <w:rFonts w:ascii="Times New Roman" w:hAnsi="Times New Roman" w:cs="Times New Roman"/>
          <w:sz w:val="24"/>
          <w:szCs w:val="24"/>
        </w:rPr>
        <w:t>Stigmar</w:t>
      </w:r>
      <w:proofErr w:type="spellEnd"/>
      <w:r w:rsidRPr="00DE0CF1">
        <w:rPr>
          <w:rFonts w:ascii="Times New Roman" w:hAnsi="Times New Roman" w:cs="Times New Roman"/>
          <w:sz w:val="24"/>
          <w:szCs w:val="24"/>
        </w:rPr>
        <w:t xml:space="preserve">, M. (2019). Teacher educators’ use of digital tools and needs for digital competence in higher education. </w:t>
      </w:r>
      <w:r w:rsidRPr="00DE0CF1">
        <w:rPr>
          <w:rFonts w:ascii="Times New Roman" w:hAnsi="Times New Roman" w:cs="Times New Roman"/>
          <w:i/>
          <w:iCs/>
          <w:sz w:val="24"/>
          <w:szCs w:val="24"/>
        </w:rPr>
        <w:t>Journal of Digital Learning in Teacher Education, 35</w:t>
      </w:r>
      <w:r w:rsidRPr="00DE0CF1">
        <w:rPr>
          <w:rFonts w:ascii="Times New Roman" w:hAnsi="Times New Roman" w:cs="Times New Roman"/>
          <w:sz w:val="24"/>
          <w:szCs w:val="24"/>
        </w:rPr>
        <w:t>(4), 203–220. https://doi.org/10.1080/21532974.2019.1647579</w:t>
      </w:r>
    </w:p>
    <w:p w14:paraId="7FB5924A"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Blazar, D., &amp; Kraft, M. A. (2017). Teacher and teaching effects on students’ attitudes and </w:t>
      </w:r>
      <w:proofErr w:type="spellStart"/>
      <w:r w:rsidRPr="00DE0CF1">
        <w:rPr>
          <w:rFonts w:ascii="Times New Roman" w:hAnsi="Times New Roman" w:cs="Times New Roman"/>
          <w:sz w:val="24"/>
          <w:szCs w:val="24"/>
        </w:rPr>
        <w:t>behaviors</w:t>
      </w:r>
      <w:proofErr w:type="spellEnd"/>
      <w:r w:rsidRPr="00DE0CF1">
        <w:rPr>
          <w:rFonts w:ascii="Times New Roman" w:hAnsi="Times New Roman" w:cs="Times New Roman"/>
          <w:sz w:val="24"/>
          <w:szCs w:val="24"/>
        </w:rPr>
        <w:t xml:space="preserve">. </w:t>
      </w:r>
      <w:r w:rsidRPr="00DE0CF1">
        <w:rPr>
          <w:rFonts w:ascii="Times New Roman" w:hAnsi="Times New Roman" w:cs="Times New Roman"/>
          <w:i/>
          <w:iCs/>
          <w:sz w:val="24"/>
          <w:szCs w:val="24"/>
        </w:rPr>
        <w:t>Educational Evaluation and Policy Analysis, 39</w:t>
      </w:r>
      <w:r w:rsidRPr="00DE0CF1">
        <w:rPr>
          <w:rFonts w:ascii="Times New Roman" w:hAnsi="Times New Roman" w:cs="Times New Roman"/>
          <w:sz w:val="24"/>
          <w:szCs w:val="24"/>
        </w:rPr>
        <w:t xml:space="preserve">(1), 146–170. </w:t>
      </w:r>
      <w:hyperlink r:id="rId8" w:tgtFrame="_new" w:history="1">
        <w:r w:rsidRPr="00DE0CF1">
          <w:rPr>
            <w:rStyle w:val="Hyperlink"/>
            <w:rFonts w:ascii="Times New Roman" w:hAnsi="Times New Roman" w:cs="Times New Roman"/>
            <w:sz w:val="24"/>
            <w:szCs w:val="24"/>
          </w:rPr>
          <w:t>https://doi.org/10.3102/0162373716670260</w:t>
        </w:r>
      </w:hyperlink>
    </w:p>
    <w:p w14:paraId="73BA26E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Bray-Clark, N., &amp; Bates, R. (2003). Self-efficacy beliefs and teacher effectiveness: Implications for professional development. </w:t>
      </w:r>
      <w:r w:rsidRPr="00DE0CF1">
        <w:rPr>
          <w:rFonts w:ascii="Times New Roman" w:hAnsi="Times New Roman" w:cs="Times New Roman"/>
          <w:i/>
          <w:iCs/>
          <w:sz w:val="24"/>
          <w:szCs w:val="24"/>
        </w:rPr>
        <w:t>The Professional Educator, 25</w:t>
      </w:r>
      <w:r w:rsidRPr="00DE0CF1">
        <w:rPr>
          <w:rFonts w:ascii="Times New Roman" w:hAnsi="Times New Roman" w:cs="Times New Roman"/>
          <w:sz w:val="24"/>
          <w:szCs w:val="24"/>
        </w:rPr>
        <w:t>(1), 13–22.</w:t>
      </w:r>
    </w:p>
    <w:p w14:paraId="477450A7"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Cheetham, G., &amp; </w:t>
      </w:r>
      <w:proofErr w:type="spellStart"/>
      <w:r w:rsidRPr="00DE0CF1">
        <w:rPr>
          <w:rFonts w:ascii="Times New Roman" w:hAnsi="Times New Roman" w:cs="Times New Roman"/>
          <w:sz w:val="24"/>
          <w:szCs w:val="24"/>
        </w:rPr>
        <w:t>Chivers</w:t>
      </w:r>
      <w:proofErr w:type="spellEnd"/>
      <w:r w:rsidRPr="00DE0CF1">
        <w:rPr>
          <w:rFonts w:ascii="Times New Roman" w:hAnsi="Times New Roman" w:cs="Times New Roman"/>
          <w:sz w:val="24"/>
          <w:szCs w:val="24"/>
        </w:rPr>
        <w:t xml:space="preserve">, G. (2001). How professionals learn in practice: An investigation of informal learning amongst people working in professions. </w:t>
      </w:r>
      <w:r w:rsidRPr="00DE0CF1">
        <w:rPr>
          <w:rFonts w:ascii="Times New Roman" w:hAnsi="Times New Roman" w:cs="Times New Roman"/>
          <w:i/>
          <w:iCs/>
          <w:sz w:val="24"/>
          <w:szCs w:val="24"/>
        </w:rPr>
        <w:t>Journal of European Industrial Training, 25</w:t>
      </w:r>
      <w:r w:rsidRPr="00DE0CF1">
        <w:rPr>
          <w:rFonts w:ascii="Times New Roman" w:hAnsi="Times New Roman" w:cs="Times New Roman"/>
          <w:sz w:val="24"/>
          <w:szCs w:val="24"/>
        </w:rPr>
        <w:t>(5), 248–292.</w:t>
      </w:r>
    </w:p>
    <w:p w14:paraId="5446E890"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Cordingley, P., Bell, M., Thomason, S., &amp; Firth, A. (2005). The impact of collaborative continuing professional development (CPD) on classroom teaching and learning. </w:t>
      </w:r>
      <w:r w:rsidRPr="00DE0CF1">
        <w:rPr>
          <w:rFonts w:ascii="Times New Roman" w:hAnsi="Times New Roman" w:cs="Times New Roman"/>
          <w:i/>
          <w:iCs/>
          <w:sz w:val="24"/>
          <w:szCs w:val="24"/>
        </w:rPr>
        <w:t>Research Evidence in Education Library</w:t>
      </w:r>
      <w:r w:rsidRPr="00DE0CF1">
        <w:rPr>
          <w:rFonts w:ascii="Times New Roman" w:hAnsi="Times New Roman" w:cs="Times New Roman"/>
          <w:sz w:val="24"/>
          <w:szCs w:val="24"/>
        </w:rPr>
        <w:t>. London: EPPI-Centre, Social Science Research Unit, Institute of Education, University of London.</w:t>
      </w:r>
    </w:p>
    <w:p w14:paraId="3F54CA9B"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Day, C. (1999). Developing teachers: The challenges of lifelong learning. London/New York: The Falmer Press.</w:t>
      </w:r>
    </w:p>
    <w:p w14:paraId="32ED8489"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Day, C., &amp; Sachs, J. (2004). Professionalism, performativity and empowerment: Discourses in the politics, policies and purposes of continuing professional development. In C. Day &amp; J. Sachs (Eds.), </w:t>
      </w:r>
      <w:r w:rsidRPr="00DE0CF1">
        <w:rPr>
          <w:rFonts w:ascii="Times New Roman" w:hAnsi="Times New Roman" w:cs="Times New Roman"/>
          <w:i/>
          <w:iCs/>
          <w:sz w:val="24"/>
          <w:szCs w:val="24"/>
        </w:rPr>
        <w:t>International handbook on the continuing professional development of teachers</w:t>
      </w:r>
      <w:r w:rsidRPr="00DE0CF1">
        <w:rPr>
          <w:rFonts w:ascii="Times New Roman" w:hAnsi="Times New Roman" w:cs="Times New Roman"/>
          <w:sz w:val="24"/>
          <w:szCs w:val="24"/>
        </w:rPr>
        <w:t xml:space="preserve"> (pp. 3–10). Maidenhead, UK: Open University Press.</w:t>
      </w:r>
    </w:p>
    <w:p w14:paraId="5D0248A5"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lastRenderedPageBreak/>
        <w:t xml:space="preserve">Dincer, S. (2018). Are preservice teachers really literate enough to integrate technology in their classroom practice? Determining the technology literacy level of preservice teachers. </w:t>
      </w:r>
      <w:r w:rsidRPr="00DE0CF1">
        <w:rPr>
          <w:rFonts w:ascii="Times New Roman" w:hAnsi="Times New Roman" w:cs="Times New Roman"/>
          <w:i/>
          <w:iCs/>
          <w:sz w:val="24"/>
          <w:szCs w:val="24"/>
        </w:rPr>
        <w:t>Education and Information Technologies, 23</w:t>
      </w:r>
      <w:r w:rsidRPr="00DE0CF1">
        <w:rPr>
          <w:rFonts w:ascii="Times New Roman" w:hAnsi="Times New Roman" w:cs="Times New Roman"/>
          <w:sz w:val="24"/>
          <w:szCs w:val="24"/>
        </w:rPr>
        <w:t xml:space="preserve">(6), 2699–2718. </w:t>
      </w:r>
      <w:hyperlink r:id="rId9" w:tgtFrame="_new" w:history="1">
        <w:r w:rsidRPr="00DE0CF1">
          <w:rPr>
            <w:rStyle w:val="Hyperlink"/>
            <w:rFonts w:ascii="Times New Roman" w:hAnsi="Times New Roman" w:cs="Times New Roman"/>
            <w:sz w:val="24"/>
            <w:szCs w:val="24"/>
          </w:rPr>
          <w:t>https://doi.org/10.1007/s10639-018-9737-z</w:t>
        </w:r>
      </w:hyperlink>
    </w:p>
    <w:p w14:paraId="3BA9C9B8"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Eraut, M. (1994). </w:t>
      </w:r>
      <w:r w:rsidRPr="00DE0CF1">
        <w:rPr>
          <w:rFonts w:ascii="Times New Roman" w:hAnsi="Times New Roman" w:cs="Times New Roman"/>
          <w:i/>
          <w:iCs/>
          <w:sz w:val="24"/>
          <w:szCs w:val="24"/>
        </w:rPr>
        <w:t>Developing professional knowledge and competence</w:t>
      </w:r>
      <w:r w:rsidRPr="00DE0CF1">
        <w:rPr>
          <w:rFonts w:ascii="Times New Roman" w:hAnsi="Times New Roman" w:cs="Times New Roman"/>
          <w:sz w:val="24"/>
          <w:szCs w:val="24"/>
        </w:rPr>
        <w:t>. London: The Falmer Press.</w:t>
      </w:r>
    </w:p>
    <w:p w14:paraId="7BAC6145" w14:textId="77777777" w:rsidR="00DE0CF1" w:rsidRPr="00551324"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European Commission. (2018). Proposal for a Council recommendation on key competences for lifelong learning. </w:t>
      </w:r>
      <w:hyperlink r:id="rId10" w:tgtFrame="_new" w:history="1">
        <w:r w:rsidRPr="00DE0CF1">
          <w:rPr>
            <w:rStyle w:val="Hyperlink"/>
            <w:rFonts w:ascii="Times New Roman" w:hAnsi="Times New Roman" w:cs="Times New Roman"/>
            <w:sz w:val="24"/>
            <w:szCs w:val="24"/>
          </w:rPr>
          <w:t>https://eur-lex.europa.eu/legal-content/EN/TXT/PDF/?uri=CELEX:32018H0604(01)&amp;from=LT</w:t>
        </w:r>
      </w:hyperlink>
    </w:p>
    <w:p w14:paraId="007528F0"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Ferrari, A. (2013). </w:t>
      </w:r>
      <w:r w:rsidRPr="00DE0CF1">
        <w:rPr>
          <w:rFonts w:ascii="Times New Roman" w:hAnsi="Times New Roman" w:cs="Times New Roman"/>
          <w:i/>
          <w:iCs/>
          <w:sz w:val="24"/>
          <w:szCs w:val="24"/>
        </w:rPr>
        <w:t>DIGCOMP: A framework for developing and understanding digital competence in Europe</w:t>
      </w:r>
      <w:r w:rsidRPr="00DE0CF1">
        <w:rPr>
          <w:rFonts w:ascii="Times New Roman" w:hAnsi="Times New Roman" w:cs="Times New Roman"/>
          <w:sz w:val="24"/>
          <w:szCs w:val="24"/>
        </w:rPr>
        <w:t xml:space="preserve">. Publications Office of the European Union. </w:t>
      </w:r>
      <w:hyperlink r:id="rId11" w:tgtFrame="_new" w:history="1">
        <w:r w:rsidRPr="00DE0CF1">
          <w:rPr>
            <w:rStyle w:val="Hyperlink"/>
            <w:rFonts w:ascii="Times New Roman" w:hAnsi="Times New Roman" w:cs="Times New Roman"/>
            <w:sz w:val="24"/>
            <w:szCs w:val="24"/>
          </w:rPr>
          <w:t>https://publications.jrc.ec.europa.eu/repository/bitstream/JRC83167/lb-na-26035-enn.pdf</w:t>
        </w:r>
      </w:hyperlink>
    </w:p>
    <w:p w14:paraId="29B02D0C"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Fullan, M. (2007). </w:t>
      </w:r>
      <w:r w:rsidRPr="00DE0CF1">
        <w:rPr>
          <w:rFonts w:ascii="Times New Roman" w:hAnsi="Times New Roman" w:cs="Times New Roman"/>
          <w:i/>
          <w:iCs/>
          <w:sz w:val="24"/>
          <w:szCs w:val="24"/>
        </w:rPr>
        <w:t>The new meaning of educational change</w:t>
      </w:r>
      <w:r w:rsidRPr="00DE0CF1">
        <w:rPr>
          <w:rFonts w:ascii="Times New Roman" w:hAnsi="Times New Roman" w:cs="Times New Roman"/>
          <w:sz w:val="24"/>
          <w:szCs w:val="24"/>
        </w:rPr>
        <w:t xml:space="preserve"> (4th ed.). Teachers College Press.</w:t>
      </w:r>
    </w:p>
    <w:p w14:paraId="66BCDF21"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Fullan, M. G. (1995). The limits and the potential of professional development. In T. R. </w:t>
      </w:r>
      <w:proofErr w:type="spellStart"/>
      <w:r w:rsidRPr="00DE0CF1">
        <w:rPr>
          <w:rFonts w:ascii="Times New Roman" w:hAnsi="Times New Roman" w:cs="Times New Roman"/>
          <w:sz w:val="24"/>
          <w:szCs w:val="24"/>
        </w:rPr>
        <w:t>Guskey</w:t>
      </w:r>
      <w:proofErr w:type="spellEnd"/>
      <w:r w:rsidRPr="00DE0CF1">
        <w:rPr>
          <w:rFonts w:ascii="Times New Roman" w:hAnsi="Times New Roman" w:cs="Times New Roman"/>
          <w:sz w:val="24"/>
          <w:szCs w:val="24"/>
        </w:rPr>
        <w:t xml:space="preserve"> &amp; M. Huberman (Eds.), </w:t>
      </w:r>
      <w:r w:rsidRPr="00DE0CF1">
        <w:rPr>
          <w:rFonts w:ascii="Times New Roman" w:hAnsi="Times New Roman" w:cs="Times New Roman"/>
          <w:i/>
          <w:iCs/>
          <w:sz w:val="24"/>
          <w:szCs w:val="24"/>
        </w:rPr>
        <w:t>Professional development in education: New paradigms and practices</w:t>
      </w:r>
      <w:r w:rsidRPr="00DE0CF1">
        <w:rPr>
          <w:rFonts w:ascii="Times New Roman" w:hAnsi="Times New Roman" w:cs="Times New Roman"/>
          <w:sz w:val="24"/>
          <w:szCs w:val="24"/>
        </w:rPr>
        <w:t xml:space="preserve"> (pp. 253–267). Teachers College Press.</w:t>
      </w:r>
    </w:p>
    <w:p w14:paraId="76C8DC0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García-Martín, J., &amp; García-Sánchez, J. N. (2017). Pre-service teachers’ perceptions of the competence dimensions of digital literacy and of psychological and educational measures. </w:t>
      </w:r>
      <w:r w:rsidRPr="00DE0CF1">
        <w:rPr>
          <w:rFonts w:ascii="Times New Roman" w:hAnsi="Times New Roman" w:cs="Times New Roman"/>
          <w:i/>
          <w:iCs/>
          <w:sz w:val="24"/>
          <w:szCs w:val="24"/>
        </w:rPr>
        <w:t>Computers &amp; Education, 107</w:t>
      </w:r>
      <w:r w:rsidRPr="00DE0CF1">
        <w:rPr>
          <w:rFonts w:ascii="Times New Roman" w:hAnsi="Times New Roman" w:cs="Times New Roman"/>
          <w:sz w:val="24"/>
          <w:szCs w:val="24"/>
        </w:rPr>
        <w:t xml:space="preserve">, 54–67. </w:t>
      </w:r>
      <w:hyperlink r:id="rId12" w:tgtFrame="_new" w:history="1">
        <w:r w:rsidRPr="00DE0CF1">
          <w:rPr>
            <w:rStyle w:val="Hyperlink"/>
            <w:rFonts w:ascii="Times New Roman" w:hAnsi="Times New Roman" w:cs="Times New Roman"/>
            <w:sz w:val="24"/>
            <w:szCs w:val="24"/>
          </w:rPr>
          <w:t>https://doi.org/10.1016/j.compedu.2016.12.010</w:t>
        </w:r>
      </w:hyperlink>
    </w:p>
    <w:p w14:paraId="12AEC5D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Gartia</w:t>
      </w:r>
      <w:proofErr w:type="spellEnd"/>
      <w:r w:rsidRPr="00DE0CF1">
        <w:rPr>
          <w:rFonts w:ascii="Times New Roman" w:hAnsi="Times New Roman" w:cs="Times New Roman"/>
          <w:sz w:val="24"/>
          <w:szCs w:val="24"/>
        </w:rPr>
        <w:t xml:space="preserve">, R., &amp; Sharma, S. (2013). Continuous professional development: A panacea for teachers. </w:t>
      </w:r>
      <w:r w:rsidRPr="00DE0CF1">
        <w:rPr>
          <w:rFonts w:ascii="Times New Roman" w:hAnsi="Times New Roman" w:cs="Times New Roman"/>
          <w:i/>
          <w:iCs/>
          <w:sz w:val="24"/>
          <w:szCs w:val="24"/>
        </w:rPr>
        <w:t>International Journal of Research Pedagogy and Technology in Education and Movement Sciences, 1</w:t>
      </w:r>
      <w:r w:rsidRPr="00DE0CF1">
        <w:rPr>
          <w:rFonts w:ascii="Times New Roman" w:hAnsi="Times New Roman" w:cs="Times New Roman"/>
          <w:sz w:val="24"/>
          <w:szCs w:val="24"/>
        </w:rPr>
        <w:t>(3), 51–61.</w:t>
      </w:r>
    </w:p>
    <w:p w14:paraId="55E80718"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Goodall, J., Day, C., Lindsay, G., Muijs, D., &amp; Harris, A. (2005). </w:t>
      </w:r>
      <w:r w:rsidRPr="00DE0CF1">
        <w:rPr>
          <w:rFonts w:ascii="Times New Roman" w:hAnsi="Times New Roman" w:cs="Times New Roman"/>
          <w:i/>
          <w:iCs/>
          <w:sz w:val="24"/>
          <w:szCs w:val="24"/>
        </w:rPr>
        <w:t>Evaluating the impact of continuing professional development (CPD)</w:t>
      </w:r>
      <w:r w:rsidRPr="00DE0CF1">
        <w:rPr>
          <w:rFonts w:ascii="Times New Roman" w:hAnsi="Times New Roman" w:cs="Times New Roman"/>
          <w:sz w:val="24"/>
          <w:szCs w:val="24"/>
        </w:rPr>
        <w:t xml:space="preserve">. Department for Education and Skills. </w:t>
      </w:r>
      <w:hyperlink r:id="rId13" w:tgtFrame="_new" w:history="1">
        <w:r w:rsidRPr="00DE0CF1">
          <w:rPr>
            <w:rStyle w:val="Hyperlink"/>
            <w:rFonts w:ascii="Times New Roman" w:hAnsi="Times New Roman" w:cs="Times New Roman"/>
            <w:sz w:val="24"/>
            <w:szCs w:val="24"/>
          </w:rPr>
          <w:t>http://www.dfes.gov.uk</w:t>
        </w:r>
      </w:hyperlink>
    </w:p>
    <w:p w14:paraId="4164FC95"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Guillén-Gámez</w:t>
      </w:r>
      <w:proofErr w:type="spellEnd"/>
      <w:r w:rsidRPr="00DE0CF1">
        <w:rPr>
          <w:rFonts w:ascii="Times New Roman" w:hAnsi="Times New Roman" w:cs="Times New Roman"/>
          <w:sz w:val="24"/>
          <w:szCs w:val="24"/>
        </w:rPr>
        <w:t xml:space="preserve">, F. D., Mayorga-Fernández, M. J., &amp; Álvarez-García, F. J. (2020). A study on the actual use of digital competence in the practicum of education degree. </w:t>
      </w:r>
      <w:r w:rsidRPr="00DE0CF1">
        <w:rPr>
          <w:rFonts w:ascii="Times New Roman" w:hAnsi="Times New Roman" w:cs="Times New Roman"/>
          <w:i/>
          <w:iCs/>
          <w:sz w:val="24"/>
          <w:szCs w:val="24"/>
        </w:rPr>
        <w:t>Technology, Knowledge and Learning, 25</w:t>
      </w:r>
      <w:r w:rsidRPr="00DE0CF1">
        <w:rPr>
          <w:rFonts w:ascii="Times New Roman" w:hAnsi="Times New Roman" w:cs="Times New Roman"/>
          <w:sz w:val="24"/>
          <w:szCs w:val="24"/>
        </w:rPr>
        <w:t>(3), 667–684.</w:t>
      </w:r>
    </w:p>
    <w:p w14:paraId="5A3ACA4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lastRenderedPageBreak/>
        <w:t xml:space="preserve">Hargreaves, A. (2000). Four ages of professionalism and professional learning. </w:t>
      </w:r>
      <w:r w:rsidRPr="00DE0CF1">
        <w:rPr>
          <w:rFonts w:ascii="Times New Roman" w:hAnsi="Times New Roman" w:cs="Times New Roman"/>
          <w:i/>
          <w:iCs/>
          <w:sz w:val="24"/>
          <w:szCs w:val="24"/>
        </w:rPr>
        <w:t>Teachers and Teaching: Theory and Practice, 6</w:t>
      </w:r>
      <w:r w:rsidRPr="00DE0CF1">
        <w:rPr>
          <w:rFonts w:ascii="Times New Roman" w:hAnsi="Times New Roman" w:cs="Times New Roman"/>
          <w:sz w:val="24"/>
          <w:szCs w:val="24"/>
        </w:rPr>
        <w:t>(2), 151–182.</w:t>
      </w:r>
    </w:p>
    <w:p w14:paraId="1C6FD493"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Hatlevik, O. E. (2017). Examining the relationship between teachers’ self-efficacy, their digital competence, strategies to evaluate information, and use of ICT at school. </w:t>
      </w:r>
      <w:r w:rsidRPr="00DE0CF1">
        <w:rPr>
          <w:rFonts w:ascii="Times New Roman" w:hAnsi="Times New Roman" w:cs="Times New Roman"/>
          <w:i/>
          <w:iCs/>
          <w:sz w:val="24"/>
          <w:szCs w:val="24"/>
        </w:rPr>
        <w:t>Scandinavian Journal of Educational Research, 61</w:t>
      </w:r>
      <w:r w:rsidRPr="00DE0CF1">
        <w:rPr>
          <w:rFonts w:ascii="Times New Roman" w:hAnsi="Times New Roman" w:cs="Times New Roman"/>
          <w:sz w:val="24"/>
          <w:szCs w:val="24"/>
        </w:rPr>
        <w:t xml:space="preserve">(5), 555–567. </w:t>
      </w:r>
      <w:hyperlink r:id="rId14" w:tgtFrame="_new" w:history="1">
        <w:r w:rsidRPr="00DE0CF1">
          <w:rPr>
            <w:rStyle w:val="Hyperlink"/>
            <w:rFonts w:ascii="Times New Roman" w:hAnsi="Times New Roman" w:cs="Times New Roman"/>
            <w:sz w:val="24"/>
            <w:szCs w:val="24"/>
          </w:rPr>
          <w:t>https://doi.org/10.1080/00313831.2016.1172501</w:t>
        </w:r>
      </w:hyperlink>
    </w:p>
    <w:p w14:paraId="093AD4C3"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Hill, H. C., </w:t>
      </w:r>
      <w:proofErr w:type="spellStart"/>
      <w:r w:rsidRPr="00DE0CF1">
        <w:rPr>
          <w:rFonts w:ascii="Times New Roman" w:hAnsi="Times New Roman" w:cs="Times New Roman"/>
          <w:sz w:val="24"/>
          <w:szCs w:val="24"/>
        </w:rPr>
        <w:t>Blunk</w:t>
      </w:r>
      <w:proofErr w:type="spellEnd"/>
      <w:r w:rsidRPr="00DE0CF1">
        <w:rPr>
          <w:rFonts w:ascii="Times New Roman" w:hAnsi="Times New Roman" w:cs="Times New Roman"/>
          <w:sz w:val="24"/>
          <w:szCs w:val="24"/>
        </w:rPr>
        <w:t xml:space="preserve">, M. L., Charalambous, C. Y., Lewis, J. M., Phelps, G. C., Sleep, L., &amp; Ball, D. L. (2008). Mathematical knowledge for teaching and the mathematical quality of instruction: An exploratory study. </w:t>
      </w:r>
      <w:r w:rsidRPr="00DE0CF1">
        <w:rPr>
          <w:rFonts w:ascii="Times New Roman" w:hAnsi="Times New Roman" w:cs="Times New Roman"/>
          <w:i/>
          <w:iCs/>
          <w:sz w:val="24"/>
          <w:szCs w:val="24"/>
        </w:rPr>
        <w:t>Cognition and Instruction, 26</w:t>
      </w:r>
      <w:r w:rsidRPr="00DE0CF1">
        <w:rPr>
          <w:rFonts w:ascii="Times New Roman" w:hAnsi="Times New Roman" w:cs="Times New Roman"/>
          <w:sz w:val="24"/>
          <w:szCs w:val="24"/>
        </w:rPr>
        <w:t xml:space="preserve">(4), 430–511. </w:t>
      </w:r>
      <w:hyperlink r:id="rId15" w:tgtFrame="_new" w:history="1">
        <w:r w:rsidRPr="00DE0CF1">
          <w:rPr>
            <w:rStyle w:val="Hyperlink"/>
            <w:rFonts w:ascii="Times New Roman" w:hAnsi="Times New Roman" w:cs="Times New Roman"/>
            <w:sz w:val="24"/>
            <w:szCs w:val="24"/>
          </w:rPr>
          <w:t>https://doi.org/10.1080/07370000802177235</w:t>
        </w:r>
      </w:hyperlink>
    </w:p>
    <w:p w14:paraId="300C7B6E"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Iansiti</w:t>
      </w:r>
      <w:proofErr w:type="spellEnd"/>
      <w:r w:rsidRPr="00DE0CF1">
        <w:rPr>
          <w:rFonts w:ascii="Times New Roman" w:hAnsi="Times New Roman" w:cs="Times New Roman"/>
          <w:sz w:val="24"/>
          <w:szCs w:val="24"/>
        </w:rPr>
        <w:t xml:space="preserve">, M., &amp; Richards, G. (2020). Coronavirus is widening the corporate digital divide. </w:t>
      </w:r>
      <w:r w:rsidRPr="00DE0CF1">
        <w:rPr>
          <w:rFonts w:ascii="Times New Roman" w:hAnsi="Times New Roman" w:cs="Times New Roman"/>
          <w:i/>
          <w:iCs/>
          <w:sz w:val="24"/>
          <w:szCs w:val="24"/>
        </w:rPr>
        <w:t>Harvard Business Review</w:t>
      </w:r>
      <w:r w:rsidRPr="00DE0CF1">
        <w:rPr>
          <w:rFonts w:ascii="Times New Roman" w:hAnsi="Times New Roman" w:cs="Times New Roman"/>
          <w:sz w:val="24"/>
          <w:szCs w:val="24"/>
        </w:rPr>
        <w:t xml:space="preserve">. </w:t>
      </w:r>
      <w:hyperlink r:id="rId16" w:tgtFrame="_new" w:history="1">
        <w:r w:rsidRPr="00DE0CF1">
          <w:rPr>
            <w:rStyle w:val="Hyperlink"/>
            <w:rFonts w:ascii="Times New Roman" w:hAnsi="Times New Roman" w:cs="Times New Roman"/>
            <w:sz w:val="24"/>
            <w:szCs w:val="24"/>
          </w:rPr>
          <w:t>https://hbr.org/2020/03/coronavirus-is-widening-the-corporate-digital-divide</w:t>
        </w:r>
      </w:hyperlink>
    </w:p>
    <w:p w14:paraId="69E7F4B0"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Instefjord</w:t>
      </w:r>
      <w:proofErr w:type="spellEnd"/>
      <w:r w:rsidRPr="00DE0CF1">
        <w:rPr>
          <w:rFonts w:ascii="Times New Roman" w:hAnsi="Times New Roman" w:cs="Times New Roman"/>
          <w:sz w:val="24"/>
          <w:szCs w:val="24"/>
        </w:rPr>
        <w:t xml:space="preserve">, E. J., &amp; Munthe, E. (2016). Preparing pre-service teachers to integrate technology: An analysis of the emphasis on digital competence in teacher education curricula. </w:t>
      </w:r>
      <w:r w:rsidRPr="00DE0CF1">
        <w:rPr>
          <w:rFonts w:ascii="Times New Roman" w:hAnsi="Times New Roman" w:cs="Times New Roman"/>
          <w:i/>
          <w:iCs/>
          <w:sz w:val="24"/>
          <w:szCs w:val="24"/>
        </w:rPr>
        <w:t>European Journal of Teacher Education, 39</w:t>
      </w:r>
      <w:r w:rsidRPr="00DE0CF1">
        <w:rPr>
          <w:rFonts w:ascii="Times New Roman" w:hAnsi="Times New Roman" w:cs="Times New Roman"/>
          <w:sz w:val="24"/>
          <w:szCs w:val="24"/>
        </w:rPr>
        <w:t xml:space="preserve">(1), 77–93. </w:t>
      </w:r>
      <w:hyperlink r:id="rId17" w:tgtFrame="_new" w:history="1">
        <w:r w:rsidRPr="00DE0CF1">
          <w:rPr>
            <w:rStyle w:val="Hyperlink"/>
            <w:rFonts w:ascii="Times New Roman" w:hAnsi="Times New Roman" w:cs="Times New Roman"/>
            <w:sz w:val="24"/>
            <w:szCs w:val="24"/>
          </w:rPr>
          <w:t>https://doi.org/10.1080/02619768.2015.1100602</w:t>
        </w:r>
      </w:hyperlink>
    </w:p>
    <w:p w14:paraId="02A2F9F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Instefjord</w:t>
      </w:r>
      <w:proofErr w:type="spellEnd"/>
      <w:r w:rsidRPr="00DE0CF1">
        <w:rPr>
          <w:rFonts w:ascii="Times New Roman" w:hAnsi="Times New Roman" w:cs="Times New Roman"/>
          <w:sz w:val="24"/>
          <w:szCs w:val="24"/>
        </w:rPr>
        <w:t xml:space="preserve">, E. J., &amp; Munthe, E. (2017). Educating digitally competent teachers: A study of integration of professional digital competence in teacher education. </w:t>
      </w:r>
      <w:r w:rsidRPr="00DE0CF1">
        <w:rPr>
          <w:rFonts w:ascii="Times New Roman" w:hAnsi="Times New Roman" w:cs="Times New Roman"/>
          <w:i/>
          <w:iCs/>
          <w:sz w:val="24"/>
          <w:szCs w:val="24"/>
        </w:rPr>
        <w:t>Teaching and Teacher Education, 67</w:t>
      </w:r>
      <w:r w:rsidRPr="00DE0CF1">
        <w:rPr>
          <w:rFonts w:ascii="Times New Roman" w:hAnsi="Times New Roman" w:cs="Times New Roman"/>
          <w:sz w:val="24"/>
          <w:szCs w:val="24"/>
        </w:rPr>
        <w:t xml:space="preserve">, 37–45. </w:t>
      </w:r>
      <w:hyperlink r:id="rId18" w:tgtFrame="_new" w:history="1">
        <w:r w:rsidRPr="00DE0CF1">
          <w:rPr>
            <w:rStyle w:val="Hyperlink"/>
            <w:rFonts w:ascii="Times New Roman" w:hAnsi="Times New Roman" w:cs="Times New Roman"/>
            <w:sz w:val="24"/>
            <w:szCs w:val="24"/>
          </w:rPr>
          <w:t>https://doi.org/10.1016/j.tate.2017.05.016</w:t>
        </w:r>
      </w:hyperlink>
    </w:p>
    <w:p w14:paraId="415BBC57" w14:textId="3AC3B348"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INTEF. (2017). Marco </w:t>
      </w:r>
      <w:proofErr w:type="spellStart"/>
      <w:r w:rsidRPr="00DE0CF1">
        <w:rPr>
          <w:rFonts w:ascii="Times New Roman" w:hAnsi="Times New Roman" w:cs="Times New Roman"/>
          <w:sz w:val="24"/>
          <w:szCs w:val="24"/>
        </w:rPr>
        <w:t>común</w:t>
      </w:r>
      <w:proofErr w:type="spellEnd"/>
      <w:r w:rsidRPr="00DE0CF1">
        <w:rPr>
          <w:rFonts w:ascii="Times New Roman" w:hAnsi="Times New Roman" w:cs="Times New Roman"/>
          <w:sz w:val="24"/>
          <w:szCs w:val="24"/>
        </w:rPr>
        <w:t xml:space="preserve"> de </w:t>
      </w:r>
      <w:proofErr w:type="spellStart"/>
      <w:r w:rsidRPr="00DE0CF1">
        <w:rPr>
          <w:rFonts w:ascii="Times New Roman" w:hAnsi="Times New Roman" w:cs="Times New Roman"/>
          <w:sz w:val="24"/>
          <w:szCs w:val="24"/>
        </w:rPr>
        <w:t>competencia</w:t>
      </w:r>
      <w:proofErr w:type="spellEnd"/>
      <w:r w:rsidRPr="00DE0CF1">
        <w:rPr>
          <w:rFonts w:ascii="Times New Roman" w:hAnsi="Times New Roman" w:cs="Times New Roman"/>
          <w:sz w:val="24"/>
          <w:szCs w:val="24"/>
        </w:rPr>
        <w:t xml:space="preserve"> digital </w:t>
      </w:r>
      <w:proofErr w:type="spellStart"/>
      <w:r w:rsidRPr="00DE0CF1">
        <w:rPr>
          <w:rFonts w:ascii="Times New Roman" w:hAnsi="Times New Roman" w:cs="Times New Roman"/>
          <w:sz w:val="24"/>
          <w:szCs w:val="24"/>
        </w:rPr>
        <w:t>docente</w:t>
      </w:r>
      <w:proofErr w:type="spellEnd"/>
      <w:r w:rsidRPr="00DE0CF1">
        <w:rPr>
          <w:rFonts w:ascii="Times New Roman" w:hAnsi="Times New Roman" w:cs="Times New Roman"/>
          <w:sz w:val="24"/>
          <w:szCs w:val="24"/>
        </w:rPr>
        <w:t xml:space="preserve">. </w:t>
      </w:r>
      <w:proofErr w:type="spellStart"/>
      <w:r w:rsidRPr="00DE0CF1">
        <w:rPr>
          <w:rFonts w:ascii="Times New Roman" w:hAnsi="Times New Roman" w:cs="Times New Roman"/>
          <w:sz w:val="24"/>
          <w:szCs w:val="24"/>
        </w:rPr>
        <w:t>Ministerio</w:t>
      </w:r>
      <w:proofErr w:type="spellEnd"/>
      <w:r w:rsidRPr="00DE0CF1">
        <w:rPr>
          <w:rFonts w:ascii="Times New Roman" w:hAnsi="Times New Roman" w:cs="Times New Roman"/>
          <w:sz w:val="24"/>
          <w:szCs w:val="24"/>
        </w:rPr>
        <w:t xml:space="preserve"> de </w:t>
      </w:r>
      <w:proofErr w:type="spellStart"/>
      <w:r w:rsidRPr="00DE0CF1">
        <w:rPr>
          <w:rFonts w:ascii="Times New Roman" w:hAnsi="Times New Roman" w:cs="Times New Roman"/>
          <w:sz w:val="24"/>
          <w:szCs w:val="24"/>
        </w:rPr>
        <w:t>Educación</w:t>
      </w:r>
      <w:proofErr w:type="spellEnd"/>
      <w:r w:rsidRPr="00DE0CF1">
        <w:rPr>
          <w:rFonts w:ascii="Times New Roman" w:hAnsi="Times New Roman" w:cs="Times New Roman"/>
          <w:sz w:val="24"/>
          <w:szCs w:val="24"/>
        </w:rPr>
        <w:t xml:space="preserve"> </w:t>
      </w:r>
      <w:proofErr w:type="spellStart"/>
      <w:r w:rsidRPr="00DE0CF1">
        <w:rPr>
          <w:rFonts w:ascii="Times New Roman" w:hAnsi="Times New Roman" w:cs="Times New Roman"/>
          <w:sz w:val="24"/>
          <w:szCs w:val="24"/>
        </w:rPr>
        <w:t>Formación</w:t>
      </w:r>
      <w:proofErr w:type="spellEnd"/>
      <w:r w:rsidRPr="00DE0CF1">
        <w:rPr>
          <w:rFonts w:ascii="Times New Roman" w:hAnsi="Times New Roman" w:cs="Times New Roman"/>
          <w:sz w:val="24"/>
          <w:szCs w:val="24"/>
        </w:rPr>
        <w:t xml:space="preserve"> </w:t>
      </w:r>
      <w:proofErr w:type="spellStart"/>
      <w:r w:rsidRPr="00DE0CF1">
        <w:rPr>
          <w:rFonts w:ascii="Times New Roman" w:hAnsi="Times New Roman" w:cs="Times New Roman"/>
          <w:sz w:val="24"/>
          <w:szCs w:val="24"/>
        </w:rPr>
        <w:t>Profesional</w:t>
      </w:r>
      <w:proofErr w:type="spellEnd"/>
      <w:r w:rsidRPr="00DE0CF1">
        <w:rPr>
          <w:rFonts w:ascii="Times New Roman" w:hAnsi="Times New Roman" w:cs="Times New Roman"/>
          <w:sz w:val="24"/>
          <w:szCs w:val="24"/>
        </w:rPr>
        <w:t>. https://aprende.intef.es/sites/default/files/2018-05/2017_1020_Marco-Com%C3%BAn-de-Competencia-Digital-Docente.pdf</w:t>
      </w:r>
    </w:p>
    <w:p w14:paraId="7755200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Johannesen, M., </w:t>
      </w:r>
      <w:proofErr w:type="spellStart"/>
      <w:r w:rsidRPr="00DE0CF1">
        <w:rPr>
          <w:rFonts w:ascii="Times New Roman" w:hAnsi="Times New Roman" w:cs="Times New Roman"/>
          <w:sz w:val="24"/>
          <w:szCs w:val="24"/>
        </w:rPr>
        <w:t>Ogrim</w:t>
      </w:r>
      <w:proofErr w:type="spellEnd"/>
      <w:r w:rsidRPr="00DE0CF1">
        <w:rPr>
          <w:rFonts w:ascii="Times New Roman" w:hAnsi="Times New Roman" w:cs="Times New Roman"/>
          <w:sz w:val="24"/>
          <w:szCs w:val="24"/>
        </w:rPr>
        <w:t xml:space="preserve">, L., &amp; Giæver, T. H. (2014). Notion in motion: Teachers’ digital competence. </w:t>
      </w:r>
      <w:r w:rsidRPr="00DE0CF1">
        <w:rPr>
          <w:rFonts w:ascii="Times New Roman" w:hAnsi="Times New Roman" w:cs="Times New Roman"/>
          <w:i/>
          <w:iCs/>
          <w:sz w:val="24"/>
          <w:szCs w:val="24"/>
        </w:rPr>
        <w:t>Nordic Journal of Digital Literacy, 9</w:t>
      </w:r>
      <w:r w:rsidRPr="00DE0CF1">
        <w:rPr>
          <w:rFonts w:ascii="Times New Roman" w:hAnsi="Times New Roman" w:cs="Times New Roman"/>
          <w:sz w:val="24"/>
          <w:szCs w:val="24"/>
        </w:rPr>
        <w:t>(4), 300–312.</w:t>
      </w:r>
    </w:p>
    <w:p w14:paraId="17B9EBBC"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Kelentric</w:t>
      </w:r>
      <w:proofErr w:type="spellEnd"/>
      <w:r w:rsidRPr="00DE0CF1">
        <w:rPr>
          <w:rFonts w:ascii="Times New Roman" w:hAnsi="Times New Roman" w:cs="Times New Roman"/>
          <w:sz w:val="24"/>
          <w:szCs w:val="24"/>
        </w:rPr>
        <w:t>, M., Helland, K., &amp; Arstorp, A. T. (2018). Professional digital competence framework for teachers (Report No. ISBN 978-82-93378-51-8). The Norwegian Centre for ICT in Education.</w:t>
      </w:r>
    </w:p>
    <w:p w14:paraId="52953A47"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Keller, M. M., Neumann, K., &amp; Fischer, H. E. (2017). The impact of physics teachers’ pedagogical content knowledge and motivation on students’ achievement and interest. </w:t>
      </w:r>
      <w:r w:rsidRPr="00DE0CF1">
        <w:rPr>
          <w:rFonts w:ascii="Times New Roman" w:hAnsi="Times New Roman" w:cs="Times New Roman"/>
          <w:i/>
          <w:iCs/>
          <w:sz w:val="24"/>
          <w:szCs w:val="24"/>
        </w:rPr>
        <w:lastRenderedPageBreak/>
        <w:t>Journal of Research in Science Teaching, 54</w:t>
      </w:r>
      <w:r w:rsidRPr="00DE0CF1">
        <w:rPr>
          <w:rFonts w:ascii="Times New Roman" w:hAnsi="Times New Roman" w:cs="Times New Roman"/>
          <w:sz w:val="24"/>
          <w:szCs w:val="24"/>
        </w:rPr>
        <w:t xml:space="preserve">(5), 586–614. </w:t>
      </w:r>
      <w:hyperlink r:id="rId19" w:tgtFrame="_new" w:history="1">
        <w:r w:rsidRPr="00DE0CF1">
          <w:rPr>
            <w:rStyle w:val="Hyperlink"/>
            <w:rFonts w:ascii="Times New Roman" w:hAnsi="Times New Roman" w:cs="Times New Roman"/>
            <w:sz w:val="24"/>
            <w:szCs w:val="24"/>
          </w:rPr>
          <w:t>https://doi.org/10.1002/tea.21378</w:t>
        </w:r>
      </w:hyperlink>
    </w:p>
    <w:p w14:paraId="175EC78B" w14:textId="77777777" w:rsidR="00270A46" w:rsidRDefault="00270A46" w:rsidP="00270A46">
      <w:pPr>
        <w:spacing w:line="360" w:lineRule="auto"/>
        <w:ind w:left="720" w:hanging="720"/>
        <w:jc w:val="both"/>
        <w:rPr>
          <w:rFonts w:ascii="Times New Roman" w:hAnsi="Times New Roman" w:cs="Times New Roman"/>
          <w:sz w:val="24"/>
          <w:szCs w:val="24"/>
        </w:rPr>
      </w:pPr>
      <w:proofErr w:type="spellStart"/>
      <w:r w:rsidRPr="00C80567">
        <w:rPr>
          <w:rFonts w:ascii="Times New Roman" w:hAnsi="Times New Roman" w:cs="Times New Roman"/>
          <w:sz w:val="24"/>
          <w:szCs w:val="24"/>
        </w:rPr>
        <w:t>Kiryakova</w:t>
      </w:r>
      <w:proofErr w:type="spellEnd"/>
      <w:r w:rsidRPr="00C80567">
        <w:rPr>
          <w:rFonts w:ascii="Times New Roman" w:hAnsi="Times New Roman" w:cs="Times New Roman"/>
          <w:sz w:val="24"/>
          <w:szCs w:val="24"/>
        </w:rPr>
        <w:t xml:space="preserve">, G., &amp; </w:t>
      </w:r>
      <w:proofErr w:type="spellStart"/>
      <w:r w:rsidRPr="00C80567">
        <w:rPr>
          <w:rFonts w:ascii="Times New Roman" w:hAnsi="Times New Roman" w:cs="Times New Roman"/>
          <w:sz w:val="24"/>
          <w:szCs w:val="24"/>
        </w:rPr>
        <w:t>Kozhuharova</w:t>
      </w:r>
      <w:proofErr w:type="spellEnd"/>
      <w:r w:rsidRPr="00C80567">
        <w:rPr>
          <w:rFonts w:ascii="Times New Roman" w:hAnsi="Times New Roman" w:cs="Times New Roman"/>
          <w:sz w:val="24"/>
          <w:szCs w:val="24"/>
        </w:rPr>
        <w:t xml:space="preserve">, D. (2024). The digital competences necessary for the successful pedagogical practice of teachers in the digital age. </w:t>
      </w:r>
      <w:r w:rsidRPr="00C80567">
        <w:rPr>
          <w:rFonts w:ascii="Times New Roman" w:hAnsi="Times New Roman" w:cs="Times New Roman"/>
          <w:i/>
          <w:iCs/>
          <w:sz w:val="24"/>
          <w:szCs w:val="24"/>
        </w:rPr>
        <w:t>Education Sciences, 14</w:t>
      </w:r>
      <w:r w:rsidRPr="00C80567">
        <w:rPr>
          <w:rFonts w:ascii="Times New Roman" w:hAnsi="Times New Roman" w:cs="Times New Roman"/>
          <w:sz w:val="24"/>
          <w:szCs w:val="24"/>
        </w:rPr>
        <w:t xml:space="preserve">(5), 507. </w:t>
      </w:r>
      <w:hyperlink r:id="rId20" w:history="1">
        <w:r w:rsidRPr="00C80567">
          <w:rPr>
            <w:rStyle w:val="Hyperlink"/>
            <w:rFonts w:ascii="Times New Roman" w:hAnsi="Times New Roman" w:cs="Times New Roman"/>
            <w:sz w:val="24"/>
            <w:szCs w:val="24"/>
          </w:rPr>
          <w:t>https://doi.org/10.3390/educsci14050507</w:t>
        </w:r>
      </w:hyperlink>
    </w:p>
    <w:p w14:paraId="41E98B5C" w14:textId="723C88F3" w:rsidR="00DE0CF1" w:rsidRPr="00DE0CF1" w:rsidRDefault="00DE0CF1" w:rsidP="00270A46">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Krumsvik</w:t>
      </w:r>
      <w:proofErr w:type="spellEnd"/>
      <w:r w:rsidRPr="00DE0CF1">
        <w:rPr>
          <w:rFonts w:ascii="Times New Roman" w:hAnsi="Times New Roman" w:cs="Times New Roman"/>
          <w:sz w:val="24"/>
          <w:szCs w:val="24"/>
        </w:rPr>
        <w:t xml:space="preserve">, R. J. (2011). Digital competence in Norwegian teacher education and schools. </w:t>
      </w:r>
      <w:proofErr w:type="spellStart"/>
      <w:r w:rsidRPr="00DE0CF1">
        <w:rPr>
          <w:rFonts w:ascii="Times New Roman" w:hAnsi="Times New Roman" w:cs="Times New Roman"/>
          <w:i/>
          <w:iCs/>
          <w:sz w:val="24"/>
          <w:szCs w:val="24"/>
        </w:rPr>
        <w:t>Högre</w:t>
      </w:r>
      <w:proofErr w:type="spellEnd"/>
      <w:r w:rsidRPr="00DE0CF1">
        <w:rPr>
          <w:rFonts w:ascii="Times New Roman" w:hAnsi="Times New Roman" w:cs="Times New Roman"/>
          <w:i/>
          <w:iCs/>
          <w:sz w:val="24"/>
          <w:szCs w:val="24"/>
        </w:rPr>
        <w:t xml:space="preserve"> </w:t>
      </w:r>
      <w:proofErr w:type="spellStart"/>
      <w:r w:rsidRPr="00DE0CF1">
        <w:rPr>
          <w:rFonts w:ascii="Times New Roman" w:hAnsi="Times New Roman" w:cs="Times New Roman"/>
          <w:i/>
          <w:iCs/>
          <w:sz w:val="24"/>
          <w:szCs w:val="24"/>
        </w:rPr>
        <w:t>Utbildning</w:t>
      </w:r>
      <w:proofErr w:type="spellEnd"/>
      <w:r w:rsidRPr="00DE0CF1">
        <w:rPr>
          <w:rFonts w:ascii="Times New Roman" w:hAnsi="Times New Roman" w:cs="Times New Roman"/>
          <w:i/>
          <w:iCs/>
          <w:sz w:val="24"/>
          <w:szCs w:val="24"/>
        </w:rPr>
        <w:t>, 1</w:t>
      </w:r>
      <w:r w:rsidRPr="00DE0CF1">
        <w:rPr>
          <w:rFonts w:ascii="Times New Roman" w:hAnsi="Times New Roman" w:cs="Times New Roman"/>
          <w:sz w:val="24"/>
          <w:szCs w:val="24"/>
        </w:rPr>
        <w:t>(1), 39–51.</w:t>
      </w:r>
    </w:p>
    <w:p w14:paraId="34B1ECA2" w14:textId="77777777" w:rsidR="00270A46" w:rsidRDefault="00DE0CF1" w:rsidP="00270A46">
      <w:pPr>
        <w:spacing w:line="360" w:lineRule="auto"/>
        <w:ind w:left="720" w:hanging="720"/>
        <w:jc w:val="both"/>
      </w:pPr>
      <w:proofErr w:type="spellStart"/>
      <w:r w:rsidRPr="00DE0CF1">
        <w:rPr>
          <w:rFonts w:ascii="Times New Roman" w:hAnsi="Times New Roman" w:cs="Times New Roman"/>
          <w:sz w:val="24"/>
          <w:szCs w:val="24"/>
        </w:rPr>
        <w:t>Krumsvik</w:t>
      </w:r>
      <w:proofErr w:type="spellEnd"/>
      <w:r w:rsidRPr="00DE0CF1">
        <w:rPr>
          <w:rFonts w:ascii="Times New Roman" w:hAnsi="Times New Roman" w:cs="Times New Roman"/>
          <w:sz w:val="24"/>
          <w:szCs w:val="24"/>
        </w:rPr>
        <w:t xml:space="preserve">, R. J. (2014). Teacher educators’ digital competence. </w:t>
      </w:r>
      <w:r w:rsidRPr="00DE0CF1">
        <w:rPr>
          <w:rFonts w:ascii="Times New Roman" w:hAnsi="Times New Roman" w:cs="Times New Roman"/>
          <w:i/>
          <w:iCs/>
          <w:sz w:val="24"/>
          <w:szCs w:val="24"/>
        </w:rPr>
        <w:t>Scandinavian Journal of Educational Research, 58</w:t>
      </w:r>
      <w:r w:rsidRPr="00DE0CF1">
        <w:rPr>
          <w:rFonts w:ascii="Times New Roman" w:hAnsi="Times New Roman" w:cs="Times New Roman"/>
          <w:sz w:val="24"/>
          <w:szCs w:val="24"/>
        </w:rPr>
        <w:t xml:space="preserve">(3), 269–280. </w:t>
      </w:r>
      <w:hyperlink r:id="rId21" w:tgtFrame="_new" w:history="1">
        <w:r w:rsidRPr="00DE0CF1">
          <w:rPr>
            <w:rStyle w:val="Hyperlink"/>
            <w:rFonts w:ascii="Times New Roman" w:hAnsi="Times New Roman" w:cs="Times New Roman"/>
            <w:sz w:val="24"/>
            <w:szCs w:val="24"/>
          </w:rPr>
          <w:t>https://doi.org/10.1080/00313831.2012.726273</w:t>
        </w:r>
      </w:hyperlink>
    </w:p>
    <w:p w14:paraId="4B71594D" w14:textId="52417853" w:rsidR="00DE0CF1" w:rsidRPr="00270A46" w:rsidRDefault="00DE0CF1" w:rsidP="00270A46">
      <w:pPr>
        <w:spacing w:line="360" w:lineRule="auto"/>
        <w:ind w:left="720" w:hanging="720"/>
        <w:jc w:val="both"/>
      </w:pPr>
      <w:r w:rsidRPr="00DE0CF1">
        <w:rPr>
          <w:rFonts w:ascii="Times New Roman" w:hAnsi="Times New Roman" w:cs="Times New Roman"/>
          <w:sz w:val="24"/>
          <w:szCs w:val="24"/>
        </w:rPr>
        <w:t xml:space="preserve">Levine, T. H., &amp; Marcus, A. S. (2010). How the structure and focus of teachers’ collaborative activities facilitate and constrain teacher learning. </w:t>
      </w:r>
      <w:r w:rsidRPr="00DE0CF1">
        <w:rPr>
          <w:rFonts w:ascii="Times New Roman" w:hAnsi="Times New Roman" w:cs="Times New Roman"/>
          <w:i/>
          <w:iCs/>
          <w:sz w:val="24"/>
          <w:szCs w:val="24"/>
        </w:rPr>
        <w:t>Teaching and Teacher Education, 26</w:t>
      </w:r>
      <w:r w:rsidRPr="00DE0CF1">
        <w:rPr>
          <w:rFonts w:ascii="Times New Roman" w:hAnsi="Times New Roman" w:cs="Times New Roman"/>
          <w:sz w:val="24"/>
          <w:szCs w:val="24"/>
        </w:rPr>
        <w:t>(3), 389–398.</w:t>
      </w:r>
    </w:p>
    <w:p w14:paraId="75ED526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Lindfors, M., Pettersson, F., &amp; Olofsson, A. D. (2021). Conditions for professional digital competence: The teacher educators’ view. </w:t>
      </w:r>
      <w:r w:rsidRPr="00DE0CF1">
        <w:rPr>
          <w:rFonts w:ascii="Times New Roman" w:hAnsi="Times New Roman" w:cs="Times New Roman"/>
          <w:i/>
          <w:iCs/>
          <w:sz w:val="24"/>
          <w:szCs w:val="24"/>
        </w:rPr>
        <w:t>Education Inquiry, 12</w:t>
      </w:r>
      <w:r w:rsidRPr="00DE0CF1">
        <w:rPr>
          <w:rFonts w:ascii="Times New Roman" w:hAnsi="Times New Roman" w:cs="Times New Roman"/>
          <w:sz w:val="24"/>
          <w:szCs w:val="24"/>
        </w:rPr>
        <w:t>(4), 390–409. https://doi.org/10.1080/20004508.2021.1890936</w:t>
      </w:r>
    </w:p>
    <w:p w14:paraId="2C7E6B3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MOES. (2014). The Education and Sports Sector Annual Performance Report (ESAPR) (FY 2014/15). Kampala, Uganda: Ministry of Education and Sports.</w:t>
      </w:r>
    </w:p>
    <w:p w14:paraId="08E31EBB"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Mulkeen, A. (2010). Teachers in Anglophone Africa: Issues in teacher supply, training and management. Washington, DC: World Bank.</w:t>
      </w:r>
    </w:p>
    <w:p w14:paraId="0C1E9CF1"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Nsabayezu</w:t>
      </w:r>
      <w:proofErr w:type="spellEnd"/>
      <w:r w:rsidRPr="00DE0CF1">
        <w:rPr>
          <w:rFonts w:ascii="Times New Roman" w:hAnsi="Times New Roman" w:cs="Times New Roman"/>
          <w:sz w:val="24"/>
          <w:szCs w:val="24"/>
        </w:rPr>
        <w:t xml:space="preserve">, E., </w:t>
      </w:r>
      <w:proofErr w:type="spellStart"/>
      <w:r w:rsidRPr="00DE0CF1">
        <w:rPr>
          <w:rFonts w:ascii="Times New Roman" w:hAnsi="Times New Roman" w:cs="Times New Roman"/>
          <w:sz w:val="24"/>
          <w:szCs w:val="24"/>
        </w:rPr>
        <w:t>Iyamuremye</w:t>
      </w:r>
      <w:proofErr w:type="spellEnd"/>
      <w:r w:rsidRPr="00DE0CF1">
        <w:rPr>
          <w:rFonts w:ascii="Times New Roman" w:hAnsi="Times New Roman" w:cs="Times New Roman"/>
          <w:sz w:val="24"/>
          <w:szCs w:val="24"/>
        </w:rPr>
        <w:t xml:space="preserve">, A., &amp; Mukiza, J. (2022). Impact of computer-based simulations on students’ learning of organic chemistry in the selected secondary schools of </w:t>
      </w:r>
      <w:proofErr w:type="spellStart"/>
      <w:r w:rsidRPr="00DE0CF1">
        <w:rPr>
          <w:rFonts w:ascii="Times New Roman" w:hAnsi="Times New Roman" w:cs="Times New Roman"/>
          <w:sz w:val="24"/>
          <w:szCs w:val="24"/>
        </w:rPr>
        <w:t>Gicumbi</w:t>
      </w:r>
      <w:proofErr w:type="spellEnd"/>
      <w:r w:rsidRPr="00DE0CF1">
        <w:rPr>
          <w:rFonts w:ascii="Times New Roman" w:hAnsi="Times New Roman" w:cs="Times New Roman"/>
          <w:sz w:val="24"/>
          <w:szCs w:val="24"/>
        </w:rPr>
        <w:t xml:space="preserve"> District in Rwanda. </w:t>
      </w:r>
      <w:r w:rsidRPr="00DE0CF1">
        <w:rPr>
          <w:rFonts w:ascii="Times New Roman" w:hAnsi="Times New Roman" w:cs="Times New Roman"/>
          <w:i/>
          <w:iCs/>
          <w:sz w:val="24"/>
          <w:szCs w:val="24"/>
        </w:rPr>
        <w:t>Education and Information Technologies, 27</w:t>
      </w:r>
      <w:r w:rsidRPr="00DE0CF1">
        <w:rPr>
          <w:rFonts w:ascii="Times New Roman" w:hAnsi="Times New Roman" w:cs="Times New Roman"/>
          <w:sz w:val="24"/>
          <w:szCs w:val="24"/>
        </w:rPr>
        <w:t>(7), 2–9.</w:t>
      </w:r>
    </w:p>
    <w:p w14:paraId="0D777516"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Opfer, V. D., &amp; Pedder, D. (2011). Conceptualizing teacher professional learning. </w:t>
      </w:r>
      <w:r w:rsidRPr="00DE0CF1">
        <w:rPr>
          <w:rFonts w:ascii="Times New Roman" w:hAnsi="Times New Roman" w:cs="Times New Roman"/>
          <w:i/>
          <w:iCs/>
          <w:sz w:val="24"/>
          <w:szCs w:val="24"/>
        </w:rPr>
        <w:t>Review of Educational Research, 81</w:t>
      </w:r>
      <w:r w:rsidRPr="00DE0CF1">
        <w:rPr>
          <w:rFonts w:ascii="Times New Roman" w:hAnsi="Times New Roman" w:cs="Times New Roman"/>
          <w:sz w:val="24"/>
          <w:szCs w:val="24"/>
        </w:rPr>
        <w:t>(3), 376–407.</w:t>
      </w:r>
    </w:p>
    <w:p w14:paraId="3AD394ED"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Ottestad</w:t>
      </w:r>
      <w:proofErr w:type="spellEnd"/>
      <w:r w:rsidRPr="00DE0CF1">
        <w:rPr>
          <w:rFonts w:ascii="Times New Roman" w:hAnsi="Times New Roman" w:cs="Times New Roman"/>
          <w:sz w:val="24"/>
          <w:szCs w:val="24"/>
        </w:rPr>
        <w:t xml:space="preserve">, G., Kelentrić, M., &amp; Guðmundsdóttir, G. B. (2014). Professional digital competence in teacher education. </w:t>
      </w:r>
      <w:r w:rsidRPr="00DE0CF1">
        <w:rPr>
          <w:rFonts w:ascii="Times New Roman" w:hAnsi="Times New Roman" w:cs="Times New Roman"/>
          <w:i/>
          <w:iCs/>
          <w:sz w:val="24"/>
          <w:szCs w:val="24"/>
        </w:rPr>
        <w:t>Nordic Journal of Digital Literacy, 9</w:t>
      </w:r>
      <w:r w:rsidRPr="00DE0CF1">
        <w:rPr>
          <w:rFonts w:ascii="Times New Roman" w:hAnsi="Times New Roman" w:cs="Times New Roman"/>
          <w:sz w:val="24"/>
          <w:szCs w:val="24"/>
        </w:rPr>
        <w:t>(4), 243–249.</w:t>
      </w:r>
    </w:p>
    <w:p w14:paraId="620509F5"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Petko, D. (2012). Teachers’ pedagogical beliefs and their use of digital media in classrooms: Sharpening the focus of the ‘will, skill, tool’ model and integrating teachers’ </w:t>
      </w:r>
      <w:r w:rsidRPr="00DE0CF1">
        <w:rPr>
          <w:rFonts w:ascii="Times New Roman" w:hAnsi="Times New Roman" w:cs="Times New Roman"/>
          <w:sz w:val="24"/>
          <w:szCs w:val="24"/>
        </w:rPr>
        <w:lastRenderedPageBreak/>
        <w:t xml:space="preserve">constructivist orientations. </w:t>
      </w:r>
      <w:r w:rsidRPr="00DE0CF1">
        <w:rPr>
          <w:rFonts w:ascii="Times New Roman" w:hAnsi="Times New Roman" w:cs="Times New Roman"/>
          <w:i/>
          <w:iCs/>
          <w:sz w:val="24"/>
          <w:szCs w:val="24"/>
        </w:rPr>
        <w:t>Computers &amp; Education, 58</w:t>
      </w:r>
      <w:r w:rsidRPr="00DE0CF1">
        <w:rPr>
          <w:rFonts w:ascii="Times New Roman" w:hAnsi="Times New Roman" w:cs="Times New Roman"/>
          <w:sz w:val="24"/>
          <w:szCs w:val="24"/>
        </w:rPr>
        <w:t xml:space="preserve">(4), 1351–1359. </w:t>
      </w:r>
      <w:hyperlink r:id="rId22" w:tgtFrame="_new" w:history="1">
        <w:r w:rsidRPr="00DE0CF1">
          <w:rPr>
            <w:rStyle w:val="Hyperlink"/>
            <w:rFonts w:ascii="Times New Roman" w:hAnsi="Times New Roman" w:cs="Times New Roman"/>
            <w:sz w:val="24"/>
            <w:szCs w:val="24"/>
          </w:rPr>
          <w:t>https://doi.org/10.1016/j.compedu.2011.12.013</w:t>
        </w:r>
      </w:hyperlink>
    </w:p>
    <w:p w14:paraId="765BEF3E"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Ranieri, M., &amp; Bruni, I. (2018). Promoting digital and media competences of pre- and in-service teachers: Research findings of a project from six European countries. </w:t>
      </w:r>
      <w:r w:rsidRPr="00DE0CF1">
        <w:rPr>
          <w:rFonts w:ascii="Times New Roman" w:hAnsi="Times New Roman" w:cs="Times New Roman"/>
          <w:i/>
          <w:iCs/>
          <w:sz w:val="24"/>
          <w:szCs w:val="24"/>
        </w:rPr>
        <w:t>Journal of E-Learning and Knowledge Society, 14</w:t>
      </w:r>
      <w:r w:rsidRPr="00DE0CF1">
        <w:rPr>
          <w:rFonts w:ascii="Times New Roman" w:hAnsi="Times New Roman" w:cs="Times New Roman"/>
          <w:sz w:val="24"/>
          <w:szCs w:val="24"/>
        </w:rPr>
        <w:t>, 111–125.</w:t>
      </w:r>
    </w:p>
    <w:p w14:paraId="3FF6054D"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Redecker, C. (2017). European framework for the digital competence of educators: </w:t>
      </w:r>
      <w:proofErr w:type="spellStart"/>
      <w:r w:rsidRPr="00DE0CF1">
        <w:rPr>
          <w:rFonts w:ascii="Times New Roman" w:hAnsi="Times New Roman" w:cs="Times New Roman"/>
          <w:sz w:val="24"/>
          <w:szCs w:val="24"/>
        </w:rPr>
        <w:t>DigCompEdu</w:t>
      </w:r>
      <w:proofErr w:type="spellEnd"/>
      <w:r w:rsidRPr="00DE0CF1">
        <w:rPr>
          <w:rFonts w:ascii="Times New Roman" w:hAnsi="Times New Roman" w:cs="Times New Roman"/>
          <w:sz w:val="24"/>
          <w:szCs w:val="24"/>
        </w:rPr>
        <w:t xml:space="preserve"> (JRC Working Papers JRC107466). </w:t>
      </w:r>
      <w:r w:rsidRPr="00DE0CF1">
        <w:rPr>
          <w:rFonts w:ascii="Times New Roman" w:hAnsi="Times New Roman" w:cs="Times New Roman"/>
          <w:i/>
          <w:iCs/>
          <w:sz w:val="24"/>
          <w:szCs w:val="24"/>
        </w:rPr>
        <w:t>Joint Research Centre, Seville</w:t>
      </w:r>
      <w:r w:rsidRPr="00DE0CF1">
        <w:rPr>
          <w:rFonts w:ascii="Times New Roman" w:hAnsi="Times New Roman" w:cs="Times New Roman"/>
          <w:sz w:val="24"/>
          <w:szCs w:val="24"/>
        </w:rPr>
        <w:t>.</w:t>
      </w:r>
    </w:p>
    <w:p w14:paraId="5C36247A" w14:textId="77777777" w:rsidR="00DE0CF1" w:rsidRPr="00551324"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Reisoglu</w:t>
      </w:r>
      <w:proofErr w:type="spellEnd"/>
      <w:r w:rsidRPr="00DE0CF1">
        <w:rPr>
          <w:rFonts w:ascii="Times New Roman" w:hAnsi="Times New Roman" w:cs="Times New Roman"/>
          <w:sz w:val="24"/>
          <w:szCs w:val="24"/>
        </w:rPr>
        <w:t xml:space="preserve">, I. (2022). How does digital competence training affect teachers' professional development and activities? </w:t>
      </w:r>
      <w:r w:rsidRPr="00DE0CF1">
        <w:rPr>
          <w:rFonts w:ascii="Times New Roman" w:hAnsi="Times New Roman" w:cs="Times New Roman"/>
          <w:i/>
          <w:iCs/>
          <w:sz w:val="24"/>
          <w:szCs w:val="24"/>
        </w:rPr>
        <w:t>Technology, Knowledge and Learning, 27</w:t>
      </w:r>
      <w:r w:rsidRPr="00DE0CF1">
        <w:rPr>
          <w:rFonts w:ascii="Times New Roman" w:hAnsi="Times New Roman" w:cs="Times New Roman"/>
          <w:sz w:val="24"/>
          <w:szCs w:val="24"/>
        </w:rPr>
        <w:t>(3), 721–748.</w:t>
      </w:r>
    </w:p>
    <w:p w14:paraId="04795959"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Russell, D. E. (2012). Developing preservice primary teachers’ confidence and competence in education using principles of authentic learning. </w:t>
      </w:r>
      <w:r w:rsidRPr="00DE0CF1">
        <w:rPr>
          <w:rFonts w:ascii="Times New Roman" w:hAnsi="Times New Roman" w:cs="Times New Roman"/>
          <w:i/>
          <w:iCs/>
          <w:sz w:val="24"/>
          <w:szCs w:val="24"/>
        </w:rPr>
        <w:t>Australian Journal of Teacher Education, 37</w:t>
      </w:r>
      <w:r w:rsidRPr="00DE0CF1">
        <w:rPr>
          <w:rFonts w:ascii="Times New Roman" w:hAnsi="Times New Roman" w:cs="Times New Roman"/>
          <w:sz w:val="24"/>
          <w:szCs w:val="24"/>
        </w:rPr>
        <w:t>(1).</w:t>
      </w:r>
    </w:p>
    <w:p w14:paraId="3E65507F"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Schleicher, A. (2020). The impact of COVID-19 on education: Insights from </w:t>
      </w:r>
      <w:r w:rsidRPr="00DE0CF1">
        <w:rPr>
          <w:rFonts w:ascii="Times New Roman" w:hAnsi="Times New Roman" w:cs="Times New Roman"/>
          <w:i/>
          <w:iCs/>
          <w:sz w:val="24"/>
          <w:szCs w:val="24"/>
        </w:rPr>
        <w:t>Education at a Glance 2020</w:t>
      </w:r>
      <w:r w:rsidRPr="00DE0CF1">
        <w:rPr>
          <w:rFonts w:ascii="Times New Roman" w:hAnsi="Times New Roman" w:cs="Times New Roman"/>
          <w:sz w:val="24"/>
          <w:szCs w:val="24"/>
        </w:rPr>
        <w:t>. OECD Publishing.</w:t>
      </w:r>
    </w:p>
    <w:p w14:paraId="4FCDF592"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Schmidt, D. A., Baran, E., Thompson, A. D., Mishra, P., Koehler, M. J., &amp; Shin, T. S. (2014). Technological Pedagogical Content Knowledge (TPACK): The development and validation of an assessment instrument for preservice teachers. </w:t>
      </w:r>
      <w:r w:rsidRPr="00DE0CF1">
        <w:rPr>
          <w:rFonts w:ascii="Times New Roman" w:hAnsi="Times New Roman" w:cs="Times New Roman"/>
          <w:i/>
          <w:iCs/>
          <w:sz w:val="24"/>
          <w:szCs w:val="24"/>
        </w:rPr>
        <w:t>Journal of Research on Technology in Education, 42</w:t>
      </w:r>
      <w:r w:rsidRPr="00DE0CF1">
        <w:rPr>
          <w:rFonts w:ascii="Times New Roman" w:hAnsi="Times New Roman" w:cs="Times New Roman"/>
          <w:sz w:val="24"/>
          <w:szCs w:val="24"/>
        </w:rPr>
        <w:t>(2), 25–31.</w:t>
      </w:r>
    </w:p>
    <w:p w14:paraId="2B52CF49"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Schön, D. A. (1983). </w:t>
      </w:r>
      <w:r w:rsidRPr="00DE0CF1">
        <w:rPr>
          <w:rFonts w:ascii="Times New Roman" w:hAnsi="Times New Roman" w:cs="Times New Roman"/>
          <w:i/>
          <w:iCs/>
          <w:sz w:val="24"/>
          <w:szCs w:val="24"/>
        </w:rPr>
        <w:t>The reflective practitioner</w:t>
      </w:r>
      <w:r w:rsidRPr="00DE0CF1">
        <w:rPr>
          <w:rFonts w:ascii="Times New Roman" w:hAnsi="Times New Roman" w:cs="Times New Roman"/>
          <w:sz w:val="24"/>
          <w:szCs w:val="24"/>
        </w:rPr>
        <w:t>. Aldershot: Arena.</w:t>
      </w:r>
    </w:p>
    <w:p w14:paraId="22E6F6EB"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Schraw, G. (1998). On the development of adult metacognition. In M. C. Smith &amp; T. Pourchot (Eds.), </w:t>
      </w:r>
      <w:r w:rsidRPr="00DE0CF1">
        <w:rPr>
          <w:rFonts w:ascii="Times New Roman" w:hAnsi="Times New Roman" w:cs="Times New Roman"/>
          <w:i/>
          <w:iCs/>
          <w:sz w:val="24"/>
          <w:szCs w:val="24"/>
        </w:rPr>
        <w:t>Adult learning and development</w:t>
      </w:r>
      <w:r w:rsidRPr="00DE0CF1">
        <w:rPr>
          <w:rFonts w:ascii="Times New Roman" w:hAnsi="Times New Roman" w:cs="Times New Roman"/>
          <w:sz w:val="24"/>
          <w:szCs w:val="24"/>
        </w:rPr>
        <w:t xml:space="preserve"> (pp. 89–106). Mahwah, NJ: Lawrence Erlbaum.</w:t>
      </w:r>
    </w:p>
    <w:p w14:paraId="119B4F38"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 xml:space="preserve">Silva, J. S., </w:t>
      </w:r>
      <w:proofErr w:type="spellStart"/>
      <w:r w:rsidRPr="00DE0CF1">
        <w:rPr>
          <w:rFonts w:ascii="Times New Roman" w:hAnsi="Times New Roman" w:cs="Times New Roman"/>
          <w:sz w:val="24"/>
          <w:szCs w:val="24"/>
        </w:rPr>
        <w:t>Usart</w:t>
      </w:r>
      <w:proofErr w:type="spellEnd"/>
      <w:r w:rsidRPr="00DE0CF1">
        <w:rPr>
          <w:rFonts w:ascii="Times New Roman" w:hAnsi="Times New Roman" w:cs="Times New Roman"/>
          <w:sz w:val="24"/>
          <w:szCs w:val="24"/>
        </w:rPr>
        <w:t xml:space="preserve">, M., &amp; Lázaro-Cantabrana, J. L. (2019). Teacher’s digital competence among final-year pedagogy students in Chile and Uruguay. </w:t>
      </w:r>
      <w:proofErr w:type="spellStart"/>
      <w:r w:rsidRPr="00DE0CF1">
        <w:rPr>
          <w:rFonts w:ascii="Times New Roman" w:hAnsi="Times New Roman" w:cs="Times New Roman"/>
          <w:i/>
          <w:iCs/>
          <w:sz w:val="24"/>
          <w:szCs w:val="24"/>
        </w:rPr>
        <w:t>Comunicar</w:t>
      </w:r>
      <w:proofErr w:type="spellEnd"/>
      <w:r w:rsidRPr="00DE0CF1">
        <w:rPr>
          <w:rFonts w:ascii="Times New Roman" w:hAnsi="Times New Roman" w:cs="Times New Roman"/>
          <w:i/>
          <w:iCs/>
          <w:sz w:val="24"/>
          <w:szCs w:val="24"/>
        </w:rPr>
        <w:t>: Media Education Research Journal, 27</w:t>
      </w:r>
      <w:r w:rsidRPr="00DE0CF1">
        <w:rPr>
          <w:rFonts w:ascii="Times New Roman" w:hAnsi="Times New Roman" w:cs="Times New Roman"/>
          <w:sz w:val="24"/>
          <w:szCs w:val="24"/>
        </w:rPr>
        <w:t>(2), 31–40. https://doi.org/10.3916/C61-2019-03</w:t>
      </w:r>
    </w:p>
    <w:p w14:paraId="0E3AD384" w14:textId="77777777" w:rsidR="00DE0CF1" w:rsidRPr="00DE0CF1"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Smarkola</w:t>
      </w:r>
      <w:proofErr w:type="spellEnd"/>
      <w:r w:rsidRPr="00DE0CF1">
        <w:rPr>
          <w:rFonts w:ascii="Times New Roman" w:hAnsi="Times New Roman" w:cs="Times New Roman"/>
          <w:sz w:val="24"/>
          <w:szCs w:val="24"/>
        </w:rPr>
        <w:t xml:space="preserve">, C. (2008). Efficacy of a planned model: Beliefs that contribute to computer usage intentions of student teachers. </w:t>
      </w:r>
      <w:r w:rsidRPr="00DE0CF1">
        <w:rPr>
          <w:rFonts w:ascii="Times New Roman" w:hAnsi="Times New Roman" w:cs="Times New Roman"/>
          <w:i/>
          <w:iCs/>
          <w:sz w:val="24"/>
          <w:szCs w:val="24"/>
        </w:rPr>
        <w:t xml:space="preserve">Computers in Human </w:t>
      </w:r>
      <w:proofErr w:type="spellStart"/>
      <w:r w:rsidRPr="00DE0CF1">
        <w:rPr>
          <w:rFonts w:ascii="Times New Roman" w:hAnsi="Times New Roman" w:cs="Times New Roman"/>
          <w:i/>
          <w:iCs/>
          <w:sz w:val="24"/>
          <w:szCs w:val="24"/>
        </w:rPr>
        <w:t>Behavior</w:t>
      </w:r>
      <w:proofErr w:type="spellEnd"/>
      <w:r w:rsidRPr="00DE0CF1">
        <w:rPr>
          <w:rFonts w:ascii="Times New Roman" w:hAnsi="Times New Roman" w:cs="Times New Roman"/>
          <w:i/>
          <w:iCs/>
          <w:sz w:val="24"/>
          <w:szCs w:val="24"/>
        </w:rPr>
        <w:t>, 24</w:t>
      </w:r>
      <w:r w:rsidRPr="00DE0CF1">
        <w:rPr>
          <w:rFonts w:ascii="Times New Roman" w:hAnsi="Times New Roman" w:cs="Times New Roman"/>
          <w:sz w:val="24"/>
          <w:szCs w:val="24"/>
        </w:rPr>
        <w:t>(3), 1196–1215. https://doi.org/10.1016/j.chb.2007.04.005</w:t>
      </w:r>
    </w:p>
    <w:p w14:paraId="01D11CF7"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lastRenderedPageBreak/>
        <w:t xml:space="preserve">Stoll, L., Bolam, R., McMahon, A., Wallace, M., &amp; Thomas, S. (2006). Professional learning communities: A review of the literature. </w:t>
      </w:r>
      <w:r w:rsidRPr="00DE0CF1">
        <w:rPr>
          <w:rFonts w:ascii="Times New Roman" w:hAnsi="Times New Roman" w:cs="Times New Roman"/>
          <w:i/>
          <w:iCs/>
          <w:sz w:val="24"/>
          <w:szCs w:val="24"/>
        </w:rPr>
        <w:t>Journal of Educational Change, 7</w:t>
      </w:r>
      <w:r w:rsidRPr="00DE0CF1">
        <w:rPr>
          <w:rFonts w:ascii="Times New Roman" w:hAnsi="Times New Roman" w:cs="Times New Roman"/>
          <w:sz w:val="24"/>
          <w:szCs w:val="24"/>
        </w:rPr>
        <w:t>(3), 221–258.</w:t>
      </w:r>
    </w:p>
    <w:p w14:paraId="4E50D113" w14:textId="77777777" w:rsidR="00DE0CF1" w:rsidRPr="00DE0CF1" w:rsidRDefault="00DE0CF1" w:rsidP="00DE0CF1">
      <w:pPr>
        <w:spacing w:line="360" w:lineRule="auto"/>
        <w:ind w:left="720" w:hanging="720"/>
        <w:jc w:val="both"/>
        <w:rPr>
          <w:rFonts w:ascii="Times New Roman" w:hAnsi="Times New Roman" w:cs="Times New Roman"/>
          <w:sz w:val="24"/>
          <w:szCs w:val="24"/>
        </w:rPr>
      </w:pPr>
      <w:r w:rsidRPr="00DE0CF1">
        <w:rPr>
          <w:rFonts w:ascii="Times New Roman" w:hAnsi="Times New Roman" w:cs="Times New Roman"/>
          <w:sz w:val="24"/>
          <w:szCs w:val="24"/>
        </w:rPr>
        <w:t>Timperley, H., Wilson, A., Barrar, H., &amp; Fung, I. (2007). Teacher professional learning and development. Wellington, New Zealand: Ministry of Education.</w:t>
      </w:r>
    </w:p>
    <w:p w14:paraId="0D71993A" w14:textId="77777777" w:rsidR="00DE0CF1" w:rsidRPr="00551324" w:rsidRDefault="00DE0CF1" w:rsidP="00DE0CF1">
      <w:pPr>
        <w:spacing w:line="360" w:lineRule="auto"/>
        <w:ind w:left="720" w:hanging="720"/>
        <w:jc w:val="both"/>
        <w:rPr>
          <w:rFonts w:ascii="Times New Roman" w:hAnsi="Times New Roman" w:cs="Times New Roman"/>
          <w:sz w:val="24"/>
          <w:szCs w:val="24"/>
        </w:rPr>
      </w:pPr>
      <w:proofErr w:type="spellStart"/>
      <w:r w:rsidRPr="00DE0CF1">
        <w:rPr>
          <w:rFonts w:ascii="Times New Roman" w:hAnsi="Times New Roman" w:cs="Times New Roman"/>
          <w:sz w:val="24"/>
          <w:szCs w:val="24"/>
        </w:rPr>
        <w:t>Tondeur</w:t>
      </w:r>
      <w:proofErr w:type="spellEnd"/>
      <w:r w:rsidRPr="00DE0CF1">
        <w:rPr>
          <w:rFonts w:ascii="Times New Roman" w:hAnsi="Times New Roman" w:cs="Times New Roman"/>
          <w:sz w:val="24"/>
          <w:szCs w:val="24"/>
        </w:rPr>
        <w:t xml:space="preserve">, J., van Braak, J., Sang, G., Voogt, J., Fisser, P., &amp; Ottenbreit-Leftwich, A. (2012). Preparing pre-service teachers to integrate technology in education: A synthesis of qualitative evidence. </w:t>
      </w:r>
      <w:r w:rsidRPr="00DE0CF1">
        <w:rPr>
          <w:rFonts w:ascii="Times New Roman" w:hAnsi="Times New Roman" w:cs="Times New Roman"/>
          <w:i/>
          <w:iCs/>
          <w:sz w:val="24"/>
          <w:szCs w:val="24"/>
        </w:rPr>
        <w:t>Computers &amp; Education, 59</w:t>
      </w:r>
      <w:r w:rsidRPr="00DE0CF1">
        <w:rPr>
          <w:rFonts w:ascii="Times New Roman" w:hAnsi="Times New Roman" w:cs="Times New Roman"/>
          <w:sz w:val="24"/>
          <w:szCs w:val="24"/>
        </w:rPr>
        <w:t>(1), 134–144.</w:t>
      </w:r>
    </w:p>
    <w:p w14:paraId="29486AF6" w14:textId="77777777" w:rsidR="00C375FD" w:rsidRPr="00C375FD" w:rsidRDefault="00C375FD" w:rsidP="00C375FD">
      <w:pPr>
        <w:spacing w:line="360" w:lineRule="auto"/>
        <w:ind w:left="720" w:hanging="720"/>
        <w:jc w:val="both"/>
        <w:rPr>
          <w:rFonts w:ascii="Times New Roman" w:hAnsi="Times New Roman" w:cs="Times New Roman"/>
          <w:sz w:val="24"/>
          <w:szCs w:val="24"/>
        </w:rPr>
      </w:pPr>
      <w:proofErr w:type="spellStart"/>
      <w:r w:rsidRPr="00C375FD">
        <w:rPr>
          <w:rFonts w:ascii="Times New Roman" w:hAnsi="Times New Roman" w:cs="Times New Roman"/>
          <w:sz w:val="24"/>
          <w:szCs w:val="24"/>
        </w:rPr>
        <w:t>Verloop</w:t>
      </w:r>
      <w:proofErr w:type="spellEnd"/>
      <w:r w:rsidRPr="00C375FD">
        <w:rPr>
          <w:rFonts w:ascii="Times New Roman" w:hAnsi="Times New Roman" w:cs="Times New Roman"/>
          <w:sz w:val="24"/>
          <w:szCs w:val="24"/>
        </w:rPr>
        <w:t xml:space="preserve">, N. (2003). De </w:t>
      </w:r>
      <w:proofErr w:type="spellStart"/>
      <w:r w:rsidRPr="00C375FD">
        <w:rPr>
          <w:rFonts w:ascii="Times New Roman" w:hAnsi="Times New Roman" w:cs="Times New Roman"/>
          <w:sz w:val="24"/>
          <w:szCs w:val="24"/>
        </w:rPr>
        <w:t>leraar</w:t>
      </w:r>
      <w:proofErr w:type="spellEnd"/>
      <w:r w:rsidRPr="00C375FD">
        <w:rPr>
          <w:rFonts w:ascii="Times New Roman" w:hAnsi="Times New Roman" w:cs="Times New Roman"/>
          <w:sz w:val="24"/>
          <w:szCs w:val="24"/>
        </w:rPr>
        <w:t xml:space="preserve"> [The teacher]. In N. </w:t>
      </w:r>
      <w:proofErr w:type="spellStart"/>
      <w:r w:rsidRPr="00C375FD">
        <w:rPr>
          <w:rFonts w:ascii="Times New Roman" w:hAnsi="Times New Roman" w:cs="Times New Roman"/>
          <w:sz w:val="24"/>
          <w:szCs w:val="24"/>
        </w:rPr>
        <w:t>Verloop</w:t>
      </w:r>
      <w:proofErr w:type="spellEnd"/>
      <w:r w:rsidRPr="00C375FD">
        <w:rPr>
          <w:rFonts w:ascii="Times New Roman" w:hAnsi="Times New Roman" w:cs="Times New Roman"/>
          <w:sz w:val="24"/>
          <w:szCs w:val="24"/>
        </w:rPr>
        <w:t xml:space="preserve"> &amp; J. </w:t>
      </w:r>
      <w:proofErr w:type="spellStart"/>
      <w:r w:rsidRPr="00C375FD">
        <w:rPr>
          <w:rFonts w:ascii="Times New Roman" w:hAnsi="Times New Roman" w:cs="Times New Roman"/>
          <w:sz w:val="24"/>
          <w:szCs w:val="24"/>
        </w:rPr>
        <w:t>Lowyck</w:t>
      </w:r>
      <w:proofErr w:type="spellEnd"/>
      <w:r w:rsidRPr="00C375FD">
        <w:rPr>
          <w:rFonts w:ascii="Times New Roman" w:hAnsi="Times New Roman" w:cs="Times New Roman"/>
          <w:sz w:val="24"/>
          <w:szCs w:val="24"/>
        </w:rPr>
        <w:t xml:space="preserve"> (Eds.), </w:t>
      </w:r>
      <w:proofErr w:type="spellStart"/>
      <w:r w:rsidRPr="00C375FD">
        <w:rPr>
          <w:rFonts w:ascii="Times New Roman" w:hAnsi="Times New Roman" w:cs="Times New Roman"/>
          <w:i/>
          <w:iCs/>
          <w:sz w:val="24"/>
          <w:szCs w:val="24"/>
        </w:rPr>
        <w:t>Onderwijskunde</w:t>
      </w:r>
      <w:proofErr w:type="spellEnd"/>
      <w:r w:rsidRPr="00C375FD">
        <w:rPr>
          <w:rFonts w:ascii="Times New Roman" w:hAnsi="Times New Roman" w:cs="Times New Roman"/>
          <w:i/>
          <w:iCs/>
          <w:sz w:val="24"/>
          <w:szCs w:val="24"/>
        </w:rPr>
        <w:t xml:space="preserve">. </w:t>
      </w:r>
      <w:proofErr w:type="spellStart"/>
      <w:r w:rsidRPr="00C375FD">
        <w:rPr>
          <w:rFonts w:ascii="Times New Roman" w:hAnsi="Times New Roman" w:cs="Times New Roman"/>
          <w:i/>
          <w:iCs/>
          <w:sz w:val="24"/>
          <w:szCs w:val="24"/>
        </w:rPr>
        <w:t>Een</w:t>
      </w:r>
      <w:proofErr w:type="spellEnd"/>
      <w:r w:rsidRPr="00C375FD">
        <w:rPr>
          <w:rFonts w:ascii="Times New Roman" w:hAnsi="Times New Roman" w:cs="Times New Roman"/>
          <w:i/>
          <w:iCs/>
          <w:sz w:val="24"/>
          <w:szCs w:val="24"/>
        </w:rPr>
        <w:t xml:space="preserve"> </w:t>
      </w:r>
      <w:proofErr w:type="spellStart"/>
      <w:r w:rsidRPr="00C375FD">
        <w:rPr>
          <w:rFonts w:ascii="Times New Roman" w:hAnsi="Times New Roman" w:cs="Times New Roman"/>
          <w:i/>
          <w:iCs/>
          <w:sz w:val="24"/>
          <w:szCs w:val="24"/>
        </w:rPr>
        <w:t>kennisbasis</w:t>
      </w:r>
      <w:proofErr w:type="spellEnd"/>
      <w:r w:rsidRPr="00C375FD">
        <w:rPr>
          <w:rFonts w:ascii="Times New Roman" w:hAnsi="Times New Roman" w:cs="Times New Roman"/>
          <w:i/>
          <w:iCs/>
          <w:sz w:val="24"/>
          <w:szCs w:val="24"/>
        </w:rPr>
        <w:t xml:space="preserve"> </w:t>
      </w:r>
      <w:proofErr w:type="spellStart"/>
      <w:r w:rsidRPr="00C375FD">
        <w:rPr>
          <w:rFonts w:ascii="Times New Roman" w:hAnsi="Times New Roman" w:cs="Times New Roman"/>
          <w:i/>
          <w:iCs/>
          <w:sz w:val="24"/>
          <w:szCs w:val="24"/>
        </w:rPr>
        <w:t>voor</w:t>
      </w:r>
      <w:proofErr w:type="spellEnd"/>
      <w:r w:rsidRPr="00C375FD">
        <w:rPr>
          <w:rFonts w:ascii="Times New Roman" w:hAnsi="Times New Roman" w:cs="Times New Roman"/>
          <w:i/>
          <w:iCs/>
          <w:sz w:val="24"/>
          <w:szCs w:val="24"/>
        </w:rPr>
        <w:t xml:space="preserve"> professionals</w:t>
      </w:r>
      <w:r w:rsidRPr="00C375FD">
        <w:rPr>
          <w:rFonts w:ascii="Times New Roman" w:hAnsi="Times New Roman" w:cs="Times New Roman"/>
          <w:sz w:val="24"/>
          <w:szCs w:val="24"/>
        </w:rPr>
        <w:t xml:space="preserve"> [Science of teaching. A knowledge base for professionals] (pp. 195–228). Groningen: Wolters-</w:t>
      </w:r>
      <w:proofErr w:type="spellStart"/>
      <w:r w:rsidRPr="00C375FD">
        <w:rPr>
          <w:rFonts w:ascii="Times New Roman" w:hAnsi="Times New Roman" w:cs="Times New Roman"/>
          <w:sz w:val="24"/>
          <w:szCs w:val="24"/>
        </w:rPr>
        <w:t>Noordhoff</w:t>
      </w:r>
      <w:proofErr w:type="spellEnd"/>
      <w:r w:rsidRPr="00C375FD">
        <w:rPr>
          <w:rFonts w:ascii="Times New Roman" w:hAnsi="Times New Roman" w:cs="Times New Roman"/>
          <w:sz w:val="24"/>
          <w:szCs w:val="24"/>
        </w:rPr>
        <w:t>.</w:t>
      </w:r>
    </w:p>
    <w:p w14:paraId="5A3C3802" w14:textId="77777777" w:rsidR="00C375FD" w:rsidRPr="00C375FD" w:rsidRDefault="00C375FD" w:rsidP="00C375FD">
      <w:pPr>
        <w:spacing w:line="360" w:lineRule="auto"/>
        <w:ind w:left="720" w:hanging="720"/>
        <w:jc w:val="both"/>
        <w:rPr>
          <w:rFonts w:ascii="Times New Roman" w:hAnsi="Times New Roman" w:cs="Times New Roman"/>
          <w:sz w:val="24"/>
          <w:szCs w:val="24"/>
        </w:rPr>
      </w:pPr>
      <w:r w:rsidRPr="00C375FD">
        <w:rPr>
          <w:rFonts w:ascii="Times New Roman" w:hAnsi="Times New Roman" w:cs="Times New Roman"/>
          <w:sz w:val="24"/>
          <w:szCs w:val="24"/>
        </w:rPr>
        <w:t xml:space="preserve">Westheimer, J. (2008). Learning among colleagues: Teacher community and the shared enterprise of education. In M. Cochran-Smith (Ed.), </w:t>
      </w:r>
      <w:r w:rsidRPr="00C375FD">
        <w:rPr>
          <w:rFonts w:ascii="Times New Roman" w:hAnsi="Times New Roman" w:cs="Times New Roman"/>
          <w:i/>
          <w:iCs/>
          <w:sz w:val="24"/>
          <w:szCs w:val="24"/>
        </w:rPr>
        <w:t>Handbook of research on teacher education: Enduring questions in changing contexts</w:t>
      </w:r>
      <w:r w:rsidRPr="00C375FD">
        <w:rPr>
          <w:rFonts w:ascii="Times New Roman" w:hAnsi="Times New Roman" w:cs="Times New Roman"/>
          <w:sz w:val="24"/>
          <w:szCs w:val="24"/>
        </w:rPr>
        <w:t xml:space="preserve"> (pp. 756–783). New York, NY: Routledge, Taylor &amp; Francis Group and the Association of Teacher Educators.</w:t>
      </w:r>
    </w:p>
    <w:p w14:paraId="533D79FE" w14:textId="77777777" w:rsidR="00C375FD" w:rsidRPr="00C375FD" w:rsidRDefault="00C375FD" w:rsidP="00C375FD">
      <w:pPr>
        <w:spacing w:line="360" w:lineRule="auto"/>
        <w:ind w:left="720" w:hanging="720"/>
        <w:jc w:val="both"/>
        <w:rPr>
          <w:rFonts w:ascii="Times New Roman" w:hAnsi="Times New Roman" w:cs="Times New Roman"/>
          <w:sz w:val="24"/>
          <w:szCs w:val="24"/>
        </w:rPr>
      </w:pPr>
      <w:r w:rsidRPr="00C375FD">
        <w:rPr>
          <w:rFonts w:ascii="Times New Roman" w:hAnsi="Times New Roman" w:cs="Times New Roman"/>
          <w:sz w:val="24"/>
          <w:szCs w:val="24"/>
        </w:rPr>
        <w:t>Zepeda, S. J. (2010). Instructional supervision: Applying tools and concepts (3rd ed.). New York: Routledge.</w:t>
      </w:r>
    </w:p>
    <w:p w14:paraId="61441B36" w14:textId="77777777" w:rsidR="00DE0CF1" w:rsidRPr="00DE0CF1" w:rsidRDefault="00DE0CF1" w:rsidP="00DE0CF1">
      <w:pPr>
        <w:spacing w:line="360" w:lineRule="auto"/>
        <w:ind w:left="720" w:hanging="720"/>
        <w:jc w:val="both"/>
        <w:rPr>
          <w:rFonts w:ascii="Times New Roman" w:hAnsi="Times New Roman" w:cs="Times New Roman"/>
          <w:sz w:val="24"/>
          <w:szCs w:val="24"/>
        </w:rPr>
      </w:pPr>
    </w:p>
    <w:p w14:paraId="7704BA34" w14:textId="77777777" w:rsidR="00DE0CF1" w:rsidRPr="00DE0CF1" w:rsidRDefault="00DE0CF1" w:rsidP="00DE0CF1">
      <w:pPr>
        <w:spacing w:line="360" w:lineRule="auto"/>
        <w:ind w:left="720" w:hanging="720"/>
        <w:jc w:val="both"/>
        <w:rPr>
          <w:rFonts w:ascii="Times New Roman" w:hAnsi="Times New Roman" w:cs="Times New Roman"/>
          <w:sz w:val="24"/>
          <w:szCs w:val="24"/>
        </w:rPr>
      </w:pPr>
    </w:p>
    <w:p w14:paraId="37E3B378" w14:textId="111FD2AA" w:rsidR="004D36A4" w:rsidRPr="00551324" w:rsidRDefault="004D36A4" w:rsidP="004D36A4">
      <w:pPr>
        <w:spacing w:line="360" w:lineRule="auto"/>
        <w:ind w:left="720" w:hanging="720"/>
        <w:jc w:val="both"/>
        <w:rPr>
          <w:rFonts w:ascii="Times New Roman" w:hAnsi="Times New Roman" w:cs="Times New Roman"/>
          <w:sz w:val="24"/>
          <w:szCs w:val="24"/>
        </w:rPr>
      </w:pPr>
    </w:p>
    <w:sectPr w:rsidR="004D36A4" w:rsidRPr="00551324" w:rsidSect="003A401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3AE73" w14:textId="77777777" w:rsidR="00120CAC" w:rsidRDefault="00120CAC" w:rsidP="00246161">
      <w:pPr>
        <w:spacing w:after="0" w:line="240" w:lineRule="auto"/>
      </w:pPr>
      <w:r>
        <w:separator/>
      </w:r>
    </w:p>
  </w:endnote>
  <w:endnote w:type="continuationSeparator" w:id="0">
    <w:p w14:paraId="31B61B5B" w14:textId="77777777" w:rsidR="00120CAC" w:rsidRDefault="00120CAC" w:rsidP="0024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8598" w14:textId="77777777" w:rsidR="000034BA" w:rsidRDefault="00003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066140"/>
      <w:docPartObj>
        <w:docPartGallery w:val="Page Numbers (Bottom of Page)"/>
        <w:docPartUnique/>
      </w:docPartObj>
    </w:sdtPr>
    <w:sdtEndPr>
      <w:rPr>
        <w:noProof/>
      </w:rPr>
    </w:sdtEndPr>
    <w:sdtContent>
      <w:p w14:paraId="1C45B247" w14:textId="72FF5D71" w:rsidR="00276292" w:rsidRDefault="002762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A4CD08" w14:textId="77777777" w:rsidR="00276292" w:rsidRDefault="0027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392D" w14:textId="77777777" w:rsidR="000034BA" w:rsidRDefault="0000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696A" w14:textId="77777777" w:rsidR="00120CAC" w:rsidRDefault="00120CAC" w:rsidP="00246161">
      <w:pPr>
        <w:spacing w:after="0" w:line="240" w:lineRule="auto"/>
      </w:pPr>
      <w:r>
        <w:separator/>
      </w:r>
    </w:p>
  </w:footnote>
  <w:footnote w:type="continuationSeparator" w:id="0">
    <w:p w14:paraId="2B89A3C5" w14:textId="77777777" w:rsidR="00120CAC" w:rsidRDefault="00120CAC" w:rsidP="0024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4BC9" w14:textId="4921D800" w:rsidR="000034BA" w:rsidRDefault="000034BA">
    <w:pPr>
      <w:pStyle w:val="Header"/>
    </w:pPr>
    <w:r>
      <w:rPr>
        <w:noProof/>
      </w:rPr>
      <w:pict w14:anchorId="5F93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76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0D20" w14:textId="2E8DC556" w:rsidR="000034BA" w:rsidRDefault="000034BA">
    <w:pPr>
      <w:pStyle w:val="Header"/>
    </w:pPr>
    <w:r>
      <w:rPr>
        <w:noProof/>
      </w:rPr>
      <w:pict w14:anchorId="32743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76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459C" w14:textId="60A9EB91" w:rsidR="000034BA" w:rsidRDefault="000034BA">
    <w:pPr>
      <w:pStyle w:val="Header"/>
    </w:pPr>
    <w:r>
      <w:rPr>
        <w:noProof/>
      </w:rPr>
      <w:pict w14:anchorId="58D4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76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5F4"/>
    <w:multiLevelType w:val="hybridMultilevel"/>
    <w:tmpl w:val="640C9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D6599B"/>
    <w:multiLevelType w:val="hybridMultilevel"/>
    <w:tmpl w:val="247E4C56"/>
    <w:lvl w:ilvl="0" w:tplc="0254C56A">
      <w:start w:val="1"/>
      <w:numFmt w:val="lowerLetter"/>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9E343F"/>
    <w:multiLevelType w:val="hybridMultilevel"/>
    <w:tmpl w:val="EFA8B232"/>
    <w:lvl w:ilvl="0" w:tplc="9412E40E">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8C0637"/>
    <w:multiLevelType w:val="hybridMultilevel"/>
    <w:tmpl w:val="80E080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640A83"/>
    <w:multiLevelType w:val="hybridMultilevel"/>
    <w:tmpl w:val="E3548D34"/>
    <w:lvl w:ilvl="0" w:tplc="AF2810DA">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AE6A6D"/>
    <w:multiLevelType w:val="hybridMultilevel"/>
    <w:tmpl w:val="4C108F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703FBC"/>
    <w:multiLevelType w:val="hybridMultilevel"/>
    <w:tmpl w:val="640C95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1C"/>
    <w:rsid w:val="000034BA"/>
    <w:rsid w:val="0000682F"/>
    <w:rsid w:val="0003230E"/>
    <w:rsid w:val="000435DB"/>
    <w:rsid w:val="000662EC"/>
    <w:rsid w:val="00075FB0"/>
    <w:rsid w:val="00076A34"/>
    <w:rsid w:val="000953CE"/>
    <w:rsid w:val="000A22F0"/>
    <w:rsid w:val="000A3CBF"/>
    <w:rsid w:val="000C38D2"/>
    <w:rsid w:val="000D4445"/>
    <w:rsid w:val="000E086A"/>
    <w:rsid w:val="00102F5D"/>
    <w:rsid w:val="00107152"/>
    <w:rsid w:val="00117498"/>
    <w:rsid w:val="00120CAC"/>
    <w:rsid w:val="001564EB"/>
    <w:rsid w:val="001628F4"/>
    <w:rsid w:val="00173EF3"/>
    <w:rsid w:val="0018369C"/>
    <w:rsid w:val="00187119"/>
    <w:rsid w:val="0019056C"/>
    <w:rsid w:val="001A24AE"/>
    <w:rsid w:val="001A53B1"/>
    <w:rsid w:val="001B0763"/>
    <w:rsid w:val="001C331E"/>
    <w:rsid w:val="001C4090"/>
    <w:rsid w:val="001D21A2"/>
    <w:rsid w:val="001D78E8"/>
    <w:rsid w:val="001E148E"/>
    <w:rsid w:val="00211A3F"/>
    <w:rsid w:val="002305E0"/>
    <w:rsid w:val="00245D2B"/>
    <w:rsid w:val="00246161"/>
    <w:rsid w:val="00267D80"/>
    <w:rsid w:val="00270A46"/>
    <w:rsid w:val="00274763"/>
    <w:rsid w:val="0027506D"/>
    <w:rsid w:val="00276292"/>
    <w:rsid w:val="0027704A"/>
    <w:rsid w:val="00280DCF"/>
    <w:rsid w:val="002F7737"/>
    <w:rsid w:val="00314D3C"/>
    <w:rsid w:val="00316AC2"/>
    <w:rsid w:val="00327C47"/>
    <w:rsid w:val="00327EFB"/>
    <w:rsid w:val="00332EFD"/>
    <w:rsid w:val="003613F0"/>
    <w:rsid w:val="00364806"/>
    <w:rsid w:val="003A4013"/>
    <w:rsid w:val="003D4A7C"/>
    <w:rsid w:val="003E1305"/>
    <w:rsid w:val="003E627E"/>
    <w:rsid w:val="00413009"/>
    <w:rsid w:val="00452719"/>
    <w:rsid w:val="004661F1"/>
    <w:rsid w:val="00467801"/>
    <w:rsid w:val="004845EF"/>
    <w:rsid w:val="004856F9"/>
    <w:rsid w:val="004907D1"/>
    <w:rsid w:val="004914D5"/>
    <w:rsid w:val="004D36A4"/>
    <w:rsid w:val="004E00A4"/>
    <w:rsid w:val="004E7AF0"/>
    <w:rsid w:val="0052662C"/>
    <w:rsid w:val="00550C67"/>
    <w:rsid w:val="00551324"/>
    <w:rsid w:val="0055477A"/>
    <w:rsid w:val="00560C1C"/>
    <w:rsid w:val="00567A14"/>
    <w:rsid w:val="00567EB9"/>
    <w:rsid w:val="00573C6F"/>
    <w:rsid w:val="00582152"/>
    <w:rsid w:val="005B29F7"/>
    <w:rsid w:val="005C51F9"/>
    <w:rsid w:val="005D1F12"/>
    <w:rsid w:val="005E172B"/>
    <w:rsid w:val="005E48C5"/>
    <w:rsid w:val="005F0EC7"/>
    <w:rsid w:val="006063A3"/>
    <w:rsid w:val="00606D86"/>
    <w:rsid w:val="00622066"/>
    <w:rsid w:val="006701A9"/>
    <w:rsid w:val="00685EDD"/>
    <w:rsid w:val="006B15EB"/>
    <w:rsid w:val="006B2496"/>
    <w:rsid w:val="006B54C0"/>
    <w:rsid w:val="006B7DC6"/>
    <w:rsid w:val="006C1026"/>
    <w:rsid w:val="006C4740"/>
    <w:rsid w:val="006C7C62"/>
    <w:rsid w:val="006D2A7F"/>
    <w:rsid w:val="006E3234"/>
    <w:rsid w:val="006F044E"/>
    <w:rsid w:val="006F24A7"/>
    <w:rsid w:val="00726F0A"/>
    <w:rsid w:val="00737352"/>
    <w:rsid w:val="007543CA"/>
    <w:rsid w:val="00767BE5"/>
    <w:rsid w:val="00792FC9"/>
    <w:rsid w:val="0079596E"/>
    <w:rsid w:val="007A7F89"/>
    <w:rsid w:val="007C614E"/>
    <w:rsid w:val="007C7072"/>
    <w:rsid w:val="007E4F11"/>
    <w:rsid w:val="00881B5B"/>
    <w:rsid w:val="0088554B"/>
    <w:rsid w:val="0088624B"/>
    <w:rsid w:val="008A1EF6"/>
    <w:rsid w:val="008A20E5"/>
    <w:rsid w:val="008A3C05"/>
    <w:rsid w:val="008B5349"/>
    <w:rsid w:val="008B7B93"/>
    <w:rsid w:val="008C5F1C"/>
    <w:rsid w:val="008E560C"/>
    <w:rsid w:val="00906FAB"/>
    <w:rsid w:val="00934B41"/>
    <w:rsid w:val="00961D15"/>
    <w:rsid w:val="00985C6D"/>
    <w:rsid w:val="009A29FB"/>
    <w:rsid w:val="009A5670"/>
    <w:rsid w:val="009A5E1D"/>
    <w:rsid w:val="009B3CCD"/>
    <w:rsid w:val="009D5AF9"/>
    <w:rsid w:val="009E2632"/>
    <w:rsid w:val="009E2A9B"/>
    <w:rsid w:val="009E2E54"/>
    <w:rsid w:val="009F7639"/>
    <w:rsid w:val="00A00EC1"/>
    <w:rsid w:val="00A33662"/>
    <w:rsid w:val="00A4730A"/>
    <w:rsid w:val="00A508C1"/>
    <w:rsid w:val="00A53067"/>
    <w:rsid w:val="00A570B7"/>
    <w:rsid w:val="00A9087B"/>
    <w:rsid w:val="00AA73D1"/>
    <w:rsid w:val="00AD0BAA"/>
    <w:rsid w:val="00AD5C67"/>
    <w:rsid w:val="00B153E9"/>
    <w:rsid w:val="00B34AC1"/>
    <w:rsid w:val="00B34C08"/>
    <w:rsid w:val="00B34FB9"/>
    <w:rsid w:val="00B73D6C"/>
    <w:rsid w:val="00B74D2C"/>
    <w:rsid w:val="00B81ED5"/>
    <w:rsid w:val="00B944F5"/>
    <w:rsid w:val="00B97EEF"/>
    <w:rsid w:val="00BA623F"/>
    <w:rsid w:val="00BA69AA"/>
    <w:rsid w:val="00BB2F60"/>
    <w:rsid w:val="00BC11F7"/>
    <w:rsid w:val="00BD527B"/>
    <w:rsid w:val="00C14C0A"/>
    <w:rsid w:val="00C375FD"/>
    <w:rsid w:val="00C46133"/>
    <w:rsid w:val="00C5542F"/>
    <w:rsid w:val="00C55ADD"/>
    <w:rsid w:val="00C73A31"/>
    <w:rsid w:val="00C7646D"/>
    <w:rsid w:val="00C846A4"/>
    <w:rsid w:val="00CB1459"/>
    <w:rsid w:val="00CC37D4"/>
    <w:rsid w:val="00CD090E"/>
    <w:rsid w:val="00CE4A20"/>
    <w:rsid w:val="00CF5FAF"/>
    <w:rsid w:val="00D24BE4"/>
    <w:rsid w:val="00D3283D"/>
    <w:rsid w:val="00D41E67"/>
    <w:rsid w:val="00D47E07"/>
    <w:rsid w:val="00D51B17"/>
    <w:rsid w:val="00D57521"/>
    <w:rsid w:val="00D664DC"/>
    <w:rsid w:val="00D737E2"/>
    <w:rsid w:val="00D739E6"/>
    <w:rsid w:val="00D921E1"/>
    <w:rsid w:val="00D95046"/>
    <w:rsid w:val="00DC5871"/>
    <w:rsid w:val="00DE0CF1"/>
    <w:rsid w:val="00DE4047"/>
    <w:rsid w:val="00DE72E3"/>
    <w:rsid w:val="00E025FC"/>
    <w:rsid w:val="00E35A8E"/>
    <w:rsid w:val="00E40976"/>
    <w:rsid w:val="00E42D96"/>
    <w:rsid w:val="00E43B53"/>
    <w:rsid w:val="00E46869"/>
    <w:rsid w:val="00E57F38"/>
    <w:rsid w:val="00EA2E9F"/>
    <w:rsid w:val="00EA6F97"/>
    <w:rsid w:val="00EB32EF"/>
    <w:rsid w:val="00EB663D"/>
    <w:rsid w:val="00EE2FEE"/>
    <w:rsid w:val="00EF0E76"/>
    <w:rsid w:val="00EF2213"/>
    <w:rsid w:val="00EF5C7A"/>
    <w:rsid w:val="00F026DA"/>
    <w:rsid w:val="00F03353"/>
    <w:rsid w:val="00F06B0F"/>
    <w:rsid w:val="00F128A6"/>
    <w:rsid w:val="00F16506"/>
    <w:rsid w:val="00F361D1"/>
    <w:rsid w:val="00F65EDB"/>
    <w:rsid w:val="00F75145"/>
    <w:rsid w:val="00F76246"/>
    <w:rsid w:val="00F80800"/>
    <w:rsid w:val="00F90FB8"/>
    <w:rsid w:val="00F920F0"/>
    <w:rsid w:val="00F923DD"/>
    <w:rsid w:val="00F95D9F"/>
    <w:rsid w:val="00FB53CD"/>
    <w:rsid w:val="00FB66CD"/>
    <w:rsid w:val="00FC16FC"/>
    <w:rsid w:val="00FC7B70"/>
    <w:rsid w:val="00FE5564"/>
    <w:rsid w:val="00FE62FA"/>
    <w:rsid w:val="00FF2CE0"/>
    <w:rsid w:val="00FF581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0FC4E0"/>
  <w15:chartTrackingRefBased/>
  <w15:docId w15:val="{270F985B-EA7F-4284-9D17-EBE3BCF8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F1C"/>
  </w:style>
  <w:style w:type="paragraph" w:styleId="Heading1">
    <w:name w:val="heading 1"/>
    <w:basedOn w:val="Normal"/>
    <w:next w:val="Normal"/>
    <w:link w:val="Heading1Char"/>
    <w:uiPriority w:val="9"/>
    <w:qFormat/>
    <w:rsid w:val="008C5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F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F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F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F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F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F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F1C"/>
    <w:rPr>
      <w:rFonts w:eastAsiaTheme="majorEastAsia" w:cstheme="majorBidi"/>
      <w:color w:val="272727" w:themeColor="text1" w:themeTint="D8"/>
    </w:rPr>
  </w:style>
  <w:style w:type="paragraph" w:styleId="Title">
    <w:name w:val="Title"/>
    <w:basedOn w:val="Normal"/>
    <w:next w:val="Normal"/>
    <w:link w:val="TitleChar"/>
    <w:uiPriority w:val="10"/>
    <w:qFormat/>
    <w:rsid w:val="008C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F1C"/>
    <w:pPr>
      <w:spacing w:before="160"/>
      <w:jc w:val="center"/>
    </w:pPr>
    <w:rPr>
      <w:i/>
      <w:iCs/>
      <w:color w:val="404040" w:themeColor="text1" w:themeTint="BF"/>
    </w:rPr>
  </w:style>
  <w:style w:type="character" w:customStyle="1" w:styleId="QuoteChar">
    <w:name w:val="Quote Char"/>
    <w:basedOn w:val="DefaultParagraphFont"/>
    <w:link w:val="Quote"/>
    <w:uiPriority w:val="29"/>
    <w:rsid w:val="008C5F1C"/>
    <w:rPr>
      <w:i/>
      <w:iCs/>
      <w:color w:val="404040" w:themeColor="text1" w:themeTint="BF"/>
    </w:rPr>
  </w:style>
  <w:style w:type="paragraph" w:styleId="ListParagraph">
    <w:name w:val="List Paragraph"/>
    <w:basedOn w:val="Normal"/>
    <w:uiPriority w:val="34"/>
    <w:qFormat/>
    <w:rsid w:val="008C5F1C"/>
    <w:pPr>
      <w:ind w:left="720"/>
      <w:contextualSpacing/>
    </w:pPr>
  </w:style>
  <w:style w:type="character" w:styleId="IntenseEmphasis">
    <w:name w:val="Intense Emphasis"/>
    <w:basedOn w:val="DefaultParagraphFont"/>
    <w:uiPriority w:val="21"/>
    <w:qFormat/>
    <w:rsid w:val="008C5F1C"/>
    <w:rPr>
      <w:i/>
      <w:iCs/>
      <w:color w:val="2F5496" w:themeColor="accent1" w:themeShade="BF"/>
    </w:rPr>
  </w:style>
  <w:style w:type="paragraph" w:styleId="IntenseQuote">
    <w:name w:val="Intense Quote"/>
    <w:basedOn w:val="Normal"/>
    <w:next w:val="Normal"/>
    <w:link w:val="IntenseQuoteChar"/>
    <w:uiPriority w:val="30"/>
    <w:qFormat/>
    <w:rsid w:val="008C5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F1C"/>
    <w:rPr>
      <w:i/>
      <w:iCs/>
      <w:color w:val="2F5496" w:themeColor="accent1" w:themeShade="BF"/>
    </w:rPr>
  </w:style>
  <w:style w:type="character" w:styleId="IntenseReference">
    <w:name w:val="Intense Reference"/>
    <w:basedOn w:val="DefaultParagraphFont"/>
    <w:uiPriority w:val="32"/>
    <w:qFormat/>
    <w:rsid w:val="008C5F1C"/>
    <w:rPr>
      <w:b/>
      <w:bCs/>
      <w:smallCaps/>
      <w:color w:val="2F5496" w:themeColor="accent1" w:themeShade="BF"/>
      <w:spacing w:val="5"/>
    </w:rPr>
  </w:style>
  <w:style w:type="character" w:styleId="Hyperlink">
    <w:name w:val="Hyperlink"/>
    <w:basedOn w:val="DefaultParagraphFont"/>
    <w:uiPriority w:val="99"/>
    <w:unhideWhenUsed/>
    <w:rsid w:val="008C5F1C"/>
    <w:rPr>
      <w:color w:val="0563C1" w:themeColor="hyperlink"/>
      <w:u w:val="single"/>
    </w:rPr>
  </w:style>
  <w:style w:type="table" w:styleId="TableGrid">
    <w:name w:val="Table Grid"/>
    <w:basedOn w:val="TableNormal"/>
    <w:uiPriority w:val="39"/>
    <w:rsid w:val="008C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161"/>
  </w:style>
  <w:style w:type="paragraph" w:styleId="Footer">
    <w:name w:val="footer"/>
    <w:basedOn w:val="Normal"/>
    <w:link w:val="FooterChar"/>
    <w:uiPriority w:val="99"/>
    <w:unhideWhenUsed/>
    <w:rsid w:val="0024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161"/>
  </w:style>
  <w:style w:type="character" w:styleId="UnresolvedMention">
    <w:name w:val="Unresolved Mention"/>
    <w:basedOn w:val="DefaultParagraphFont"/>
    <w:uiPriority w:val="99"/>
    <w:semiHidden/>
    <w:unhideWhenUsed/>
    <w:rsid w:val="00DE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176">
      <w:bodyDiv w:val="1"/>
      <w:marLeft w:val="0"/>
      <w:marRight w:val="0"/>
      <w:marTop w:val="0"/>
      <w:marBottom w:val="0"/>
      <w:divBdr>
        <w:top w:val="none" w:sz="0" w:space="0" w:color="auto"/>
        <w:left w:val="none" w:sz="0" w:space="0" w:color="auto"/>
        <w:bottom w:val="none" w:sz="0" w:space="0" w:color="auto"/>
        <w:right w:val="none" w:sz="0" w:space="0" w:color="auto"/>
      </w:divBdr>
    </w:div>
    <w:div w:id="42759683">
      <w:bodyDiv w:val="1"/>
      <w:marLeft w:val="0"/>
      <w:marRight w:val="0"/>
      <w:marTop w:val="0"/>
      <w:marBottom w:val="0"/>
      <w:divBdr>
        <w:top w:val="none" w:sz="0" w:space="0" w:color="auto"/>
        <w:left w:val="none" w:sz="0" w:space="0" w:color="auto"/>
        <w:bottom w:val="none" w:sz="0" w:space="0" w:color="auto"/>
        <w:right w:val="none" w:sz="0" w:space="0" w:color="auto"/>
      </w:divBdr>
    </w:div>
    <w:div w:id="126051928">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275599323">
      <w:bodyDiv w:val="1"/>
      <w:marLeft w:val="0"/>
      <w:marRight w:val="0"/>
      <w:marTop w:val="0"/>
      <w:marBottom w:val="0"/>
      <w:divBdr>
        <w:top w:val="none" w:sz="0" w:space="0" w:color="auto"/>
        <w:left w:val="none" w:sz="0" w:space="0" w:color="auto"/>
        <w:bottom w:val="none" w:sz="0" w:space="0" w:color="auto"/>
        <w:right w:val="none" w:sz="0" w:space="0" w:color="auto"/>
      </w:divBdr>
    </w:div>
    <w:div w:id="346061298">
      <w:bodyDiv w:val="1"/>
      <w:marLeft w:val="0"/>
      <w:marRight w:val="0"/>
      <w:marTop w:val="0"/>
      <w:marBottom w:val="0"/>
      <w:divBdr>
        <w:top w:val="none" w:sz="0" w:space="0" w:color="auto"/>
        <w:left w:val="none" w:sz="0" w:space="0" w:color="auto"/>
        <w:bottom w:val="none" w:sz="0" w:space="0" w:color="auto"/>
        <w:right w:val="none" w:sz="0" w:space="0" w:color="auto"/>
      </w:divBdr>
    </w:div>
    <w:div w:id="394202850">
      <w:bodyDiv w:val="1"/>
      <w:marLeft w:val="0"/>
      <w:marRight w:val="0"/>
      <w:marTop w:val="0"/>
      <w:marBottom w:val="0"/>
      <w:divBdr>
        <w:top w:val="none" w:sz="0" w:space="0" w:color="auto"/>
        <w:left w:val="none" w:sz="0" w:space="0" w:color="auto"/>
        <w:bottom w:val="none" w:sz="0" w:space="0" w:color="auto"/>
        <w:right w:val="none" w:sz="0" w:space="0" w:color="auto"/>
      </w:divBdr>
    </w:div>
    <w:div w:id="535460262">
      <w:bodyDiv w:val="1"/>
      <w:marLeft w:val="0"/>
      <w:marRight w:val="0"/>
      <w:marTop w:val="0"/>
      <w:marBottom w:val="0"/>
      <w:divBdr>
        <w:top w:val="none" w:sz="0" w:space="0" w:color="auto"/>
        <w:left w:val="none" w:sz="0" w:space="0" w:color="auto"/>
        <w:bottom w:val="none" w:sz="0" w:space="0" w:color="auto"/>
        <w:right w:val="none" w:sz="0" w:space="0" w:color="auto"/>
      </w:divBdr>
    </w:div>
    <w:div w:id="616135020">
      <w:bodyDiv w:val="1"/>
      <w:marLeft w:val="0"/>
      <w:marRight w:val="0"/>
      <w:marTop w:val="0"/>
      <w:marBottom w:val="0"/>
      <w:divBdr>
        <w:top w:val="none" w:sz="0" w:space="0" w:color="auto"/>
        <w:left w:val="none" w:sz="0" w:space="0" w:color="auto"/>
        <w:bottom w:val="none" w:sz="0" w:space="0" w:color="auto"/>
        <w:right w:val="none" w:sz="0" w:space="0" w:color="auto"/>
      </w:divBdr>
    </w:div>
    <w:div w:id="730081361">
      <w:bodyDiv w:val="1"/>
      <w:marLeft w:val="0"/>
      <w:marRight w:val="0"/>
      <w:marTop w:val="0"/>
      <w:marBottom w:val="0"/>
      <w:divBdr>
        <w:top w:val="none" w:sz="0" w:space="0" w:color="auto"/>
        <w:left w:val="none" w:sz="0" w:space="0" w:color="auto"/>
        <w:bottom w:val="none" w:sz="0" w:space="0" w:color="auto"/>
        <w:right w:val="none" w:sz="0" w:space="0" w:color="auto"/>
      </w:divBdr>
    </w:div>
    <w:div w:id="763309129">
      <w:bodyDiv w:val="1"/>
      <w:marLeft w:val="0"/>
      <w:marRight w:val="0"/>
      <w:marTop w:val="0"/>
      <w:marBottom w:val="0"/>
      <w:divBdr>
        <w:top w:val="none" w:sz="0" w:space="0" w:color="auto"/>
        <w:left w:val="none" w:sz="0" w:space="0" w:color="auto"/>
        <w:bottom w:val="none" w:sz="0" w:space="0" w:color="auto"/>
        <w:right w:val="none" w:sz="0" w:space="0" w:color="auto"/>
      </w:divBdr>
    </w:div>
    <w:div w:id="839275127">
      <w:bodyDiv w:val="1"/>
      <w:marLeft w:val="0"/>
      <w:marRight w:val="0"/>
      <w:marTop w:val="0"/>
      <w:marBottom w:val="0"/>
      <w:divBdr>
        <w:top w:val="none" w:sz="0" w:space="0" w:color="auto"/>
        <w:left w:val="none" w:sz="0" w:space="0" w:color="auto"/>
        <w:bottom w:val="none" w:sz="0" w:space="0" w:color="auto"/>
        <w:right w:val="none" w:sz="0" w:space="0" w:color="auto"/>
      </w:divBdr>
    </w:div>
    <w:div w:id="865367335">
      <w:bodyDiv w:val="1"/>
      <w:marLeft w:val="0"/>
      <w:marRight w:val="0"/>
      <w:marTop w:val="0"/>
      <w:marBottom w:val="0"/>
      <w:divBdr>
        <w:top w:val="none" w:sz="0" w:space="0" w:color="auto"/>
        <w:left w:val="none" w:sz="0" w:space="0" w:color="auto"/>
        <w:bottom w:val="none" w:sz="0" w:space="0" w:color="auto"/>
        <w:right w:val="none" w:sz="0" w:space="0" w:color="auto"/>
      </w:divBdr>
    </w:div>
    <w:div w:id="913315283">
      <w:bodyDiv w:val="1"/>
      <w:marLeft w:val="0"/>
      <w:marRight w:val="0"/>
      <w:marTop w:val="0"/>
      <w:marBottom w:val="0"/>
      <w:divBdr>
        <w:top w:val="none" w:sz="0" w:space="0" w:color="auto"/>
        <w:left w:val="none" w:sz="0" w:space="0" w:color="auto"/>
        <w:bottom w:val="none" w:sz="0" w:space="0" w:color="auto"/>
        <w:right w:val="none" w:sz="0" w:space="0" w:color="auto"/>
      </w:divBdr>
    </w:div>
    <w:div w:id="1079015438">
      <w:bodyDiv w:val="1"/>
      <w:marLeft w:val="0"/>
      <w:marRight w:val="0"/>
      <w:marTop w:val="0"/>
      <w:marBottom w:val="0"/>
      <w:divBdr>
        <w:top w:val="none" w:sz="0" w:space="0" w:color="auto"/>
        <w:left w:val="none" w:sz="0" w:space="0" w:color="auto"/>
        <w:bottom w:val="none" w:sz="0" w:space="0" w:color="auto"/>
        <w:right w:val="none" w:sz="0" w:space="0" w:color="auto"/>
      </w:divBdr>
    </w:div>
    <w:div w:id="1087924389">
      <w:bodyDiv w:val="1"/>
      <w:marLeft w:val="0"/>
      <w:marRight w:val="0"/>
      <w:marTop w:val="0"/>
      <w:marBottom w:val="0"/>
      <w:divBdr>
        <w:top w:val="none" w:sz="0" w:space="0" w:color="auto"/>
        <w:left w:val="none" w:sz="0" w:space="0" w:color="auto"/>
        <w:bottom w:val="none" w:sz="0" w:space="0" w:color="auto"/>
        <w:right w:val="none" w:sz="0" w:space="0" w:color="auto"/>
      </w:divBdr>
    </w:div>
    <w:div w:id="1150168920">
      <w:bodyDiv w:val="1"/>
      <w:marLeft w:val="0"/>
      <w:marRight w:val="0"/>
      <w:marTop w:val="0"/>
      <w:marBottom w:val="0"/>
      <w:divBdr>
        <w:top w:val="none" w:sz="0" w:space="0" w:color="auto"/>
        <w:left w:val="none" w:sz="0" w:space="0" w:color="auto"/>
        <w:bottom w:val="none" w:sz="0" w:space="0" w:color="auto"/>
        <w:right w:val="none" w:sz="0" w:space="0" w:color="auto"/>
      </w:divBdr>
    </w:div>
    <w:div w:id="1238125692">
      <w:bodyDiv w:val="1"/>
      <w:marLeft w:val="0"/>
      <w:marRight w:val="0"/>
      <w:marTop w:val="0"/>
      <w:marBottom w:val="0"/>
      <w:divBdr>
        <w:top w:val="none" w:sz="0" w:space="0" w:color="auto"/>
        <w:left w:val="none" w:sz="0" w:space="0" w:color="auto"/>
        <w:bottom w:val="none" w:sz="0" w:space="0" w:color="auto"/>
        <w:right w:val="none" w:sz="0" w:space="0" w:color="auto"/>
      </w:divBdr>
    </w:div>
    <w:div w:id="1418404328">
      <w:bodyDiv w:val="1"/>
      <w:marLeft w:val="0"/>
      <w:marRight w:val="0"/>
      <w:marTop w:val="0"/>
      <w:marBottom w:val="0"/>
      <w:divBdr>
        <w:top w:val="none" w:sz="0" w:space="0" w:color="auto"/>
        <w:left w:val="none" w:sz="0" w:space="0" w:color="auto"/>
        <w:bottom w:val="none" w:sz="0" w:space="0" w:color="auto"/>
        <w:right w:val="none" w:sz="0" w:space="0" w:color="auto"/>
      </w:divBdr>
    </w:div>
    <w:div w:id="1440954246">
      <w:bodyDiv w:val="1"/>
      <w:marLeft w:val="0"/>
      <w:marRight w:val="0"/>
      <w:marTop w:val="0"/>
      <w:marBottom w:val="0"/>
      <w:divBdr>
        <w:top w:val="none" w:sz="0" w:space="0" w:color="auto"/>
        <w:left w:val="none" w:sz="0" w:space="0" w:color="auto"/>
        <w:bottom w:val="none" w:sz="0" w:space="0" w:color="auto"/>
        <w:right w:val="none" w:sz="0" w:space="0" w:color="auto"/>
      </w:divBdr>
    </w:div>
    <w:div w:id="1482386812">
      <w:bodyDiv w:val="1"/>
      <w:marLeft w:val="0"/>
      <w:marRight w:val="0"/>
      <w:marTop w:val="0"/>
      <w:marBottom w:val="0"/>
      <w:divBdr>
        <w:top w:val="none" w:sz="0" w:space="0" w:color="auto"/>
        <w:left w:val="none" w:sz="0" w:space="0" w:color="auto"/>
        <w:bottom w:val="none" w:sz="0" w:space="0" w:color="auto"/>
        <w:right w:val="none" w:sz="0" w:space="0" w:color="auto"/>
      </w:divBdr>
    </w:div>
    <w:div w:id="1482429950">
      <w:bodyDiv w:val="1"/>
      <w:marLeft w:val="0"/>
      <w:marRight w:val="0"/>
      <w:marTop w:val="0"/>
      <w:marBottom w:val="0"/>
      <w:divBdr>
        <w:top w:val="none" w:sz="0" w:space="0" w:color="auto"/>
        <w:left w:val="none" w:sz="0" w:space="0" w:color="auto"/>
        <w:bottom w:val="none" w:sz="0" w:space="0" w:color="auto"/>
        <w:right w:val="none" w:sz="0" w:space="0" w:color="auto"/>
      </w:divBdr>
    </w:div>
    <w:div w:id="1539859127">
      <w:bodyDiv w:val="1"/>
      <w:marLeft w:val="0"/>
      <w:marRight w:val="0"/>
      <w:marTop w:val="0"/>
      <w:marBottom w:val="0"/>
      <w:divBdr>
        <w:top w:val="none" w:sz="0" w:space="0" w:color="auto"/>
        <w:left w:val="none" w:sz="0" w:space="0" w:color="auto"/>
        <w:bottom w:val="none" w:sz="0" w:space="0" w:color="auto"/>
        <w:right w:val="none" w:sz="0" w:space="0" w:color="auto"/>
      </w:divBdr>
    </w:div>
    <w:div w:id="1568570581">
      <w:bodyDiv w:val="1"/>
      <w:marLeft w:val="0"/>
      <w:marRight w:val="0"/>
      <w:marTop w:val="0"/>
      <w:marBottom w:val="0"/>
      <w:divBdr>
        <w:top w:val="none" w:sz="0" w:space="0" w:color="auto"/>
        <w:left w:val="none" w:sz="0" w:space="0" w:color="auto"/>
        <w:bottom w:val="none" w:sz="0" w:space="0" w:color="auto"/>
        <w:right w:val="none" w:sz="0" w:space="0" w:color="auto"/>
      </w:divBdr>
    </w:div>
    <w:div w:id="1625189162">
      <w:bodyDiv w:val="1"/>
      <w:marLeft w:val="0"/>
      <w:marRight w:val="0"/>
      <w:marTop w:val="0"/>
      <w:marBottom w:val="0"/>
      <w:divBdr>
        <w:top w:val="none" w:sz="0" w:space="0" w:color="auto"/>
        <w:left w:val="none" w:sz="0" w:space="0" w:color="auto"/>
        <w:bottom w:val="none" w:sz="0" w:space="0" w:color="auto"/>
        <w:right w:val="none" w:sz="0" w:space="0" w:color="auto"/>
      </w:divBdr>
    </w:div>
    <w:div w:id="17259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162373716670260" TargetMode="External"/><Relationship Id="rId13" Type="http://schemas.openxmlformats.org/officeDocument/2006/relationships/hyperlink" Target="http://www.dfes.gov.uk" TargetMode="External"/><Relationship Id="rId18" Type="http://schemas.openxmlformats.org/officeDocument/2006/relationships/hyperlink" Target="https://doi.org/10.1016/j.tate.2017.05.01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00313831.2012.726273" TargetMode="External"/><Relationship Id="rId7" Type="http://schemas.openxmlformats.org/officeDocument/2006/relationships/endnotes" Target="endnotes.xml"/><Relationship Id="rId12" Type="http://schemas.openxmlformats.org/officeDocument/2006/relationships/hyperlink" Target="https://doi.org/10.1016/j.compedu.2016.12.010" TargetMode="External"/><Relationship Id="rId17" Type="http://schemas.openxmlformats.org/officeDocument/2006/relationships/hyperlink" Target="https://doi.org/10.1080/02619768.2015.11006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br.org/2020/03/coronavirus-is-widening-the-corporate-digital-divide" TargetMode="External"/><Relationship Id="rId20" Type="http://schemas.openxmlformats.org/officeDocument/2006/relationships/hyperlink" Target="https://doi.org/10.3390/educsci140505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jrc.ec.europa.eu/repository/bitstream/JRC83167/lb-na-26035-enn.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7370000802177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EN/TXT/PDF/?uri=CELEX:32018H0604(01)&amp;from=LT" TargetMode="External"/><Relationship Id="rId19" Type="http://schemas.openxmlformats.org/officeDocument/2006/relationships/hyperlink" Target="https://doi.org/10.1002/tea.21378" TargetMode="External"/><Relationship Id="rId4" Type="http://schemas.openxmlformats.org/officeDocument/2006/relationships/settings" Target="settings.xml"/><Relationship Id="rId9" Type="http://schemas.openxmlformats.org/officeDocument/2006/relationships/hyperlink" Target="https://doi.org/10.1007/s10639-018-9737-z" TargetMode="External"/><Relationship Id="rId14" Type="http://schemas.openxmlformats.org/officeDocument/2006/relationships/hyperlink" Target="https://doi.org/10.1080/00313831.2016.1172501" TargetMode="External"/><Relationship Id="rId22" Type="http://schemas.openxmlformats.org/officeDocument/2006/relationships/hyperlink" Target="https://doi.org/10.1016/j.compedu.2011.12.01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E2180-CAD0-4DB4-B679-C659C8A9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6085</Words>
  <Characters>34687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Swarnaprava Behera</dc:creator>
  <cp:keywords/>
  <dc:description/>
  <cp:lastModifiedBy>SDI 1180</cp:lastModifiedBy>
  <cp:revision>56</cp:revision>
  <dcterms:created xsi:type="dcterms:W3CDTF">2025-06-25T15:00:00Z</dcterms:created>
  <dcterms:modified xsi:type="dcterms:W3CDTF">2025-09-03T11:20:00Z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717b9a11-0a41-4008-b799-d2d41f858b1a</vt:lpwstr>
  </property>
</Properties>
</file>