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CC648" w14:textId="0EAE2307" w:rsidR="00A258C3" w:rsidRDefault="003F0D7F" w:rsidP="003F0D7F">
      <w:pPr>
        <w:pStyle w:val="Author"/>
        <w:spacing w:line="240" w:lineRule="auto"/>
        <w:rPr>
          <w:rFonts w:ascii="Arial" w:hAnsi="Arial" w:cs="Arial"/>
          <w:bCs/>
          <w:iCs/>
          <w:kern w:val="28"/>
          <w:sz w:val="36"/>
        </w:rPr>
      </w:pPr>
      <w:r w:rsidRPr="003F0D7F">
        <w:rPr>
          <w:rFonts w:ascii="Arial" w:hAnsi="Arial" w:cs="Arial"/>
          <w:bCs/>
          <w:iCs/>
          <w:kern w:val="28"/>
          <w:sz w:val="36"/>
        </w:rPr>
        <w:t>Effectiveness of Digital Learning Apps in Enhancing Grade 2 Students' Phonological Awareness</w:t>
      </w:r>
    </w:p>
    <w:p w14:paraId="163FFC83" w14:textId="77777777" w:rsidR="0013566C" w:rsidRPr="00790ADA" w:rsidRDefault="0013566C" w:rsidP="003F0D7F">
      <w:pPr>
        <w:pStyle w:val="Author"/>
        <w:spacing w:line="240" w:lineRule="auto"/>
        <w:rPr>
          <w:rFonts w:ascii="Arial" w:hAnsi="Arial" w:cs="Arial"/>
          <w:sz w:val="36"/>
        </w:rPr>
      </w:pPr>
    </w:p>
    <w:p w14:paraId="6EF22519" w14:textId="77777777" w:rsidR="00790ADA" w:rsidRDefault="00790ADA" w:rsidP="00441B6F">
      <w:pPr>
        <w:pStyle w:val="Affiliation"/>
        <w:spacing w:after="0" w:line="240" w:lineRule="auto"/>
        <w:jc w:val="both"/>
        <w:rPr>
          <w:rFonts w:ascii="Arial" w:hAnsi="Arial" w:cs="Arial"/>
        </w:rPr>
      </w:pPr>
    </w:p>
    <w:p w14:paraId="5A863394" w14:textId="77777777" w:rsidR="002C57D2" w:rsidRPr="00FB3A86" w:rsidRDefault="002C57D2" w:rsidP="00441B6F">
      <w:pPr>
        <w:pStyle w:val="Affiliation"/>
        <w:spacing w:after="0" w:line="240" w:lineRule="auto"/>
        <w:jc w:val="both"/>
        <w:rPr>
          <w:rFonts w:ascii="Arial" w:hAnsi="Arial" w:cs="Arial"/>
        </w:rPr>
      </w:pPr>
    </w:p>
    <w:p w14:paraId="6975AC93" w14:textId="77777777" w:rsidR="00B01FCD" w:rsidRPr="00FB3A86" w:rsidRDefault="006D3966" w:rsidP="00441B6F">
      <w:pPr>
        <w:pStyle w:val="Copyright"/>
        <w:spacing w:after="0" w:line="240" w:lineRule="auto"/>
        <w:jc w:val="both"/>
        <w:rPr>
          <w:rFonts w:ascii="Arial" w:hAnsi="Arial" w:cs="Arial"/>
        </w:rPr>
        <w:sectPr w:rsidR="00B01FCD" w:rsidRPr="00FB3A86" w:rsidSect="00AB45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37F54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6A6E40" w14:textId="639FB9E1" w:rsidR="00B01FCD" w:rsidRDefault="00B01FCD" w:rsidP="00441B6F">
      <w:pPr>
        <w:pStyle w:val="AbstHead"/>
        <w:spacing w:after="0"/>
        <w:jc w:val="both"/>
        <w:rPr>
          <w:rFonts w:ascii="Arial" w:hAnsi="Arial" w:cs="Arial"/>
        </w:rPr>
      </w:pPr>
      <w:r w:rsidRPr="00FB3A86">
        <w:rPr>
          <w:rFonts w:ascii="Arial" w:hAnsi="Arial" w:cs="Arial"/>
        </w:rPr>
        <w:t>ABSTRACT</w:t>
      </w:r>
    </w:p>
    <w:p w14:paraId="281467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AC64274" w14:textId="77777777" w:rsidTr="001E44FE">
        <w:tc>
          <w:tcPr>
            <w:tcW w:w="9576" w:type="dxa"/>
            <w:shd w:val="clear" w:color="auto" w:fill="F2F2F2"/>
          </w:tcPr>
          <w:p w14:paraId="0454900F" w14:textId="15DA6919" w:rsidR="003F0D7F" w:rsidRPr="003F0D7F" w:rsidRDefault="003F0D7F" w:rsidP="003F0D7F">
            <w:pPr>
              <w:pStyle w:val="Body"/>
              <w:rPr>
                <w:rFonts w:ascii="Arial" w:eastAsia="Calibri" w:hAnsi="Arial" w:cs="Arial"/>
                <w:sz w:val="22"/>
                <w:szCs w:val="24"/>
              </w:rPr>
            </w:pPr>
            <w:r w:rsidRPr="003F0D7F">
              <w:rPr>
                <w:rFonts w:ascii="Arial" w:eastAsia="Calibri" w:hAnsi="Arial" w:cs="Arial"/>
                <w:sz w:val="22"/>
                <w:szCs w:val="24"/>
              </w:rPr>
              <w:t xml:space="preserve">This study examined the effectiveness of digital learning applications in enhancing the phonological awareness of Grade 2 students at Cateel Central Elementary School during the 2024–2025 school year. Phonological awareness—comprising phoneme awareness, syllable segmentation, onset-rime awareness, and word awareness—is a critical foundation for early reading and literacy development. Utilizing a quasi-experimental design, the researchers divided 60 Grade 2 students into two equal groups: one received traditional phonics instruction (the control group). </w:t>
            </w:r>
          </w:p>
          <w:p w14:paraId="7EF57CEB" w14:textId="723B29A2" w:rsidR="00505F06" w:rsidRPr="003F0D7F" w:rsidRDefault="003F0D7F" w:rsidP="003F0D7F">
            <w:pPr>
              <w:pStyle w:val="Body"/>
              <w:rPr>
                <w:rFonts w:ascii="Arial" w:eastAsia="Calibri" w:hAnsi="Arial" w:cs="Arial"/>
                <w:sz w:val="22"/>
                <w:szCs w:val="24"/>
              </w:rPr>
            </w:pPr>
            <w:r w:rsidRPr="003F0D7F">
              <w:rPr>
                <w:rFonts w:ascii="Arial" w:eastAsia="Calibri" w:hAnsi="Arial" w:cs="Arial"/>
                <w:sz w:val="22"/>
                <w:szCs w:val="24"/>
              </w:rPr>
              <w:t xml:space="preserve">In contrast, the other received a phonics instruction approach that incorporated technology (the experimental group). At the same time, the other used the ABCMouse digital learning app (the experimental group). A validated 16-item rubric was used for both pre-test and post-test assessments. Results showed no significant difference in the pre-test scores between the two groups, confirming a comparable baseline. However, post-test analysis revealed a statistically significant improvement in the experimental group (mean = 12.25) compared to the control group (mean = 11.22), with a computed p-value of 0.019. The effect size, measured using Cohen's d (1.577), indicated a medium effect of the digital intervention. These findings align with Mayer's Multimedia Learning Theory, which emphasizes dual-channel processing, limited cognitive capacity, and the importance of active learning. The study concludes that digital learning apps, such as ABCMouse, are effective in improving phonological awareness, particularly in resource-limited settings. It recommends integrating such technology-based interventions into early literacy instruction to promote more engaging, differentiated, and effective learning experiences for young learners. </w:t>
            </w:r>
          </w:p>
        </w:tc>
      </w:tr>
    </w:tbl>
    <w:p w14:paraId="12F02067" w14:textId="77777777" w:rsidR="00636EB2" w:rsidRDefault="00636EB2" w:rsidP="00441B6F">
      <w:pPr>
        <w:pStyle w:val="Body"/>
        <w:spacing w:after="0"/>
        <w:rPr>
          <w:rFonts w:ascii="Arial" w:hAnsi="Arial" w:cs="Arial"/>
          <w:i/>
        </w:rPr>
      </w:pPr>
    </w:p>
    <w:p w14:paraId="293C1257" w14:textId="6D5EBD20" w:rsidR="003F0D7F" w:rsidRDefault="00A24E7E" w:rsidP="003F0D7F">
      <w:pPr>
        <w:jc w:val="both"/>
        <w:rPr>
          <w:rFonts w:ascii="Times New Roman" w:hAnsi="Times New Roman"/>
          <w:b/>
          <w:bCs/>
          <w:sz w:val="24"/>
          <w:szCs w:val="24"/>
        </w:rPr>
      </w:pPr>
      <w:r w:rsidRPr="003F0D7F">
        <w:rPr>
          <w:rFonts w:ascii="Arial" w:hAnsi="Arial" w:cs="Arial"/>
          <w:i/>
          <w:sz w:val="22"/>
          <w:szCs w:val="22"/>
        </w:rPr>
        <w:t>Keywords:</w:t>
      </w:r>
      <w:r w:rsidR="003F0D7F" w:rsidRPr="003F0D7F">
        <w:rPr>
          <w:rFonts w:ascii="Times New Roman" w:hAnsi="Times New Roman"/>
          <w:i/>
          <w:iCs/>
          <w:sz w:val="28"/>
          <w:szCs w:val="28"/>
        </w:rPr>
        <w:t xml:space="preserve"> </w:t>
      </w:r>
      <w:r w:rsidR="003F0D7F" w:rsidRPr="003F0D7F">
        <w:rPr>
          <w:rFonts w:ascii="Arial" w:hAnsi="Arial" w:cs="Arial"/>
          <w:i/>
          <w:iCs/>
          <w:sz w:val="24"/>
          <w:szCs w:val="24"/>
        </w:rPr>
        <w:t>digital learning apps, phonological awareness, Grade 2 students, multimedia learning theory, ABCMouse</w:t>
      </w:r>
      <w:r w:rsidR="003F0D7F" w:rsidRPr="00B4013E">
        <w:rPr>
          <w:rFonts w:ascii="Times New Roman" w:hAnsi="Times New Roman"/>
          <w:i/>
          <w:iCs/>
          <w:sz w:val="24"/>
          <w:szCs w:val="24"/>
        </w:rPr>
        <w:t xml:space="preserve"> </w:t>
      </w:r>
    </w:p>
    <w:p w14:paraId="45F0FD65" w14:textId="61C75B00" w:rsidR="00B52896" w:rsidRDefault="00687DEA" w:rsidP="002E0A84">
      <w:pPr>
        <w:pStyle w:val="Body"/>
        <w:spacing w:after="0"/>
        <w:rPr>
          <w:rFonts w:ascii="Arial" w:hAnsi="Arial" w:cs="Arial"/>
          <w:i/>
          <w:sz w:val="18"/>
        </w:rPr>
      </w:pPr>
      <w:r>
        <w:rPr>
          <w:rFonts w:ascii="Arial" w:hAnsi="Arial" w:cs="Arial"/>
          <w:i/>
          <w:sz w:val="18"/>
        </w:rPr>
        <w:t xml:space="preserve"> </w:t>
      </w:r>
    </w:p>
    <w:p w14:paraId="48B549B5" w14:textId="597B27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DD986AF" w14:textId="77777777" w:rsidR="00790ADA" w:rsidRPr="00FB3A86" w:rsidRDefault="00790ADA" w:rsidP="00441B6F">
      <w:pPr>
        <w:pStyle w:val="AbstHead"/>
        <w:spacing w:after="0"/>
        <w:jc w:val="both"/>
        <w:rPr>
          <w:rFonts w:ascii="Arial" w:hAnsi="Arial" w:cs="Arial"/>
        </w:rPr>
      </w:pPr>
    </w:p>
    <w:p w14:paraId="43E2E165" w14:textId="77777777" w:rsidR="00325C30" w:rsidRPr="00AE016B" w:rsidRDefault="00325C30" w:rsidP="00325C30">
      <w:pPr>
        <w:pStyle w:val="Body"/>
        <w:rPr>
          <w:rFonts w:ascii="Arial" w:hAnsi="Arial" w:cs="Arial"/>
          <w:sz w:val="22"/>
          <w:szCs w:val="22"/>
        </w:rPr>
      </w:pPr>
      <w:r w:rsidRPr="00AE016B">
        <w:rPr>
          <w:rFonts w:ascii="Arial" w:hAnsi="Arial" w:cs="Arial"/>
          <w:sz w:val="22"/>
          <w:szCs w:val="22"/>
        </w:rPr>
        <w:t>Phonological awareness is widely recognized as a critical precursor to early literacy, enabling children to decode written language by identifying and manipulating sounds within words (Terrell &amp; Watson, 2018). This foundational skill comprises phonemic awareness, onset and rime awareness, and syllable segmentation, all of which are essential for literacy development (</w:t>
      </w:r>
      <w:proofErr w:type="spellStart"/>
      <w:r w:rsidRPr="00AE016B">
        <w:rPr>
          <w:rFonts w:ascii="Arial" w:hAnsi="Arial" w:cs="Arial"/>
          <w:sz w:val="22"/>
          <w:szCs w:val="22"/>
        </w:rPr>
        <w:t>Suortti</w:t>
      </w:r>
      <w:proofErr w:type="spellEnd"/>
      <w:r w:rsidRPr="00AE016B">
        <w:rPr>
          <w:rFonts w:ascii="Arial" w:hAnsi="Arial" w:cs="Arial"/>
          <w:sz w:val="22"/>
          <w:szCs w:val="22"/>
        </w:rPr>
        <w:t xml:space="preserve"> &amp; </w:t>
      </w:r>
      <w:proofErr w:type="spellStart"/>
      <w:r w:rsidRPr="00AE016B">
        <w:rPr>
          <w:rFonts w:ascii="Arial" w:hAnsi="Arial" w:cs="Arial"/>
          <w:sz w:val="22"/>
          <w:szCs w:val="22"/>
        </w:rPr>
        <w:t>Lipponen</w:t>
      </w:r>
      <w:proofErr w:type="spellEnd"/>
      <w:r w:rsidRPr="00AE016B">
        <w:rPr>
          <w:rFonts w:ascii="Arial" w:hAnsi="Arial" w:cs="Arial"/>
          <w:sz w:val="22"/>
          <w:szCs w:val="22"/>
        </w:rPr>
        <w:t xml:space="preserve">, 2016). Specifically, </w:t>
      </w:r>
      <w:r w:rsidRPr="00AE016B">
        <w:rPr>
          <w:rFonts w:ascii="Arial" w:hAnsi="Arial" w:cs="Arial"/>
          <w:sz w:val="22"/>
          <w:szCs w:val="22"/>
        </w:rPr>
        <w:lastRenderedPageBreak/>
        <w:t>phonemic awareness—identifying and manipulating individual sounds in words—underpins crucial decoding and encoding skills, such as blending and segmenting (</w:t>
      </w:r>
      <w:proofErr w:type="spellStart"/>
      <w:r w:rsidRPr="00AE016B">
        <w:rPr>
          <w:rFonts w:ascii="Arial" w:hAnsi="Arial" w:cs="Arial"/>
          <w:sz w:val="22"/>
          <w:szCs w:val="22"/>
        </w:rPr>
        <w:t>Trezek</w:t>
      </w:r>
      <w:proofErr w:type="spellEnd"/>
      <w:r w:rsidRPr="00AE016B">
        <w:rPr>
          <w:rFonts w:ascii="Arial" w:hAnsi="Arial" w:cs="Arial"/>
          <w:sz w:val="22"/>
          <w:szCs w:val="22"/>
        </w:rPr>
        <w:t xml:space="preserve"> &amp; Mayer, 2019). Onset and rime awareness help children decode word patterns, such as identifying the initial sound in "cat" and linking it to similar word families like "bat" and "hat" (Westby, 2016). Syllable awareness further supports pronunciation and spelling by teaching children to break words into smaller units, enhancing decoding and word recognition skills (Jiang et al., 2017). Without these foundational skills, children are more likely to face reading and writing difficulties, emphasizing the need for systematic instruction in phonological awareness (Lyytinen et al., 2015; </w:t>
      </w:r>
      <w:proofErr w:type="spellStart"/>
      <w:r w:rsidRPr="00AE016B">
        <w:rPr>
          <w:rFonts w:ascii="Arial" w:hAnsi="Arial" w:cs="Arial"/>
          <w:sz w:val="22"/>
          <w:szCs w:val="22"/>
        </w:rPr>
        <w:t>Snowling</w:t>
      </w:r>
      <w:proofErr w:type="spellEnd"/>
      <w:r w:rsidRPr="00AE016B">
        <w:rPr>
          <w:rFonts w:ascii="Arial" w:hAnsi="Arial" w:cs="Arial"/>
          <w:sz w:val="22"/>
          <w:szCs w:val="22"/>
        </w:rPr>
        <w:t xml:space="preserve"> &amp; </w:t>
      </w:r>
      <w:proofErr w:type="spellStart"/>
      <w:r w:rsidRPr="00AE016B">
        <w:rPr>
          <w:rFonts w:ascii="Arial" w:hAnsi="Arial" w:cs="Arial"/>
          <w:sz w:val="22"/>
          <w:szCs w:val="22"/>
        </w:rPr>
        <w:t>Hulme</w:t>
      </w:r>
      <w:proofErr w:type="spellEnd"/>
      <w:r w:rsidRPr="00AE016B">
        <w:rPr>
          <w:rFonts w:ascii="Arial" w:hAnsi="Arial" w:cs="Arial"/>
          <w:sz w:val="22"/>
          <w:szCs w:val="22"/>
        </w:rPr>
        <w:t>, 2020).</w:t>
      </w:r>
    </w:p>
    <w:p w14:paraId="71EDBA5B" w14:textId="77777777" w:rsidR="00325C30" w:rsidRPr="00AE016B" w:rsidRDefault="00325C30" w:rsidP="00325C30">
      <w:pPr>
        <w:pStyle w:val="Body"/>
        <w:rPr>
          <w:rFonts w:ascii="Arial" w:hAnsi="Arial" w:cs="Arial"/>
          <w:sz w:val="22"/>
          <w:szCs w:val="22"/>
        </w:rPr>
      </w:pPr>
      <w:r w:rsidRPr="00AE016B">
        <w:rPr>
          <w:rFonts w:ascii="Arial" w:hAnsi="Arial" w:cs="Arial"/>
          <w:sz w:val="22"/>
          <w:szCs w:val="22"/>
        </w:rPr>
        <w:t>Globally, challenges in developing phonological awareness persist, particularly in low-income countries, where nearly 40% of children lack basic literacy skills, thereby limiting their ability to decode words and read fluently (UNESCO, 2022). In the Philippines, this issue is especially pronounced. The 2019 Southeast Asia Primary Learning Metrics (SEA-PLM) revealed that only 10% of Grade 5 students demonstrated reading proficiency, highlighting significant gaps in literacy instruction (UNICEF &amp; SEAMEO, 2019). Socio-economic disparities, resource shortages, and inadequate teacher training exacerbate these challenges, particularly in rural areas where schools often lack teaching materials and support (DepEd, 2022). Consequently, nearly 27% of Filipino children aged 10 are classified as experiencing "learning poverty," unable to read or understand simple texts due to the absence of early interventions (World Bank, 2021). Bridging these gaps requires targeted interventions that address systemic issues while focusing on early phonological awareness instruction (Rwodzi &amp; De Jager, 2021).</w:t>
      </w:r>
    </w:p>
    <w:p w14:paraId="48131DA9" w14:textId="77777777" w:rsidR="00325C30" w:rsidRPr="00AE016B" w:rsidRDefault="00325C30" w:rsidP="00325C30">
      <w:pPr>
        <w:pStyle w:val="Body"/>
        <w:rPr>
          <w:rFonts w:ascii="Arial" w:hAnsi="Arial" w:cs="Arial"/>
          <w:sz w:val="22"/>
          <w:szCs w:val="22"/>
        </w:rPr>
      </w:pPr>
      <w:r w:rsidRPr="00AE016B">
        <w:rPr>
          <w:rFonts w:ascii="Arial" w:hAnsi="Arial" w:cs="Arial"/>
          <w:sz w:val="22"/>
          <w:szCs w:val="22"/>
        </w:rPr>
        <w:t>The integration of digital learning tools offers innovative and scalable solutions to these challenges, particularly in resource-constrained settings (Rodríguez-Abitia et al., 2020). These tools often employ gamification strategies, such as sound matching, word puzzles, and syllable segmentation activities, making learning interactive and enjoyable (Llorens-Largo et al., 2016). Applications like "Endless Reader" and "Reading Eggs" have demonstrated effectiveness in enhancing phonological awareness by fostering skills such as phoneme blending and word decoding (Neumann, 2017). Furthermore, digital tools enable personalized learning pathways, allowing students to progress at their own pace and receive tailored support based on their individual needs (McCarthy et al., 2020). In rural areas, where traditional resources are limited, these tools provide cost-effective interventions to support underserved learners (Ngwa et al., 2020).</w:t>
      </w:r>
    </w:p>
    <w:p w14:paraId="2065A5C0" w14:textId="77777777" w:rsidR="00325C30" w:rsidRPr="00AE016B" w:rsidRDefault="00325C30" w:rsidP="00325C30">
      <w:pPr>
        <w:pStyle w:val="Body"/>
        <w:rPr>
          <w:rFonts w:ascii="Arial" w:hAnsi="Arial" w:cs="Arial"/>
          <w:sz w:val="22"/>
          <w:szCs w:val="22"/>
        </w:rPr>
      </w:pPr>
      <w:r w:rsidRPr="00AE016B">
        <w:rPr>
          <w:rFonts w:ascii="Arial" w:hAnsi="Arial" w:cs="Arial"/>
          <w:sz w:val="22"/>
          <w:szCs w:val="22"/>
        </w:rPr>
        <w:t xml:space="preserve">The Philippines’ multilingual education system introduces additional challenges to phonological awareness development. Learners must navigate multiple languages, including their mother tongue, Filipino, and English, complicating phoneme recognition and decoding (Meade, 2019; Leano et al., 2019). Inconsistent implementation of the mother-tongue-based multilingual education policy and resource shortages in public schools hinder its effectiveness (Tomas et al., 2021; Silva-Laya et al., 2019). These challenges are particularly acute in rural areas, where educators often lack training in phonological instruction, and schools face significant shortages of updated teaching materials (DepEd, 2022; World Bank, 2021). Addressing these barriers requires evidence-based, context-specific </w:t>
      </w:r>
      <w:r w:rsidRPr="00AE016B">
        <w:rPr>
          <w:rFonts w:ascii="Arial" w:hAnsi="Arial" w:cs="Arial"/>
          <w:sz w:val="22"/>
          <w:szCs w:val="22"/>
        </w:rPr>
        <w:lastRenderedPageBreak/>
        <w:t>interventions tailored to the diverse linguistic and socio-economic realities of Filipino learners (Kilpatrick, 2015; Christina &amp; Vinogradova, 2017).</w:t>
      </w:r>
    </w:p>
    <w:p w14:paraId="583B806C" w14:textId="769489EB" w:rsidR="00790ADA" w:rsidRPr="00AE016B" w:rsidRDefault="00325C30" w:rsidP="00325C30">
      <w:pPr>
        <w:pStyle w:val="Body"/>
        <w:spacing w:after="0"/>
        <w:rPr>
          <w:rFonts w:ascii="Arial" w:hAnsi="Arial" w:cs="Arial"/>
          <w:sz w:val="22"/>
          <w:szCs w:val="22"/>
        </w:rPr>
      </w:pPr>
      <w:r w:rsidRPr="00AE016B">
        <w:rPr>
          <w:rFonts w:ascii="Arial" w:hAnsi="Arial" w:cs="Arial"/>
          <w:sz w:val="22"/>
          <w:szCs w:val="22"/>
        </w:rPr>
        <w:t>Given the persistent challenges associated with traditional phonological awareness instruction, this study seeks to evaluate the effectiveness of digital learning apps as innovative interventions to enhance phonological awareness among Grade 2 students. By addressing systemic gaps in early literacy education, the research aims to empower educators with scalable and effective tools while fostering equitable learning outcomes for all students. Ultimately, this work contributes to the growing body of evidence supporting digital learning apps as engaging, dynamic, and transformative tools in early education, paving the way for more inclusive and accessible literacy initiatives.</w:t>
      </w:r>
    </w:p>
    <w:p w14:paraId="69757020" w14:textId="77777777" w:rsidR="00325C30" w:rsidRPr="00FB3A86" w:rsidRDefault="00325C30" w:rsidP="00325C30">
      <w:pPr>
        <w:pStyle w:val="Body"/>
        <w:spacing w:after="0"/>
        <w:rPr>
          <w:rFonts w:ascii="Arial" w:hAnsi="Arial" w:cs="Arial"/>
        </w:rPr>
      </w:pPr>
    </w:p>
    <w:p w14:paraId="5076BDB1" w14:textId="77777777" w:rsidR="00AE016B" w:rsidRPr="00AE016B" w:rsidRDefault="00AE016B" w:rsidP="00AE016B">
      <w:pPr>
        <w:pStyle w:val="Heading2"/>
        <w:rPr>
          <w:rFonts w:ascii="Arial" w:hAnsi="Arial" w:cs="Arial"/>
          <w:b/>
          <w:bCs/>
          <w:color w:val="auto"/>
          <w:sz w:val="24"/>
          <w:szCs w:val="24"/>
        </w:rPr>
      </w:pPr>
      <w:r w:rsidRPr="00AE016B">
        <w:rPr>
          <w:rFonts w:ascii="Arial" w:hAnsi="Arial" w:cs="Arial"/>
          <w:b/>
          <w:bCs/>
          <w:color w:val="auto"/>
          <w:sz w:val="24"/>
          <w:szCs w:val="24"/>
        </w:rPr>
        <w:t>2. Objectives of the Study</w:t>
      </w:r>
    </w:p>
    <w:p w14:paraId="7658229D" w14:textId="77777777" w:rsidR="00AE016B" w:rsidRPr="00627D04" w:rsidRDefault="00AE016B" w:rsidP="00AE016B">
      <w:pPr>
        <w:jc w:val="both"/>
        <w:rPr>
          <w:rFonts w:ascii="Arial" w:hAnsi="Arial" w:cs="Arial"/>
          <w:sz w:val="24"/>
          <w:szCs w:val="24"/>
        </w:rPr>
      </w:pPr>
      <w:r w:rsidRPr="00627D04">
        <w:rPr>
          <w:rFonts w:ascii="Arial" w:hAnsi="Arial" w:cs="Arial"/>
          <w:sz w:val="24"/>
          <w:szCs w:val="24"/>
        </w:rPr>
        <w:t xml:space="preserve">The primary objective of this study was to evaluate the effectiveness of digital learning apps in improving phonological awareness among Grade </w:t>
      </w:r>
      <w:r>
        <w:rPr>
          <w:rFonts w:ascii="Arial" w:hAnsi="Arial" w:cs="Arial"/>
          <w:sz w:val="24"/>
          <w:szCs w:val="24"/>
        </w:rPr>
        <w:t>2</w:t>
      </w:r>
      <w:r w:rsidRPr="00627D04">
        <w:rPr>
          <w:rFonts w:ascii="Arial" w:hAnsi="Arial" w:cs="Arial"/>
          <w:sz w:val="24"/>
          <w:szCs w:val="24"/>
        </w:rPr>
        <w:t xml:space="preserve"> students at Cateel Central Elementary School.</w:t>
      </w:r>
    </w:p>
    <w:p w14:paraId="2E34CFC8" w14:textId="77777777" w:rsidR="00AE016B" w:rsidRPr="00627D04" w:rsidRDefault="00AE016B" w:rsidP="00AE016B">
      <w:pPr>
        <w:jc w:val="both"/>
        <w:rPr>
          <w:rFonts w:ascii="Arial" w:hAnsi="Arial" w:cs="Arial"/>
          <w:sz w:val="24"/>
          <w:szCs w:val="24"/>
        </w:rPr>
      </w:pPr>
      <w:r w:rsidRPr="00627D04">
        <w:rPr>
          <w:rFonts w:ascii="Arial" w:hAnsi="Arial" w:cs="Arial"/>
          <w:sz w:val="24"/>
          <w:szCs w:val="24"/>
        </w:rPr>
        <w:t>The specific objectives were as follows:</w:t>
      </w:r>
    </w:p>
    <w:p w14:paraId="3B13F11E"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 xml:space="preserve">To determine the level of phonological awareness among Grade </w:t>
      </w:r>
      <w:r>
        <w:rPr>
          <w:rFonts w:ascii="Arial" w:hAnsi="Arial" w:cs="Arial"/>
          <w:sz w:val="24"/>
          <w:szCs w:val="24"/>
        </w:rPr>
        <w:t>2</w:t>
      </w:r>
      <w:r w:rsidRPr="00614180">
        <w:rPr>
          <w:rFonts w:ascii="Arial" w:hAnsi="Arial" w:cs="Arial"/>
          <w:sz w:val="24"/>
          <w:szCs w:val="24"/>
        </w:rPr>
        <w:t xml:space="preserve"> students, as measured by pre-test scores, in both the control and experimental groups.</w:t>
      </w:r>
    </w:p>
    <w:p w14:paraId="0715CDFD"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To determine the significant difference between the pre-test scores of the control and experimental groups.</w:t>
      </w:r>
    </w:p>
    <w:p w14:paraId="6A8C1E53"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 xml:space="preserve">To </w:t>
      </w:r>
      <w:r>
        <w:rPr>
          <w:rFonts w:ascii="Arial" w:hAnsi="Arial" w:cs="Arial"/>
          <w:sz w:val="24"/>
          <w:szCs w:val="24"/>
        </w:rPr>
        <w:t>determine</w:t>
      </w:r>
      <w:r w:rsidRPr="00614180">
        <w:rPr>
          <w:rFonts w:ascii="Arial" w:hAnsi="Arial" w:cs="Arial"/>
          <w:sz w:val="24"/>
          <w:szCs w:val="24"/>
        </w:rPr>
        <w:t xml:space="preserve"> the level of phonological awareness among Grade </w:t>
      </w:r>
      <w:r>
        <w:rPr>
          <w:rFonts w:ascii="Arial" w:hAnsi="Arial" w:cs="Arial"/>
          <w:sz w:val="24"/>
          <w:szCs w:val="24"/>
        </w:rPr>
        <w:t>2</w:t>
      </w:r>
      <w:r w:rsidRPr="00614180">
        <w:rPr>
          <w:rFonts w:ascii="Arial" w:hAnsi="Arial" w:cs="Arial"/>
          <w:sz w:val="24"/>
          <w:szCs w:val="24"/>
        </w:rPr>
        <w:t xml:space="preserve"> students, as measured by post-test scores, in both the control and experimental groups.</w:t>
      </w:r>
    </w:p>
    <w:p w14:paraId="1C7457EE"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To determine the significant difference between the post-test scores of the control and experimental groups.</w:t>
      </w:r>
    </w:p>
    <w:p w14:paraId="7BE6A481" w14:textId="7CE51037" w:rsidR="00790ADA" w:rsidRPr="00AE016B"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To</w:t>
      </w:r>
      <w:r w:rsidRPr="00005C4D">
        <w:rPr>
          <w:rFonts w:ascii="Arial" w:hAnsi="Arial" w:cs="Arial"/>
          <w:sz w:val="24"/>
          <w:szCs w:val="24"/>
        </w:rPr>
        <w:t xml:space="preserve"> </w:t>
      </w:r>
      <w:r>
        <w:rPr>
          <w:rFonts w:ascii="Arial" w:hAnsi="Arial" w:cs="Arial"/>
          <w:sz w:val="24"/>
          <w:szCs w:val="24"/>
        </w:rPr>
        <w:t>determine</w:t>
      </w:r>
      <w:r w:rsidRPr="00005C4D">
        <w:rPr>
          <w:rFonts w:ascii="Arial" w:hAnsi="Arial" w:cs="Arial"/>
          <w:sz w:val="24"/>
          <w:szCs w:val="24"/>
        </w:rPr>
        <w:t xml:space="preserve"> the effect size of digital learning apps on the improvement of phonological awareness among students in the experimental group compared to those in the control group.</w:t>
      </w:r>
    </w:p>
    <w:p w14:paraId="417CA85E" w14:textId="3C383AEA" w:rsidR="00AE016B" w:rsidRDefault="00AE016B" w:rsidP="00814799">
      <w:pPr>
        <w:spacing w:line="480" w:lineRule="auto"/>
        <w:jc w:val="both"/>
        <w:rPr>
          <w:rFonts w:ascii="Arial" w:hAnsi="Arial" w:cs="Arial"/>
          <w:b/>
          <w:bCs/>
          <w:sz w:val="22"/>
          <w:szCs w:val="22"/>
        </w:rPr>
      </w:pPr>
      <w:r>
        <w:rPr>
          <w:rFonts w:ascii="Arial" w:hAnsi="Arial" w:cs="Arial"/>
          <w:b/>
          <w:bCs/>
          <w:sz w:val="22"/>
          <w:szCs w:val="22"/>
        </w:rPr>
        <w:t>3. MATERIALS AND METHODS</w:t>
      </w:r>
    </w:p>
    <w:p w14:paraId="27155CD4" w14:textId="2D0204BE" w:rsidR="00814799" w:rsidRPr="00814799" w:rsidRDefault="00AE016B" w:rsidP="00814799">
      <w:pPr>
        <w:spacing w:line="480" w:lineRule="auto"/>
        <w:jc w:val="both"/>
        <w:rPr>
          <w:rFonts w:ascii="Arial" w:hAnsi="Arial" w:cs="Arial"/>
          <w:b/>
          <w:bCs/>
          <w:color w:val="000000" w:themeColor="text1"/>
          <w:sz w:val="22"/>
          <w:szCs w:val="22"/>
        </w:rPr>
      </w:pPr>
      <w:r>
        <w:rPr>
          <w:rFonts w:ascii="Arial" w:hAnsi="Arial" w:cs="Arial"/>
          <w:b/>
          <w:bCs/>
          <w:sz w:val="22"/>
          <w:szCs w:val="22"/>
        </w:rPr>
        <w:t>3</w:t>
      </w:r>
      <w:r w:rsidR="00EA2081" w:rsidRPr="00814799">
        <w:rPr>
          <w:rFonts w:ascii="Arial" w:hAnsi="Arial" w:cs="Arial"/>
          <w:b/>
          <w:bCs/>
          <w:sz w:val="22"/>
          <w:szCs w:val="22"/>
        </w:rPr>
        <w:t>.1</w:t>
      </w:r>
      <w:r w:rsidR="00814799" w:rsidRPr="00814799">
        <w:rPr>
          <w:rFonts w:ascii="Arial" w:hAnsi="Arial" w:cs="Arial"/>
          <w:b/>
          <w:bCs/>
          <w:caps/>
          <w:sz w:val="22"/>
          <w:szCs w:val="22"/>
        </w:rPr>
        <w:t xml:space="preserve"> </w:t>
      </w:r>
      <w:r w:rsidR="00814799" w:rsidRPr="00814799">
        <w:rPr>
          <w:rFonts w:ascii="Arial" w:hAnsi="Arial" w:cs="Arial"/>
          <w:b/>
          <w:bCs/>
          <w:color w:val="000000" w:themeColor="text1"/>
          <w:sz w:val="22"/>
          <w:szCs w:val="22"/>
        </w:rPr>
        <w:t>Research Design</w:t>
      </w:r>
    </w:p>
    <w:p w14:paraId="7997017C" w14:textId="77777777" w:rsidR="00814799" w:rsidRPr="00814799" w:rsidRDefault="00814799" w:rsidP="00814799">
      <w:pPr>
        <w:jc w:val="both"/>
        <w:rPr>
          <w:rFonts w:ascii="Arial" w:hAnsi="Arial" w:cs="Arial"/>
          <w:sz w:val="24"/>
          <w:szCs w:val="24"/>
        </w:rPr>
      </w:pPr>
      <w:r w:rsidRPr="00814799">
        <w:rPr>
          <w:rFonts w:ascii="Arial" w:hAnsi="Arial" w:cs="Arial"/>
          <w:sz w:val="24"/>
          <w:szCs w:val="24"/>
        </w:rPr>
        <w:t>This study employed a quasi-experimental design to evaluate the effectiveness of digital learning applications in enhancing the phonological awareness of Grade 2 students. The quasi-experimental approach was appropriate, as it allowed for the comparison of outcomes between two distinct groups, a strategy that helped determine whether the intervention had a meaningful impact (Freire et al., 2020).</w:t>
      </w:r>
    </w:p>
    <w:p w14:paraId="4F0A3F71" w14:textId="3120F566" w:rsidR="00814799" w:rsidRDefault="00814799" w:rsidP="00814799">
      <w:pPr>
        <w:pStyle w:val="AbstHead"/>
        <w:spacing w:after="0"/>
        <w:jc w:val="both"/>
        <w:rPr>
          <w:rFonts w:ascii="Arial" w:hAnsi="Arial" w:cs="Arial"/>
        </w:rPr>
      </w:pPr>
    </w:p>
    <w:p w14:paraId="0F4738AB" w14:textId="1C7C5129" w:rsidR="00814799" w:rsidRPr="00814799" w:rsidRDefault="00AE016B" w:rsidP="00814799">
      <w:pPr>
        <w:pStyle w:val="Body"/>
        <w:rPr>
          <w:rFonts w:ascii="Arial" w:hAnsi="Arial" w:cs="Arial"/>
          <w:b/>
          <w:bCs/>
          <w:sz w:val="22"/>
          <w:szCs w:val="22"/>
        </w:rPr>
      </w:pPr>
      <w:r>
        <w:rPr>
          <w:rFonts w:ascii="Arial" w:hAnsi="Arial" w:cs="Arial"/>
          <w:b/>
          <w:bCs/>
          <w:sz w:val="22"/>
          <w:szCs w:val="22"/>
        </w:rPr>
        <w:t>3</w:t>
      </w:r>
      <w:r w:rsidR="00814799">
        <w:rPr>
          <w:rFonts w:ascii="Arial" w:hAnsi="Arial" w:cs="Arial"/>
          <w:b/>
          <w:bCs/>
          <w:sz w:val="22"/>
          <w:szCs w:val="22"/>
        </w:rPr>
        <w:t xml:space="preserve">.2 </w:t>
      </w:r>
      <w:r w:rsidR="00814799" w:rsidRPr="00814799">
        <w:rPr>
          <w:rFonts w:ascii="Arial" w:hAnsi="Arial" w:cs="Arial"/>
          <w:b/>
          <w:bCs/>
          <w:sz w:val="22"/>
          <w:szCs w:val="22"/>
        </w:rPr>
        <w:t>Research Instrument</w:t>
      </w:r>
    </w:p>
    <w:p w14:paraId="3A55B26A" w14:textId="77777777" w:rsidR="00814799" w:rsidRPr="00814799" w:rsidRDefault="00814799" w:rsidP="00814799">
      <w:pPr>
        <w:pStyle w:val="Body"/>
        <w:rPr>
          <w:rFonts w:ascii="Arial" w:hAnsi="Arial" w:cs="Arial"/>
          <w:sz w:val="22"/>
          <w:szCs w:val="22"/>
        </w:rPr>
      </w:pPr>
      <w:r w:rsidRPr="00814799">
        <w:rPr>
          <w:rFonts w:ascii="Arial" w:hAnsi="Arial" w:cs="Arial"/>
          <w:sz w:val="22"/>
          <w:szCs w:val="22"/>
        </w:rPr>
        <w:t xml:space="preserve">The researchers developed a researcher-made rubric as a specialized instrument to assess this competency, producing speech sounds (sounds and letter names), </w:t>
      </w:r>
      <w:r w:rsidRPr="00814799">
        <w:rPr>
          <w:rFonts w:ascii="Arial" w:hAnsi="Arial" w:cs="Arial"/>
          <w:sz w:val="22"/>
          <w:szCs w:val="22"/>
        </w:rPr>
        <w:lastRenderedPageBreak/>
        <w:t>particularly within the context of phonological awareness among Grade 2 learners. It was subjected to rigorous validation and reliability checks. Content validity was established using Aiken's V coefficient, based on evaluations by three experts regarding the instrument's alignment with the intended learning outcomes. The instrument achieved a high validity score of 0.96, indicating excellent agreement among raters in terms of relevance and clarity.</w:t>
      </w:r>
    </w:p>
    <w:p w14:paraId="62D259CD" w14:textId="04AA727D" w:rsidR="00A03B96" w:rsidRPr="00814799" w:rsidRDefault="00814799" w:rsidP="00814799">
      <w:pPr>
        <w:pStyle w:val="Body"/>
        <w:spacing w:after="0"/>
        <w:rPr>
          <w:rFonts w:ascii="Arial" w:hAnsi="Arial" w:cs="Arial"/>
        </w:rPr>
      </w:pPr>
      <w:r w:rsidRPr="00814799">
        <w:rPr>
          <w:rFonts w:ascii="Arial" w:hAnsi="Arial" w:cs="Arial"/>
          <w:sz w:val="22"/>
          <w:szCs w:val="22"/>
        </w:rPr>
        <w:t>Reliability was assessed using Kendall's coefficient of concordance, which yielded a value of 0.511 (Schmidt, 1997), signifying moderate yet acceptable inter-rater agreement. These assessments underscored the instrument's robustness, confirming its ability to accurately and consistently measure students' phonological awareness through pre-test and post-test evaluations. The thorough validation and reliability processes ensured that the instrument serves as an effective and dependable tool for assessing students' progress in phonological awareness lessons.</w:t>
      </w:r>
    </w:p>
    <w:p w14:paraId="3ACC0954" w14:textId="77777777" w:rsidR="00A03B96" w:rsidRDefault="00A03B96" w:rsidP="00441B6F">
      <w:pPr>
        <w:pStyle w:val="Body"/>
        <w:spacing w:after="0"/>
        <w:rPr>
          <w:rFonts w:ascii="Arial" w:hAnsi="Arial" w:cs="Arial"/>
        </w:rPr>
      </w:pPr>
    </w:p>
    <w:p w14:paraId="3788D077" w14:textId="46BF5392" w:rsidR="00790ADA" w:rsidRDefault="00AE016B" w:rsidP="00441B6F">
      <w:pPr>
        <w:pStyle w:val="Body"/>
        <w:spacing w:after="0"/>
        <w:rPr>
          <w:rFonts w:ascii="Arial" w:hAnsi="Arial" w:cs="Arial"/>
          <w:b/>
          <w:bCs/>
          <w:sz w:val="22"/>
          <w:szCs w:val="22"/>
        </w:rPr>
      </w:pPr>
      <w:r>
        <w:rPr>
          <w:rFonts w:ascii="Arial" w:hAnsi="Arial" w:cs="Arial"/>
          <w:b/>
          <w:bCs/>
          <w:sz w:val="22"/>
          <w:szCs w:val="22"/>
        </w:rPr>
        <w:t>3</w:t>
      </w:r>
      <w:r w:rsidR="00814799">
        <w:rPr>
          <w:rFonts w:ascii="Arial" w:hAnsi="Arial" w:cs="Arial"/>
          <w:b/>
          <w:bCs/>
          <w:sz w:val="22"/>
          <w:szCs w:val="22"/>
        </w:rPr>
        <w:t xml:space="preserve">.3 </w:t>
      </w:r>
      <w:r>
        <w:rPr>
          <w:rFonts w:ascii="Arial" w:hAnsi="Arial" w:cs="Arial"/>
          <w:b/>
          <w:bCs/>
          <w:sz w:val="22"/>
          <w:szCs w:val="22"/>
        </w:rPr>
        <w:t>Respondents of the study</w:t>
      </w:r>
    </w:p>
    <w:p w14:paraId="7B153ADE" w14:textId="77777777" w:rsidR="00AE016B" w:rsidRPr="00913FE0" w:rsidRDefault="00AE016B" w:rsidP="00AE016B">
      <w:pPr>
        <w:jc w:val="both"/>
        <w:rPr>
          <w:rFonts w:ascii="Arial" w:hAnsi="Arial" w:cs="Arial"/>
          <w:sz w:val="22"/>
          <w:szCs w:val="22"/>
        </w:rPr>
      </w:pPr>
      <w:r w:rsidRPr="00913FE0">
        <w:rPr>
          <w:rFonts w:ascii="Arial" w:hAnsi="Arial" w:cs="Arial"/>
          <w:sz w:val="22"/>
          <w:szCs w:val="22"/>
        </w:rPr>
        <w:t>Grade two students were the respondents of this study at Cateel Central Elementary School. Two sections were selected: Grade 2-Humility served as the experimental group, and Grade 2-Charity served as the control group. Before selecting respondents, the researcher consulted with the school principal and Grade 2 class advisers to identify sections willing to participate. Each section initially had 30 students, but only 28 from each group were included in the final analysis, as those absent in either the pre-test or post-test were excluded to ensure validity and reliability of the results. The experimental group received instruction through a digital learning application, while the control group received traditional instruction.</w:t>
      </w:r>
    </w:p>
    <w:p w14:paraId="60527815" w14:textId="11C4CB9F" w:rsidR="00AE016B" w:rsidRDefault="00AE016B" w:rsidP="00441B6F">
      <w:pPr>
        <w:pStyle w:val="Body"/>
        <w:spacing w:after="0"/>
        <w:rPr>
          <w:rFonts w:ascii="Arial" w:hAnsi="Arial" w:cs="Arial"/>
          <w:sz w:val="22"/>
          <w:szCs w:val="22"/>
        </w:rPr>
      </w:pPr>
    </w:p>
    <w:p w14:paraId="1869C703" w14:textId="64B14E0A" w:rsidR="00AE016B" w:rsidRDefault="00AE016B" w:rsidP="00441B6F">
      <w:pPr>
        <w:pStyle w:val="Body"/>
        <w:spacing w:after="0"/>
        <w:rPr>
          <w:rFonts w:ascii="Arial" w:hAnsi="Arial" w:cs="Arial"/>
          <w:b/>
          <w:bCs/>
          <w:sz w:val="22"/>
          <w:szCs w:val="22"/>
        </w:rPr>
      </w:pPr>
      <w:r>
        <w:rPr>
          <w:rFonts w:ascii="Arial" w:hAnsi="Arial" w:cs="Arial"/>
          <w:b/>
          <w:bCs/>
          <w:sz w:val="22"/>
          <w:szCs w:val="22"/>
        </w:rPr>
        <w:t>3.4 Data Gathering</w:t>
      </w:r>
    </w:p>
    <w:p w14:paraId="33718693" w14:textId="6EED51DE"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The data gathering procedure began with the researcher obtaining ethical clearance from the University Research Ethics Board (UREB) to ensure compliance with ethical guidelines and to safeguard the rights and confidentiality of the participants.</w:t>
      </w:r>
    </w:p>
    <w:p w14:paraId="52718C9C" w14:textId="081D26DB"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After receiving ethical approval, the researcher submitted a formal request to the school principal of Cateel Central Elementary School to conduct the study. Once granted, permission letters were also given to the Grade 2 adviser and to the parents of the learners, explaining the nature, purpose, and methodology of the research to ensure transparency and cooperation. Parents’ consent was secured before involving their children in the study.</w:t>
      </w:r>
    </w:p>
    <w:p w14:paraId="5A7CBBDD" w14:textId="66560B51"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The process continued with the administration of a pre-test to both the control and experimental groups. A rubric-based assessment was used to measure the students’ initial phonological awareness in English, covering word awareness, syllable awareness, onset-rime awareness, and phoneme awareness. This pre-test served as the baseline for evaluating their skills prior to the intervention.</w:t>
      </w:r>
    </w:p>
    <w:p w14:paraId="79275387" w14:textId="3153BC04"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 xml:space="preserve">Following the pre-test, the intervention was implemented. The control group received traditional instruction on producing speech sounds in intervening phrases, while the experimental group received instruction through the integration of digital </w:t>
      </w:r>
      <w:r w:rsidRPr="00AE016B">
        <w:rPr>
          <w:rFonts w:ascii="Arial" w:hAnsi="Arial" w:cs="Arial"/>
          <w:b w:val="0"/>
          <w:caps w:val="0"/>
          <w:szCs w:val="22"/>
        </w:rPr>
        <w:lastRenderedPageBreak/>
        <w:t>learning applications. The intervention was designed to enhance phonological awareness by engaging learners in interactive and technology-assisted activities.</w:t>
      </w:r>
    </w:p>
    <w:p w14:paraId="74BC6889" w14:textId="77777777" w:rsid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At the end of the intervention, a post-test was conducted for both groups using the same rubric-based assessment as the pre-test. The results were retrieved, tallied, encoded, analyzed, and interpreted to determine the effectiveness of the digital learning application compared to traditional instruction. Students who were absent during either the pre-test or post-test were excluded from the analysis to ensure validity and reliability of the findings.</w:t>
      </w:r>
    </w:p>
    <w:p w14:paraId="5341C4B3" w14:textId="5E31C08F" w:rsidR="00456000" w:rsidRDefault="00456000" w:rsidP="00AE016B">
      <w:pPr>
        <w:pStyle w:val="Head1"/>
        <w:jc w:val="both"/>
        <w:rPr>
          <w:rFonts w:ascii="Arial" w:hAnsi="Arial" w:cs="Arial"/>
          <w:bCs/>
          <w:caps w:val="0"/>
          <w:szCs w:val="22"/>
        </w:rPr>
      </w:pPr>
      <w:r>
        <w:rPr>
          <w:rFonts w:ascii="Arial" w:hAnsi="Arial" w:cs="Arial"/>
          <w:bCs/>
          <w:caps w:val="0"/>
          <w:szCs w:val="22"/>
        </w:rPr>
        <w:t>3.5 Data Analysis</w:t>
      </w:r>
    </w:p>
    <w:p w14:paraId="67F9D7C9" w14:textId="1FBCDDB8"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b/>
          <w:bCs/>
          <w:sz w:val="22"/>
          <w:szCs w:val="22"/>
        </w:rPr>
        <w:t xml:space="preserve">Content Validity. </w:t>
      </w:r>
      <w:r w:rsidRPr="00456000">
        <w:rPr>
          <w:rFonts w:ascii="Arial" w:hAnsi="Arial" w:cs="Arial"/>
          <w:sz w:val="22"/>
          <w:szCs w:val="22"/>
        </w:rPr>
        <w:t>The content validity of the instrument was confirmed through the use of Aiken's V coefficient, which is based on expert evaluations of the instrument's relevance to the learning goals, its necessity, and the quality of its contents, reaching an impressive value of 0.96, signifying excellent validity.</w:t>
      </w:r>
    </w:p>
    <w:p w14:paraId="76D81EA5" w14:textId="77777777"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b/>
          <w:bCs/>
          <w:sz w:val="22"/>
          <w:szCs w:val="22"/>
        </w:rPr>
        <w:t>Inter-Rater Reliability.</w:t>
      </w:r>
      <w:r w:rsidRPr="00456000">
        <w:rPr>
          <w:rFonts w:ascii="Arial" w:hAnsi="Arial" w:cs="Arial"/>
          <w:sz w:val="22"/>
          <w:szCs w:val="22"/>
        </w:rPr>
        <w:t xml:space="preserve"> The instrument's inter-rater reliability was also measured using Kendall’s coefficient of concordance of 0.511, which confirmed the instrument's reliability (Schmidt, 1997). </w:t>
      </w:r>
    </w:p>
    <w:p w14:paraId="5C1C9DF8" w14:textId="77777777"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sz w:val="22"/>
          <w:szCs w:val="22"/>
        </w:rPr>
        <w:t>The K-12 DepEd grading system were utilized to interpret the data results, compare the performances of both groups, and analyze the data to provide a reliable, realistic, and accurate interpretation. The mean scores, independent sample t-tests, and Cohen's d were used to determine and analyze the results.</w:t>
      </w:r>
    </w:p>
    <w:p w14:paraId="50E52103" w14:textId="77777777" w:rsidR="00456000" w:rsidRPr="00456000" w:rsidRDefault="00456000" w:rsidP="00456000">
      <w:pPr>
        <w:spacing w:before="240" w:after="240"/>
        <w:ind w:firstLine="720"/>
        <w:jc w:val="both"/>
        <w:rPr>
          <w:rFonts w:ascii="Arial" w:hAnsi="Arial" w:cs="Arial"/>
          <w:iCs/>
          <w:sz w:val="22"/>
          <w:szCs w:val="22"/>
        </w:rPr>
      </w:pPr>
      <w:r w:rsidRPr="00456000">
        <w:rPr>
          <w:rFonts w:ascii="Arial" w:hAnsi="Arial" w:cs="Arial"/>
          <w:b/>
          <w:bCs/>
          <w:sz w:val="22"/>
          <w:szCs w:val="22"/>
        </w:rPr>
        <w:t>Mean.</w:t>
      </w:r>
      <w:r w:rsidRPr="00456000">
        <w:rPr>
          <w:rFonts w:ascii="Arial" w:hAnsi="Arial" w:cs="Arial"/>
          <w:sz w:val="22"/>
          <w:szCs w:val="22"/>
        </w:rPr>
        <w:t xml:space="preserve"> This statistical instrument was used to determine (1) the average of pre-test scores of the control group and the experimental group and (3) the average of post-test scores of the control group and the experimental group. The result was interpreted based on the grading scale with its corresponding interpretation:</w:t>
      </w:r>
    </w:p>
    <w:p w14:paraId="01305BD7" w14:textId="77777777" w:rsidR="00456000" w:rsidRPr="00456000" w:rsidRDefault="00456000" w:rsidP="00456000">
      <w:pPr>
        <w:jc w:val="both"/>
        <w:rPr>
          <w:rFonts w:ascii="Arial" w:hAnsi="Arial" w:cs="Arial"/>
          <w:iCs/>
          <w:sz w:val="22"/>
          <w:szCs w:val="22"/>
        </w:rPr>
      </w:pPr>
      <w:r w:rsidRPr="00456000">
        <w:rPr>
          <w:rFonts w:ascii="Arial" w:hAnsi="Arial" w:cs="Arial"/>
          <w:iCs/>
          <w:sz w:val="22"/>
          <w:szCs w:val="22"/>
        </w:rPr>
        <w:t>Table 1. K to 12 grading scale and interpretation</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097"/>
        <w:gridCol w:w="4147"/>
      </w:tblGrid>
      <w:tr w:rsidR="00456000" w:rsidRPr="00456000" w14:paraId="4149892D" w14:textId="77777777" w:rsidTr="003534B0">
        <w:trPr>
          <w:trHeight w:val="293"/>
          <w:jc w:val="center"/>
        </w:trPr>
        <w:tc>
          <w:tcPr>
            <w:tcW w:w="4097" w:type="dxa"/>
            <w:tcBorders>
              <w:top w:val="single" w:sz="4" w:space="0" w:color="auto"/>
              <w:left w:val="nil"/>
              <w:bottom w:val="single" w:sz="4" w:space="0" w:color="auto"/>
              <w:right w:val="nil"/>
            </w:tcBorders>
          </w:tcPr>
          <w:p w14:paraId="3740023A" w14:textId="77777777" w:rsidR="00456000" w:rsidRPr="00456000" w:rsidRDefault="00456000" w:rsidP="00456000">
            <w:pPr>
              <w:jc w:val="center"/>
              <w:rPr>
                <w:rFonts w:ascii="Arial" w:hAnsi="Arial" w:cs="Arial"/>
                <w:b/>
                <w:bCs/>
                <w:iCs/>
              </w:rPr>
            </w:pPr>
            <w:r w:rsidRPr="00456000">
              <w:rPr>
                <w:rFonts w:ascii="Arial" w:hAnsi="Arial" w:cs="Arial"/>
                <w:b/>
                <w:bCs/>
                <w:iCs/>
              </w:rPr>
              <w:t>Grading Scale</w:t>
            </w:r>
          </w:p>
        </w:tc>
        <w:tc>
          <w:tcPr>
            <w:tcW w:w="4147" w:type="dxa"/>
            <w:tcBorders>
              <w:top w:val="single" w:sz="4" w:space="0" w:color="auto"/>
              <w:left w:val="nil"/>
              <w:bottom w:val="single" w:sz="4" w:space="0" w:color="auto"/>
              <w:right w:val="nil"/>
            </w:tcBorders>
          </w:tcPr>
          <w:p w14:paraId="2DA22A9D" w14:textId="77777777" w:rsidR="00456000" w:rsidRPr="00456000" w:rsidRDefault="00456000" w:rsidP="00456000">
            <w:pPr>
              <w:jc w:val="center"/>
              <w:rPr>
                <w:rFonts w:ascii="Arial" w:hAnsi="Arial" w:cs="Arial"/>
                <w:b/>
                <w:bCs/>
                <w:iCs/>
              </w:rPr>
            </w:pPr>
            <w:r w:rsidRPr="00456000">
              <w:rPr>
                <w:rFonts w:ascii="Arial" w:hAnsi="Arial" w:cs="Arial"/>
                <w:b/>
                <w:bCs/>
                <w:iCs/>
              </w:rPr>
              <w:t>Interpretation</w:t>
            </w:r>
          </w:p>
        </w:tc>
      </w:tr>
      <w:tr w:rsidR="00456000" w:rsidRPr="00456000" w14:paraId="773CF46C" w14:textId="77777777" w:rsidTr="003534B0">
        <w:trPr>
          <w:trHeight w:val="90"/>
          <w:jc w:val="center"/>
        </w:trPr>
        <w:tc>
          <w:tcPr>
            <w:tcW w:w="4097" w:type="dxa"/>
            <w:tcBorders>
              <w:top w:val="single" w:sz="4" w:space="0" w:color="auto"/>
              <w:left w:val="nil"/>
              <w:bottom w:val="nil"/>
              <w:right w:val="nil"/>
            </w:tcBorders>
          </w:tcPr>
          <w:p w14:paraId="3D204968" w14:textId="77777777" w:rsidR="00456000" w:rsidRPr="00456000" w:rsidRDefault="00456000" w:rsidP="00456000">
            <w:pPr>
              <w:jc w:val="center"/>
              <w:rPr>
                <w:rFonts w:ascii="Arial" w:hAnsi="Arial" w:cs="Arial"/>
                <w:iCs/>
              </w:rPr>
            </w:pPr>
            <w:r w:rsidRPr="00456000">
              <w:rPr>
                <w:rFonts w:ascii="Arial" w:hAnsi="Arial" w:cs="Arial"/>
                <w:iCs/>
              </w:rPr>
              <w:t>90-100</w:t>
            </w:r>
          </w:p>
        </w:tc>
        <w:tc>
          <w:tcPr>
            <w:tcW w:w="4147" w:type="dxa"/>
            <w:tcBorders>
              <w:top w:val="single" w:sz="4" w:space="0" w:color="auto"/>
              <w:left w:val="nil"/>
              <w:bottom w:val="nil"/>
              <w:right w:val="nil"/>
            </w:tcBorders>
          </w:tcPr>
          <w:p w14:paraId="1AACEE41" w14:textId="77777777" w:rsidR="00456000" w:rsidRPr="00456000" w:rsidRDefault="00456000" w:rsidP="00456000">
            <w:pPr>
              <w:jc w:val="center"/>
              <w:rPr>
                <w:rFonts w:ascii="Arial" w:hAnsi="Arial" w:cs="Arial"/>
                <w:iCs/>
              </w:rPr>
            </w:pPr>
            <w:r w:rsidRPr="00456000">
              <w:rPr>
                <w:rFonts w:ascii="Arial" w:hAnsi="Arial" w:cs="Arial"/>
                <w:iCs/>
              </w:rPr>
              <w:t>Outstanding</w:t>
            </w:r>
          </w:p>
        </w:tc>
      </w:tr>
      <w:tr w:rsidR="00456000" w:rsidRPr="00456000" w14:paraId="15EC7B38" w14:textId="77777777" w:rsidTr="003534B0">
        <w:trPr>
          <w:jc w:val="center"/>
        </w:trPr>
        <w:tc>
          <w:tcPr>
            <w:tcW w:w="4097" w:type="dxa"/>
            <w:tcBorders>
              <w:top w:val="nil"/>
              <w:left w:val="nil"/>
              <w:bottom w:val="nil"/>
              <w:right w:val="nil"/>
            </w:tcBorders>
          </w:tcPr>
          <w:p w14:paraId="7879D801" w14:textId="77777777" w:rsidR="00456000" w:rsidRPr="00456000" w:rsidRDefault="00456000" w:rsidP="00456000">
            <w:pPr>
              <w:jc w:val="center"/>
              <w:rPr>
                <w:rFonts w:ascii="Arial" w:hAnsi="Arial" w:cs="Arial"/>
                <w:iCs/>
              </w:rPr>
            </w:pPr>
            <w:r w:rsidRPr="00456000">
              <w:rPr>
                <w:rFonts w:ascii="Arial" w:hAnsi="Arial" w:cs="Arial"/>
                <w:iCs/>
              </w:rPr>
              <w:t>85-89</w:t>
            </w:r>
          </w:p>
        </w:tc>
        <w:tc>
          <w:tcPr>
            <w:tcW w:w="4147" w:type="dxa"/>
            <w:tcBorders>
              <w:top w:val="nil"/>
              <w:left w:val="nil"/>
              <w:bottom w:val="nil"/>
              <w:right w:val="nil"/>
            </w:tcBorders>
          </w:tcPr>
          <w:p w14:paraId="75609978" w14:textId="77777777" w:rsidR="00456000" w:rsidRPr="00456000" w:rsidRDefault="00456000" w:rsidP="00456000">
            <w:pPr>
              <w:jc w:val="center"/>
              <w:rPr>
                <w:rFonts w:ascii="Arial" w:hAnsi="Arial" w:cs="Arial"/>
                <w:iCs/>
              </w:rPr>
            </w:pPr>
            <w:r w:rsidRPr="00456000">
              <w:rPr>
                <w:rFonts w:ascii="Arial" w:hAnsi="Arial" w:cs="Arial"/>
                <w:iCs/>
              </w:rPr>
              <w:t>Very Satisfactory</w:t>
            </w:r>
          </w:p>
        </w:tc>
      </w:tr>
      <w:tr w:rsidR="00456000" w:rsidRPr="00456000" w14:paraId="357B9F14" w14:textId="77777777" w:rsidTr="003534B0">
        <w:trPr>
          <w:jc w:val="center"/>
        </w:trPr>
        <w:tc>
          <w:tcPr>
            <w:tcW w:w="4097" w:type="dxa"/>
            <w:tcBorders>
              <w:top w:val="nil"/>
              <w:left w:val="nil"/>
              <w:bottom w:val="nil"/>
              <w:right w:val="nil"/>
            </w:tcBorders>
          </w:tcPr>
          <w:p w14:paraId="2C3FD91B" w14:textId="77777777" w:rsidR="00456000" w:rsidRPr="00456000" w:rsidRDefault="00456000" w:rsidP="00456000">
            <w:pPr>
              <w:jc w:val="center"/>
              <w:rPr>
                <w:rFonts w:ascii="Arial" w:hAnsi="Arial" w:cs="Arial"/>
                <w:iCs/>
              </w:rPr>
            </w:pPr>
            <w:r w:rsidRPr="00456000">
              <w:rPr>
                <w:rFonts w:ascii="Arial" w:hAnsi="Arial" w:cs="Arial"/>
                <w:iCs/>
              </w:rPr>
              <w:t>80-84</w:t>
            </w:r>
          </w:p>
        </w:tc>
        <w:tc>
          <w:tcPr>
            <w:tcW w:w="4147" w:type="dxa"/>
            <w:tcBorders>
              <w:top w:val="nil"/>
              <w:left w:val="nil"/>
              <w:bottom w:val="nil"/>
              <w:right w:val="nil"/>
            </w:tcBorders>
          </w:tcPr>
          <w:p w14:paraId="28789868" w14:textId="77777777" w:rsidR="00456000" w:rsidRPr="00456000" w:rsidRDefault="00456000" w:rsidP="00456000">
            <w:pPr>
              <w:jc w:val="center"/>
              <w:rPr>
                <w:rFonts w:ascii="Arial" w:hAnsi="Arial" w:cs="Arial"/>
                <w:iCs/>
              </w:rPr>
            </w:pPr>
            <w:r w:rsidRPr="00456000">
              <w:rPr>
                <w:rFonts w:ascii="Arial" w:hAnsi="Arial" w:cs="Arial"/>
                <w:iCs/>
              </w:rPr>
              <w:t xml:space="preserve"> Satisfactory</w:t>
            </w:r>
          </w:p>
        </w:tc>
      </w:tr>
      <w:tr w:rsidR="00456000" w:rsidRPr="00456000" w14:paraId="209D0298" w14:textId="77777777" w:rsidTr="003534B0">
        <w:trPr>
          <w:jc w:val="center"/>
        </w:trPr>
        <w:tc>
          <w:tcPr>
            <w:tcW w:w="4097" w:type="dxa"/>
            <w:tcBorders>
              <w:top w:val="nil"/>
              <w:left w:val="nil"/>
              <w:bottom w:val="nil"/>
              <w:right w:val="nil"/>
            </w:tcBorders>
          </w:tcPr>
          <w:p w14:paraId="62929F2D" w14:textId="77777777" w:rsidR="00456000" w:rsidRPr="00456000" w:rsidRDefault="00456000" w:rsidP="00456000">
            <w:pPr>
              <w:jc w:val="center"/>
              <w:rPr>
                <w:rFonts w:ascii="Arial" w:hAnsi="Arial" w:cs="Arial"/>
                <w:iCs/>
              </w:rPr>
            </w:pPr>
            <w:r w:rsidRPr="00456000">
              <w:rPr>
                <w:rFonts w:ascii="Arial" w:hAnsi="Arial" w:cs="Arial"/>
                <w:iCs/>
              </w:rPr>
              <w:t>75-79</w:t>
            </w:r>
          </w:p>
        </w:tc>
        <w:tc>
          <w:tcPr>
            <w:tcW w:w="4147" w:type="dxa"/>
            <w:tcBorders>
              <w:top w:val="nil"/>
              <w:left w:val="nil"/>
              <w:bottom w:val="nil"/>
              <w:right w:val="nil"/>
            </w:tcBorders>
          </w:tcPr>
          <w:p w14:paraId="2DF1642E" w14:textId="77777777" w:rsidR="00456000" w:rsidRPr="00456000" w:rsidRDefault="00456000" w:rsidP="00456000">
            <w:pPr>
              <w:jc w:val="center"/>
              <w:rPr>
                <w:rFonts w:ascii="Arial" w:hAnsi="Arial" w:cs="Arial"/>
                <w:iCs/>
              </w:rPr>
            </w:pPr>
            <w:r w:rsidRPr="00456000">
              <w:rPr>
                <w:rFonts w:ascii="Arial" w:hAnsi="Arial" w:cs="Arial"/>
                <w:iCs/>
              </w:rPr>
              <w:t>Fairly Satisfactory</w:t>
            </w:r>
          </w:p>
        </w:tc>
      </w:tr>
      <w:tr w:rsidR="00456000" w:rsidRPr="00456000" w14:paraId="3F53FD37" w14:textId="77777777" w:rsidTr="003534B0">
        <w:trPr>
          <w:jc w:val="center"/>
        </w:trPr>
        <w:tc>
          <w:tcPr>
            <w:tcW w:w="4097" w:type="dxa"/>
            <w:tcBorders>
              <w:top w:val="nil"/>
              <w:left w:val="nil"/>
              <w:bottom w:val="single" w:sz="4" w:space="0" w:color="auto"/>
              <w:right w:val="nil"/>
            </w:tcBorders>
          </w:tcPr>
          <w:p w14:paraId="42793871" w14:textId="77777777" w:rsidR="00456000" w:rsidRPr="00456000" w:rsidRDefault="00456000" w:rsidP="00456000">
            <w:pPr>
              <w:jc w:val="center"/>
              <w:rPr>
                <w:rFonts w:ascii="Arial" w:hAnsi="Arial" w:cs="Arial"/>
                <w:iCs/>
              </w:rPr>
            </w:pPr>
            <w:r w:rsidRPr="00456000">
              <w:rPr>
                <w:rFonts w:ascii="Arial" w:hAnsi="Arial" w:cs="Arial"/>
                <w:iCs/>
              </w:rPr>
              <w:t>75 Below</w:t>
            </w:r>
          </w:p>
          <w:p w14:paraId="3F771BDF" w14:textId="77777777" w:rsidR="00456000" w:rsidRPr="00456000" w:rsidRDefault="00456000" w:rsidP="00456000">
            <w:pPr>
              <w:jc w:val="center"/>
              <w:rPr>
                <w:rFonts w:ascii="Arial" w:hAnsi="Arial" w:cs="Arial"/>
                <w:iCs/>
              </w:rPr>
            </w:pPr>
          </w:p>
        </w:tc>
        <w:tc>
          <w:tcPr>
            <w:tcW w:w="4147" w:type="dxa"/>
            <w:tcBorders>
              <w:top w:val="nil"/>
              <w:left w:val="nil"/>
              <w:bottom w:val="single" w:sz="4" w:space="0" w:color="auto"/>
              <w:right w:val="nil"/>
            </w:tcBorders>
          </w:tcPr>
          <w:p w14:paraId="5775052A" w14:textId="77777777" w:rsidR="00456000" w:rsidRPr="00456000" w:rsidRDefault="00456000" w:rsidP="00456000">
            <w:pPr>
              <w:jc w:val="center"/>
              <w:rPr>
                <w:rFonts w:ascii="Arial" w:hAnsi="Arial" w:cs="Arial"/>
                <w:iCs/>
              </w:rPr>
            </w:pPr>
            <w:r w:rsidRPr="00456000">
              <w:rPr>
                <w:rFonts w:ascii="Arial" w:hAnsi="Arial" w:cs="Arial"/>
                <w:iCs/>
              </w:rPr>
              <w:t>Did Not Meet Expectations</w:t>
            </w:r>
          </w:p>
        </w:tc>
      </w:tr>
    </w:tbl>
    <w:p w14:paraId="14260279" w14:textId="77777777" w:rsidR="00456000" w:rsidRPr="00456000" w:rsidRDefault="00456000" w:rsidP="00456000">
      <w:pPr>
        <w:numPr>
          <w:ilvl w:val="0"/>
          <w:numId w:val="32"/>
        </w:numPr>
        <w:spacing w:before="240" w:after="240"/>
        <w:ind w:firstLine="720"/>
        <w:jc w:val="both"/>
        <w:rPr>
          <w:rFonts w:ascii="Arial" w:hAnsi="Arial" w:cs="Arial"/>
          <w:b/>
          <w:bCs/>
          <w:sz w:val="22"/>
          <w:szCs w:val="22"/>
        </w:rPr>
      </w:pPr>
      <w:r w:rsidRPr="00456000">
        <w:rPr>
          <w:rFonts w:ascii="Arial" w:hAnsi="Arial" w:cs="Arial"/>
          <w:b/>
          <w:bCs/>
          <w:iCs/>
          <w:sz w:val="22"/>
          <w:szCs w:val="22"/>
        </w:rPr>
        <w:t>test.</w:t>
      </w:r>
      <w:r w:rsidRPr="00456000">
        <w:rPr>
          <w:rFonts w:ascii="Arial" w:hAnsi="Arial" w:cs="Arial"/>
          <w:iCs/>
          <w:sz w:val="22"/>
          <w:szCs w:val="22"/>
        </w:rPr>
        <w:t xml:space="preserve"> </w:t>
      </w:r>
      <w:r w:rsidRPr="00456000">
        <w:rPr>
          <w:rFonts w:ascii="Arial" w:hAnsi="Arial" w:cs="Arial"/>
          <w:sz w:val="22"/>
          <w:szCs w:val="22"/>
        </w:rPr>
        <w:t xml:space="preserve">This statistical tool was used to (2) determine whether there was a significant difference in the mean scores of </w:t>
      </w:r>
      <w:proofErr w:type="gramStart"/>
      <w:r w:rsidRPr="00456000">
        <w:rPr>
          <w:rFonts w:ascii="Arial" w:hAnsi="Arial" w:cs="Arial"/>
          <w:sz w:val="22"/>
          <w:szCs w:val="22"/>
        </w:rPr>
        <w:t>pre-test</w:t>
      </w:r>
      <w:proofErr w:type="gramEnd"/>
      <w:r w:rsidRPr="00456000">
        <w:rPr>
          <w:rFonts w:ascii="Arial" w:hAnsi="Arial" w:cs="Arial"/>
          <w:sz w:val="22"/>
          <w:szCs w:val="22"/>
        </w:rPr>
        <w:t xml:space="preserve"> and (4) post-test scores among students between the control group and experimental group.</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097"/>
        <w:gridCol w:w="4147"/>
      </w:tblGrid>
      <w:tr w:rsidR="00456000" w:rsidRPr="00456000" w14:paraId="67015559" w14:textId="77777777" w:rsidTr="003534B0">
        <w:trPr>
          <w:trHeight w:val="293"/>
          <w:jc w:val="center"/>
        </w:trPr>
        <w:tc>
          <w:tcPr>
            <w:tcW w:w="8244" w:type="dxa"/>
            <w:gridSpan w:val="2"/>
            <w:tcBorders>
              <w:top w:val="single" w:sz="4" w:space="0" w:color="auto"/>
              <w:left w:val="nil"/>
              <w:bottom w:val="single" w:sz="4" w:space="0" w:color="auto"/>
              <w:right w:val="nil"/>
            </w:tcBorders>
          </w:tcPr>
          <w:p w14:paraId="1139871E" w14:textId="77777777" w:rsidR="00456000" w:rsidRPr="00456000" w:rsidRDefault="00456000" w:rsidP="00456000">
            <w:pPr>
              <w:rPr>
                <w:rFonts w:ascii="Arial" w:hAnsi="Arial" w:cs="Arial"/>
                <w:b/>
                <w:bCs/>
              </w:rPr>
            </w:pPr>
            <w:r w:rsidRPr="00456000">
              <w:rPr>
                <w:rFonts w:ascii="Arial" w:eastAsia="SimSun" w:hAnsi="Arial" w:cs="Arial"/>
              </w:rPr>
              <w:t>Table 2. Table of Interpretation</w:t>
            </w:r>
          </w:p>
        </w:tc>
      </w:tr>
      <w:tr w:rsidR="00456000" w:rsidRPr="00456000" w14:paraId="06AAAF5D" w14:textId="77777777" w:rsidTr="003534B0">
        <w:trPr>
          <w:trHeight w:val="90"/>
          <w:jc w:val="center"/>
        </w:trPr>
        <w:tc>
          <w:tcPr>
            <w:tcW w:w="4097" w:type="dxa"/>
            <w:tcBorders>
              <w:top w:val="single" w:sz="4" w:space="0" w:color="auto"/>
              <w:left w:val="nil"/>
              <w:bottom w:val="nil"/>
              <w:right w:val="nil"/>
            </w:tcBorders>
          </w:tcPr>
          <w:p w14:paraId="3934342A" w14:textId="77777777" w:rsidR="00456000" w:rsidRPr="00456000" w:rsidRDefault="00456000" w:rsidP="00456000">
            <w:pPr>
              <w:jc w:val="center"/>
              <w:rPr>
                <w:rFonts w:ascii="Arial" w:hAnsi="Arial" w:cs="Arial"/>
              </w:rPr>
            </w:pPr>
            <w:r w:rsidRPr="00456000">
              <w:rPr>
                <w:rFonts w:ascii="Arial" w:hAnsi="Arial" w:cs="Arial"/>
              </w:rPr>
              <w:t>p-value</w:t>
            </w:r>
          </w:p>
        </w:tc>
        <w:tc>
          <w:tcPr>
            <w:tcW w:w="4147" w:type="dxa"/>
            <w:tcBorders>
              <w:top w:val="single" w:sz="4" w:space="0" w:color="auto"/>
              <w:left w:val="nil"/>
              <w:bottom w:val="nil"/>
              <w:right w:val="nil"/>
            </w:tcBorders>
          </w:tcPr>
          <w:p w14:paraId="22C1FA43" w14:textId="77777777" w:rsidR="00456000" w:rsidRPr="00456000" w:rsidRDefault="00456000" w:rsidP="00456000">
            <w:pPr>
              <w:jc w:val="center"/>
              <w:rPr>
                <w:rFonts w:ascii="Arial" w:hAnsi="Arial" w:cs="Arial"/>
              </w:rPr>
            </w:pPr>
            <w:r w:rsidRPr="00456000">
              <w:rPr>
                <w:rFonts w:ascii="Arial" w:hAnsi="Arial" w:cs="Arial"/>
              </w:rPr>
              <w:t>p-value</w:t>
            </w:r>
          </w:p>
        </w:tc>
      </w:tr>
      <w:tr w:rsidR="00456000" w:rsidRPr="00456000" w14:paraId="79A0380B" w14:textId="77777777" w:rsidTr="003534B0">
        <w:trPr>
          <w:jc w:val="center"/>
        </w:trPr>
        <w:tc>
          <w:tcPr>
            <w:tcW w:w="4097" w:type="dxa"/>
            <w:tcBorders>
              <w:top w:val="nil"/>
              <w:left w:val="nil"/>
              <w:bottom w:val="nil"/>
              <w:right w:val="nil"/>
            </w:tcBorders>
          </w:tcPr>
          <w:p w14:paraId="5D164026" w14:textId="77777777" w:rsidR="00456000" w:rsidRPr="00456000" w:rsidRDefault="00456000" w:rsidP="00456000">
            <w:pPr>
              <w:jc w:val="center"/>
              <w:rPr>
                <w:rFonts w:ascii="Arial" w:hAnsi="Arial" w:cs="Arial"/>
              </w:rPr>
            </w:pPr>
            <w:r w:rsidRPr="00456000">
              <w:rPr>
                <w:rFonts w:ascii="Arial" w:hAnsi="Arial" w:cs="Arial"/>
              </w:rPr>
              <w:t>Less than 0.05</w:t>
            </w:r>
          </w:p>
        </w:tc>
        <w:tc>
          <w:tcPr>
            <w:tcW w:w="4147" w:type="dxa"/>
            <w:tcBorders>
              <w:top w:val="nil"/>
              <w:left w:val="nil"/>
              <w:bottom w:val="nil"/>
              <w:right w:val="nil"/>
            </w:tcBorders>
          </w:tcPr>
          <w:p w14:paraId="39A7E8F1" w14:textId="77777777" w:rsidR="00456000" w:rsidRPr="00456000" w:rsidRDefault="00456000" w:rsidP="00456000">
            <w:pPr>
              <w:jc w:val="center"/>
              <w:rPr>
                <w:rFonts w:ascii="Arial" w:hAnsi="Arial" w:cs="Arial"/>
              </w:rPr>
            </w:pPr>
            <w:r w:rsidRPr="00456000">
              <w:rPr>
                <w:rFonts w:ascii="Arial" w:hAnsi="Arial" w:cs="Arial"/>
              </w:rPr>
              <w:t>Less than 0.05</w:t>
            </w:r>
          </w:p>
        </w:tc>
      </w:tr>
      <w:tr w:rsidR="00456000" w:rsidRPr="00456000" w14:paraId="1409E4AF" w14:textId="77777777" w:rsidTr="003534B0">
        <w:trPr>
          <w:jc w:val="center"/>
        </w:trPr>
        <w:tc>
          <w:tcPr>
            <w:tcW w:w="4097" w:type="dxa"/>
            <w:tcBorders>
              <w:top w:val="nil"/>
              <w:left w:val="nil"/>
              <w:bottom w:val="single" w:sz="4" w:space="0" w:color="auto"/>
              <w:right w:val="nil"/>
            </w:tcBorders>
          </w:tcPr>
          <w:p w14:paraId="1292FDAD" w14:textId="77777777" w:rsidR="00456000" w:rsidRPr="00456000" w:rsidRDefault="00456000" w:rsidP="00456000">
            <w:pPr>
              <w:jc w:val="center"/>
              <w:rPr>
                <w:rFonts w:ascii="Arial" w:hAnsi="Arial" w:cs="Arial"/>
              </w:rPr>
            </w:pPr>
            <w:r w:rsidRPr="00456000">
              <w:rPr>
                <w:rFonts w:ascii="Arial" w:hAnsi="Arial" w:cs="Arial"/>
              </w:rPr>
              <w:t>0.05 or more</w:t>
            </w:r>
          </w:p>
        </w:tc>
        <w:tc>
          <w:tcPr>
            <w:tcW w:w="4147" w:type="dxa"/>
            <w:tcBorders>
              <w:top w:val="nil"/>
              <w:left w:val="nil"/>
              <w:bottom w:val="single" w:sz="4" w:space="0" w:color="auto"/>
              <w:right w:val="nil"/>
            </w:tcBorders>
          </w:tcPr>
          <w:p w14:paraId="2C1A9D1B" w14:textId="77777777" w:rsidR="00456000" w:rsidRPr="00456000" w:rsidRDefault="00456000" w:rsidP="00456000">
            <w:pPr>
              <w:jc w:val="center"/>
              <w:rPr>
                <w:rFonts w:ascii="Arial" w:hAnsi="Arial" w:cs="Arial"/>
              </w:rPr>
            </w:pPr>
            <w:r w:rsidRPr="00456000">
              <w:rPr>
                <w:rFonts w:ascii="Arial" w:hAnsi="Arial" w:cs="Arial"/>
              </w:rPr>
              <w:t>0.05 or more</w:t>
            </w:r>
          </w:p>
        </w:tc>
      </w:tr>
    </w:tbl>
    <w:p w14:paraId="681677C0" w14:textId="77777777"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b/>
          <w:bCs/>
          <w:sz w:val="22"/>
          <w:szCs w:val="22"/>
        </w:rPr>
        <w:lastRenderedPageBreak/>
        <w:t xml:space="preserve">Cohen's d. </w:t>
      </w:r>
      <w:r w:rsidRPr="00456000">
        <w:rPr>
          <w:rFonts w:ascii="Arial" w:hAnsi="Arial" w:cs="Arial"/>
          <w:sz w:val="22"/>
          <w:szCs w:val="22"/>
        </w:rPr>
        <w:t>This was used to estimate effect size when comparing means, particularly with t-tests or ANOVA. This tool was used to analyze effect size of the intervention. It represented the difference between means relative to pooled variance and remained constant regardless of sample size (Charlesworth Author Services, 2021).</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887"/>
        <w:gridCol w:w="2915"/>
        <w:gridCol w:w="2294"/>
      </w:tblGrid>
      <w:tr w:rsidR="00456000" w:rsidRPr="00456000" w14:paraId="73830A20" w14:textId="77777777" w:rsidTr="003534B0">
        <w:trPr>
          <w:trHeight w:val="293"/>
          <w:jc w:val="center"/>
        </w:trPr>
        <w:tc>
          <w:tcPr>
            <w:tcW w:w="5802" w:type="dxa"/>
            <w:gridSpan w:val="2"/>
            <w:tcBorders>
              <w:top w:val="single" w:sz="4" w:space="0" w:color="auto"/>
              <w:left w:val="nil"/>
              <w:bottom w:val="single" w:sz="4" w:space="0" w:color="auto"/>
              <w:right w:val="nil"/>
            </w:tcBorders>
          </w:tcPr>
          <w:p w14:paraId="40FCE9E0" w14:textId="2E40B557" w:rsidR="00456000" w:rsidRPr="00456000" w:rsidRDefault="00456000" w:rsidP="00456000">
            <w:pPr>
              <w:rPr>
                <w:rFonts w:ascii="Arial" w:hAnsi="Arial" w:cs="Arial"/>
                <w:b/>
                <w:bCs/>
              </w:rPr>
            </w:pPr>
            <w:r w:rsidRPr="00456000">
              <w:rPr>
                <w:rFonts w:ascii="Arial" w:eastAsia="SimSun" w:hAnsi="Arial" w:cs="Arial"/>
              </w:rPr>
              <w:t xml:space="preserve">Table </w:t>
            </w:r>
            <w:r>
              <w:rPr>
                <w:rFonts w:ascii="Arial" w:eastAsia="SimSun" w:hAnsi="Arial" w:cs="Arial"/>
              </w:rPr>
              <w:t>3</w:t>
            </w:r>
            <w:r w:rsidRPr="00456000">
              <w:rPr>
                <w:rFonts w:ascii="Arial" w:eastAsia="SimSun" w:hAnsi="Arial" w:cs="Arial"/>
              </w:rPr>
              <w:t>. Table of Interpretation</w:t>
            </w:r>
          </w:p>
        </w:tc>
        <w:tc>
          <w:tcPr>
            <w:tcW w:w="2294" w:type="dxa"/>
            <w:tcBorders>
              <w:top w:val="single" w:sz="4" w:space="0" w:color="auto"/>
              <w:left w:val="nil"/>
              <w:bottom w:val="single" w:sz="4" w:space="0" w:color="auto"/>
              <w:right w:val="nil"/>
            </w:tcBorders>
          </w:tcPr>
          <w:p w14:paraId="41A50A25" w14:textId="77777777" w:rsidR="00456000" w:rsidRPr="00456000" w:rsidRDefault="00456000" w:rsidP="00456000">
            <w:pPr>
              <w:rPr>
                <w:rFonts w:ascii="Arial" w:eastAsia="SimSun" w:hAnsi="Arial" w:cs="Arial"/>
              </w:rPr>
            </w:pPr>
          </w:p>
        </w:tc>
      </w:tr>
      <w:tr w:rsidR="00456000" w:rsidRPr="00456000" w14:paraId="6F1B30A6" w14:textId="77777777" w:rsidTr="003534B0">
        <w:trPr>
          <w:trHeight w:val="90"/>
          <w:jc w:val="center"/>
        </w:trPr>
        <w:tc>
          <w:tcPr>
            <w:tcW w:w="2887" w:type="dxa"/>
            <w:tcBorders>
              <w:top w:val="single" w:sz="4" w:space="0" w:color="auto"/>
              <w:left w:val="nil"/>
              <w:bottom w:val="nil"/>
              <w:right w:val="nil"/>
            </w:tcBorders>
            <w:vAlign w:val="bottom"/>
          </w:tcPr>
          <w:p w14:paraId="052861EB" w14:textId="77777777" w:rsidR="00456000" w:rsidRPr="00456000" w:rsidRDefault="00456000" w:rsidP="00456000">
            <w:pPr>
              <w:jc w:val="center"/>
              <w:rPr>
                <w:rFonts w:ascii="Arial" w:hAnsi="Arial" w:cs="Arial"/>
              </w:rPr>
            </w:pPr>
            <w:r w:rsidRPr="00456000">
              <w:rPr>
                <w:rFonts w:ascii="Arial" w:eastAsia="SimSun" w:hAnsi="Arial" w:cs="Arial"/>
                <w:b/>
                <w:bCs/>
                <w:lang w:val="en-PH"/>
              </w:rPr>
              <w:t>Cohen’s d effect size</w:t>
            </w:r>
          </w:p>
        </w:tc>
        <w:tc>
          <w:tcPr>
            <w:tcW w:w="2915" w:type="dxa"/>
            <w:tcBorders>
              <w:top w:val="single" w:sz="4" w:space="0" w:color="auto"/>
              <w:left w:val="nil"/>
              <w:bottom w:val="nil"/>
              <w:right w:val="nil"/>
            </w:tcBorders>
            <w:vAlign w:val="bottom"/>
          </w:tcPr>
          <w:p w14:paraId="7941243F" w14:textId="77777777" w:rsidR="00456000" w:rsidRPr="00456000" w:rsidRDefault="00456000" w:rsidP="00456000">
            <w:pPr>
              <w:jc w:val="center"/>
              <w:rPr>
                <w:rFonts w:ascii="Arial" w:hAnsi="Arial" w:cs="Arial"/>
              </w:rPr>
            </w:pPr>
            <w:r w:rsidRPr="00456000">
              <w:rPr>
                <w:rFonts w:ascii="Arial" w:eastAsia="SimSun" w:hAnsi="Arial" w:cs="Arial"/>
                <w:b/>
                <w:bCs/>
                <w:lang w:val="en-PH"/>
              </w:rPr>
              <w:t>Interpretation</w:t>
            </w:r>
          </w:p>
        </w:tc>
        <w:tc>
          <w:tcPr>
            <w:tcW w:w="2294" w:type="dxa"/>
            <w:tcBorders>
              <w:top w:val="single" w:sz="4" w:space="0" w:color="auto"/>
              <w:left w:val="nil"/>
              <w:bottom w:val="nil"/>
              <w:right w:val="nil"/>
            </w:tcBorders>
          </w:tcPr>
          <w:p w14:paraId="531887B6" w14:textId="77777777" w:rsidR="00456000" w:rsidRPr="00456000" w:rsidRDefault="00456000" w:rsidP="00456000">
            <w:pPr>
              <w:jc w:val="center"/>
              <w:rPr>
                <w:rFonts w:ascii="Arial" w:hAnsi="Arial" w:cs="Arial"/>
              </w:rPr>
            </w:pPr>
            <w:r w:rsidRPr="00456000">
              <w:rPr>
                <w:rFonts w:ascii="Arial" w:eastAsia="SimSun" w:hAnsi="Arial" w:cs="Arial"/>
                <w:b/>
                <w:bCs/>
                <w:lang w:val="en-PH"/>
              </w:rPr>
              <w:t>Differences in SD</w:t>
            </w:r>
          </w:p>
        </w:tc>
      </w:tr>
      <w:tr w:rsidR="00456000" w:rsidRPr="00456000" w14:paraId="6937C30B" w14:textId="77777777" w:rsidTr="003534B0">
        <w:trPr>
          <w:jc w:val="center"/>
        </w:trPr>
        <w:tc>
          <w:tcPr>
            <w:tcW w:w="2887" w:type="dxa"/>
            <w:tcBorders>
              <w:top w:val="nil"/>
              <w:left w:val="nil"/>
              <w:bottom w:val="nil"/>
              <w:right w:val="nil"/>
            </w:tcBorders>
          </w:tcPr>
          <w:p w14:paraId="012640DA" w14:textId="77777777" w:rsidR="00456000" w:rsidRPr="00456000" w:rsidRDefault="00456000" w:rsidP="00456000">
            <w:pPr>
              <w:jc w:val="center"/>
              <w:rPr>
                <w:rFonts w:ascii="Arial" w:hAnsi="Arial" w:cs="Arial"/>
              </w:rPr>
            </w:pPr>
            <w:r w:rsidRPr="00456000">
              <w:rPr>
                <w:rFonts w:ascii="Arial" w:eastAsia="SimSun" w:hAnsi="Arial" w:cs="Arial"/>
                <w:lang w:val="en-PH"/>
              </w:rPr>
              <w:t>d=.0-.19</w:t>
            </w:r>
          </w:p>
        </w:tc>
        <w:tc>
          <w:tcPr>
            <w:tcW w:w="2915" w:type="dxa"/>
            <w:tcBorders>
              <w:top w:val="nil"/>
              <w:left w:val="nil"/>
              <w:bottom w:val="nil"/>
              <w:right w:val="nil"/>
            </w:tcBorders>
          </w:tcPr>
          <w:p w14:paraId="33929814" w14:textId="77777777" w:rsidR="00456000" w:rsidRPr="00456000" w:rsidRDefault="00456000" w:rsidP="00456000">
            <w:pPr>
              <w:jc w:val="center"/>
              <w:rPr>
                <w:rFonts w:ascii="Arial" w:hAnsi="Arial" w:cs="Arial"/>
              </w:rPr>
            </w:pPr>
            <w:r w:rsidRPr="00456000">
              <w:rPr>
                <w:rFonts w:ascii="Arial" w:eastAsia="SimSun" w:hAnsi="Arial" w:cs="Arial"/>
                <w:lang w:val="en-PH"/>
              </w:rPr>
              <w:t>Trivial effect</w:t>
            </w:r>
          </w:p>
        </w:tc>
        <w:tc>
          <w:tcPr>
            <w:tcW w:w="2294" w:type="dxa"/>
            <w:tcBorders>
              <w:top w:val="nil"/>
              <w:left w:val="nil"/>
              <w:bottom w:val="nil"/>
              <w:right w:val="nil"/>
            </w:tcBorders>
          </w:tcPr>
          <w:p w14:paraId="19E1098A" w14:textId="77777777" w:rsidR="00456000" w:rsidRPr="00456000" w:rsidRDefault="00456000" w:rsidP="00456000">
            <w:pPr>
              <w:jc w:val="center"/>
              <w:rPr>
                <w:rFonts w:ascii="Arial" w:hAnsi="Arial" w:cs="Arial"/>
              </w:rPr>
            </w:pPr>
            <w:r w:rsidRPr="00456000">
              <w:rPr>
                <w:rFonts w:ascii="Arial" w:eastAsia="SimSun" w:hAnsi="Arial" w:cs="Arial"/>
                <w:lang w:val="en-PH"/>
              </w:rPr>
              <w:t>&lt;1/5 from a SD</w:t>
            </w:r>
          </w:p>
        </w:tc>
      </w:tr>
      <w:tr w:rsidR="00456000" w:rsidRPr="00456000" w14:paraId="489827A5" w14:textId="77777777" w:rsidTr="003534B0">
        <w:trPr>
          <w:jc w:val="center"/>
        </w:trPr>
        <w:tc>
          <w:tcPr>
            <w:tcW w:w="2887" w:type="dxa"/>
            <w:tcBorders>
              <w:top w:val="nil"/>
              <w:left w:val="nil"/>
              <w:bottom w:val="nil"/>
              <w:right w:val="nil"/>
            </w:tcBorders>
          </w:tcPr>
          <w:p w14:paraId="1B425F44" w14:textId="77777777" w:rsidR="00456000" w:rsidRPr="00456000" w:rsidRDefault="00456000" w:rsidP="00456000">
            <w:pPr>
              <w:jc w:val="center"/>
              <w:rPr>
                <w:rFonts w:ascii="Arial" w:hAnsi="Arial" w:cs="Arial"/>
              </w:rPr>
            </w:pPr>
            <w:r w:rsidRPr="00456000">
              <w:rPr>
                <w:rFonts w:ascii="Arial" w:eastAsia="SimSun" w:hAnsi="Arial" w:cs="Arial"/>
                <w:lang w:val="en-PH"/>
              </w:rPr>
              <w:t>d=.20</w:t>
            </w:r>
          </w:p>
        </w:tc>
        <w:tc>
          <w:tcPr>
            <w:tcW w:w="2915" w:type="dxa"/>
            <w:tcBorders>
              <w:top w:val="nil"/>
              <w:left w:val="nil"/>
              <w:bottom w:val="nil"/>
              <w:right w:val="nil"/>
            </w:tcBorders>
          </w:tcPr>
          <w:p w14:paraId="5C4D82D3" w14:textId="77777777" w:rsidR="00456000" w:rsidRPr="00456000" w:rsidRDefault="00456000" w:rsidP="00456000">
            <w:pPr>
              <w:jc w:val="center"/>
              <w:rPr>
                <w:rFonts w:ascii="Arial" w:hAnsi="Arial" w:cs="Arial"/>
              </w:rPr>
            </w:pPr>
            <w:r w:rsidRPr="00456000">
              <w:rPr>
                <w:rFonts w:ascii="Arial" w:eastAsia="SimSun" w:hAnsi="Arial" w:cs="Arial"/>
                <w:lang w:val="en-PH"/>
              </w:rPr>
              <w:t>Small effect</w:t>
            </w:r>
          </w:p>
        </w:tc>
        <w:tc>
          <w:tcPr>
            <w:tcW w:w="2294" w:type="dxa"/>
            <w:tcBorders>
              <w:top w:val="nil"/>
              <w:left w:val="nil"/>
              <w:bottom w:val="nil"/>
              <w:right w:val="nil"/>
            </w:tcBorders>
          </w:tcPr>
          <w:p w14:paraId="24A0D1AA" w14:textId="77777777" w:rsidR="00456000" w:rsidRPr="00456000" w:rsidRDefault="00456000" w:rsidP="00456000">
            <w:pPr>
              <w:jc w:val="center"/>
              <w:rPr>
                <w:rFonts w:ascii="Arial" w:hAnsi="Arial" w:cs="Arial"/>
              </w:rPr>
            </w:pPr>
            <w:r w:rsidRPr="00456000">
              <w:rPr>
                <w:rFonts w:ascii="Arial" w:eastAsia="SimSun" w:hAnsi="Arial" w:cs="Arial"/>
                <w:lang w:val="en-PH"/>
              </w:rPr>
              <w:t>1/5 from a SD</w:t>
            </w:r>
          </w:p>
        </w:tc>
      </w:tr>
      <w:tr w:rsidR="00456000" w:rsidRPr="00456000" w14:paraId="3F0674CF" w14:textId="77777777" w:rsidTr="003534B0">
        <w:trPr>
          <w:jc w:val="center"/>
        </w:trPr>
        <w:tc>
          <w:tcPr>
            <w:tcW w:w="2887" w:type="dxa"/>
            <w:tcBorders>
              <w:top w:val="nil"/>
              <w:left w:val="nil"/>
              <w:bottom w:val="nil"/>
              <w:right w:val="nil"/>
            </w:tcBorders>
          </w:tcPr>
          <w:p w14:paraId="1035CA53" w14:textId="77777777" w:rsidR="00456000" w:rsidRPr="00456000" w:rsidRDefault="00456000" w:rsidP="00456000">
            <w:pPr>
              <w:jc w:val="center"/>
              <w:rPr>
                <w:rFonts w:ascii="Arial" w:hAnsi="Arial" w:cs="Arial"/>
              </w:rPr>
            </w:pPr>
            <w:r w:rsidRPr="00456000">
              <w:rPr>
                <w:rFonts w:ascii="Arial" w:eastAsia="SimSun" w:hAnsi="Arial" w:cs="Arial"/>
                <w:lang w:val="en-PH"/>
              </w:rPr>
              <w:t>d=.50</w:t>
            </w:r>
          </w:p>
        </w:tc>
        <w:tc>
          <w:tcPr>
            <w:tcW w:w="2915" w:type="dxa"/>
            <w:tcBorders>
              <w:top w:val="nil"/>
              <w:left w:val="nil"/>
              <w:bottom w:val="nil"/>
              <w:right w:val="nil"/>
            </w:tcBorders>
          </w:tcPr>
          <w:p w14:paraId="7A9F7C69" w14:textId="77777777" w:rsidR="00456000" w:rsidRPr="00456000" w:rsidRDefault="00456000" w:rsidP="00456000">
            <w:pPr>
              <w:jc w:val="center"/>
              <w:rPr>
                <w:rFonts w:ascii="Arial" w:hAnsi="Arial" w:cs="Arial"/>
              </w:rPr>
            </w:pPr>
            <w:r w:rsidRPr="00456000">
              <w:rPr>
                <w:rFonts w:ascii="Arial" w:eastAsia="SimSun" w:hAnsi="Arial" w:cs="Arial"/>
                <w:lang w:val="en-PH"/>
              </w:rPr>
              <w:t>Medium effect</w:t>
            </w:r>
          </w:p>
        </w:tc>
        <w:tc>
          <w:tcPr>
            <w:tcW w:w="2294" w:type="dxa"/>
            <w:tcBorders>
              <w:top w:val="nil"/>
              <w:left w:val="nil"/>
              <w:bottom w:val="nil"/>
              <w:right w:val="nil"/>
            </w:tcBorders>
          </w:tcPr>
          <w:p w14:paraId="5374B311" w14:textId="77777777" w:rsidR="00456000" w:rsidRPr="00456000" w:rsidRDefault="00456000" w:rsidP="00456000">
            <w:pPr>
              <w:jc w:val="center"/>
              <w:rPr>
                <w:rFonts w:ascii="Arial" w:hAnsi="Arial" w:cs="Arial"/>
              </w:rPr>
            </w:pPr>
            <w:r w:rsidRPr="00456000">
              <w:rPr>
                <w:rFonts w:ascii="Arial" w:eastAsia="SimSun" w:hAnsi="Arial" w:cs="Arial"/>
                <w:lang w:val="en-PH"/>
              </w:rPr>
              <w:t>1/2 from an SD</w:t>
            </w:r>
          </w:p>
        </w:tc>
      </w:tr>
      <w:tr w:rsidR="00456000" w:rsidRPr="00456000" w14:paraId="5E4A4935" w14:textId="77777777" w:rsidTr="003534B0">
        <w:trPr>
          <w:jc w:val="center"/>
        </w:trPr>
        <w:tc>
          <w:tcPr>
            <w:tcW w:w="2887" w:type="dxa"/>
            <w:tcBorders>
              <w:top w:val="nil"/>
              <w:left w:val="nil"/>
              <w:bottom w:val="single" w:sz="4" w:space="0" w:color="auto"/>
              <w:right w:val="nil"/>
            </w:tcBorders>
          </w:tcPr>
          <w:p w14:paraId="75BBF6AC" w14:textId="77777777" w:rsidR="00456000" w:rsidRPr="00456000" w:rsidRDefault="00456000" w:rsidP="00456000">
            <w:pPr>
              <w:jc w:val="center"/>
              <w:rPr>
                <w:rFonts w:ascii="Arial" w:hAnsi="Arial" w:cs="Arial"/>
              </w:rPr>
            </w:pPr>
            <w:r w:rsidRPr="00456000">
              <w:rPr>
                <w:rFonts w:ascii="Arial" w:eastAsia="SimSun" w:hAnsi="Arial" w:cs="Arial"/>
                <w:lang w:val="en-PH"/>
              </w:rPr>
              <w:t>d=.80 or higher</w:t>
            </w:r>
          </w:p>
        </w:tc>
        <w:tc>
          <w:tcPr>
            <w:tcW w:w="2915" w:type="dxa"/>
            <w:tcBorders>
              <w:top w:val="nil"/>
              <w:left w:val="nil"/>
              <w:bottom w:val="single" w:sz="4" w:space="0" w:color="auto"/>
              <w:right w:val="nil"/>
            </w:tcBorders>
          </w:tcPr>
          <w:p w14:paraId="46F31DA5" w14:textId="77777777" w:rsidR="00456000" w:rsidRPr="00456000" w:rsidRDefault="00456000" w:rsidP="00456000">
            <w:pPr>
              <w:jc w:val="center"/>
              <w:rPr>
                <w:rFonts w:ascii="Arial" w:hAnsi="Arial" w:cs="Arial"/>
              </w:rPr>
            </w:pPr>
            <w:r w:rsidRPr="00456000">
              <w:rPr>
                <w:rFonts w:ascii="Arial" w:eastAsia="SimSun" w:hAnsi="Arial" w:cs="Arial"/>
                <w:lang w:val="en-PH"/>
              </w:rPr>
              <w:t>Large effect</w:t>
            </w:r>
          </w:p>
        </w:tc>
        <w:tc>
          <w:tcPr>
            <w:tcW w:w="2294" w:type="dxa"/>
            <w:tcBorders>
              <w:top w:val="nil"/>
              <w:left w:val="nil"/>
              <w:bottom w:val="single" w:sz="4" w:space="0" w:color="auto"/>
              <w:right w:val="nil"/>
            </w:tcBorders>
          </w:tcPr>
          <w:p w14:paraId="77C511D6" w14:textId="77777777" w:rsidR="00456000" w:rsidRPr="00456000" w:rsidRDefault="00456000" w:rsidP="00456000">
            <w:pPr>
              <w:jc w:val="center"/>
              <w:rPr>
                <w:rFonts w:ascii="Arial" w:hAnsi="Arial" w:cs="Arial"/>
              </w:rPr>
            </w:pPr>
            <w:r w:rsidRPr="00456000">
              <w:rPr>
                <w:rFonts w:ascii="Arial" w:eastAsia="SimSun" w:hAnsi="Arial" w:cs="Arial"/>
                <w:lang w:val="en-PH"/>
              </w:rPr>
              <w:t>8/10 from an SD</w:t>
            </w:r>
          </w:p>
        </w:tc>
      </w:tr>
    </w:tbl>
    <w:p w14:paraId="4C7CA01D" w14:textId="77777777" w:rsidR="00456000" w:rsidRPr="00456000" w:rsidRDefault="00456000" w:rsidP="00456000">
      <w:pPr>
        <w:pStyle w:val="Head1"/>
        <w:jc w:val="both"/>
        <w:rPr>
          <w:rFonts w:ascii="Arial" w:hAnsi="Arial" w:cs="Arial"/>
          <w:b w:val="0"/>
          <w:caps w:val="0"/>
          <w:szCs w:val="22"/>
        </w:rPr>
      </w:pPr>
    </w:p>
    <w:p w14:paraId="16B243A5" w14:textId="159B91BE" w:rsidR="00902823" w:rsidRDefault="00AE016B" w:rsidP="00AE016B">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FD9BF52" w14:textId="77777777" w:rsidR="00790ADA" w:rsidRPr="00FB3A86" w:rsidRDefault="00790ADA" w:rsidP="00441B6F">
      <w:pPr>
        <w:pStyle w:val="Head1"/>
        <w:spacing w:after="0"/>
        <w:jc w:val="both"/>
        <w:rPr>
          <w:rFonts w:ascii="Arial" w:hAnsi="Arial" w:cs="Arial"/>
        </w:rPr>
      </w:pPr>
    </w:p>
    <w:p w14:paraId="672B438F" w14:textId="77777777" w:rsidR="00D416C9" w:rsidRPr="00D416C9" w:rsidRDefault="00D416C9" w:rsidP="00D416C9">
      <w:pPr>
        <w:pStyle w:val="Body"/>
        <w:rPr>
          <w:rFonts w:ascii="Arial" w:hAnsi="Arial" w:cs="Arial"/>
          <w:b/>
          <w:bCs/>
          <w:sz w:val="22"/>
          <w:szCs w:val="22"/>
        </w:rPr>
      </w:pPr>
      <w:r w:rsidRPr="00D416C9">
        <w:rPr>
          <w:rFonts w:ascii="Arial" w:hAnsi="Arial" w:cs="Arial"/>
          <w:b/>
          <w:bCs/>
          <w:sz w:val="22"/>
          <w:szCs w:val="22"/>
        </w:rPr>
        <w:t>Level of Pre-test Scores of the Control and Experimental groups</w:t>
      </w:r>
    </w:p>
    <w:p w14:paraId="01CBB1D3" w14:textId="77777777" w:rsidR="00D416C9" w:rsidRPr="00D416C9" w:rsidRDefault="00D416C9" w:rsidP="00D416C9">
      <w:pPr>
        <w:pStyle w:val="Body"/>
        <w:rPr>
          <w:rFonts w:ascii="Arial" w:hAnsi="Arial" w:cs="Arial"/>
          <w:sz w:val="22"/>
          <w:szCs w:val="22"/>
        </w:rPr>
      </w:pPr>
      <w:r w:rsidRPr="00D416C9">
        <w:rPr>
          <w:rFonts w:ascii="Arial" w:hAnsi="Arial" w:cs="Arial"/>
          <w:sz w:val="22"/>
          <w:szCs w:val="22"/>
        </w:rPr>
        <w:t>This study compared the phonological awareness skills of an experimental group (n = 28) and a control group (n = 28) before implementing a digital learning application and a traditional teaching method, respectively. The groups were randomly selected from the Grade 2 population. The small sample size reflected the limited number of students in the selected sections and the constraints of the academic calendar. Students who were absent during either the pre-test or post-test were excluded to ensure the validity and reliability of the findings. Both groups were assessed on four key areas: phoneme awareness, onset-rime awareness, syllable awareness, and word awareness.</w:t>
      </w:r>
    </w:p>
    <w:p w14:paraId="7E719C34" w14:textId="77777777" w:rsidR="00D416C9" w:rsidRPr="00D416C9" w:rsidRDefault="00D416C9" w:rsidP="00D416C9">
      <w:pPr>
        <w:pStyle w:val="Body"/>
        <w:rPr>
          <w:rFonts w:ascii="Arial" w:hAnsi="Arial" w:cs="Arial"/>
          <w:sz w:val="22"/>
          <w:szCs w:val="22"/>
        </w:rPr>
      </w:pPr>
      <w:r w:rsidRPr="00D416C9">
        <w:rPr>
          <w:rFonts w:ascii="Arial" w:hAnsi="Arial" w:cs="Arial"/>
          <w:sz w:val="22"/>
          <w:szCs w:val="22"/>
        </w:rPr>
        <w:t>Table 4 presents the level of pre-test scores of the control and experimental groups. The control group had a mean score of 6.57, while the experimental group scored slightly higher at 7.15; both correspond to transmuted grades of 70 and 71, respectively, interpreted as "Did Not Meet Expectations.".</w:t>
      </w:r>
    </w:p>
    <w:tbl>
      <w:tblPr>
        <w:tblStyle w:val="TableGrid"/>
        <w:tblW w:w="0" w:type="auto"/>
        <w:tblInd w:w="125" w:type="dxa"/>
        <w:tblBorders>
          <w:top w:val="single" w:sz="4"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653"/>
        <w:gridCol w:w="926"/>
        <w:gridCol w:w="1255"/>
        <w:gridCol w:w="864"/>
        <w:gridCol w:w="1631"/>
        <w:gridCol w:w="1933"/>
      </w:tblGrid>
      <w:tr w:rsidR="00D416C9" w14:paraId="0B721CDC" w14:textId="77777777" w:rsidTr="003534B0">
        <w:trPr>
          <w:trHeight w:val="449"/>
        </w:trPr>
        <w:tc>
          <w:tcPr>
            <w:tcW w:w="1653" w:type="dxa"/>
            <w:tcBorders>
              <w:bottom w:val="single" w:sz="4" w:space="0" w:color="auto"/>
              <w:right w:val="nil"/>
            </w:tcBorders>
          </w:tcPr>
          <w:p w14:paraId="4A4EF3F3" w14:textId="77777777" w:rsidR="00D416C9" w:rsidRDefault="00D416C9" w:rsidP="003534B0">
            <w:pPr>
              <w:jc w:val="center"/>
              <w:rPr>
                <w:iCs/>
                <w:sz w:val="24"/>
                <w:szCs w:val="24"/>
              </w:rPr>
            </w:pPr>
            <w:r>
              <w:rPr>
                <w:iCs/>
                <w:sz w:val="24"/>
                <w:szCs w:val="24"/>
              </w:rPr>
              <w:t>Group</w:t>
            </w:r>
          </w:p>
        </w:tc>
        <w:tc>
          <w:tcPr>
            <w:tcW w:w="926" w:type="dxa"/>
            <w:tcBorders>
              <w:left w:val="nil"/>
              <w:bottom w:val="single" w:sz="4" w:space="0" w:color="auto"/>
              <w:right w:val="nil"/>
            </w:tcBorders>
          </w:tcPr>
          <w:p w14:paraId="51F17B28" w14:textId="77777777" w:rsidR="00D416C9" w:rsidRDefault="00D416C9" w:rsidP="003534B0">
            <w:pPr>
              <w:jc w:val="center"/>
              <w:rPr>
                <w:iCs/>
                <w:sz w:val="24"/>
                <w:szCs w:val="24"/>
              </w:rPr>
            </w:pPr>
            <w:r>
              <w:rPr>
                <w:iCs/>
                <w:sz w:val="24"/>
                <w:szCs w:val="24"/>
              </w:rPr>
              <w:t>Total Score</w:t>
            </w:r>
          </w:p>
        </w:tc>
        <w:tc>
          <w:tcPr>
            <w:tcW w:w="1255" w:type="dxa"/>
            <w:tcBorders>
              <w:left w:val="nil"/>
              <w:bottom w:val="single" w:sz="4" w:space="0" w:color="auto"/>
              <w:right w:val="nil"/>
            </w:tcBorders>
          </w:tcPr>
          <w:p w14:paraId="380E8B1E" w14:textId="77777777" w:rsidR="00D416C9" w:rsidRDefault="00D416C9" w:rsidP="003534B0">
            <w:pPr>
              <w:jc w:val="center"/>
              <w:rPr>
                <w:iCs/>
                <w:sz w:val="24"/>
                <w:szCs w:val="24"/>
              </w:rPr>
            </w:pPr>
            <w:r>
              <w:rPr>
                <w:iCs/>
                <w:sz w:val="24"/>
                <w:szCs w:val="24"/>
              </w:rPr>
              <w:t>Standard Deviation</w:t>
            </w:r>
          </w:p>
        </w:tc>
        <w:tc>
          <w:tcPr>
            <w:tcW w:w="864" w:type="dxa"/>
            <w:tcBorders>
              <w:left w:val="nil"/>
              <w:bottom w:val="single" w:sz="4" w:space="0" w:color="auto"/>
              <w:right w:val="nil"/>
            </w:tcBorders>
          </w:tcPr>
          <w:p w14:paraId="20FBD2B8" w14:textId="77777777" w:rsidR="00D416C9" w:rsidRDefault="00D416C9" w:rsidP="003534B0">
            <w:pPr>
              <w:jc w:val="center"/>
              <w:rPr>
                <w:iCs/>
                <w:sz w:val="24"/>
                <w:szCs w:val="24"/>
              </w:rPr>
            </w:pPr>
            <w:r>
              <w:rPr>
                <w:iCs/>
                <w:sz w:val="24"/>
                <w:szCs w:val="24"/>
              </w:rPr>
              <w:t>Mean</w:t>
            </w:r>
          </w:p>
        </w:tc>
        <w:tc>
          <w:tcPr>
            <w:tcW w:w="1631" w:type="dxa"/>
            <w:tcBorders>
              <w:left w:val="nil"/>
              <w:bottom w:val="single" w:sz="4" w:space="0" w:color="auto"/>
              <w:right w:val="nil"/>
            </w:tcBorders>
          </w:tcPr>
          <w:p w14:paraId="77CFA7FE" w14:textId="77777777" w:rsidR="00D416C9" w:rsidRDefault="00D416C9" w:rsidP="003534B0">
            <w:pPr>
              <w:jc w:val="center"/>
              <w:rPr>
                <w:iCs/>
                <w:sz w:val="24"/>
                <w:szCs w:val="24"/>
              </w:rPr>
            </w:pPr>
            <w:r>
              <w:rPr>
                <w:iCs/>
                <w:sz w:val="24"/>
                <w:szCs w:val="24"/>
              </w:rPr>
              <w:t>Grade Percentage</w:t>
            </w:r>
          </w:p>
        </w:tc>
        <w:tc>
          <w:tcPr>
            <w:tcW w:w="1933" w:type="dxa"/>
            <w:tcBorders>
              <w:left w:val="nil"/>
              <w:bottom w:val="single" w:sz="4" w:space="0" w:color="auto"/>
            </w:tcBorders>
          </w:tcPr>
          <w:p w14:paraId="746CC297" w14:textId="77777777" w:rsidR="00D416C9" w:rsidRDefault="00D416C9" w:rsidP="003534B0">
            <w:pPr>
              <w:jc w:val="center"/>
              <w:rPr>
                <w:iCs/>
                <w:sz w:val="24"/>
                <w:szCs w:val="24"/>
              </w:rPr>
            </w:pPr>
            <w:r>
              <w:rPr>
                <w:iCs/>
                <w:sz w:val="24"/>
                <w:szCs w:val="24"/>
              </w:rPr>
              <w:t>Remarks</w:t>
            </w:r>
          </w:p>
        </w:tc>
      </w:tr>
      <w:tr w:rsidR="00D416C9" w14:paraId="73B2FCF1" w14:textId="77777777" w:rsidTr="003534B0">
        <w:tc>
          <w:tcPr>
            <w:tcW w:w="1653" w:type="dxa"/>
            <w:tcBorders>
              <w:top w:val="single" w:sz="4" w:space="0" w:color="auto"/>
              <w:bottom w:val="nil"/>
              <w:right w:val="nil"/>
            </w:tcBorders>
          </w:tcPr>
          <w:p w14:paraId="33C9DD18" w14:textId="77777777" w:rsidR="00D416C9" w:rsidRDefault="00D416C9" w:rsidP="003534B0">
            <w:pPr>
              <w:rPr>
                <w:iCs/>
                <w:sz w:val="24"/>
                <w:szCs w:val="24"/>
              </w:rPr>
            </w:pPr>
            <w:r>
              <w:rPr>
                <w:iCs/>
                <w:sz w:val="24"/>
                <w:szCs w:val="24"/>
              </w:rPr>
              <w:t>Control</w:t>
            </w:r>
          </w:p>
        </w:tc>
        <w:tc>
          <w:tcPr>
            <w:tcW w:w="926" w:type="dxa"/>
            <w:tcBorders>
              <w:top w:val="single" w:sz="4" w:space="0" w:color="auto"/>
              <w:left w:val="nil"/>
              <w:bottom w:val="nil"/>
              <w:right w:val="nil"/>
            </w:tcBorders>
            <w:vAlign w:val="center"/>
          </w:tcPr>
          <w:p w14:paraId="6233ABE5" w14:textId="77777777" w:rsidR="00D416C9" w:rsidRDefault="00D416C9" w:rsidP="003534B0">
            <w:pPr>
              <w:jc w:val="center"/>
              <w:rPr>
                <w:iCs/>
                <w:sz w:val="24"/>
                <w:szCs w:val="24"/>
              </w:rPr>
            </w:pPr>
            <w:r>
              <w:rPr>
                <w:rFonts w:ascii="Arial" w:hAnsi="Arial" w:cs="Arial"/>
              </w:rPr>
              <w:t>16</w:t>
            </w:r>
          </w:p>
        </w:tc>
        <w:tc>
          <w:tcPr>
            <w:tcW w:w="1255" w:type="dxa"/>
            <w:tcBorders>
              <w:top w:val="single" w:sz="4" w:space="0" w:color="auto"/>
              <w:left w:val="nil"/>
              <w:bottom w:val="nil"/>
              <w:right w:val="nil"/>
            </w:tcBorders>
            <w:vAlign w:val="center"/>
          </w:tcPr>
          <w:p w14:paraId="735669A6" w14:textId="77777777" w:rsidR="00D416C9" w:rsidRDefault="00D416C9" w:rsidP="003534B0">
            <w:pPr>
              <w:jc w:val="center"/>
              <w:rPr>
                <w:iCs/>
                <w:sz w:val="24"/>
                <w:szCs w:val="24"/>
              </w:rPr>
            </w:pPr>
            <w:r>
              <w:rPr>
                <w:rFonts w:ascii="Arial" w:hAnsi="Arial" w:cs="Arial"/>
              </w:rPr>
              <w:t>1.38</w:t>
            </w:r>
          </w:p>
        </w:tc>
        <w:tc>
          <w:tcPr>
            <w:tcW w:w="864" w:type="dxa"/>
            <w:tcBorders>
              <w:top w:val="single" w:sz="4" w:space="0" w:color="auto"/>
              <w:left w:val="nil"/>
              <w:bottom w:val="nil"/>
              <w:right w:val="nil"/>
            </w:tcBorders>
            <w:vAlign w:val="center"/>
          </w:tcPr>
          <w:p w14:paraId="551FF000" w14:textId="77777777" w:rsidR="00D416C9" w:rsidRDefault="00D416C9" w:rsidP="003534B0">
            <w:pPr>
              <w:jc w:val="center"/>
              <w:rPr>
                <w:iCs/>
                <w:sz w:val="24"/>
                <w:szCs w:val="24"/>
              </w:rPr>
            </w:pPr>
            <w:r>
              <w:rPr>
                <w:rFonts w:ascii="Arial" w:hAnsi="Arial" w:cs="Arial"/>
              </w:rPr>
              <w:t>6.57</w:t>
            </w:r>
          </w:p>
        </w:tc>
        <w:tc>
          <w:tcPr>
            <w:tcW w:w="1631" w:type="dxa"/>
            <w:tcBorders>
              <w:top w:val="single" w:sz="4" w:space="0" w:color="auto"/>
              <w:left w:val="nil"/>
              <w:bottom w:val="nil"/>
              <w:right w:val="nil"/>
            </w:tcBorders>
            <w:vAlign w:val="center"/>
          </w:tcPr>
          <w:p w14:paraId="45472304" w14:textId="77777777" w:rsidR="00D416C9" w:rsidRDefault="00D416C9" w:rsidP="003534B0">
            <w:pPr>
              <w:jc w:val="center"/>
              <w:rPr>
                <w:iCs/>
                <w:sz w:val="24"/>
                <w:szCs w:val="24"/>
              </w:rPr>
            </w:pPr>
            <w:r>
              <w:rPr>
                <w:rFonts w:ascii="Arial" w:hAnsi="Arial" w:cs="Arial"/>
              </w:rPr>
              <w:t>70</w:t>
            </w:r>
          </w:p>
        </w:tc>
        <w:tc>
          <w:tcPr>
            <w:tcW w:w="1933" w:type="dxa"/>
            <w:tcBorders>
              <w:top w:val="single" w:sz="4" w:space="0" w:color="auto"/>
              <w:left w:val="nil"/>
              <w:bottom w:val="nil"/>
            </w:tcBorders>
          </w:tcPr>
          <w:p w14:paraId="55172353" w14:textId="77777777" w:rsidR="00D416C9" w:rsidRDefault="00D416C9" w:rsidP="003534B0">
            <w:pPr>
              <w:jc w:val="center"/>
              <w:rPr>
                <w:iCs/>
                <w:sz w:val="24"/>
                <w:szCs w:val="24"/>
              </w:rPr>
            </w:pPr>
            <w:r>
              <w:rPr>
                <w:iCs/>
                <w:sz w:val="24"/>
                <w:szCs w:val="24"/>
              </w:rPr>
              <w:t>Did Not Meet Expectation</w:t>
            </w:r>
          </w:p>
        </w:tc>
      </w:tr>
      <w:tr w:rsidR="00D416C9" w14:paraId="5AE59449" w14:textId="77777777" w:rsidTr="003534B0">
        <w:tc>
          <w:tcPr>
            <w:tcW w:w="1653" w:type="dxa"/>
            <w:tcBorders>
              <w:top w:val="nil"/>
              <w:bottom w:val="single" w:sz="4" w:space="0" w:color="auto"/>
              <w:right w:val="nil"/>
            </w:tcBorders>
          </w:tcPr>
          <w:p w14:paraId="349EA8EE" w14:textId="77777777" w:rsidR="00D416C9" w:rsidRDefault="00D416C9" w:rsidP="003534B0">
            <w:pPr>
              <w:rPr>
                <w:iCs/>
                <w:sz w:val="24"/>
                <w:szCs w:val="24"/>
              </w:rPr>
            </w:pPr>
            <w:r>
              <w:rPr>
                <w:iCs/>
                <w:sz w:val="24"/>
                <w:szCs w:val="24"/>
              </w:rPr>
              <w:t>Experimental</w:t>
            </w:r>
          </w:p>
        </w:tc>
        <w:tc>
          <w:tcPr>
            <w:tcW w:w="926" w:type="dxa"/>
            <w:tcBorders>
              <w:top w:val="nil"/>
              <w:left w:val="nil"/>
              <w:bottom w:val="single" w:sz="4" w:space="0" w:color="auto"/>
              <w:right w:val="nil"/>
            </w:tcBorders>
            <w:vAlign w:val="center"/>
          </w:tcPr>
          <w:p w14:paraId="45C38435" w14:textId="77777777" w:rsidR="00D416C9" w:rsidRDefault="00D416C9" w:rsidP="003534B0">
            <w:pPr>
              <w:jc w:val="center"/>
              <w:rPr>
                <w:iCs/>
                <w:sz w:val="24"/>
                <w:szCs w:val="24"/>
              </w:rPr>
            </w:pPr>
            <w:r>
              <w:rPr>
                <w:rFonts w:ascii="Arial" w:hAnsi="Arial" w:cs="Arial"/>
              </w:rPr>
              <w:t>16</w:t>
            </w:r>
          </w:p>
        </w:tc>
        <w:tc>
          <w:tcPr>
            <w:tcW w:w="1255" w:type="dxa"/>
            <w:tcBorders>
              <w:top w:val="nil"/>
              <w:left w:val="nil"/>
              <w:bottom w:val="single" w:sz="4" w:space="0" w:color="auto"/>
              <w:right w:val="nil"/>
            </w:tcBorders>
            <w:vAlign w:val="center"/>
          </w:tcPr>
          <w:p w14:paraId="78B3C59C" w14:textId="77777777" w:rsidR="00D416C9" w:rsidRDefault="00D416C9" w:rsidP="003534B0">
            <w:pPr>
              <w:jc w:val="center"/>
              <w:rPr>
                <w:iCs/>
                <w:sz w:val="24"/>
                <w:szCs w:val="24"/>
              </w:rPr>
            </w:pPr>
            <w:r>
              <w:rPr>
                <w:rFonts w:ascii="Arial" w:hAnsi="Arial" w:cs="Arial"/>
              </w:rPr>
              <w:t>2.23</w:t>
            </w:r>
          </w:p>
        </w:tc>
        <w:tc>
          <w:tcPr>
            <w:tcW w:w="864" w:type="dxa"/>
            <w:tcBorders>
              <w:top w:val="nil"/>
              <w:left w:val="nil"/>
              <w:bottom w:val="single" w:sz="4" w:space="0" w:color="auto"/>
              <w:right w:val="nil"/>
            </w:tcBorders>
            <w:vAlign w:val="center"/>
          </w:tcPr>
          <w:p w14:paraId="23B0E224" w14:textId="77777777" w:rsidR="00D416C9" w:rsidRDefault="00D416C9" w:rsidP="003534B0">
            <w:pPr>
              <w:jc w:val="center"/>
              <w:rPr>
                <w:iCs/>
                <w:sz w:val="24"/>
                <w:szCs w:val="24"/>
              </w:rPr>
            </w:pPr>
            <w:r>
              <w:rPr>
                <w:rFonts w:ascii="Arial" w:hAnsi="Arial" w:cs="Arial"/>
              </w:rPr>
              <w:t>7.15</w:t>
            </w:r>
          </w:p>
        </w:tc>
        <w:tc>
          <w:tcPr>
            <w:tcW w:w="1631" w:type="dxa"/>
            <w:tcBorders>
              <w:top w:val="nil"/>
              <w:left w:val="nil"/>
              <w:bottom w:val="single" w:sz="4" w:space="0" w:color="auto"/>
              <w:right w:val="nil"/>
            </w:tcBorders>
            <w:vAlign w:val="center"/>
          </w:tcPr>
          <w:p w14:paraId="53E04B48" w14:textId="77777777" w:rsidR="00D416C9" w:rsidRDefault="00D416C9" w:rsidP="003534B0">
            <w:pPr>
              <w:jc w:val="center"/>
              <w:rPr>
                <w:iCs/>
                <w:sz w:val="24"/>
                <w:szCs w:val="24"/>
              </w:rPr>
            </w:pPr>
            <w:r>
              <w:rPr>
                <w:rFonts w:ascii="Arial" w:hAnsi="Arial" w:cs="Arial"/>
              </w:rPr>
              <w:t>71</w:t>
            </w:r>
          </w:p>
        </w:tc>
        <w:tc>
          <w:tcPr>
            <w:tcW w:w="1933" w:type="dxa"/>
            <w:tcBorders>
              <w:top w:val="nil"/>
              <w:left w:val="nil"/>
              <w:bottom w:val="single" w:sz="4" w:space="0" w:color="auto"/>
            </w:tcBorders>
          </w:tcPr>
          <w:p w14:paraId="5EB4D894" w14:textId="77777777" w:rsidR="00D416C9" w:rsidRDefault="00D416C9" w:rsidP="003534B0">
            <w:pPr>
              <w:jc w:val="center"/>
              <w:rPr>
                <w:iCs/>
                <w:sz w:val="24"/>
                <w:szCs w:val="24"/>
              </w:rPr>
            </w:pPr>
            <w:r>
              <w:rPr>
                <w:iCs/>
                <w:sz w:val="24"/>
                <w:szCs w:val="24"/>
              </w:rPr>
              <w:t>Did Not Meet Expectation</w:t>
            </w:r>
          </w:p>
        </w:tc>
      </w:tr>
    </w:tbl>
    <w:p w14:paraId="67826BB4" w14:textId="28759416" w:rsidR="00D416C9" w:rsidRPr="00A87017" w:rsidRDefault="0013566C" w:rsidP="00D416C9">
      <w:pPr>
        <w:pStyle w:val="Body"/>
        <w:rPr>
          <w:rFonts w:ascii="Arial" w:hAnsi="Arial" w:cs="Arial"/>
          <w:sz w:val="22"/>
          <w:szCs w:val="22"/>
        </w:rPr>
      </w:pPr>
      <w:r>
        <w:rPr>
          <w:rFonts w:ascii="Arial" w:hAnsi="Arial" w:cs="Arial"/>
          <w:sz w:val="22"/>
          <w:szCs w:val="22"/>
        </w:rPr>
        <w:t>Table 4-</w:t>
      </w:r>
      <w:r w:rsidR="00036335">
        <w:rPr>
          <w:rFonts w:ascii="Arial" w:hAnsi="Arial" w:cs="Arial"/>
          <w:sz w:val="22"/>
          <w:szCs w:val="22"/>
        </w:rPr>
        <w:t xml:space="preserve"> </w:t>
      </w:r>
      <w:r w:rsidR="00036335" w:rsidRPr="00A87017">
        <w:rPr>
          <w:rFonts w:ascii="Arial" w:hAnsi="Arial" w:cs="Arial"/>
          <w:sz w:val="22"/>
          <w:szCs w:val="22"/>
        </w:rPr>
        <w:t>The table shows the level of pre-test scores of the control and experimental groups</w:t>
      </w:r>
    </w:p>
    <w:p w14:paraId="75B14F09" w14:textId="5262F4F8" w:rsidR="00D416C9" w:rsidRDefault="00D416C9" w:rsidP="00D416C9">
      <w:pPr>
        <w:pStyle w:val="Body"/>
        <w:rPr>
          <w:rFonts w:ascii="Arial" w:hAnsi="Arial" w:cs="Arial"/>
          <w:sz w:val="22"/>
          <w:szCs w:val="22"/>
        </w:rPr>
      </w:pPr>
      <w:r w:rsidRPr="00D416C9">
        <w:rPr>
          <w:rFonts w:ascii="Arial" w:hAnsi="Arial" w:cs="Arial"/>
          <w:sz w:val="22"/>
          <w:szCs w:val="22"/>
        </w:rPr>
        <w:t xml:space="preserve">The pre-test scores of the participants in the control group averaged 6.57, while the experimental group scored slightly higher at 7.15; both correspond to transmuted grades of 70 and 71, respectively, interpreted as "Did Not Meet Expectations.". This outcome reflects a common challenge in early literacy instruction, where explicit training in phonological awareness is often lacking, especially in under-resourced educational settings (DepEd, 2022). Similarly, De Witt and Lessing (2017) noted </w:t>
      </w:r>
      <w:r w:rsidRPr="00D416C9">
        <w:rPr>
          <w:rFonts w:ascii="Arial" w:hAnsi="Arial" w:cs="Arial"/>
          <w:sz w:val="22"/>
          <w:szCs w:val="22"/>
        </w:rPr>
        <w:lastRenderedPageBreak/>
        <w:t>that students in underserved areas face greater hurdles due to limited instructional resources and insufficient teacher training. In the Philippine context, Bowers (2021) and Silva-Laya et al. (2019) highlighted the scarcity of phonics-focused instruction and the shortage of trained educators, particularly in rural schools.</w:t>
      </w:r>
    </w:p>
    <w:p w14:paraId="606F8FDA" w14:textId="77777777" w:rsidR="00D416C9" w:rsidRPr="00D416C9" w:rsidRDefault="00D416C9" w:rsidP="00D416C9">
      <w:pPr>
        <w:pStyle w:val="NormalWeb"/>
        <w:jc w:val="both"/>
        <w:rPr>
          <w:rStyle w:val="Strong"/>
          <w:rFonts w:ascii="Arial" w:hAnsi="Arial" w:cs="Arial"/>
          <w:sz w:val="22"/>
          <w:szCs w:val="22"/>
        </w:rPr>
      </w:pPr>
      <w:r w:rsidRPr="00D416C9">
        <w:rPr>
          <w:rStyle w:val="Strong"/>
          <w:rFonts w:ascii="Arial" w:hAnsi="Arial" w:cs="Arial"/>
          <w:sz w:val="22"/>
          <w:szCs w:val="22"/>
        </w:rPr>
        <w:t>Difference in Pre-test Scores in Control and Experimental Group</w:t>
      </w:r>
    </w:p>
    <w:p w14:paraId="32EE95C8" w14:textId="77777777" w:rsidR="00D416C9" w:rsidRDefault="00D416C9" w:rsidP="00D416C9">
      <w:pPr>
        <w:pStyle w:val="NormalWeb"/>
        <w:ind w:firstLine="720"/>
        <w:jc w:val="both"/>
        <w:rPr>
          <w:rFonts w:ascii="Arial" w:eastAsia="SimSun" w:hAnsi="Arial" w:cs="Arial"/>
          <w:color w:val="FF0000"/>
          <w:sz w:val="22"/>
          <w:szCs w:val="22"/>
        </w:rPr>
      </w:pPr>
      <w:r w:rsidRPr="00D416C9">
        <w:rPr>
          <w:rFonts w:ascii="Arial" w:hAnsi="Arial" w:cs="Arial"/>
          <w:color w:val="000000" w:themeColor="text1"/>
          <w:sz w:val="22"/>
          <w:szCs w:val="22"/>
        </w:rPr>
        <w:t>Table 5 presents the results of the t-test comparing the pre-test scores of the control and experimental groups. The experimental group recorded a mean score of 7.15 with a standard deviation of 2.23, while the control group had a slightly lower mean score of 6.57 and a standard deviation of 1.38. The computed t-value of -1.156 and p-value of 0.254 indicate that there is no statistically significant difference between the pre-test scores of the two groups. This suggests that both groups demonstrated a comparable level of foundational literacy skills prior to the intervention, establishing an equivalent baseline in phonological awareness</w:t>
      </w:r>
      <w:r w:rsidRPr="00D416C9">
        <w:rPr>
          <w:rFonts w:ascii="Arial" w:eastAsia="SimSun" w:hAnsi="Arial" w:cs="Arial"/>
          <w:color w:val="FF0000"/>
          <w:sz w:val="22"/>
          <w:szCs w:val="22"/>
        </w:rPr>
        <w:t>.</w:t>
      </w:r>
    </w:p>
    <w:p w14:paraId="62F77DE3" w14:textId="4CDC69BC" w:rsidR="00D416C9" w:rsidRPr="00D416C9" w:rsidRDefault="00D416C9" w:rsidP="00D416C9">
      <w:pPr>
        <w:pStyle w:val="NormalWeb"/>
        <w:jc w:val="both"/>
        <w:rPr>
          <w:rFonts w:ascii="Arial" w:eastAsia="SimSun" w:hAnsi="Arial" w:cs="Arial"/>
          <w:color w:val="FF0000"/>
          <w:sz w:val="20"/>
          <w:szCs w:val="20"/>
        </w:rPr>
      </w:pPr>
      <w:r w:rsidRPr="00D416C9">
        <w:rPr>
          <w:rFonts w:ascii="Arial" w:hAnsi="Arial" w:cs="Arial"/>
          <w:iCs/>
          <w:sz w:val="22"/>
          <w:szCs w:val="22"/>
        </w:rPr>
        <w:t>Table 5. Mean comparison between pre-test scores of control and experimental group.</w:t>
      </w:r>
    </w:p>
    <w:tbl>
      <w:tblPr>
        <w:tblStyle w:val="TableGrid"/>
        <w:tblW w:w="8299" w:type="dxa"/>
        <w:tblInd w:w="1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95"/>
        <w:gridCol w:w="834"/>
        <w:gridCol w:w="1339"/>
        <w:gridCol w:w="1097"/>
        <w:gridCol w:w="840"/>
        <w:gridCol w:w="2494"/>
      </w:tblGrid>
      <w:tr w:rsidR="00D416C9" w14:paraId="0094F51E" w14:textId="77777777" w:rsidTr="003534B0">
        <w:trPr>
          <w:trHeight w:val="90"/>
        </w:trPr>
        <w:tc>
          <w:tcPr>
            <w:tcW w:w="1695" w:type="dxa"/>
            <w:tcBorders>
              <w:bottom w:val="single" w:sz="4" w:space="0" w:color="auto"/>
            </w:tcBorders>
          </w:tcPr>
          <w:p w14:paraId="52B06F0B" w14:textId="77777777" w:rsidR="00D416C9" w:rsidRDefault="00D416C9" w:rsidP="003534B0">
            <w:pPr>
              <w:jc w:val="center"/>
              <w:rPr>
                <w:iCs/>
                <w:sz w:val="24"/>
                <w:szCs w:val="24"/>
              </w:rPr>
            </w:pPr>
            <w:r>
              <w:rPr>
                <w:iCs/>
                <w:sz w:val="24"/>
                <w:szCs w:val="24"/>
              </w:rPr>
              <w:t>Group</w:t>
            </w:r>
          </w:p>
        </w:tc>
        <w:tc>
          <w:tcPr>
            <w:tcW w:w="834" w:type="dxa"/>
            <w:tcBorders>
              <w:bottom w:val="single" w:sz="4" w:space="0" w:color="auto"/>
            </w:tcBorders>
          </w:tcPr>
          <w:p w14:paraId="55A0E7AA" w14:textId="77777777" w:rsidR="00D416C9" w:rsidRDefault="00D416C9" w:rsidP="003534B0">
            <w:pPr>
              <w:jc w:val="center"/>
              <w:rPr>
                <w:iCs/>
                <w:sz w:val="24"/>
                <w:szCs w:val="24"/>
              </w:rPr>
            </w:pPr>
            <w:r>
              <w:rPr>
                <w:iCs/>
                <w:sz w:val="24"/>
                <w:szCs w:val="24"/>
              </w:rPr>
              <w:t>Mean</w:t>
            </w:r>
          </w:p>
        </w:tc>
        <w:tc>
          <w:tcPr>
            <w:tcW w:w="1339" w:type="dxa"/>
            <w:tcBorders>
              <w:bottom w:val="single" w:sz="4" w:space="0" w:color="auto"/>
            </w:tcBorders>
          </w:tcPr>
          <w:p w14:paraId="18E44977" w14:textId="77777777" w:rsidR="00D416C9" w:rsidRDefault="00D416C9" w:rsidP="003534B0">
            <w:pPr>
              <w:jc w:val="center"/>
              <w:rPr>
                <w:iCs/>
                <w:sz w:val="24"/>
                <w:szCs w:val="24"/>
              </w:rPr>
            </w:pPr>
            <w:r>
              <w:rPr>
                <w:iCs/>
                <w:sz w:val="24"/>
                <w:szCs w:val="24"/>
              </w:rPr>
              <w:t>Standard Deviation</w:t>
            </w:r>
          </w:p>
        </w:tc>
        <w:tc>
          <w:tcPr>
            <w:tcW w:w="1097" w:type="dxa"/>
            <w:tcBorders>
              <w:bottom w:val="single" w:sz="4" w:space="0" w:color="auto"/>
            </w:tcBorders>
          </w:tcPr>
          <w:p w14:paraId="08E31281" w14:textId="77777777" w:rsidR="00D416C9" w:rsidRDefault="00D416C9" w:rsidP="003534B0">
            <w:pPr>
              <w:jc w:val="center"/>
              <w:rPr>
                <w:iCs/>
                <w:sz w:val="24"/>
                <w:szCs w:val="24"/>
              </w:rPr>
            </w:pPr>
            <w:r>
              <w:rPr>
                <w:iCs/>
                <w:sz w:val="24"/>
                <w:szCs w:val="24"/>
              </w:rPr>
              <w:t>t-value</w:t>
            </w:r>
          </w:p>
        </w:tc>
        <w:tc>
          <w:tcPr>
            <w:tcW w:w="840" w:type="dxa"/>
          </w:tcPr>
          <w:p w14:paraId="0A49A227" w14:textId="77777777" w:rsidR="00D416C9" w:rsidRDefault="00D416C9" w:rsidP="003534B0">
            <w:pPr>
              <w:jc w:val="center"/>
              <w:rPr>
                <w:iCs/>
                <w:sz w:val="24"/>
                <w:szCs w:val="24"/>
              </w:rPr>
            </w:pPr>
            <w:r>
              <w:rPr>
                <w:iCs/>
                <w:sz w:val="24"/>
                <w:szCs w:val="24"/>
              </w:rPr>
              <w:t>p-value</w:t>
            </w:r>
          </w:p>
        </w:tc>
        <w:tc>
          <w:tcPr>
            <w:tcW w:w="2494" w:type="dxa"/>
          </w:tcPr>
          <w:p w14:paraId="45DE69FD" w14:textId="77777777" w:rsidR="00D416C9" w:rsidRDefault="00D416C9" w:rsidP="003534B0">
            <w:pPr>
              <w:jc w:val="center"/>
              <w:rPr>
                <w:iCs/>
                <w:sz w:val="24"/>
                <w:szCs w:val="24"/>
              </w:rPr>
            </w:pPr>
            <w:r>
              <w:rPr>
                <w:iCs/>
                <w:sz w:val="24"/>
                <w:szCs w:val="24"/>
              </w:rPr>
              <w:t>Interpretation</w:t>
            </w:r>
          </w:p>
        </w:tc>
      </w:tr>
      <w:tr w:rsidR="00D416C9" w14:paraId="57D6884B" w14:textId="77777777" w:rsidTr="003534B0">
        <w:trPr>
          <w:trHeight w:val="737"/>
        </w:trPr>
        <w:tc>
          <w:tcPr>
            <w:tcW w:w="1695" w:type="dxa"/>
            <w:tcBorders>
              <w:top w:val="single" w:sz="4" w:space="0" w:color="auto"/>
              <w:bottom w:val="nil"/>
            </w:tcBorders>
            <w:vAlign w:val="center"/>
          </w:tcPr>
          <w:p w14:paraId="6D8C2A15" w14:textId="77777777" w:rsidR="00D416C9" w:rsidRDefault="00D416C9" w:rsidP="003534B0">
            <w:pPr>
              <w:jc w:val="center"/>
              <w:rPr>
                <w:iCs/>
                <w:sz w:val="24"/>
                <w:szCs w:val="24"/>
              </w:rPr>
            </w:pPr>
            <w:r>
              <w:rPr>
                <w:iCs/>
                <w:sz w:val="24"/>
                <w:szCs w:val="24"/>
              </w:rPr>
              <w:t>Control</w:t>
            </w:r>
          </w:p>
        </w:tc>
        <w:tc>
          <w:tcPr>
            <w:tcW w:w="834" w:type="dxa"/>
            <w:tcBorders>
              <w:top w:val="single" w:sz="4" w:space="0" w:color="auto"/>
              <w:bottom w:val="nil"/>
            </w:tcBorders>
            <w:vAlign w:val="center"/>
          </w:tcPr>
          <w:p w14:paraId="35374B96" w14:textId="77777777" w:rsidR="00D416C9" w:rsidRPr="005701CB" w:rsidRDefault="00D416C9" w:rsidP="003534B0">
            <w:pPr>
              <w:jc w:val="center"/>
              <w:rPr>
                <w:iCs/>
                <w:sz w:val="24"/>
                <w:szCs w:val="24"/>
              </w:rPr>
            </w:pPr>
            <w:r w:rsidRPr="005701CB">
              <w:rPr>
                <w:sz w:val="24"/>
                <w:szCs w:val="24"/>
              </w:rPr>
              <w:t>6.57</w:t>
            </w:r>
          </w:p>
        </w:tc>
        <w:tc>
          <w:tcPr>
            <w:tcW w:w="1339" w:type="dxa"/>
            <w:tcBorders>
              <w:top w:val="single" w:sz="4" w:space="0" w:color="auto"/>
              <w:bottom w:val="nil"/>
            </w:tcBorders>
            <w:vAlign w:val="center"/>
          </w:tcPr>
          <w:p w14:paraId="255B8459" w14:textId="77777777" w:rsidR="00D416C9" w:rsidRPr="005701CB" w:rsidRDefault="00D416C9" w:rsidP="003534B0">
            <w:pPr>
              <w:jc w:val="center"/>
              <w:rPr>
                <w:iCs/>
                <w:sz w:val="24"/>
                <w:szCs w:val="24"/>
              </w:rPr>
            </w:pPr>
            <w:r w:rsidRPr="005701CB">
              <w:rPr>
                <w:sz w:val="24"/>
                <w:szCs w:val="24"/>
              </w:rPr>
              <w:t>1.38</w:t>
            </w:r>
          </w:p>
        </w:tc>
        <w:tc>
          <w:tcPr>
            <w:tcW w:w="1097" w:type="dxa"/>
            <w:vMerge w:val="restart"/>
            <w:tcBorders>
              <w:top w:val="single" w:sz="4" w:space="0" w:color="auto"/>
              <w:bottom w:val="nil"/>
            </w:tcBorders>
            <w:vAlign w:val="center"/>
          </w:tcPr>
          <w:p w14:paraId="42F10F6B" w14:textId="77777777" w:rsidR="00D416C9" w:rsidRPr="005701CB" w:rsidRDefault="00D416C9" w:rsidP="003534B0">
            <w:pPr>
              <w:jc w:val="center"/>
              <w:rPr>
                <w:iCs/>
                <w:sz w:val="24"/>
                <w:szCs w:val="24"/>
              </w:rPr>
            </w:pPr>
            <w:r w:rsidRPr="005701CB">
              <w:rPr>
                <w:sz w:val="24"/>
                <w:szCs w:val="24"/>
              </w:rPr>
              <w:t>-1.156</w:t>
            </w:r>
          </w:p>
        </w:tc>
        <w:tc>
          <w:tcPr>
            <w:tcW w:w="840" w:type="dxa"/>
            <w:vMerge w:val="restart"/>
            <w:vAlign w:val="center"/>
          </w:tcPr>
          <w:p w14:paraId="34E9417B" w14:textId="77777777" w:rsidR="00D416C9" w:rsidRPr="005701CB" w:rsidRDefault="00D416C9" w:rsidP="003534B0">
            <w:pPr>
              <w:jc w:val="center"/>
              <w:rPr>
                <w:iCs/>
                <w:sz w:val="24"/>
                <w:szCs w:val="24"/>
              </w:rPr>
            </w:pPr>
            <w:r w:rsidRPr="005701CB">
              <w:rPr>
                <w:sz w:val="24"/>
                <w:szCs w:val="24"/>
              </w:rPr>
              <w:t>0.254</w:t>
            </w:r>
          </w:p>
        </w:tc>
        <w:tc>
          <w:tcPr>
            <w:tcW w:w="2494" w:type="dxa"/>
            <w:vMerge w:val="restart"/>
            <w:vAlign w:val="center"/>
          </w:tcPr>
          <w:p w14:paraId="7381DBB4" w14:textId="77777777" w:rsidR="00D416C9" w:rsidRPr="005701CB" w:rsidRDefault="00D416C9" w:rsidP="003534B0">
            <w:pPr>
              <w:jc w:val="center"/>
              <w:rPr>
                <w:iCs/>
                <w:sz w:val="24"/>
                <w:szCs w:val="24"/>
              </w:rPr>
            </w:pPr>
            <w:r w:rsidRPr="005701CB">
              <w:rPr>
                <w:sz w:val="24"/>
                <w:szCs w:val="24"/>
              </w:rPr>
              <w:t>There is no significant difference in the average pre-test score between the experimental and control groups.</w:t>
            </w:r>
          </w:p>
        </w:tc>
      </w:tr>
      <w:tr w:rsidR="00D416C9" w14:paraId="35865656" w14:textId="77777777" w:rsidTr="003534B0">
        <w:trPr>
          <w:trHeight w:val="298"/>
        </w:trPr>
        <w:tc>
          <w:tcPr>
            <w:tcW w:w="1695" w:type="dxa"/>
            <w:tcBorders>
              <w:top w:val="nil"/>
              <w:bottom w:val="single" w:sz="4" w:space="0" w:color="auto"/>
            </w:tcBorders>
            <w:vAlign w:val="center"/>
          </w:tcPr>
          <w:p w14:paraId="5C37817B" w14:textId="77777777" w:rsidR="00D416C9" w:rsidRDefault="00D416C9" w:rsidP="003534B0">
            <w:pPr>
              <w:jc w:val="center"/>
              <w:rPr>
                <w:iCs/>
                <w:sz w:val="24"/>
                <w:szCs w:val="24"/>
              </w:rPr>
            </w:pPr>
            <w:r>
              <w:rPr>
                <w:iCs/>
                <w:sz w:val="24"/>
                <w:szCs w:val="24"/>
              </w:rPr>
              <w:t>Experimental</w:t>
            </w:r>
          </w:p>
        </w:tc>
        <w:tc>
          <w:tcPr>
            <w:tcW w:w="834" w:type="dxa"/>
            <w:tcBorders>
              <w:top w:val="nil"/>
              <w:bottom w:val="single" w:sz="4" w:space="0" w:color="auto"/>
            </w:tcBorders>
            <w:vAlign w:val="center"/>
          </w:tcPr>
          <w:p w14:paraId="586F3C86" w14:textId="77777777" w:rsidR="00D416C9" w:rsidRPr="005701CB" w:rsidRDefault="00D416C9" w:rsidP="003534B0">
            <w:pPr>
              <w:jc w:val="center"/>
              <w:rPr>
                <w:iCs/>
                <w:sz w:val="24"/>
                <w:szCs w:val="24"/>
              </w:rPr>
            </w:pPr>
            <w:r w:rsidRPr="005701CB">
              <w:rPr>
                <w:sz w:val="24"/>
                <w:szCs w:val="24"/>
              </w:rPr>
              <w:t>7.15</w:t>
            </w:r>
          </w:p>
        </w:tc>
        <w:tc>
          <w:tcPr>
            <w:tcW w:w="1339" w:type="dxa"/>
            <w:tcBorders>
              <w:top w:val="nil"/>
              <w:bottom w:val="single" w:sz="4" w:space="0" w:color="auto"/>
            </w:tcBorders>
            <w:vAlign w:val="center"/>
          </w:tcPr>
          <w:p w14:paraId="3E71CFA6" w14:textId="77777777" w:rsidR="00D416C9" w:rsidRPr="005701CB" w:rsidRDefault="00D416C9" w:rsidP="003534B0">
            <w:pPr>
              <w:jc w:val="center"/>
              <w:rPr>
                <w:iCs/>
                <w:sz w:val="24"/>
                <w:szCs w:val="24"/>
              </w:rPr>
            </w:pPr>
            <w:r w:rsidRPr="005701CB">
              <w:rPr>
                <w:sz w:val="24"/>
                <w:szCs w:val="24"/>
              </w:rPr>
              <w:t>2.23</w:t>
            </w:r>
          </w:p>
        </w:tc>
        <w:tc>
          <w:tcPr>
            <w:tcW w:w="1097" w:type="dxa"/>
            <w:vMerge/>
            <w:tcBorders>
              <w:top w:val="nil"/>
              <w:bottom w:val="single" w:sz="4" w:space="0" w:color="auto"/>
            </w:tcBorders>
          </w:tcPr>
          <w:p w14:paraId="2F37ED85" w14:textId="77777777" w:rsidR="00D416C9" w:rsidRDefault="00D416C9" w:rsidP="003534B0">
            <w:pPr>
              <w:jc w:val="center"/>
              <w:rPr>
                <w:iCs/>
                <w:sz w:val="24"/>
                <w:szCs w:val="24"/>
              </w:rPr>
            </w:pPr>
          </w:p>
        </w:tc>
        <w:tc>
          <w:tcPr>
            <w:tcW w:w="840" w:type="dxa"/>
            <w:vMerge/>
          </w:tcPr>
          <w:p w14:paraId="0F9FD578" w14:textId="77777777" w:rsidR="00D416C9" w:rsidRDefault="00D416C9" w:rsidP="003534B0">
            <w:pPr>
              <w:jc w:val="center"/>
              <w:rPr>
                <w:iCs/>
                <w:sz w:val="24"/>
                <w:szCs w:val="24"/>
              </w:rPr>
            </w:pPr>
          </w:p>
        </w:tc>
        <w:tc>
          <w:tcPr>
            <w:tcW w:w="2494" w:type="dxa"/>
            <w:vMerge/>
          </w:tcPr>
          <w:p w14:paraId="01CD2162" w14:textId="77777777" w:rsidR="00D416C9" w:rsidRDefault="00D416C9" w:rsidP="003534B0">
            <w:pPr>
              <w:jc w:val="center"/>
              <w:rPr>
                <w:iCs/>
                <w:sz w:val="24"/>
                <w:szCs w:val="24"/>
              </w:rPr>
            </w:pPr>
          </w:p>
        </w:tc>
      </w:tr>
    </w:tbl>
    <w:p w14:paraId="33261BFC" w14:textId="77777777" w:rsidR="00D416C9" w:rsidRPr="00695CC0" w:rsidRDefault="00D416C9" w:rsidP="00695CC0">
      <w:pPr>
        <w:pStyle w:val="Body"/>
        <w:rPr>
          <w:rFonts w:ascii="Arial" w:hAnsi="Arial" w:cs="Arial"/>
        </w:rPr>
      </w:pPr>
    </w:p>
    <w:p w14:paraId="5D4EBB9C" w14:textId="32404A17" w:rsidR="00D416C9" w:rsidRPr="00695CC0" w:rsidRDefault="00695CC0" w:rsidP="00695CC0">
      <w:pPr>
        <w:spacing w:before="240" w:after="240"/>
        <w:ind w:firstLine="720"/>
        <w:jc w:val="both"/>
        <w:rPr>
          <w:rFonts w:ascii="Arial" w:hAnsi="Arial" w:cs="Arial"/>
          <w:sz w:val="22"/>
          <w:szCs w:val="22"/>
        </w:rPr>
      </w:pPr>
      <w:r w:rsidRPr="00695CC0">
        <w:rPr>
          <w:rFonts w:ascii="Arial" w:hAnsi="Arial" w:cs="Arial"/>
          <w:sz w:val="22"/>
          <w:szCs w:val="22"/>
        </w:rPr>
        <w:t>The pre-test scores between the control and experimental groups show no significant difference, as indicated by the t-value of -1.156 and a p-value of 0.254. The absence of a significant difference in pre-test scores can be attributed to the similar learning environments experienced by both the control and experimental groups. Both groups likely received conventional instruction that did not explicitly focus on phonological awareness, resulting in comparable performance levels prior to the intervention. This is supported by Tomas et al. (2021), who emphasized the importance of establishing an equal starting point when evaluating literacy programs, as it allows the instructional method to be the primary variable influencing change. As reported by DepEd Misamis Oriental (2022), many rural schools continue to struggle with limited access to appropriate reading materials and phonological training resources. This aligns with the observations of Leano et al. (2019), who found that resource limitations hinder effective instruction in foundational literacy skills.</w:t>
      </w:r>
    </w:p>
    <w:p w14:paraId="578EE53E" w14:textId="77777777" w:rsidR="00695CC0" w:rsidRPr="00695CC0" w:rsidRDefault="00695CC0" w:rsidP="00695CC0">
      <w:pPr>
        <w:pStyle w:val="NormalWeb"/>
        <w:jc w:val="both"/>
        <w:rPr>
          <w:rStyle w:val="Strong"/>
          <w:rFonts w:ascii="Arial" w:hAnsi="Arial" w:cs="Arial"/>
          <w:sz w:val="22"/>
          <w:szCs w:val="22"/>
        </w:rPr>
      </w:pPr>
      <w:r w:rsidRPr="00695CC0">
        <w:rPr>
          <w:rStyle w:val="Strong"/>
          <w:rFonts w:ascii="Arial" w:hAnsi="Arial" w:cs="Arial"/>
          <w:sz w:val="22"/>
          <w:szCs w:val="22"/>
        </w:rPr>
        <w:t>Post-test Scores of the Control and Experimental Group</w:t>
      </w:r>
    </w:p>
    <w:p w14:paraId="1FFD67A6" w14:textId="77777777" w:rsidR="00695CC0" w:rsidRPr="00695CC0" w:rsidRDefault="00695CC0" w:rsidP="00695CC0">
      <w:pPr>
        <w:pStyle w:val="NormalWeb"/>
        <w:ind w:firstLine="720"/>
        <w:jc w:val="both"/>
        <w:rPr>
          <w:rFonts w:ascii="Arial" w:hAnsi="Arial" w:cs="Arial"/>
        </w:rPr>
      </w:pPr>
      <w:r w:rsidRPr="00695CC0">
        <w:rPr>
          <w:rFonts w:ascii="Arial" w:hAnsi="Arial" w:cs="Arial"/>
          <w:sz w:val="22"/>
          <w:szCs w:val="22"/>
        </w:rPr>
        <w:lastRenderedPageBreak/>
        <w:t>Table 6 presents the level of post-test scores of the control and experimental groups following the implementation of the digital learning intervention. The control group obtained a mean score of 11.22, corresponding to a transmuted grade of 81, classified as “Satisfactory” under the Department of Education's grading scale. In contrast, the experimental group achieved a higher mean score of 12.25 with a transmuted grade of 85, rated as “Very Satisfactory</w:t>
      </w:r>
      <w:r w:rsidRPr="00695CC0">
        <w:rPr>
          <w:rFonts w:ascii="Arial" w:hAnsi="Arial" w:cs="Arial"/>
        </w:rPr>
        <w:t>.”</w:t>
      </w:r>
    </w:p>
    <w:p w14:paraId="577E02E6" w14:textId="77777777" w:rsidR="00695CC0" w:rsidRPr="00695CC0" w:rsidRDefault="00695CC0" w:rsidP="00695CC0">
      <w:pPr>
        <w:jc w:val="both"/>
        <w:rPr>
          <w:rFonts w:ascii="Arial" w:hAnsi="Arial" w:cs="Arial"/>
          <w:iCs/>
          <w:sz w:val="24"/>
          <w:szCs w:val="24"/>
        </w:rPr>
      </w:pPr>
      <w:r w:rsidRPr="00695CC0">
        <w:rPr>
          <w:rFonts w:ascii="Arial" w:hAnsi="Arial" w:cs="Arial"/>
          <w:iCs/>
          <w:sz w:val="24"/>
          <w:szCs w:val="24"/>
        </w:rPr>
        <w:t>Table 6. Level of post-test scores between the control and experimental groups.</w:t>
      </w:r>
    </w:p>
    <w:tbl>
      <w:tblPr>
        <w:tblStyle w:val="TableGrid"/>
        <w:tblW w:w="8658" w:type="dxa"/>
        <w:tblInd w:w="10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4"/>
        <w:gridCol w:w="996"/>
        <w:gridCol w:w="1288"/>
        <w:gridCol w:w="1080"/>
        <w:gridCol w:w="1476"/>
        <w:gridCol w:w="2114"/>
      </w:tblGrid>
      <w:tr w:rsidR="00695CC0" w14:paraId="7543F294" w14:textId="77777777" w:rsidTr="003534B0">
        <w:trPr>
          <w:trHeight w:val="90"/>
        </w:trPr>
        <w:tc>
          <w:tcPr>
            <w:tcW w:w="1704" w:type="dxa"/>
          </w:tcPr>
          <w:p w14:paraId="18422938" w14:textId="77777777" w:rsidR="00695CC0" w:rsidRDefault="00695CC0" w:rsidP="003534B0">
            <w:pPr>
              <w:jc w:val="center"/>
              <w:rPr>
                <w:iCs/>
                <w:sz w:val="24"/>
                <w:szCs w:val="24"/>
              </w:rPr>
            </w:pPr>
            <w:r>
              <w:rPr>
                <w:iCs/>
                <w:sz w:val="24"/>
                <w:szCs w:val="24"/>
              </w:rPr>
              <w:t>Group</w:t>
            </w:r>
          </w:p>
        </w:tc>
        <w:tc>
          <w:tcPr>
            <w:tcW w:w="996" w:type="dxa"/>
          </w:tcPr>
          <w:p w14:paraId="3D33FFE4" w14:textId="77777777" w:rsidR="00695CC0" w:rsidRDefault="00695CC0" w:rsidP="003534B0">
            <w:pPr>
              <w:jc w:val="center"/>
              <w:rPr>
                <w:iCs/>
                <w:sz w:val="24"/>
                <w:szCs w:val="24"/>
              </w:rPr>
            </w:pPr>
            <w:r>
              <w:rPr>
                <w:iCs/>
                <w:sz w:val="24"/>
                <w:szCs w:val="24"/>
              </w:rPr>
              <w:t>Total Score</w:t>
            </w:r>
          </w:p>
        </w:tc>
        <w:tc>
          <w:tcPr>
            <w:tcW w:w="1288" w:type="dxa"/>
          </w:tcPr>
          <w:p w14:paraId="0EECB0A9" w14:textId="77777777" w:rsidR="00695CC0" w:rsidRDefault="00695CC0" w:rsidP="003534B0">
            <w:pPr>
              <w:jc w:val="center"/>
              <w:rPr>
                <w:iCs/>
                <w:sz w:val="24"/>
                <w:szCs w:val="24"/>
              </w:rPr>
            </w:pPr>
            <w:r>
              <w:rPr>
                <w:iCs/>
                <w:sz w:val="24"/>
                <w:szCs w:val="24"/>
              </w:rPr>
              <w:t>Standard Deviation</w:t>
            </w:r>
          </w:p>
        </w:tc>
        <w:tc>
          <w:tcPr>
            <w:tcW w:w="1080" w:type="dxa"/>
          </w:tcPr>
          <w:p w14:paraId="29420D47" w14:textId="77777777" w:rsidR="00695CC0" w:rsidRDefault="00695CC0" w:rsidP="003534B0">
            <w:pPr>
              <w:jc w:val="center"/>
              <w:rPr>
                <w:iCs/>
                <w:sz w:val="24"/>
                <w:szCs w:val="24"/>
              </w:rPr>
            </w:pPr>
            <w:r>
              <w:rPr>
                <w:iCs/>
                <w:sz w:val="24"/>
                <w:szCs w:val="24"/>
              </w:rPr>
              <w:t>Mean</w:t>
            </w:r>
          </w:p>
        </w:tc>
        <w:tc>
          <w:tcPr>
            <w:tcW w:w="1476" w:type="dxa"/>
          </w:tcPr>
          <w:p w14:paraId="66041403" w14:textId="77777777" w:rsidR="00695CC0" w:rsidRDefault="00695CC0" w:rsidP="003534B0">
            <w:pPr>
              <w:jc w:val="center"/>
              <w:rPr>
                <w:iCs/>
                <w:sz w:val="24"/>
                <w:szCs w:val="24"/>
              </w:rPr>
            </w:pPr>
            <w:r>
              <w:rPr>
                <w:iCs/>
                <w:sz w:val="24"/>
                <w:szCs w:val="24"/>
              </w:rPr>
              <w:t>Grade Percentage</w:t>
            </w:r>
          </w:p>
        </w:tc>
        <w:tc>
          <w:tcPr>
            <w:tcW w:w="2114" w:type="dxa"/>
          </w:tcPr>
          <w:p w14:paraId="4580B246" w14:textId="77777777" w:rsidR="00695CC0" w:rsidRDefault="00695CC0" w:rsidP="003534B0">
            <w:pPr>
              <w:jc w:val="center"/>
              <w:rPr>
                <w:iCs/>
                <w:sz w:val="24"/>
                <w:szCs w:val="24"/>
              </w:rPr>
            </w:pPr>
            <w:r>
              <w:rPr>
                <w:iCs/>
                <w:sz w:val="24"/>
                <w:szCs w:val="24"/>
              </w:rPr>
              <w:t>Remarks</w:t>
            </w:r>
          </w:p>
        </w:tc>
      </w:tr>
      <w:tr w:rsidR="00695CC0" w14:paraId="473FCCA7" w14:textId="77777777" w:rsidTr="003534B0">
        <w:trPr>
          <w:trHeight w:val="90"/>
        </w:trPr>
        <w:tc>
          <w:tcPr>
            <w:tcW w:w="1704" w:type="dxa"/>
            <w:tcBorders>
              <w:bottom w:val="nil"/>
              <w:right w:val="nil"/>
            </w:tcBorders>
          </w:tcPr>
          <w:p w14:paraId="4ABE1F16" w14:textId="77777777" w:rsidR="00695CC0" w:rsidRDefault="00695CC0" w:rsidP="003534B0">
            <w:pPr>
              <w:rPr>
                <w:iCs/>
                <w:sz w:val="24"/>
                <w:szCs w:val="24"/>
              </w:rPr>
            </w:pPr>
            <w:r>
              <w:rPr>
                <w:iCs/>
                <w:sz w:val="24"/>
                <w:szCs w:val="24"/>
              </w:rPr>
              <w:t>Control</w:t>
            </w:r>
          </w:p>
        </w:tc>
        <w:tc>
          <w:tcPr>
            <w:tcW w:w="996" w:type="dxa"/>
            <w:tcBorders>
              <w:left w:val="nil"/>
              <w:bottom w:val="nil"/>
              <w:right w:val="nil"/>
            </w:tcBorders>
          </w:tcPr>
          <w:p w14:paraId="7ABB6AA0" w14:textId="77777777" w:rsidR="00695CC0" w:rsidRPr="005701CB" w:rsidRDefault="00695CC0" w:rsidP="003534B0">
            <w:pPr>
              <w:jc w:val="center"/>
              <w:rPr>
                <w:iCs/>
                <w:sz w:val="24"/>
                <w:szCs w:val="24"/>
              </w:rPr>
            </w:pPr>
            <w:r w:rsidRPr="005701CB">
              <w:rPr>
                <w:sz w:val="24"/>
                <w:szCs w:val="24"/>
              </w:rPr>
              <w:t>16</w:t>
            </w:r>
          </w:p>
        </w:tc>
        <w:tc>
          <w:tcPr>
            <w:tcW w:w="1288" w:type="dxa"/>
            <w:tcBorders>
              <w:left w:val="nil"/>
              <w:bottom w:val="nil"/>
              <w:right w:val="nil"/>
            </w:tcBorders>
          </w:tcPr>
          <w:p w14:paraId="02F681F3" w14:textId="77777777" w:rsidR="00695CC0" w:rsidRPr="005701CB" w:rsidRDefault="00695CC0" w:rsidP="003534B0">
            <w:pPr>
              <w:jc w:val="center"/>
              <w:rPr>
                <w:iCs/>
                <w:sz w:val="24"/>
                <w:szCs w:val="24"/>
              </w:rPr>
            </w:pPr>
            <w:r w:rsidRPr="005701CB">
              <w:rPr>
                <w:sz w:val="24"/>
                <w:szCs w:val="24"/>
              </w:rPr>
              <w:t>1.28</w:t>
            </w:r>
          </w:p>
        </w:tc>
        <w:tc>
          <w:tcPr>
            <w:tcW w:w="1080" w:type="dxa"/>
            <w:tcBorders>
              <w:left w:val="nil"/>
              <w:bottom w:val="nil"/>
              <w:right w:val="nil"/>
            </w:tcBorders>
          </w:tcPr>
          <w:p w14:paraId="45E40AA3" w14:textId="77777777" w:rsidR="00695CC0" w:rsidRPr="005701CB" w:rsidRDefault="00695CC0" w:rsidP="003534B0">
            <w:pPr>
              <w:jc w:val="center"/>
              <w:rPr>
                <w:iCs/>
                <w:sz w:val="24"/>
                <w:szCs w:val="24"/>
              </w:rPr>
            </w:pPr>
            <w:r w:rsidRPr="005701CB">
              <w:rPr>
                <w:sz w:val="24"/>
                <w:szCs w:val="24"/>
              </w:rPr>
              <w:t>11.22</w:t>
            </w:r>
          </w:p>
        </w:tc>
        <w:tc>
          <w:tcPr>
            <w:tcW w:w="1476" w:type="dxa"/>
            <w:tcBorders>
              <w:left w:val="nil"/>
              <w:bottom w:val="nil"/>
              <w:right w:val="nil"/>
            </w:tcBorders>
          </w:tcPr>
          <w:p w14:paraId="5878F45F" w14:textId="77777777" w:rsidR="00695CC0" w:rsidRPr="005701CB" w:rsidRDefault="00695CC0" w:rsidP="003534B0">
            <w:pPr>
              <w:jc w:val="center"/>
              <w:rPr>
                <w:iCs/>
                <w:sz w:val="24"/>
                <w:szCs w:val="24"/>
              </w:rPr>
            </w:pPr>
            <w:r w:rsidRPr="005701CB">
              <w:rPr>
                <w:sz w:val="24"/>
                <w:szCs w:val="24"/>
              </w:rPr>
              <w:t>81</w:t>
            </w:r>
          </w:p>
        </w:tc>
        <w:tc>
          <w:tcPr>
            <w:tcW w:w="2114" w:type="dxa"/>
            <w:tcBorders>
              <w:left w:val="nil"/>
              <w:bottom w:val="nil"/>
            </w:tcBorders>
          </w:tcPr>
          <w:p w14:paraId="3343B33C" w14:textId="77777777" w:rsidR="00695CC0" w:rsidRPr="005701CB" w:rsidRDefault="00695CC0" w:rsidP="003534B0">
            <w:pPr>
              <w:jc w:val="center"/>
              <w:rPr>
                <w:iCs/>
                <w:sz w:val="24"/>
                <w:szCs w:val="24"/>
              </w:rPr>
            </w:pPr>
            <w:r w:rsidRPr="005701CB">
              <w:rPr>
                <w:sz w:val="24"/>
                <w:szCs w:val="24"/>
              </w:rPr>
              <w:t>Satisfactory</w:t>
            </w:r>
          </w:p>
        </w:tc>
      </w:tr>
      <w:tr w:rsidR="00695CC0" w14:paraId="7C5077BF" w14:textId="77777777" w:rsidTr="003534B0">
        <w:tc>
          <w:tcPr>
            <w:tcW w:w="1704" w:type="dxa"/>
            <w:tcBorders>
              <w:top w:val="nil"/>
              <w:right w:val="nil"/>
            </w:tcBorders>
          </w:tcPr>
          <w:p w14:paraId="759B03EC" w14:textId="77777777" w:rsidR="00695CC0" w:rsidRDefault="00695CC0" w:rsidP="003534B0">
            <w:pPr>
              <w:rPr>
                <w:iCs/>
                <w:sz w:val="24"/>
                <w:szCs w:val="24"/>
              </w:rPr>
            </w:pPr>
            <w:r>
              <w:rPr>
                <w:iCs/>
                <w:sz w:val="24"/>
                <w:szCs w:val="24"/>
              </w:rPr>
              <w:t>Experimental</w:t>
            </w:r>
          </w:p>
        </w:tc>
        <w:tc>
          <w:tcPr>
            <w:tcW w:w="996" w:type="dxa"/>
            <w:tcBorders>
              <w:top w:val="nil"/>
              <w:left w:val="nil"/>
              <w:right w:val="nil"/>
            </w:tcBorders>
          </w:tcPr>
          <w:p w14:paraId="56F26C18" w14:textId="77777777" w:rsidR="00695CC0" w:rsidRPr="005701CB" w:rsidRDefault="00695CC0" w:rsidP="003534B0">
            <w:pPr>
              <w:jc w:val="center"/>
              <w:rPr>
                <w:iCs/>
                <w:sz w:val="24"/>
                <w:szCs w:val="24"/>
              </w:rPr>
            </w:pPr>
            <w:r w:rsidRPr="005701CB">
              <w:rPr>
                <w:sz w:val="24"/>
                <w:szCs w:val="24"/>
              </w:rPr>
              <w:t>16</w:t>
            </w:r>
          </w:p>
        </w:tc>
        <w:tc>
          <w:tcPr>
            <w:tcW w:w="1288" w:type="dxa"/>
            <w:tcBorders>
              <w:top w:val="nil"/>
              <w:left w:val="nil"/>
              <w:right w:val="nil"/>
            </w:tcBorders>
          </w:tcPr>
          <w:p w14:paraId="2D29BC32" w14:textId="77777777" w:rsidR="00695CC0" w:rsidRPr="005701CB" w:rsidRDefault="00695CC0" w:rsidP="003534B0">
            <w:pPr>
              <w:jc w:val="center"/>
              <w:rPr>
                <w:iCs/>
                <w:sz w:val="24"/>
                <w:szCs w:val="24"/>
              </w:rPr>
            </w:pPr>
            <w:r w:rsidRPr="005701CB">
              <w:rPr>
                <w:sz w:val="24"/>
                <w:szCs w:val="24"/>
              </w:rPr>
              <w:t>1.82</w:t>
            </w:r>
          </w:p>
        </w:tc>
        <w:tc>
          <w:tcPr>
            <w:tcW w:w="1080" w:type="dxa"/>
            <w:tcBorders>
              <w:top w:val="nil"/>
              <w:left w:val="nil"/>
              <w:right w:val="nil"/>
            </w:tcBorders>
          </w:tcPr>
          <w:p w14:paraId="35259E16" w14:textId="77777777" w:rsidR="00695CC0" w:rsidRPr="005701CB" w:rsidRDefault="00695CC0" w:rsidP="003534B0">
            <w:pPr>
              <w:jc w:val="center"/>
              <w:rPr>
                <w:iCs/>
                <w:sz w:val="24"/>
                <w:szCs w:val="24"/>
              </w:rPr>
            </w:pPr>
            <w:r w:rsidRPr="005701CB">
              <w:rPr>
                <w:sz w:val="24"/>
                <w:szCs w:val="24"/>
              </w:rPr>
              <w:t>12.25</w:t>
            </w:r>
          </w:p>
        </w:tc>
        <w:tc>
          <w:tcPr>
            <w:tcW w:w="1476" w:type="dxa"/>
            <w:tcBorders>
              <w:top w:val="nil"/>
              <w:left w:val="nil"/>
              <w:right w:val="nil"/>
            </w:tcBorders>
          </w:tcPr>
          <w:p w14:paraId="7F2E7640" w14:textId="77777777" w:rsidR="00695CC0" w:rsidRPr="005701CB" w:rsidRDefault="00695CC0" w:rsidP="003534B0">
            <w:pPr>
              <w:jc w:val="center"/>
              <w:rPr>
                <w:iCs/>
                <w:sz w:val="24"/>
                <w:szCs w:val="24"/>
              </w:rPr>
            </w:pPr>
            <w:r w:rsidRPr="005701CB">
              <w:rPr>
                <w:sz w:val="24"/>
                <w:szCs w:val="24"/>
              </w:rPr>
              <w:t>85</w:t>
            </w:r>
          </w:p>
        </w:tc>
        <w:tc>
          <w:tcPr>
            <w:tcW w:w="2114" w:type="dxa"/>
            <w:tcBorders>
              <w:top w:val="nil"/>
              <w:left w:val="nil"/>
            </w:tcBorders>
          </w:tcPr>
          <w:p w14:paraId="347B614C" w14:textId="77777777" w:rsidR="00695CC0" w:rsidRPr="005701CB" w:rsidRDefault="00695CC0" w:rsidP="003534B0">
            <w:pPr>
              <w:jc w:val="center"/>
              <w:rPr>
                <w:iCs/>
                <w:sz w:val="24"/>
                <w:szCs w:val="24"/>
              </w:rPr>
            </w:pPr>
            <w:r w:rsidRPr="005701CB">
              <w:rPr>
                <w:sz w:val="24"/>
                <w:szCs w:val="24"/>
              </w:rPr>
              <w:t>Very Satisfactory</w:t>
            </w:r>
          </w:p>
        </w:tc>
      </w:tr>
    </w:tbl>
    <w:p w14:paraId="652A915C" w14:textId="77777777" w:rsidR="00695CC0" w:rsidRPr="00695CC0" w:rsidRDefault="00695CC0" w:rsidP="00695CC0">
      <w:pPr>
        <w:spacing w:before="240" w:after="240"/>
        <w:ind w:firstLine="720"/>
        <w:jc w:val="both"/>
        <w:rPr>
          <w:rFonts w:ascii="Arial" w:hAnsi="Arial" w:cs="Arial"/>
          <w:sz w:val="22"/>
          <w:szCs w:val="22"/>
        </w:rPr>
      </w:pPr>
      <w:r w:rsidRPr="00695CC0">
        <w:rPr>
          <w:rFonts w:ascii="Arial" w:hAnsi="Arial" w:cs="Arial"/>
          <w:sz w:val="22"/>
          <w:szCs w:val="22"/>
        </w:rPr>
        <w:t>Table 6 presents the level of post-test scores of the control and experimental groups following the implementation of the digital learning intervention. The control group which utilized traditional phonological teaching obtained a mean score of 11.22, corresponding to a transmuted grade of 81, classified as “Satisfactory”. In contrast, the experimental group instructed using digital learning application achieved a higher mean score of 12.25 with a transmuted grade of 85, rated as “Very Satisfactory.” While both groups showed improvement from their pre-test scores, the learning gains were more pronounced in the experimental group, suggesting that the use of digital learning applications effectively enhanced students' phonological awareness. Further, the improvement was notably greater in the experimental group. While the control group’s post-test scores reflected limited progress, the experimental group advanced to a higher achievement level, corresponding to the 85–89% range.</w:t>
      </w:r>
    </w:p>
    <w:p w14:paraId="2D176DC9" w14:textId="77777777" w:rsidR="00695CC0" w:rsidRPr="00695CC0" w:rsidRDefault="00695CC0" w:rsidP="00695CC0">
      <w:pPr>
        <w:spacing w:before="240" w:after="240"/>
        <w:ind w:firstLine="720"/>
        <w:jc w:val="both"/>
        <w:rPr>
          <w:rFonts w:ascii="Arial" w:hAnsi="Arial" w:cs="Arial"/>
          <w:sz w:val="22"/>
          <w:szCs w:val="22"/>
        </w:rPr>
      </w:pPr>
      <w:r w:rsidRPr="00695CC0">
        <w:rPr>
          <w:rFonts w:ascii="Arial" w:hAnsi="Arial" w:cs="Arial"/>
          <w:sz w:val="22"/>
          <w:szCs w:val="22"/>
        </w:rPr>
        <w:t>This finding is supported by the study of Rodríguez-Abitia et al. (2020), who noted that digital tools enhance literacy by offering interactive and innovative learning environments that address traditional limitations in classroom instruction. In line with this, Abdel Meguid and Collins (2017) emphasized that digital platforms enhance engagement and motivation, which are crucial for reinforcing phonological skills. Aligned with the study by Llorens-Largo et al. (2016), gamified features such as sound-matching and phoneme puzzles were found to enhance student participation and strengthen phonological processing. Similarly, Innayah's (2018) findings revealed that multimedia tools, such as ABCMouse, effectively supported phoneme recognition and early reading skills among young learners.</w:t>
      </w:r>
    </w:p>
    <w:p w14:paraId="23BD9A2A" w14:textId="77777777" w:rsidR="00695CC0" w:rsidRPr="00695CC0" w:rsidRDefault="00695CC0" w:rsidP="00695CC0">
      <w:pPr>
        <w:pStyle w:val="NormalWeb"/>
        <w:jc w:val="both"/>
        <w:rPr>
          <w:rStyle w:val="Strong"/>
          <w:rFonts w:ascii="Arial" w:hAnsi="Arial" w:cs="Arial"/>
          <w:sz w:val="22"/>
          <w:szCs w:val="22"/>
        </w:rPr>
      </w:pPr>
      <w:r w:rsidRPr="00695CC0">
        <w:rPr>
          <w:rStyle w:val="Strong"/>
          <w:rFonts w:ascii="Arial" w:hAnsi="Arial" w:cs="Arial"/>
          <w:sz w:val="22"/>
          <w:szCs w:val="22"/>
        </w:rPr>
        <w:t>Difference in Post-test Scores in the Control and Experimental Group</w:t>
      </w:r>
    </w:p>
    <w:p w14:paraId="3BD0129A" w14:textId="77777777" w:rsidR="00695CC0" w:rsidRPr="00695CC0" w:rsidRDefault="00695CC0" w:rsidP="00695CC0">
      <w:pPr>
        <w:pStyle w:val="NormalWeb"/>
        <w:ind w:firstLine="720"/>
        <w:jc w:val="both"/>
        <w:rPr>
          <w:rFonts w:ascii="Arial" w:hAnsi="Arial" w:cs="Arial"/>
          <w:sz w:val="22"/>
          <w:szCs w:val="22"/>
        </w:rPr>
      </w:pPr>
      <w:r w:rsidRPr="00695CC0">
        <w:rPr>
          <w:rFonts w:ascii="Arial" w:hAnsi="Arial" w:cs="Arial"/>
          <w:sz w:val="22"/>
          <w:szCs w:val="22"/>
        </w:rPr>
        <w:t xml:space="preserve">Table 7 presents the results comparing the mean post-test scores of the control and experimental groups. The experimental group obtained a mean score of 12.25 with a standard deviation of 1.82, while the control group achieved a lower mean score of 11.22 with a standard deviation of 1.28. The computed t-value of 2.481 and a p-value of 0.019 indicate a statistically significant difference in the post-test scores between the two groups. This suggests that the intervention applied to </w:t>
      </w:r>
      <w:r w:rsidRPr="00695CC0">
        <w:rPr>
          <w:rFonts w:ascii="Arial" w:hAnsi="Arial" w:cs="Arial"/>
          <w:sz w:val="22"/>
          <w:szCs w:val="22"/>
        </w:rPr>
        <w:lastRenderedPageBreak/>
        <w:t>the experimental group, a digital learning application designed to support phonological awareness, had a meaningful effect on improving students' foundational literacy skills.</w:t>
      </w:r>
    </w:p>
    <w:p w14:paraId="38667384" w14:textId="77777777" w:rsidR="00695CC0" w:rsidRPr="00695CC0" w:rsidRDefault="00695CC0" w:rsidP="00695CC0">
      <w:pPr>
        <w:jc w:val="both"/>
        <w:rPr>
          <w:rFonts w:ascii="Arial" w:hAnsi="Arial" w:cs="Arial"/>
          <w:iCs/>
          <w:sz w:val="22"/>
          <w:szCs w:val="22"/>
        </w:rPr>
      </w:pPr>
      <w:r w:rsidRPr="00695CC0">
        <w:rPr>
          <w:rFonts w:ascii="Arial" w:hAnsi="Arial" w:cs="Arial"/>
          <w:iCs/>
          <w:sz w:val="22"/>
          <w:szCs w:val="22"/>
        </w:rPr>
        <w:t>Table 7. Mean comparison between post-test scores of control and experimental group.</w:t>
      </w:r>
    </w:p>
    <w:tbl>
      <w:tblPr>
        <w:tblStyle w:val="TableGrid"/>
        <w:tblW w:w="8596" w:type="dxa"/>
        <w:tblInd w:w="14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63"/>
        <w:gridCol w:w="962"/>
        <w:gridCol w:w="1239"/>
        <w:gridCol w:w="1076"/>
        <w:gridCol w:w="1153"/>
        <w:gridCol w:w="2503"/>
      </w:tblGrid>
      <w:tr w:rsidR="00695CC0" w:rsidRPr="00695CC0" w14:paraId="36C283B6" w14:textId="77777777" w:rsidTr="003534B0">
        <w:trPr>
          <w:trHeight w:val="449"/>
        </w:trPr>
        <w:tc>
          <w:tcPr>
            <w:tcW w:w="1663" w:type="dxa"/>
          </w:tcPr>
          <w:p w14:paraId="4D6A5310" w14:textId="77777777" w:rsidR="00695CC0" w:rsidRPr="00695CC0" w:rsidRDefault="00695CC0" w:rsidP="00695CC0">
            <w:pPr>
              <w:jc w:val="center"/>
              <w:rPr>
                <w:rFonts w:ascii="Arial" w:hAnsi="Arial" w:cs="Arial"/>
                <w:iCs/>
              </w:rPr>
            </w:pPr>
            <w:r w:rsidRPr="00695CC0">
              <w:rPr>
                <w:rFonts w:ascii="Arial" w:hAnsi="Arial" w:cs="Arial"/>
                <w:iCs/>
              </w:rPr>
              <w:t>Group</w:t>
            </w:r>
          </w:p>
        </w:tc>
        <w:tc>
          <w:tcPr>
            <w:tcW w:w="962" w:type="dxa"/>
          </w:tcPr>
          <w:p w14:paraId="03016AED" w14:textId="77777777" w:rsidR="00695CC0" w:rsidRPr="00695CC0" w:rsidRDefault="00695CC0" w:rsidP="00695CC0">
            <w:pPr>
              <w:jc w:val="center"/>
              <w:rPr>
                <w:rFonts w:ascii="Arial" w:hAnsi="Arial" w:cs="Arial"/>
                <w:iCs/>
              </w:rPr>
            </w:pPr>
            <w:r w:rsidRPr="00695CC0">
              <w:rPr>
                <w:rFonts w:ascii="Arial" w:hAnsi="Arial" w:cs="Arial"/>
                <w:iCs/>
              </w:rPr>
              <w:t>Mean</w:t>
            </w:r>
          </w:p>
        </w:tc>
        <w:tc>
          <w:tcPr>
            <w:tcW w:w="1239" w:type="dxa"/>
          </w:tcPr>
          <w:p w14:paraId="686FBEF7" w14:textId="77777777" w:rsidR="00695CC0" w:rsidRPr="00695CC0" w:rsidRDefault="00695CC0" w:rsidP="00695CC0">
            <w:pPr>
              <w:jc w:val="center"/>
              <w:rPr>
                <w:rFonts w:ascii="Arial" w:hAnsi="Arial" w:cs="Arial"/>
                <w:iCs/>
              </w:rPr>
            </w:pPr>
            <w:r w:rsidRPr="00695CC0">
              <w:rPr>
                <w:rFonts w:ascii="Arial" w:hAnsi="Arial" w:cs="Arial"/>
                <w:iCs/>
              </w:rPr>
              <w:t>Standard Deviation</w:t>
            </w:r>
          </w:p>
        </w:tc>
        <w:tc>
          <w:tcPr>
            <w:tcW w:w="1076" w:type="dxa"/>
          </w:tcPr>
          <w:p w14:paraId="21FE04C4" w14:textId="77777777" w:rsidR="00695CC0" w:rsidRPr="00695CC0" w:rsidRDefault="00695CC0" w:rsidP="00695CC0">
            <w:pPr>
              <w:jc w:val="center"/>
              <w:rPr>
                <w:rFonts w:ascii="Arial" w:hAnsi="Arial" w:cs="Arial"/>
                <w:iCs/>
              </w:rPr>
            </w:pPr>
            <w:r w:rsidRPr="00695CC0">
              <w:rPr>
                <w:rFonts w:ascii="Arial" w:hAnsi="Arial" w:cs="Arial"/>
                <w:iCs/>
              </w:rPr>
              <w:t>t-value</w:t>
            </w:r>
          </w:p>
        </w:tc>
        <w:tc>
          <w:tcPr>
            <w:tcW w:w="1153" w:type="dxa"/>
          </w:tcPr>
          <w:p w14:paraId="2909A76D" w14:textId="77777777" w:rsidR="00695CC0" w:rsidRPr="00695CC0" w:rsidRDefault="00695CC0" w:rsidP="00695CC0">
            <w:pPr>
              <w:jc w:val="center"/>
              <w:rPr>
                <w:rFonts w:ascii="Arial" w:hAnsi="Arial" w:cs="Arial"/>
                <w:iCs/>
              </w:rPr>
            </w:pPr>
            <w:r w:rsidRPr="00695CC0">
              <w:rPr>
                <w:rFonts w:ascii="Arial" w:hAnsi="Arial" w:cs="Arial"/>
                <w:iCs/>
              </w:rPr>
              <w:t>p-value</w:t>
            </w:r>
          </w:p>
        </w:tc>
        <w:tc>
          <w:tcPr>
            <w:tcW w:w="2503" w:type="dxa"/>
          </w:tcPr>
          <w:p w14:paraId="7268BA5D" w14:textId="77777777" w:rsidR="00695CC0" w:rsidRPr="00695CC0" w:rsidRDefault="00695CC0" w:rsidP="00695CC0">
            <w:pPr>
              <w:jc w:val="center"/>
              <w:rPr>
                <w:rFonts w:ascii="Arial" w:hAnsi="Arial" w:cs="Arial"/>
                <w:iCs/>
              </w:rPr>
            </w:pPr>
            <w:r w:rsidRPr="00695CC0">
              <w:rPr>
                <w:rFonts w:ascii="Arial" w:hAnsi="Arial" w:cs="Arial"/>
                <w:iCs/>
              </w:rPr>
              <w:t>Interpretation</w:t>
            </w:r>
          </w:p>
        </w:tc>
      </w:tr>
      <w:tr w:rsidR="00695CC0" w:rsidRPr="00695CC0" w14:paraId="1613F3B4" w14:textId="77777777" w:rsidTr="003534B0">
        <w:trPr>
          <w:trHeight w:val="647"/>
        </w:trPr>
        <w:tc>
          <w:tcPr>
            <w:tcW w:w="1663" w:type="dxa"/>
            <w:tcBorders>
              <w:bottom w:val="nil"/>
              <w:right w:val="nil"/>
            </w:tcBorders>
            <w:vAlign w:val="center"/>
          </w:tcPr>
          <w:p w14:paraId="5F43B5C1" w14:textId="77777777" w:rsidR="00695CC0" w:rsidRPr="00695CC0" w:rsidRDefault="00695CC0" w:rsidP="00695CC0">
            <w:pPr>
              <w:jc w:val="center"/>
              <w:rPr>
                <w:rFonts w:ascii="Arial" w:hAnsi="Arial" w:cs="Arial"/>
                <w:iCs/>
              </w:rPr>
            </w:pPr>
            <w:r w:rsidRPr="00695CC0">
              <w:rPr>
                <w:rFonts w:ascii="Arial" w:hAnsi="Arial" w:cs="Arial"/>
                <w:iCs/>
              </w:rPr>
              <w:t>Control</w:t>
            </w:r>
          </w:p>
        </w:tc>
        <w:tc>
          <w:tcPr>
            <w:tcW w:w="962" w:type="dxa"/>
            <w:tcBorders>
              <w:left w:val="nil"/>
              <w:bottom w:val="nil"/>
              <w:right w:val="nil"/>
            </w:tcBorders>
            <w:vAlign w:val="center"/>
          </w:tcPr>
          <w:p w14:paraId="43A0A8BF" w14:textId="77777777" w:rsidR="00695CC0" w:rsidRPr="00695CC0" w:rsidRDefault="00695CC0" w:rsidP="00695CC0">
            <w:pPr>
              <w:jc w:val="center"/>
              <w:rPr>
                <w:rFonts w:ascii="Arial" w:hAnsi="Arial" w:cs="Arial"/>
                <w:iCs/>
              </w:rPr>
            </w:pPr>
            <w:r w:rsidRPr="00695CC0">
              <w:rPr>
                <w:rFonts w:ascii="Arial" w:hAnsi="Arial" w:cs="Arial"/>
              </w:rPr>
              <w:t>11.22</w:t>
            </w:r>
          </w:p>
        </w:tc>
        <w:tc>
          <w:tcPr>
            <w:tcW w:w="1239" w:type="dxa"/>
            <w:tcBorders>
              <w:left w:val="nil"/>
              <w:bottom w:val="nil"/>
              <w:right w:val="nil"/>
            </w:tcBorders>
            <w:vAlign w:val="center"/>
          </w:tcPr>
          <w:p w14:paraId="057675FE" w14:textId="77777777" w:rsidR="00695CC0" w:rsidRPr="00695CC0" w:rsidRDefault="00695CC0" w:rsidP="00695CC0">
            <w:pPr>
              <w:jc w:val="center"/>
              <w:rPr>
                <w:rFonts w:ascii="Arial" w:hAnsi="Arial" w:cs="Arial"/>
                <w:iCs/>
              </w:rPr>
            </w:pPr>
            <w:r w:rsidRPr="00695CC0">
              <w:rPr>
                <w:rFonts w:ascii="Arial" w:hAnsi="Arial" w:cs="Arial"/>
              </w:rPr>
              <w:t>1.28</w:t>
            </w:r>
          </w:p>
        </w:tc>
        <w:tc>
          <w:tcPr>
            <w:tcW w:w="1076" w:type="dxa"/>
            <w:vMerge w:val="restart"/>
            <w:tcBorders>
              <w:left w:val="nil"/>
              <w:bottom w:val="nil"/>
              <w:right w:val="nil"/>
            </w:tcBorders>
            <w:vAlign w:val="center"/>
          </w:tcPr>
          <w:p w14:paraId="2C993324" w14:textId="77777777" w:rsidR="00695CC0" w:rsidRPr="00695CC0" w:rsidRDefault="00695CC0" w:rsidP="00695CC0">
            <w:pPr>
              <w:jc w:val="center"/>
              <w:rPr>
                <w:rFonts w:ascii="Arial" w:hAnsi="Arial" w:cs="Arial"/>
                <w:iCs/>
              </w:rPr>
            </w:pPr>
            <w:r w:rsidRPr="00695CC0">
              <w:rPr>
                <w:rFonts w:ascii="Arial" w:hAnsi="Arial" w:cs="Arial"/>
              </w:rPr>
              <w:t>2.430</w:t>
            </w:r>
          </w:p>
        </w:tc>
        <w:tc>
          <w:tcPr>
            <w:tcW w:w="1153" w:type="dxa"/>
            <w:vMerge w:val="restart"/>
            <w:tcBorders>
              <w:left w:val="nil"/>
              <w:bottom w:val="nil"/>
            </w:tcBorders>
            <w:vAlign w:val="center"/>
          </w:tcPr>
          <w:p w14:paraId="0C4BC9D1" w14:textId="77777777" w:rsidR="00695CC0" w:rsidRPr="00695CC0" w:rsidRDefault="00695CC0" w:rsidP="00695CC0">
            <w:pPr>
              <w:jc w:val="center"/>
              <w:rPr>
                <w:rFonts w:ascii="Arial" w:hAnsi="Arial" w:cs="Arial"/>
                <w:iCs/>
              </w:rPr>
            </w:pPr>
            <w:r w:rsidRPr="00695CC0">
              <w:rPr>
                <w:rFonts w:ascii="Arial" w:hAnsi="Arial" w:cs="Arial"/>
              </w:rPr>
              <w:t>0.019</w:t>
            </w:r>
          </w:p>
        </w:tc>
        <w:tc>
          <w:tcPr>
            <w:tcW w:w="2503" w:type="dxa"/>
            <w:vMerge w:val="restart"/>
          </w:tcPr>
          <w:p w14:paraId="528A1351" w14:textId="77777777" w:rsidR="00695CC0" w:rsidRPr="00695CC0" w:rsidRDefault="00695CC0" w:rsidP="00695CC0">
            <w:pPr>
              <w:jc w:val="center"/>
              <w:rPr>
                <w:rFonts w:ascii="Arial" w:hAnsi="Arial" w:cs="Arial"/>
                <w:iCs/>
              </w:rPr>
            </w:pPr>
            <w:r w:rsidRPr="00695CC0">
              <w:rPr>
                <w:rFonts w:ascii="Arial" w:hAnsi="Arial" w:cs="Arial"/>
              </w:rPr>
              <w:t xml:space="preserve">There is a significant difference in the average pre-test score between the experimental and control groups. </w:t>
            </w:r>
          </w:p>
        </w:tc>
      </w:tr>
      <w:tr w:rsidR="00695CC0" w:rsidRPr="00695CC0" w14:paraId="39A00925" w14:textId="77777777" w:rsidTr="003534B0">
        <w:tc>
          <w:tcPr>
            <w:tcW w:w="1663" w:type="dxa"/>
            <w:tcBorders>
              <w:top w:val="nil"/>
              <w:right w:val="nil"/>
            </w:tcBorders>
            <w:vAlign w:val="center"/>
          </w:tcPr>
          <w:p w14:paraId="1678FBBD" w14:textId="77777777" w:rsidR="00695CC0" w:rsidRPr="00695CC0" w:rsidRDefault="00695CC0" w:rsidP="00695CC0">
            <w:pPr>
              <w:jc w:val="center"/>
              <w:rPr>
                <w:rFonts w:ascii="Arial" w:hAnsi="Arial" w:cs="Arial"/>
                <w:iCs/>
              </w:rPr>
            </w:pPr>
            <w:r w:rsidRPr="00695CC0">
              <w:rPr>
                <w:rFonts w:ascii="Arial" w:hAnsi="Arial" w:cs="Arial"/>
                <w:iCs/>
              </w:rPr>
              <w:t>Experimental</w:t>
            </w:r>
          </w:p>
        </w:tc>
        <w:tc>
          <w:tcPr>
            <w:tcW w:w="962" w:type="dxa"/>
            <w:tcBorders>
              <w:top w:val="nil"/>
              <w:left w:val="nil"/>
              <w:right w:val="nil"/>
            </w:tcBorders>
            <w:vAlign w:val="center"/>
          </w:tcPr>
          <w:p w14:paraId="3A5E2FBE" w14:textId="77777777" w:rsidR="00695CC0" w:rsidRPr="00695CC0" w:rsidRDefault="00695CC0" w:rsidP="00695CC0">
            <w:pPr>
              <w:jc w:val="center"/>
              <w:rPr>
                <w:rFonts w:ascii="Arial" w:hAnsi="Arial" w:cs="Arial"/>
                <w:iCs/>
              </w:rPr>
            </w:pPr>
            <w:r w:rsidRPr="00695CC0">
              <w:rPr>
                <w:rFonts w:ascii="Arial" w:hAnsi="Arial" w:cs="Arial"/>
              </w:rPr>
              <w:t>12.25</w:t>
            </w:r>
          </w:p>
        </w:tc>
        <w:tc>
          <w:tcPr>
            <w:tcW w:w="1239" w:type="dxa"/>
            <w:tcBorders>
              <w:top w:val="nil"/>
              <w:left w:val="nil"/>
              <w:right w:val="nil"/>
            </w:tcBorders>
            <w:vAlign w:val="center"/>
          </w:tcPr>
          <w:p w14:paraId="4A5A5AB3" w14:textId="77777777" w:rsidR="00695CC0" w:rsidRPr="00695CC0" w:rsidRDefault="00695CC0" w:rsidP="00695CC0">
            <w:pPr>
              <w:jc w:val="center"/>
              <w:rPr>
                <w:rFonts w:ascii="Arial" w:hAnsi="Arial" w:cs="Arial"/>
                <w:iCs/>
              </w:rPr>
            </w:pPr>
            <w:r w:rsidRPr="00695CC0">
              <w:rPr>
                <w:rFonts w:ascii="Arial" w:hAnsi="Arial" w:cs="Arial"/>
              </w:rPr>
              <w:t>1.82</w:t>
            </w:r>
          </w:p>
        </w:tc>
        <w:tc>
          <w:tcPr>
            <w:tcW w:w="1076" w:type="dxa"/>
            <w:vMerge/>
            <w:tcBorders>
              <w:top w:val="nil"/>
              <w:left w:val="nil"/>
              <w:right w:val="nil"/>
            </w:tcBorders>
            <w:vAlign w:val="center"/>
          </w:tcPr>
          <w:p w14:paraId="0756543B" w14:textId="77777777" w:rsidR="00695CC0" w:rsidRPr="00695CC0" w:rsidRDefault="00695CC0" w:rsidP="00695CC0">
            <w:pPr>
              <w:jc w:val="center"/>
              <w:rPr>
                <w:rFonts w:ascii="Arial" w:hAnsi="Arial" w:cs="Arial"/>
                <w:iCs/>
              </w:rPr>
            </w:pPr>
          </w:p>
        </w:tc>
        <w:tc>
          <w:tcPr>
            <w:tcW w:w="1153" w:type="dxa"/>
            <w:vMerge/>
            <w:tcBorders>
              <w:top w:val="nil"/>
              <w:left w:val="nil"/>
            </w:tcBorders>
            <w:vAlign w:val="center"/>
          </w:tcPr>
          <w:p w14:paraId="15EA0EB0" w14:textId="77777777" w:rsidR="00695CC0" w:rsidRPr="00695CC0" w:rsidRDefault="00695CC0" w:rsidP="00695CC0">
            <w:pPr>
              <w:jc w:val="center"/>
              <w:rPr>
                <w:rFonts w:ascii="Arial" w:hAnsi="Arial" w:cs="Arial"/>
                <w:iCs/>
              </w:rPr>
            </w:pPr>
          </w:p>
        </w:tc>
        <w:tc>
          <w:tcPr>
            <w:tcW w:w="2503" w:type="dxa"/>
            <w:vMerge/>
          </w:tcPr>
          <w:p w14:paraId="4F4232B4" w14:textId="77777777" w:rsidR="00695CC0" w:rsidRPr="00695CC0" w:rsidRDefault="00695CC0" w:rsidP="00695CC0">
            <w:pPr>
              <w:jc w:val="center"/>
              <w:rPr>
                <w:rFonts w:ascii="Arial" w:hAnsi="Arial" w:cs="Arial"/>
                <w:iCs/>
              </w:rPr>
            </w:pPr>
          </w:p>
        </w:tc>
      </w:tr>
    </w:tbl>
    <w:p w14:paraId="2F824CDD" w14:textId="1B507B20" w:rsidR="00695CC0" w:rsidRDefault="006A4EB6" w:rsidP="00695CC0">
      <w:pPr>
        <w:spacing w:before="240" w:after="240"/>
        <w:jc w:val="both"/>
        <w:rPr>
          <w:rFonts w:ascii="Arial" w:hAnsi="Arial" w:cs="Arial"/>
          <w:sz w:val="22"/>
          <w:szCs w:val="22"/>
        </w:rPr>
      </w:pPr>
      <w:r w:rsidRPr="006A4EB6">
        <w:rPr>
          <w:rFonts w:ascii="Arial" w:hAnsi="Arial" w:cs="Arial"/>
          <w:sz w:val="22"/>
          <w:szCs w:val="22"/>
        </w:rPr>
        <w:t xml:space="preserve">The findings in Table 7 reveal a significant difference in post-test scores between the control and experimental groups. The experimental group obtained a mean score of 12.25 with a standard deviation of 1.82, while the control group achieved a lower mean score of 11.22 with a standard deviation of 1.28. The computed t-value of 2.481 and a p-value of 0.019 indicate a statistically significant difference in the post-test scores between the two groups. This suggests that the intervention applied to the experimental group, a digital learning application designed to support phonological awareness, had a meaningful effect on improving students' foundational literacy skills. These findings are consistent with the study by </w:t>
      </w:r>
      <w:proofErr w:type="spellStart"/>
      <w:r w:rsidRPr="006A4EB6">
        <w:rPr>
          <w:rFonts w:ascii="Arial" w:hAnsi="Arial" w:cs="Arial"/>
          <w:sz w:val="22"/>
          <w:szCs w:val="22"/>
        </w:rPr>
        <w:t>Dumanig</w:t>
      </w:r>
      <w:proofErr w:type="spellEnd"/>
      <w:r w:rsidRPr="006A4EB6">
        <w:rPr>
          <w:rFonts w:ascii="Arial" w:hAnsi="Arial" w:cs="Arial"/>
          <w:sz w:val="22"/>
          <w:szCs w:val="22"/>
        </w:rPr>
        <w:t xml:space="preserve"> and </w:t>
      </w:r>
      <w:proofErr w:type="spellStart"/>
      <w:r w:rsidRPr="006A4EB6">
        <w:rPr>
          <w:rFonts w:ascii="Arial" w:hAnsi="Arial" w:cs="Arial"/>
          <w:sz w:val="22"/>
          <w:szCs w:val="22"/>
        </w:rPr>
        <w:t>Galado</w:t>
      </w:r>
      <w:proofErr w:type="spellEnd"/>
      <w:r w:rsidRPr="006A4EB6">
        <w:rPr>
          <w:rFonts w:ascii="Arial" w:hAnsi="Arial" w:cs="Arial"/>
          <w:sz w:val="22"/>
          <w:szCs w:val="22"/>
        </w:rPr>
        <w:t xml:space="preserve"> (2024), who highlighted that integrating digital phonological tools leads to significant improvements in early reading proficiency. The statistically significant post-test performance of the experimental group indicates that the digital learning application effectively enhanced students' phonological awareness. In line with this, Rwodzi and De Jager (2021) emphasized that interactive digital platforms promote deeper engagement and sustained attention—key factors in developing essential phonological skills such as blending, segmenting, and sound recognition. Similarly, Kilpatrick (2015) noted that consistent, structured training in phonological awareness—especially when delivered through digital tools—strengthens decoding skills and supports long-term reading development.</w:t>
      </w:r>
    </w:p>
    <w:p w14:paraId="05012AA8" w14:textId="77777777" w:rsidR="006A4EB6" w:rsidRPr="006A4EB6" w:rsidRDefault="006A4EB6" w:rsidP="006A4EB6">
      <w:pPr>
        <w:jc w:val="both"/>
        <w:rPr>
          <w:rFonts w:ascii="Arial" w:eastAsia="DengXian" w:hAnsi="Arial" w:cs="Arial"/>
          <w:b/>
          <w:bCs/>
          <w:sz w:val="22"/>
          <w:szCs w:val="22"/>
        </w:rPr>
      </w:pPr>
      <w:r w:rsidRPr="006A4EB6">
        <w:rPr>
          <w:rFonts w:ascii="Arial" w:eastAsia="DengXian" w:hAnsi="Arial" w:cs="Arial"/>
          <w:b/>
          <w:bCs/>
          <w:sz w:val="22"/>
          <w:szCs w:val="22"/>
        </w:rPr>
        <w:t>Effect size of Intervention on Experimental compared to Control Group</w:t>
      </w:r>
    </w:p>
    <w:p w14:paraId="18CE34DE" w14:textId="77777777" w:rsidR="006A4EB6" w:rsidRPr="006A4EB6" w:rsidRDefault="006A4EB6" w:rsidP="006A4EB6">
      <w:pPr>
        <w:ind w:firstLine="720"/>
        <w:jc w:val="both"/>
        <w:rPr>
          <w:rFonts w:ascii="Arial" w:hAnsi="Arial" w:cs="Arial"/>
          <w:sz w:val="22"/>
          <w:szCs w:val="22"/>
        </w:rPr>
      </w:pPr>
      <w:r w:rsidRPr="006A4EB6">
        <w:rPr>
          <w:rFonts w:ascii="Arial" w:hAnsi="Arial" w:cs="Arial"/>
          <w:sz w:val="22"/>
          <w:szCs w:val="22"/>
        </w:rPr>
        <w:t xml:space="preserve">Table 8 presents the positive effect sizes of the digital learning application on phonological skill performance among Grade 2 students. Based on the statistical comparison, the result indicates a medium effect size in the experimental group. </w:t>
      </w:r>
    </w:p>
    <w:tbl>
      <w:tblPr>
        <w:tblpPr w:leftFromText="180" w:rightFromText="180" w:vertAnchor="text" w:horzAnchor="margin" w:tblpX="175" w:tblpY="26"/>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382"/>
        <w:gridCol w:w="1445"/>
        <w:gridCol w:w="1476"/>
        <w:gridCol w:w="1168"/>
        <w:gridCol w:w="2084"/>
      </w:tblGrid>
      <w:tr w:rsidR="006A4EB6" w:rsidRPr="006A4EB6" w14:paraId="5188F628" w14:textId="77777777" w:rsidTr="003534B0">
        <w:trPr>
          <w:cantSplit/>
        </w:trPr>
        <w:tc>
          <w:tcPr>
            <w:tcW w:w="8275" w:type="dxa"/>
            <w:gridSpan w:val="6"/>
            <w:tcBorders>
              <w:top w:val="nil"/>
              <w:left w:val="nil"/>
              <w:bottom w:val="single" w:sz="4" w:space="0" w:color="auto"/>
              <w:right w:val="nil"/>
            </w:tcBorders>
            <w:shd w:val="clear" w:color="auto" w:fill="FFFFFF"/>
            <w:vAlign w:val="bottom"/>
          </w:tcPr>
          <w:p w14:paraId="39CEE737" w14:textId="77777777" w:rsidR="006A4EB6" w:rsidRPr="006A4EB6" w:rsidRDefault="006A4EB6" w:rsidP="006A4EB6">
            <w:pPr>
              <w:rPr>
                <w:rFonts w:ascii="Arial" w:hAnsi="Arial" w:cs="Arial"/>
                <w:sz w:val="22"/>
                <w:szCs w:val="22"/>
              </w:rPr>
            </w:pPr>
            <w:r w:rsidRPr="006A4EB6">
              <w:rPr>
                <w:rFonts w:ascii="Arial" w:hAnsi="Arial" w:cs="Arial"/>
                <w:sz w:val="22"/>
                <w:szCs w:val="22"/>
              </w:rPr>
              <w:t xml:space="preserve">Table 8. Effect of Digital Learning Apps on Phonological Awareness </w:t>
            </w:r>
          </w:p>
        </w:tc>
      </w:tr>
      <w:tr w:rsidR="006A4EB6" w:rsidRPr="006A4EB6" w14:paraId="69AEE63B" w14:textId="77777777" w:rsidTr="003534B0">
        <w:trPr>
          <w:cantSplit/>
        </w:trPr>
        <w:tc>
          <w:tcPr>
            <w:tcW w:w="8275" w:type="dxa"/>
            <w:gridSpan w:val="6"/>
            <w:tcBorders>
              <w:top w:val="single" w:sz="4" w:space="0" w:color="auto"/>
              <w:left w:val="nil"/>
              <w:bottom w:val="nil"/>
              <w:right w:val="nil"/>
            </w:tcBorders>
            <w:shd w:val="clear" w:color="auto" w:fill="FFFFFF"/>
            <w:vAlign w:val="center"/>
          </w:tcPr>
          <w:p w14:paraId="0E5839D2"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bookmarkStart w:id="0" w:name="_Hlk197428627"/>
            <w:r w:rsidRPr="006A4EB6">
              <w:rPr>
                <w:rFonts w:ascii="Arial" w:hAnsi="Arial" w:cs="Arial"/>
                <w:sz w:val="22"/>
                <w:szCs w:val="22"/>
                <w:lang w:val="en-PH"/>
              </w:rPr>
              <w:t>Independent Samples Effect Sizes</w:t>
            </w:r>
          </w:p>
        </w:tc>
      </w:tr>
      <w:bookmarkEnd w:id="0"/>
      <w:tr w:rsidR="006A4EB6" w:rsidRPr="006A4EB6" w14:paraId="2C3FE269" w14:textId="77777777" w:rsidTr="003534B0">
        <w:trPr>
          <w:cantSplit/>
        </w:trPr>
        <w:tc>
          <w:tcPr>
            <w:tcW w:w="2102" w:type="dxa"/>
            <w:gridSpan w:val="2"/>
            <w:vMerge w:val="restart"/>
            <w:tcBorders>
              <w:top w:val="nil"/>
              <w:left w:val="nil"/>
              <w:bottom w:val="nil"/>
              <w:right w:val="nil"/>
            </w:tcBorders>
            <w:shd w:val="clear" w:color="auto" w:fill="FFFFFF"/>
            <w:vAlign w:val="bottom"/>
          </w:tcPr>
          <w:p w14:paraId="75C3676E" w14:textId="77777777" w:rsidR="006A4EB6" w:rsidRPr="006A4EB6" w:rsidRDefault="006A4EB6" w:rsidP="006A4EB6">
            <w:pPr>
              <w:autoSpaceDE w:val="0"/>
              <w:autoSpaceDN w:val="0"/>
              <w:adjustRightInd w:val="0"/>
              <w:rPr>
                <w:rFonts w:ascii="Arial" w:hAnsi="Arial" w:cs="Arial"/>
                <w:sz w:val="22"/>
                <w:szCs w:val="22"/>
                <w:lang w:val="en-PH"/>
              </w:rPr>
            </w:pPr>
          </w:p>
        </w:tc>
        <w:tc>
          <w:tcPr>
            <w:tcW w:w="1445" w:type="dxa"/>
            <w:vMerge w:val="restart"/>
            <w:tcBorders>
              <w:top w:val="nil"/>
              <w:left w:val="nil"/>
              <w:bottom w:val="nil"/>
              <w:right w:val="nil"/>
            </w:tcBorders>
            <w:shd w:val="clear" w:color="auto" w:fill="FFFFFF"/>
            <w:vAlign w:val="bottom"/>
          </w:tcPr>
          <w:p w14:paraId="6463ECC8"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Standardize</w:t>
            </w:r>
          </w:p>
        </w:tc>
        <w:tc>
          <w:tcPr>
            <w:tcW w:w="1476" w:type="dxa"/>
            <w:vMerge w:val="restart"/>
            <w:tcBorders>
              <w:top w:val="nil"/>
              <w:left w:val="nil"/>
              <w:bottom w:val="nil"/>
              <w:right w:val="nil"/>
            </w:tcBorders>
            <w:shd w:val="clear" w:color="auto" w:fill="FFFFFF"/>
            <w:vAlign w:val="bottom"/>
          </w:tcPr>
          <w:p w14:paraId="687F9E61"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Point Estimate</w:t>
            </w:r>
          </w:p>
        </w:tc>
        <w:tc>
          <w:tcPr>
            <w:tcW w:w="3252" w:type="dxa"/>
            <w:gridSpan w:val="2"/>
            <w:tcBorders>
              <w:top w:val="nil"/>
              <w:left w:val="nil"/>
              <w:bottom w:val="nil"/>
              <w:right w:val="nil"/>
            </w:tcBorders>
            <w:shd w:val="clear" w:color="auto" w:fill="FFFFFF"/>
            <w:vAlign w:val="bottom"/>
          </w:tcPr>
          <w:p w14:paraId="02EBD465"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95% Confidence Interval</w:t>
            </w:r>
          </w:p>
        </w:tc>
      </w:tr>
      <w:tr w:rsidR="006A4EB6" w:rsidRPr="006A4EB6" w14:paraId="51761DCA" w14:textId="77777777" w:rsidTr="003534B0">
        <w:trPr>
          <w:cantSplit/>
        </w:trPr>
        <w:tc>
          <w:tcPr>
            <w:tcW w:w="2102" w:type="dxa"/>
            <w:gridSpan w:val="2"/>
            <w:vMerge/>
            <w:tcBorders>
              <w:top w:val="nil"/>
              <w:left w:val="nil"/>
              <w:bottom w:val="nil"/>
              <w:right w:val="nil"/>
            </w:tcBorders>
            <w:shd w:val="clear" w:color="auto" w:fill="FFFFFF"/>
            <w:vAlign w:val="bottom"/>
          </w:tcPr>
          <w:p w14:paraId="29DDA712" w14:textId="77777777" w:rsidR="006A4EB6" w:rsidRPr="006A4EB6" w:rsidRDefault="006A4EB6" w:rsidP="006A4EB6">
            <w:pPr>
              <w:autoSpaceDE w:val="0"/>
              <w:autoSpaceDN w:val="0"/>
              <w:adjustRightInd w:val="0"/>
              <w:rPr>
                <w:rFonts w:ascii="Arial" w:hAnsi="Arial" w:cs="Arial"/>
                <w:sz w:val="22"/>
                <w:szCs w:val="22"/>
                <w:lang w:val="en-PH"/>
              </w:rPr>
            </w:pPr>
          </w:p>
        </w:tc>
        <w:tc>
          <w:tcPr>
            <w:tcW w:w="1445" w:type="dxa"/>
            <w:vMerge/>
            <w:tcBorders>
              <w:top w:val="nil"/>
              <w:left w:val="nil"/>
              <w:bottom w:val="nil"/>
              <w:right w:val="nil"/>
            </w:tcBorders>
            <w:shd w:val="clear" w:color="auto" w:fill="FFFFFF"/>
            <w:vAlign w:val="bottom"/>
          </w:tcPr>
          <w:p w14:paraId="375F2E9D" w14:textId="77777777" w:rsidR="006A4EB6" w:rsidRPr="006A4EB6" w:rsidRDefault="006A4EB6" w:rsidP="006A4EB6">
            <w:pPr>
              <w:autoSpaceDE w:val="0"/>
              <w:autoSpaceDN w:val="0"/>
              <w:adjustRightInd w:val="0"/>
              <w:rPr>
                <w:rFonts w:ascii="Arial" w:hAnsi="Arial" w:cs="Arial"/>
                <w:sz w:val="22"/>
                <w:szCs w:val="22"/>
                <w:lang w:val="en-PH"/>
              </w:rPr>
            </w:pPr>
          </w:p>
        </w:tc>
        <w:tc>
          <w:tcPr>
            <w:tcW w:w="1476" w:type="dxa"/>
            <w:vMerge/>
            <w:tcBorders>
              <w:top w:val="nil"/>
              <w:left w:val="nil"/>
              <w:bottom w:val="nil"/>
              <w:right w:val="nil"/>
            </w:tcBorders>
            <w:shd w:val="clear" w:color="auto" w:fill="FFFFFF"/>
            <w:vAlign w:val="bottom"/>
          </w:tcPr>
          <w:p w14:paraId="598C050A" w14:textId="77777777" w:rsidR="006A4EB6" w:rsidRPr="006A4EB6" w:rsidRDefault="006A4EB6" w:rsidP="006A4EB6">
            <w:pPr>
              <w:autoSpaceDE w:val="0"/>
              <w:autoSpaceDN w:val="0"/>
              <w:adjustRightInd w:val="0"/>
              <w:rPr>
                <w:rFonts w:ascii="Arial" w:hAnsi="Arial" w:cs="Arial"/>
                <w:sz w:val="22"/>
                <w:szCs w:val="22"/>
                <w:lang w:val="en-PH"/>
              </w:rPr>
            </w:pPr>
          </w:p>
        </w:tc>
        <w:tc>
          <w:tcPr>
            <w:tcW w:w="1168" w:type="dxa"/>
            <w:tcBorders>
              <w:top w:val="nil"/>
              <w:left w:val="nil"/>
              <w:bottom w:val="nil"/>
              <w:right w:val="nil"/>
            </w:tcBorders>
            <w:shd w:val="clear" w:color="auto" w:fill="FFFFFF"/>
            <w:vAlign w:val="bottom"/>
          </w:tcPr>
          <w:p w14:paraId="6BAA3FD3"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Lower</w:t>
            </w:r>
          </w:p>
        </w:tc>
        <w:tc>
          <w:tcPr>
            <w:tcW w:w="2084" w:type="dxa"/>
            <w:tcBorders>
              <w:top w:val="nil"/>
              <w:left w:val="nil"/>
              <w:bottom w:val="nil"/>
              <w:right w:val="nil"/>
            </w:tcBorders>
            <w:shd w:val="clear" w:color="auto" w:fill="FFFFFF"/>
            <w:vAlign w:val="bottom"/>
          </w:tcPr>
          <w:p w14:paraId="7D5F70C5"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Upper</w:t>
            </w:r>
          </w:p>
        </w:tc>
      </w:tr>
      <w:tr w:rsidR="006A4EB6" w:rsidRPr="006A4EB6" w14:paraId="1A39DA33" w14:textId="77777777" w:rsidTr="003534B0">
        <w:trPr>
          <w:cantSplit/>
        </w:trPr>
        <w:tc>
          <w:tcPr>
            <w:tcW w:w="720" w:type="dxa"/>
            <w:vMerge w:val="restart"/>
            <w:tcBorders>
              <w:top w:val="nil"/>
              <w:left w:val="nil"/>
              <w:bottom w:val="nil"/>
              <w:right w:val="nil"/>
            </w:tcBorders>
          </w:tcPr>
          <w:p w14:paraId="3B61C1B3"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Post Test</w:t>
            </w:r>
          </w:p>
        </w:tc>
        <w:tc>
          <w:tcPr>
            <w:tcW w:w="1382" w:type="dxa"/>
            <w:tcBorders>
              <w:top w:val="nil"/>
              <w:left w:val="nil"/>
              <w:bottom w:val="nil"/>
              <w:right w:val="nil"/>
            </w:tcBorders>
          </w:tcPr>
          <w:p w14:paraId="3050B869"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Cohen's d</w:t>
            </w:r>
          </w:p>
        </w:tc>
        <w:tc>
          <w:tcPr>
            <w:tcW w:w="1445" w:type="dxa"/>
            <w:tcBorders>
              <w:top w:val="nil"/>
              <w:left w:val="nil"/>
              <w:bottom w:val="nil"/>
              <w:right w:val="nil"/>
            </w:tcBorders>
          </w:tcPr>
          <w:p w14:paraId="23BF5975"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1.57765</w:t>
            </w:r>
          </w:p>
        </w:tc>
        <w:tc>
          <w:tcPr>
            <w:tcW w:w="1476" w:type="dxa"/>
            <w:tcBorders>
              <w:top w:val="nil"/>
              <w:left w:val="nil"/>
              <w:bottom w:val="nil"/>
              <w:right w:val="nil"/>
            </w:tcBorders>
          </w:tcPr>
          <w:p w14:paraId="7ED791A7" w14:textId="77777777" w:rsidR="006A4EB6" w:rsidRPr="006A4EB6" w:rsidRDefault="006A4EB6" w:rsidP="006A4EB6">
            <w:pPr>
              <w:autoSpaceDE w:val="0"/>
              <w:autoSpaceDN w:val="0"/>
              <w:adjustRightInd w:val="0"/>
              <w:ind w:left="60" w:right="60"/>
              <w:jc w:val="right"/>
              <w:rPr>
                <w:rFonts w:ascii="Arial" w:hAnsi="Arial" w:cs="Arial"/>
                <w:bCs/>
                <w:sz w:val="22"/>
                <w:szCs w:val="22"/>
                <w:lang w:val="en-PH"/>
              </w:rPr>
            </w:pPr>
            <w:r w:rsidRPr="006A4EB6">
              <w:rPr>
                <w:rFonts w:ascii="Arial" w:hAnsi="Arial" w:cs="Arial"/>
                <w:bCs/>
                <w:sz w:val="22"/>
                <w:szCs w:val="22"/>
                <w:lang w:val="en-PH"/>
              </w:rPr>
              <w:t>.651</w:t>
            </w:r>
          </w:p>
        </w:tc>
        <w:tc>
          <w:tcPr>
            <w:tcW w:w="1168" w:type="dxa"/>
            <w:tcBorders>
              <w:top w:val="nil"/>
              <w:left w:val="nil"/>
              <w:bottom w:val="nil"/>
              <w:right w:val="nil"/>
            </w:tcBorders>
          </w:tcPr>
          <w:p w14:paraId="2EFB9DB1"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.106</w:t>
            </w:r>
          </w:p>
        </w:tc>
        <w:tc>
          <w:tcPr>
            <w:tcW w:w="2084" w:type="dxa"/>
            <w:tcBorders>
              <w:top w:val="nil"/>
              <w:left w:val="nil"/>
              <w:bottom w:val="nil"/>
              <w:right w:val="nil"/>
            </w:tcBorders>
          </w:tcPr>
          <w:p w14:paraId="05DD6A0B"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1.191</w:t>
            </w:r>
          </w:p>
        </w:tc>
      </w:tr>
      <w:tr w:rsidR="006A4EB6" w:rsidRPr="006A4EB6" w14:paraId="002B59D9" w14:textId="77777777" w:rsidTr="003534B0">
        <w:trPr>
          <w:cantSplit/>
        </w:trPr>
        <w:tc>
          <w:tcPr>
            <w:tcW w:w="720" w:type="dxa"/>
            <w:vMerge/>
            <w:tcBorders>
              <w:top w:val="nil"/>
              <w:left w:val="nil"/>
              <w:bottom w:val="nil"/>
              <w:right w:val="nil"/>
            </w:tcBorders>
          </w:tcPr>
          <w:p w14:paraId="3874A4D4" w14:textId="77777777" w:rsidR="006A4EB6" w:rsidRPr="006A4EB6" w:rsidRDefault="006A4EB6" w:rsidP="006A4EB6">
            <w:pPr>
              <w:autoSpaceDE w:val="0"/>
              <w:autoSpaceDN w:val="0"/>
              <w:adjustRightInd w:val="0"/>
              <w:rPr>
                <w:rFonts w:ascii="Arial" w:hAnsi="Arial" w:cs="Arial"/>
                <w:sz w:val="22"/>
                <w:szCs w:val="22"/>
                <w:lang w:val="en-PH"/>
              </w:rPr>
            </w:pPr>
          </w:p>
        </w:tc>
        <w:tc>
          <w:tcPr>
            <w:tcW w:w="1382" w:type="dxa"/>
            <w:tcBorders>
              <w:top w:val="nil"/>
              <w:left w:val="nil"/>
              <w:bottom w:val="nil"/>
              <w:right w:val="nil"/>
            </w:tcBorders>
          </w:tcPr>
          <w:p w14:paraId="6DE42BBC"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Hedges' correction</w:t>
            </w:r>
          </w:p>
        </w:tc>
        <w:tc>
          <w:tcPr>
            <w:tcW w:w="1445" w:type="dxa"/>
            <w:tcBorders>
              <w:top w:val="nil"/>
              <w:left w:val="nil"/>
              <w:bottom w:val="nil"/>
              <w:right w:val="nil"/>
            </w:tcBorders>
          </w:tcPr>
          <w:p w14:paraId="656EB984"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1.60043</w:t>
            </w:r>
          </w:p>
        </w:tc>
        <w:tc>
          <w:tcPr>
            <w:tcW w:w="1476" w:type="dxa"/>
            <w:tcBorders>
              <w:top w:val="nil"/>
              <w:left w:val="nil"/>
              <w:bottom w:val="nil"/>
              <w:right w:val="nil"/>
            </w:tcBorders>
          </w:tcPr>
          <w:p w14:paraId="63CFDE48"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.642</w:t>
            </w:r>
          </w:p>
        </w:tc>
        <w:tc>
          <w:tcPr>
            <w:tcW w:w="1168" w:type="dxa"/>
            <w:tcBorders>
              <w:top w:val="nil"/>
              <w:left w:val="nil"/>
              <w:bottom w:val="nil"/>
              <w:right w:val="nil"/>
            </w:tcBorders>
          </w:tcPr>
          <w:p w14:paraId="388F6E7C"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.104</w:t>
            </w:r>
          </w:p>
        </w:tc>
        <w:tc>
          <w:tcPr>
            <w:tcW w:w="2084" w:type="dxa"/>
            <w:tcBorders>
              <w:top w:val="nil"/>
              <w:left w:val="nil"/>
              <w:bottom w:val="nil"/>
              <w:right w:val="nil"/>
            </w:tcBorders>
          </w:tcPr>
          <w:p w14:paraId="718E6E53"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1.175</w:t>
            </w:r>
          </w:p>
        </w:tc>
      </w:tr>
      <w:tr w:rsidR="006A4EB6" w:rsidRPr="006A4EB6" w14:paraId="63283ED7" w14:textId="77777777" w:rsidTr="003534B0">
        <w:trPr>
          <w:cantSplit/>
        </w:trPr>
        <w:tc>
          <w:tcPr>
            <w:tcW w:w="720" w:type="dxa"/>
            <w:vMerge/>
            <w:tcBorders>
              <w:top w:val="nil"/>
              <w:left w:val="nil"/>
              <w:bottom w:val="single" w:sz="4" w:space="0" w:color="auto"/>
              <w:right w:val="nil"/>
            </w:tcBorders>
          </w:tcPr>
          <w:p w14:paraId="1A227855" w14:textId="77777777" w:rsidR="006A4EB6" w:rsidRPr="006A4EB6" w:rsidRDefault="006A4EB6" w:rsidP="006A4EB6">
            <w:pPr>
              <w:autoSpaceDE w:val="0"/>
              <w:autoSpaceDN w:val="0"/>
              <w:adjustRightInd w:val="0"/>
              <w:rPr>
                <w:rFonts w:ascii="Arial" w:hAnsi="Arial" w:cs="Arial"/>
                <w:sz w:val="22"/>
                <w:szCs w:val="22"/>
                <w:lang w:val="en-PH"/>
              </w:rPr>
            </w:pPr>
          </w:p>
        </w:tc>
        <w:tc>
          <w:tcPr>
            <w:tcW w:w="1382" w:type="dxa"/>
            <w:tcBorders>
              <w:top w:val="nil"/>
              <w:left w:val="nil"/>
              <w:bottom w:val="single" w:sz="4" w:space="0" w:color="auto"/>
              <w:right w:val="nil"/>
            </w:tcBorders>
          </w:tcPr>
          <w:p w14:paraId="376F0596"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Glass's delta</w:t>
            </w:r>
          </w:p>
        </w:tc>
        <w:tc>
          <w:tcPr>
            <w:tcW w:w="1445" w:type="dxa"/>
            <w:tcBorders>
              <w:top w:val="nil"/>
              <w:left w:val="nil"/>
              <w:bottom w:val="single" w:sz="4" w:space="0" w:color="auto"/>
              <w:right w:val="nil"/>
            </w:tcBorders>
          </w:tcPr>
          <w:p w14:paraId="39360FE2"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1.28103</w:t>
            </w:r>
          </w:p>
        </w:tc>
        <w:tc>
          <w:tcPr>
            <w:tcW w:w="1476" w:type="dxa"/>
            <w:tcBorders>
              <w:top w:val="nil"/>
              <w:left w:val="nil"/>
              <w:bottom w:val="single" w:sz="4" w:space="0" w:color="auto"/>
              <w:right w:val="nil"/>
            </w:tcBorders>
          </w:tcPr>
          <w:p w14:paraId="6A0C2C96"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.802</w:t>
            </w:r>
          </w:p>
        </w:tc>
        <w:tc>
          <w:tcPr>
            <w:tcW w:w="1168" w:type="dxa"/>
            <w:tcBorders>
              <w:top w:val="nil"/>
              <w:left w:val="nil"/>
              <w:bottom w:val="single" w:sz="4" w:space="0" w:color="auto"/>
              <w:right w:val="nil"/>
            </w:tcBorders>
          </w:tcPr>
          <w:p w14:paraId="70176E60"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.224</w:t>
            </w:r>
          </w:p>
        </w:tc>
        <w:tc>
          <w:tcPr>
            <w:tcW w:w="2084" w:type="dxa"/>
            <w:tcBorders>
              <w:top w:val="nil"/>
              <w:left w:val="nil"/>
              <w:bottom w:val="single" w:sz="4" w:space="0" w:color="auto"/>
              <w:right w:val="nil"/>
            </w:tcBorders>
          </w:tcPr>
          <w:p w14:paraId="4DF24AB1"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1.367</w:t>
            </w:r>
          </w:p>
        </w:tc>
      </w:tr>
    </w:tbl>
    <w:p w14:paraId="2B8BC129" w14:textId="5135A0CE" w:rsidR="006A4EB6" w:rsidRDefault="006A4EB6" w:rsidP="00695CC0">
      <w:pPr>
        <w:spacing w:before="240" w:after="240"/>
        <w:jc w:val="both"/>
        <w:rPr>
          <w:rFonts w:ascii="Arial" w:hAnsi="Arial" w:cs="Arial"/>
          <w:sz w:val="22"/>
          <w:szCs w:val="22"/>
        </w:rPr>
      </w:pPr>
      <w:r w:rsidRPr="006A4EB6">
        <w:rPr>
          <w:rFonts w:ascii="Arial" w:hAnsi="Arial" w:cs="Arial"/>
          <w:sz w:val="22"/>
          <w:szCs w:val="22"/>
        </w:rPr>
        <w:lastRenderedPageBreak/>
        <w:t xml:space="preserve">The study's findings in Table 8 highlight that the effectiveness of the digital learning application has a positive impact on phonological awareness skills among Grade 2 students, which can reflect impactful and meaningful gains in early reading development. This finding aligns with </w:t>
      </w:r>
      <w:proofErr w:type="spellStart"/>
      <w:r w:rsidRPr="006A4EB6">
        <w:rPr>
          <w:rFonts w:ascii="Arial" w:hAnsi="Arial" w:cs="Arial"/>
          <w:sz w:val="22"/>
          <w:szCs w:val="22"/>
        </w:rPr>
        <w:t>Heß</w:t>
      </w:r>
      <w:proofErr w:type="spellEnd"/>
      <w:r w:rsidRPr="006A4EB6">
        <w:rPr>
          <w:rFonts w:ascii="Arial" w:hAnsi="Arial" w:cs="Arial"/>
          <w:sz w:val="22"/>
          <w:szCs w:val="22"/>
        </w:rPr>
        <w:t xml:space="preserve"> et al. (2024), whose study on a syllable-based digital reading application reported medium effect sizes in phonological recoding and word recognition among low-performing Grade 2 learners—demonstrating the educational value of digital interventions targeting foundational literacy. This result is aligned with Mayer’s (2021) Multimedia Learning Theory, which posits that instruction is more effective when learners engage both auditory and visual processing channels. The theory emphasizes dual-channel processing, limited capacity, and active learning principles that are evident in the design and outcomes of the digital learning application used in this study (Clark &amp; Mayer, 2021). The observed medium effect size (Cohen’s d = 0.651) supports the idea that integrating spoken words with corresponding visuals facilitates deeper cognitive processing and better phonological awareness (Fiorella &amp; Mayer, 2021). As learners used the application, they simultaneously heard phonemes and saw corresponding graphemes or animations, allowing for multisensory engagement that is central to the theory (Munoz et al., 2024). In addition, Ayres (2015) noted that when multimedia content is segmented into manageable parts, it reduces cognitive overload and enhances retention.</w:t>
      </w:r>
    </w:p>
    <w:p w14:paraId="15D17CD8" w14:textId="77777777" w:rsidR="001C7127" w:rsidRPr="001C7127" w:rsidRDefault="001C7127" w:rsidP="001C7127">
      <w:pPr>
        <w:spacing w:before="240" w:after="240"/>
        <w:jc w:val="both"/>
        <w:rPr>
          <w:rFonts w:ascii="Arial" w:hAnsi="Arial" w:cs="Arial"/>
          <w:b/>
          <w:bCs/>
          <w:sz w:val="22"/>
          <w:szCs w:val="22"/>
        </w:rPr>
      </w:pPr>
      <w:r w:rsidRPr="001C7127">
        <w:rPr>
          <w:rFonts w:ascii="Arial" w:hAnsi="Arial" w:cs="Arial"/>
          <w:b/>
          <w:bCs/>
          <w:sz w:val="22"/>
          <w:szCs w:val="22"/>
        </w:rPr>
        <w:t>The Implication of Phonological Awareness</w:t>
      </w:r>
    </w:p>
    <w:p w14:paraId="20AF3028" w14:textId="77777777"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This study aimed to enhance the phonological awareness of Grade 2 students by utilizing digital learning tools, drawing on Mayer's Multimedia Learning Theory, which emphasizes the cognitive benefits of dual-channel (auditory and visual) processing. The results offer insights into how digital, interactive instruction can transform early English literacy from rote phonics drills to engaging, adaptive experiences that foster the development of excellent skills.</w:t>
      </w:r>
    </w:p>
    <w:p w14:paraId="7BD71F28" w14:textId="77777777"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English education, particularly at the foundational level, benefits significantly from instructional approaches that integrate audio-visual learning with interactive tasks. Digital phonological applications enable students to manipulate sounds actively, recognize patterns, and receive immediate feedback—key processes in mastering decoding and early reading fluency.</w:t>
      </w:r>
    </w:p>
    <w:p w14:paraId="06D33D51" w14:textId="77777777"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The study suggests the following implications:</w:t>
      </w:r>
    </w:p>
    <w:p w14:paraId="70E40299" w14:textId="33A39CDB"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1.</w:t>
      </w:r>
      <w:r>
        <w:rPr>
          <w:rFonts w:ascii="Arial" w:hAnsi="Arial" w:cs="Arial"/>
          <w:sz w:val="22"/>
          <w:szCs w:val="22"/>
        </w:rPr>
        <w:t xml:space="preserve"> </w:t>
      </w:r>
      <w:r w:rsidRPr="001C7127">
        <w:rPr>
          <w:rFonts w:ascii="Arial" w:hAnsi="Arial" w:cs="Arial"/>
          <w:sz w:val="22"/>
          <w:szCs w:val="22"/>
        </w:rPr>
        <w:t>It helps learners develop phoneme-level skills through gamified and multisensory activities. Applications such as ABCMouse offer structured, enjoyable ways for children to internalize key phonological concepts. This method aligns with how young learners naturally acquire language and strengthen their ability to decode words.</w:t>
      </w:r>
    </w:p>
    <w:p w14:paraId="76448DEE" w14:textId="52C7F001"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2.</w:t>
      </w:r>
      <w:r>
        <w:rPr>
          <w:rFonts w:ascii="Arial" w:hAnsi="Arial" w:cs="Arial"/>
          <w:sz w:val="22"/>
          <w:szCs w:val="22"/>
        </w:rPr>
        <w:t xml:space="preserve"> </w:t>
      </w:r>
      <w:r w:rsidRPr="001C7127">
        <w:rPr>
          <w:rFonts w:ascii="Arial" w:hAnsi="Arial" w:cs="Arial"/>
          <w:sz w:val="22"/>
          <w:szCs w:val="22"/>
        </w:rPr>
        <w:t>It promotes active learning through real-time feedback and adaptive instruction. Digital applications like ABCMouse provide instant correction and tailored challenges based on a student's performance, enhancing phonological awareness and self-regulation during literacy tasks.</w:t>
      </w:r>
    </w:p>
    <w:p w14:paraId="454C98E8" w14:textId="6719D331" w:rsidR="001C7127" w:rsidRPr="006A4EB6" w:rsidRDefault="001C7127" w:rsidP="00695CC0">
      <w:pPr>
        <w:spacing w:before="240" w:after="240"/>
        <w:jc w:val="both"/>
        <w:rPr>
          <w:rFonts w:ascii="Arial" w:hAnsi="Arial" w:cs="Arial"/>
          <w:sz w:val="22"/>
          <w:szCs w:val="22"/>
        </w:rPr>
      </w:pPr>
      <w:r w:rsidRPr="001C7127">
        <w:rPr>
          <w:rFonts w:ascii="Arial" w:hAnsi="Arial" w:cs="Arial"/>
          <w:sz w:val="22"/>
          <w:szCs w:val="22"/>
        </w:rPr>
        <w:lastRenderedPageBreak/>
        <w:t>3.</w:t>
      </w:r>
      <w:r>
        <w:rPr>
          <w:rFonts w:ascii="Arial" w:hAnsi="Arial" w:cs="Arial"/>
          <w:sz w:val="22"/>
          <w:szCs w:val="22"/>
        </w:rPr>
        <w:t xml:space="preserve"> </w:t>
      </w:r>
      <w:r w:rsidRPr="001C7127">
        <w:rPr>
          <w:rFonts w:ascii="Arial" w:hAnsi="Arial" w:cs="Arial"/>
          <w:sz w:val="22"/>
          <w:szCs w:val="22"/>
        </w:rPr>
        <w:t>It supports equitable access to literacy development in diverse and underserved contexts. Mobile and web-based applications make phonological instruction more accessible in rural or resource-constrained environments, helping bridge gaps in reading readiness and performance. This supports the development of inclusive English education that adapts to learners’ needs regardless of geography or socioeconomic background.</w:t>
      </w:r>
    </w:p>
    <w:p w14:paraId="1C2CB150" w14:textId="1C268A48" w:rsidR="00B01FCD" w:rsidRDefault="0045600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D564CA2" w14:textId="77777777" w:rsidR="006D3AEE" w:rsidRPr="006D3AEE" w:rsidRDefault="006D3AEE" w:rsidP="006D3AEE">
      <w:pPr>
        <w:pStyle w:val="Body"/>
        <w:rPr>
          <w:rFonts w:ascii="Arial" w:hAnsi="Arial" w:cs="Arial"/>
          <w:sz w:val="22"/>
          <w:szCs w:val="22"/>
        </w:rPr>
      </w:pPr>
      <w:r w:rsidRPr="006D3AEE">
        <w:rPr>
          <w:rFonts w:ascii="Arial" w:hAnsi="Arial" w:cs="Arial"/>
          <w:sz w:val="22"/>
          <w:szCs w:val="22"/>
        </w:rPr>
        <w:t>The findings of this study highlight the need for alternative teaching phonological approaches such as integrating Digital Learning Application, as traditional phonological method often fall short in effectively addressing students' difficulties with phonological awareness particularly in four categories (e.g., phoneme awareness, onset-rime awareness, syllable awareness and word awareness), due to its broad scope.</w:t>
      </w:r>
    </w:p>
    <w:p w14:paraId="42941E92" w14:textId="32C6C9CE" w:rsidR="00790ADA" w:rsidRDefault="006D3AEE" w:rsidP="006D3AEE">
      <w:pPr>
        <w:pStyle w:val="Body"/>
        <w:spacing w:after="0"/>
        <w:rPr>
          <w:rFonts w:ascii="Arial" w:hAnsi="Arial" w:cs="Arial"/>
          <w:sz w:val="22"/>
          <w:szCs w:val="22"/>
        </w:rPr>
      </w:pPr>
      <w:r w:rsidRPr="006D3AEE">
        <w:rPr>
          <w:rFonts w:ascii="Arial" w:hAnsi="Arial" w:cs="Arial"/>
          <w:sz w:val="22"/>
          <w:szCs w:val="22"/>
        </w:rPr>
        <w:t>Given the low pre-test scores of students in phonological awareness assessment, indicating that they did not meet K-12 grading expectations, it is recommended that teachers may administer phonological awareness diagnostics at the start of the school year to help identify learners at risk and guide targeted instruction. Since no significant difference was observed in the pre-test scores between the control and experimental groups, any intervention should be applied uniformly across all Grade 2 sections. As the control group’s post-test results also satisfactorily meet the K-12 standards, engaging and innovative strategies may be implemented to enhance students’ phonological awareness towards successful reading progress.  Additionally, considering the Digital Learning Application’s (ABCMouse) effectiveness in improving phonological awareness skills, the Department of Education (DepEd) may incorporate this method into teacher seminars or Learning Action Cell (LAC) sessions to ensure its proper integration into regular phonological awareness instruction and supplying them digital devices, such as tablets and laptops, preloaded with educational digital apps like ABCMouse, as well as printed guide.</w:t>
      </w:r>
    </w:p>
    <w:p w14:paraId="223BD2B0" w14:textId="77777777" w:rsidR="006D3AEE" w:rsidRPr="006D3AEE" w:rsidRDefault="006D3AEE" w:rsidP="006D3AEE">
      <w:pPr>
        <w:pStyle w:val="Body"/>
        <w:spacing w:after="0"/>
        <w:rPr>
          <w:rFonts w:ascii="Arial" w:hAnsi="Arial" w:cs="Arial"/>
          <w:sz w:val="22"/>
          <w:szCs w:val="22"/>
        </w:rPr>
      </w:pPr>
    </w:p>
    <w:p w14:paraId="5FDF1F7B" w14:textId="77777777" w:rsidR="00860000" w:rsidRPr="00786D36" w:rsidRDefault="00860000" w:rsidP="00441B6F">
      <w:pPr>
        <w:pStyle w:val="ReferHead"/>
        <w:spacing w:after="0"/>
        <w:jc w:val="both"/>
        <w:rPr>
          <w:rFonts w:ascii="Arial" w:hAnsi="Arial" w:cs="Arial"/>
          <w:bCs/>
        </w:rPr>
      </w:pPr>
      <w:bookmarkStart w:id="1" w:name="_GoBack"/>
      <w:bookmarkEnd w:id="1"/>
      <w:r w:rsidRPr="00786D36">
        <w:rPr>
          <w:rFonts w:ascii="Arial" w:hAnsi="Arial" w:cs="Arial"/>
          <w:bCs/>
        </w:rPr>
        <w:t>Competing interests</w:t>
      </w:r>
    </w:p>
    <w:p w14:paraId="404EE20E" w14:textId="77777777" w:rsidR="00D46CF5" w:rsidRDefault="00D46CF5" w:rsidP="00D46CF5">
      <w:pPr>
        <w:ind w:firstLine="720"/>
        <w:jc w:val="both"/>
        <w:rPr>
          <w:rFonts w:ascii="Arial" w:hAnsi="Arial" w:cs="Arial"/>
          <w:sz w:val="22"/>
          <w:szCs w:val="22"/>
        </w:rPr>
      </w:pPr>
      <w:r w:rsidRPr="00D46CF5">
        <w:rPr>
          <w:rFonts w:ascii="Arial" w:hAnsi="Arial" w:cs="Arial"/>
          <w:sz w:val="22"/>
          <w:szCs w:val="22"/>
        </w:rPr>
        <w:t>The authors declare that there are no conflicts of interest related to the design, implementation, or reporting of this study. No affiliations, personal relationships, or financial interests influenced the outcome of this research.</w:t>
      </w:r>
    </w:p>
    <w:p w14:paraId="1DD9AA7C" w14:textId="107A5656" w:rsidR="00371FB6" w:rsidRPr="00D46CF5" w:rsidRDefault="00D46CF5" w:rsidP="00D46CF5">
      <w:pPr>
        <w:ind w:firstLine="720"/>
        <w:jc w:val="both"/>
        <w:rPr>
          <w:rFonts w:ascii="Arial" w:hAnsi="Arial" w:cs="Arial"/>
          <w:sz w:val="22"/>
          <w:szCs w:val="22"/>
        </w:rPr>
      </w:pPr>
      <w:r>
        <w:rPr>
          <w:rFonts w:ascii="Arial" w:hAnsi="Arial" w:cs="Arial"/>
          <w:sz w:val="22"/>
          <w:szCs w:val="22"/>
        </w:rPr>
        <w:t xml:space="preserve">                                                    </w:t>
      </w:r>
    </w:p>
    <w:p w14:paraId="5D2EFBD9" w14:textId="77777777" w:rsidR="002B685A" w:rsidRDefault="002B685A" w:rsidP="00441B6F">
      <w:pPr>
        <w:pStyle w:val="ReferHead"/>
        <w:spacing w:after="0"/>
        <w:jc w:val="both"/>
        <w:rPr>
          <w:rFonts w:ascii="Arial" w:hAnsi="Arial" w:cs="Arial"/>
          <w:b w:val="0"/>
          <w:caps w:val="0"/>
          <w:sz w:val="20"/>
        </w:rPr>
      </w:pPr>
    </w:p>
    <w:p w14:paraId="6FD6A255" w14:textId="77777777" w:rsidR="00860000" w:rsidRDefault="00860000" w:rsidP="00441B6F">
      <w:pPr>
        <w:pStyle w:val="ReferHead"/>
        <w:spacing w:after="0"/>
        <w:jc w:val="both"/>
        <w:rPr>
          <w:rFonts w:ascii="Arial" w:hAnsi="Arial" w:cs="Arial"/>
        </w:rPr>
      </w:pPr>
    </w:p>
    <w:p w14:paraId="181E8ED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5AA099" w14:textId="77777777" w:rsidR="00790ADA" w:rsidRPr="00C5189D" w:rsidRDefault="00790ADA" w:rsidP="00441B6F">
      <w:pPr>
        <w:pStyle w:val="ReferHead"/>
        <w:spacing w:after="0"/>
        <w:jc w:val="both"/>
        <w:rPr>
          <w:rFonts w:ascii="Arial" w:hAnsi="Arial" w:cs="Arial"/>
          <w:sz w:val="20"/>
        </w:rPr>
      </w:pPr>
    </w:p>
    <w:p w14:paraId="6D4BE4E0"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Abdel Meguid, E., and Collins, M. (2017). Students’ perceptions of lecturing approaches: traditional versus interactive teaching. Advances in Medical Education and Practice, Volume 8, 229–241. https://doi.org/10.2147/AMEP.S131851</w:t>
      </w:r>
    </w:p>
    <w:p w14:paraId="139863C8" w14:textId="45B224AC" w:rsidR="00C5189D" w:rsidRPr="00C5189D" w:rsidRDefault="00C5189D" w:rsidP="00C5189D">
      <w:pPr>
        <w:spacing w:after="160"/>
        <w:ind w:left="720" w:hanging="720"/>
        <w:jc w:val="both"/>
        <w:rPr>
          <w:rFonts w:ascii="Arial" w:hAnsi="Arial" w:cs="Arial"/>
        </w:rPr>
      </w:pPr>
      <w:r w:rsidRPr="00C5189D">
        <w:rPr>
          <w:rFonts w:ascii="Arial" w:hAnsi="Arial" w:cs="Arial"/>
        </w:rPr>
        <w:t xml:space="preserve">Agostinho, S., Tindall-Ford, S., Ginns, P., Howard, S. J., Leahy, W., and </w:t>
      </w:r>
      <w:proofErr w:type="spellStart"/>
      <w:r w:rsidRPr="00C5189D">
        <w:rPr>
          <w:rFonts w:ascii="Arial" w:hAnsi="Arial" w:cs="Arial"/>
        </w:rPr>
        <w:t>Paas</w:t>
      </w:r>
      <w:proofErr w:type="spellEnd"/>
      <w:r w:rsidRPr="00C5189D">
        <w:rPr>
          <w:rFonts w:ascii="Arial" w:hAnsi="Arial" w:cs="Arial"/>
        </w:rPr>
        <w:t xml:space="preserve">, F. (2015). Giving Learning a Helping Hand: </w:t>
      </w:r>
      <w:proofErr w:type="spellStart"/>
      <w:r w:rsidRPr="00C5189D">
        <w:rPr>
          <w:rFonts w:ascii="Arial" w:hAnsi="Arial" w:cs="Arial"/>
        </w:rPr>
        <w:t>Fin</w:t>
      </w:r>
      <w:r w:rsidR="001C7127">
        <w:rPr>
          <w:rFonts w:ascii="Arial" w:hAnsi="Arial" w:cs="Arial"/>
        </w:rPr>
        <w:t>xzczvaz</w:t>
      </w:r>
      <w:r w:rsidRPr="00C5189D">
        <w:rPr>
          <w:rFonts w:ascii="Arial" w:hAnsi="Arial" w:cs="Arial"/>
        </w:rPr>
        <w:t>ger</w:t>
      </w:r>
      <w:proofErr w:type="spellEnd"/>
      <w:r w:rsidRPr="00C5189D">
        <w:rPr>
          <w:rFonts w:ascii="Arial" w:hAnsi="Arial" w:cs="Arial"/>
        </w:rPr>
        <w:t xml:space="preserve"> Tracing of Temperature Graphs on an iPad. Educational Psychology Review, 27(3), 427–443. https://doi.org/10.1007/s10648-015-9315-5</w:t>
      </w:r>
    </w:p>
    <w:p w14:paraId="5838B39D" w14:textId="77777777" w:rsidR="00C5189D" w:rsidRPr="00C5189D" w:rsidRDefault="00C5189D" w:rsidP="00C5189D">
      <w:pPr>
        <w:spacing w:after="160"/>
        <w:ind w:left="720" w:hanging="720"/>
        <w:jc w:val="both"/>
        <w:rPr>
          <w:rFonts w:ascii="Arial" w:hAnsi="Arial" w:cs="Arial"/>
        </w:rPr>
      </w:pPr>
      <w:r w:rsidRPr="00C5189D">
        <w:rPr>
          <w:rFonts w:ascii="Arial" w:hAnsi="Arial" w:cs="Arial"/>
        </w:rPr>
        <w:lastRenderedPageBreak/>
        <w:t>Ahmed, V., and Opoku, A. (2021). Technology supported learning and pedagogy in times of crisis: the case of COVID-19 pandemic. Education and Information Technologies. https://doi.org/10.1007/s10639-021-10706-w</w:t>
      </w:r>
    </w:p>
    <w:p w14:paraId="124F8493" w14:textId="77777777" w:rsidR="00C5189D" w:rsidRPr="00C5189D" w:rsidRDefault="00C5189D" w:rsidP="00C5189D">
      <w:pPr>
        <w:spacing w:after="160"/>
        <w:ind w:left="720" w:hanging="720"/>
        <w:rPr>
          <w:rFonts w:ascii="Arial" w:hAnsi="Arial" w:cs="Arial"/>
        </w:rPr>
      </w:pPr>
      <w:r w:rsidRPr="00C5189D">
        <w:rPr>
          <w:rFonts w:ascii="Arial" w:hAnsi="Arial" w:cs="Arial"/>
        </w:rPr>
        <w:t xml:space="preserve">Altamimi, D. H. (2024). Phonological Awareness and Reading Ability: Exploring the Connection Between Phonological Skills and Reading Proficiency. Theory and Practice in Language Studies (TPLS), 14(9). </w:t>
      </w:r>
      <w:hyperlink r:id="rId14" w:history="1">
        <w:r w:rsidRPr="00C5189D">
          <w:rPr>
            <w:rStyle w:val="Hyperlink"/>
            <w:rFonts w:ascii="Arial" w:hAnsi="Arial" w:cs="Arial"/>
            <w:color w:val="auto"/>
            <w:u w:val="none"/>
          </w:rPr>
          <w:t>https://doi.org/10.17507/tpls.1409.28</w:t>
        </w:r>
      </w:hyperlink>
    </w:p>
    <w:p w14:paraId="0F9DBC85"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Arguel</w:t>
      </w:r>
      <w:proofErr w:type="spellEnd"/>
      <w:r w:rsidRPr="00C5189D">
        <w:rPr>
          <w:rFonts w:ascii="Arial" w:hAnsi="Arial" w:cs="Arial"/>
        </w:rPr>
        <w:t>, A., Lockyer, L., Lipp, O. V., Lodge, J. M., &amp; Kennedy, G. (2016). Inside Out. Journal of Educational Computing Research, 55(4), 526–551. https://doi.org/10.1177/0735633116674732</w:t>
      </w:r>
    </w:p>
    <w:p w14:paraId="3155E7E0"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Arnold, D. H., Chary, M., Gair, S. L., Helm, A. F., Herman, R., Kang, S., and Lokhandwala, S. (2021). A randomized controlled trial of an educational app to improve preschoolers’ emergent literacy skills. Journal of Children and Media, 1–19. https://doi.org/10.1080/17482798.2020.1863239</w:t>
      </w:r>
    </w:p>
    <w:p w14:paraId="47AD40A2"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Ayres, P. (2015). State-of-the-Art Research into Multimedia Learning: A Commentary on Mayer’s Handbook of Multimedia Learning. Applied Cognitive Psychology, 29(4), 631–636. https://doi.org/10.1002/acp.3142</w:t>
      </w:r>
    </w:p>
    <w:p w14:paraId="5C9572E6"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Belo, N., McKenney, S., Voogt, J., and Bradley, B. (2016). Teacher knowledge for using technology to foster early literacy: A literature review. Computers in Human Behavior, 60, 372–383. https://doi.org/10.1016/j.chb.2016.02.053</w:t>
      </w:r>
    </w:p>
    <w:p w14:paraId="6C65B88B"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Beneville</w:t>
      </w:r>
      <w:proofErr w:type="spellEnd"/>
      <w:r w:rsidRPr="00C5189D">
        <w:rPr>
          <w:rFonts w:ascii="Arial" w:hAnsi="Arial" w:cs="Arial"/>
        </w:rPr>
        <w:t>, M. A., and Li, C. (2018). Evidence-based literacy interventions for East/Southeast Asian English language learners. Journal for Multicultural Education, 12(1), 50–66. https://doi.org/10.1108/JME-12-2016-0061</w:t>
      </w:r>
    </w:p>
    <w:p w14:paraId="1565A84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Boelens, R., Voet, M., and De Wever, B. (2018). The design of blended learning in response to student diversity in higher education: Instructors’ views and use of differentiated instruction in blended learning. Computers and Education, 120, 197–212. https://doi.org/10.1016/j.compedu.2018.02.009</w:t>
      </w:r>
    </w:p>
    <w:p w14:paraId="77F58854"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Booton, S. A., Hodgkiss, A., and Murphy, V. A. (2021). The impact of mobile application features on children’s language and literacy learning: a systematic review. Computer Assisted Language Learning, 1–30. https://doi.org/10.1080/09588221.2021.1930057</w:t>
      </w:r>
    </w:p>
    <w:p w14:paraId="217BE4DF"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Bowers, J. S. (2021). </w:t>
      </w:r>
      <w:proofErr w:type="gramStart"/>
      <w:r w:rsidRPr="00C5189D">
        <w:rPr>
          <w:rFonts w:ascii="Arial" w:hAnsi="Arial" w:cs="Arial"/>
        </w:rPr>
        <w:t>Yes</w:t>
      </w:r>
      <w:proofErr w:type="gramEnd"/>
      <w:r w:rsidRPr="00C5189D">
        <w:rPr>
          <w:rFonts w:ascii="Arial" w:hAnsi="Arial" w:cs="Arial"/>
        </w:rPr>
        <w:t xml:space="preserve"> Children Need to Learn Their GPCs but There Really Is Little or No Evidence that Systematic or Explicit Phonics Is Effective: a response to Fletcher, Savage, and Sharon (2020). Educational Psychology Review. https://doi.org/10.1007/s10648-021-09602-z</w:t>
      </w:r>
    </w:p>
    <w:p w14:paraId="2907F74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Buckley, P. &amp; Doyle, E. (2016) Gamification and student motivation, Interactive Learning Environments, 24:6, 1162-1175, https://doi.org/10.1080/10494820.2014.964263</w:t>
      </w:r>
    </w:p>
    <w:p w14:paraId="31A66EC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Castelli, D. M., Barcelona, J. M., and Bryant, L. (2015). Contextualizing physical literacy in the school environment: The challenges. Journal of Sport and Health Science, 4(2), 156–163. https://doi.org/10.1016/j.jshs.2015.04.003</w:t>
      </w:r>
    </w:p>
    <w:p w14:paraId="58F5B305"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Castles, A., </w:t>
      </w:r>
      <w:proofErr w:type="spellStart"/>
      <w:r w:rsidRPr="00C5189D">
        <w:rPr>
          <w:rFonts w:ascii="Arial" w:hAnsi="Arial" w:cs="Arial"/>
        </w:rPr>
        <w:t>Rastle</w:t>
      </w:r>
      <w:proofErr w:type="spellEnd"/>
      <w:r w:rsidRPr="00C5189D">
        <w:rPr>
          <w:rFonts w:ascii="Arial" w:hAnsi="Arial" w:cs="Arial"/>
        </w:rPr>
        <w:t xml:space="preserve">, K., and Nation, K. (2018). Ending the Reading Wars: Reading Acquisition </w:t>
      </w:r>
      <w:proofErr w:type="gramStart"/>
      <w:r w:rsidRPr="00C5189D">
        <w:rPr>
          <w:rFonts w:ascii="Arial" w:hAnsi="Arial" w:cs="Arial"/>
        </w:rPr>
        <w:t>From</w:t>
      </w:r>
      <w:proofErr w:type="gramEnd"/>
      <w:r w:rsidRPr="00C5189D">
        <w:rPr>
          <w:rFonts w:ascii="Arial" w:hAnsi="Arial" w:cs="Arial"/>
        </w:rPr>
        <w:t xml:space="preserve"> Novice to Expert. Psychological Science in the Public Interest, 19(1), 5–51. https://doi.org/10.1177/1529100618772271</w:t>
      </w:r>
    </w:p>
    <w:p w14:paraId="64E1AD04"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Charlesworth Author Services. (2021, January 19). Statistics and data presentation: Understanding Effect Size. Master the Art of Effect Size in Statistics – </w:t>
      </w:r>
      <w:hyperlink r:id="rId15" w:history="1">
        <w:r w:rsidRPr="00C5189D">
          <w:rPr>
            <w:rStyle w:val="Hyperlink"/>
            <w:rFonts w:ascii="Arial" w:hAnsi="Arial" w:cs="Arial"/>
            <w:color w:val="auto"/>
            <w:u w:val="none"/>
          </w:rPr>
          <w:t>https://www.cwauthors.com/article/Statistics-and-data-presentation-understanding-</w:t>
        </w:r>
        <w:r w:rsidRPr="00C5189D">
          <w:rPr>
            <w:rStyle w:val="Hyperlink"/>
            <w:rFonts w:ascii="Arial" w:hAnsi="Arial" w:cs="Arial"/>
            <w:color w:val="auto"/>
            <w:u w:val="none"/>
          </w:rPr>
          <w:lastRenderedPageBreak/>
          <w:t>effectsize.https://www.cwauthors.com/article/Statistics-and-</w:t>
        </w:r>
      </w:hyperlink>
      <w:r w:rsidRPr="00C5189D">
        <w:rPr>
          <w:rFonts w:ascii="Arial" w:hAnsi="Arial" w:cs="Arial"/>
        </w:rPr>
        <w:t xml:space="preserve"> data-presentation understanding-effect-size</w:t>
      </w:r>
    </w:p>
    <w:p w14:paraId="40B7695D"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Chen, Y.-P. P., Johnson, C., Lalbakhsh, P., </w:t>
      </w:r>
      <w:proofErr w:type="spellStart"/>
      <w:r w:rsidRPr="00C5189D">
        <w:rPr>
          <w:rFonts w:ascii="Arial" w:hAnsi="Arial" w:cs="Arial"/>
        </w:rPr>
        <w:t>Caelli</w:t>
      </w:r>
      <w:proofErr w:type="spellEnd"/>
      <w:r w:rsidRPr="00C5189D">
        <w:rPr>
          <w:rFonts w:ascii="Arial" w:hAnsi="Arial" w:cs="Arial"/>
        </w:rPr>
        <w:t>, T., Deng, G., Tay, D., Morris, M. E. (2016). Systematic review of virtual speech therapists for speech disorders. Computer Speech and Language, 37, 98–128. </w:t>
      </w:r>
      <w:hyperlink r:id="rId16" w:history="1">
        <w:r w:rsidRPr="00C5189D">
          <w:rPr>
            <w:rStyle w:val="Hyperlink"/>
            <w:rFonts w:ascii="Arial" w:hAnsi="Arial" w:cs="Arial"/>
            <w:color w:val="auto"/>
            <w:u w:val="none"/>
          </w:rPr>
          <w:t>https://doi.org/10.1016/j.csl.2015.08.005</w:t>
        </w:r>
      </w:hyperlink>
    </w:p>
    <w:p w14:paraId="5751F8BD"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Choi, K., Yoon, Y.-J., Song, O.-Y., and Choi, S.-M. (2018). Interactive and Immersive Learning Using 360° Virtual Reality Contents on Mobile Platforms. Mobile Information Systems, 2018, 1–12. https://doi.org/10.1155/2018/2306031</w:t>
      </w:r>
    </w:p>
    <w:p w14:paraId="7EC05056"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Christina, R., and Vinogradova, E. (2017). Differentiation of Effect Across Systemic Literacy Programs in Rwanda, the Philippines, and Senegal. New Directions for Child and Adolescent Development, 2017(155), 51–65. https://doi.org/10.1002/cad.20188</w:t>
      </w:r>
    </w:p>
    <w:p w14:paraId="32D6DFBD" w14:textId="77777777" w:rsidR="00C5189D" w:rsidRPr="00C5189D" w:rsidRDefault="00C5189D" w:rsidP="00C5189D">
      <w:pPr>
        <w:spacing w:after="160"/>
        <w:jc w:val="both"/>
        <w:rPr>
          <w:rFonts w:ascii="Arial" w:hAnsi="Arial" w:cs="Arial"/>
        </w:rPr>
      </w:pPr>
      <w:r w:rsidRPr="00C5189D">
        <w:rPr>
          <w:rFonts w:ascii="Arial" w:hAnsi="Arial" w:cs="Arial"/>
        </w:rPr>
        <w:t>Clark, R. C., and Mayer, R. E. (2023). E-learning and the science of instruction: Proven guidelines for consumers and designers of multimedia learning. john Wiley and sons.</w:t>
      </w:r>
    </w:p>
    <w:p w14:paraId="78523018" w14:textId="77777777" w:rsidR="00C5189D" w:rsidRPr="00C5189D" w:rsidRDefault="00C5189D" w:rsidP="00C5189D">
      <w:pPr>
        <w:spacing w:after="160"/>
        <w:ind w:left="720" w:hanging="720"/>
        <w:jc w:val="both"/>
        <w:rPr>
          <w:rFonts w:ascii="Arial" w:hAnsi="Arial" w:cs="Arial"/>
          <w:shd w:val="clear" w:color="auto" w:fill="FFFFFF"/>
        </w:rPr>
      </w:pPr>
      <w:r w:rsidRPr="00C5189D">
        <w:rPr>
          <w:rFonts w:ascii="Arial" w:hAnsi="Arial" w:cs="Arial"/>
        </w:rPr>
        <w:t>Comings, J. P. (2020). A case study of innovations that address constraints on the effectiveness of early-grade reading achievement. Prospects, 52(1–2), 173–188. https://unesdoc.unesco.org/ark:/48223/pf0000386031</w:t>
      </w:r>
    </w:p>
    <w:p w14:paraId="040C1224"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Osmani, S. (2024, March). Digital advancements in literacy: Assessing the effects of technology on reading comprehension and fluency. In IAI ACADEMIC CONFERENCE PROCEEDINGS (p. 29). 62-5. https://ia-institute.com/wp-content/uploads/2024/04/Proceedings_Barcelona-2024-1.pdf</w:t>
      </w:r>
    </w:p>
    <w:p w14:paraId="5E20A7A6"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De Witt, M. W., and Lessing, A. C. (2017). The deconstruction and understanding of pre-literacy development and reading acquisition. Early Child Development and Care, 1–14. https://doi.org/10.1080/03004430.2017.1329727</w:t>
      </w:r>
    </w:p>
    <w:p w14:paraId="25CC6A77"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Deeva, G., Bogdanova, D., </w:t>
      </w:r>
      <w:proofErr w:type="spellStart"/>
      <w:r w:rsidRPr="00C5189D">
        <w:rPr>
          <w:rFonts w:ascii="Arial" w:hAnsi="Arial" w:cs="Arial"/>
        </w:rPr>
        <w:t>Serral</w:t>
      </w:r>
      <w:proofErr w:type="spellEnd"/>
      <w:r w:rsidRPr="00C5189D">
        <w:rPr>
          <w:rFonts w:ascii="Arial" w:hAnsi="Arial" w:cs="Arial"/>
        </w:rPr>
        <w:t xml:space="preserve">, E., </w:t>
      </w:r>
      <w:proofErr w:type="spellStart"/>
      <w:r w:rsidRPr="00C5189D">
        <w:rPr>
          <w:rFonts w:ascii="Arial" w:hAnsi="Arial" w:cs="Arial"/>
        </w:rPr>
        <w:t>Snoeck</w:t>
      </w:r>
      <w:proofErr w:type="spellEnd"/>
      <w:r w:rsidRPr="00C5189D">
        <w:rPr>
          <w:rFonts w:ascii="Arial" w:hAnsi="Arial" w:cs="Arial"/>
        </w:rPr>
        <w:t>, M., and De Weerdt, J. (2020). A review of automated feedback systems for learners: classification framework, challenges and opportunities. Computers and Education, 104094. https://doi.org/10.1016/j.compedu.2020.104094</w:t>
      </w:r>
    </w:p>
    <w:p w14:paraId="2E1D24EF"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DepEd Misamis Oriental. (2022). Action Plan and Reading Program Content. https://www.depedmisor.com/20221.html</w:t>
      </w:r>
    </w:p>
    <w:p w14:paraId="2F1EA62A"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DepEd Misamis Oriental. (2023). Upskilling of School Heads and Supervisors on ELLN. https://www.depedmisor.com/2023.html</w:t>
      </w:r>
    </w:p>
    <w:p w14:paraId="45D95BB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DepEd. (2019). DepEd Order No. 14, s. 2019: Policy Guidelines on the K to 12 Basic Education Program. https://www.deped.gov.ph/2019/08/22/august-22-2019-do-021-s-2019-policy-guidelines-on-the-k-to-12-basic-education-program/</w:t>
      </w:r>
    </w:p>
    <w:p w14:paraId="3EA0801B"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Dietrichson</w:t>
      </w:r>
      <w:proofErr w:type="spellEnd"/>
      <w:r w:rsidRPr="00C5189D">
        <w:rPr>
          <w:rFonts w:ascii="Arial" w:hAnsi="Arial" w:cs="Arial"/>
        </w:rPr>
        <w:t xml:space="preserve">, J., Filges, T., Seerup, J. K., Klokker, R. H., </w:t>
      </w:r>
      <w:proofErr w:type="spellStart"/>
      <w:r w:rsidRPr="00C5189D">
        <w:rPr>
          <w:rFonts w:ascii="Arial" w:hAnsi="Arial" w:cs="Arial"/>
        </w:rPr>
        <w:t>Viinholt</w:t>
      </w:r>
      <w:proofErr w:type="spellEnd"/>
      <w:r w:rsidRPr="00C5189D">
        <w:rPr>
          <w:rFonts w:ascii="Arial" w:hAnsi="Arial" w:cs="Arial"/>
        </w:rPr>
        <w:t>, B. C. A., Bøg, M., and Eiberg, M. (2021). Targeted school</w:t>
      </w:r>
      <w:r w:rsidRPr="00C5189D">
        <w:rPr>
          <w:rFonts w:ascii="Cambria Math" w:hAnsi="Cambria Math" w:cs="Cambria Math"/>
        </w:rPr>
        <w:t>‐</w:t>
      </w:r>
      <w:r w:rsidRPr="00C5189D">
        <w:rPr>
          <w:rFonts w:ascii="Arial" w:hAnsi="Arial" w:cs="Arial"/>
        </w:rPr>
        <w:t>based interventions for improving reading and mathematics for students with or at risk of academic difficulties in Grades K</w:t>
      </w:r>
      <w:r w:rsidRPr="00C5189D">
        <w:rPr>
          <w:rFonts w:ascii="Cambria Math" w:hAnsi="Cambria Math" w:cs="Cambria Math"/>
        </w:rPr>
        <w:t>‐</w:t>
      </w:r>
      <w:r w:rsidRPr="00C5189D">
        <w:rPr>
          <w:rFonts w:ascii="Arial" w:hAnsi="Arial" w:cs="Arial"/>
        </w:rPr>
        <w:t>6: A systematic review. Campbell Systematic Reviews, 17(2). https://doi.org/10.1002/cl2.1152</w:t>
      </w:r>
    </w:p>
    <w:p w14:paraId="2E5F529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Dontre, A. J. (2020). The influence of technology on academic distraction: A review. Human Behavior and Emerging Technologies, 3(3), 379–390. https://doi.org/10.1002/hbe2.229</w:t>
      </w:r>
    </w:p>
    <w:p w14:paraId="19F143D4"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lastRenderedPageBreak/>
        <w:t>Dumanig</w:t>
      </w:r>
      <w:proofErr w:type="spellEnd"/>
      <w:r w:rsidRPr="00C5189D">
        <w:rPr>
          <w:rFonts w:ascii="Arial" w:hAnsi="Arial" w:cs="Arial"/>
        </w:rPr>
        <w:t xml:space="preserve">, R. T., and </w:t>
      </w:r>
      <w:proofErr w:type="spellStart"/>
      <w:r w:rsidRPr="00C5189D">
        <w:rPr>
          <w:rFonts w:ascii="Arial" w:hAnsi="Arial" w:cs="Arial"/>
        </w:rPr>
        <w:t>Galado</w:t>
      </w:r>
      <w:proofErr w:type="spellEnd"/>
      <w:r w:rsidRPr="00C5189D">
        <w:rPr>
          <w:rFonts w:ascii="Arial" w:hAnsi="Arial" w:cs="Arial"/>
        </w:rPr>
        <w:t xml:space="preserve">, J. (2024). The Effectiveness of Teaching Approaches in English For Struggling Readers in Butuan Central Elementary School. https://wwjmrd.com/archive/2024/5/2218/the-effectiveness-of-teaching-approaches-in-english-for-struggling-readers-in-butuan-central-elementary-school </w:t>
      </w:r>
    </w:p>
    <w:p w14:paraId="57C3D9FB"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Falloon, G. (2020). From digital literacy to digital competence: the teacher digital competency (TDC) framework. Educational Technology Research and Development, 68(5), 2449–2472. </w:t>
      </w:r>
      <w:hyperlink r:id="rId17" w:history="1">
        <w:r w:rsidRPr="00C5189D">
          <w:rPr>
            <w:rStyle w:val="Hyperlink"/>
            <w:rFonts w:ascii="Arial" w:hAnsi="Arial" w:cs="Arial"/>
            <w:color w:val="auto"/>
            <w:u w:val="none"/>
          </w:rPr>
          <w:t>https://doi.org/10.1007/s11423-020-09767-4</w:t>
        </w:r>
      </w:hyperlink>
    </w:p>
    <w:p w14:paraId="0F8E545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Feiler, J. B., and </w:t>
      </w:r>
      <w:proofErr w:type="spellStart"/>
      <w:r w:rsidRPr="00C5189D">
        <w:rPr>
          <w:rFonts w:ascii="Arial" w:hAnsi="Arial" w:cs="Arial"/>
        </w:rPr>
        <w:t>Stabio</w:t>
      </w:r>
      <w:proofErr w:type="spellEnd"/>
      <w:r w:rsidRPr="00C5189D">
        <w:rPr>
          <w:rFonts w:ascii="Arial" w:hAnsi="Arial" w:cs="Arial"/>
        </w:rPr>
        <w:t>, M. E. (2018). Three Pillars of Educational Neuroscience from Three Decades of Literature. Trends in Neuroscience and Education. https://doi.org/10.1016/j.tine.2018.11.001</w:t>
      </w:r>
    </w:p>
    <w:p w14:paraId="6246657F"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Ferri, F., Grifoni, P., &amp; Guzzo, T. (2020). Online Learning and Emergency Remote Teaching: Opportunities and Challenges in Emergency Situations. Societies, 10(4), 86. https://doi.org/10.3390/soc10040086</w:t>
      </w:r>
    </w:p>
    <w:p w14:paraId="41B09573"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Fiorella, L., and Mayer, R. E. (2015). Learning as a generative activity. Cambridge university press. https://doi.org/10.1017/CBO9781107707085</w:t>
      </w:r>
    </w:p>
    <w:p w14:paraId="2E622E3A"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Fiorella, L., and Mayer, R. E. (2021). Principles for reducing extraneous processing in multimedia learning: Coherence, signaling, redundancy, spatial contiguity, and temporal contiguity principles. The Cambridge handbook of multimedia learning, 3, 185-198.</w:t>
      </w:r>
    </w:p>
    <w:p w14:paraId="07942B8F"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Freire, T., Marotti, B. D., Da Costa, A. R. A., and </w:t>
      </w:r>
      <w:proofErr w:type="spellStart"/>
      <w:r w:rsidRPr="00C5189D">
        <w:rPr>
          <w:rFonts w:ascii="Arial" w:hAnsi="Arial" w:cs="Arial"/>
        </w:rPr>
        <w:t>Crenitte</w:t>
      </w:r>
      <w:proofErr w:type="spellEnd"/>
      <w:r w:rsidRPr="00C5189D">
        <w:rPr>
          <w:rFonts w:ascii="Arial" w:hAnsi="Arial" w:cs="Arial"/>
        </w:rPr>
        <w:t>, P. a. P. (2020, October 19). Response to Intervention: a phonological awareness program. https://www.jscimedcentral.com/jounal-article-info/Annals-of-Pediatrics-and-Child-Health/Response-to-Intervention%3A--A-Phonological-Awareness--Program-7984</w:t>
      </w:r>
    </w:p>
    <w:p w14:paraId="5A57C12C"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Furlong, L., Erickson, S., and Morris, M. E. (2017). Computer-based speech therapy for childhood speech sound disorders. Journal of Communication Disorders, 68, 50–69. </w:t>
      </w:r>
      <w:hyperlink r:id="rId18" w:history="1">
        <w:r w:rsidRPr="00C5189D">
          <w:rPr>
            <w:rStyle w:val="Hyperlink"/>
            <w:rFonts w:ascii="Arial" w:hAnsi="Arial" w:cs="Arial"/>
            <w:color w:val="auto"/>
            <w:u w:val="none"/>
          </w:rPr>
          <w:t>https://doi.org/10.1016/j.jcomdis.2017.06.007</w:t>
        </w:r>
      </w:hyperlink>
    </w:p>
    <w:p w14:paraId="739AA5F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Gesel, S. A., LeJeune, L. M., and Lemons, C. J. (2019). Teaching Phonological Awareness to Preschoolers with Down Syndrome: Boosting Reading Readiness. Young Exceptional Children, 109625061986595. https://doi.org/10.1177/1096250619865953</w:t>
      </w:r>
    </w:p>
    <w:p w14:paraId="0EDE3E5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Gillon, G. T. (2017). Phonological awareness: From research to practice. Guilford Publications. https://www.guilford.com/books/PhonologicalAwareness/Gail-Gillon/9781462532889</w:t>
      </w:r>
    </w:p>
    <w:p w14:paraId="7F0B47D4" w14:textId="77777777" w:rsidR="00C5189D" w:rsidRPr="00C5189D" w:rsidRDefault="00C5189D" w:rsidP="00C5189D">
      <w:pPr>
        <w:spacing w:after="160"/>
        <w:ind w:left="720" w:hanging="720"/>
        <w:rPr>
          <w:rFonts w:ascii="Arial" w:hAnsi="Arial" w:cs="Arial"/>
        </w:rPr>
      </w:pPr>
      <w:r w:rsidRPr="00C5189D">
        <w:rPr>
          <w:rFonts w:ascii="Arial" w:hAnsi="Arial" w:cs="Arial"/>
        </w:rPr>
        <w:t>Goswami, U. (2020). Toward Realizing the Promise of Educational Neuroscience: Improving Experimental Design in Developmental Cognitive Neuroscience Studies. Annual Review of Developmental Psychology, 2(1), 133–155. </w:t>
      </w:r>
      <w:hyperlink r:id="rId19" w:history="1">
        <w:r w:rsidRPr="00C5189D">
          <w:rPr>
            <w:rStyle w:val="Hyperlink"/>
            <w:rFonts w:ascii="Arial" w:hAnsi="Arial" w:cs="Arial"/>
            <w:color w:val="auto"/>
            <w:u w:val="none"/>
          </w:rPr>
          <w:t>https://doi.org/10.1146/annurev-devpsych-042320-100040</w:t>
        </w:r>
      </w:hyperlink>
    </w:p>
    <w:p w14:paraId="6ECF8C3F"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Heß</w:t>
      </w:r>
      <w:proofErr w:type="spellEnd"/>
      <w:r w:rsidRPr="00C5189D">
        <w:rPr>
          <w:rFonts w:ascii="Arial" w:hAnsi="Arial" w:cs="Arial"/>
        </w:rPr>
        <w:t xml:space="preserve">, J., Karageorgos, P., Müller, B., Riedmann, A., Schaper, P., </w:t>
      </w:r>
      <w:proofErr w:type="spellStart"/>
      <w:r w:rsidRPr="00C5189D">
        <w:rPr>
          <w:rFonts w:ascii="Arial" w:hAnsi="Arial" w:cs="Arial"/>
        </w:rPr>
        <w:t>Lugrin</w:t>
      </w:r>
      <w:proofErr w:type="spellEnd"/>
      <w:r w:rsidRPr="00C5189D">
        <w:rPr>
          <w:rFonts w:ascii="Arial" w:hAnsi="Arial" w:cs="Arial"/>
        </w:rPr>
        <w:t>, B., and Richter, T. (2024). Improving word reading skills of low</w:t>
      </w:r>
      <w:r w:rsidRPr="00C5189D">
        <w:rPr>
          <w:rFonts w:ascii="Cambria Math" w:hAnsi="Cambria Math" w:cs="Cambria Math"/>
        </w:rPr>
        <w:t>‐</w:t>
      </w:r>
      <w:r w:rsidRPr="00C5189D">
        <w:rPr>
          <w:rFonts w:ascii="Arial" w:hAnsi="Arial" w:cs="Arial"/>
        </w:rPr>
        <w:t>skilled readers: An intervention combining a syllable</w:t>
      </w:r>
      <w:r w:rsidRPr="00C5189D">
        <w:rPr>
          <w:rFonts w:ascii="Cambria Math" w:hAnsi="Cambria Math" w:cs="Cambria Math"/>
        </w:rPr>
        <w:t>‐</w:t>
      </w:r>
      <w:r w:rsidRPr="00C5189D">
        <w:rPr>
          <w:rFonts w:ascii="Arial" w:hAnsi="Arial" w:cs="Arial"/>
        </w:rPr>
        <w:t>based approach with digital game</w:t>
      </w:r>
      <w:r w:rsidRPr="00C5189D">
        <w:rPr>
          <w:rFonts w:ascii="Cambria Math" w:hAnsi="Cambria Math" w:cs="Cambria Math"/>
        </w:rPr>
        <w:t>‐</w:t>
      </w:r>
      <w:r w:rsidRPr="00C5189D">
        <w:rPr>
          <w:rFonts w:ascii="Arial" w:hAnsi="Arial" w:cs="Arial"/>
        </w:rPr>
        <w:t>based features. Journal of Computer Assisted Learning, 40(5), 2306–2324. https://doi.org/10.1111/jcal.13021</w:t>
      </w:r>
    </w:p>
    <w:p w14:paraId="2B442D05"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Hirsh-Pasek, K., </w:t>
      </w:r>
      <w:proofErr w:type="spellStart"/>
      <w:r w:rsidRPr="00C5189D">
        <w:rPr>
          <w:rFonts w:ascii="Arial" w:hAnsi="Arial" w:cs="Arial"/>
        </w:rPr>
        <w:t>Zosh</w:t>
      </w:r>
      <w:proofErr w:type="spellEnd"/>
      <w:r w:rsidRPr="00C5189D">
        <w:rPr>
          <w:rFonts w:ascii="Arial" w:hAnsi="Arial" w:cs="Arial"/>
        </w:rPr>
        <w:t xml:space="preserve">, J. M., Golinkoff, R. M., Gray, J. H., Robb, M. B., &amp; Kaufman, J. (2015). Putting Education in “Educational” Apps. Psychological Science in the Public Interest, 16(1), 3–34. </w:t>
      </w:r>
      <w:hyperlink r:id="rId20" w:history="1">
        <w:r w:rsidRPr="00C5189D">
          <w:rPr>
            <w:rStyle w:val="Hyperlink"/>
            <w:rFonts w:ascii="Arial" w:hAnsi="Arial" w:cs="Arial"/>
            <w:color w:val="auto"/>
            <w:u w:val="none"/>
          </w:rPr>
          <w:t>https://doi.org/10.1177/1529100615569721</w:t>
        </w:r>
      </w:hyperlink>
    </w:p>
    <w:p w14:paraId="717FF473" w14:textId="77777777" w:rsidR="00C5189D" w:rsidRPr="00C5189D" w:rsidRDefault="00C5189D" w:rsidP="00C5189D">
      <w:pPr>
        <w:spacing w:after="160"/>
        <w:ind w:left="720" w:hanging="720"/>
        <w:jc w:val="both"/>
        <w:rPr>
          <w:rFonts w:ascii="Arial" w:hAnsi="Arial" w:cs="Arial"/>
        </w:rPr>
      </w:pPr>
      <w:r w:rsidRPr="00C5189D">
        <w:rPr>
          <w:rFonts w:ascii="Arial" w:hAnsi="Arial" w:cs="Arial"/>
        </w:rPr>
        <w:lastRenderedPageBreak/>
        <w:t>Hofmann, V. (2021). App-based learning in phonological awareness and word-reading comprehension and its specific benefits for lower achieving students. International Journal of Educational Research Open, 2, 100066. https://doi.org/10.1016/j.ijedro.2021.100066</w:t>
      </w:r>
    </w:p>
    <w:p w14:paraId="54D1E59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Imam, S., Coley, D. A., and Walker, I. (2017). The building performance gap: Are </w:t>
      </w:r>
      <w:proofErr w:type="spellStart"/>
      <w:r w:rsidRPr="00C5189D">
        <w:rPr>
          <w:rFonts w:ascii="Arial" w:hAnsi="Arial" w:cs="Arial"/>
        </w:rPr>
        <w:t>modellers</w:t>
      </w:r>
      <w:proofErr w:type="spellEnd"/>
      <w:r w:rsidRPr="00C5189D">
        <w:rPr>
          <w:rFonts w:ascii="Arial" w:hAnsi="Arial" w:cs="Arial"/>
        </w:rPr>
        <w:t xml:space="preserve"> literate? Building Services Engineering Research and Technology, 38(3), 351–375. https://doi.org/10.1177/0143624416684641</w:t>
      </w:r>
    </w:p>
    <w:p w14:paraId="1362084F"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Jamshidifarsani</w:t>
      </w:r>
      <w:proofErr w:type="spellEnd"/>
      <w:r w:rsidRPr="00C5189D">
        <w:rPr>
          <w:rFonts w:ascii="Arial" w:hAnsi="Arial" w:cs="Arial"/>
        </w:rPr>
        <w:t xml:space="preserve">, H., </w:t>
      </w:r>
      <w:proofErr w:type="spellStart"/>
      <w:r w:rsidRPr="00C5189D">
        <w:rPr>
          <w:rFonts w:ascii="Arial" w:hAnsi="Arial" w:cs="Arial"/>
        </w:rPr>
        <w:t>Garbaya</w:t>
      </w:r>
      <w:proofErr w:type="spellEnd"/>
      <w:r w:rsidRPr="00C5189D">
        <w:rPr>
          <w:rFonts w:ascii="Arial" w:hAnsi="Arial" w:cs="Arial"/>
        </w:rPr>
        <w:t>, S., Lim, T., Blazevic, P., and Ritchie, J. M. (2018). Technology-based reading intervention programs for elementary grades: An analytical review. Computers and Education. https://doi.org/10.1016/j.compedu.2018.10.003</w:t>
      </w:r>
    </w:p>
    <w:p w14:paraId="32E57D7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Jiang, D., </w:t>
      </w:r>
      <w:proofErr w:type="spellStart"/>
      <w:r w:rsidRPr="00C5189D">
        <w:rPr>
          <w:rFonts w:ascii="Arial" w:hAnsi="Arial" w:cs="Arial"/>
        </w:rPr>
        <w:t>Kalyuga</w:t>
      </w:r>
      <w:proofErr w:type="spellEnd"/>
      <w:r w:rsidRPr="00C5189D">
        <w:rPr>
          <w:rFonts w:ascii="Arial" w:hAnsi="Arial" w:cs="Arial"/>
        </w:rPr>
        <w:t xml:space="preserve">, S., and </w:t>
      </w:r>
      <w:proofErr w:type="spellStart"/>
      <w:r w:rsidRPr="00C5189D">
        <w:rPr>
          <w:rFonts w:ascii="Arial" w:hAnsi="Arial" w:cs="Arial"/>
        </w:rPr>
        <w:t>Sweller</w:t>
      </w:r>
      <w:proofErr w:type="spellEnd"/>
      <w:r w:rsidRPr="00C5189D">
        <w:rPr>
          <w:rFonts w:ascii="Arial" w:hAnsi="Arial" w:cs="Arial"/>
        </w:rPr>
        <w:t>, J. (2017). The Curious Case of Improving Foreign Language Listening Skills by Reading Rather than Listening: an Expertise Reversal Effect. Educational Psychology Review, 30(3), 1139–1165. https://doi.org/10.1007/s10648-017-9427-1</w:t>
      </w:r>
    </w:p>
    <w:p w14:paraId="290C067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Kilpatrick, D. A. (2015). Essentials of assessing, preventing, and overcoming reading </w:t>
      </w:r>
      <w:proofErr w:type="gramStart"/>
      <w:r w:rsidRPr="00C5189D">
        <w:rPr>
          <w:rFonts w:ascii="Arial" w:hAnsi="Arial" w:cs="Arial"/>
        </w:rPr>
        <w:t>difficulties.https://www.wiley.com/en/us/Essentials+of+Assessing%2C+Preventing%2C+and+Overcoming+Reading+Difficulties+-p-9781118845240</w:t>
      </w:r>
      <w:proofErr w:type="gramEnd"/>
    </w:p>
    <w:p w14:paraId="4D61E0B2"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Kirby, M. (2016). Implicit Assumptions in Special Education Policy: Promoting Full Inclusion for Students with Learning Disabilities. Child &amp; Youth Care Forum, 46(2), 175–191. https://doi.org/10.1007/s10566-016-9382-x</w:t>
      </w:r>
    </w:p>
    <w:p w14:paraId="3EF5ED1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Lalonde, K., &amp; Werner, L. A. (2021). Development of the Mechanisms Underlying Audiovisual Speech Perception Benefit. Brain Sciences, 11(1), 49. https://doi.org/10.3390/brainsci11010049</w:t>
      </w:r>
    </w:p>
    <w:p w14:paraId="7B95A927"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Leaño, A. J., Rabi, N. M., and </w:t>
      </w:r>
      <w:proofErr w:type="spellStart"/>
      <w:r w:rsidRPr="00C5189D">
        <w:rPr>
          <w:rFonts w:ascii="Arial" w:hAnsi="Arial" w:cs="Arial"/>
        </w:rPr>
        <w:t>Piragasam</w:t>
      </w:r>
      <w:proofErr w:type="spellEnd"/>
      <w:r w:rsidRPr="00C5189D">
        <w:rPr>
          <w:rFonts w:ascii="Arial" w:hAnsi="Arial" w:cs="Arial"/>
        </w:rPr>
        <w:t>, G. A. G. (2019). Speaking difficulties of Philippine indigenous learners in English Phonology. International Journal Academic Research Business and Social Sciences, 9(1), 1231-1244. https://www.researchgate.net/publication/334267949_Speaking_difficulties_of_Philippine_indigenous_learners_in_English_Phonology</w:t>
      </w:r>
    </w:p>
    <w:p w14:paraId="37872B8A"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Lee, O. (2018). English Language Proficiency Standards Aligned </w:t>
      </w:r>
      <w:proofErr w:type="gramStart"/>
      <w:r w:rsidRPr="00C5189D">
        <w:rPr>
          <w:rFonts w:ascii="Arial" w:hAnsi="Arial" w:cs="Arial"/>
        </w:rPr>
        <w:t>With</w:t>
      </w:r>
      <w:proofErr w:type="gramEnd"/>
      <w:r w:rsidRPr="00C5189D">
        <w:rPr>
          <w:rFonts w:ascii="Arial" w:hAnsi="Arial" w:cs="Arial"/>
        </w:rPr>
        <w:t xml:space="preserve"> Content Standards. Educational Researcher, 47(5), 317–327. </w:t>
      </w:r>
      <w:hyperlink r:id="rId21" w:history="1">
        <w:r w:rsidRPr="00C5189D">
          <w:rPr>
            <w:rStyle w:val="Hyperlink"/>
            <w:rFonts w:ascii="Arial" w:hAnsi="Arial" w:cs="Arial"/>
            <w:color w:val="auto"/>
            <w:u w:val="none"/>
          </w:rPr>
          <w:t>https://doi.org/10.3102/0013189X18763775</w:t>
        </w:r>
      </w:hyperlink>
    </w:p>
    <w:p w14:paraId="579E1609"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Leithwood</w:t>
      </w:r>
      <w:proofErr w:type="spellEnd"/>
      <w:r w:rsidRPr="00C5189D">
        <w:rPr>
          <w:rFonts w:ascii="Arial" w:hAnsi="Arial" w:cs="Arial"/>
        </w:rPr>
        <w:t xml:space="preserve">, K. (2021). A Review of Evidence about Equitable School Leadership. Education Sciences, 11(8), 377. </w:t>
      </w:r>
      <w:hyperlink r:id="rId22" w:history="1">
        <w:r w:rsidRPr="00C5189D">
          <w:rPr>
            <w:rStyle w:val="Hyperlink"/>
            <w:rFonts w:ascii="Arial" w:hAnsi="Arial" w:cs="Arial"/>
            <w:color w:val="auto"/>
            <w:u w:val="none"/>
          </w:rPr>
          <w:t>https://doi.org/10.3390/educsci11080377</w:t>
        </w:r>
      </w:hyperlink>
    </w:p>
    <w:p w14:paraId="66C04D5B"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Levesque, K. C., </w:t>
      </w:r>
      <w:proofErr w:type="spellStart"/>
      <w:r w:rsidRPr="00C5189D">
        <w:rPr>
          <w:rFonts w:ascii="Arial" w:hAnsi="Arial" w:cs="Arial"/>
        </w:rPr>
        <w:t>Breadmore</w:t>
      </w:r>
      <w:proofErr w:type="spellEnd"/>
      <w:r w:rsidRPr="00C5189D">
        <w:rPr>
          <w:rFonts w:ascii="Arial" w:hAnsi="Arial" w:cs="Arial"/>
        </w:rPr>
        <w:t>, H. L., and Deacon, S. H. (2020). How morphology impacts reading and spelling: Advancing the role of morphology in models of literacy development. Journal of Research in Reading. https://doi.org/10.1111/1467-9817.12313</w:t>
      </w:r>
    </w:p>
    <w:p w14:paraId="7A648016"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Li, J., Antonenko, P. D., and Wang, J. (2019). Trends and issues in multimedia learning research in 1996–2016: A bibliometric analysis. Educational Research Review, 28, 100282. https://doi.org/10.1016/j.edurev.2019.100282</w:t>
      </w:r>
    </w:p>
    <w:p w14:paraId="7C92B8A3"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LI, S., ZHU, Y., and ELLIS, R. (2016). The Effects of the Timing of Corrective Feedback on the Acquisition of a New Linguistic Structure. The Modern Language Journal, 100(1), 276–295. https://doi.org/10.1111/modl.12315</w:t>
      </w:r>
    </w:p>
    <w:p w14:paraId="23C22DB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lastRenderedPageBreak/>
        <w:t xml:space="preserve">Llorens-Largo, F., Gallego-Duran, F. J., Villagra-Arnedo, C. J., </w:t>
      </w:r>
      <w:proofErr w:type="spellStart"/>
      <w:r w:rsidRPr="00C5189D">
        <w:rPr>
          <w:rFonts w:ascii="Arial" w:hAnsi="Arial" w:cs="Arial"/>
        </w:rPr>
        <w:t>Compan-Rosique</w:t>
      </w:r>
      <w:proofErr w:type="spellEnd"/>
      <w:r w:rsidRPr="00C5189D">
        <w:rPr>
          <w:rFonts w:ascii="Arial" w:hAnsi="Arial" w:cs="Arial"/>
        </w:rPr>
        <w:t xml:space="preserve">, P., </w:t>
      </w:r>
      <w:proofErr w:type="spellStart"/>
      <w:r w:rsidRPr="00C5189D">
        <w:rPr>
          <w:rFonts w:ascii="Arial" w:hAnsi="Arial" w:cs="Arial"/>
        </w:rPr>
        <w:t>Satorre-Cuerda</w:t>
      </w:r>
      <w:proofErr w:type="spellEnd"/>
      <w:r w:rsidRPr="00C5189D">
        <w:rPr>
          <w:rFonts w:ascii="Arial" w:hAnsi="Arial" w:cs="Arial"/>
        </w:rPr>
        <w:t xml:space="preserve">, R., and Molina-Carmona, R. (2016). Gamification of the Learning Process: Lessons Learned. IEEE </w:t>
      </w:r>
      <w:proofErr w:type="spellStart"/>
      <w:r w:rsidRPr="00C5189D">
        <w:rPr>
          <w:rFonts w:ascii="Arial" w:hAnsi="Arial" w:cs="Arial"/>
        </w:rPr>
        <w:t>Revista</w:t>
      </w:r>
      <w:proofErr w:type="spellEnd"/>
      <w:r w:rsidRPr="00C5189D">
        <w:rPr>
          <w:rFonts w:ascii="Arial" w:hAnsi="Arial" w:cs="Arial"/>
        </w:rPr>
        <w:t xml:space="preserve"> </w:t>
      </w:r>
      <w:proofErr w:type="spellStart"/>
      <w:r w:rsidRPr="00C5189D">
        <w:rPr>
          <w:rFonts w:ascii="Arial" w:hAnsi="Arial" w:cs="Arial"/>
        </w:rPr>
        <w:t>Iberoamericana</w:t>
      </w:r>
      <w:proofErr w:type="spellEnd"/>
      <w:r w:rsidRPr="00C5189D">
        <w:rPr>
          <w:rFonts w:ascii="Arial" w:hAnsi="Arial" w:cs="Arial"/>
        </w:rPr>
        <w:t xml:space="preserve"> de </w:t>
      </w:r>
      <w:proofErr w:type="spellStart"/>
      <w:r w:rsidRPr="00C5189D">
        <w:rPr>
          <w:rFonts w:ascii="Arial" w:hAnsi="Arial" w:cs="Arial"/>
        </w:rPr>
        <w:t>Tecnologias</w:t>
      </w:r>
      <w:proofErr w:type="spellEnd"/>
      <w:r w:rsidRPr="00C5189D">
        <w:rPr>
          <w:rFonts w:ascii="Arial" w:hAnsi="Arial" w:cs="Arial"/>
        </w:rPr>
        <w:t xml:space="preserve"> Del </w:t>
      </w:r>
      <w:proofErr w:type="spellStart"/>
      <w:r w:rsidRPr="00C5189D">
        <w:rPr>
          <w:rFonts w:ascii="Arial" w:hAnsi="Arial" w:cs="Arial"/>
        </w:rPr>
        <w:t>Aprendizaje</w:t>
      </w:r>
      <w:proofErr w:type="spellEnd"/>
      <w:r w:rsidRPr="00C5189D">
        <w:rPr>
          <w:rFonts w:ascii="Arial" w:hAnsi="Arial" w:cs="Arial"/>
        </w:rPr>
        <w:t>, 11(4), 227–234. </w:t>
      </w:r>
      <w:hyperlink r:id="rId23" w:history="1">
        <w:r w:rsidRPr="00C5189D">
          <w:rPr>
            <w:rStyle w:val="Hyperlink"/>
            <w:rFonts w:ascii="Arial" w:hAnsi="Arial" w:cs="Arial"/>
            <w:color w:val="auto"/>
            <w:u w:val="none"/>
          </w:rPr>
          <w:t>https://doi.org/10.1109/rita.2016.2619138</w:t>
        </w:r>
      </w:hyperlink>
    </w:p>
    <w:p w14:paraId="6B61947C"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Lyytinen, H., Erskine, J., Hämäläinen, J., </w:t>
      </w:r>
      <w:proofErr w:type="spellStart"/>
      <w:r w:rsidRPr="00C5189D">
        <w:rPr>
          <w:rFonts w:ascii="Arial" w:hAnsi="Arial" w:cs="Arial"/>
        </w:rPr>
        <w:t>Torppa</w:t>
      </w:r>
      <w:proofErr w:type="spellEnd"/>
      <w:r w:rsidRPr="00C5189D">
        <w:rPr>
          <w:rFonts w:ascii="Arial" w:hAnsi="Arial" w:cs="Arial"/>
        </w:rPr>
        <w:t>, M., and Ronimus, M. (2015). Dyslexia—Early Identification and Prevention: Highlights from the Jyväskylä Longitudinal Study of Dyslexia. Current Developmental Disorders Reports, 2(4), 330–338. https://doi.org/10.1007/s40474-015-0067-1</w:t>
      </w:r>
    </w:p>
    <w:p w14:paraId="198A374F"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Manca, S., and Delfino, M. (2021). Adapting educational practices in emergency remote education: Continuity and change from a student perspective. British Journal of Educational Technology, 52(4), 1394–1413. https://doi.org/10.1111/bjet.13098</w:t>
      </w:r>
    </w:p>
    <w:p w14:paraId="667898A7"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Mayer, R. E. (2023). Cognitive load theory and its applications in multimedia learning. The past, present, and future of the cognitive theory of multimedia learning. https://doi.org/10.1007/s10648-023-09842-1</w:t>
      </w:r>
    </w:p>
    <w:p w14:paraId="3B853F65"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Mayer, R. E. (2024). Cognitive load theory and its applications in multimedia learning. The past, present, and future of the cognitive theory of multimedia learning. https://doi.org/10.1007/s10648-023-09842-1</w:t>
      </w:r>
    </w:p>
    <w:p w14:paraId="01DDE1C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McCarthy, E. M., Liu, Y., &amp; Schauer, K. L. (2020). Strengths-based blended personalized learning: An impact study using virtual comparison group. Journal of Research on Technology in Education, 52(3), 353–370. https://doi.org/10.1080/15391523.2020.1716202</w:t>
      </w:r>
    </w:p>
    <w:p w14:paraId="382B7233"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McKechnie, J., Ahmed, B., Gutierrez-Osuna, R., Monroe, P., McCabe, P., and Ballard, K. J. (2018). Automated speech analysis tools for children’s speech production: A systematic literature review. International Journal of Speech-Language Pathology, 1–17.</w:t>
      </w:r>
    </w:p>
    <w:p w14:paraId="75C8DF60"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           https://doi.org/10.1080/17549507.2018.1477991</w:t>
      </w:r>
    </w:p>
    <w:p w14:paraId="362E565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Meade, G. (2019). The role of phonology during visual word learning in adults: An integrative review. Psychonomic Bulletin and Review.</w:t>
      </w:r>
    </w:p>
    <w:p w14:paraId="2AB33A2C" w14:textId="77777777" w:rsidR="00C5189D" w:rsidRPr="00C5189D" w:rsidRDefault="00C5189D" w:rsidP="00C5189D">
      <w:pPr>
        <w:spacing w:after="160"/>
        <w:ind w:left="720"/>
        <w:jc w:val="both"/>
        <w:rPr>
          <w:rFonts w:ascii="Arial" w:hAnsi="Arial" w:cs="Arial"/>
        </w:rPr>
      </w:pPr>
      <w:r w:rsidRPr="00C5189D">
        <w:rPr>
          <w:rFonts w:ascii="Arial" w:hAnsi="Arial" w:cs="Arial"/>
        </w:rPr>
        <w:t>https://doi.org/10.3758/s13423-019-01647-0</w:t>
      </w:r>
    </w:p>
    <w:p w14:paraId="38CB796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Mirra, N., and Garcia, A. (2020). In Search of the Meaning and Purpose of 21st-Century Literacy Learning: A Critical Review of Research and Practice. Reading Research Quarterly. </w:t>
      </w:r>
      <w:hyperlink r:id="rId24" w:history="1">
        <w:r w:rsidRPr="00C5189D">
          <w:rPr>
            <w:rStyle w:val="Hyperlink"/>
            <w:rFonts w:ascii="Arial" w:hAnsi="Arial" w:cs="Arial"/>
            <w:color w:val="auto"/>
            <w:u w:val="none"/>
          </w:rPr>
          <w:t>https://doi.org/10.1002/rrq.313</w:t>
        </w:r>
      </w:hyperlink>
    </w:p>
    <w:p w14:paraId="70FD794C"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Moghavvemi</w:t>
      </w:r>
      <w:proofErr w:type="spellEnd"/>
      <w:r w:rsidRPr="00C5189D">
        <w:rPr>
          <w:rFonts w:ascii="Arial" w:hAnsi="Arial" w:cs="Arial"/>
        </w:rPr>
        <w:t xml:space="preserve">, S., Sulaiman, A., Jaafar, N. I., and Kasem, N. (2018). Social media as a complementary learning tool for teaching and learning: The case of </w:t>
      </w:r>
      <w:proofErr w:type="spellStart"/>
      <w:r w:rsidRPr="00C5189D">
        <w:rPr>
          <w:rFonts w:ascii="Arial" w:hAnsi="Arial" w:cs="Arial"/>
        </w:rPr>
        <w:t>youtube</w:t>
      </w:r>
      <w:proofErr w:type="spellEnd"/>
      <w:r w:rsidRPr="00C5189D">
        <w:rPr>
          <w:rFonts w:ascii="Arial" w:hAnsi="Arial" w:cs="Arial"/>
        </w:rPr>
        <w:t>. The International Journal of Management Education, 16(1), 37–42. https://doi.org/10.1016/j.ijme.2017.12.001</w:t>
      </w:r>
    </w:p>
    <w:p w14:paraId="472355BD"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Muñoz, C., Avello, D., and Pujadas, G. (2024). 8 Young learners’ L2 vocabulary acquisition through extensive viewing. In Multilingual Matters eBooks (pp. 114–131). </w:t>
      </w:r>
      <w:hyperlink r:id="rId25" w:history="1">
        <w:r w:rsidRPr="00C5189D">
          <w:rPr>
            <w:rStyle w:val="Hyperlink"/>
            <w:rFonts w:ascii="Arial" w:hAnsi="Arial" w:cs="Arial"/>
            <w:color w:val="auto"/>
            <w:u w:val="none"/>
          </w:rPr>
          <w:t>https://doi.org/10.21832/9781800418707-012</w:t>
        </w:r>
      </w:hyperlink>
    </w:p>
    <w:p w14:paraId="319D1AB0"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Mutlu-Bayraktar, D., </w:t>
      </w:r>
      <w:proofErr w:type="spellStart"/>
      <w:r w:rsidRPr="00C5189D">
        <w:rPr>
          <w:rFonts w:ascii="Arial" w:hAnsi="Arial" w:cs="Arial"/>
        </w:rPr>
        <w:t>Cosgun</w:t>
      </w:r>
      <w:proofErr w:type="spellEnd"/>
      <w:r w:rsidRPr="00C5189D">
        <w:rPr>
          <w:rFonts w:ascii="Arial" w:hAnsi="Arial" w:cs="Arial"/>
        </w:rPr>
        <w:t>, V., and Altan, T. (2019). Cognitive load in multimedia learning environments: A systematic review. Computers and Education, 103618. https://doi.org/10.1016/j.compedu.2019.103618</w:t>
      </w:r>
    </w:p>
    <w:p w14:paraId="7315A26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lastRenderedPageBreak/>
        <w:t>Neri, R. C., Lozano, M., and Gomez, L. M. (2019). (Re)framing Resistance to Culturally Relevant Education as a Multilevel Learning Problem. Review of Research in Education, 43(1), 197–226. </w:t>
      </w:r>
    </w:p>
    <w:p w14:paraId="20047322" w14:textId="77777777" w:rsidR="00C5189D" w:rsidRPr="00C5189D" w:rsidRDefault="00C5189D" w:rsidP="00C5189D">
      <w:pPr>
        <w:spacing w:after="160"/>
        <w:ind w:left="720"/>
        <w:jc w:val="both"/>
        <w:rPr>
          <w:rFonts w:ascii="Arial" w:hAnsi="Arial" w:cs="Arial"/>
        </w:rPr>
      </w:pPr>
      <w:r w:rsidRPr="00C5189D">
        <w:rPr>
          <w:rFonts w:ascii="Arial" w:hAnsi="Arial" w:cs="Arial"/>
        </w:rPr>
        <w:t>https://journals.sagepub.com/doi/10.3102/0091732X18821120</w:t>
      </w:r>
    </w:p>
    <w:p w14:paraId="65C1A2DC"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Neumann, M. M. (2017). Parent scaffolding of young children’s use of touch screen tablets. Early Child Development and Care, 1–11. http://dx.doi.org/10.1080/03004430.2016.1278215</w:t>
      </w:r>
    </w:p>
    <w:p w14:paraId="5091C503"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Ngwa, W., Olver, I., and </w:t>
      </w:r>
      <w:proofErr w:type="spellStart"/>
      <w:r w:rsidRPr="00C5189D">
        <w:rPr>
          <w:rFonts w:ascii="Arial" w:hAnsi="Arial" w:cs="Arial"/>
        </w:rPr>
        <w:t>Schmeler</w:t>
      </w:r>
      <w:proofErr w:type="spellEnd"/>
      <w:r w:rsidRPr="00C5189D">
        <w:rPr>
          <w:rFonts w:ascii="Arial" w:hAnsi="Arial" w:cs="Arial"/>
        </w:rPr>
        <w:t>, K. M. (2020). The Use of Health-Related Technology to Reduce the Gap Between Developed and Undeveloped Regions Around the Globe. American Society of Clinical Oncology Educational Book, (40), 1–10. https://ascopubs.org/doi/10.1200/EDBK_288613</w:t>
      </w:r>
    </w:p>
    <w:p w14:paraId="033FDDEF"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Nuara, A., Fabbri-Destro, M., </w:t>
      </w:r>
      <w:proofErr w:type="spellStart"/>
      <w:r w:rsidRPr="00C5189D">
        <w:rPr>
          <w:rFonts w:ascii="Arial" w:hAnsi="Arial" w:cs="Arial"/>
        </w:rPr>
        <w:t>Scalona</w:t>
      </w:r>
      <w:proofErr w:type="spellEnd"/>
      <w:r w:rsidRPr="00C5189D">
        <w:rPr>
          <w:rFonts w:ascii="Arial" w:hAnsi="Arial" w:cs="Arial"/>
        </w:rPr>
        <w:t xml:space="preserve">, E., Lenzi, S. E., Rizzolatti, G., and </w:t>
      </w:r>
      <w:proofErr w:type="spellStart"/>
      <w:r w:rsidRPr="00C5189D">
        <w:rPr>
          <w:rFonts w:ascii="Arial" w:hAnsi="Arial" w:cs="Arial"/>
        </w:rPr>
        <w:t>Avanzini</w:t>
      </w:r>
      <w:proofErr w:type="spellEnd"/>
      <w:r w:rsidRPr="00C5189D">
        <w:rPr>
          <w:rFonts w:ascii="Arial" w:hAnsi="Arial" w:cs="Arial"/>
        </w:rPr>
        <w:t xml:space="preserve">, P. (2021). Telerehabilitation in response to constrained physical distance: an opportunity to rethink </w:t>
      </w:r>
      <w:proofErr w:type="spellStart"/>
      <w:r w:rsidRPr="00C5189D">
        <w:rPr>
          <w:rFonts w:ascii="Arial" w:hAnsi="Arial" w:cs="Arial"/>
        </w:rPr>
        <w:t>neurorehabilitative</w:t>
      </w:r>
      <w:proofErr w:type="spellEnd"/>
      <w:r w:rsidRPr="00C5189D">
        <w:rPr>
          <w:rFonts w:ascii="Arial" w:hAnsi="Arial" w:cs="Arial"/>
        </w:rPr>
        <w:t xml:space="preserve"> routines. Journal of Neurology. https://doi.org/10.1007/s00415-021-10397-w</w:t>
      </w:r>
    </w:p>
    <w:p w14:paraId="4431C522"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Osmani, S. (2024, March). Digital advancements in literacy: Assessing the effects of technology on reading comprehension and fluency. In IAI Academic Conference Proceedings (p. 29). https://ia-institute.com/wp-content/uploads/2024/04/Proceedings_Barcelona-2024-1.pdf</w:t>
      </w:r>
    </w:p>
    <w:p w14:paraId="446482B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Pan, J., Song, S., Su, M., McBride, C., Liu, H., Zhang, Y., … Shu, H. (2015). On the relationship between phonological awareness, morphological awareness and Chinese literacy skills: evidence from an 8-year longitudinal study. Developmental Science, 19(6), 982–991. </w:t>
      </w:r>
      <w:hyperlink r:id="rId26" w:history="1">
        <w:r w:rsidRPr="00C5189D">
          <w:rPr>
            <w:rStyle w:val="Hyperlink"/>
            <w:rFonts w:ascii="Arial" w:hAnsi="Arial" w:cs="Arial"/>
            <w:color w:val="auto"/>
            <w:u w:val="none"/>
          </w:rPr>
          <w:t>https://doi.org/10.1111/desc.12356</w:t>
        </w:r>
      </w:hyperlink>
    </w:p>
    <w:p w14:paraId="5EF89840"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Peng, H., Ma, S., and Spector, J. M. (2019). Personalized adaptive learning: an emerging pedagogical approach enabled by a smart learning environment. Smart Learning Environments, 6(1). </w:t>
      </w:r>
      <w:hyperlink r:id="rId27" w:history="1">
        <w:r w:rsidRPr="00C5189D">
          <w:rPr>
            <w:rStyle w:val="Hyperlink"/>
            <w:rFonts w:ascii="Arial" w:hAnsi="Arial" w:cs="Arial"/>
            <w:color w:val="auto"/>
            <w:u w:val="none"/>
          </w:rPr>
          <w:t>https://slejournal.springeropen.com/articles/10.1186/s40561-019-0089-y</w:t>
        </w:r>
      </w:hyperlink>
    </w:p>
    <w:p w14:paraId="01F5B84E"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Perelmutter</w:t>
      </w:r>
      <w:proofErr w:type="spellEnd"/>
      <w:r w:rsidRPr="00C5189D">
        <w:rPr>
          <w:rFonts w:ascii="Arial" w:hAnsi="Arial" w:cs="Arial"/>
        </w:rPr>
        <w:t>, B., McGregor, K. K., and Gordon, K. R. (2017). Assistive technology interventions for adolescents and adults with learning disabilities: An evidence-based systematic review and meta-analysis. Computers &amp; Education, 114, 139–163. </w:t>
      </w:r>
      <w:hyperlink r:id="rId28" w:history="1">
        <w:r w:rsidRPr="00C5189D">
          <w:rPr>
            <w:rStyle w:val="Hyperlink"/>
            <w:rFonts w:ascii="Arial" w:hAnsi="Arial" w:cs="Arial"/>
            <w:color w:val="auto"/>
            <w:u w:val="none"/>
          </w:rPr>
          <w:t>https://doi.org/10.1016/j.compedu.2017.06.005</w:t>
        </w:r>
      </w:hyperlink>
    </w:p>
    <w:p w14:paraId="4AAC2EC6"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Rapport, M. D., Eckrich, S. J., Calub, C., and Friedman, L. M. (2020). Executive function training for children with attention-deficit/hyperactivity disorder. The Clinical Guide to Assessment and Treatment of Childhood Learning and Attention Problems, 171–196. https://doi.org/10.1016/B978-0-12-815755-8.00008-3</w:t>
      </w:r>
    </w:p>
    <w:p w14:paraId="4A8B42BD"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Reed, W. S. (n.d.). Persistent reading deficiencies in early education. Digital Commons @ ACU. </w:t>
      </w:r>
      <w:hyperlink r:id="rId29" w:history="1">
        <w:r w:rsidRPr="00C5189D">
          <w:rPr>
            <w:rStyle w:val="Hyperlink"/>
            <w:rFonts w:ascii="Arial" w:hAnsi="Arial" w:cs="Arial"/>
            <w:color w:val="auto"/>
            <w:u w:val="none"/>
          </w:rPr>
          <w:t>https://digitalcommons.acu.edu/etd/850/</w:t>
        </w:r>
      </w:hyperlink>
    </w:p>
    <w:p w14:paraId="5B8C3136"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Resta, P., and </w:t>
      </w:r>
      <w:proofErr w:type="spellStart"/>
      <w:r w:rsidRPr="00C5189D">
        <w:rPr>
          <w:rFonts w:ascii="Arial" w:hAnsi="Arial" w:cs="Arial"/>
        </w:rPr>
        <w:t>Laferrière</w:t>
      </w:r>
      <w:proofErr w:type="spellEnd"/>
      <w:r w:rsidRPr="00C5189D">
        <w:rPr>
          <w:rFonts w:ascii="Arial" w:hAnsi="Arial" w:cs="Arial"/>
        </w:rPr>
        <w:t>, T. (2015). Digital equity and intercultural education. Education and Information Technologies, 20(4), 743–756. </w:t>
      </w:r>
      <w:hyperlink r:id="rId30" w:history="1">
        <w:r w:rsidRPr="00C5189D">
          <w:rPr>
            <w:rStyle w:val="Hyperlink"/>
            <w:rFonts w:ascii="Arial" w:hAnsi="Arial" w:cs="Arial"/>
            <w:color w:val="auto"/>
            <w:u w:val="none"/>
          </w:rPr>
          <w:t>https://doi.org/10.1007/s10639-015-9419-z</w:t>
        </w:r>
      </w:hyperlink>
    </w:p>
    <w:p w14:paraId="2C48DBA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Rodríguez-Abitia, G., Martínez-Pérez, S., Ramirez-Montoya, M. S., and Lopez-</w:t>
      </w:r>
      <w:proofErr w:type="spellStart"/>
      <w:r w:rsidRPr="00C5189D">
        <w:rPr>
          <w:rFonts w:ascii="Arial" w:hAnsi="Arial" w:cs="Arial"/>
        </w:rPr>
        <w:t>Caudana</w:t>
      </w:r>
      <w:proofErr w:type="spellEnd"/>
      <w:r w:rsidRPr="00C5189D">
        <w:rPr>
          <w:rFonts w:ascii="Arial" w:hAnsi="Arial" w:cs="Arial"/>
        </w:rPr>
        <w:t>, E. (2020). Digital Gap in Universities and Challenges for Quality Education: A Diagnostic Study in Mexico and Spain. Sustainability, 12(21), 9069.  </w:t>
      </w:r>
      <w:hyperlink r:id="rId31" w:history="1">
        <w:r w:rsidRPr="00C5189D">
          <w:rPr>
            <w:rStyle w:val="Hyperlink"/>
            <w:rFonts w:ascii="Arial" w:hAnsi="Arial" w:cs="Arial"/>
            <w:color w:val="auto"/>
            <w:u w:val="none"/>
          </w:rPr>
          <w:t>https://doi.org/10.3390/su12219069</w:t>
        </w:r>
      </w:hyperlink>
    </w:p>
    <w:p w14:paraId="02206DBE" w14:textId="77777777" w:rsidR="00C5189D" w:rsidRPr="00C5189D" w:rsidRDefault="00C5189D" w:rsidP="00C5189D">
      <w:pPr>
        <w:spacing w:after="160"/>
        <w:ind w:left="720" w:hanging="720"/>
        <w:jc w:val="both"/>
        <w:rPr>
          <w:rFonts w:ascii="Arial" w:hAnsi="Arial" w:cs="Arial"/>
        </w:rPr>
      </w:pPr>
      <w:r w:rsidRPr="00C5189D">
        <w:rPr>
          <w:rFonts w:ascii="Arial" w:hAnsi="Arial" w:cs="Arial"/>
        </w:rPr>
        <w:lastRenderedPageBreak/>
        <w:t xml:space="preserve">Rubio-Tamayo, J., </w:t>
      </w:r>
      <w:proofErr w:type="spellStart"/>
      <w:r w:rsidRPr="00C5189D">
        <w:rPr>
          <w:rFonts w:ascii="Arial" w:hAnsi="Arial" w:cs="Arial"/>
        </w:rPr>
        <w:t>Gertrudix</w:t>
      </w:r>
      <w:proofErr w:type="spellEnd"/>
      <w:r w:rsidRPr="00C5189D">
        <w:rPr>
          <w:rFonts w:ascii="Arial" w:hAnsi="Arial" w:cs="Arial"/>
        </w:rPr>
        <w:t xml:space="preserve"> Barrio, M., and García </w:t>
      </w:r>
      <w:proofErr w:type="spellStart"/>
      <w:r w:rsidRPr="00C5189D">
        <w:rPr>
          <w:rFonts w:ascii="Arial" w:hAnsi="Arial" w:cs="Arial"/>
        </w:rPr>
        <w:t>García</w:t>
      </w:r>
      <w:proofErr w:type="spellEnd"/>
      <w:r w:rsidRPr="00C5189D">
        <w:rPr>
          <w:rFonts w:ascii="Arial" w:hAnsi="Arial" w:cs="Arial"/>
        </w:rPr>
        <w:t>, F. (2017). Immersive Environments and Virtual Reality: Systematic Review and Advances in Communication, Interaction and Simulation. Multimodal Technologies and Interaction, 1(4), 21. https://doi.org/10.3390/mti1040021</w:t>
      </w:r>
    </w:p>
    <w:p w14:paraId="311EC91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Rwodzi, C., and De Jager, L. (2021). Remote learning as an option by resilient English teachers in Gauteng resource-constrained secondary schools. Perspectives in Education, 39(3), 62–78. </w:t>
      </w:r>
      <w:hyperlink r:id="rId32" w:history="1">
        <w:r w:rsidRPr="00C5189D">
          <w:rPr>
            <w:rStyle w:val="Hyperlink"/>
            <w:rFonts w:ascii="Arial" w:hAnsi="Arial" w:cs="Arial"/>
            <w:color w:val="auto"/>
            <w:u w:val="none"/>
          </w:rPr>
          <w:t>https://doi.org/10.18820/2519593x/pie.v39.i3.6</w:t>
        </w:r>
      </w:hyperlink>
    </w:p>
    <w:p w14:paraId="05158AF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Santamaría, L. J., and Santamaría, A. P. (2016). Toward Culturally Sustaining Leadership: Innovation beyond ‘School Improvement’ Promoting Equity in Diverse Contexts. Education Sciences, 6(4), 33. </w:t>
      </w:r>
      <w:hyperlink r:id="rId33" w:history="1">
        <w:r w:rsidRPr="00C5189D">
          <w:rPr>
            <w:rStyle w:val="Hyperlink"/>
            <w:rFonts w:ascii="Arial" w:hAnsi="Arial" w:cs="Arial"/>
            <w:color w:val="auto"/>
            <w:u w:val="none"/>
          </w:rPr>
          <w:t>https://doi.org/10.3390/educsci6040033</w:t>
        </w:r>
      </w:hyperlink>
    </w:p>
    <w:p w14:paraId="26811021"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Sarı</w:t>
      </w:r>
      <w:proofErr w:type="spellEnd"/>
      <w:r w:rsidRPr="00C5189D">
        <w:rPr>
          <w:rFonts w:ascii="Arial" w:hAnsi="Arial" w:cs="Arial"/>
        </w:rPr>
        <w:t xml:space="preserve">, B., </w:t>
      </w:r>
      <w:proofErr w:type="spellStart"/>
      <w:r w:rsidRPr="00C5189D">
        <w:rPr>
          <w:rFonts w:ascii="Arial" w:hAnsi="Arial" w:cs="Arial"/>
        </w:rPr>
        <w:t>Başal</w:t>
      </w:r>
      <w:proofErr w:type="spellEnd"/>
      <w:r w:rsidRPr="00C5189D">
        <w:rPr>
          <w:rFonts w:ascii="Arial" w:hAnsi="Arial" w:cs="Arial"/>
        </w:rPr>
        <w:t>, H. A., Takacs, Z. K., and Bus, A. G. (2019). A randomized controlled trial to test efficacy of digital enhancements of storybooks in support of narrative comprehension and word learning. Journal of Experimental Child Psychology, 179, 212–226. </w:t>
      </w:r>
      <w:hyperlink r:id="rId34" w:history="1">
        <w:r w:rsidRPr="00C5189D">
          <w:rPr>
            <w:rStyle w:val="Hyperlink"/>
            <w:rFonts w:ascii="Arial" w:hAnsi="Arial" w:cs="Arial"/>
            <w:color w:val="auto"/>
            <w:u w:val="none"/>
          </w:rPr>
          <w:t>https://doi.org/10.1016/j.jecp.2018.11.006</w:t>
        </w:r>
      </w:hyperlink>
    </w:p>
    <w:p w14:paraId="40549921"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Savage, R., Georgiou, G., </w:t>
      </w:r>
      <w:proofErr w:type="spellStart"/>
      <w:r w:rsidRPr="00C5189D">
        <w:rPr>
          <w:rFonts w:ascii="Arial" w:hAnsi="Arial" w:cs="Arial"/>
        </w:rPr>
        <w:t>Parrila</w:t>
      </w:r>
      <w:proofErr w:type="spellEnd"/>
      <w:r w:rsidRPr="00C5189D">
        <w:rPr>
          <w:rFonts w:ascii="Arial" w:hAnsi="Arial" w:cs="Arial"/>
        </w:rPr>
        <w:t>, R., Maiorino, K., Dunn, K., and Burgos, G. (2019). The Effects of Teaching Complex Grapheme-Phoneme Correspondences: Evidence from a Dual Site Cluster Trial with At-Risk Grade 2 Students. Scientific Studies of Reading, 24(4), 321–337. https://doi.org/10.1080/10888438.2019.1669607</w:t>
      </w:r>
    </w:p>
    <w:p w14:paraId="08836A5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Schindler, L. A., Burkholder, G. J., Morad, O. A., and Marsh, C. (2017). Computer-based technology and student engagement: a critical review of the literature. International Journal of Educational Technology in Higher Education, 14(1). https://doi.org/10.1186/s41239-017-0063-0</w:t>
      </w:r>
    </w:p>
    <w:p w14:paraId="34938644"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Schmidt, R. C. (1997). Managing Delphi surveys using nonparametric statistical techniques. Decision Sciences, 28(3), 763-774. https://doi.org/10.1111/j.1540-5915.1997.tb01330.x</w:t>
      </w:r>
    </w:p>
    <w:p w14:paraId="1A929F72"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Silva-Laya, M., D’Angelo, N., García, E., Zúñiga, L., and Fernández, T. (2019). Urban Poverty and Education. A Systematic Literature Review. Educational Research Review. https://doi.org/10.1016/j.edurev.2019.05.002</w:t>
      </w:r>
    </w:p>
    <w:p w14:paraId="05FB897F"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Snowling</w:t>
      </w:r>
      <w:proofErr w:type="spellEnd"/>
      <w:r w:rsidRPr="00C5189D">
        <w:rPr>
          <w:rFonts w:ascii="Arial" w:hAnsi="Arial" w:cs="Arial"/>
        </w:rPr>
        <w:t>, M. J., and Hulme, C. (2020). Annual Research Review: Reading disorders revisited – the critical importance of oral language. Journal of Child Psychology and Psychiatry. doi:10.1111/jcpp.13324 </w:t>
      </w:r>
    </w:p>
    <w:p w14:paraId="1DD67FA4"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Soto, X., Olszewski, A., and Goldstein, H. (2019). A Systematic Review of Phonological Awareness Interventions for Latino Children in Early and Primary Grades. Journal of Early Intervention, 105381511985606. https://doi.org/10.1111/jcpp.13324</w:t>
      </w:r>
    </w:p>
    <w:p w14:paraId="48EB7A63"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Spante</w:t>
      </w:r>
      <w:proofErr w:type="spellEnd"/>
      <w:r w:rsidRPr="00C5189D">
        <w:rPr>
          <w:rFonts w:ascii="Arial" w:hAnsi="Arial" w:cs="Arial"/>
        </w:rPr>
        <w:t xml:space="preserve">, M., </w:t>
      </w:r>
      <w:proofErr w:type="spellStart"/>
      <w:r w:rsidRPr="00C5189D">
        <w:rPr>
          <w:rFonts w:ascii="Arial" w:hAnsi="Arial" w:cs="Arial"/>
        </w:rPr>
        <w:t>Sofkova</w:t>
      </w:r>
      <w:proofErr w:type="spellEnd"/>
      <w:r w:rsidRPr="00C5189D">
        <w:rPr>
          <w:rFonts w:ascii="Arial" w:hAnsi="Arial" w:cs="Arial"/>
        </w:rPr>
        <w:t xml:space="preserve"> Hashemi, S., Lundin, M., and Algers, A. (2018). Digital competence and digital literacy in higher education research: Systematic review of concept use. Cogent Education, 0(0). https://doi.org/10.1080/2331186X.2018.1519143</w:t>
      </w:r>
    </w:p>
    <w:p w14:paraId="0CC31091"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Suortti</w:t>
      </w:r>
      <w:proofErr w:type="spellEnd"/>
      <w:r w:rsidRPr="00C5189D">
        <w:rPr>
          <w:rFonts w:ascii="Arial" w:hAnsi="Arial" w:cs="Arial"/>
        </w:rPr>
        <w:t>, O., and Lipponen, L. (2016). Phonological awareness and emerging reading skills of two- to five-year-old children. Early Child Development and Care, 186(11), 1703–1721. https://doi.org/10.1080/03004430.2015.1126832</w:t>
      </w:r>
    </w:p>
    <w:p w14:paraId="325F540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Takacs, Z. K., Swart, E. K., and Bus, A. G. (2015). Benefits and Pitfalls of Multimedia and Interactive Features in Technology-Enhanced Storybooks. Review of Educational Research, 85(4), 698–739. doi:10.3102/0034654314566989 </w:t>
      </w:r>
    </w:p>
    <w:p w14:paraId="0E278A14" w14:textId="77777777" w:rsidR="00C5189D" w:rsidRPr="00C5189D" w:rsidRDefault="00C5189D" w:rsidP="00C5189D">
      <w:pPr>
        <w:spacing w:after="160"/>
        <w:ind w:left="720" w:hanging="720"/>
        <w:jc w:val="both"/>
        <w:rPr>
          <w:rFonts w:ascii="Arial" w:hAnsi="Arial" w:cs="Arial"/>
        </w:rPr>
      </w:pPr>
      <w:r w:rsidRPr="00C5189D">
        <w:rPr>
          <w:rFonts w:ascii="Arial" w:hAnsi="Arial" w:cs="Arial"/>
        </w:rPr>
        <w:lastRenderedPageBreak/>
        <w:t> Takacs, Z. K., Swart, E. K., and Bus, A. G. (2015). Benefits and Pitfalls of Multimedia and Interactive Features in Technology-Enhanced Storybooks. Review of Educational Research, 85(4), 698–739. </w:t>
      </w:r>
      <w:hyperlink r:id="rId35" w:history="1">
        <w:r w:rsidRPr="00C5189D">
          <w:rPr>
            <w:rStyle w:val="Hyperlink"/>
            <w:rFonts w:ascii="Arial" w:hAnsi="Arial" w:cs="Arial"/>
            <w:color w:val="auto"/>
            <w:u w:val="none"/>
          </w:rPr>
          <w:t>https://doi.org/10.3102/0034654314566989</w:t>
        </w:r>
      </w:hyperlink>
    </w:p>
    <w:p w14:paraId="1DE8EC92"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Tan, J. P.-L., Choo, S. S., Kang, T., and Liem, G. A. D. (2017). Educating for twenty-first century competencies and future-ready learners: research perspectives from Singapore. Asia Pacific Journal of Education, 37(4), 425–436. </w:t>
      </w:r>
      <w:hyperlink r:id="rId36" w:history="1">
        <w:r w:rsidRPr="00C5189D">
          <w:rPr>
            <w:rStyle w:val="Hyperlink"/>
            <w:rFonts w:ascii="Arial" w:hAnsi="Arial" w:cs="Arial"/>
            <w:color w:val="auto"/>
            <w:u w:val="none"/>
          </w:rPr>
          <w:t>https://doi.org/10.1080/02188791.2017.1405475</w:t>
        </w:r>
      </w:hyperlink>
    </w:p>
    <w:p w14:paraId="0BC86593"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Tartaglia, N., Howell, S., Davis, S., Kowal, K., Tanda, T., Brown, M., … Ross, J. (2020). Early neurodevelopmental and medical profile in children with sex chromosome </w:t>
      </w:r>
      <w:proofErr w:type="spellStart"/>
      <w:r w:rsidRPr="00C5189D">
        <w:rPr>
          <w:rFonts w:ascii="Arial" w:hAnsi="Arial" w:cs="Arial"/>
        </w:rPr>
        <w:t>trisomies</w:t>
      </w:r>
      <w:proofErr w:type="spellEnd"/>
      <w:r w:rsidRPr="00C5189D">
        <w:rPr>
          <w:rFonts w:ascii="Arial" w:hAnsi="Arial" w:cs="Arial"/>
        </w:rPr>
        <w:t xml:space="preserve">: Background for the prospective </w:t>
      </w:r>
      <w:proofErr w:type="spellStart"/>
      <w:r w:rsidRPr="00C5189D">
        <w:rPr>
          <w:rFonts w:ascii="Arial" w:hAnsi="Arial" w:cs="Arial"/>
        </w:rPr>
        <w:t>eXtraordinarY</w:t>
      </w:r>
      <w:proofErr w:type="spellEnd"/>
      <w:r w:rsidRPr="00C5189D">
        <w:rPr>
          <w:rFonts w:ascii="Arial" w:hAnsi="Arial" w:cs="Arial"/>
        </w:rPr>
        <w:t xml:space="preserve"> </w:t>
      </w:r>
      <w:proofErr w:type="gramStart"/>
      <w:r w:rsidRPr="00C5189D">
        <w:rPr>
          <w:rFonts w:ascii="Arial" w:hAnsi="Arial" w:cs="Arial"/>
        </w:rPr>
        <w:t>babies</w:t>
      </w:r>
      <w:proofErr w:type="gramEnd"/>
      <w:r w:rsidRPr="00C5189D">
        <w:rPr>
          <w:rFonts w:ascii="Arial" w:hAnsi="Arial" w:cs="Arial"/>
        </w:rPr>
        <w:t xml:space="preserve"> study to identify early risk factors and targets for intervention. American Journal of Medical Genetics Part C: Seminars in Medical Genetics. https://doi.org/10.1002/ajmg.c.31807</w:t>
      </w:r>
    </w:p>
    <w:p w14:paraId="21ED6549"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Terrell, P., and Watson, M. (2018). Laying a Firm Foundation: Embedding Evidence-Based Emergent Literacy Practices </w:t>
      </w:r>
      <w:proofErr w:type="gramStart"/>
      <w:r w:rsidRPr="00C5189D">
        <w:rPr>
          <w:rFonts w:ascii="Arial" w:hAnsi="Arial" w:cs="Arial"/>
        </w:rPr>
        <w:t>Into</w:t>
      </w:r>
      <w:proofErr w:type="gramEnd"/>
      <w:r w:rsidRPr="00C5189D">
        <w:rPr>
          <w:rFonts w:ascii="Arial" w:hAnsi="Arial" w:cs="Arial"/>
        </w:rPr>
        <w:t xml:space="preserve"> Early Intervention and Preschool Environments. Language Speech and Hearing Services in Schools, 49(2), 148. https://doi.org/10.1044/2017_lshss-17-0053</w:t>
      </w:r>
    </w:p>
    <w:p w14:paraId="2B5373CB"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Tomas, M. J. L., </w:t>
      </w:r>
      <w:proofErr w:type="spellStart"/>
      <w:r w:rsidRPr="00C5189D">
        <w:rPr>
          <w:rFonts w:ascii="Arial" w:hAnsi="Arial" w:cs="Arial"/>
        </w:rPr>
        <w:t>Villaros</w:t>
      </w:r>
      <w:proofErr w:type="spellEnd"/>
      <w:r w:rsidRPr="00C5189D">
        <w:rPr>
          <w:rFonts w:ascii="Arial" w:hAnsi="Arial" w:cs="Arial"/>
        </w:rPr>
        <w:t>, E. T., and Galman, S. M. A. (2021). The perceived challenges in reading of learners: Basis for school reading programs. Open Journal of Social Sciences, 9(5), 107-122. https://doi.org/10.4236/jss.2021.95009</w:t>
      </w:r>
    </w:p>
    <w:p w14:paraId="3B8DF728"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Tortorelli, L. S., Lupo, S. M., and Wheatley, B. C. (2021). Examining Teacher Preparation for Code</w:t>
      </w:r>
      <w:r w:rsidRPr="00C5189D">
        <w:rPr>
          <w:rFonts w:ascii="Cambria Math" w:hAnsi="Cambria Math" w:cs="Cambria Math"/>
        </w:rPr>
        <w:t>‐</w:t>
      </w:r>
      <w:r w:rsidRPr="00C5189D">
        <w:rPr>
          <w:rFonts w:ascii="Arial" w:hAnsi="Arial" w:cs="Arial"/>
        </w:rPr>
        <w:t>Related Reading Instruction: An Integrated Literature Review. Reading Research Quarterly. https://doi.org/10.1002/rrq.396</w:t>
      </w:r>
    </w:p>
    <w:p w14:paraId="504F8D27"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Trezek</w:t>
      </w:r>
      <w:proofErr w:type="spellEnd"/>
      <w:r w:rsidRPr="00C5189D">
        <w:rPr>
          <w:rFonts w:ascii="Arial" w:hAnsi="Arial" w:cs="Arial"/>
        </w:rPr>
        <w:t>, B., and Mayer, C. (2019). Reading and Deafness: State of the Evidence and Implications for Research and Practice. Education Sciences, 9(3), 216. </w:t>
      </w:r>
      <w:hyperlink r:id="rId37" w:history="1">
        <w:r w:rsidRPr="00C5189D">
          <w:rPr>
            <w:rStyle w:val="Hyperlink"/>
            <w:rFonts w:ascii="Arial" w:hAnsi="Arial" w:cs="Arial"/>
            <w:color w:val="auto"/>
            <w:u w:val="none"/>
          </w:rPr>
          <w:t>https://doi.org/10.3390/educsci9030216</w:t>
        </w:r>
      </w:hyperlink>
    </w:p>
    <w:p w14:paraId="16E6DFEC" w14:textId="77777777" w:rsidR="00C5189D" w:rsidRPr="00C5189D" w:rsidRDefault="00C5189D" w:rsidP="00C5189D">
      <w:pPr>
        <w:spacing w:after="160"/>
        <w:ind w:left="720" w:hanging="720"/>
        <w:jc w:val="both"/>
        <w:rPr>
          <w:rFonts w:ascii="Arial" w:hAnsi="Arial" w:cs="Arial"/>
        </w:rPr>
      </w:pPr>
      <w:proofErr w:type="spellStart"/>
      <w:r w:rsidRPr="00C5189D">
        <w:rPr>
          <w:rFonts w:ascii="Arial" w:hAnsi="Arial" w:cs="Arial"/>
        </w:rPr>
        <w:t>Tunmer</w:t>
      </w:r>
      <w:proofErr w:type="spellEnd"/>
      <w:r w:rsidRPr="00C5189D">
        <w:rPr>
          <w:rFonts w:ascii="Arial" w:hAnsi="Arial" w:cs="Arial"/>
        </w:rPr>
        <w:t>, W. E., and Hoover, W. A. (2019). The cognitive foundations of learning to read: a framework for preventing and remediating reading difficulties. Australian Journal of Learning Difficulties, 1–19. https://doi.org/10.1080/19404158.2019.1614081</w:t>
      </w:r>
    </w:p>
    <w:p w14:paraId="3229108A"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UNICEF., and Southeast Asian Ministers of Education Organization (SEAMEO). (2019). The Southeast Asia Primary Learning Metrics Program: Thinking globally in a regional context. Australian Council for Educational Research. https://research.acer.edu.au/ar_misc/33</w:t>
      </w:r>
    </w:p>
    <w:p w14:paraId="6C6C53A0"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United Nations Educational, Scientific and Cultural Organization (UNESCO). (2022). Global Education Monitoring Report 2022: Gender Report, Deepening the Debate on Those Still Left Behind. https://unesdoc.unesco.org/ark:/48223/pf0000381329</w:t>
      </w:r>
    </w:p>
    <w:p w14:paraId="12D104A2" w14:textId="77777777" w:rsidR="00C5189D" w:rsidRPr="00C5189D" w:rsidRDefault="00C5189D" w:rsidP="00C5189D">
      <w:pPr>
        <w:spacing w:after="160"/>
        <w:ind w:left="720" w:hanging="720"/>
        <w:jc w:val="both"/>
        <w:rPr>
          <w:rFonts w:ascii="Arial" w:hAnsi="Arial" w:cs="Arial"/>
        </w:rPr>
      </w:pPr>
      <w:r w:rsidRPr="00C5189D">
        <w:rPr>
          <w:rFonts w:ascii="Arial" w:hAnsi="Arial" w:cs="Arial"/>
        </w:rPr>
        <w:t xml:space="preserve">Vu, N.N., Hung, B.P., Van, N.T.T., Lien, N.T.H. (2022). Theoretical and Instructional Aspects of Using Multimedia Resources in Language Education: A Cognitive View. In: Kumar, R., Sharma, R., </w:t>
      </w:r>
      <w:proofErr w:type="spellStart"/>
      <w:r w:rsidRPr="00C5189D">
        <w:rPr>
          <w:rFonts w:ascii="Arial" w:hAnsi="Arial" w:cs="Arial"/>
        </w:rPr>
        <w:t>Pattnaik</w:t>
      </w:r>
      <w:proofErr w:type="spellEnd"/>
      <w:r w:rsidRPr="00C5189D">
        <w:rPr>
          <w:rFonts w:ascii="Arial" w:hAnsi="Arial" w:cs="Arial"/>
        </w:rPr>
        <w:t xml:space="preserve">, P.K. (eds) Multimedia Technologies in the Internet of Things Environment, Volume 2. Studies in Big Data, vol 93. Springer, Singapore. </w:t>
      </w:r>
      <w:hyperlink r:id="rId38" w:history="1">
        <w:r w:rsidRPr="00C5189D">
          <w:rPr>
            <w:rStyle w:val="Hyperlink"/>
            <w:rFonts w:ascii="Arial" w:hAnsi="Arial" w:cs="Arial"/>
            <w:color w:val="auto"/>
            <w:u w:val="none"/>
          </w:rPr>
          <w:t>https://doi.org/10.1007/978-981-16-3828-2_9</w:t>
        </w:r>
      </w:hyperlink>
    </w:p>
    <w:p w14:paraId="77AB76B7" w14:textId="77777777" w:rsidR="00C5189D" w:rsidRPr="00C5189D" w:rsidRDefault="00C5189D" w:rsidP="00C5189D">
      <w:pPr>
        <w:spacing w:after="160"/>
        <w:ind w:left="720" w:hanging="720"/>
        <w:jc w:val="both"/>
        <w:rPr>
          <w:rFonts w:ascii="Arial" w:hAnsi="Arial" w:cs="Arial"/>
        </w:rPr>
      </w:pPr>
      <w:bookmarkStart w:id="2" w:name="_Hlk202263386"/>
      <w:r w:rsidRPr="00C5189D">
        <w:rPr>
          <w:rFonts w:ascii="Arial" w:hAnsi="Arial" w:cs="Arial"/>
        </w:rPr>
        <w:t>Westby, C. (2016). Five Questions Everyone Should Ask Before Choosing Early Literacy Apps. Word of Mouth, 28(1), 1–4. https://doi.org/10.1177/1048395016651596</w:t>
      </w:r>
    </w:p>
    <w:p w14:paraId="07F64FB5" w14:textId="77777777" w:rsidR="00C5189D" w:rsidRPr="00C5189D" w:rsidRDefault="00C5189D" w:rsidP="00C5189D">
      <w:pPr>
        <w:spacing w:after="160"/>
        <w:ind w:left="720" w:hanging="720"/>
        <w:rPr>
          <w:rFonts w:ascii="Arial" w:hAnsi="Arial" w:cs="Arial"/>
        </w:rPr>
      </w:pPr>
      <w:r w:rsidRPr="00C5189D">
        <w:rPr>
          <w:rFonts w:ascii="Arial" w:hAnsi="Arial" w:cs="Arial"/>
        </w:rPr>
        <w:lastRenderedPageBreak/>
        <w:t>World Bank. (2018). Philippines Economic Update, April 2018: Investing in the Future. World Bank. https://www.worldbank.org/en/country/philippines/publication/philippines-economic-update-investing-in-the-future</w:t>
      </w:r>
    </w:p>
    <w:p w14:paraId="4E0C0FBC" w14:textId="05738841" w:rsidR="00441B6F" w:rsidRDefault="00C5189D" w:rsidP="00C5189D">
      <w:pPr>
        <w:spacing w:after="160"/>
        <w:ind w:left="720" w:hanging="720"/>
        <w:jc w:val="both"/>
        <w:rPr>
          <w:rFonts w:ascii="Arial" w:hAnsi="Arial" w:cs="Arial"/>
        </w:rPr>
      </w:pPr>
      <w:r w:rsidRPr="00C5189D">
        <w:rPr>
          <w:rFonts w:ascii="Arial" w:hAnsi="Arial" w:cs="Arial"/>
        </w:rPr>
        <w:t>Yang, X., Kuo, L.-J., Ji, X., and McTigue, E. (2018). A critical examination of the relationship among research, theory, and practice: Technology and reading instruction. Computers and Education, 125, 62–73. https://doi.org/10.1016/j.compedu.2018.03.00</w:t>
      </w:r>
      <w:bookmarkEnd w:id="2"/>
    </w:p>
    <w:p w14:paraId="646FC5DC" w14:textId="7071B51F" w:rsidR="004D4277" w:rsidRPr="002E0A84" w:rsidRDefault="004D4277" w:rsidP="002E0A84">
      <w:pPr>
        <w:pStyle w:val="DefAcrHead"/>
        <w:spacing w:after="0"/>
        <w:jc w:val="both"/>
        <w:rPr>
          <w:rFonts w:ascii="Arial" w:hAnsi="Arial" w:cs="Arial"/>
        </w:rPr>
        <w:sectPr w:rsidR="004D4277" w:rsidRPr="002E0A84" w:rsidSect="00AB458D">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2F068215" w14:textId="77777777" w:rsidR="00B01FCD" w:rsidRPr="00FB3A86" w:rsidRDefault="00B01FCD" w:rsidP="00441B6F">
      <w:pPr>
        <w:pStyle w:val="Appendix"/>
        <w:spacing w:after="0"/>
        <w:jc w:val="both"/>
        <w:rPr>
          <w:rFonts w:ascii="Arial" w:hAnsi="Arial" w:cs="Arial"/>
          <w:b w:val="0"/>
        </w:rPr>
      </w:pPr>
    </w:p>
    <w:sectPr w:rsidR="00B01FCD" w:rsidRPr="00FB3A86" w:rsidSect="00AB458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46F2C" w14:textId="77777777" w:rsidR="006D3966" w:rsidRDefault="006D3966" w:rsidP="00C37E61">
      <w:r>
        <w:separator/>
      </w:r>
    </w:p>
  </w:endnote>
  <w:endnote w:type="continuationSeparator" w:id="0">
    <w:p w14:paraId="3FE0A453" w14:textId="77777777" w:rsidR="006D3966" w:rsidRDefault="006D39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BDC8" w14:textId="77777777" w:rsidR="00AB458D" w:rsidRDefault="00AB4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8EC" w14:textId="77777777" w:rsidR="00AB458D" w:rsidRDefault="00AB4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179E" w14:textId="77777777" w:rsidR="009E048A" w:rsidRDefault="009E048A">
    <w:pPr>
      <w:pStyle w:val="Footer"/>
      <w:rPr>
        <w:rFonts w:ascii="Arial" w:hAnsi="Arial" w:cs="Arial"/>
        <w:sz w:val="16"/>
      </w:rPr>
    </w:pPr>
  </w:p>
  <w:p w14:paraId="49C6EBD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51FF47" w14:textId="77777777" w:rsidR="009E048A" w:rsidRDefault="009E048A">
    <w:pPr>
      <w:pStyle w:val="Footer"/>
      <w:rPr>
        <w:rFonts w:ascii="Arial" w:hAnsi="Arial" w:cs="Arial"/>
        <w:sz w:val="16"/>
      </w:rPr>
    </w:pPr>
  </w:p>
  <w:p w14:paraId="37BB2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1C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B157" w14:textId="77777777" w:rsidR="006D3966" w:rsidRDefault="006D3966" w:rsidP="00C37E61">
      <w:r>
        <w:separator/>
      </w:r>
    </w:p>
  </w:footnote>
  <w:footnote w:type="continuationSeparator" w:id="0">
    <w:p w14:paraId="574B1F0C" w14:textId="77777777" w:rsidR="006D3966" w:rsidRDefault="006D39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B035" w14:textId="560D06F0" w:rsidR="00AB458D" w:rsidRDefault="00AB458D">
    <w:pPr>
      <w:pStyle w:val="Header"/>
    </w:pPr>
    <w:r>
      <w:rPr>
        <w:noProof/>
      </w:rPr>
      <w:pict w14:anchorId="50974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86F7" w14:textId="288C50C1" w:rsidR="00AB458D" w:rsidRDefault="00AB458D">
    <w:pPr>
      <w:pStyle w:val="Header"/>
    </w:pPr>
    <w:r>
      <w:rPr>
        <w:noProof/>
      </w:rPr>
      <w:pict w14:anchorId="6FB5B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33C4" w14:textId="682442AE" w:rsidR="00296529" w:rsidRPr="00296529" w:rsidRDefault="00AB458D" w:rsidP="00296529">
    <w:pPr>
      <w:ind w:left="2160"/>
      <w:jc w:val="center"/>
      <w:rPr>
        <w:rFonts w:ascii="Times New Roman" w:eastAsia="Calibri" w:hAnsi="Times New Roman"/>
        <w:i/>
        <w:sz w:val="18"/>
        <w:szCs w:val="22"/>
      </w:rPr>
    </w:pPr>
    <w:r>
      <w:rPr>
        <w:noProof/>
      </w:rPr>
      <w:pict w14:anchorId="7C912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B5C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8F4C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73710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C2D57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83B5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E190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08BD" w14:textId="47882C88" w:rsidR="00AB458D" w:rsidRDefault="00AB458D">
    <w:pPr>
      <w:pStyle w:val="Header"/>
    </w:pPr>
    <w:r>
      <w:rPr>
        <w:noProof/>
      </w:rPr>
      <w:pict w14:anchorId="13308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D6F6" w14:textId="1524216D" w:rsidR="00AB458D" w:rsidRDefault="00AB458D">
    <w:pPr>
      <w:pStyle w:val="Header"/>
    </w:pPr>
    <w:r>
      <w:rPr>
        <w:noProof/>
      </w:rPr>
      <w:pict w14:anchorId="4E8D1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DC25" w14:textId="782C519C" w:rsidR="00AB458D" w:rsidRDefault="00AB458D">
    <w:pPr>
      <w:pStyle w:val="Header"/>
    </w:pPr>
    <w:r>
      <w:rPr>
        <w:noProof/>
      </w:rPr>
      <w:pict w14:anchorId="6680D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B2EB59"/>
    <w:multiLevelType w:val="singleLevel"/>
    <w:tmpl w:val="A4B2EB59"/>
    <w:lvl w:ilvl="0">
      <w:start w:val="20"/>
      <w:numFmt w:val="upperLetter"/>
      <w:suff w:val="nothing"/>
      <w:lvlText w:val="%1-"/>
      <w:lvlJc w:val="left"/>
      <w:rPr>
        <w:rFonts w:hint="default"/>
        <w:b/>
        <w:bCs/>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55A695E"/>
    <w:multiLevelType w:val="hybridMultilevel"/>
    <w:tmpl w:val="0B309BBE"/>
    <w:lvl w:ilvl="0" w:tplc="FA10BD5E">
      <w:start w:val="1"/>
      <w:numFmt w:val="decimal"/>
      <w:lvlText w:val="%1."/>
      <w:lvlJc w:val="left"/>
      <w:pPr>
        <w:ind w:left="360" w:hanging="360"/>
      </w:pPr>
    </w:lvl>
    <w:lvl w:ilvl="1" w:tplc="67A484A0" w:tentative="1">
      <w:start w:val="1"/>
      <w:numFmt w:val="lowerLetter"/>
      <w:lvlText w:val="%2."/>
      <w:lvlJc w:val="left"/>
      <w:pPr>
        <w:ind w:left="1800" w:hanging="360"/>
      </w:pPr>
    </w:lvl>
    <w:lvl w:ilvl="2" w:tplc="8742907A" w:tentative="1">
      <w:start w:val="1"/>
      <w:numFmt w:val="lowerRoman"/>
      <w:lvlText w:val="%3."/>
      <w:lvlJc w:val="right"/>
      <w:pPr>
        <w:ind w:left="2520" w:hanging="180"/>
      </w:pPr>
    </w:lvl>
    <w:lvl w:ilvl="3" w:tplc="06707736" w:tentative="1">
      <w:start w:val="1"/>
      <w:numFmt w:val="decimal"/>
      <w:lvlText w:val="%4."/>
      <w:lvlJc w:val="left"/>
      <w:pPr>
        <w:ind w:left="3240" w:hanging="360"/>
      </w:pPr>
    </w:lvl>
    <w:lvl w:ilvl="4" w:tplc="B314ABDE" w:tentative="1">
      <w:start w:val="1"/>
      <w:numFmt w:val="lowerLetter"/>
      <w:lvlText w:val="%5."/>
      <w:lvlJc w:val="left"/>
      <w:pPr>
        <w:ind w:left="3960" w:hanging="360"/>
      </w:pPr>
    </w:lvl>
    <w:lvl w:ilvl="5" w:tplc="14543328" w:tentative="1">
      <w:start w:val="1"/>
      <w:numFmt w:val="lowerRoman"/>
      <w:lvlText w:val="%6."/>
      <w:lvlJc w:val="right"/>
      <w:pPr>
        <w:ind w:left="4680" w:hanging="180"/>
      </w:pPr>
    </w:lvl>
    <w:lvl w:ilvl="6" w:tplc="E938C2C8" w:tentative="1">
      <w:start w:val="1"/>
      <w:numFmt w:val="decimal"/>
      <w:lvlText w:val="%7."/>
      <w:lvlJc w:val="left"/>
      <w:pPr>
        <w:ind w:left="5400" w:hanging="360"/>
      </w:pPr>
    </w:lvl>
    <w:lvl w:ilvl="7" w:tplc="EA041980" w:tentative="1">
      <w:start w:val="1"/>
      <w:numFmt w:val="lowerLetter"/>
      <w:lvlText w:val="%8."/>
      <w:lvlJc w:val="left"/>
      <w:pPr>
        <w:ind w:left="6120" w:hanging="360"/>
      </w:pPr>
    </w:lvl>
    <w:lvl w:ilvl="8" w:tplc="B38EE41A" w:tentative="1">
      <w:start w:val="1"/>
      <w:numFmt w:val="lowerRoman"/>
      <w:lvlText w:val="%9."/>
      <w:lvlJc w:val="right"/>
      <w:pPr>
        <w:ind w:left="684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sTQzNTE2NTM0NzJU0lEKTi0uzszPAykwrAUArlwntCwAAAA="/>
  </w:docVars>
  <w:rsids>
    <w:rsidRoot w:val="00AA6219"/>
    <w:rsid w:val="00000F8F"/>
    <w:rsid w:val="00030174"/>
    <w:rsid w:val="00033114"/>
    <w:rsid w:val="00036335"/>
    <w:rsid w:val="0004579C"/>
    <w:rsid w:val="00085DC8"/>
    <w:rsid w:val="000A47FA"/>
    <w:rsid w:val="000A65D3"/>
    <w:rsid w:val="000B1E33"/>
    <w:rsid w:val="000D689F"/>
    <w:rsid w:val="000E7B7B"/>
    <w:rsid w:val="000E7D62"/>
    <w:rsid w:val="00103357"/>
    <w:rsid w:val="00123C9F"/>
    <w:rsid w:val="00126190"/>
    <w:rsid w:val="00130F17"/>
    <w:rsid w:val="001320BF"/>
    <w:rsid w:val="0013566C"/>
    <w:rsid w:val="00163BC4"/>
    <w:rsid w:val="00191062"/>
    <w:rsid w:val="00192B72"/>
    <w:rsid w:val="001A29D8"/>
    <w:rsid w:val="001A5CAA"/>
    <w:rsid w:val="001B0427"/>
    <w:rsid w:val="001C71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A5B"/>
    <w:rsid w:val="002E0A84"/>
    <w:rsid w:val="002E0D56"/>
    <w:rsid w:val="00313936"/>
    <w:rsid w:val="00315186"/>
    <w:rsid w:val="00325C30"/>
    <w:rsid w:val="0033343E"/>
    <w:rsid w:val="003512C2"/>
    <w:rsid w:val="00371FB6"/>
    <w:rsid w:val="003763C1"/>
    <w:rsid w:val="00376BBE"/>
    <w:rsid w:val="0039224F"/>
    <w:rsid w:val="003A43A4"/>
    <w:rsid w:val="003A7E18"/>
    <w:rsid w:val="003C4C86"/>
    <w:rsid w:val="003C6258"/>
    <w:rsid w:val="003E2904"/>
    <w:rsid w:val="003F0D7F"/>
    <w:rsid w:val="00401927"/>
    <w:rsid w:val="0041027F"/>
    <w:rsid w:val="00412475"/>
    <w:rsid w:val="00423789"/>
    <w:rsid w:val="00440F43"/>
    <w:rsid w:val="00441B6F"/>
    <w:rsid w:val="00446221"/>
    <w:rsid w:val="00450E62"/>
    <w:rsid w:val="004539DB"/>
    <w:rsid w:val="00456000"/>
    <w:rsid w:val="00471A80"/>
    <w:rsid w:val="00474D21"/>
    <w:rsid w:val="004A4A45"/>
    <w:rsid w:val="004D305E"/>
    <w:rsid w:val="004D4277"/>
    <w:rsid w:val="00502516"/>
    <w:rsid w:val="00505F06"/>
    <w:rsid w:val="00506828"/>
    <w:rsid w:val="0053056E"/>
    <w:rsid w:val="00554FDA"/>
    <w:rsid w:val="005B6889"/>
    <w:rsid w:val="005C784C"/>
    <w:rsid w:val="005D17F6"/>
    <w:rsid w:val="005E5539"/>
    <w:rsid w:val="00602BF5"/>
    <w:rsid w:val="00617FDD"/>
    <w:rsid w:val="00633614"/>
    <w:rsid w:val="00633F68"/>
    <w:rsid w:val="00636EB2"/>
    <w:rsid w:val="006375B8"/>
    <w:rsid w:val="00652CEF"/>
    <w:rsid w:val="0066510A"/>
    <w:rsid w:val="00673F9F"/>
    <w:rsid w:val="00686953"/>
    <w:rsid w:val="00687DEA"/>
    <w:rsid w:val="00687E67"/>
    <w:rsid w:val="00694717"/>
    <w:rsid w:val="00695CC0"/>
    <w:rsid w:val="006967F7"/>
    <w:rsid w:val="006A250C"/>
    <w:rsid w:val="006A4EB6"/>
    <w:rsid w:val="006B21D3"/>
    <w:rsid w:val="006B57D0"/>
    <w:rsid w:val="006D30FF"/>
    <w:rsid w:val="006D3966"/>
    <w:rsid w:val="006D3AEE"/>
    <w:rsid w:val="006D6940"/>
    <w:rsid w:val="006F11EC"/>
    <w:rsid w:val="0070082C"/>
    <w:rsid w:val="007369E6"/>
    <w:rsid w:val="00746E59"/>
    <w:rsid w:val="00754C9A"/>
    <w:rsid w:val="0075599A"/>
    <w:rsid w:val="00761D52"/>
    <w:rsid w:val="007709DD"/>
    <w:rsid w:val="0077749E"/>
    <w:rsid w:val="00790ADA"/>
    <w:rsid w:val="007D2288"/>
    <w:rsid w:val="007E088F"/>
    <w:rsid w:val="007F7B32"/>
    <w:rsid w:val="00804BC2"/>
    <w:rsid w:val="0081431A"/>
    <w:rsid w:val="00814799"/>
    <w:rsid w:val="0083216F"/>
    <w:rsid w:val="00860000"/>
    <w:rsid w:val="00863BD3"/>
    <w:rsid w:val="008641ED"/>
    <w:rsid w:val="00866D66"/>
    <w:rsid w:val="008671C6"/>
    <w:rsid w:val="00875803"/>
    <w:rsid w:val="00884DE3"/>
    <w:rsid w:val="008B459E"/>
    <w:rsid w:val="008D4597"/>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017"/>
    <w:rsid w:val="00A94063"/>
    <w:rsid w:val="00AA6219"/>
    <w:rsid w:val="00AA74E0"/>
    <w:rsid w:val="00AB458D"/>
    <w:rsid w:val="00AB703F"/>
    <w:rsid w:val="00AC6BB8"/>
    <w:rsid w:val="00AE008F"/>
    <w:rsid w:val="00AE016B"/>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2AD"/>
    <w:rsid w:val="00C5189D"/>
    <w:rsid w:val="00C70F1B"/>
    <w:rsid w:val="00C71A47"/>
    <w:rsid w:val="00C7464C"/>
    <w:rsid w:val="00C85588"/>
    <w:rsid w:val="00CD6755"/>
    <w:rsid w:val="00CD6856"/>
    <w:rsid w:val="00CE0089"/>
    <w:rsid w:val="00CE793C"/>
    <w:rsid w:val="00CF193C"/>
    <w:rsid w:val="00D173F1"/>
    <w:rsid w:val="00D416C9"/>
    <w:rsid w:val="00D46CF5"/>
    <w:rsid w:val="00D74CB0"/>
    <w:rsid w:val="00D8295D"/>
    <w:rsid w:val="00DC2A65"/>
    <w:rsid w:val="00DE15F0"/>
    <w:rsid w:val="00DE5663"/>
    <w:rsid w:val="00DE78AA"/>
    <w:rsid w:val="00DF7BD9"/>
    <w:rsid w:val="00E053D0"/>
    <w:rsid w:val="00E15994"/>
    <w:rsid w:val="00E3114E"/>
    <w:rsid w:val="00E31A70"/>
    <w:rsid w:val="00E35B02"/>
    <w:rsid w:val="00E45289"/>
    <w:rsid w:val="00E66496"/>
    <w:rsid w:val="00E66B35"/>
    <w:rsid w:val="00E66E10"/>
    <w:rsid w:val="00E769F6"/>
    <w:rsid w:val="00E8407C"/>
    <w:rsid w:val="00E84F3C"/>
    <w:rsid w:val="00EA012C"/>
    <w:rsid w:val="00EA2081"/>
    <w:rsid w:val="00EC6A55"/>
    <w:rsid w:val="00ED0288"/>
    <w:rsid w:val="00EE52CB"/>
    <w:rsid w:val="00EF581D"/>
    <w:rsid w:val="00EF7FD8"/>
    <w:rsid w:val="00F06F59"/>
    <w:rsid w:val="00F17988"/>
    <w:rsid w:val="00F469F0"/>
    <w:rsid w:val="00F53273"/>
    <w:rsid w:val="00F755E4"/>
    <w:rsid w:val="00F77D02"/>
    <w:rsid w:val="00FB3A86"/>
    <w:rsid w:val="00FD36C8"/>
    <w:rsid w:val="00FF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410ADD1"/>
  <w15:docId w15:val="{ACA2FD2C-B0F6-4CE0-98B0-A96CEA96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E01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E01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99"/>
    <w:qFormat/>
    <w:rsid w:val="00AE016B"/>
    <w:pPr>
      <w:spacing w:after="160" w:line="259" w:lineRule="auto"/>
      <w:ind w:left="720"/>
      <w:contextualSpacing/>
    </w:pPr>
    <w:rPr>
      <w:rFonts w:asciiTheme="minorHAnsi" w:eastAsiaTheme="minorHAnsi" w:hAnsiTheme="minorHAnsi" w:cstheme="minorBidi"/>
      <w:kern w:val="2"/>
      <w:sz w:val="22"/>
      <w:szCs w:val="22"/>
    </w:rPr>
  </w:style>
  <w:style w:type="paragraph" w:styleId="NormalWeb">
    <w:name w:val="Normal (Web)"/>
    <w:basedOn w:val="Normal"/>
    <w:rsid w:val="00D416C9"/>
    <w:pPr>
      <w:spacing w:beforeAutospacing="1" w:afterAutospacing="1"/>
    </w:pPr>
    <w:rPr>
      <w:rFonts w:asciiTheme="minorHAnsi" w:eastAsiaTheme="minorEastAsia" w:hAnsiTheme="minorHAnsi"/>
      <w:sz w:val="24"/>
      <w:szCs w:val="24"/>
      <w:lang w:eastAsia="zh-CN"/>
    </w:rPr>
  </w:style>
  <w:style w:type="character" w:styleId="Strong">
    <w:name w:val="Strong"/>
    <w:basedOn w:val="DefaultParagraphFont"/>
    <w:qFormat/>
    <w:rsid w:val="00D41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comdis.2017.06.007" TargetMode="External"/><Relationship Id="rId26" Type="http://schemas.openxmlformats.org/officeDocument/2006/relationships/hyperlink" Target="https://doi.org/10.1111/desc.12356" TargetMode="External"/><Relationship Id="rId39" Type="http://schemas.openxmlformats.org/officeDocument/2006/relationships/header" Target="header4.xml"/><Relationship Id="rId21" Type="http://schemas.openxmlformats.org/officeDocument/2006/relationships/hyperlink" Target="https://doi.org/10.3102/0013189X18763775" TargetMode="External"/><Relationship Id="rId34" Type="http://schemas.openxmlformats.org/officeDocument/2006/relationships/hyperlink" Target="https://doi.org/10.1016/j.jecp.2018.11.006"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sl.2015.08.005" TargetMode="External"/><Relationship Id="rId20" Type="http://schemas.openxmlformats.org/officeDocument/2006/relationships/hyperlink" Target="https://doi.org/10.1177/1529100615569721" TargetMode="External"/><Relationship Id="rId29" Type="http://schemas.openxmlformats.org/officeDocument/2006/relationships/hyperlink" Target="https://digitalcommons.acu.edu/etd/85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rrq.313" TargetMode="External"/><Relationship Id="rId32" Type="http://schemas.openxmlformats.org/officeDocument/2006/relationships/hyperlink" Target="https://doi.org/10.18820/2519593x/pie.v39.i3.6" TargetMode="External"/><Relationship Id="rId37" Type="http://schemas.openxmlformats.org/officeDocument/2006/relationships/hyperlink" Target="https://doi.org/10.3390/educsci9030216"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wauthors.com/article/Statistics-and-data-presentation-understanding-effectsize.https://www.cwauthors.com/article/Statistics-and-" TargetMode="External"/><Relationship Id="rId23" Type="http://schemas.openxmlformats.org/officeDocument/2006/relationships/hyperlink" Target="https://doi.org/10.1109/rita.2016.2619138" TargetMode="External"/><Relationship Id="rId28" Type="http://schemas.openxmlformats.org/officeDocument/2006/relationships/hyperlink" Target="https://doi.org/10.1016/j.compedu.2017.06.005" TargetMode="External"/><Relationship Id="rId36" Type="http://schemas.openxmlformats.org/officeDocument/2006/relationships/hyperlink" Target="https://doi.org/10.1080/02188791.2017.1405475" TargetMode="External"/><Relationship Id="rId10" Type="http://schemas.openxmlformats.org/officeDocument/2006/relationships/footer" Target="footer1.xml"/><Relationship Id="rId19" Type="http://schemas.openxmlformats.org/officeDocument/2006/relationships/hyperlink" Target="https://doi.org/10.1146/annurev-devpsych-042320-100040" TargetMode="External"/><Relationship Id="rId31" Type="http://schemas.openxmlformats.org/officeDocument/2006/relationships/hyperlink" Target="https://doi.org/10.3390/su1221906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7507/tpls.1409.28" TargetMode="External"/><Relationship Id="rId22" Type="http://schemas.openxmlformats.org/officeDocument/2006/relationships/hyperlink" Target="https://doi.org/10.3390/educsci11080377" TargetMode="External"/><Relationship Id="rId27" Type="http://schemas.openxmlformats.org/officeDocument/2006/relationships/hyperlink" Target="https://slejournal.springeropen.com/articles/10.1186/s40561-019-0089-y" TargetMode="External"/><Relationship Id="rId30" Type="http://schemas.openxmlformats.org/officeDocument/2006/relationships/hyperlink" Target="https://doi.org/10.1007/s10639-015-9419-z" TargetMode="External"/><Relationship Id="rId35" Type="http://schemas.openxmlformats.org/officeDocument/2006/relationships/hyperlink" Target="https://doi.org/10.3102/003465431456698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423-020-09767-4" TargetMode="External"/><Relationship Id="rId25" Type="http://schemas.openxmlformats.org/officeDocument/2006/relationships/hyperlink" Target="https://doi.org/10.21832/9781800418707-012" TargetMode="External"/><Relationship Id="rId33" Type="http://schemas.openxmlformats.org/officeDocument/2006/relationships/hyperlink" Target="https://doi.org/10.3390/educsci6040033" TargetMode="External"/><Relationship Id="rId38" Type="http://schemas.openxmlformats.org/officeDocument/2006/relationships/hyperlink" Target="https://doi.org/10.1007/978-981-16-3828-2_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4662-FB18-4CA3-8738-11107ABE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1452</TotalTime>
  <Pages>20</Pages>
  <Words>8505</Words>
  <Characters>48483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56875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7</cp:revision>
  <cp:lastPrinted>1999-07-06T11:00:00Z</cp:lastPrinted>
  <dcterms:created xsi:type="dcterms:W3CDTF">2014-10-25T14:34:00Z</dcterms:created>
  <dcterms:modified xsi:type="dcterms:W3CDTF">2025-08-27T11:21:00Z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1a817a3c-a49f-4164-b9a5-5eec269fadaf</vt:lpwstr>
  </property>
</Properties>
</file>