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A87DB" w14:textId="7DCC1FA1" w:rsidR="0018439B" w:rsidRDefault="00AA516A" w:rsidP="00BC3F15">
      <w:pPr>
        <w:jc w:val="center"/>
        <w:rPr>
          <w:b/>
          <w:sz w:val="24"/>
          <w:szCs w:val="24"/>
        </w:rPr>
      </w:pPr>
      <w:r>
        <w:rPr>
          <w:b/>
          <w:sz w:val="24"/>
          <w:szCs w:val="24"/>
        </w:rPr>
        <w:t xml:space="preserve">The </w:t>
      </w:r>
      <w:r w:rsidRPr="00AA516A">
        <w:rPr>
          <w:b/>
          <w:sz w:val="24"/>
          <w:szCs w:val="24"/>
        </w:rPr>
        <w:t>Role of Student</w:t>
      </w:r>
      <w:r w:rsidR="00BF0F79">
        <w:rPr>
          <w:b/>
          <w:sz w:val="24"/>
          <w:szCs w:val="24"/>
        </w:rPr>
        <w:t xml:space="preserve"> Personal</w:t>
      </w:r>
      <w:r w:rsidRPr="00AA516A">
        <w:rPr>
          <w:b/>
          <w:sz w:val="24"/>
          <w:szCs w:val="24"/>
        </w:rPr>
        <w:t xml:space="preserve"> Issues in Girls’ School Dropout </w:t>
      </w:r>
      <w:r w:rsidR="00E16D5C">
        <w:rPr>
          <w:b/>
          <w:sz w:val="24"/>
          <w:szCs w:val="24"/>
        </w:rPr>
        <w:t>in</w:t>
      </w:r>
      <w:r w:rsidRPr="00AA516A">
        <w:rPr>
          <w:b/>
          <w:sz w:val="24"/>
          <w:szCs w:val="24"/>
        </w:rPr>
        <w:t xml:space="preserve"> Garissa Township</w:t>
      </w:r>
    </w:p>
    <w:p w14:paraId="2AA6FFC9" w14:textId="77777777" w:rsidR="00620C05" w:rsidRDefault="00620C05" w:rsidP="00BC3F15">
      <w:pPr>
        <w:widowControl/>
        <w:pBdr>
          <w:top w:val="nil"/>
          <w:left w:val="nil"/>
          <w:bottom w:val="nil"/>
          <w:right w:val="nil"/>
          <w:between w:val="nil"/>
        </w:pBdr>
        <w:jc w:val="center"/>
        <w:rPr>
          <w:rFonts w:ascii="Arial" w:hAnsi="Arial" w:cs="Arial"/>
          <w:bCs/>
          <w:i/>
          <w:iCs/>
          <w:sz w:val="20"/>
          <w:szCs w:val="20"/>
          <w:vertAlign w:val="superscript"/>
        </w:rPr>
      </w:pPr>
    </w:p>
    <w:p w14:paraId="63571474" w14:textId="77777777" w:rsidR="00620C05" w:rsidRDefault="00620C05" w:rsidP="00BC3F15">
      <w:pPr>
        <w:widowControl/>
        <w:pBdr>
          <w:top w:val="nil"/>
          <w:left w:val="nil"/>
          <w:bottom w:val="nil"/>
          <w:right w:val="nil"/>
          <w:between w:val="nil"/>
        </w:pBdr>
        <w:jc w:val="center"/>
        <w:rPr>
          <w:rFonts w:ascii="Arial" w:hAnsi="Arial" w:cs="Arial"/>
          <w:bCs/>
          <w:i/>
          <w:iCs/>
          <w:sz w:val="20"/>
          <w:szCs w:val="20"/>
          <w:vertAlign w:val="superscript"/>
        </w:rPr>
      </w:pPr>
    </w:p>
    <w:p w14:paraId="2A3D2D63" w14:textId="77777777" w:rsidR="00620C05" w:rsidRDefault="00620C05" w:rsidP="00BC3F15">
      <w:pPr>
        <w:widowControl/>
        <w:pBdr>
          <w:top w:val="nil"/>
          <w:left w:val="nil"/>
          <w:bottom w:val="nil"/>
          <w:right w:val="nil"/>
          <w:between w:val="nil"/>
        </w:pBdr>
        <w:jc w:val="center"/>
        <w:rPr>
          <w:rFonts w:ascii="Arial" w:hAnsi="Arial" w:cs="Arial"/>
          <w:bCs/>
          <w:i/>
          <w:iCs/>
          <w:sz w:val="20"/>
          <w:szCs w:val="20"/>
          <w:vertAlign w:val="superscript"/>
        </w:rPr>
      </w:pPr>
    </w:p>
    <w:p w14:paraId="75B52CAE" w14:textId="77777777" w:rsidR="00620C05" w:rsidRDefault="00620C05" w:rsidP="00BC3F15">
      <w:pPr>
        <w:widowControl/>
        <w:pBdr>
          <w:top w:val="nil"/>
          <w:left w:val="nil"/>
          <w:bottom w:val="nil"/>
          <w:right w:val="nil"/>
          <w:between w:val="nil"/>
        </w:pBdr>
        <w:jc w:val="center"/>
        <w:rPr>
          <w:rFonts w:ascii="Arial" w:hAnsi="Arial" w:cs="Arial"/>
          <w:bCs/>
          <w:i/>
          <w:iCs/>
          <w:sz w:val="20"/>
          <w:szCs w:val="20"/>
          <w:vertAlign w:val="superscript"/>
        </w:rPr>
      </w:pPr>
    </w:p>
    <w:p w14:paraId="44667811" w14:textId="77777777" w:rsidR="00620C05" w:rsidRDefault="00620C05" w:rsidP="00BC3F15">
      <w:pPr>
        <w:widowControl/>
        <w:pBdr>
          <w:top w:val="nil"/>
          <w:left w:val="nil"/>
          <w:bottom w:val="nil"/>
          <w:right w:val="nil"/>
          <w:between w:val="nil"/>
        </w:pBdr>
        <w:jc w:val="center"/>
        <w:rPr>
          <w:rFonts w:ascii="Arial" w:hAnsi="Arial" w:cs="Arial"/>
          <w:bCs/>
          <w:i/>
          <w:iCs/>
          <w:sz w:val="20"/>
          <w:szCs w:val="20"/>
          <w:vertAlign w:val="superscript"/>
        </w:rPr>
      </w:pPr>
    </w:p>
    <w:p w14:paraId="4F84AE12" w14:textId="77777777" w:rsidR="00620C05" w:rsidRDefault="00620C05" w:rsidP="00BC3F15">
      <w:pPr>
        <w:pBdr>
          <w:top w:val="nil"/>
          <w:left w:val="nil"/>
          <w:bottom w:val="nil"/>
          <w:right w:val="nil"/>
          <w:between w:val="nil"/>
        </w:pBdr>
        <w:ind w:right="95"/>
        <w:jc w:val="center"/>
        <w:rPr>
          <w:rFonts w:ascii="Arial" w:hAnsi="Arial" w:cs="Arial"/>
          <w:i/>
          <w:sz w:val="16"/>
          <w:szCs w:val="20"/>
        </w:rPr>
      </w:pPr>
    </w:p>
    <w:p w14:paraId="76707AC9" w14:textId="77777777" w:rsidR="00620C05" w:rsidRDefault="00620C05" w:rsidP="00BC3F15">
      <w:pPr>
        <w:pBdr>
          <w:top w:val="nil"/>
          <w:left w:val="nil"/>
          <w:bottom w:val="nil"/>
          <w:right w:val="nil"/>
          <w:between w:val="nil"/>
        </w:pBdr>
        <w:ind w:right="95"/>
        <w:jc w:val="center"/>
        <w:rPr>
          <w:rFonts w:ascii="Arial" w:hAnsi="Arial" w:cs="Arial"/>
          <w:i/>
          <w:sz w:val="16"/>
          <w:szCs w:val="20"/>
        </w:rPr>
      </w:pPr>
    </w:p>
    <w:p w14:paraId="6AA51887" w14:textId="77777777" w:rsidR="00620C05" w:rsidRDefault="00620C05" w:rsidP="00BC3F15">
      <w:pPr>
        <w:pBdr>
          <w:top w:val="nil"/>
          <w:left w:val="nil"/>
          <w:bottom w:val="nil"/>
          <w:right w:val="nil"/>
          <w:between w:val="nil"/>
        </w:pBdr>
        <w:ind w:right="95"/>
        <w:jc w:val="center"/>
        <w:rPr>
          <w:color w:val="000000"/>
          <w:sz w:val="24"/>
          <w:szCs w:val="24"/>
        </w:rPr>
      </w:pPr>
    </w:p>
    <w:p w14:paraId="3B11BA10" w14:textId="77777777" w:rsidR="0018439B" w:rsidRDefault="000B4639">
      <w:pPr>
        <w:rPr>
          <w:sz w:val="24"/>
          <w:szCs w:val="24"/>
        </w:rPr>
      </w:pPr>
      <w:bookmarkStart w:id="0" w:name="_eiavy9w2fp2f" w:colFirst="0" w:colLast="0"/>
      <w:bookmarkEnd w:id="0"/>
      <w:r>
        <w:rPr>
          <w:b/>
          <w:sz w:val="24"/>
          <w:szCs w:val="24"/>
        </w:rPr>
        <w:t>ABSTRACT</w:t>
      </w:r>
    </w:p>
    <w:p w14:paraId="321BD5D9" w14:textId="39D9C6E8" w:rsidR="0018439B" w:rsidRDefault="000B4639" w:rsidP="00BC3F15">
      <w:pPr>
        <w:jc w:val="both"/>
        <w:rPr>
          <w:sz w:val="24"/>
          <w:szCs w:val="24"/>
        </w:rPr>
      </w:pPr>
      <w:r>
        <w:rPr>
          <w:sz w:val="24"/>
          <w:szCs w:val="24"/>
        </w:rPr>
        <w:t xml:space="preserve">Efforts </w:t>
      </w:r>
      <w:r w:rsidR="00E16D5C">
        <w:rPr>
          <w:sz w:val="24"/>
          <w:szCs w:val="24"/>
        </w:rPr>
        <w:t xml:space="preserve">are being made </w:t>
      </w:r>
      <w:r>
        <w:rPr>
          <w:sz w:val="24"/>
          <w:szCs w:val="24"/>
        </w:rPr>
        <w:t xml:space="preserve">to promote </w:t>
      </w:r>
      <w:r w:rsidR="00E16D5C">
        <w:rPr>
          <w:sz w:val="24"/>
          <w:szCs w:val="24"/>
        </w:rPr>
        <w:t xml:space="preserve">access to </w:t>
      </w:r>
      <w:r>
        <w:rPr>
          <w:sz w:val="24"/>
          <w:szCs w:val="24"/>
        </w:rPr>
        <w:t xml:space="preserve">education among the children </w:t>
      </w:r>
      <w:r w:rsidR="00E16D5C">
        <w:rPr>
          <w:sz w:val="24"/>
          <w:szCs w:val="24"/>
        </w:rPr>
        <w:t>across the gender so as to ensure</w:t>
      </w:r>
      <w:r>
        <w:rPr>
          <w:sz w:val="24"/>
          <w:szCs w:val="24"/>
        </w:rPr>
        <w:t xml:space="preserve"> </w:t>
      </w:r>
      <w:r w:rsidR="00E16D5C">
        <w:rPr>
          <w:sz w:val="24"/>
          <w:szCs w:val="24"/>
        </w:rPr>
        <w:t>E</w:t>
      </w:r>
      <w:r>
        <w:rPr>
          <w:sz w:val="24"/>
          <w:szCs w:val="24"/>
        </w:rPr>
        <w:t>ducation</w:t>
      </w:r>
      <w:r w:rsidR="00E16D5C">
        <w:rPr>
          <w:sz w:val="24"/>
          <w:szCs w:val="24"/>
        </w:rPr>
        <w:t xml:space="preserve"> for all</w:t>
      </w:r>
      <w:r>
        <w:rPr>
          <w:sz w:val="24"/>
          <w:szCs w:val="24"/>
        </w:rPr>
        <w:t xml:space="preserve">. However, there has been concern related to the girls dropping out of schools. Many countries continue to experience </w:t>
      </w:r>
      <w:r w:rsidR="00E16D5C">
        <w:rPr>
          <w:sz w:val="24"/>
          <w:szCs w:val="24"/>
        </w:rPr>
        <w:t>growing</w:t>
      </w:r>
      <w:r>
        <w:rPr>
          <w:sz w:val="24"/>
          <w:szCs w:val="24"/>
        </w:rPr>
        <w:t xml:space="preserve"> </w:t>
      </w:r>
      <w:r w:rsidR="00E16D5C">
        <w:rPr>
          <w:sz w:val="24"/>
          <w:szCs w:val="24"/>
        </w:rPr>
        <w:t>increase of</w:t>
      </w:r>
      <w:r>
        <w:rPr>
          <w:sz w:val="24"/>
          <w:szCs w:val="24"/>
        </w:rPr>
        <w:t xml:space="preserve"> dropout rate among the girls</w:t>
      </w:r>
      <w:r w:rsidR="00BC3F15">
        <w:rPr>
          <w:sz w:val="24"/>
          <w:szCs w:val="24"/>
        </w:rPr>
        <w:t xml:space="preserve"> in public schools</w:t>
      </w:r>
      <w:r>
        <w:rPr>
          <w:sz w:val="24"/>
          <w:szCs w:val="24"/>
        </w:rPr>
        <w:t xml:space="preserve">. This study investigated </w:t>
      </w:r>
      <w:r w:rsidR="00E16D5C">
        <w:rPr>
          <w:sz w:val="24"/>
          <w:szCs w:val="24"/>
        </w:rPr>
        <w:t>the way</w:t>
      </w:r>
      <w:r>
        <w:rPr>
          <w:sz w:val="24"/>
          <w:szCs w:val="24"/>
        </w:rPr>
        <w:t xml:space="preserve"> </w:t>
      </w:r>
      <w:r w:rsidR="00E16D5C">
        <w:rPr>
          <w:sz w:val="24"/>
          <w:szCs w:val="24"/>
        </w:rPr>
        <w:t>students’</w:t>
      </w:r>
      <w:r>
        <w:rPr>
          <w:sz w:val="24"/>
          <w:szCs w:val="24"/>
        </w:rPr>
        <w:t xml:space="preserve"> personal issues on girls dro</w:t>
      </w:r>
      <w:r>
        <w:rPr>
          <w:sz w:val="24"/>
          <w:szCs w:val="24"/>
        </w:rPr>
        <w:t xml:space="preserve">pping out from public secondary schools in Garissa Township, Garissa County. </w:t>
      </w:r>
      <w:r w:rsidR="00025502">
        <w:rPr>
          <w:sz w:val="24"/>
          <w:szCs w:val="24"/>
        </w:rPr>
        <w:t xml:space="preserve">Target population for this study was the five (5) public secondary schools for girls in Garissa Township Sub County, where unit of analysis was </w:t>
      </w:r>
      <w:r w:rsidR="00025502" w:rsidRPr="00025502">
        <w:rPr>
          <w:sz w:val="24"/>
          <w:szCs w:val="24"/>
        </w:rPr>
        <w:t>5 heads of guidance and counseling, 5 Principals and 3169 girls. Using purposive sampling, the study selected all the five principals and all t</w:t>
      </w:r>
      <w:r w:rsidR="00025502">
        <w:rPr>
          <w:sz w:val="24"/>
          <w:szCs w:val="24"/>
        </w:rPr>
        <w:t>he</w:t>
      </w:r>
      <w:r w:rsidR="00025502" w:rsidRPr="00025502">
        <w:rPr>
          <w:sz w:val="24"/>
          <w:szCs w:val="24"/>
        </w:rPr>
        <w:t xml:space="preserve"> five heads of guidance and guidance of girl’s public secondary schools in Garissa Township Sub County as respo</w:t>
      </w:r>
      <w:r w:rsidR="00025502">
        <w:rPr>
          <w:sz w:val="24"/>
          <w:szCs w:val="24"/>
        </w:rPr>
        <w:t>n</w:t>
      </w:r>
      <w:r w:rsidR="00025502" w:rsidRPr="00025502">
        <w:rPr>
          <w:sz w:val="24"/>
          <w:szCs w:val="24"/>
        </w:rPr>
        <w:t xml:space="preserve">dents. Meanwhile using simple random method, the study selected 10% (317) of the targeted girls as respondents. </w:t>
      </w:r>
      <w:r w:rsidR="00BC3F15">
        <w:rPr>
          <w:sz w:val="24"/>
          <w:szCs w:val="24"/>
        </w:rPr>
        <w:t xml:space="preserve">Questionnaire and interview schedules were be used to collect data. Reliability of the questionnaire was conducted by use Cronbach's alpha whereas validity was carried out by engaging specialists in the fields of curriculum to thoroughly examine and improve the survey questions. </w:t>
      </w:r>
      <w:r w:rsidR="00025502" w:rsidRPr="00025502">
        <w:rPr>
          <w:sz w:val="24"/>
          <w:szCs w:val="24"/>
        </w:rPr>
        <w:t>Quantitative data was analysed to produce descriptive statistics while Pearson’s Product Moment Correlation Analysis was used to te</w:t>
      </w:r>
      <w:r w:rsidR="00025502">
        <w:rPr>
          <w:sz w:val="24"/>
          <w:szCs w:val="24"/>
        </w:rPr>
        <w:t>s</w:t>
      </w:r>
      <w:r w:rsidR="00025502" w:rsidRPr="00025502">
        <w:rPr>
          <w:sz w:val="24"/>
          <w:szCs w:val="24"/>
        </w:rPr>
        <w:t xml:space="preserve">t </w:t>
      </w:r>
      <w:r w:rsidR="00025502">
        <w:rPr>
          <w:sz w:val="24"/>
          <w:szCs w:val="24"/>
        </w:rPr>
        <w:t xml:space="preserve">for </w:t>
      </w:r>
      <w:r w:rsidR="00025502" w:rsidRPr="00025502">
        <w:rPr>
          <w:sz w:val="24"/>
          <w:szCs w:val="24"/>
        </w:rPr>
        <w:t>association. This analysis was done with assistance of Statistical Packages for Social Science (SPSS) Version 27 and presented using frequency tables. Qualitative data was analyzed verbatim</w:t>
      </w:r>
      <w:r w:rsidR="00BC3F15">
        <w:rPr>
          <w:sz w:val="24"/>
          <w:szCs w:val="24"/>
        </w:rPr>
        <w:t>. The study found that s</w:t>
      </w:r>
      <w:r>
        <w:rPr>
          <w:sz w:val="24"/>
          <w:szCs w:val="24"/>
        </w:rPr>
        <w:t xml:space="preserve">tudents personal issues had statistically significant </w:t>
      </w:r>
      <w:r>
        <w:rPr>
          <w:sz w:val="24"/>
          <w:szCs w:val="24"/>
        </w:rPr>
        <w:t>influence on girls dropping out from public secondary schools in Garissa Township</w:t>
      </w:r>
      <w:r w:rsidR="00BC3F15">
        <w:rPr>
          <w:sz w:val="24"/>
          <w:szCs w:val="24"/>
        </w:rPr>
        <w:t xml:space="preserve"> (r=</w:t>
      </w:r>
      <w:r>
        <w:rPr>
          <w:sz w:val="24"/>
          <w:szCs w:val="24"/>
        </w:rPr>
        <w:t>0.510</w:t>
      </w:r>
      <w:r w:rsidR="00BC3F15">
        <w:rPr>
          <w:sz w:val="24"/>
          <w:szCs w:val="24"/>
        </w:rPr>
        <w:t>; p&lt;0.01).</w:t>
      </w:r>
      <w:r>
        <w:rPr>
          <w:sz w:val="24"/>
          <w:szCs w:val="24"/>
        </w:rPr>
        <w:t xml:space="preserve"> The study recommended that schools implement structured mentorship programs. These programs should pair students with teachers, senior students, or communi</w:t>
      </w:r>
      <w:r>
        <w:rPr>
          <w:sz w:val="24"/>
          <w:szCs w:val="24"/>
        </w:rPr>
        <w:t>ty members who can provide guidance, emotional support, and career advice to help students navigate academic and personal challenges. The study's results are expected to provide valuable insights for implementing specific interventions and policies aimed a</w:t>
      </w:r>
      <w:r>
        <w:rPr>
          <w:sz w:val="24"/>
          <w:szCs w:val="24"/>
        </w:rPr>
        <w:t>t addressing students’ personal issues and decreasing the incidence of females dropping out of public secondary schools in Garissa Township.</w:t>
      </w:r>
    </w:p>
    <w:p w14:paraId="05749DE0" w14:textId="2D2699EA" w:rsidR="0018439B" w:rsidRDefault="00BC3F15">
      <w:pPr>
        <w:jc w:val="both"/>
        <w:rPr>
          <w:sz w:val="24"/>
          <w:szCs w:val="24"/>
        </w:rPr>
      </w:pPr>
      <w:r>
        <w:rPr>
          <w:sz w:val="24"/>
          <w:szCs w:val="24"/>
        </w:rPr>
        <w:t xml:space="preserve">Keywords: </w:t>
      </w:r>
      <w:r w:rsidRPr="00BC3F15">
        <w:rPr>
          <w:bCs/>
          <w:i/>
          <w:iCs/>
          <w:sz w:val="24"/>
          <w:szCs w:val="24"/>
        </w:rPr>
        <w:t xml:space="preserve">Girls’ School </w:t>
      </w:r>
      <w:r w:rsidR="00504A9E" w:rsidRPr="00BC3F15">
        <w:rPr>
          <w:bCs/>
          <w:i/>
          <w:iCs/>
          <w:sz w:val="24"/>
          <w:szCs w:val="24"/>
        </w:rPr>
        <w:t>Dropout;</w:t>
      </w:r>
      <w:r w:rsidRPr="00BC3F15">
        <w:rPr>
          <w:bCs/>
          <w:i/>
          <w:iCs/>
          <w:sz w:val="24"/>
          <w:szCs w:val="24"/>
        </w:rPr>
        <w:t xml:space="preserve"> Structured Mentorship Programs, Students’ Personal Issues</w:t>
      </w:r>
    </w:p>
    <w:p w14:paraId="65D9574A" w14:textId="77777777" w:rsidR="0018439B" w:rsidRDefault="0018439B">
      <w:pPr>
        <w:jc w:val="both"/>
        <w:rPr>
          <w:color w:val="000000"/>
          <w:sz w:val="24"/>
          <w:szCs w:val="24"/>
        </w:rPr>
      </w:pPr>
    </w:p>
    <w:p w14:paraId="5DF6A592" w14:textId="77777777" w:rsidR="0018439B" w:rsidRDefault="000B4639">
      <w:pPr>
        <w:jc w:val="both"/>
        <w:rPr>
          <w:b/>
          <w:sz w:val="24"/>
          <w:szCs w:val="24"/>
        </w:rPr>
      </w:pPr>
      <w:r>
        <w:rPr>
          <w:b/>
          <w:sz w:val="24"/>
          <w:szCs w:val="24"/>
        </w:rPr>
        <w:t>BACKGROUND OF THE STUDY</w:t>
      </w:r>
    </w:p>
    <w:p w14:paraId="5A3ABD43" w14:textId="77777777" w:rsidR="0018439B" w:rsidRDefault="000B4639">
      <w:pPr>
        <w:jc w:val="both"/>
        <w:rPr>
          <w:b/>
          <w:sz w:val="24"/>
          <w:szCs w:val="24"/>
        </w:rPr>
      </w:pPr>
      <w:r>
        <w:rPr>
          <w:b/>
          <w:sz w:val="24"/>
          <w:szCs w:val="24"/>
        </w:rPr>
        <w:t xml:space="preserve"> </w:t>
      </w:r>
    </w:p>
    <w:p w14:paraId="1A7B8A69" w14:textId="6551CC70" w:rsidR="0018439B" w:rsidRDefault="000B4639">
      <w:pPr>
        <w:jc w:val="both"/>
        <w:rPr>
          <w:sz w:val="24"/>
          <w:szCs w:val="24"/>
        </w:rPr>
      </w:pPr>
      <w:r>
        <w:rPr>
          <w:sz w:val="24"/>
          <w:szCs w:val="24"/>
        </w:rPr>
        <w:t>Globally, education has been identified as one of the pillar</w:t>
      </w:r>
      <w:r w:rsidR="00BC3F15">
        <w:rPr>
          <w:sz w:val="24"/>
          <w:szCs w:val="24"/>
        </w:rPr>
        <w:t>s</w:t>
      </w:r>
      <w:r>
        <w:rPr>
          <w:sz w:val="24"/>
          <w:szCs w:val="24"/>
        </w:rPr>
        <w:t xml:space="preserve"> </w:t>
      </w:r>
      <w:r w:rsidR="00BC3F15">
        <w:rPr>
          <w:sz w:val="24"/>
          <w:szCs w:val="24"/>
        </w:rPr>
        <w:t>of</w:t>
      </w:r>
      <w:r>
        <w:rPr>
          <w:sz w:val="24"/>
          <w:szCs w:val="24"/>
        </w:rPr>
        <w:t xml:space="preserve"> intellectual knowledge </w:t>
      </w:r>
      <w:r w:rsidR="00BC3F15">
        <w:rPr>
          <w:sz w:val="24"/>
          <w:szCs w:val="24"/>
        </w:rPr>
        <w:t xml:space="preserve">for </w:t>
      </w:r>
      <w:r>
        <w:rPr>
          <w:sz w:val="24"/>
          <w:szCs w:val="24"/>
        </w:rPr>
        <w:t>enhanc</w:t>
      </w:r>
      <w:r w:rsidR="00BC3F15">
        <w:rPr>
          <w:sz w:val="24"/>
          <w:szCs w:val="24"/>
        </w:rPr>
        <w:t>ing</w:t>
      </w:r>
      <w:r>
        <w:rPr>
          <w:sz w:val="24"/>
          <w:szCs w:val="24"/>
        </w:rPr>
        <w:t xml:space="preserve"> development in society</w:t>
      </w:r>
      <w:r w:rsidR="003F6AD6">
        <w:rPr>
          <w:sz w:val="24"/>
          <w:szCs w:val="24"/>
        </w:rPr>
        <w:t xml:space="preserve"> (</w:t>
      </w:r>
      <w:proofErr w:type="spellStart"/>
      <w:r w:rsidR="003F6AD6" w:rsidRPr="00AA70D4">
        <w:t>Kurangking</w:t>
      </w:r>
      <w:proofErr w:type="spellEnd"/>
      <w:r w:rsidR="003F6AD6">
        <w:t xml:space="preserve"> et l., 2</w:t>
      </w:r>
      <w:r w:rsidR="003F6AD6" w:rsidRPr="00AA70D4">
        <w:t>023)</w:t>
      </w:r>
      <w:r>
        <w:rPr>
          <w:sz w:val="24"/>
          <w:szCs w:val="24"/>
        </w:rPr>
        <w:t>. In the wake of today’s occurrences among them women becoming breadwinners because of incidences like d</w:t>
      </w:r>
      <w:r>
        <w:rPr>
          <w:sz w:val="24"/>
          <w:szCs w:val="24"/>
        </w:rPr>
        <w:t>ivorce, education of girls is being considered equally important in any society in order to make them self- reliant</w:t>
      </w:r>
      <w:r w:rsidR="00925947">
        <w:rPr>
          <w:sz w:val="24"/>
          <w:szCs w:val="24"/>
        </w:rPr>
        <w:t xml:space="preserve"> (</w:t>
      </w:r>
      <w:r w:rsidR="00925947" w:rsidRPr="00AA70D4">
        <w:t>Fisher</w:t>
      </w:r>
      <w:r w:rsidR="00925947">
        <w:t xml:space="preserve"> et al., </w:t>
      </w:r>
      <w:bookmarkStart w:id="1" w:name="_GoBack"/>
      <w:r w:rsidR="00925947" w:rsidRPr="00AA70D4">
        <w:t>2</w:t>
      </w:r>
      <w:bookmarkEnd w:id="1"/>
      <w:r w:rsidR="00925947" w:rsidRPr="00AA70D4">
        <w:t>025)</w:t>
      </w:r>
      <w:r>
        <w:rPr>
          <w:sz w:val="24"/>
          <w:szCs w:val="24"/>
        </w:rPr>
        <w:t>. Efforts have been laid to promote education among the children to ensure equality in accessing education. However, th</w:t>
      </w:r>
      <w:r>
        <w:rPr>
          <w:sz w:val="24"/>
          <w:szCs w:val="24"/>
        </w:rPr>
        <w:t>ere has been disturbing trend of inequality in accessing education among the youths in various countries worldwide due to gender imbalance</w:t>
      </w:r>
      <w:r w:rsidR="00925947">
        <w:rPr>
          <w:sz w:val="24"/>
          <w:szCs w:val="24"/>
        </w:rPr>
        <w:t xml:space="preserve"> (</w:t>
      </w:r>
      <w:proofErr w:type="spellStart"/>
      <w:r w:rsidR="00925947" w:rsidRPr="00AA70D4">
        <w:t>Kuteesa</w:t>
      </w:r>
      <w:proofErr w:type="spellEnd"/>
      <w:proofErr w:type="gramStart"/>
      <w:r w:rsidR="00925947" w:rsidRPr="00AA70D4">
        <w:t>, ,</w:t>
      </w:r>
      <w:proofErr w:type="gramEnd"/>
      <w:r w:rsidR="00925947" w:rsidRPr="00AA70D4">
        <w:t xml:space="preserve"> </w:t>
      </w:r>
      <w:proofErr w:type="spellStart"/>
      <w:r w:rsidR="00925947" w:rsidRPr="00AA70D4">
        <w:t>Akpuokwe</w:t>
      </w:r>
      <w:proofErr w:type="spellEnd"/>
      <w:r w:rsidR="00925947" w:rsidRPr="00AA70D4">
        <w:t xml:space="preserve"> &amp; Udeh, 2024)</w:t>
      </w:r>
    </w:p>
    <w:p w14:paraId="0C80F29A" w14:textId="589A53C7" w:rsidR="0018439B" w:rsidRDefault="000B4639">
      <w:pPr>
        <w:jc w:val="both"/>
        <w:rPr>
          <w:sz w:val="24"/>
          <w:szCs w:val="24"/>
        </w:rPr>
      </w:pPr>
      <w:r>
        <w:rPr>
          <w:sz w:val="24"/>
          <w:szCs w:val="24"/>
        </w:rPr>
        <w:lastRenderedPageBreak/>
        <w:t xml:space="preserve"> In Africa, the case of gender inequality contributed by socio-economic factors ha</w:t>
      </w:r>
      <w:r>
        <w:rPr>
          <w:sz w:val="24"/>
          <w:szCs w:val="24"/>
        </w:rPr>
        <w:t>s been observed</w:t>
      </w:r>
      <w:r w:rsidR="00925947">
        <w:rPr>
          <w:sz w:val="24"/>
          <w:szCs w:val="24"/>
        </w:rPr>
        <w:t xml:space="preserve"> (</w:t>
      </w:r>
      <w:r w:rsidR="00925947" w:rsidRPr="00AA70D4">
        <w:t>Dominic</w:t>
      </w:r>
      <w:r w:rsidR="00925947">
        <w:t xml:space="preserve"> et al., 2</w:t>
      </w:r>
      <w:r w:rsidR="00925947" w:rsidRPr="00AA70D4">
        <w:t>017)</w:t>
      </w:r>
      <w:r>
        <w:rPr>
          <w:sz w:val="24"/>
          <w:szCs w:val="24"/>
        </w:rPr>
        <w:t xml:space="preserve">. Most traditional African communities do not value girls’ education compared to male. </w:t>
      </w:r>
      <w:r w:rsidR="00BC3F15">
        <w:rPr>
          <w:sz w:val="24"/>
          <w:szCs w:val="24"/>
        </w:rPr>
        <w:t xml:space="preserve">For </w:t>
      </w:r>
      <w:r w:rsidR="0054159A">
        <w:rPr>
          <w:sz w:val="24"/>
          <w:szCs w:val="24"/>
        </w:rPr>
        <w:t>instance</w:t>
      </w:r>
      <w:r w:rsidR="00BC3F15">
        <w:rPr>
          <w:sz w:val="24"/>
          <w:szCs w:val="24"/>
        </w:rPr>
        <w:t xml:space="preserve">, </w:t>
      </w:r>
      <w:r w:rsidR="0054159A">
        <w:rPr>
          <w:sz w:val="24"/>
          <w:szCs w:val="24"/>
        </w:rPr>
        <w:t>t</w:t>
      </w:r>
      <w:r w:rsidR="00BC3F15">
        <w:rPr>
          <w:sz w:val="24"/>
          <w:szCs w:val="24"/>
        </w:rPr>
        <w:t>he rate of student dropout in Tanzanian secondary schools is about 36%.</w:t>
      </w:r>
      <w:r w:rsidR="0054159A">
        <w:rPr>
          <w:sz w:val="24"/>
          <w:szCs w:val="24"/>
        </w:rPr>
        <w:t xml:space="preserve"> </w:t>
      </w:r>
      <w:r>
        <w:rPr>
          <w:sz w:val="24"/>
          <w:szCs w:val="24"/>
        </w:rPr>
        <w:t>A study conducted by African Union (2021) fo</w:t>
      </w:r>
      <w:r>
        <w:rPr>
          <w:sz w:val="24"/>
          <w:szCs w:val="24"/>
        </w:rPr>
        <w:t>und that the level of income among most African communities was the main driver contributing to girls’ drop out form schools. The report pointed out that social factors did not respect and recognize girl’s education as important compared to male education.</w:t>
      </w:r>
      <w:r>
        <w:rPr>
          <w:sz w:val="24"/>
          <w:szCs w:val="24"/>
        </w:rPr>
        <w:t xml:space="preserve"> Therefore, most families did not prioritize investing their resources to girl’s education compared to male. </w:t>
      </w:r>
      <w:r w:rsidR="00BC3F15">
        <w:rPr>
          <w:sz w:val="24"/>
          <w:szCs w:val="24"/>
        </w:rPr>
        <w:t>Accordingly, m</w:t>
      </w:r>
      <w:r>
        <w:rPr>
          <w:sz w:val="24"/>
          <w:szCs w:val="24"/>
        </w:rPr>
        <w:t xml:space="preserve">acro strategies (free school uniform distribution, free education, and school feeding program) and micro strategies (scholarships, </w:t>
      </w:r>
      <w:r>
        <w:rPr>
          <w:sz w:val="24"/>
          <w:szCs w:val="24"/>
        </w:rPr>
        <w:t>child- friendly school environment, guidance and counselling, and child safety) have been put in place for mitigating school dropout in Ghana (</w:t>
      </w:r>
      <w:proofErr w:type="spellStart"/>
      <w:r w:rsidR="00925947" w:rsidRPr="00AA70D4">
        <w:t>Imoro</w:t>
      </w:r>
      <w:proofErr w:type="spellEnd"/>
      <w:r w:rsidR="00925947" w:rsidRPr="00AA70D4">
        <w:t>, 2009</w:t>
      </w:r>
      <w:r>
        <w:rPr>
          <w:sz w:val="24"/>
          <w:szCs w:val="24"/>
        </w:rPr>
        <w:t xml:space="preserve">). A study by </w:t>
      </w:r>
      <w:proofErr w:type="spellStart"/>
      <w:r>
        <w:rPr>
          <w:sz w:val="24"/>
          <w:szCs w:val="24"/>
        </w:rPr>
        <w:t>Mduma</w:t>
      </w:r>
      <w:proofErr w:type="spellEnd"/>
      <w:r>
        <w:rPr>
          <w:sz w:val="24"/>
          <w:szCs w:val="24"/>
        </w:rPr>
        <w:t xml:space="preserve"> </w:t>
      </w:r>
      <w:r w:rsidR="00925947">
        <w:rPr>
          <w:sz w:val="24"/>
          <w:szCs w:val="24"/>
        </w:rPr>
        <w:t xml:space="preserve">et al. </w:t>
      </w:r>
      <w:r>
        <w:rPr>
          <w:sz w:val="24"/>
          <w:szCs w:val="24"/>
        </w:rPr>
        <w:t xml:space="preserve">(2019) </w:t>
      </w:r>
      <w:r w:rsidR="0054159A">
        <w:rPr>
          <w:sz w:val="24"/>
          <w:szCs w:val="24"/>
        </w:rPr>
        <w:t xml:space="preserve">found that </w:t>
      </w:r>
      <w:r>
        <w:rPr>
          <w:sz w:val="24"/>
          <w:szCs w:val="24"/>
        </w:rPr>
        <w:t>age, parents’ income, and students’ gender contributed to</w:t>
      </w:r>
      <w:r>
        <w:rPr>
          <w:sz w:val="24"/>
          <w:szCs w:val="24"/>
        </w:rPr>
        <w:t xml:space="preserve"> the students’ dropping out of secondary schools. </w:t>
      </w:r>
    </w:p>
    <w:p w14:paraId="7E568069" w14:textId="7B545849" w:rsidR="0054159A" w:rsidRDefault="000B4639">
      <w:pPr>
        <w:jc w:val="both"/>
        <w:rPr>
          <w:sz w:val="24"/>
          <w:szCs w:val="24"/>
        </w:rPr>
      </w:pPr>
      <w:r>
        <w:rPr>
          <w:sz w:val="24"/>
          <w:szCs w:val="24"/>
        </w:rPr>
        <w:t>In Kenya, through free primary education (FPE) and free day secondary education (FDSE), the Kenyan government intended education to be affordable and accessible to all children in Kenya (</w:t>
      </w:r>
      <w:proofErr w:type="spellStart"/>
      <w:r>
        <w:rPr>
          <w:sz w:val="24"/>
          <w:szCs w:val="24"/>
        </w:rPr>
        <w:t>Musangi</w:t>
      </w:r>
      <w:proofErr w:type="spellEnd"/>
      <w:r>
        <w:rPr>
          <w:sz w:val="24"/>
          <w:szCs w:val="24"/>
        </w:rPr>
        <w:t xml:space="preserve"> et al., 20</w:t>
      </w:r>
      <w:r>
        <w:rPr>
          <w:sz w:val="24"/>
          <w:szCs w:val="24"/>
        </w:rPr>
        <w:t>17)</w:t>
      </w:r>
      <w:r w:rsidR="0054159A">
        <w:rPr>
          <w:sz w:val="24"/>
          <w:szCs w:val="24"/>
        </w:rPr>
        <w:t>. These initiatives further helped</w:t>
      </w:r>
      <w:r>
        <w:rPr>
          <w:sz w:val="24"/>
          <w:szCs w:val="24"/>
        </w:rPr>
        <w:t xml:space="preserve"> address low-quality education, illiteracy, and low completion rates (</w:t>
      </w:r>
      <w:proofErr w:type="spellStart"/>
      <w:r>
        <w:rPr>
          <w:sz w:val="24"/>
          <w:szCs w:val="24"/>
        </w:rPr>
        <w:t>Oprong</w:t>
      </w:r>
      <w:proofErr w:type="spellEnd"/>
      <w:r>
        <w:rPr>
          <w:sz w:val="24"/>
          <w:szCs w:val="24"/>
        </w:rPr>
        <w:t xml:space="preserve">, 2016). In addition, the Kenya Government has other programs meant to boost access, retention, and quality of education, like infrastructural </w:t>
      </w:r>
      <w:r>
        <w:rPr>
          <w:sz w:val="24"/>
          <w:szCs w:val="24"/>
        </w:rPr>
        <w:t xml:space="preserve">development interventions (Constituency Development Fund (C.D.F) schools and </w:t>
      </w:r>
      <w:proofErr w:type="spellStart"/>
      <w:r>
        <w:rPr>
          <w:sz w:val="24"/>
          <w:szCs w:val="24"/>
        </w:rPr>
        <w:t>Centres</w:t>
      </w:r>
      <w:proofErr w:type="spellEnd"/>
      <w:r>
        <w:rPr>
          <w:sz w:val="24"/>
          <w:szCs w:val="24"/>
        </w:rPr>
        <w:t xml:space="preserve"> of Excellence); Digital Literacy Programme (DLP), which is under implementation; Sanitary towels programs; low-priced boarding schools and mobile schools in ASALs; </w:t>
      </w:r>
      <w:proofErr w:type="spellStart"/>
      <w:r>
        <w:rPr>
          <w:sz w:val="24"/>
          <w:szCs w:val="24"/>
        </w:rPr>
        <w:t>Tusome</w:t>
      </w:r>
      <w:proofErr w:type="spellEnd"/>
      <w:r>
        <w:rPr>
          <w:sz w:val="24"/>
          <w:szCs w:val="24"/>
        </w:rPr>
        <w:t xml:space="preserve"> </w:t>
      </w:r>
      <w:r>
        <w:rPr>
          <w:sz w:val="24"/>
          <w:szCs w:val="24"/>
        </w:rPr>
        <w:t xml:space="preserve">Project (2015-2018); School Health and Nutrition Programme; Kenya Primary Education Development (PRIEDE) Project (2016-2019); and Policies for re-entry after thematic areas which include early pregnancy (1994), inhibitive cultural practices, and education </w:t>
      </w:r>
      <w:r>
        <w:rPr>
          <w:sz w:val="24"/>
          <w:szCs w:val="24"/>
        </w:rPr>
        <w:t>in emergencies</w:t>
      </w:r>
      <w:r w:rsidR="00055C2A">
        <w:rPr>
          <w:sz w:val="24"/>
          <w:szCs w:val="24"/>
        </w:rPr>
        <w:t xml:space="preserve"> (</w:t>
      </w:r>
      <w:r w:rsidR="00055C2A" w:rsidRPr="00E65201">
        <w:t>Ministry of Education</w:t>
      </w:r>
      <w:r w:rsidR="00055C2A">
        <w:t>, 2020)</w:t>
      </w:r>
      <w:r>
        <w:rPr>
          <w:sz w:val="24"/>
          <w:szCs w:val="24"/>
        </w:rPr>
        <w:t>.</w:t>
      </w:r>
    </w:p>
    <w:p w14:paraId="5B852BC3" w14:textId="22290F6C" w:rsidR="0018439B" w:rsidRDefault="0054159A" w:rsidP="0054159A">
      <w:pPr>
        <w:jc w:val="both"/>
        <w:rPr>
          <w:sz w:val="24"/>
          <w:szCs w:val="24"/>
        </w:rPr>
      </w:pPr>
      <w:r>
        <w:rPr>
          <w:sz w:val="24"/>
          <w:szCs w:val="24"/>
        </w:rPr>
        <w:t xml:space="preserve">Despite these initiatives, most regions including the north-eastern part of the country have shown a huge percentage of girls dropping out of </w:t>
      </w:r>
      <w:proofErr w:type="gramStart"/>
      <w:r>
        <w:rPr>
          <w:sz w:val="24"/>
          <w:szCs w:val="24"/>
        </w:rPr>
        <w:t>schools..</w:t>
      </w:r>
      <w:proofErr w:type="gramEnd"/>
      <w:r>
        <w:rPr>
          <w:sz w:val="24"/>
          <w:szCs w:val="24"/>
        </w:rPr>
        <w:t xml:space="preserve"> Dagane and Aden, (2021) explain that North eastern continues including Garissa County grapple with the issue of socio-economic challenges, especially gender role, which have limited the access of quality education among the female students. Moreover, </w:t>
      </w:r>
      <w:proofErr w:type="spellStart"/>
      <w:r w:rsidR="00055C2A" w:rsidRPr="00E65201">
        <w:t>Njati</w:t>
      </w:r>
      <w:proofErr w:type="spellEnd"/>
      <w:r w:rsidR="00055C2A" w:rsidRPr="00E65201">
        <w:t>,</w:t>
      </w:r>
      <w:r w:rsidR="00055C2A">
        <w:t xml:space="preserve"> and</w:t>
      </w:r>
      <w:r w:rsidR="00055C2A" w:rsidRPr="00E65201">
        <w:t xml:space="preserve"> Abel (2024)</w:t>
      </w:r>
      <w:r w:rsidR="00055C2A">
        <w:t xml:space="preserve"> </w:t>
      </w:r>
      <w:r>
        <w:rPr>
          <w:sz w:val="24"/>
          <w:szCs w:val="24"/>
        </w:rPr>
        <w:t>indicate that traditional beliefs among the communities have taken a strong ground such that most households prioritize practicing informal practices rather than formal practices regarding schooling. The issue of early marriages has also been well documented and in most case is prevalent in Garissa County thus, contributing massively to public school dropout among the girls (Save the Children, 2021</w:t>
      </w:r>
      <w:r w:rsidR="00EE7762">
        <w:rPr>
          <w:sz w:val="24"/>
          <w:szCs w:val="24"/>
        </w:rPr>
        <w:t xml:space="preserve">; </w:t>
      </w:r>
      <w:proofErr w:type="spellStart"/>
      <w:r w:rsidR="00EE7762" w:rsidRPr="000C374E">
        <w:t>Kisaka</w:t>
      </w:r>
      <w:proofErr w:type="spellEnd"/>
      <w:r w:rsidR="00EE7762" w:rsidRPr="000C374E">
        <w:t>, 2015</w:t>
      </w:r>
      <w:r>
        <w:rPr>
          <w:sz w:val="24"/>
          <w:szCs w:val="24"/>
        </w:rPr>
        <w:t xml:space="preserve">). </w:t>
      </w:r>
    </w:p>
    <w:p w14:paraId="7D06C83D" w14:textId="7885A8C1" w:rsidR="0018439B" w:rsidRPr="0054159A" w:rsidRDefault="0054159A">
      <w:pPr>
        <w:jc w:val="both"/>
        <w:rPr>
          <w:sz w:val="24"/>
          <w:szCs w:val="24"/>
        </w:rPr>
      </w:pPr>
      <w:r>
        <w:rPr>
          <w:sz w:val="24"/>
          <w:szCs w:val="24"/>
        </w:rPr>
        <w:t xml:space="preserve">Accordingly, the Kenyan government has acknowledged that there </w:t>
      </w:r>
      <w:proofErr w:type="gramStart"/>
      <w:r>
        <w:rPr>
          <w:sz w:val="24"/>
          <w:szCs w:val="24"/>
        </w:rPr>
        <w:t>are</w:t>
      </w:r>
      <w:proofErr w:type="gramEnd"/>
      <w:r>
        <w:rPr>
          <w:sz w:val="24"/>
          <w:szCs w:val="24"/>
        </w:rPr>
        <w:t xml:space="preserve"> still existence of gender- (Republic of Kenya, 2021). For this reason, this study aimed to explore deeper in this issue to produce findings to help the policymakers in the region.  </w:t>
      </w:r>
    </w:p>
    <w:p w14:paraId="083CB54A" w14:textId="77777777" w:rsidR="0018439B" w:rsidRDefault="0018439B">
      <w:pPr>
        <w:jc w:val="both"/>
        <w:rPr>
          <w:color w:val="000000"/>
          <w:sz w:val="24"/>
          <w:szCs w:val="24"/>
        </w:rPr>
      </w:pPr>
    </w:p>
    <w:p w14:paraId="1C03855E" w14:textId="77777777" w:rsidR="0018439B" w:rsidRDefault="000B4639">
      <w:pPr>
        <w:jc w:val="both"/>
        <w:rPr>
          <w:b/>
          <w:sz w:val="24"/>
          <w:szCs w:val="24"/>
        </w:rPr>
      </w:pPr>
      <w:r>
        <w:rPr>
          <w:b/>
          <w:sz w:val="24"/>
          <w:szCs w:val="24"/>
        </w:rPr>
        <w:t>STATEMENT OF THE PROBLEM</w:t>
      </w:r>
    </w:p>
    <w:p w14:paraId="4E202470" w14:textId="35C6E6B1" w:rsidR="0018439B" w:rsidRDefault="0054159A">
      <w:pPr>
        <w:jc w:val="both"/>
        <w:rPr>
          <w:sz w:val="24"/>
          <w:szCs w:val="24"/>
          <w:highlight w:val="white"/>
        </w:rPr>
      </w:pPr>
      <w:r>
        <w:rPr>
          <w:sz w:val="24"/>
          <w:szCs w:val="24"/>
        </w:rPr>
        <w:t>Girl child education plays a significant role in society by providing explicit knowledge and on economic development of individual girls and the society at large (</w:t>
      </w:r>
      <w:proofErr w:type="spellStart"/>
      <w:r>
        <w:rPr>
          <w:sz w:val="24"/>
          <w:szCs w:val="24"/>
        </w:rPr>
        <w:t>Mackatiani</w:t>
      </w:r>
      <w:proofErr w:type="spellEnd"/>
      <w:r>
        <w:rPr>
          <w:sz w:val="24"/>
          <w:szCs w:val="24"/>
        </w:rPr>
        <w:t xml:space="preserve">, </w:t>
      </w:r>
      <w:proofErr w:type="spellStart"/>
      <w:r>
        <w:rPr>
          <w:sz w:val="24"/>
          <w:szCs w:val="24"/>
        </w:rPr>
        <w:t>Mackatiani</w:t>
      </w:r>
      <w:proofErr w:type="spellEnd"/>
      <w:r>
        <w:rPr>
          <w:sz w:val="24"/>
          <w:szCs w:val="24"/>
        </w:rPr>
        <w:t xml:space="preserve"> &amp; </w:t>
      </w:r>
      <w:proofErr w:type="spellStart"/>
      <w:r>
        <w:rPr>
          <w:sz w:val="24"/>
          <w:szCs w:val="24"/>
        </w:rPr>
        <w:t>Atieno</w:t>
      </w:r>
      <w:proofErr w:type="spellEnd"/>
      <w:r>
        <w:rPr>
          <w:sz w:val="24"/>
          <w:szCs w:val="24"/>
        </w:rPr>
        <w:t xml:space="preserve">, 2022). Consequently, the increasing girls school dropout is becoming a global concern. The government of Kenya is working very hard to help learners at all levels so as to remain in school and complete their studies as evidenced by for instance provision of bursaries and subsidized secondary school fees. Despite these interventions by the government, statistics show that more than 10% of girls who enroll in form one </w:t>
      </w:r>
      <w:proofErr w:type="gramStart"/>
      <w:r>
        <w:rPr>
          <w:sz w:val="24"/>
          <w:szCs w:val="24"/>
        </w:rPr>
        <w:t>do</w:t>
      </w:r>
      <w:proofErr w:type="gramEnd"/>
      <w:r>
        <w:rPr>
          <w:sz w:val="24"/>
          <w:szCs w:val="24"/>
        </w:rPr>
        <w:t xml:space="preserve"> not stay in school to complete secondary education (Oduya, 2020). The non-completion of high school by girls will limit students’ </w:t>
      </w:r>
      <w:r>
        <w:rPr>
          <w:sz w:val="24"/>
          <w:szCs w:val="24"/>
        </w:rPr>
        <w:lastRenderedPageBreak/>
        <w:t xml:space="preserve">opportunities and achievement and increase the burden in the society. Additionally, school dropout among girls may impede realization of </w:t>
      </w:r>
      <w:r>
        <w:rPr>
          <w:sz w:val="24"/>
          <w:szCs w:val="24"/>
          <w:highlight w:val="white"/>
        </w:rPr>
        <w:t xml:space="preserve">Kenya Vision 2030's Social Pillar which aims to create a fair, democratic society, with education and training serving as the main catalyst. </w:t>
      </w:r>
    </w:p>
    <w:p w14:paraId="1387CB4A" w14:textId="1C6D0E46" w:rsidR="0018439B" w:rsidRPr="009B58C3" w:rsidRDefault="000B4639" w:rsidP="009B58C3">
      <w:pPr>
        <w:jc w:val="both"/>
        <w:rPr>
          <w:sz w:val="24"/>
          <w:szCs w:val="24"/>
        </w:rPr>
      </w:pPr>
      <w:r w:rsidRPr="009B58C3">
        <w:rPr>
          <w:sz w:val="24"/>
          <w:szCs w:val="24"/>
        </w:rPr>
        <w:t xml:space="preserve">Studies have been conducted and opined that socio economic conditions could be contributing to school dropout by girls (Kisaka,2015; </w:t>
      </w:r>
      <w:proofErr w:type="spellStart"/>
      <w:r w:rsidRPr="009B58C3">
        <w:rPr>
          <w:sz w:val="24"/>
          <w:szCs w:val="24"/>
        </w:rPr>
        <w:t>Mackatiani</w:t>
      </w:r>
      <w:proofErr w:type="spellEnd"/>
      <w:r w:rsidRPr="009B58C3">
        <w:rPr>
          <w:sz w:val="24"/>
          <w:szCs w:val="24"/>
        </w:rPr>
        <w:t xml:space="preserve">, </w:t>
      </w:r>
      <w:proofErr w:type="spellStart"/>
      <w:r w:rsidRPr="009B58C3">
        <w:rPr>
          <w:sz w:val="24"/>
          <w:szCs w:val="24"/>
        </w:rPr>
        <w:t>Mackatiani</w:t>
      </w:r>
      <w:proofErr w:type="spellEnd"/>
      <w:r w:rsidRPr="009B58C3">
        <w:rPr>
          <w:sz w:val="24"/>
          <w:szCs w:val="24"/>
        </w:rPr>
        <w:t xml:space="preserve"> &amp; </w:t>
      </w:r>
      <w:proofErr w:type="spellStart"/>
      <w:r w:rsidRPr="009B58C3">
        <w:rPr>
          <w:sz w:val="24"/>
          <w:szCs w:val="24"/>
        </w:rPr>
        <w:t>Atieno</w:t>
      </w:r>
      <w:proofErr w:type="spellEnd"/>
      <w:r w:rsidRPr="009B58C3">
        <w:rPr>
          <w:sz w:val="24"/>
          <w:szCs w:val="24"/>
        </w:rPr>
        <w:t xml:space="preserve">, 2022; African Union, 2021; RoK, 2021; UNESCO, 2021). In particular, </w:t>
      </w:r>
      <w:proofErr w:type="spellStart"/>
      <w:r w:rsidRPr="009B58C3">
        <w:rPr>
          <w:sz w:val="24"/>
          <w:szCs w:val="24"/>
        </w:rPr>
        <w:t>Kisaka</w:t>
      </w:r>
      <w:proofErr w:type="spellEnd"/>
      <w:r w:rsidRPr="009B58C3">
        <w:rPr>
          <w:sz w:val="24"/>
          <w:szCs w:val="24"/>
        </w:rPr>
        <w:t xml:space="preserve"> (2015) study re</w:t>
      </w:r>
      <w:r w:rsidRPr="009B58C3">
        <w:rPr>
          <w:sz w:val="24"/>
          <w:szCs w:val="24"/>
        </w:rPr>
        <w:t xml:space="preserve">veal lack of gender balance in terms of dropout in schools in Garissa and </w:t>
      </w:r>
      <w:proofErr w:type="spellStart"/>
      <w:r w:rsidRPr="009B58C3">
        <w:rPr>
          <w:sz w:val="24"/>
          <w:szCs w:val="24"/>
        </w:rPr>
        <w:t>Ijara</w:t>
      </w:r>
      <w:proofErr w:type="spellEnd"/>
      <w:r w:rsidRPr="009B58C3">
        <w:rPr>
          <w:sz w:val="24"/>
          <w:szCs w:val="24"/>
        </w:rPr>
        <w:t xml:space="preserve"> Constituencies. However</w:t>
      </w:r>
      <w:r w:rsidR="0054159A" w:rsidRPr="009B58C3">
        <w:rPr>
          <w:sz w:val="24"/>
          <w:szCs w:val="24"/>
        </w:rPr>
        <w:t xml:space="preserve">. </w:t>
      </w:r>
      <w:r w:rsidRPr="009B58C3">
        <w:rPr>
          <w:sz w:val="24"/>
          <w:szCs w:val="24"/>
        </w:rPr>
        <w:t xml:space="preserve">these </w:t>
      </w:r>
      <w:r w:rsidR="0054159A" w:rsidRPr="009B58C3">
        <w:rPr>
          <w:sz w:val="24"/>
          <w:szCs w:val="24"/>
        </w:rPr>
        <w:t>empirical</w:t>
      </w:r>
      <w:r w:rsidRPr="009B58C3">
        <w:rPr>
          <w:sz w:val="24"/>
          <w:szCs w:val="24"/>
        </w:rPr>
        <w:t xml:space="preserve"> studies </w:t>
      </w:r>
      <w:r w:rsidR="0054159A" w:rsidRPr="009B58C3">
        <w:rPr>
          <w:sz w:val="24"/>
          <w:szCs w:val="24"/>
        </w:rPr>
        <w:t xml:space="preserve">highlight significant </w:t>
      </w:r>
      <w:r w:rsidRPr="009B58C3">
        <w:rPr>
          <w:sz w:val="24"/>
          <w:szCs w:val="24"/>
        </w:rPr>
        <w:t>gap</w:t>
      </w:r>
      <w:r w:rsidR="009B58C3" w:rsidRPr="009B58C3">
        <w:rPr>
          <w:sz w:val="24"/>
          <w:szCs w:val="24"/>
        </w:rPr>
        <w:t xml:space="preserve">, making it difficult to establish the manner in </w:t>
      </w:r>
      <w:proofErr w:type="gramStart"/>
      <w:r w:rsidR="009B58C3" w:rsidRPr="009B58C3">
        <w:rPr>
          <w:sz w:val="24"/>
          <w:szCs w:val="24"/>
        </w:rPr>
        <w:t xml:space="preserve">which </w:t>
      </w:r>
      <w:r w:rsidRPr="009B58C3">
        <w:rPr>
          <w:sz w:val="24"/>
          <w:szCs w:val="24"/>
        </w:rPr>
        <w:t xml:space="preserve"> students</w:t>
      </w:r>
      <w:proofErr w:type="gramEnd"/>
      <w:r w:rsidRPr="009B58C3">
        <w:rPr>
          <w:sz w:val="24"/>
          <w:szCs w:val="24"/>
        </w:rPr>
        <w:t xml:space="preserve"> personal issues </w:t>
      </w:r>
      <w:r w:rsidR="009B58C3" w:rsidRPr="009B58C3">
        <w:rPr>
          <w:sz w:val="24"/>
          <w:szCs w:val="24"/>
        </w:rPr>
        <w:t>influence</w:t>
      </w:r>
      <w:r w:rsidRPr="009B58C3">
        <w:rPr>
          <w:sz w:val="24"/>
          <w:szCs w:val="24"/>
        </w:rPr>
        <w:t xml:space="preserve"> girls dropping out of secondary school. This study </w:t>
      </w:r>
      <w:r w:rsidR="009B58C3" w:rsidRPr="009B58C3">
        <w:rPr>
          <w:sz w:val="24"/>
          <w:szCs w:val="24"/>
        </w:rPr>
        <w:t>filled</w:t>
      </w:r>
      <w:r w:rsidRPr="009B58C3">
        <w:rPr>
          <w:sz w:val="24"/>
          <w:szCs w:val="24"/>
        </w:rPr>
        <w:t xml:space="preserve"> this gap by concentrating in Garissa Sub County and showing the influence of </w:t>
      </w:r>
      <w:proofErr w:type="gramStart"/>
      <w:r w:rsidRPr="009B58C3">
        <w:rPr>
          <w:sz w:val="24"/>
          <w:szCs w:val="24"/>
        </w:rPr>
        <w:t>students</w:t>
      </w:r>
      <w:proofErr w:type="gramEnd"/>
      <w:r w:rsidRPr="009B58C3">
        <w:rPr>
          <w:sz w:val="24"/>
          <w:szCs w:val="24"/>
        </w:rPr>
        <w:t xml:space="preserve"> personal issues on girls dropping out of secondary school.</w:t>
      </w:r>
    </w:p>
    <w:p w14:paraId="5B8EA0A9" w14:textId="77777777" w:rsidR="0018439B" w:rsidRPr="009B58C3" w:rsidRDefault="000B4639" w:rsidP="009B58C3">
      <w:pPr>
        <w:pStyle w:val="Heading2"/>
        <w:rPr>
          <w:rFonts w:ascii="Times New Roman" w:hAnsi="Times New Roman" w:cs="Times New Roman"/>
          <w:color w:val="auto"/>
          <w:sz w:val="24"/>
          <w:szCs w:val="24"/>
        </w:rPr>
      </w:pPr>
      <w:r w:rsidRPr="009B58C3">
        <w:rPr>
          <w:rFonts w:ascii="Times New Roman" w:hAnsi="Times New Roman" w:cs="Times New Roman"/>
          <w:b/>
          <w:color w:val="auto"/>
          <w:sz w:val="24"/>
          <w:szCs w:val="24"/>
        </w:rPr>
        <w:t>RESEARCH</w:t>
      </w:r>
      <w:r w:rsidRPr="009B58C3">
        <w:rPr>
          <w:rFonts w:ascii="Times New Roman" w:hAnsi="Times New Roman" w:cs="Times New Roman"/>
          <w:color w:val="auto"/>
          <w:sz w:val="24"/>
          <w:szCs w:val="24"/>
        </w:rPr>
        <w:t xml:space="preserve"> </w:t>
      </w:r>
      <w:r w:rsidRPr="009B58C3">
        <w:rPr>
          <w:rFonts w:ascii="Times New Roman" w:hAnsi="Times New Roman" w:cs="Times New Roman"/>
          <w:b/>
          <w:color w:val="auto"/>
          <w:sz w:val="24"/>
          <w:szCs w:val="24"/>
        </w:rPr>
        <w:t>OBJECTIVE</w:t>
      </w:r>
    </w:p>
    <w:p w14:paraId="09B657E1" w14:textId="77777777" w:rsidR="0018439B" w:rsidRPr="009B58C3" w:rsidRDefault="0018439B">
      <w:pPr>
        <w:jc w:val="both"/>
        <w:rPr>
          <w:sz w:val="24"/>
          <w:szCs w:val="24"/>
        </w:rPr>
      </w:pPr>
    </w:p>
    <w:p w14:paraId="3355F61B" w14:textId="650D62C7" w:rsidR="0018439B" w:rsidRPr="009B58C3" w:rsidRDefault="000B4639">
      <w:pPr>
        <w:jc w:val="both"/>
        <w:rPr>
          <w:sz w:val="24"/>
          <w:szCs w:val="24"/>
        </w:rPr>
      </w:pPr>
      <w:r w:rsidRPr="009B58C3">
        <w:rPr>
          <w:sz w:val="24"/>
          <w:szCs w:val="24"/>
        </w:rPr>
        <w:t xml:space="preserve">To determine the influence of </w:t>
      </w:r>
      <w:r w:rsidR="00AA516A" w:rsidRPr="009B58C3">
        <w:rPr>
          <w:sz w:val="24"/>
          <w:szCs w:val="24"/>
        </w:rPr>
        <w:t>students’</w:t>
      </w:r>
      <w:r w:rsidRPr="009B58C3">
        <w:rPr>
          <w:sz w:val="24"/>
          <w:szCs w:val="24"/>
        </w:rPr>
        <w:t xml:space="preserve"> personal issues on dropout </w:t>
      </w:r>
      <w:r w:rsidR="009B58C3">
        <w:rPr>
          <w:sz w:val="24"/>
          <w:szCs w:val="24"/>
        </w:rPr>
        <w:t>on</w:t>
      </w:r>
      <w:r w:rsidR="009B58C3" w:rsidRPr="009B58C3">
        <w:rPr>
          <w:sz w:val="24"/>
          <w:szCs w:val="24"/>
        </w:rPr>
        <w:t xml:space="preserve"> </w:t>
      </w:r>
      <w:r w:rsidR="009B58C3">
        <w:rPr>
          <w:sz w:val="24"/>
          <w:szCs w:val="24"/>
        </w:rPr>
        <w:t xml:space="preserve">girls’ school </w:t>
      </w:r>
      <w:r w:rsidR="009B58C3" w:rsidRPr="009B58C3">
        <w:rPr>
          <w:sz w:val="24"/>
          <w:szCs w:val="24"/>
        </w:rPr>
        <w:t xml:space="preserve">dropout </w:t>
      </w:r>
      <w:r w:rsidR="009B58C3">
        <w:rPr>
          <w:sz w:val="24"/>
          <w:szCs w:val="24"/>
        </w:rPr>
        <w:t>among</w:t>
      </w:r>
      <w:r w:rsidR="009B58C3" w:rsidRPr="009B58C3">
        <w:rPr>
          <w:sz w:val="24"/>
          <w:szCs w:val="24"/>
        </w:rPr>
        <w:t xml:space="preserve"> public secondary schools in Garissa Township.</w:t>
      </w:r>
    </w:p>
    <w:p w14:paraId="566421E5" w14:textId="74509EF6" w:rsidR="009B58C3" w:rsidRPr="009B58C3" w:rsidRDefault="009B58C3" w:rsidP="009B58C3">
      <w:pPr>
        <w:pStyle w:val="Heading2"/>
        <w:rPr>
          <w:rFonts w:ascii="Times New Roman" w:hAnsi="Times New Roman" w:cs="Times New Roman"/>
          <w:color w:val="auto"/>
          <w:sz w:val="24"/>
          <w:szCs w:val="24"/>
        </w:rPr>
      </w:pPr>
      <w:r w:rsidRPr="009B58C3">
        <w:rPr>
          <w:rFonts w:ascii="Times New Roman" w:hAnsi="Times New Roman" w:cs="Times New Roman"/>
          <w:b/>
          <w:color w:val="auto"/>
          <w:sz w:val="24"/>
          <w:szCs w:val="24"/>
        </w:rPr>
        <w:t>RESEARCH</w:t>
      </w:r>
      <w:r w:rsidRPr="009B58C3">
        <w:rPr>
          <w:rFonts w:ascii="Times New Roman" w:hAnsi="Times New Roman" w:cs="Times New Roman"/>
          <w:color w:val="auto"/>
          <w:sz w:val="24"/>
          <w:szCs w:val="24"/>
        </w:rPr>
        <w:t xml:space="preserve"> </w:t>
      </w:r>
      <w:r>
        <w:rPr>
          <w:rFonts w:ascii="Times New Roman" w:hAnsi="Times New Roman" w:cs="Times New Roman"/>
          <w:b/>
          <w:color w:val="auto"/>
          <w:sz w:val="24"/>
          <w:szCs w:val="24"/>
        </w:rPr>
        <w:t>HYPOTHESIS</w:t>
      </w:r>
    </w:p>
    <w:p w14:paraId="03CF3976" w14:textId="6880D1BC" w:rsidR="0018439B" w:rsidRPr="009B58C3" w:rsidRDefault="009B58C3" w:rsidP="009B58C3">
      <w:pPr>
        <w:jc w:val="both"/>
        <w:rPr>
          <w:sz w:val="24"/>
          <w:szCs w:val="24"/>
        </w:rPr>
      </w:pPr>
      <w:r>
        <w:rPr>
          <w:sz w:val="24"/>
          <w:szCs w:val="24"/>
        </w:rPr>
        <w:t>H</w:t>
      </w:r>
      <w:r w:rsidRPr="00956593">
        <w:rPr>
          <w:sz w:val="24"/>
          <w:szCs w:val="24"/>
          <w:vertAlign w:val="subscript"/>
        </w:rPr>
        <w:t>0</w:t>
      </w:r>
      <w:r>
        <w:rPr>
          <w:sz w:val="24"/>
          <w:szCs w:val="24"/>
        </w:rPr>
        <w:t>: S</w:t>
      </w:r>
      <w:r w:rsidRPr="009B58C3">
        <w:rPr>
          <w:sz w:val="24"/>
          <w:szCs w:val="24"/>
        </w:rPr>
        <w:t xml:space="preserve">tudents’ personal issues </w:t>
      </w:r>
      <w:r>
        <w:rPr>
          <w:sz w:val="24"/>
          <w:szCs w:val="24"/>
        </w:rPr>
        <w:t>do not have a statistically significant influence on</w:t>
      </w:r>
      <w:r w:rsidRPr="009B58C3">
        <w:rPr>
          <w:sz w:val="24"/>
          <w:szCs w:val="24"/>
        </w:rPr>
        <w:t xml:space="preserve"> </w:t>
      </w:r>
      <w:r>
        <w:rPr>
          <w:sz w:val="24"/>
          <w:szCs w:val="24"/>
        </w:rPr>
        <w:t xml:space="preserve">girls’ school </w:t>
      </w:r>
      <w:r w:rsidRPr="009B58C3">
        <w:rPr>
          <w:sz w:val="24"/>
          <w:szCs w:val="24"/>
        </w:rPr>
        <w:t xml:space="preserve">dropout </w:t>
      </w:r>
      <w:r>
        <w:rPr>
          <w:sz w:val="24"/>
          <w:szCs w:val="24"/>
        </w:rPr>
        <w:t>among</w:t>
      </w:r>
      <w:r w:rsidRPr="009B58C3">
        <w:rPr>
          <w:sz w:val="24"/>
          <w:szCs w:val="24"/>
        </w:rPr>
        <w:t xml:space="preserve"> public secondary schools in Garissa Township.</w:t>
      </w:r>
    </w:p>
    <w:p w14:paraId="3FDC1A91" w14:textId="77777777" w:rsidR="0018439B" w:rsidRDefault="0018439B">
      <w:pPr>
        <w:rPr>
          <w:b/>
          <w:sz w:val="24"/>
          <w:szCs w:val="24"/>
        </w:rPr>
      </w:pPr>
    </w:p>
    <w:p w14:paraId="79F3F714" w14:textId="77777777" w:rsidR="0018439B" w:rsidRDefault="000B4639">
      <w:pPr>
        <w:rPr>
          <w:b/>
          <w:sz w:val="24"/>
          <w:szCs w:val="24"/>
        </w:rPr>
      </w:pPr>
      <w:r>
        <w:rPr>
          <w:b/>
          <w:sz w:val="24"/>
          <w:szCs w:val="24"/>
        </w:rPr>
        <w:t>THEORETICAL REVIEW</w:t>
      </w:r>
    </w:p>
    <w:p w14:paraId="1F5AA245" w14:textId="77777777" w:rsidR="0018439B" w:rsidRDefault="0018439B">
      <w:pPr>
        <w:rPr>
          <w:b/>
          <w:sz w:val="24"/>
          <w:szCs w:val="24"/>
        </w:rPr>
      </w:pPr>
    </w:p>
    <w:p w14:paraId="730FE909" w14:textId="074D9F24" w:rsidR="0018439B" w:rsidRDefault="000B4639">
      <w:pPr>
        <w:jc w:val="both"/>
        <w:rPr>
          <w:sz w:val="24"/>
          <w:szCs w:val="24"/>
        </w:rPr>
      </w:pPr>
      <w:r>
        <w:rPr>
          <w:sz w:val="24"/>
          <w:szCs w:val="24"/>
        </w:rPr>
        <w:t xml:space="preserve">This study was </w:t>
      </w:r>
      <w:r w:rsidR="009B58C3">
        <w:rPr>
          <w:sz w:val="24"/>
          <w:szCs w:val="24"/>
        </w:rPr>
        <w:t>anchored</w:t>
      </w:r>
      <w:r>
        <w:rPr>
          <w:sz w:val="24"/>
          <w:szCs w:val="24"/>
        </w:rPr>
        <w:t xml:space="preserve"> on the ecological theory as proposed by </w:t>
      </w:r>
      <w:proofErr w:type="gramStart"/>
      <w:r>
        <w:rPr>
          <w:sz w:val="24"/>
          <w:szCs w:val="24"/>
        </w:rPr>
        <w:t>Bronfenbrenner(</w:t>
      </w:r>
      <w:proofErr w:type="gramEnd"/>
      <w:r>
        <w:rPr>
          <w:sz w:val="24"/>
          <w:szCs w:val="24"/>
        </w:rPr>
        <w:t>1979). This theory provides a holistic understanding regarding the multifaceted issues that influence human d</w:t>
      </w:r>
      <w:r>
        <w:rPr>
          <w:sz w:val="24"/>
          <w:szCs w:val="24"/>
        </w:rPr>
        <w:t>evelopment in various ecological systems</w:t>
      </w:r>
      <w:r w:rsidR="00EE7762">
        <w:rPr>
          <w:sz w:val="24"/>
          <w:szCs w:val="24"/>
        </w:rPr>
        <w:t xml:space="preserve"> (</w:t>
      </w:r>
      <w:r w:rsidR="00EE7762" w:rsidRPr="000C374E">
        <w:t>Guy-Evans, 2020</w:t>
      </w:r>
      <w:r w:rsidR="00EE7762">
        <w:t>)</w:t>
      </w:r>
      <w:r>
        <w:rPr>
          <w:sz w:val="24"/>
          <w:szCs w:val="24"/>
        </w:rPr>
        <w:t xml:space="preserve">. It would thus mean that the environment such as economic environment </w:t>
      </w:r>
      <w:proofErr w:type="gramStart"/>
      <w:r>
        <w:rPr>
          <w:sz w:val="24"/>
          <w:szCs w:val="24"/>
        </w:rPr>
        <w:t>influence</w:t>
      </w:r>
      <w:proofErr w:type="gramEnd"/>
      <w:r>
        <w:rPr>
          <w:sz w:val="24"/>
          <w:szCs w:val="24"/>
        </w:rPr>
        <w:t xml:space="preserve"> human activities such as girls education.  The theory matches with this study in that there are multifaceted issues t</w:t>
      </w:r>
      <w:r>
        <w:rPr>
          <w:sz w:val="24"/>
          <w:szCs w:val="24"/>
        </w:rPr>
        <w:t>hat hinder girl child in accessing quality education in different environmental contexts</w:t>
      </w:r>
      <w:r w:rsidR="00EE7762">
        <w:rPr>
          <w:sz w:val="24"/>
          <w:szCs w:val="24"/>
        </w:rPr>
        <w:t xml:space="preserve"> (</w:t>
      </w:r>
      <w:r w:rsidR="00EE7762" w:rsidRPr="000C374E">
        <w:t>Rus</w:t>
      </w:r>
      <w:r w:rsidR="00EE7762">
        <w:t xml:space="preserve"> et al., </w:t>
      </w:r>
      <w:r w:rsidR="00EE7762" w:rsidRPr="000C374E">
        <w:t>2020)</w:t>
      </w:r>
      <w:r>
        <w:rPr>
          <w:sz w:val="24"/>
          <w:szCs w:val="24"/>
        </w:rPr>
        <w:t xml:space="preserve">. The theory interconnects personal issues with school, individual, and community regarding </w:t>
      </w:r>
      <w:proofErr w:type="gramStart"/>
      <w:r>
        <w:rPr>
          <w:sz w:val="24"/>
          <w:szCs w:val="24"/>
        </w:rPr>
        <w:t>girls</w:t>
      </w:r>
      <w:proofErr w:type="gramEnd"/>
      <w:r>
        <w:rPr>
          <w:sz w:val="24"/>
          <w:szCs w:val="24"/>
        </w:rPr>
        <w:t xml:space="preserve"> education.  Therefore, by examining deeply the inte</w:t>
      </w:r>
      <w:r>
        <w:rPr>
          <w:sz w:val="24"/>
          <w:szCs w:val="24"/>
        </w:rPr>
        <w:t xml:space="preserve">rplay between different economic environment, this study intends to reveal how </w:t>
      </w:r>
      <w:proofErr w:type="gramStart"/>
      <w:r>
        <w:rPr>
          <w:sz w:val="24"/>
          <w:szCs w:val="24"/>
        </w:rPr>
        <w:t>students</w:t>
      </w:r>
      <w:proofErr w:type="gramEnd"/>
      <w:r>
        <w:rPr>
          <w:sz w:val="24"/>
          <w:szCs w:val="24"/>
        </w:rPr>
        <w:t xml:space="preserve"> personal </w:t>
      </w:r>
      <w:r w:rsidR="009B58C3">
        <w:rPr>
          <w:sz w:val="24"/>
          <w:szCs w:val="24"/>
        </w:rPr>
        <w:t>issues play</w:t>
      </w:r>
      <w:r>
        <w:rPr>
          <w:sz w:val="24"/>
          <w:szCs w:val="24"/>
        </w:rPr>
        <w:t xml:space="preserve"> a role in contributing girl’s dropout rate in public secondary schools. </w:t>
      </w:r>
    </w:p>
    <w:p w14:paraId="446BF269" w14:textId="77777777" w:rsidR="0018439B" w:rsidRDefault="0018439B">
      <w:pPr>
        <w:rPr>
          <w:sz w:val="24"/>
          <w:szCs w:val="24"/>
        </w:rPr>
      </w:pPr>
    </w:p>
    <w:p w14:paraId="7C3F6E99" w14:textId="77777777" w:rsidR="0018439B" w:rsidRDefault="000B4639">
      <w:pPr>
        <w:rPr>
          <w:b/>
          <w:sz w:val="24"/>
          <w:szCs w:val="24"/>
        </w:rPr>
      </w:pPr>
      <w:r>
        <w:rPr>
          <w:b/>
          <w:sz w:val="24"/>
          <w:szCs w:val="24"/>
        </w:rPr>
        <w:t>EMPIRICAL LITERATURE</w:t>
      </w:r>
    </w:p>
    <w:p w14:paraId="2882D639" w14:textId="77777777" w:rsidR="0018439B" w:rsidRDefault="000B4639">
      <w:pPr>
        <w:jc w:val="both"/>
        <w:rPr>
          <w:sz w:val="24"/>
          <w:szCs w:val="24"/>
        </w:rPr>
      </w:pPr>
      <w:r>
        <w:rPr>
          <w:sz w:val="24"/>
          <w:szCs w:val="24"/>
        </w:rPr>
        <w:t xml:space="preserve">Asif et al. (2021) investigated the factors related </w:t>
      </w:r>
      <w:r>
        <w:rPr>
          <w:sz w:val="24"/>
          <w:szCs w:val="24"/>
        </w:rPr>
        <w:t>to dropping out of students from high 15 schools in Malakand District, Pakistan. The study used a research design that involved reviewing of literature and interviewing each student. 422 students were interviewed in 2016 from 1122 who registered in 2012 in</w:t>
      </w:r>
      <w:r>
        <w:rPr>
          <w:sz w:val="24"/>
          <w:szCs w:val="24"/>
        </w:rPr>
        <w:t xml:space="preserve"> Class Six. Logistic regression and statistical modeling were the methods used in analyzing data. The findings were that 30% of the students abandoned school and this was because of individual factors such as; a tendency towards a job, age, deficiency in a</w:t>
      </w:r>
      <w:r>
        <w:rPr>
          <w:sz w:val="24"/>
          <w:szCs w:val="24"/>
        </w:rPr>
        <w:t xml:space="preserve">ttention and memory, and poor academic performance. </w:t>
      </w:r>
    </w:p>
    <w:p w14:paraId="3E611F40" w14:textId="77777777" w:rsidR="0018439B" w:rsidRDefault="000B4639">
      <w:pPr>
        <w:jc w:val="both"/>
        <w:rPr>
          <w:sz w:val="24"/>
          <w:szCs w:val="24"/>
        </w:rPr>
      </w:pPr>
      <w:proofErr w:type="spellStart"/>
      <w:r>
        <w:rPr>
          <w:sz w:val="24"/>
          <w:szCs w:val="24"/>
        </w:rPr>
        <w:t>Vushe</w:t>
      </w:r>
      <w:proofErr w:type="spellEnd"/>
      <w:r>
        <w:rPr>
          <w:sz w:val="24"/>
          <w:szCs w:val="24"/>
        </w:rPr>
        <w:t xml:space="preserve"> (2018) conducted a qualitative study that explored the individual, schooling, and anatomical factors that play a part in dropping out of high school learners in Philippi. The study adopted an explo</w:t>
      </w:r>
      <w:r>
        <w:rPr>
          <w:sz w:val="24"/>
          <w:szCs w:val="24"/>
        </w:rPr>
        <w:t xml:space="preserve">ratory qualitative approach and the respondents were interviewed face-to-face. The size of the study sample was 15 school dropouts. Discoveries from the research showed that a combination of factors contributed to dropout. The factors could be categorized </w:t>
      </w:r>
      <w:r>
        <w:rPr>
          <w:sz w:val="24"/>
          <w:szCs w:val="24"/>
        </w:rPr>
        <w:t xml:space="preserve">into structural, schooling, and </w:t>
      </w:r>
      <w:r>
        <w:rPr>
          <w:sz w:val="24"/>
          <w:szCs w:val="24"/>
        </w:rPr>
        <w:lastRenderedPageBreak/>
        <w:t>personal factors. The personal factors that played a part in the decision by the learners to quit school before graduating included grade repetition shame, struggling academically, delinquent behavior, and negative perceptio</w:t>
      </w:r>
      <w:r>
        <w:rPr>
          <w:sz w:val="24"/>
          <w:szCs w:val="24"/>
        </w:rPr>
        <w:t xml:space="preserve">ns on the significance of education. </w:t>
      </w:r>
    </w:p>
    <w:p w14:paraId="2EF8AC39" w14:textId="77777777" w:rsidR="0018439B" w:rsidRDefault="000B4639">
      <w:pPr>
        <w:jc w:val="both"/>
        <w:rPr>
          <w:sz w:val="24"/>
          <w:szCs w:val="24"/>
        </w:rPr>
      </w:pPr>
      <w:proofErr w:type="spellStart"/>
      <w:r>
        <w:rPr>
          <w:sz w:val="24"/>
          <w:szCs w:val="24"/>
        </w:rPr>
        <w:t>Kisaka</w:t>
      </w:r>
      <w:proofErr w:type="spellEnd"/>
      <w:r>
        <w:rPr>
          <w:sz w:val="24"/>
          <w:szCs w:val="24"/>
        </w:rPr>
        <w:t xml:space="preserve"> (2015) exploring </w:t>
      </w:r>
      <w:proofErr w:type="gramStart"/>
      <w:r>
        <w:rPr>
          <w:sz w:val="24"/>
          <w:szCs w:val="24"/>
        </w:rPr>
        <w:t xml:space="preserve">the </w:t>
      </w:r>
      <w:r>
        <w:rPr>
          <w:color w:val="000000"/>
          <w:sz w:val="24"/>
          <w:szCs w:val="24"/>
        </w:rPr>
        <w:t xml:space="preserve"> lags</w:t>
      </w:r>
      <w:proofErr w:type="gramEnd"/>
      <w:r>
        <w:rPr>
          <w:color w:val="000000"/>
          <w:sz w:val="24"/>
          <w:szCs w:val="24"/>
        </w:rPr>
        <w:t xml:space="preserve"> facing education of girls in secondary schools in </w:t>
      </w:r>
      <w:proofErr w:type="spellStart"/>
      <w:r>
        <w:rPr>
          <w:color w:val="000000"/>
          <w:sz w:val="24"/>
          <w:szCs w:val="24"/>
        </w:rPr>
        <w:t>Ijara</w:t>
      </w:r>
      <w:proofErr w:type="spellEnd"/>
      <w:r>
        <w:rPr>
          <w:color w:val="000000"/>
          <w:sz w:val="24"/>
          <w:szCs w:val="24"/>
        </w:rPr>
        <w:t xml:space="preserve"> and Garissa Constituencies, Kenya</w:t>
      </w:r>
      <w:r>
        <w:rPr>
          <w:sz w:val="24"/>
          <w:szCs w:val="24"/>
        </w:rPr>
        <w:t xml:space="preserve"> found out that there was no gender balance in terms of dropout, enrollment rates, completion r</w:t>
      </w:r>
      <w:r>
        <w:rPr>
          <w:sz w:val="24"/>
          <w:szCs w:val="24"/>
        </w:rPr>
        <w:t xml:space="preserve">ates and transition rates in schools in Garissa and </w:t>
      </w:r>
      <w:proofErr w:type="spellStart"/>
      <w:r>
        <w:rPr>
          <w:sz w:val="24"/>
          <w:szCs w:val="24"/>
        </w:rPr>
        <w:t>Ijara</w:t>
      </w:r>
      <w:proofErr w:type="spellEnd"/>
      <w:r>
        <w:rPr>
          <w:sz w:val="24"/>
          <w:szCs w:val="24"/>
        </w:rPr>
        <w:t xml:space="preserve"> Constituencies. Among the impediments to </w:t>
      </w:r>
      <w:proofErr w:type="gramStart"/>
      <w:r>
        <w:rPr>
          <w:sz w:val="24"/>
          <w:szCs w:val="24"/>
        </w:rPr>
        <w:t>girls</w:t>
      </w:r>
      <w:proofErr w:type="gramEnd"/>
      <w:r>
        <w:rPr>
          <w:sz w:val="24"/>
          <w:szCs w:val="24"/>
        </w:rPr>
        <w:t xml:space="preserve"> education was attitude to school and peer pressure as girls tended to be socialized to be passive in society and even those who enroll in school do not</w:t>
      </w:r>
      <w:r>
        <w:rPr>
          <w:sz w:val="24"/>
          <w:szCs w:val="24"/>
        </w:rPr>
        <w:t xml:space="preserve"> put much effort in their studies as their capacity as mothers rated more important than any other capacity that they may possess. Coyle (2009) noted that drop-out occurs as a result of not passing an examination or a series of examinations. Learners, ther</w:t>
      </w:r>
      <w:r>
        <w:rPr>
          <w:sz w:val="24"/>
          <w:szCs w:val="24"/>
        </w:rPr>
        <w:t>efore, drop out of school for being forced to repeat classes.</w:t>
      </w:r>
    </w:p>
    <w:p w14:paraId="69567F69" w14:textId="77777777" w:rsidR="0018439B" w:rsidRDefault="0018439B">
      <w:pPr>
        <w:jc w:val="both"/>
        <w:rPr>
          <w:sz w:val="24"/>
          <w:szCs w:val="24"/>
        </w:rPr>
      </w:pPr>
    </w:p>
    <w:p w14:paraId="3662D2C3" w14:textId="77777777" w:rsidR="0018439B" w:rsidRDefault="000B4639">
      <w:pPr>
        <w:tabs>
          <w:tab w:val="left" w:pos="2295"/>
        </w:tabs>
        <w:rPr>
          <w:b/>
          <w:sz w:val="24"/>
          <w:szCs w:val="24"/>
        </w:rPr>
      </w:pPr>
      <w:r>
        <w:rPr>
          <w:b/>
          <w:sz w:val="24"/>
          <w:szCs w:val="24"/>
        </w:rPr>
        <w:t>RESEARCH METHODOLOGY</w:t>
      </w:r>
    </w:p>
    <w:p w14:paraId="6B935989" w14:textId="77777777" w:rsidR="009B58C3" w:rsidRDefault="009B58C3">
      <w:pPr>
        <w:jc w:val="both"/>
        <w:rPr>
          <w:sz w:val="24"/>
          <w:szCs w:val="24"/>
        </w:rPr>
      </w:pPr>
      <w:bookmarkStart w:id="2" w:name="_k1xqmr7ftpla" w:colFirst="0" w:colLast="0"/>
      <w:bookmarkEnd w:id="2"/>
      <w:r>
        <w:rPr>
          <w:sz w:val="24"/>
          <w:szCs w:val="24"/>
        </w:rPr>
        <w:t xml:space="preserve">The study adopted descriptive research design while employing mixed-method research approach Target population for this study was </w:t>
      </w:r>
      <w:r w:rsidR="00025502">
        <w:rPr>
          <w:sz w:val="24"/>
          <w:szCs w:val="24"/>
        </w:rPr>
        <w:t>the</w:t>
      </w:r>
      <w:r>
        <w:rPr>
          <w:sz w:val="24"/>
          <w:szCs w:val="24"/>
        </w:rPr>
        <w:t xml:space="preserve"> </w:t>
      </w:r>
      <w:r w:rsidR="00025502">
        <w:rPr>
          <w:sz w:val="24"/>
          <w:szCs w:val="24"/>
        </w:rPr>
        <w:t>five (</w:t>
      </w:r>
      <w:r>
        <w:rPr>
          <w:sz w:val="24"/>
          <w:szCs w:val="24"/>
        </w:rPr>
        <w:t>5</w:t>
      </w:r>
      <w:r w:rsidR="00025502">
        <w:rPr>
          <w:sz w:val="24"/>
          <w:szCs w:val="24"/>
        </w:rPr>
        <w:t>)</w:t>
      </w:r>
      <w:r>
        <w:rPr>
          <w:sz w:val="24"/>
          <w:szCs w:val="24"/>
        </w:rPr>
        <w:t xml:space="preserve"> public secondary schools for girls in Garissa Township Sub County, </w:t>
      </w:r>
      <w:r w:rsidR="00025502">
        <w:rPr>
          <w:sz w:val="24"/>
          <w:szCs w:val="24"/>
        </w:rPr>
        <w:t xml:space="preserve">where unit of analysis </w:t>
      </w:r>
      <w:r w:rsidR="00BC3F15">
        <w:rPr>
          <w:sz w:val="24"/>
          <w:szCs w:val="24"/>
        </w:rPr>
        <w:t xml:space="preserve">was the </w:t>
      </w:r>
      <w:r w:rsidR="00BC3F15" w:rsidRPr="00025502">
        <w:rPr>
          <w:sz w:val="24"/>
          <w:szCs w:val="24"/>
        </w:rPr>
        <w:t>5 heads of guidance and counseling, 5 Principals and 3169 girls. Using purposive sampling, the study selected all the five principals and all t</w:t>
      </w:r>
      <w:r w:rsidR="00BC3F15">
        <w:rPr>
          <w:sz w:val="24"/>
          <w:szCs w:val="24"/>
        </w:rPr>
        <w:t>he</w:t>
      </w:r>
      <w:r w:rsidR="00BC3F15" w:rsidRPr="00025502">
        <w:rPr>
          <w:sz w:val="24"/>
          <w:szCs w:val="24"/>
        </w:rPr>
        <w:t xml:space="preserve"> five heads of guidance and guidance of girl’s public secondary schools in Garissa Township Sub County as respo</w:t>
      </w:r>
      <w:r w:rsidR="00BC3F15">
        <w:rPr>
          <w:sz w:val="24"/>
          <w:szCs w:val="24"/>
        </w:rPr>
        <w:t>n</w:t>
      </w:r>
      <w:r w:rsidR="00BC3F15" w:rsidRPr="00025502">
        <w:rPr>
          <w:sz w:val="24"/>
          <w:szCs w:val="24"/>
        </w:rPr>
        <w:t xml:space="preserve">dents. Meanwhile using simple random method, the study selected 10% (317) of the targeted girls as respondents. </w:t>
      </w:r>
      <w:r w:rsidR="00BC3F15">
        <w:rPr>
          <w:sz w:val="24"/>
          <w:szCs w:val="24"/>
        </w:rPr>
        <w:t xml:space="preserve">Questionnaire and interview schedules were be used to collect data. </w:t>
      </w:r>
    </w:p>
    <w:p w14:paraId="3CDF7E46" w14:textId="1BB9A718" w:rsidR="0018439B" w:rsidRPr="00BC3F15" w:rsidRDefault="009B58C3">
      <w:pPr>
        <w:jc w:val="both"/>
        <w:rPr>
          <w:sz w:val="24"/>
          <w:szCs w:val="24"/>
        </w:rPr>
      </w:pPr>
      <w:r>
        <w:rPr>
          <w:sz w:val="24"/>
          <w:szCs w:val="24"/>
        </w:rPr>
        <w:t xml:space="preserve">The questionnaire was tested for validity using content validity. validity was carried out by engaging specialists in the fields of curriculum to thoroughly examine and improve the survey questions. </w:t>
      </w:r>
      <w:r w:rsidR="00BC3F15">
        <w:rPr>
          <w:sz w:val="24"/>
          <w:szCs w:val="24"/>
        </w:rPr>
        <w:t xml:space="preserve">Reliability of the questionnaire was </w:t>
      </w:r>
      <w:r>
        <w:rPr>
          <w:sz w:val="24"/>
          <w:szCs w:val="24"/>
        </w:rPr>
        <w:t>tested</w:t>
      </w:r>
      <w:r w:rsidR="00BC3F15">
        <w:rPr>
          <w:sz w:val="24"/>
          <w:szCs w:val="24"/>
        </w:rPr>
        <w:t xml:space="preserve"> by use Cronbach's alpha</w:t>
      </w:r>
      <w:r>
        <w:rPr>
          <w:sz w:val="24"/>
          <w:szCs w:val="24"/>
        </w:rPr>
        <w:t xml:space="preserve"> approach based on the 0.7 threshold of Cronbach's alpha coefficient</w:t>
      </w:r>
      <w:r w:rsidR="00BC3F15">
        <w:rPr>
          <w:sz w:val="24"/>
          <w:szCs w:val="24"/>
        </w:rPr>
        <w:t xml:space="preserve">. </w:t>
      </w:r>
      <w:r w:rsidR="00BC3F15" w:rsidRPr="00025502">
        <w:rPr>
          <w:sz w:val="24"/>
          <w:szCs w:val="24"/>
        </w:rPr>
        <w:t>Quantitative data was analysed to produce descriptive statistics while Pearson’s Product Moment Correlation Analysis was used to te</w:t>
      </w:r>
      <w:r w:rsidR="00BC3F15">
        <w:rPr>
          <w:sz w:val="24"/>
          <w:szCs w:val="24"/>
        </w:rPr>
        <w:t>s</w:t>
      </w:r>
      <w:r w:rsidR="00BC3F15" w:rsidRPr="00025502">
        <w:rPr>
          <w:sz w:val="24"/>
          <w:szCs w:val="24"/>
        </w:rPr>
        <w:t xml:space="preserve">t </w:t>
      </w:r>
      <w:r w:rsidR="00BC3F15">
        <w:rPr>
          <w:sz w:val="24"/>
          <w:szCs w:val="24"/>
        </w:rPr>
        <w:t xml:space="preserve">for </w:t>
      </w:r>
      <w:r w:rsidR="00BC3F15" w:rsidRPr="00025502">
        <w:rPr>
          <w:sz w:val="24"/>
          <w:szCs w:val="24"/>
        </w:rPr>
        <w:t>association. This analysis was done with assistance of Statistical Packages for Social Science (SPSS) Version 27 and presented using frequency tables. Qualitative data was analyzed verbatim</w:t>
      </w:r>
    </w:p>
    <w:p w14:paraId="5554A56E" w14:textId="77777777" w:rsidR="0017436D" w:rsidRDefault="0017436D">
      <w:pPr>
        <w:jc w:val="both"/>
        <w:rPr>
          <w:b/>
          <w:sz w:val="24"/>
          <w:szCs w:val="24"/>
        </w:rPr>
      </w:pPr>
    </w:p>
    <w:p w14:paraId="64FC1F5D" w14:textId="0F94AA44" w:rsidR="0018439B" w:rsidRDefault="000B4639">
      <w:pPr>
        <w:jc w:val="both"/>
        <w:rPr>
          <w:b/>
          <w:sz w:val="24"/>
          <w:szCs w:val="24"/>
        </w:rPr>
      </w:pPr>
      <w:r>
        <w:rPr>
          <w:b/>
          <w:sz w:val="24"/>
          <w:szCs w:val="24"/>
        </w:rPr>
        <w:t>RESEARCH FINDINGS AND DISCUSSION</w:t>
      </w:r>
    </w:p>
    <w:p w14:paraId="374C2E1E" w14:textId="77777777" w:rsidR="0018439B" w:rsidRDefault="000B4639">
      <w:pPr>
        <w:jc w:val="both"/>
        <w:rPr>
          <w:sz w:val="24"/>
          <w:szCs w:val="24"/>
        </w:rPr>
      </w:pPr>
      <w:r>
        <w:rPr>
          <w:sz w:val="24"/>
          <w:szCs w:val="24"/>
        </w:rPr>
        <w:t>This researcher distributed 317 q</w:t>
      </w:r>
      <w:r>
        <w:rPr>
          <w:sz w:val="24"/>
          <w:szCs w:val="24"/>
        </w:rPr>
        <w:t xml:space="preserve">uestionnaires to the students of which, 264 were filled and returned. This represents a response rate of 83.28% which was good. Mugenda and Mugenda (2013) guides that a response rate of at least 70% is good. </w:t>
      </w:r>
    </w:p>
    <w:p w14:paraId="00920DFE" w14:textId="62AD3866" w:rsidR="0018439B" w:rsidRDefault="000B4639">
      <w:pPr>
        <w:jc w:val="both"/>
        <w:rPr>
          <w:color w:val="000000"/>
          <w:sz w:val="24"/>
          <w:szCs w:val="24"/>
        </w:rPr>
      </w:pPr>
      <w:r>
        <w:rPr>
          <w:sz w:val="24"/>
          <w:szCs w:val="24"/>
        </w:rPr>
        <w:t xml:space="preserve">This study assessed the influence of students’ </w:t>
      </w:r>
      <w:r>
        <w:rPr>
          <w:sz w:val="24"/>
          <w:szCs w:val="24"/>
        </w:rPr>
        <w:t>personal issues on dropout among girls in public secondary schools in Garissa Township. It explored the components of students’ personal issues including poor performance, teenage pregnancy, lack of mentorship and overage to understand their effects on the</w:t>
      </w:r>
      <w:r>
        <w:rPr>
          <w:sz w:val="24"/>
          <w:szCs w:val="24"/>
        </w:rPr>
        <w:t xml:space="preserve"> educational trajectory of girls</w:t>
      </w:r>
      <w:r>
        <w:rPr>
          <w:color w:val="000000"/>
          <w:sz w:val="24"/>
          <w:szCs w:val="24"/>
        </w:rPr>
        <w:t xml:space="preserve">. Descriptive statistics on the components of </w:t>
      </w:r>
      <w:r>
        <w:rPr>
          <w:sz w:val="24"/>
          <w:szCs w:val="24"/>
        </w:rPr>
        <w:t xml:space="preserve">students’ personal issues </w:t>
      </w:r>
      <w:r>
        <w:rPr>
          <w:color w:val="000000"/>
          <w:sz w:val="24"/>
          <w:szCs w:val="24"/>
        </w:rPr>
        <w:t xml:space="preserve">was done and findings are as presented in </w:t>
      </w:r>
      <w:r w:rsidR="009B58C3">
        <w:rPr>
          <w:color w:val="000000"/>
          <w:sz w:val="24"/>
          <w:szCs w:val="24"/>
        </w:rPr>
        <w:t>Table 1</w:t>
      </w:r>
      <w:r>
        <w:rPr>
          <w:color w:val="000000"/>
          <w:sz w:val="24"/>
          <w:szCs w:val="24"/>
        </w:rPr>
        <w:t>.</w:t>
      </w:r>
    </w:p>
    <w:p w14:paraId="7E2F7B9F" w14:textId="77777777" w:rsidR="0018439B" w:rsidRDefault="0018439B">
      <w:pPr>
        <w:jc w:val="both"/>
        <w:rPr>
          <w:color w:val="000000"/>
          <w:sz w:val="24"/>
          <w:szCs w:val="24"/>
        </w:rPr>
      </w:pPr>
    </w:p>
    <w:p w14:paraId="7EA6855C" w14:textId="4FF5F704" w:rsidR="0018439B" w:rsidRDefault="009B58C3">
      <w:pPr>
        <w:jc w:val="both"/>
        <w:rPr>
          <w:sz w:val="24"/>
          <w:szCs w:val="24"/>
        </w:rPr>
      </w:pPr>
      <w:r>
        <w:rPr>
          <w:sz w:val="24"/>
          <w:szCs w:val="24"/>
        </w:rPr>
        <w:t>Table 1. Descriptives on Students’ Personal Issues</w:t>
      </w:r>
    </w:p>
    <w:tbl>
      <w:tblPr>
        <w:tblStyle w:val="a"/>
        <w:tblW w:w="7547" w:type="dxa"/>
        <w:tblInd w:w="0" w:type="dxa"/>
        <w:tblLayout w:type="fixed"/>
        <w:tblLook w:val="0000" w:firstRow="0" w:lastRow="0" w:firstColumn="0" w:lastColumn="0" w:noHBand="0" w:noVBand="0"/>
      </w:tblPr>
      <w:tblGrid>
        <w:gridCol w:w="1859"/>
        <w:gridCol w:w="1030"/>
        <w:gridCol w:w="1076"/>
        <w:gridCol w:w="1107"/>
        <w:gridCol w:w="1030"/>
        <w:gridCol w:w="1445"/>
      </w:tblGrid>
      <w:tr w:rsidR="0018439B" w14:paraId="1982C5D7" w14:textId="77777777" w:rsidTr="009B58C3">
        <w:trPr>
          <w:cantSplit/>
        </w:trPr>
        <w:tc>
          <w:tcPr>
            <w:tcW w:w="7547" w:type="dxa"/>
            <w:gridSpan w:val="6"/>
            <w:tcBorders>
              <w:top w:val="nil"/>
              <w:left w:val="nil"/>
              <w:bottom w:val="single" w:sz="4" w:space="0" w:color="auto"/>
              <w:right w:val="nil"/>
            </w:tcBorders>
            <w:shd w:val="clear" w:color="auto" w:fill="FFFFFF"/>
            <w:tcMar>
              <w:top w:w="0" w:type="dxa"/>
              <w:bottom w:w="0" w:type="dxa"/>
            </w:tcMar>
            <w:vAlign w:val="center"/>
          </w:tcPr>
          <w:p w14:paraId="09158457" w14:textId="77777777" w:rsidR="0018439B" w:rsidRDefault="0018439B">
            <w:pPr>
              <w:rPr>
                <w:sz w:val="24"/>
                <w:szCs w:val="24"/>
              </w:rPr>
            </w:pPr>
          </w:p>
        </w:tc>
      </w:tr>
      <w:tr w:rsidR="0018439B" w14:paraId="65C44AFA" w14:textId="77777777" w:rsidTr="009B58C3">
        <w:trPr>
          <w:cantSplit/>
        </w:trPr>
        <w:tc>
          <w:tcPr>
            <w:tcW w:w="1859" w:type="dxa"/>
            <w:tcBorders>
              <w:top w:val="single" w:sz="4" w:space="0" w:color="auto"/>
              <w:left w:val="nil"/>
              <w:bottom w:val="single" w:sz="8" w:space="0" w:color="152935"/>
              <w:right w:val="nil"/>
            </w:tcBorders>
            <w:shd w:val="clear" w:color="auto" w:fill="FFFFFF"/>
            <w:tcMar>
              <w:top w:w="0" w:type="dxa"/>
              <w:bottom w:w="0" w:type="dxa"/>
            </w:tcMar>
            <w:vAlign w:val="bottom"/>
          </w:tcPr>
          <w:p w14:paraId="48EC807A" w14:textId="77777777" w:rsidR="0018439B" w:rsidRDefault="0018439B">
            <w:pPr>
              <w:rPr>
                <w:sz w:val="24"/>
                <w:szCs w:val="24"/>
              </w:rPr>
            </w:pPr>
          </w:p>
        </w:tc>
        <w:tc>
          <w:tcPr>
            <w:tcW w:w="1030" w:type="dxa"/>
            <w:tcBorders>
              <w:top w:val="single" w:sz="4" w:space="0" w:color="auto"/>
              <w:left w:val="nil"/>
              <w:bottom w:val="single" w:sz="8" w:space="0" w:color="152935"/>
              <w:right w:val="single" w:sz="8" w:space="0" w:color="E0E0E0"/>
            </w:tcBorders>
            <w:shd w:val="clear" w:color="auto" w:fill="FFFFFF"/>
            <w:tcMar>
              <w:top w:w="0" w:type="dxa"/>
              <w:bottom w:w="0" w:type="dxa"/>
            </w:tcMar>
            <w:vAlign w:val="bottom"/>
          </w:tcPr>
          <w:p w14:paraId="3409AB14" w14:textId="77777777" w:rsidR="0018439B" w:rsidRDefault="000B4639">
            <w:pPr>
              <w:rPr>
                <w:sz w:val="24"/>
                <w:szCs w:val="24"/>
              </w:rPr>
            </w:pPr>
            <w:r>
              <w:rPr>
                <w:sz w:val="24"/>
                <w:szCs w:val="24"/>
              </w:rPr>
              <w:t>N</w:t>
            </w:r>
          </w:p>
        </w:tc>
        <w:tc>
          <w:tcPr>
            <w:tcW w:w="1076" w:type="dxa"/>
            <w:tcBorders>
              <w:top w:val="single" w:sz="4" w:space="0" w:color="auto"/>
              <w:left w:val="single" w:sz="8" w:space="0" w:color="E0E0E0"/>
              <w:bottom w:val="single" w:sz="8" w:space="0" w:color="152935"/>
              <w:right w:val="single" w:sz="8" w:space="0" w:color="E0E0E0"/>
            </w:tcBorders>
            <w:shd w:val="clear" w:color="auto" w:fill="FFFFFF"/>
            <w:tcMar>
              <w:top w:w="0" w:type="dxa"/>
              <w:bottom w:w="0" w:type="dxa"/>
            </w:tcMar>
            <w:vAlign w:val="bottom"/>
          </w:tcPr>
          <w:p w14:paraId="71F4E12D" w14:textId="77777777" w:rsidR="0018439B" w:rsidRDefault="000B4639">
            <w:pPr>
              <w:rPr>
                <w:sz w:val="24"/>
                <w:szCs w:val="24"/>
              </w:rPr>
            </w:pPr>
            <w:r>
              <w:rPr>
                <w:sz w:val="24"/>
                <w:szCs w:val="24"/>
              </w:rPr>
              <w:t>Minimum</w:t>
            </w:r>
          </w:p>
        </w:tc>
        <w:tc>
          <w:tcPr>
            <w:tcW w:w="1107" w:type="dxa"/>
            <w:tcBorders>
              <w:top w:val="single" w:sz="4" w:space="0" w:color="auto"/>
              <w:left w:val="single" w:sz="8" w:space="0" w:color="E0E0E0"/>
              <w:bottom w:val="single" w:sz="8" w:space="0" w:color="152935"/>
              <w:right w:val="single" w:sz="8" w:space="0" w:color="E0E0E0"/>
            </w:tcBorders>
            <w:shd w:val="clear" w:color="auto" w:fill="FFFFFF"/>
            <w:tcMar>
              <w:top w:w="0" w:type="dxa"/>
              <w:bottom w:w="0" w:type="dxa"/>
            </w:tcMar>
            <w:vAlign w:val="bottom"/>
          </w:tcPr>
          <w:p w14:paraId="5A6F5D0E" w14:textId="77777777" w:rsidR="0018439B" w:rsidRDefault="000B4639">
            <w:pPr>
              <w:rPr>
                <w:sz w:val="24"/>
                <w:szCs w:val="24"/>
              </w:rPr>
            </w:pPr>
            <w:r>
              <w:rPr>
                <w:sz w:val="24"/>
                <w:szCs w:val="24"/>
              </w:rPr>
              <w:t>Maximum</w:t>
            </w:r>
          </w:p>
        </w:tc>
        <w:tc>
          <w:tcPr>
            <w:tcW w:w="1030" w:type="dxa"/>
            <w:tcBorders>
              <w:top w:val="single" w:sz="4" w:space="0" w:color="auto"/>
              <w:left w:val="single" w:sz="8" w:space="0" w:color="E0E0E0"/>
              <w:bottom w:val="single" w:sz="8" w:space="0" w:color="152935"/>
              <w:right w:val="single" w:sz="8" w:space="0" w:color="E0E0E0"/>
            </w:tcBorders>
            <w:shd w:val="clear" w:color="auto" w:fill="FFFFFF"/>
            <w:tcMar>
              <w:top w:w="0" w:type="dxa"/>
              <w:bottom w:w="0" w:type="dxa"/>
            </w:tcMar>
            <w:vAlign w:val="bottom"/>
          </w:tcPr>
          <w:p w14:paraId="7D51B687" w14:textId="77777777" w:rsidR="0018439B" w:rsidRDefault="000B4639">
            <w:pPr>
              <w:rPr>
                <w:sz w:val="24"/>
                <w:szCs w:val="24"/>
              </w:rPr>
            </w:pPr>
            <w:r>
              <w:rPr>
                <w:sz w:val="24"/>
                <w:szCs w:val="24"/>
              </w:rPr>
              <w:t>Mean</w:t>
            </w:r>
          </w:p>
        </w:tc>
        <w:tc>
          <w:tcPr>
            <w:tcW w:w="1445" w:type="dxa"/>
            <w:tcBorders>
              <w:top w:val="single" w:sz="4" w:space="0" w:color="auto"/>
              <w:left w:val="single" w:sz="8" w:space="0" w:color="E0E0E0"/>
              <w:bottom w:val="single" w:sz="8" w:space="0" w:color="152935"/>
              <w:right w:val="nil"/>
            </w:tcBorders>
            <w:shd w:val="clear" w:color="auto" w:fill="FFFFFF"/>
            <w:tcMar>
              <w:top w:w="0" w:type="dxa"/>
              <w:bottom w:w="0" w:type="dxa"/>
            </w:tcMar>
            <w:vAlign w:val="bottom"/>
          </w:tcPr>
          <w:p w14:paraId="42D44E15" w14:textId="77777777" w:rsidR="0018439B" w:rsidRDefault="000B4639">
            <w:pPr>
              <w:rPr>
                <w:sz w:val="24"/>
                <w:szCs w:val="24"/>
              </w:rPr>
            </w:pPr>
            <w:r>
              <w:rPr>
                <w:sz w:val="24"/>
                <w:szCs w:val="24"/>
              </w:rPr>
              <w:t>Std. Deviation</w:t>
            </w:r>
          </w:p>
        </w:tc>
      </w:tr>
      <w:tr w:rsidR="0018439B" w14:paraId="1F1F10E8" w14:textId="77777777">
        <w:trPr>
          <w:cantSplit/>
        </w:trPr>
        <w:tc>
          <w:tcPr>
            <w:tcW w:w="1859" w:type="dxa"/>
            <w:tcBorders>
              <w:top w:val="single" w:sz="8" w:space="0" w:color="152935"/>
              <w:left w:val="nil"/>
              <w:bottom w:val="single" w:sz="8" w:space="0" w:color="AEAEAE"/>
              <w:right w:val="nil"/>
            </w:tcBorders>
            <w:shd w:val="clear" w:color="auto" w:fill="E0E0E0"/>
            <w:tcMar>
              <w:top w:w="0" w:type="dxa"/>
              <w:bottom w:w="0" w:type="dxa"/>
            </w:tcMar>
          </w:tcPr>
          <w:p w14:paraId="367D405F" w14:textId="77777777" w:rsidR="0018439B" w:rsidRDefault="000B4639">
            <w:pPr>
              <w:rPr>
                <w:sz w:val="24"/>
                <w:szCs w:val="24"/>
              </w:rPr>
            </w:pPr>
            <w:r>
              <w:rPr>
                <w:sz w:val="24"/>
                <w:szCs w:val="24"/>
              </w:rPr>
              <w:t xml:space="preserve">Poor </w:t>
            </w:r>
            <w:r>
              <w:rPr>
                <w:sz w:val="24"/>
                <w:szCs w:val="24"/>
              </w:rPr>
              <w:t>performance</w:t>
            </w:r>
          </w:p>
        </w:tc>
        <w:tc>
          <w:tcPr>
            <w:tcW w:w="1030" w:type="dxa"/>
            <w:tcBorders>
              <w:top w:val="single" w:sz="8" w:space="0" w:color="152935"/>
              <w:left w:val="nil"/>
              <w:bottom w:val="single" w:sz="8" w:space="0" w:color="AEAEAE"/>
              <w:right w:val="single" w:sz="8" w:space="0" w:color="E0E0E0"/>
            </w:tcBorders>
            <w:shd w:val="clear" w:color="auto" w:fill="F9F9FB"/>
            <w:tcMar>
              <w:top w:w="0" w:type="dxa"/>
              <w:bottom w:w="0" w:type="dxa"/>
            </w:tcMar>
          </w:tcPr>
          <w:p w14:paraId="7E1B5765" w14:textId="77777777" w:rsidR="0018439B" w:rsidRDefault="000B4639">
            <w:pPr>
              <w:rPr>
                <w:sz w:val="24"/>
                <w:szCs w:val="24"/>
              </w:rPr>
            </w:pPr>
            <w:r>
              <w:rPr>
                <w:sz w:val="24"/>
                <w:szCs w:val="24"/>
              </w:rPr>
              <w:t>264</w:t>
            </w:r>
          </w:p>
        </w:tc>
        <w:tc>
          <w:tcPr>
            <w:tcW w:w="1076" w:type="dxa"/>
            <w:tcBorders>
              <w:top w:val="single" w:sz="8" w:space="0" w:color="152935"/>
              <w:left w:val="single" w:sz="8" w:space="0" w:color="E0E0E0"/>
              <w:bottom w:val="single" w:sz="8" w:space="0" w:color="AEAEAE"/>
              <w:right w:val="single" w:sz="8" w:space="0" w:color="E0E0E0"/>
            </w:tcBorders>
            <w:shd w:val="clear" w:color="auto" w:fill="F9F9FB"/>
            <w:tcMar>
              <w:top w:w="0" w:type="dxa"/>
              <w:bottom w:w="0" w:type="dxa"/>
            </w:tcMar>
          </w:tcPr>
          <w:p w14:paraId="79F4CA8E" w14:textId="77777777" w:rsidR="0018439B" w:rsidRDefault="000B4639">
            <w:pPr>
              <w:rPr>
                <w:sz w:val="24"/>
                <w:szCs w:val="24"/>
              </w:rPr>
            </w:pPr>
            <w:r>
              <w:rPr>
                <w:sz w:val="24"/>
                <w:szCs w:val="24"/>
              </w:rPr>
              <w:t>1.00</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Mar>
              <w:top w:w="0" w:type="dxa"/>
              <w:bottom w:w="0" w:type="dxa"/>
            </w:tcMar>
          </w:tcPr>
          <w:p w14:paraId="3F0B9602" w14:textId="77777777" w:rsidR="0018439B" w:rsidRDefault="000B4639">
            <w:pPr>
              <w:rPr>
                <w:sz w:val="24"/>
                <w:szCs w:val="24"/>
              </w:rPr>
            </w:pPr>
            <w:r>
              <w:rPr>
                <w:sz w:val="24"/>
                <w:szCs w:val="24"/>
              </w:rPr>
              <w:t>4.00</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Mar>
              <w:top w:w="0" w:type="dxa"/>
              <w:bottom w:w="0" w:type="dxa"/>
            </w:tcMar>
          </w:tcPr>
          <w:p w14:paraId="3A869E46" w14:textId="77777777" w:rsidR="0018439B" w:rsidRDefault="000B4639">
            <w:pPr>
              <w:rPr>
                <w:sz w:val="24"/>
                <w:szCs w:val="24"/>
              </w:rPr>
            </w:pPr>
            <w:r>
              <w:rPr>
                <w:sz w:val="24"/>
                <w:szCs w:val="24"/>
              </w:rPr>
              <w:t>2.8106</w:t>
            </w:r>
          </w:p>
        </w:tc>
        <w:tc>
          <w:tcPr>
            <w:tcW w:w="1445" w:type="dxa"/>
            <w:tcBorders>
              <w:top w:val="single" w:sz="8" w:space="0" w:color="152935"/>
              <w:left w:val="single" w:sz="8" w:space="0" w:color="E0E0E0"/>
              <w:bottom w:val="single" w:sz="8" w:space="0" w:color="AEAEAE"/>
              <w:right w:val="nil"/>
            </w:tcBorders>
            <w:shd w:val="clear" w:color="auto" w:fill="F9F9FB"/>
            <w:tcMar>
              <w:top w:w="0" w:type="dxa"/>
              <w:bottom w:w="0" w:type="dxa"/>
            </w:tcMar>
          </w:tcPr>
          <w:p w14:paraId="5972AB36" w14:textId="77777777" w:rsidR="0018439B" w:rsidRDefault="000B4639">
            <w:pPr>
              <w:rPr>
                <w:sz w:val="24"/>
                <w:szCs w:val="24"/>
              </w:rPr>
            </w:pPr>
            <w:r>
              <w:rPr>
                <w:sz w:val="24"/>
                <w:szCs w:val="24"/>
              </w:rPr>
              <w:t>.92808</w:t>
            </w:r>
          </w:p>
        </w:tc>
      </w:tr>
      <w:tr w:rsidR="0018439B" w14:paraId="376EAF8B" w14:textId="77777777">
        <w:trPr>
          <w:cantSplit/>
        </w:trPr>
        <w:tc>
          <w:tcPr>
            <w:tcW w:w="1859" w:type="dxa"/>
            <w:tcBorders>
              <w:top w:val="single" w:sz="8" w:space="0" w:color="AEAEAE"/>
              <w:left w:val="nil"/>
              <w:bottom w:val="single" w:sz="8" w:space="0" w:color="AEAEAE"/>
              <w:right w:val="nil"/>
            </w:tcBorders>
            <w:shd w:val="clear" w:color="auto" w:fill="E0E0E0"/>
            <w:tcMar>
              <w:top w:w="0" w:type="dxa"/>
              <w:bottom w:w="0" w:type="dxa"/>
            </w:tcMar>
          </w:tcPr>
          <w:p w14:paraId="05D86967" w14:textId="77777777" w:rsidR="0018439B" w:rsidRDefault="000B4639">
            <w:pPr>
              <w:rPr>
                <w:sz w:val="24"/>
                <w:szCs w:val="24"/>
              </w:rPr>
            </w:pPr>
            <w:r>
              <w:rPr>
                <w:sz w:val="24"/>
                <w:szCs w:val="24"/>
              </w:rPr>
              <w:t>Teenage pregnancy</w:t>
            </w:r>
          </w:p>
        </w:tc>
        <w:tc>
          <w:tcPr>
            <w:tcW w:w="1030"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5A505514" w14:textId="77777777" w:rsidR="0018439B" w:rsidRDefault="000B4639">
            <w:pPr>
              <w:rPr>
                <w:sz w:val="24"/>
                <w:szCs w:val="24"/>
              </w:rPr>
            </w:pPr>
            <w:r>
              <w:rPr>
                <w:sz w:val="24"/>
                <w:szCs w:val="24"/>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56DCD71A" w14:textId="77777777" w:rsidR="0018439B" w:rsidRDefault="000B4639">
            <w:pPr>
              <w:rPr>
                <w:sz w:val="24"/>
                <w:szCs w:val="24"/>
              </w:rPr>
            </w:pPr>
            <w:r>
              <w:rPr>
                <w:sz w:val="24"/>
                <w:szCs w:val="24"/>
              </w:rPr>
              <w:t>1.00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7134DD6E" w14:textId="77777777" w:rsidR="0018439B" w:rsidRDefault="000B4639">
            <w:pPr>
              <w:rPr>
                <w:sz w:val="24"/>
                <w:szCs w:val="24"/>
              </w:rPr>
            </w:pPr>
            <w:r>
              <w:rPr>
                <w:sz w:val="24"/>
                <w:szCs w:val="24"/>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141FAEC3" w14:textId="77777777" w:rsidR="0018439B" w:rsidRDefault="000B4639">
            <w:pPr>
              <w:rPr>
                <w:sz w:val="24"/>
                <w:szCs w:val="24"/>
              </w:rPr>
            </w:pPr>
            <w:r>
              <w:rPr>
                <w:sz w:val="24"/>
                <w:szCs w:val="24"/>
              </w:rPr>
              <w:t>2.7197</w:t>
            </w:r>
          </w:p>
        </w:tc>
        <w:tc>
          <w:tcPr>
            <w:tcW w:w="1445"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1E80349A" w14:textId="77777777" w:rsidR="0018439B" w:rsidRDefault="000B4639">
            <w:pPr>
              <w:rPr>
                <w:sz w:val="24"/>
                <w:szCs w:val="24"/>
              </w:rPr>
            </w:pPr>
            <w:r>
              <w:rPr>
                <w:sz w:val="24"/>
                <w:szCs w:val="24"/>
              </w:rPr>
              <w:t>.95777</w:t>
            </w:r>
          </w:p>
        </w:tc>
      </w:tr>
      <w:tr w:rsidR="0018439B" w14:paraId="0BD58BF8" w14:textId="77777777">
        <w:trPr>
          <w:cantSplit/>
        </w:trPr>
        <w:tc>
          <w:tcPr>
            <w:tcW w:w="1859" w:type="dxa"/>
            <w:tcBorders>
              <w:top w:val="single" w:sz="8" w:space="0" w:color="AEAEAE"/>
              <w:left w:val="nil"/>
              <w:bottom w:val="single" w:sz="8" w:space="0" w:color="AEAEAE"/>
              <w:right w:val="nil"/>
            </w:tcBorders>
            <w:shd w:val="clear" w:color="auto" w:fill="E0E0E0"/>
            <w:tcMar>
              <w:top w:w="0" w:type="dxa"/>
              <w:bottom w:w="0" w:type="dxa"/>
            </w:tcMar>
          </w:tcPr>
          <w:p w14:paraId="2C5138CB" w14:textId="77777777" w:rsidR="0018439B" w:rsidRDefault="000B4639">
            <w:pPr>
              <w:rPr>
                <w:sz w:val="24"/>
                <w:szCs w:val="24"/>
              </w:rPr>
            </w:pPr>
            <w:r>
              <w:rPr>
                <w:sz w:val="24"/>
                <w:szCs w:val="24"/>
              </w:rPr>
              <w:lastRenderedPageBreak/>
              <w:t>Lack of mentorship</w:t>
            </w:r>
          </w:p>
        </w:tc>
        <w:tc>
          <w:tcPr>
            <w:tcW w:w="1030"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42FCA0A8" w14:textId="77777777" w:rsidR="0018439B" w:rsidRDefault="000B4639">
            <w:pPr>
              <w:rPr>
                <w:sz w:val="24"/>
                <w:szCs w:val="24"/>
              </w:rPr>
            </w:pPr>
            <w:r>
              <w:rPr>
                <w:sz w:val="24"/>
                <w:szCs w:val="24"/>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70AC2FDC" w14:textId="77777777" w:rsidR="0018439B" w:rsidRDefault="000B4639">
            <w:pPr>
              <w:rPr>
                <w:sz w:val="24"/>
                <w:szCs w:val="24"/>
              </w:rPr>
            </w:pPr>
            <w:r>
              <w:rPr>
                <w:sz w:val="24"/>
                <w:szCs w:val="24"/>
              </w:rPr>
              <w:t>1.00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18B4FB2B" w14:textId="77777777" w:rsidR="0018439B" w:rsidRDefault="000B4639">
            <w:pPr>
              <w:rPr>
                <w:sz w:val="24"/>
                <w:szCs w:val="24"/>
              </w:rPr>
            </w:pPr>
            <w:r>
              <w:rPr>
                <w:sz w:val="24"/>
                <w:szCs w:val="24"/>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721457FE" w14:textId="77777777" w:rsidR="0018439B" w:rsidRDefault="000B4639">
            <w:pPr>
              <w:rPr>
                <w:sz w:val="24"/>
                <w:szCs w:val="24"/>
              </w:rPr>
            </w:pPr>
            <w:r>
              <w:rPr>
                <w:sz w:val="24"/>
                <w:szCs w:val="24"/>
              </w:rPr>
              <w:t>2.8939</w:t>
            </w:r>
          </w:p>
        </w:tc>
        <w:tc>
          <w:tcPr>
            <w:tcW w:w="1445"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11808E08" w14:textId="77777777" w:rsidR="0018439B" w:rsidRDefault="000B4639">
            <w:pPr>
              <w:rPr>
                <w:sz w:val="24"/>
                <w:szCs w:val="24"/>
              </w:rPr>
            </w:pPr>
            <w:r>
              <w:rPr>
                <w:sz w:val="24"/>
                <w:szCs w:val="24"/>
              </w:rPr>
              <w:t>1.05915</w:t>
            </w:r>
          </w:p>
        </w:tc>
      </w:tr>
      <w:tr w:rsidR="0018439B" w14:paraId="1397DF32" w14:textId="77777777">
        <w:trPr>
          <w:cantSplit/>
        </w:trPr>
        <w:tc>
          <w:tcPr>
            <w:tcW w:w="1859" w:type="dxa"/>
            <w:tcBorders>
              <w:top w:val="single" w:sz="8" w:space="0" w:color="AEAEAE"/>
              <w:left w:val="nil"/>
              <w:bottom w:val="single" w:sz="8" w:space="0" w:color="AEAEAE"/>
              <w:right w:val="nil"/>
            </w:tcBorders>
            <w:shd w:val="clear" w:color="auto" w:fill="E0E0E0"/>
            <w:tcMar>
              <w:top w:w="0" w:type="dxa"/>
              <w:bottom w:w="0" w:type="dxa"/>
            </w:tcMar>
          </w:tcPr>
          <w:p w14:paraId="1A677260" w14:textId="77777777" w:rsidR="0018439B" w:rsidRDefault="000B4639">
            <w:pPr>
              <w:rPr>
                <w:sz w:val="24"/>
                <w:szCs w:val="24"/>
              </w:rPr>
            </w:pPr>
            <w:r>
              <w:rPr>
                <w:sz w:val="24"/>
                <w:szCs w:val="24"/>
              </w:rPr>
              <w:t>Over-age</w:t>
            </w:r>
          </w:p>
        </w:tc>
        <w:tc>
          <w:tcPr>
            <w:tcW w:w="1030"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0D9B9915" w14:textId="77777777" w:rsidR="0018439B" w:rsidRDefault="000B4639">
            <w:pPr>
              <w:rPr>
                <w:sz w:val="24"/>
                <w:szCs w:val="24"/>
              </w:rPr>
            </w:pPr>
            <w:r>
              <w:rPr>
                <w:sz w:val="24"/>
                <w:szCs w:val="24"/>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254C63B1" w14:textId="77777777" w:rsidR="0018439B" w:rsidRDefault="000B4639">
            <w:pPr>
              <w:rPr>
                <w:sz w:val="24"/>
                <w:szCs w:val="24"/>
              </w:rPr>
            </w:pPr>
            <w:r>
              <w:rPr>
                <w:sz w:val="24"/>
                <w:szCs w:val="24"/>
              </w:rPr>
              <w:t>1.00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7E994574" w14:textId="77777777" w:rsidR="0018439B" w:rsidRDefault="000B4639">
            <w:pPr>
              <w:rPr>
                <w:sz w:val="24"/>
                <w:szCs w:val="24"/>
              </w:rPr>
            </w:pPr>
            <w:r>
              <w:rPr>
                <w:sz w:val="24"/>
                <w:szCs w:val="24"/>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590A7045" w14:textId="77777777" w:rsidR="0018439B" w:rsidRDefault="000B4639">
            <w:pPr>
              <w:rPr>
                <w:sz w:val="24"/>
                <w:szCs w:val="24"/>
              </w:rPr>
            </w:pPr>
            <w:r>
              <w:rPr>
                <w:sz w:val="24"/>
                <w:szCs w:val="24"/>
              </w:rPr>
              <w:t>2.8220</w:t>
            </w:r>
          </w:p>
        </w:tc>
        <w:tc>
          <w:tcPr>
            <w:tcW w:w="1445"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0081EE19" w14:textId="77777777" w:rsidR="0018439B" w:rsidRDefault="000B4639">
            <w:pPr>
              <w:rPr>
                <w:sz w:val="24"/>
                <w:szCs w:val="24"/>
              </w:rPr>
            </w:pPr>
            <w:r>
              <w:rPr>
                <w:sz w:val="24"/>
                <w:szCs w:val="24"/>
              </w:rPr>
              <w:t>.88638</w:t>
            </w:r>
          </w:p>
        </w:tc>
      </w:tr>
      <w:tr w:rsidR="0018439B" w14:paraId="4403A534" w14:textId="77777777">
        <w:trPr>
          <w:cantSplit/>
        </w:trPr>
        <w:tc>
          <w:tcPr>
            <w:tcW w:w="1859" w:type="dxa"/>
            <w:tcBorders>
              <w:top w:val="single" w:sz="8" w:space="0" w:color="AEAEAE"/>
              <w:left w:val="nil"/>
              <w:bottom w:val="single" w:sz="8" w:space="0" w:color="152935"/>
              <w:right w:val="nil"/>
            </w:tcBorders>
            <w:shd w:val="clear" w:color="auto" w:fill="E0E0E0"/>
            <w:tcMar>
              <w:top w:w="0" w:type="dxa"/>
              <w:bottom w:w="0" w:type="dxa"/>
            </w:tcMar>
          </w:tcPr>
          <w:p w14:paraId="445A37CA" w14:textId="77777777" w:rsidR="0018439B" w:rsidRDefault="000B4639">
            <w:pPr>
              <w:rPr>
                <w:sz w:val="24"/>
                <w:szCs w:val="24"/>
              </w:rPr>
            </w:pPr>
            <w:r>
              <w:rPr>
                <w:sz w:val="24"/>
                <w:szCs w:val="24"/>
              </w:rPr>
              <w:t>Valid N (listwise)</w:t>
            </w:r>
          </w:p>
        </w:tc>
        <w:tc>
          <w:tcPr>
            <w:tcW w:w="1030" w:type="dxa"/>
            <w:tcBorders>
              <w:top w:val="single" w:sz="8" w:space="0" w:color="AEAEAE"/>
              <w:left w:val="nil"/>
              <w:bottom w:val="single" w:sz="8" w:space="0" w:color="152935"/>
              <w:right w:val="single" w:sz="8" w:space="0" w:color="E0E0E0"/>
            </w:tcBorders>
            <w:shd w:val="clear" w:color="auto" w:fill="F9F9FB"/>
            <w:tcMar>
              <w:top w:w="0" w:type="dxa"/>
              <w:bottom w:w="0" w:type="dxa"/>
            </w:tcMar>
          </w:tcPr>
          <w:p w14:paraId="541B0F52" w14:textId="77777777" w:rsidR="0018439B" w:rsidRDefault="000B4639">
            <w:pPr>
              <w:rPr>
                <w:sz w:val="24"/>
                <w:szCs w:val="24"/>
              </w:rPr>
            </w:pPr>
            <w:r>
              <w:rPr>
                <w:sz w:val="24"/>
                <w:szCs w:val="24"/>
              </w:rPr>
              <w:t>264</w:t>
            </w:r>
          </w:p>
        </w:tc>
        <w:tc>
          <w:tcPr>
            <w:tcW w:w="1076" w:type="dxa"/>
            <w:tcBorders>
              <w:top w:val="single" w:sz="8" w:space="0" w:color="AEAEAE"/>
              <w:left w:val="single" w:sz="8" w:space="0" w:color="E0E0E0"/>
              <w:bottom w:val="single" w:sz="8" w:space="0" w:color="152935"/>
              <w:right w:val="single" w:sz="8" w:space="0" w:color="E0E0E0"/>
            </w:tcBorders>
            <w:shd w:val="clear" w:color="auto" w:fill="F9F9FB"/>
            <w:tcMar>
              <w:top w:w="0" w:type="dxa"/>
              <w:bottom w:w="0" w:type="dxa"/>
            </w:tcMar>
            <w:vAlign w:val="center"/>
          </w:tcPr>
          <w:p w14:paraId="2D279129" w14:textId="77777777" w:rsidR="0018439B" w:rsidRDefault="0018439B">
            <w:pPr>
              <w:rPr>
                <w:sz w:val="24"/>
                <w:szCs w:val="24"/>
              </w:rPr>
            </w:pPr>
          </w:p>
        </w:tc>
        <w:tc>
          <w:tcPr>
            <w:tcW w:w="1107" w:type="dxa"/>
            <w:tcBorders>
              <w:top w:val="single" w:sz="8" w:space="0" w:color="AEAEAE"/>
              <w:left w:val="single" w:sz="8" w:space="0" w:color="E0E0E0"/>
              <w:bottom w:val="single" w:sz="8" w:space="0" w:color="152935"/>
              <w:right w:val="single" w:sz="8" w:space="0" w:color="E0E0E0"/>
            </w:tcBorders>
            <w:shd w:val="clear" w:color="auto" w:fill="F9F9FB"/>
            <w:tcMar>
              <w:top w:w="0" w:type="dxa"/>
              <w:bottom w:w="0" w:type="dxa"/>
            </w:tcMar>
            <w:vAlign w:val="center"/>
          </w:tcPr>
          <w:p w14:paraId="61F89999" w14:textId="77777777" w:rsidR="0018439B" w:rsidRDefault="0018439B">
            <w:pPr>
              <w:rPr>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tcMar>
              <w:top w:w="0" w:type="dxa"/>
              <w:bottom w:w="0" w:type="dxa"/>
            </w:tcMar>
            <w:vAlign w:val="center"/>
          </w:tcPr>
          <w:p w14:paraId="19297C45" w14:textId="77777777" w:rsidR="0018439B" w:rsidRDefault="0018439B">
            <w:pPr>
              <w:rPr>
                <w:sz w:val="24"/>
                <w:szCs w:val="24"/>
              </w:rPr>
            </w:pPr>
          </w:p>
        </w:tc>
        <w:tc>
          <w:tcPr>
            <w:tcW w:w="1445" w:type="dxa"/>
            <w:tcBorders>
              <w:top w:val="single" w:sz="8" w:space="0" w:color="AEAEAE"/>
              <w:left w:val="single" w:sz="8" w:space="0" w:color="E0E0E0"/>
              <w:bottom w:val="single" w:sz="8" w:space="0" w:color="152935"/>
              <w:right w:val="nil"/>
            </w:tcBorders>
            <w:shd w:val="clear" w:color="auto" w:fill="F9F9FB"/>
            <w:tcMar>
              <w:top w:w="0" w:type="dxa"/>
              <w:bottom w:w="0" w:type="dxa"/>
            </w:tcMar>
            <w:vAlign w:val="center"/>
          </w:tcPr>
          <w:p w14:paraId="679115F1" w14:textId="77777777" w:rsidR="0018439B" w:rsidRDefault="0018439B">
            <w:pPr>
              <w:rPr>
                <w:sz w:val="24"/>
                <w:szCs w:val="24"/>
              </w:rPr>
            </w:pPr>
          </w:p>
        </w:tc>
      </w:tr>
    </w:tbl>
    <w:p w14:paraId="5AE58FE2" w14:textId="77777777" w:rsidR="0018439B" w:rsidRDefault="0018439B">
      <w:pPr>
        <w:jc w:val="both"/>
        <w:rPr>
          <w:sz w:val="24"/>
          <w:szCs w:val="24"/>
        </w:rPr>
      </w:pPr>
    </w:p>
    <w:p w14:paraId="69D7EEAD" w14:textId="7616E761" w:rsidR="0009478F" w:rsidRPr="0009478F" w:rsidRDefault="0009478F" w:rsidP="0009478F">
      <w:pPr>
        <w:jc w:val="both"/>
        <w:rPr>
          <w:sz w:val="24"/>
          <w:szCs w:val="24"/>
        </w:rPr>
      </w:pPr>
      <w:r w:rsidRPr="0009478F">
        <w:rPr>
          <w:sz w:val="24"/>
          <w:szCs w:val="24"/>
        </w:rPr>
        <w:t>The study quantified the perceptions of respondents towards four potential problems, poor performance, teen pregnancy, lack of mentorship, and over-age, using a Likert-type scale.</w:t>
      </w:r>
      <w:r>
        <w:rPr>
          <w:sz w:val="24"/>
          <w:szCs w:val="24"/>
        </w:rPr>
        <w:t xml:space="preserve"> </w:t>
      </w:r>
      <w:r w:rsidRPr="0009478F">
        <w:rPr>
          <w:sz w:val="24"/>
          <w:szCs w:val="24"/>
        </w:rPr>
        <w:t>The mean value for poor performance was 2.81 with a standard deviation of 0.93. This suggest</w:t>
      </w:r>
      <w:r>
        <w:rPr>
          <w:sz w:val="24"/>
          <w:szCs w:val="24"/>
        </w:rPr>
        <w:t>ed</w:t>
      </w:r>
      <w:r w:rsidRPr="0009478F">
        <w:rPr>
          <w:sz w:val="24"/>
          <w:szCs w:val="24"/>
        </w:rPr>
        <w:t xml:space="preserve"> that, on average, participants weighted moderate concern on poor performance slightly below the midpoint of the scale. The relatively moderate standard deviation indicate</w:t>
      </w:r>
      <w:r>
        <w:rPr>
          <w:sz w:val="24"/>
          <w:szCs w:val="24"/>
        </w:rPr>
        <w:t xml:space="preserve">d </w:t>
      </w:r>
      <w:r w:rsidRPr="0009478F">
        <w:rPr>
          <w:sz w:val="24"/>
          <w:szCs w:val="24"/>
        </w:rPr>
        <w:t>that there was a moderate level of agreement among respondents. While poor performance was viewed as very serious by some participants, others did not view it as extremely bad, so the average response was slightly positive.</w:t>
      </w:r>
    </w:p>
    <w:p w14:paraId="1BEC4FB9" w14:textId="4EF3E77C" w:rsidR="0009478F" w:rsidRPr="0009478F" w:rsidRDefault="0009478F" w:rsidP="0009478F">
      <w:pPr>
        <w:jc w:val="both"/>
        <w:rPr>
          <w:sz w:val="24"/>
          <w:szCs w:val="24"/>
        </w:rPr>
      </w:pPr>
      <w:r w:rsidRPr="0009478F">
        <w:rPr>
          <w:sz w:val="24"/>
          <w:szCs w:val="24"/>
        </w:rPr>
        <w:t>Teenage pregnancy had a mean of 2.72 and standard deviation of 0.96. This signifie</w:t>
      </w:r>
      <w:r>
        <w:rPr>
          <w:sz w:val="24"/>
          <w:szCs w:val="24"/>
        </w:rPr>
        <w:t>d</w:t>
      </w:r>
      <w:r w:rsidRPr="0009478F">
        <w:rPr>
          <w:sz w:val="24"/>
          <w:szCs w:val="24"/>
        </w:rPr>
        <w:t xml:space="preserve"> that respondents were largely in disagreement or on the fence about whether teenage pregnancy was an important concern in the case being examined. The standard deviation, at nearly 1, suggest</w:t>
      </w:r>
      <w:r>
        <w:rPr>
          <w:sz w:val="24"/>
          <w:szCs w:val="24"/>
        </w:rPr>
        <w:t>ed</w:t>
      </w:r>
      <w:r w:rsidRPr="0009478F">
        <w:rPr>
          <w:sz w:val="24"/>
          <w:szCs w:val="24"/>
        </w:rPr>
        <w:t xml:space="preserve"> that there was some moderate range of opinion, and this mean</w:t>
      </w:r>
      <w:r>
        <w:rPr>
          <w:sz w:val="24"/>
          <w:szCs w:val="24"/>
        </w:rPr>
        <w:t>t</w:t>
      </w:r>
      <w:r w:rsidRPr="0009478F">
        <w:rPr>
          <w:sz w:val="24"/>
          <w:szCs w:val="24"/>
        </w:rPr>
        <w:t xml:space="preserve"> that there was some degree of variation in the extent to which different respondents assessed the seriousness of the issue.</w:t>
      </w:r>
    </w:p>
    <w:p w14:paraId="53BB1CC2" w14:textId="59374AB1" w:rsidR="0009478F" w:rsidRPr="0009478F" w:rsidRDefault="0009478F" w:rsidP="0009478F">
      <w:pPr>
        <w:jc w:val="both"/>
        <w:rPr>
          <w:sz w:val="24"/>
          <w:szCs w:val="24"/>
        </w:rPr>
      </w:pPr>
      <w:r w:rsidRPr="0009478F">
        <w:rPr>
          <w:sz w:val="24"/>
          <w:szCs w:val="24"/>
        </w:rPr>
        <w:t>Lack of mentorship had the highest mean of 2.89 and a standard deviation of 1.06, the highest variability. This reflect</w:t>
      </w:r>
      <w:r>
        <w:rPr>
          <w:sz w:val="24"/>
          <w:szCs w:val="24"/>
        </w:rPr>
        <w:t>ed</w:t>
      </w:r>
      <w:r w:rsidRPr="0009478F">
        <w:rPr>
          <w:sz w:val="24"/>
          <w:szCs w:val="24"/>
        </w:rPr>
        <w:t xml:space="preserve"> that although the average response was close to the middle point, there were some who thought the absence of mentorship was more a problem and others who did not or felt it was less of a problem. The higher standard deviation register</w:t>
      </w:r>
      <w:r>
        <w:rPr>
          <w:sz w:val="24"/>
          <w:szCs w:val="24"/>
        </w:rPr>
        <w:t>ed</w:t>
      </w:r>
      <w:r w:rsidRPr="0009478F">
        <w:rPr>
          <w:sz w:val="24"/>
          <w:szCs w:val="24"/>
        </w:rPr>
        <w:t xml:space="preserve"> this broader divergence in opinion. It could also mean that the respondents experienced or were exposed to mentorship differently and thus had more diverse opinions.</w:t>
      </w:r>
    </w:p>
    <w:p w14:paraId="4C4B334A" w14:textId="77777777" w:rsidR="0009478F" w:rsidRPr="0009478F" w:rsidRDefault="0009478F" w:rsidP="0009478F">
      <w:pPr>
        <w:jc w:val="both"/>
        <w:rPr>
          <w:sz w:val="24"/>
          <w:szCs w:val="24"/>
        </w:rPr>
      </w:pPr>
      <w:r w:rsidRPr="0009478F">
        <w:rPr>
          <w:sz w:val="24"/>
          <w:szCs w:val="24"/>
        </w:rPr>
        <w:t>The over-age variable's mean was 2.82 and standard deviation was 0.89, indicating that, similar to all other variables, it was viewed as somewhat not a problem to moderately problematic. The comparatively lower standard deviation suggests responses were more homogeneous in response in terms of participants with fewer outlying opinions. This reflects a more uniform perception of being over-age within the respondent population.</w:t>
      </w:r>
    </w:p>
    <w:p w14:paraId="4CE02ABC" w14:textId="05FEA554" w:rsidR="0018439B" w:rsidRDefault="0009478F">
      <w:pPr>
        <w:jc w:val="both"/>
        <w:rPr>
          <w:sz w:val="24"/>
          <w:szCs w:val="24"/>
        </w:rPr>
      </w:pPr>
      <w:r w:rsidRPr="0009478F">
        <w:rPr>
          <w:sz w:val="24"/>
          <w:szCs w:val="24"/>
        </w:rPr>
        <w:t xml:space="preserve">In all four </w:t>
      </w:r>
      <w:r>
        <w:rPr>
          <w:sz w:val="24"/>
          <w:szCs w:val="24"/>
        </w:rPr>
        <w:t>indicators</w:t>
      </w:r>
      <w:r w:rsidRPr="0009478F">
        <w:rPr>
          <w:sz w:val="24"/>
          <w:szCs w:val="24"/>
        </w:rPr>
        <w:t>, the mean scores are still below 3, i.e., the respondents didn't consider any of the issues to be noticeably serious on average, though they did rate them to some extent. The standard deviations account</w:t>
      </w:r>
      <w:r>
        <w:rPr>
          <w:sz w:val="24"/>
          <w:szCs w:val="24"/>
        </w:rPr>
        <w:t>ed</w:t>
      </w:r>
      <w:r w:rsidRPr="0009478F">
        <w:rPr>
          <w:sz w:val="24"/>
          <w:szCs w:val="24"/>
        </w:rPr>
        <w:t xml:space="preserve"> for that paucity of mentorship generated the widest range of opinions and over-age received the most consistent response. These outcomes </w:t>
      </w:r>
      <w:r>
        <w:rPr>
          <w:sz w:val="24"/>
          <w:szCs w:val="24"/>
        </w:rPr>
        <w:t>were</w:t>
      </w:r>
      <w:r w:rsidRPr="0009478F">
        <w:rPr>
          <w:sz w:val="24"/>
          <w:szCs w:val="24"/>
        </w:rPr>
        <w:t xml:space="preserve"> suggestive of where interventions or awareness programs are more or less controversial or required, depending on the consistency or heterogeneity of community sentiment.</w:t>
      </w:r>
    </w:p>
    <w:p w14:paraId="4ED4442A" w14:textId="77777777" w:rsidR="0018439B" w:rsidRDefault="000B4639">
      <w:pPr>
        <w:rPr>
          <w:b/>
          <w:sz w:val="24"/>
          <w:szCs w:val="24"/>
        </w:rPr>
      </w:pPr>
      <w:r>
        <w:rPr>
          <w:b/>
          <w:sz w:val="24"/>
          <w:szCs w:val="24"/>
        </w:rPr>
        <w:t>CORRELATION ANALYSIS</w:t>
      </w:r>
    </w:p>
    <w:p w14:paraId="0B39DACD" w14:textId="02CC1BC6" w:rsidR="00956593" w:rsidRDefault="00956593" w:rsidP="00956593">
      <w:pPr>
        <w:pBdr>
          <w:top w:val="nil"/>
          <w:left w:val="nil"/>
          <w:bottom w:val="nil"/>
          <w:right w:val="nil"/>
          <w:between w:val="nil"/>
        </w:pBdr>
        <w:spacing w:before="73"/>
        <w:ind w:right="-90"/>
        <w:jc w:val="both"/>
        <w:rPr>
          <w:color w:val="000000"/>
          <w:sz w:val="24"/>
          <w:szCs w:val="24"/>
        </w:rPr>
      </w:pPr>
      <w:r>
        <w:rPr>
          <w:color w:val="000000"/>
          <w:sz w:val="24"/>
          <w:szCs w:val="24"/>
        </w:rPr>
        <w:t xml:space="preserve">Using </w:t>
      </w:r>
      <w:r w:rsidRPr="00025502">
        <w:rPr>
          <w:sz w:val="24"/>
          <w:szCs w:val="24"/>
        </w:rPr>
        <w:t xml:space="preserve">Pearson’s Product Moment </w:t>
      </w:r>
      <w:r>
        <w:rPr>
          <w:sz w:val="24"/>
          <w:szCs w:val="24"/>
        </w:rPr>
        <w:t xml:space="preserve">(PPM) </w:t>
      </w:r>
      <w:r w:rsidRPr="00025502">
        <w:rPr>
          <w:sz w:val="24"/>
          <w:szCs w:val="24"/>
        </w:rPr>
        <w:t>Correlation Analysis</w:t>
      </w:r>
      <w:r>
        <w:rPr>
          <w:sz w:val="24"/>
          <w:szCs w:val="24"/>
        </w:rPr>
        <w:t>, the study tested</w:t>
      </w:r>
      <w:r>
        <w:rPr>
          <w:color w:val="000000"/>
          <w:sz w:val="24"/>
          <w:szCs w:val="24"/>
        </w:rPr>
        <w:t xml:space="preserve"> the hypothesis;</w:t>
      </w:r>
    </w:p>
    <w:p w14:paraId="4BA8737F" w14:textId="1863B51E" w:rsidR="00956593" w:rsidRPr="00956593" w:rsidRDefault="00956593" w:rsidP="00956593">
      <w:pPr>
        <w:pBdr>
          <w:top w:val="nil"/>
          <w:left w:val="nil"/>
          <w:bottom w:val="nil"/>
          <w:right w:val="nil"/>
          <w:between w:val="nil"/>
        </w:pBdr>
        <w:spacing w:before="73"/>
        <w:ind w:left="851" w:right="996"/>
        <w:jc w:val="both"/>
        <w:rPr>
          <w:i/>
          <w:iCs/>
          <w:color w:val="000000"/>
          <w:sz w:val="24"/>
          <w:szCs w:val="24"/>
        </w:rPr>
      </w:pPr>
      <w:r w:rsidRPr="00956593">
        <w:rPr>
          <w:i/>
          <w:iCs/>
          <w:sz w:val="24"/>
          <w:szCs w:val="24"/>
        </w:rPr>
        <w:t>H</w:t>
      </w:r>
      <w:r w:rsidRPr="00956593">
        <w:rPr>
          <w:i/>
          <w:iCs/>
          <w:sz w:val="24"/>
          <w:szCs w:val="24"/>
          <w:vertAlign w:val="subscript"/>
        </w:rPr>
        <w:t>0</w:t>
      </w:r>
      <w:r w:rsidRPr="00956593">
        <w:rPr>
          <w:i/>
          <w:iCs/>
          <w:sz w:val="24"/>
          <w:szCs w:val="24"/>
        </w:rPr>
        <w:t>: Students’ personal issues do not have a statistically significant influence on girls’ school dropout among public secondary schools in Garissa Township</w:t>
      </w:r>
    </w:p>
    <w:p w14:paraId="204C1B27" w14:textId="45CE9D28" w:rsidR="0018439B" w:rsidRDefault="00956593" w:rsidP="00956593">
      <w:pPr>
        <w:pBdr>
          <w:top w:val="nil"/>
          <w:left w:val="nil"/>
          <w:bottom w:val="nil"/>
          <w:right w:val="nil"/>
          <w:between w:val="nil"/>
        </w:pBdr>
        <w:spacing w:before="73"/>
        <w:ind w:right="-90"/>
        <w:jc w:val="both"/>
        <w:rPr>
          <w:color w:val="000000"/>
          <w:sz w:val="24"/>
          <w:szCs w:val="24"/>
        </w:rPr>
      </w:pPr>
      <w:r>
        <w:rPr>
          <w:color w:val="000000"/>
          <w:sz w:val="24"/>
          <w:szCs w:val="24"/>
        </w:rPr>
        <w:t>The study carried the analysis with help of SPSS, at 95% confidence level</w:t>
      </w:r>
      <w:r w:rsidR="0009478F">
        <w:rPr>
          <w:color w:val="000000"/>
          <w:sz w:val="24"/>
          <w:szCs w:val="24"/>
        </w:rPr>
        <w:t xml:space="preserve"> </w:t>
      </w:r>
      <w:r>
        <w:rPr>
          <w:color w:val="000000"/>
          <w:sz w:val="24"/>
          <w:szCs w:val="24"/>
        </w:rPr>
        <w:t xml:space="preserve">to </w:t>
      </w:r>
      <w:r w:rsidR="0009478F">
        <w:rPr>
          <w:color w:val="000000"/>
          <w:sz w:val="24"/>
          <w:szCs w:val="24"/>
        </w:rPr>
        <w:t>produce Table 2</w:t>
      </w:r>
      <w:r>
        <w:rPr>
          <w:color w:val="000000"/>
          <w:sz w:val="24"/>
          <w:szCs w:val="24"/>
        </w:rPr>
        <w:t xml:space="preserve">. </w:t>
      </w:r>
    </w:p>
    <w:p w14:paraId="22BA618A" w14:textId="77777777" w:rsidR="0018439B" w:rsidRDefault="0018439B">
      <w:pPr>
        <w:pBdr>
          <w:top w:val="nil"/>
          <w:left w:val="nil"/>
          <w:bottom w:val="nil"/>
          <w:right w:val="nil"/>
          <w:between w:val="nil"/>
        </w:pBdr>
        <w:spacing w:before="73"/>
        <w:ind w:right="-90"/>
        <w:jc w:val="both"/>
        <w:rPr>
          <w:color w:val="000000"/>
          <w:sz w:val="24"/>
          <w:szCs w:val="24"/>
        </w:rPr>
      </w:pPr>
    </w:p>
    <w:p w14:paraId="633CB1B7" w14:textId="4501054B" w:rsidR="0018439B" w:rsidRDefault="0009478F">
      <w:pPr>
        <w:spacing w:before="1"/>
        <w:jc w:val="both"/>
        <w:rPr>
          <w:b/>
          <w:sz w:val="24"/>
          <w:szCs w:val="24"/>
        </w:rPr>
      </w:pPr>
      <w:r>
        <w:rPr>
          <w:b/>
          <w:sz w:val="24"/>
          <w:szCs w:val="24"/>
        </w:rPr>
        <w:t>Table 2: Pearson’s Correlation Results for Students Personal Issues and Girl’s School Dropout</w:t>
      </w:r>
    </w:p>
    <w:p w14:paraId="2A7A975E" w14:textId="77777777" w:rsidR="0018439B" w:rsidRDefault="0018439B">
      <w:pPr>
        <w:spacing w:before="1"/>
        <w:jc w:val="both"/>
        <w:rPr>
          <w:b/>
          <w:sz w:val="24"/>
          <w:szCs w:val="24"/>
        </w:rPr>
      </w:pPr>
    </w:p>
    <w:p w14:paraId="3C0DBB7A" w14:textId="77777777" w:rsidR="0018439B" w:rsidRDefault="0018439B">
      <w:pPr>
        <w:spacing w:before="1"/>
        <w:jc w:val="both"/>
        <w:rPr>
          <w:b/>
          <w:sz w:val="24"/>
          <w:szCs w:val="24"/>
        </w:rPr>
      </w:pPr>
    </w:p>
    <w:tbl>
      <w:tblPr>
        <w:tblStyle w:val="a0"/>
        <w:tblW w:w="8647" w:type="dxa"/>
        <w:tblInd w:w="0" w:type="dxa"/>
        <w:tblLayout w:type="fixed"/>
        <w:tblLook w:val="0000" w:firstRow="0" w:lastRow="0" w:firstColumn="0" w:lastColumn="0" w:noHBand="0" w:noVBand="0"/>
      </w:tblPr>
      <w:tblGrid>
        <w:gridCol w:w="2368"/>
        <w:gridCol w:w="1999"/>
        <w:gridCol w:w="1729"/>
        <w:gridCol w:w="2551"/>
      </w:tblGrid>
      <w:tr w:rsidR="0018439B" w14:paraId="64591726" w14:textId="77777777">
        <w:trPr>
          <w:cantSplit/>
        </w:trPr>
        <w:tc>
          <w:tcPr>
            <w:tcW w:w="8647" w:type="dxa"/>
            <w:gridSpan w:val="4"/>
            <w:tcBorders>
              <w:top w:val="nil"/>
              <w:left w:val="nil"/>
              <w:bottom w:val="nil"/>
              <w:right w:val="nil"/>
            </w:tcBorders>
            <w:shd w:val="clear" w:color="auto" w:fill="FFFFFF"/>
            <w:tcMar>
              <w:top w:w="0" w:type="dxa"/>
              <w:bottom w:w="0" w:type="dxa"/>
            </w:tcMar>
            <w:vAlign w:val="center"/>
          </w:tcPr>
          <w:p w14:paraId="75DE1859" w14:textId="77777777" w:rsidR="0018439B" w:rsidRDefault="0018439B">
            <w:pPr>
              <w:rPr>
                <w:sz w:val="24"/>
                <w:szCs w:val="24"/>
              </w:rPr>
            </w:pPr>
          </w:p>
        </w:tc>
      </w:tr>
      <w:tr w:rsidR="0018439B" w14:paraId="505BAB76" w14:textId="77777777">
        <w:trPr>
          <w:cantSplit/>
        </w:trPr>
        <w:tc>
          <w:tcPr>
            <w:tcW w:w="4367" w:type="dxa"/>
            <w:gridSpan w:val="2"/>
            <w:tcBorders>
              <w:top w:val="nil"/>
              <w:left w:val="nil"/>
              <w:bottom w:val="single" w:sz="8" w:space="0" w:color="152935"/>
              <w:right w:val="nil"/>
            </w:tcBorders>
            <w:shd w:val="clear" w:color="auto" w:fill="FFFFFF"/>
            <w:tcMar>
              <w:top w:w="0" w:type="dxa"/>
              <w:bottom w:w="0" w:type="dxa"/>
            </w:tcMar>
            <w:vAlign w:val="bottom"/>
          </w:tcPr>
          <w:p w14:paraId="48DA00B8" w14:textId="77777777" w:rsidR="0018439B" w:rsidRDefault="0018439B">
            <w:pPr>
              <w:rPr>
                <w:sz w:val="24"/>
                <w:szCs w:val="24"/>
              </w:rPr>
            </w:pPr>
          </w:p>
        </w:tc>
        <w:tc>
          <w:tcPr>
            <w:tcW w:w="1729" w:type="dxa"/>
            <w:tcBorders>
              <w:top w:val="nil"/>
              <w:left w:val="nil"/>
              <w:bottom w:val="single" w:sz="8" w:space="0" w:color="152935"/>
              <w:right w:val="single" w:sz="8" w:space="0" w:color="E0E0E0"/>
            </w:tcBorders>
            <w:shd w:val="clear" w:color="auto" w:fill="FFFFFF"/>
            <w:tcMar>
              <w:top w:w="0" w:type="dxa"/>
              <w:bottom w:w="0" w:type="dxa"/>
            </w:tcMar>
            <w:vAlign w:val="bottom"/>
          </w:tcPr>
          <w:p w14:paraId="6E5A6C9B" w14:textId="77777777" w:rsidR="0018439B" w:rsidRDefault="000B4639">
            <w:pPr>
              <w:rPr>
                <w:sz w:val="24"/>
                <w:szCs w:val="24"/>
              </w:rPr>
            </w:pPr>
            <w:r>
              <w:rPr>
                <w:sz w:val="24"/>
                <w:szCs w:val="24"/>
              </w:rPr>
              <w:t>Average Dropout</w:t>
            </w:r>
          </w:p>
        </w:tc>
        <w:tc>
          <w:tcPr>
            <w:tcW w:w="2551" w:type="dxa"/>
            <w:tcBorders>
              <w:top w:val="nil"/>
              <w:left w:val="single" w:sz="8" w:space="0" w:color="E0E0E0"/>
              <w:bottom w:val="single" w:sz="8" w:space="0" w:color="152935"/>
            </w:tcBorders>
            <w:shd w:val="clear" w:color="auto" w:fill="FFFFFF"/>
            <w:tcMar>
              <w:top w:w="0" w:type="dxa"/>
              <w:bottom w:w="0" w:type="dxa"/>
            </w:tcMar>
            <w:vAlign w:val="bottom"/>
          </w:tcPr>
          <w:p w14:paraId="1E056761" w14:textId="77777777" w:rsidR="0018439B" w:rsidRDefault="000B4639">
            <w:pPr>
              <w:rPr>
                <w:sz w:val="24"/>
                <w:szCs w:val="24"/>
              </w:rPr>
            </w:pPr>
            <w:r>
              <w:rPr>
                <w:sz w:val="24"/>
                <w:szCs w:val="24"/>
              </w:rPr>
              <w:t>Students personal issues</w:t>
            </w:r>
          </w:p>
        </w:tc>
      </w:tr>
      <w:tr w:rsidR="0018439B" w14:paraId="2ABBAED2" w14:textId="77777777">
        <w:trPr>
          <w:cantSplit/>
        </w:trPr>
        <w:tc>
          <w:tcPr>
            <w:tcW w:w="2368" w:type="dxa"/>
            <w:vMerge w:val="restart"/>
            <w:tcBorders>
              <w:top w:val="single" w:sz="8" w:space="0" w:color="152935"/>
              <w:left w:val="nil"/>
              <w:bottom w:val="nil"/>
              <w:right w:val="nil"/>
            </w:tcBorders>
            <w:shd w:val="clear" w:color="auto" w:fill="E0E0E0"/>
            <w:tcMar>
              <w:top w:w="0" w:type="dxa"/>
              <w:bottom w:w="0" w:type="dxa"/>
            </w:tcMar>
          </w:tcPr>
          <w:p w14:paraId="67CDA2AF" w14:textId="77777777" w:rsidR="0018439B" w:rsidRDefault="000B4639">
            <w:pPr>
              <w:rPr>
                <w:sz w:val="24"/>
                <w:szCs w:val="24"/>
              </w:rPr>
            </w:pPr>
            <w:r>
              <w:rPr>
                <w:sz w:val="24"/>
                <w:szCs w:val="24"/>
              </w:rPr>
              <w:t>Average Dropout</w:t>
            </w:r>
          </w:p>
        </w:tc>
        <w:tc>
          <w:tcPr>
            <w:tcW w:w="1999" w:type="dxa"/>
            <w:tcBorders>
              <w:top w:val="single" w:sz="8" w:space="0" w:color="152935"/>
              <w:left w:val="nil"/>
              <w:bottom w:val="single" w:sz="8" w:space="0" w:color="AEAEAE"/>
              <w:right w:val="nil"/>
            </w:tcBorders>
            <w:shd w:val="clear" w:color="auto" w:fill="E0E0E0"/>
            <w:tcMar>
              <w:top w:w="0" w:type="dxa"/>
              <w:bottom w:w="0" w:type="dxa"/>
            </w:tcMar>
          </w:tcPr>
          <w:p w14:paraId="56E70517" w14:textId="77777777" w:rsidR="0018439B" w:rsidRDefault="000B4639">
            <w:pPr>
              <w:rPr>
                <w:sz w:val="24"/>
                <w:szCs w:val="24"/>
              </w:rPr>
            </w:pPr>
            <w:r>
              <w:rPr>
                <w:sz w:val="24"/>
                <w:szCs w:val="24"/>
              </w:rPr>
              <w:t>Pearson Correlation</w:t>
            </w:r>
          </w:p>
        </w:tc>
        <w:tc>
          <w:tcPr>
            <w:tcW w:w="1729" w:type="dxa"/>
            <w:tcBorders>
              <w:top w:val="single" w:sz="8" w:space="0" w:color="152935"/>
              <w:left w:val="nil"/>
              <w:bottom w:val="single" w:sz="8" w:space="0" w:color="AEAEAE"/>
              <w:right w:val="single" w:sz="8" w:space="0" w:color="E0E0E0"/>
            </w:tcBorders>
            <w:shd w:val="clear" w:color="auto" w:fill="F9F9FB"/>
            <w:tcMar>
              <w:top w:w="0" w:type="dxa"/>
              <w:bottom w:w="0" w:type="dxa"/>
            </w:tcMar>
          </w:tcPr>
          <w:p w14:paraId="77BB244F" w14:textId="77777777" w:rsidR="0018439B" w:rsidRDefault="000B4639">
            <w:pPr>
              <w:rPr>
                <w:sz w:val="24"/>
                <w:szCs w:val="24"/>
              </w:rPr>
            </w:pPr>
            <w:r>
              <w:rPr>
                <w:sz w:val="24"/>
                <w:szCs w:val="24"/>
              </w:rPr>
              <w:t>1</w:t>
            </w:r>
          </w:p>
        </w:tc>
        <w:tc>
          <w:tcPr>
            <w:tcW w:w="2551" w:type="dxa"/>
            <w:tcBorders>
              <w:top w:val="single" w:sz="8" w:space="0" w:color="152935"/>
              <w:left w:val="single" w:sz="8" w:space="0" w:color="E0E0E0"/>
              <w:bottom w:val="single" w:sz="8" w:space="0" w:color="AEAEAE"/>
              <w:right w:val="nil"/>
            </w:tcBorders>
            <w:shd w:val="clear" w:color="auto" w:fill="F9F9FB"/>
            <w:tcMar>
              <w:top w:w="0" w:type="dxa"/>
              <w:bottom w:w="0" w:type="dxa"/>
            </w:tcMar>
          </w:tcPr>
          <w:p w14:paraId="616CEC8C" w14:textId="77777777" w:rsidR="0018439B" w:rsidRDefault="000B4639">
            <w:pPr>
              <w:rPr>
                <w:sz w:val="24"/>
                <w:szCs w:val="24"/>
              </w:rPr>
            </w:pPr>
            <w:r>
              <w:rPr>
                <w:sz w:val="24"/>
                <w:szCs w:val="24"/>
              </w:rPr>
              <w:t>.510</w:t>
            </w:r>
            <w:r>
              <w:rPr>
                <w:sz w:val="24"/>
                <w:szCs w:val="24"/>
                <w:vertAlign w:val="superscript"/>
              </w:rPr>
              <w:t>**</w:t>
            </w:r>
          </w:p>
        </w:tc>
      </w:tr>
      <w:tr w:rsidR="0018439B" w14:paraId="16CCB8DF" w14:textId="77777777">
        <w:trPr>
          <w:cantSplit/>
        </w:trPr>
        <w:tc>
          <w:tcPr>
            <w:tcW w:w="2368" w:type="dxa"/>
            <w:vMerge/>
            <w:tcBorders>
              <w:top w:val="single" w:sz="8" w:space="0" w:color="152935"/>
              <w:left w:val="nil"/>
              <w:bottom w:val="nil"/>
              <w:right w:val="nil"/>
            </w:tcBorders>
            <w:shd w:val="clear" w:color="auto" w:fill="E0E0E0"/>
            <w:tcMar>
              <w:top w:w="0" w:type="dxa"/>
              <w:bottom w:w="0" w:type="dxa"/>
            </w:tcMar>
          </w:tcPr>
          <w:p w14:paraId="7D2E80B5" w14:textId="77777777" w:rsidR="0018439B" w:rsidRDefault="0018439B">
            <w:pPr>
              <w:pBdr>
                <w:top w:val="nil"/>
                <w:left w:val="nil"/>
                <w:bottom w:val="nil"/>
                <w:right w:val="nil"/>
                <w:between w:val="nil"/>
              </w:pBdr>
              <w:spacing w:line="276" w:lineRule="auto"/>
              <w:rPr>
                <w:sz w:val="24"/>
                <w:szCs w:val="24"/>
              </w:rPr>
            </w:pPr>
          </w:p>
        </w:tc>
        <w:tc>
          <w:tcPr>
            <w:tcW w:w="1999" w:type="dxa"/>
            <w:tcBorders>
              <w:top w:val="single" w:sz="8" w:space="0" w:color="AEAEAE"/>
              <w:left w:val="nil"/>
              <w:bottom w:val="single" w:sz="8" w:space="0" w:color="AEAEAE"/>
              <w:right w:val="nil"/>
            </w:tcBorders>
            <w:shd w:val="clear" w:color="auto" w:fill="E0E0E0"/>
            <w:tcMar>
              <w:top w:w="0" w:type="dxa"/>
              <w:bottom w:w="0" w:type="dxa"/>
            </w:tcMar>
          </w:tcPr>
          <w:p w14:paraId="7C0C9876" w14:textId="77777777" w:rsidR="0018439B" w:rsidRDefault="000B4639">
            <w:pPr>
              <w:rPr>
                <w:sz w:val="24"/>
                <w:szCs w:val="24"/>
              </w:rPr>
            </w:pPr>
            <w:r>
              <w:rPr>
                <w:sz w:val="24"/>
                <w:szCs w:val="24"/>
              </w:rPr>
              <w:t>Sig. (2-tailed)</w:t>
            </w:r>
          </w:p>
        </w:tc>
        <w:tc>
          <w:tcPr>
            <w:tcW w:w="1729" w:type="dxa"/>
            <w:tcBorders>
              <w:top w:val="single" w:sz="8" w:space="0" w:color="AEAEAE"/>
              <w:left w:val="nil"/>
              <w:bottom w:val="single" w:sz="8" w:space="0" w:color="AEAEAE"/>
              <w:right w:val="single" w:sz="8" w:space="0" w:color="E0E0E0"/>
            </w:tcBorders>
            <w:shd w:val="clear" w:color="auto" w:fill="F9F9FB"/>
            <w:tcMar>
              <w:top w:w="0" w:type="dxa"/>
              <w:bottom w:w="0" w:type="dxa"/>
            </w:tcMar>
            <w:vAlign w:val="center"/>
          </w:tcPr>
          <w:p w14:paraId="0A41D8B0" w14:textId="77777777" w:rsidR="0018439B" w:rsidRDefault="0018439B">
            <w:pPr>
              <w:rPr>
                <w:sz w:val="24"/>
                <w:szCs w:val="24"/>
              </w:rPr>
            </w:pPr>
          </w:p>
        </w:tc>
        <w:tc>
          <w:tcPr>
            <w:tcW w:w="2551"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1B22881E" w14:textId="77777777" w:rsidR="0018439B" w:rsidRDefault="000B4639">
            <w:pPr>
              <w:rPr>
                <w:sz w:val="24"/>
                <w:szCs w:val="24"/>
              </w:rPr>
            </w:pPr>
            <w:r>
              <w:rPr>
                <w:sz w:val="24"/>
                <w:szCs w:val="24"/>
              </w:rPr>
              <w:t>.000</w:t>
            </w:r>
          </w:p>
        </w:tc>
      </w:tr>
      <w:tr w:rsidR="0018439B" w14:paraId="21F9BECE" w14:textId="77777777">
        <w:trPr>
          <w:cantSplit/>
        </w:trPr>
        <w:tc>
          <w:tcPr>
            <w:tcW w:w="2368" w:type="dxa"/>
            <w:vMerge/>
            <w:tcBorders>
              <w:top w:val="single" w:sz="8" w:space="0" w:color="152935"/>
              <w:left w:val="nil"/>
              <w:bottom w:val="nil"/>
              <w:right w:val="nil"/>
            </w:tcBorders>
            <w:shd w:val="clear" w:color="auto" w:fill="E0E0E0"/>
            <w:tcMar>
              <w:top w:w="0" w:type="dxa"/>
              <w:bottom w:w="0" w:type="dxa"/>
            </w:tcMar>
          </w:tcPr>
          <w:p w14:paraId="46DD11E9" w14:textId="77777777" w:rsidR="0018439B" w:rsidRDefault="0018439B">
            <w:pPr>
              <w:pBdr>
                <w:top w:val="nil"/>
                <w:left w:val="nil"/>
                <w:bottom w:val="nil"/>
                <w:right w:val="nil"/>
                <w:between w:val="nil"/>
              </w:pBdr>
              <w:spacing w:line="276" w:lineRule="auto"/>
              <w:rPr>
                <w:sz w:val="24"/>
                <w:szCs w:val="24"/>
              </w:rPr>
            </w:pPr>
          </w:p>
        </w:tc>
        <w:tc>
          <w:tcPr>
            <w:tcW w:w="1999" w:type="dxa"/>
            <w:tcBorders>
              <w:top w:val="single" w:sz="8" w:space="0" w:color="AEAEAE"/>
              <w:left w:val="nil"/>
              <w:bottom w:val="nil"/>
              <w:right w:val="nil"/>
            </w:tcBorders>
            <w:shd w:val="clear" w:color="auto" w:fill="E0E0E0"/>
            <w:tcMar>
              <w:top w:w="0" w:type="dxa"/>
              <w:bottom w:w="0" w:type="dxa"/>
            </w:tcMar>
          </w:tcPr>
          <w:p w14:paraId="2A04FBC0" w14:textId="77777777" w:rsidR="0018439B" w:rsidRDefault="000B4639">
            <w:pPr>
              <w:rPr>
                <w:sz w:val="24"/>
                <w:szCs w:val="24"/>
              </w:rPr>
            </w:pPr>
            <w:r>
              <w:rPr>
                <w:sz w:val="24"/>
                <w:szCs w:val="24"/>
              </w:rPr>
              <w:t>N</w:t>
            </w:r>
          </w:p>
        </w:tc>
        <w:tc>
          <w:tcPr>
            <w:tcW w:w="1729" w:type="dxa"/>
            <w:tcBorders>
              <w:top w:val="single" w:sz="8" w:space="0" w:color="AEAEAE"/>
              <w:left w:val="nil"/>
              <w:bottom w:val="nil"/>
              <w:right w:val="single" w:sz="8" w:space="0" w:color="E0E0E0"/>
            </w:tcBorders>
            <w:shd w:val="clear" w:color="auto" w:fill="F9F9FB"/>
            <w:tcMar>
              <w:top w:w="0" w:type="dxa"/>
              <w:bottom w:w="0" w:type="dxa"/>
            </w:tcMar>
          </w:tcPr>
          <w:p w14:paraId="1C3AC201" w14:textId="77777777" w:rsidR="0018439B" w:rsidRDefault="000B4639">
            <w:pPr>
              <w:rPr>
                <w:sz w:val="24"/>
                <w:szCs w:val="24"/>
              </w:rPr>
            </w:pPr>
            <w:r>
              <w:rPr>
                <w:sz w:val="24"/>
                <w:szCs w:val="24"/>
              </w:rPr>
              <w:t>264</w:t>
            </w:r>
          </w:p>
        </w:tc>
        <w:tc>
          <w:tcPr>
            <w:tcW w:w="2551" w:type="dxa"/>
            <w:tcBorders>
              <w:top w:val="single" w:sz="8" w:space="0" w:color="AEAEAE"/>
              <w:left w:val="single" w:sz="8" w:space="0" w:color="E0E0E0"/>
              <w:bottom w:val="nil"/>
              <w:right w:val="nil"/>
            </w:tcBorders>
            <w:shd w:val="clear" w:color="auto" w:fill="F9F9FB"/>
            <w:tcMar>
              <w:top w:w="0" w:type="dxa"/>
              <w:bottom w:w="0" w:type="dxa"/>
            </w:tcMar>
          </w:tcPr>
          <w:p w14:paraId="15315E42" w14:textId="77777777" w:rsidR="0018439B" w:rsidRDefault="000B4639">
            <w:pPr>
              <w:rPr>
                <w:sz w:val="24"/>
                <w:szCs w:val="24"/>
              </w:rPr>
            </w:pPr>
            <w:r>
              <w:rPr>
                <w:sz w:val="24"/>
                <w:szCs w:val="24"/>
              </w:rPr>
              <w:t>264</w:t>
            </w:r>
          </w:p>
        </w:tc>
      </w:tr>
      <w:tr w:rsidR="0018439B" w14:paraId="08BA3DCA" w14:textId="77777777">
        <w:trPr>
          <w:cantSplit/>
        </w:trPr>
        <w:tc>
          <w:tcPr>
            <w:tcW w:w="2368" w:type="dxa"/>
            <w:vMerge w:val="restart"/>
            <w:tcBorders>
              <w:top w:val="single" w:sz="8" w:space="0" w:color="AEAEAE"/>
              <w:left w:val="nil"/>
              <w:bottom w:val="single" w:sz="8" w:space="0" w:color="152935"/>
              <w:right w:val="nil"/>
            </w:tcBorders>
            <w:shd w:val="clear" w:color="auto" w:fill="E0E0E0"/>
            <w:tcMar>
              <w:top w:w="0" w:type="dxa"/>
              <w:bottom w:w="0" w:type="dxa"/>
            </w:tcMar>
          </w:tcPr>
          <w:p w14:paraId="05199A7D" w14:textId="77777777" w:rsidR="0018439B" w:rsidRDefault="000B4639">
            <w:pPr>
              <w:rPr>
                <w:sz w:val="24"/>
                <w:szCs w:val="24"/>
              </w:rPr>
            </w:pPr>
            <w:r>
              <w:rPr>
                <w:sz w:val="24"/>
                <w:szCs w:val="24"/>
              </w:rPr>
              <w:t>Students personal issues</w:t>
            </w:r>
          </w:p>
        </w:tc>
        <w:tc>
          <w:tcPr>
            <w:tcW w:w="1999" w:type="dxa"/>
            <w:tcBorders>
              <w:top w:val="single" w:sz="8" w:space="0" w:color="AEAEAE"/>
              <w:left w:val="nil"/>
              <w:bottom w:val="single" w:sz="8" w:space="0" w:color="AEAEAE"/>
              <w:right w:val="nil"/>
            </w:tcBorders>
            <w:shd w:val="clear" w:color="auto" w:fill="E0E0E0"/>
            <w:tcMar>
              <w:top w:w="0" w:type="dxa"/>
              <w:bottom w:w="0" w:type="dxa"/>
            </w:tcMar>
          </w:tcPr>
          <w:p w14:paraId="424862FC" w14:textId="77777777" w:rsidR="0018439B" w:rsidRDefault="000B4639">
            <w:pPr>
              <w:rPr>
                <w:sz w:val="24"/>
                <w:szCs w:val="24"/>
              </w:rPr>
            </w:pPr>
            <w:r>
              <w:rPr>
                <w:sz w:val="24"/>
                <w:szCs w:val="24"/>
              </w:rPr>
              <w:t>Pearson Correlation</w:t>
            </w:r>
          </w:p>
        </w:tc>
        <w:tc>
          <w:tcPr>
            <w:tcW w:w="1729"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6E0A3283" w14:textId="77777777" w:rsidR="0018439B" w:rsidRDefault="000B4639">
            <w:pPr>
              <w:rPr>
                <w:sz w:val="24"/>
                <w:szCs w:val="24"/>
              </w:rPr>
            </w:pPr>
            <w:r>
              <w:rPr>
                <w:sz w:val="24"/>
                <w:szCs w:val="24"/>
              </w:rPr>
              <w:t>.510</w:t>
            </w:r>
            <w:r>
              <w:rPr>
                <w:sz w:val="24"/>
                <w:szCs w:val="24"/>
                <w:vertAlign w:val="superscript"/>
              </w:rPr>
              <w:t>**</w:t>
            </w:r>
          </w:p>
        </w:tc>
        <w:tc>
          <w:tcPr>
            <w:tcW w:w="2551"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1840CB0C" w14:textId="77777777" w:rsidR="0018439B" w:rsidRDefault="000B4639">
            <w:pPr>
              <w:rPr>
                <w:sz w:val="24"/>
                <w:szCs w:val="24"/>
              </w:rPr>
            </w:pPr>
            <w:r>
              <w:rPr>
                <w:sz w:val="24"/>
                <w:szCs w:val="24"/>
              </w:rPr>
              <w:t>1</w:t>
            </w:r>
          </w:p>
        </w:tc>
      </w:tr>
      <w:tr w:rsidR="0018439B" w14:paraId="3C100A53" w14:textId="77777777">
        <w:trPr>
          <w:cantSplit/>
        </w:trPr>
        <w:tc>
          <w:tcPr>
            <w:tcW w:w="2368" w:type="dxa"/>
            <w:vMerge/>
            <w:tcBorders>
              <w:top w:val="single" w:sz="8" w:space="0" w:color="AEAEAE"/>
              <w:left w:val="nil"/>
              <w:bottom w:val="single" w:sz="8" w:space="0" w:color="152935"/>
              <w:right w:val="nil"/>
            </w:tcBorders>
            <w:shd w:val="clear" w:color="auto" w:fill="E0E0E0"/>
            <w:tcMar>
              <w:top w:w="0" w:type="dxa"/>
              <w:bottom w:w="0" w:type="dxa"/>
            </w:tcMar>
          </w:tcPr>
          <w:p w14:paraId="6BE12B39" w14:textId="77777777" w:rsidR="0018439B" w:rsidRDefault="0018439B">
            <w:pPr>
              <w:pBdr>
                <w:top w:val="nil"/>
                <w:left w:val="nil"/>
                <w:bottom w:val="nil"/>
                <w:right w:val="nil"/>
                <w:between w:val="nil"/>
              </w:pBdr>
              <w:spacing w:line="276" w:lineRule="auto"/>
              <w:rPr>
                <w:sz w:val="24"/>
                <w:szCs w:val="24"/>
              </w:rPr>
            </w:pPr>
          </w:p>
        </w:tc>
        <w:tc>
          <w:tcPr>
            <w:tcW w:w="1999" w:type="dxa"/>
            <w:tcBorders>
              <w:top w:val="single" w:sz="8" w:space="0" w:color="AEAEAE"/>
              <w:left w:val="nil"/>
              <w:bottom w:val="single" w:sz="8" w:space="0" w:color="AEAEAE"/>
              <w:right w:val="nil"/>
            </w:tcBorders>
            <w:shd w:val="clear" w:color="auto" w:fill="E0E0E0"/>
            <w:tcMar>
              <w:top w:w="0" w:type="dxa"/>
              <w:bottom w:w="0" w:type="dxa"/>
            </w:tcMar>
          </w:tcPr>
          <w:p w14:paraId="3844166E" w14:textId="77777777" w:rsidR="0018439B" w:rsidRDefault="000B4639">
            <w:pPr>
              <w:rPr>
                <w:sz w:val="24"/>
                <w:szCs w:val="24"/>
              </w:rPr>
            </w:pPr>
            <w:r>
              <w:rPr>
                <w:sz w:val="24"/>
                <w:szCs w:val="24"/>
              </w:rPr>
              <w:t>Sig. (2-tailed)</w:t>
            </w:r>
          </w:p>
        </w:tc>
        <w:tc>
          <w:tcPr>
            <w:tcW w:w="1729"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271D4305" w14:textId="77777777" w:rsidR="0018439B" w:rsidRDefault="000B4639">
            <w:pPr>
              <w:rPr>
                <w:sz w:val="24"/>
                <w:szCs w:val="24"/>
              </w:rPr>
            </w:pPr>
            <w:r>
              <w:rPr>
                <w:sz w:val="24"/>
                <w:szCs w:val="24"/>
              </w:rPr>
              <w:t>.000</w:t>
            </w:r>
          </w:p>
        </w:tc>
        <w:tc>
          <w:tcPr>
            <w:tcW w:w="2551" w:type="dxa"/>
            <w:tcBorders>
              <w:top w:val="single" w:sz="8" w:space="0" w:color="AEAEAE"/>
              <w:left w:val="single" w:sz="8" w:space="0" w:color="E0E0E0"/>
              <w:bottom w:val="single" w:sz="8" w:space="0" w:color="AEAEAE"/>
              <w:right w:val="nil"/>
            </w:tcBorders>
            <w:shd w:val="clear" w:color="auto" w:fill="F9F9FB"/>
            <w:tcMar>
              <w:top w:w="0" w:type="dxa"/>
              <w:bottom w:w="0" w:type="dxa"/>
            </w:tcMar>
            <w:vAlign w:val="center"/>
          </w:tcPr>
          <w:p w14:paraId="28A0CE1E" w14:textId="77777777" w:rsidR="0018439B" w:rsidRDefault="0018439B">
            <w:pPr>
              <w:rPr>
                <w:sz w:val="24"/>
                <w:szCs w:val="24"/>
              </w:rPr>
            </w:pPr>
          </w:p>
        </w:tc>
      </w:tr>
      <w:tr w:rsidR="0018439B" w14:paraId="29FD0173" w14:textId="77777777">
        <w:trPr>
          <w:cantSplit/>
        </w:trPr>
        <w:tc>
          <w:tcPr>
            <w:tcW w:w="2368" w:type="dxa"/>
            <w:vMerge/>
            <w:tcBorders>
              <w:top w:val="single" w:sz="8" w:space="0" w:color="AEAEAE"/>
              <w:left w:val="nil"/>
              <w:bottom w:val="single" w:sz="8" w:space="0" w:color="152935"/>
              <w:right w:val="nil"/>
            </w:tcBorders>
            <w:shd w:val="clear" w:color="auto" w:fill="E0E0E0"/>
            <w:tcMar>
              <w:top w:w="0" w:type="dxa"/>
              <w:bottom w:w="0" w:type="dxa"/>
            </w:tcMar>
          </w:tcPr>
          <w:p w14:paraId="4E68D92F" w14:textId="77777777" w:rsidR="0018439B" w:rsidRDefault="0018439B">
            <w:pPr>
              <w:pBdr>
                <w:top w:val="nil"/>
                <w:left w:val="nil"/>
                <w:bottom w:val="nil"/>
                <w:right w:val="nil"/>
                <w:between w:val="nil"/>
              </w:pBdr>
              <w:spacing w:line="276" w:lineRule="auto"/>
              <w:rPr>
                <w:sz w:val="24"/>
                <w:szCs w:val="24"/>
              </w:rPr>
            </w:pPr>
          </w:p>
        </w:tc>
        <w:tc>
          <w:tcPr>
            <w:tcW w:w="1999" w:type="dxa"/>
            <w:tcBorders>
              <w:top w:val="single" w:sz="8" w:space="0" w:color="AEAEAE"/>
              <w:left w:val="nil"/>
              <w:bottom w:val="single" w:sz="8" w:space="0" w:color="152935"/>
              <w:right w:val="nil"/>
            </w:tcBorders>
            <w:shd w:val="clear" w:color="auto" w:fill="E0E0E0"/>
            <w:tcMar>
              <w:top w:w="0" w:type="dxa"/>
              <w:bottom w:w="0" w:type="dxa"/>
            </w:tcMar>
          </w:tcPr>
          <w:p w14:paraId="2760C168" w14:textId="77777777" w:rsidR="0018439B" w:rsidRDefault="000B4639">
            <w:pPr>
              <w:rPr>
                <w:sz w:val="24"/>
                <w:szCs w:val="24"/>
              </w:rPr>
            </w:pPr>
            <w:r>
              <w:rPr>
                <w:sz w:val="24"/>
                <w:szCs w:val="24"/>
              </w:rPr>
              <w:t>N</w:t>
            </w:r>
          </w:p>
        </w:tc>
        <w:tc>
          <w:tcPr>
            <w:tcW w:w="1729" w:type="dxa"/>
            <w:tcBorders>
              <w:top w:val="single" w:sz="8" w:space="0" w:color="AEAEAE"/>
              <w:left w:val="nil"/>
              <w:bottom w:val="single" w:sz="8" w:space="0" w:color="152935"/>
              <w:right w:val="single" w:sz="8" w:space="0" w:color="E0E0E0"/>
            </w:tcBorders>
            <w:shd w:val="clear" w:color="auto" w:fill="F9F9FB"/>
            <w:tcMar>
              <w:top w:w="0" w:type="dxa"/>
              <w:bottom w:w="0" w:type="dxa"/>
            </w:tcMar>
          </w:tcPr>
          <w:p w14:paraId="45E88ABF" w14:textId="77777777" w:rsidR="0018439B" w:rsidRDefault="000B4639">
            <w:pPr>
              <w:rPr>
                <w:sz w:val="24"/>
                <w:szCs w:val="24"/>
              </w:rPr>
            </w:pPr>
            <w:r>
              <w:rPr>
                <w:sz w:val="24"/>
                <w:szCs w:val="24"/>
              </w:rPr>
              <w:t>264</w:t>
            </w:r>
          </w:p>
        </w:tc>
        <w:tc>
          <w:tcPr>
            <w:tcW w:w="2551" w:type="dxa"/>
            <w:tcBorders>
              <w:top w:val="single" w:sz="8" w:space="0" w:color="AEAEAE"/>
              <w:left w:val="single" w:sz="8" w:space="0" w:color="E0E0E0"/>
              <w:bottom w:val="single" w:sz="8" w:space="0" w:color="152935"/>
              <w:right w:val="nil"/>
            </w:tcBorders>
            <w:shd w:val="clear" w:color="auto" w:fill="F9F9FB"/>
            <w:tcMar>
              <w:top w:w="0" w:type="dxa"/>
              <w:bottom w:w="0" w:type="dxa"/>
            </w:tcMar>
          </w:tcPr>
          <w:p w14:paraId="051FA4AC" w14:textId="77777777" w:rsidR="0018439B" w:rsidRDefault="000B4639">
            <w:pPr>
              <w:rPr>
                <w:sz w:val="24"/>
                <w:szCs w:val="24"/>
              </w:rPr>
            </w:pPr>
            <w:r>
              <w:rPr>
                <w:sz w:val="24"/>
                <w:szCs w:val="24"/>
              </w:rPr>
              <w:t>264</w:t>
            </w:r>
          </w:p>
        </w:tc>
      </w:tr>
      <w:tr w:rsidR="0018439B" w14:paraId="696E0D48" w14:textId="77777777">
        <w:trPr>
          <w:cantSplit/>
        </w:trPr>
        <w:tc>
          <w:tcPr>
            <w:tcW w:w="8647" w:type="dxa"/>
            <w:gridSpan w:val="4"/>
            <w:tcBorders>
              <w:top w:val="nil"/>
              <w:left w:val="nil"/>
              <w:bottom w:val="nil"/>
              <w:right w:val="nil"/>
            </w:tcBorders>
            <w:shd w:val="clear" w:color="auto" w:fill="FFFFFF"/>
            <w:tcMar>
              <w:top w:w="0" w:type="dxa"/>
              <w:bottom w:w="0" w:type="dxa"/>
            </w:tcMar>
          </w:tcPr>
          <w:p w14:paraId="6A2D5DA2" w14:textId="77777777" w:rsidR="0018439B" w:rsidRDefault="000B4639">
            <w:pPr>
              <w:rPr>
                <w:sz w:val="24"/>
                <w:szCs w:val="24"/>
              </w:rPr>
            </w:pPr>
            <w:r>
              <w:rPr>
                <w:sz w:val="24"/>
                <w:szCs w:val="24"/>
              </w:rPr>
              <w:t xml:space="preserve">**. Correlation is significant at the 0.05 level </w:t>
            </w:r>
            <w:r>
              <w:rPr>
                <w:sz w:val="24"/>
                <w:szCs w:val="24"/>
              </w:rPr>
              <w:t>(2-tailed).</w:t>
            </w:r>
          </w:p>
        </w:tc>
      </w:tr>
    </w:tbl>
    <w:p w14:paraId="3E005F8B" w14:textId="77777777" w:rsidR="0018439B" w:rsidRDefault="0018439B">
      <w:pPr>
        <w:spacing w:before="1"/>
        <w:jc w:val="both"/>
        <w:rPr>
          <w:b/>
          <w:sz w:val="24"/>
          <w:szCs w:val="24"/>
        </w:rPr>
      </w:pPr>
    </w:p>
    <w:p w14:paraId="5F25EB79" w14:textId="0FFF53AA" w:rsidR="0018439B" w:rsidRDefault="0009478F" w:rsidP="0006041B">
      <w:pPr>
        <w:spacing w:before="1"/>
        <w:jc w:val="both"/>
        <w:rPr>
          <w:sz w:val="24"/>
          <w:szCs w:val="24"/>
        </w:rPr>
      </w:pPr>
      <w:r w:rsidRPr="0009478F">
        <w:rPr>
          <w:bCs/>
          <w:sz w:val="24"/>
          <w:szCs w:val="24"/>
        </w:rPr>
        <w:t xml:space="preserve">The results show that </w:t>
      </w:r>
      <w:r w:rsidR="00EE3055">
        <w:rPr>
          <w:bCs/>
          <w:sz w:val="24"/>
          <w:szCs w:val="24"/>
        </w:rPr>
        <w:t xml:space="preserve">probability value (p-value) of 0.000 (represented as p&lt;0.01) was less than the threshold of 0.05. This meant that </w:t>
      </w:r>
      <w:r w:rsidRPr="0009478F">
        <w:rPr>
          <w:bCs/>
          <w:sz w:val="24"/>
          <w:szCs w:val="24"/>
        </w:rPr>
        <w:t xml:space="preserve">there was significant relationship between Students’ personal </w:t>
      </w:r>
      <w:r w:rsidR="00EE3055" w:rsidRPr="0009478F">
        <w:rPr>
          <w:bCs/>
          <w:sz w:val="24"/>
          <w:szCs w:val="24"/>
        </w:rPr>
        <w:t xml:space="preserve">issues </w:t>
      </w:r>
      <w:r w:rsidR="00EE3055">
        <w:rPr>
          <w:bCs/>
          <w:sz w:val="24"/>
          <w:szCs w:val="24"/>
        </w:rPr>
        <w:t>and</w:t>
      </w:r>
      <w:r w:rsidRPr="0009478F">
        <w:rPr>
          <w:bCs/>
          <w:sz w:val="24"/>
          <w:szCs w:val="24"/>
        </w:rPr>
        <w:t xml:space="preserve"> girls’ school dropout among public secondary schools in Garissa Township</w:t>
      </w:r>
      <w:r>
        <w:rPr>
          <w:bCs/>
          <w:sz w:val="24"/>
          <w:szCs w:val="24"/>
        </w:rPr>
        <w:t xml:space="preserve"> (p&lt;0.01). </w:t>
      </w:r>
      <w:r w:rsidR="00EE3055">
        <w:rPr>
          <w:bCs/>
          <w:sz w:val="24"/>
          <w:szCs w:val="24"/>
        </w:rPr>
        <w:t xml:space="preserve">correlation coefficient </w:t>
      </w:r>
      <w:r w:rsidR="0006041B">
        <w:rPr>
          <w:bCs/>
          <w:sz w:val="24"/>
          <w:szCs w:val="24"/>
        </w:rPr>
        <w:t xml:space="preserve">(r) was 0.510 which meant that </w:t>
      </w:r>
      <w:r>
        <w:rPr>
          <w:bCs/>
          <w:sz w:val="24"/>
          <w:szCs w:val="24"/>
        </w:rPr>
        <w:t>relationship was moderate (r=0.510)</w:t>
      </w:r>
      <w:r w:rsidR="0006041B">
        <w:rPr>
          <w:bCs/>
          <w:sz w:val="24"/>
          <w:szCs w:val="24"/>
        </w:rPr>
        <w:t xml:space="preserve"> since r was between 0.3 and 0.6. </w:t>
      </w:r>
      <w:r>
        <w:rPr>
          <w:sz w:val="24"/>
          <w:szCs w:val="24"/>
        </w:rPr>
        <w:t>This means that as personal issues faced by students increase, there is a corresponding increase in dropout rates, suggesting that personal challenges significantly influence the likelihood of students discontinuing their education.</w:t>
      </w:r>
    </w:p>
    <w:p w14:paraId="4CC76E6D" w14:textId="77777777" w:rsidR="0018439B" w:rsidRDefault="000B4639">
      <w:pPr>
        <w:jc w:val="both"/>
        <w:rPr>
          <w:sz w:val="24"/>
          <w:szCs w:val="24"/>
        </w:rPr>
      </w:pPr>
      <w:r>
        <w:rPr>
          <w:sz w:val="24"/>
          <w:szCs w:val="24"/>
        </w:rPr>
        <w:t xml:space="preserve">The correlation coefficient (r = 0.510) reflects a moderate level of association, implying that while </w:t>
      </w:r>
      <w:r>
        <w:rPr>
          <w:sz w:val="24"/>
          <w:szCs w:val="24"/>
        </w:rPr>
        <w:t xml:space="preserve">personal issues are not the only factor affecting dropout rates, they are indeed an important contributor. This positive relationship suggests that addressing these personal issues, such as lack of mentorship, teenage pregnancy, poor academic performance, </w:t>
      </w:r>
      <w:r>
        <w:rPr>
          <w:sz w:val="24"/>
          <w:szCs w:val="24"/>
        </w:rPr>
        <w:t>and over-age enrolment, could have a significant impact on reducing dropout rates. Students who face these challenges are more likely to withdraw from school.</w:t>
      </w:r>
    </w:p>
    <w:p w14:paraId="38B99111" w14:textId="32909681" w:rsidR="0006041B" w:rsidRPr="00341A97" w:rsidRDefault="000B4639" w:rsidP="0006041B">
      <w:pPr>
        <w:jc w:val="both"/>
        <w:rPr>
          <w:sz w:val="24"/>
          <w:szCs w:val="24"/>
        </w:rPr>
      </w:pPr>
      <w:r>
        <w:rPr>
          <w:sz w:val="24"/>
          <w:szCs w:val="24"/>
        </w:rPr>
        <w:t xml:space="preserve">From the interview schedule, </w:t>
      </w:r>
      <w:r w:rsidR="0006041B">
        <w:rPr>
          <w:sz w:val="24"/>
          <w:szCs w:val="24"/>
        </w:rPr>
        <w:t xml:space="preserve">the participants </w:t>
      </w:r>
      <w:r>
        <w:rPr>
          <w:sz w:val="24"/>
          <w:szCs w:val="24"/>
        </w:rPr>
        <w:t>offered students’ personal issues as having a moder</w:t>
      </w:r>
      <w:r>
        <w:rPr>
          <w:sz w:val="24"/>
          <w:szCs w:val="24"/>
        </w:rPr>
        <w:t xml:space="preserve">ate contribution to school dropout by girls in their school. </w:t>
      </w:r>
      <w:r w:rsidR="0006041B">
        <w:rPr>
          <w:sz w:val="24"/>
          <w:szCs w:val="24"/>
        </w:rPr>
        <w:t xml:space="preserve">It was shown that </w:t>
      </w:r>
      <w:r>
        <w:rPr>
          <w:sz w:val="24"/>
          <w:szCs w:val="24"/>
        </w:rPr>
        <w:t>students’ personal issues had a high contribution to school dropout by girls.</w:t>
      </w:r>
      <w:r w:rsidR="0006041B">
        <w:rPr>
          <w:sz w:val="24"/>
          <w:szCs w:val="24"/>
        </w:rPr>
        <w:t xml:space="preserve"> These results align with previous studies, such as those by </w:t>
      </w:r>
      <w:proofErr w:type="spellStart"/>
      <w:r w:rsidR="0006041B">
        <w:rPr>
          <w:sz w:val="24"/>
          <w:szCs w:val="24"/>
        </w:rPr>
        <w:t>Vushe</w:t>
      </w:r>
      <w:proofErr w:type="spellEnd"/>
      <w:r w:rsidR="0006041B">
        <w:rPr>
          <w:sz w:val="24"/>
          <w:szCs w:val="24"/>
        </w:rPr>
        <w:t xml:space="preserve"> (2018) and Asif et al. (2021), reinforcing the importance of addressing personal factors like mentorship, academic struggles, and other individual challenges to reduce dropout rates. Therefore, it is crucial for schools and relevant stakeholders to provide comprehensive </w:t>
      </w:r>
      <w:r w:rsidR="0006041B" w:rsidRPr="00341A97">
        <w:rPr>
          <w:sz w:val="24"/>
          <w:szCs w:val="24"/>
        </w:rPr>
        <w:t>support systems, including mentorship and targeted interventions, to mitigate the effects of these personal issues on girls' education.</w:t>
      </w:r>
    </w:p>
    <w:p w14:paraId="42C9301F" w14:textId="77777777" w:rsidR="00341A97" w:rsidRPr="00341A97" w:rsidRDefault="00341A97" w:rsidP="0006041B">
      <w:pPr>
        <w:jc w:val="both"/>
        <w:rPr>
          <w:sz w:val="24"/>
          <w:szCs w:val="24"/>
        </w:rPr>
      </w:pPr>
    </w:p>
    <w:p w14:paraId="4FA44186" w14:textId="6E546231" w:rsidR="00341A97" w:rsidRPr="00341A97" w:rsidRDefault="00341A97" w:rsidP="00341A97">
      <w:pPr>
        <w:pStyle w:val="Heading2"/>
        <w:rPr>
          <w:rFonts w:ascii="Times New Roman" w:hAnsi="Times New Roman" w:cs="Times New Roman"/>
          <w:b/>
          <w:bCs/>
          <w:color w:val="auto"/>
          <w:sz w:val="24"/>
          <w:szCs w:val="24"/>
        </w:rPr>
      </w:pPr>
      <w:r w:rsidRPr="00341A97">
        <w:rPr>
          <w:rFonts w:ascii="Times New Roman" w:hAnsi="Times New Roman" w:cs="Times New Roman"/>
          <w:b/>
          <w:bCs/>
          <w:color w:val="auto"/>
          <w:sz w:val="24"/>
          <w:szCs w:val="24"/>
        </w:rPr>
        <w:t>DISCUSSIONS OF FINDINGS</w:t>
      </w:r>
    </w:p>
    <w:p w14:paraId="139509F2" w14:textId="77777777" w:rsidR="00341A97" w:rsidRDefault="00341A97" w:rsidP="00341A97">
      <w:pPr>
        <w:jc w:val="both"/>
        <w:rPr>
          <w:sz w:val="24"/>
          <w:szCs w:val="24"/>
        </w:rPr>
      </w:pPr>
    </w:p>
    <w:p w14:paraId="5A47F3DD" w14:textId="00E5ABE3" w:rsidR="00BF0F79" w:rsidRPr="00BF0F79" w:rsidRDefault="00341A97" w:rsidP="00BF0F79">
      <w:pPr>
        <w:jc w:val="both"/>
        <w:rPr>
          <w:sz w:val="24"/>
          <w:szCs w:val="24"/>
        </w:rPr>
      </w:pPr>
      <w:r w:rsidRPr="00341A97">
        <w:rPr>
          <w:sz w:val="24"/>
          <w:szCs w:val="24"/>
        </w:rPr>
        <w:t>The results of this study indicate a statistically significant relationship between students’ personal issues and girls’ school dropout in public secondary schools within Garissa Township. The p-value of 0.000 (p &lt; 0.01) confirms that this relationship is not due to chance and is statistically significant at the 1% level. The correlation coefficient (r = 0.510) further suggests a moderate positive correlation, indicating that as personal challenges among students increase, there is a corresponding increase in the likelihood of school dropout among girls.</w:t>
      </w:r>
      <w:r w:rsidR="00BF0F79">
        <w:rPr>
          <w:sz w:val="24"/>
          <w:szCs w:val="24"/>
        </w:rPr>
        <w:t xml:space="preserve"> </w:t>
      </w:r>
      <w:r w:rsidR="00BF0F79" w:rsidRPr="00BF0F79">
        <w:rPr>
          <w:sz w:val="24"/>
          <w:szCs w:val="24"/>
        </w:rPr>
        <w:t xml:space="preserve">In the current study, poor academic performance was found to be the result of personal issues leading to girls' school dropout. It was viewed as a significant challenge by some of the participants, while others did not regard it as a significant dropout factor. This finding is also comparable to Asif et al.'s (2021) work, in which they examined dropout factors in Malakand District, Pakistan. Their research found that </w:t>
      </w:r>
      <w:r w:rsidR="00BF0F79" w:rsidRPr="00BF0F79">
        <w:rPr>
          <w:sz w:val="24"/>
          <w:szCs w:val="24"/>
        </w:rPr>
        <w:lastRenderedPageBreak/>
        <w:t>academic failure was one of the significant personal factors that led to students dropping out of school. Students who struggled to understand course materials, memorize, and pass exams were more likely to drop out. Similarly, Coyle (2009) emphasized that failing to pass exams and having to repeat grades is a significant factor that results in student dropout. Students lose interest and self-confidence when they do not perform well academically, leading them to withdraw from school. These findings confirm the view that poor academic performance, even if not always identified as the most serious issue, is a root cause of most dropout cases. Furthermore, Vushe (2018) also identified poor academic performance as a personal obstacle to school retention. In her qualitative study in South Africa, academically underachieving students constantly felt shame and frustration, and as a result, they dropped out of school.</w:t>
      </w:r>
    </w:p>
    <w:p w14:paraId="15634B91" w14:textId="77777777" w:rsidR="00BF0F79" w:rsidRPr="00BF0F79" w:rsidRDefault="00BF0F79" w:rsidP="00BF0F79">
      <w:pPr>
        <w:jc w:val="both"/>
        <w:rPr>
          <w:sz w:val="24"/>
          <w:szCs w:val="24"/>
        </w:rPr>
      </w:pPr>
      <w:r w:rsidRPr="00BF0F79">
        <w:rPr>
          <w:sz w:val="24"/>
          <w:szCs w:val="24"/>
        </w:rPr>
        <w:t>The findings of the current study show that the participants had differing opinions about the seriousness of teenage pregnancy as a cause of school dropout. While some considered it serious, others did not see it as a primary reason why girls drop out of school. This variation is consistent with work by Kisaka (2015), who examined education for girls in Garissa and Ijara Constituencies in Kenya. Kisaka (2015) noted girls face unique gendered pressures, including early marriage and pregnancy, which disrupt their schooling. Girls are socialized to take on domesticated roles, and pregnancy can solidify this role, making a return to school less likely. Vushe (2018) also confirmed that adolescent pregnancy was one of the individual causes of dropout. From her study, it was clear that social stigma, fear of judgment, and the absence of support for teenage mothers forced girls to drop out of school even when they were willing to proceed with their education. While the current study did not find a consensus of how significant teen pregnancy is, the comparison with these empirical research pieces shows that it remains a serious and complex issue, influenced by cultural norms, family support systems, and school re-entry policies for pregnant teens and young mothers.</w:t>
      </w:r>
    </w:p>
    <w:p w14:paraId="1D56AAD5" w14:textId="77777777" w:rsidR="00BF0F79" w:rsidRPr="00BF0F79" w:rsidRDefault="00BF0F79" w:rsidP="00BF0F79">
      <w:pPr>
        <w:jc w:val="both"/>
        <w:rPr>
          <w:sz w:val="24"/>
          <w:szCs w:val="24"/>
        </w:rPr>
      </w:pPr>
      <w:r w:rsidRPr="00BF0F79">
        <w:rPr>
          <w:sz w:val="24"/>
          <w:szCs w:val="24"/>
        </w:rPr>
        <w:t>Among all the personal issues listed, lack of mentorship received the most varied responses from the participants. Some strongly believed it was a major problem, yet others didn't. This may be due to differing levels of exposure to mentorship programs or role models within the community. The necessity of mentorship is strongly championed by Vushe (2018), who emphasized the role of individual guidance and support in keeping students engaged in school. That study found that students who lacked role models or adult confidants were more likely to drop out. Without parent, teacher, or community support and urging, many students felt they had no one to support their educational goals. In Kisaka's (2015) study in Garissa and Ijara, low value and motivation for girls' education were also explained by the absence of mentorship and support structures. Girls were neither counseled nor sufficiently motivated to see education as a long-term goal, leaving them vulnerable to other external pressures such as peer influence, early marriage, or domestic work. Whereas Asif et al. (2021) placed more focus on academic and personal issues, the absence of personal mentorship or direction can be cited as a contributing factor in some of the attention and motivation shortfalls that their study revealed. Collectively, these studies highlight the important part that mentorship,  or the lack thereof,  plays in the development of students' sense of direction and their ability to stay in school. The variation in participant attitudes in the current study may reflect differences in community awareness or availability of such mentorship programs.</w:t>
      </w:r>
    </w:p>
    <w:p w14:paraId="20E466DA" w14:textId="77777777" w:rsidR="00BF0F79" w:rsidRPr="00BF0F79" w:rsidRDefault="00BF0F79" w:rsidP="00BF0F79">
      <w:pPr>
        <w:jc w:val="both"/>
        <w:rPr>
          <w:sz w:val="24"/>
          <w:szCs w:val="24"/>
        </w:rPr>
      </w:pPr>
      <w:r w:rsidRPr="00BF0F79">
        <w:rPr>
          <w:sz w:val="24"/>
          <w:szCs w:val="24"/>
        </w:rPr>
        <w:t xml:space="preserve">In the current study, over-age attendance was viewed as a moderately severe problem with relatively homogeneous attitudes among respondents. Many agreed that being significantly older than classmates could lead to embarrassment, social discomfort, or even stigmatization, which could drive students, particularly girls,  to drop out. This finding is consistent with the study of </w:t>
      </w:r>
      <w:r w:rsidRPr="00BF0F79">
        <w:rPr>
          <w:sz w:val="24"/>
          <w:szCs w:val="24"/>
        </w:rPr>
        <w:lastRenderedPageBreak/>
        <w:t>Asif et al. (2021), which found age to be one of the individual factors that contributed significantly to dropout. Students who were older than their peers were likely to feel embarrassed or discouraged from continuing education. Older students were also under pressure to start working or take on adult responsibilities, which worked to render continued schooling irrelevant. Vushe (2018) also discovered grade repetition and the resulting age discrepancy to be a source of shame and low self-esteem for learners, particularly during the upper secondary school years. It made students more vulnerable to dropping out, especially when it was combined with other social stresses. Although Kisaka (2015) did not discuss age specifically, her findings about the premium placed on traditional roles for females also suggest that over-age females will be under more pressure to fulfill societal roles than to be in school.</w:t>
      </w:r>
    </w:p>
    <w:p w14:paraId="754A78E2" w14:textId="77777777" w:rsidR="00BF0F79" w:rsidRPr="00BF0F79" w:rsidRDefault="00BF0F79" w:rsidP="00BF0F79">
      <w:pPr>
        <w:jc w:val="both"/>
        <w:rPr>
          <w:sz w:val="24"/>
          <w:szCs w:val="24"/>
        </w:rPr>
      </w:pPr>
      <w:r w:rsidRPr="00BF0F79">
        <w:rPr>
          <w:sz w:val="24"/>
          <w:szCs w:val="24"/>
        </w:rPr>
        <w:t>Each of the specific issues explored in this study, teen pregnancy, lack of mentorship, and over-age attendance, has been demonstrated to influence girls' dropping out of secondary school. These findings are largely corroborated by previous empirical research, which confirms that personal and individual-level problems are major determinants of dropout. Despite the discrepancy of perceptions, when considered collectively and in light of the literature, these issues form a pattern of vulnerability that affects many girls in the education system, especially in marginalized or disadvantaged communities.</w:t>
      </w:r>
    </w:p>
    <w:p w14:paraId="0C5E96C3" w14:textId="77777777" w:rsidR="006A2782" w:rsidRPr="006A2782" w:rsidRDefault="006A2782" w:rsidP="006A2782">
      <w:pPr>
        <w:jc w:val="both"/>
        <w:rPr>
          <w:sz w:val="24"/>
          <w:szCs w:val="24"/>
        </w:rPr>
      </w:pPr>
      <w:r w:rsidRPr="006A2782">
        <w:rPr>
          <w:sz w:val="24"/>
          <w:szCs w:val="24"/>
        </w:rPr>
        <w:t>This finding indicates that personal problems play a strong but not exclusive role in making dropout rates. The relationship is not so intense that personal problems must be the sole contributors, but it does find that they are important contributors that must be addressed if dropout rates are to fall. This aligns with the perceptions of the majority of participants in the study, who ranked a list of personal problems on a range of seriousness.</w:t>
      </w:r>
    </w:p>
    <w:p w14:paraId="62A7D266" w14:textId="7AA48D72" w:rsidR="0018439B" w:rsidRPr="006A2782" w:rsidRDefault="006A2782" w:rsidP="006A2782">
      <w:pPr>
        <w:jc w:val="both"/>
        <w:rPr>
          <w:sz w:val="24"/>
          <w:szCs w:val="24"/>
        </w:rPr>
      </w:pPr>
      <w:r w:rsidRPr="006A2782">
        <w:rPr>
          <w:sz w:val="24"/>
          <w:szCs w:val="24"/>
        </w:rPr>
        <w:t>These findings highlight that while seriousness of every individual problem was viewed differently by the respondents, there is consensus that these difficulties all contribute in varying degrees to school dropout among girls. Such difficulties as lack of mentorship, teen pregnancy, poor performance, and being over-age are contributory in varying degrees. To facilitate achieving the reduction of dropout rates among girls, intervention directly against such individual challenges has to be adopted. This can entail mentorship programs, academic support services to students, reproductive health education, and flexible entry and enrollment policy for older students. Sensitization of the community is also necessary to change the cultural mind-sets and instill the value of girls' education, hence creating an enabling environment for their academic achievement in school.</w:t>
      </w:r>
      <w:r>
        <w:rPr>
          <w:sz w:val="24"/>
          <w:szCs w:val="24"/>
        </w:rPr>
        <w:t xml:space="preserve"> </w:t>
      </w:r>
      <w:r w:rsidR="00BF0F79" w:rsidRPr="00BF0F79">
        <w:rPr>
          <w:sz w:val="24"/>
          <w:szCs w:val="24"/>
        </w:rPr>
        <w:t xml:space="preserve">To combat dropout, it is necessary to confront these personal problems with complex interventions, such as academic assistance, access to mentoring, reproductive health education, flexible policies for older students, and community initiatives that work to change cultural norms. </w:t>
      </w:r>
    </w:p>
    <w:p w14:paraId="678CDA15" w14:textId="77777777" w:rsidR="0017436D" w:rsidRDefault="0017436D">
      <w:pPr>
        <w:pBdr>
          <w:top w:val="nil"/>
          <w:left w:val="nil"/>
          <w:bottom w:val="nil"/>
          <w:right w:val="nil"/>
          <w:between w:val="nil"/>
        </w:pBdr>
        <w:spacing w:before="1"/>
        <w:jc w:val="both"/>
        <w:rPr>
          <w:b/>
          <w:sz w:val="24"/>
          <w:szCs w:val="24"/>
        </w:rPr>
      </w:pPr>
    </w:p>
    <w:p w14:paraId="5B3F76B5" w14:textId="2B5B45AD" w:rsidR="0018439B" w:rsidRDefault="000B4639">
      <w:pPr>
        <w:pBdr>
          <w:top w:val="nil"/>
          <w:left w:val="nil"/>
          <w:bottom w:val="nil"/>
          <w:right w:val="nil"/>
          <w:between w:val="nil"/>
        </w:pBdr>
        <w:spacing w:before="1"/>
        <w:jc w:val="both"/>
        <w:rPr>
          <w:b/>
          <w:sz w:val="24"/>
          <w:szCs w:val="24"/>
        </w:rPr>
      </w:pPr>
      <w:r>
        <w:rPr>
          <w:b/>
          <w:sz w:val="24"/>
          <w:szCs w:val="24"/>
        </w:rPr>
        <w:t>CONCLUSION</w:t>
      </w:r>
    </w:p>
    <w:p w14:paraId="2CB9EDEC" w14:textId="5D358D1B" w:rsidR="0018439B" w:rsidRDefault="0006041B" w:rsidP="0006041B">
      <w:pPr>
        <w:spacing w:before="1"/>
        <w:jc w:val="both"/>
        <w:rPr>
          <w:sz w:val="24"/>
          <w:szCs w:val="24"/>
        </w:rPr>
      </w:pPr>
      <w:r w:rsidRPr="0009478F">
        <w:rPr>
          <w:bCs/>
          <w:sz w:val="24"/>
          <w:szCs w:val="24"/>
        </w:rPr>
        <w:t xml:space="preserve">The </w:t>
      </w:r>
      <w:r>
        <w:rPr>
          <w:bCs/>
          <w:sz w:val="24"/>
          <w:szCs w:val="24"/>
        </w:rPr>
        <w:t>study concludes that st</w:t>
      </w:r>
      <w:r w:rsidRPr="0009478F">
        <w:rPr>
          <w:bCs/>
          <w:sz w:val="24"/>
          <w:szCs w:val="24"/>
        </w:rPr>
        <w:t>udents’ personal issues</w:t>
      </w:r>
      <w:r>
        <w:rPr>
          <w:bCs/>
          <w:sz w:val="24"/>
          <w:szCs w:val="24"/>
        </w:rPr>
        <w:t xml:space="preserve"> have a statistically significant influence on</w:t>
      </w:r>
      <w:r w:rsidRPr="0009478F">
        <w:rPr>
          <w:bCs/>
          <w:sz w:val="24"/>
          <w:szCs w:val="24"/>
        </w:rPr>
        <w:t xml:space="preserve"> girls’ school dropout among public secondary schools in Garissa Township</w:t>
      </w:r>
      <w:r>
        <w:rPr>
          <w:bCs/>
          <w:sz w:val="24"/>
          <w:szCs w:val="24"/>
        </w:rPr>
        <w:t xml:space="preserve"> (p&lt;0.01; r=0.510). </w:t>
      </w:r>
      <w:r>
        <w:rPr>
          <w:sz w:val="24"/>
          <w:szCs w:val="24"/>
        </w:rPr>
        <w:t>The study highlighted the significant influence of students' personal issues on dropout rates among girls in public secondary schools in Garissa Township. The findings revealed that lack of mentorship was the most pressing personal issue contributing to the dropout rates, while teenage pregnancy was perceived as a less immediate concern. Despite this, all personal issues identified require attention to support students in overcoming challenges that could impede their academic success.</w:t>
      </w:r>
    </w:p>
    <w:p w14:paraId="0F5A8E12" w14:textId="736304BC" w:rsidR="0018439B" w:rsidRDefault="0018439B">
      <w:pPr>
        <w:jc w:val="both"/>
        <w:rPr>
          <w:sz w:val="24"/>
          <w:szCs w:val="24"/>
        </w:rPr>
      </w:pPr>
    </w:p>
    <w:p w14:paraId="20090DA0" w14:textId="77777777" w:rsidR="0018439B" w:rsidRDefault="0018439B">
      <w:pPr>
        <w:pBdr>
          <w:top w:val="nil"/>
          <w:left w:val="nil"/>
          <w:bottom w:val="nil"/>
          <w:right w:val="nil"/>
          <w:between w:val="nil"/>
        </w:pBdr>
        <w:spacing w:before="1"/>
        <w:jc w:val="both"/>
        <w:rPr>
          <w:color w:val="000000"/>
          <w:sz w:val="24"/>
          <w:szCs w:val="24"/>
        </w:rPr>
      </w:pPr>
    </w:p>
    <w:p w14:paraId="165C78BC" w14:textId="77777777" w:rsidR="0018439B" w:rsidRDefault="000B4639">
      <w:pPr>
        <w:pBdr>
          <w:top w:val="nil"/>
          <w:left w:val="nil"/>
          <w:bottom w:val="nil"/>
          <w:right w:val="nil"/>
          <w:between w:val="nil"/>
        </w:pBdr>
        <w:spacing w:before="1"/>
        <w:jc w:val="both"/>
        <w:rPr>
          <w:b/>
          <w:sz w:val="24"/>
          <w:szCs w:val="24"/>
        </w:rPr>
      </w:pPr>
      <w:r>
        <w:rPr>
          <w:b/>
          <w:sz w:val="24"/>
          <w:szCs w:val="24"/>
        </w:rPr>
        <w:lastRenderedPageBreak/>
        <w:t>RECOMMENDATION</w:t>
      </w:r>
    </w:p>
    <w:p w14:paraId="74909451" w14:textId="77777777" w:rsidR="0018439B" w:rsidRDefault="000B4639">
      <w:pPr>
        <w:jc w:val="both"/>
        <w:rPr>
          <w:sz w:val="24"/>
          <w:szCs w:val="24"/>
        </w:rPr>
      </w:pPr>
      <w:r>
        <w:rPr>
          <w:sz w:val="24"/>
          <w:szCs w:val="24"/>
        </w:rPr>
        <w:t xml:space="preserve">Given that lack of </w:t>
      </w:r>
      <w:r>
        <w:rPr>
          <w:sz w:val="24"/>
          <w:szCs w:val="24"/>
        </w:rPr>
        <w:t>mentorship emerged as the highest-rated personal issue, it is recommended that schools implement structured mentorship programs. These programs should pair students with teachers, senior students, or community members who can provide guidance, emotional su</w:t>
      </w:r>
      <w:r>
        <w:rPr>
          <w:sz w:val="24"/>
          <w:szCs w:val="24"/>
        </w:rPr>
        <w:t>pport, and career advice to help students navigate academic and personal challenges. The study also highlighted the importance of addressing students' personal issues. Schools should invest in strengthening guidance and counseling services, ensuring that c</w:t>
      </w:r>
      <w:r>
        <w:rPr>
          <w:sz w:val="24"/>
          <w:szCs w:val="24"/>
        </w:rPr>
        <w:t>ounselors are well-equipped to support students dealing with academic struggles, personal crises, and social challenges, including teenage pregnancy and family issues.</w:t>
      </w:r>
    </w:p>
    <w:p w14:paraId="43C41290" w14:textId="77777777" w:rsidR="0017436D" w:rsidRDefault="0017436D">
      <w:pPr>
        <w:jc w:val="both"/>
        <w:rPr>
          <w:sz w:val="24"/>
          <w:szCs w:val="24"/>
        </w:rPr>
      </w:pPr>
    </w:p>
    <w:p w14:paraId="77332131" w14:textId="77777777" w:rsidR="0017436D" w:rsidRDefault="0017436D">
      <w:pPr>
        <w:jc w:val="both"/>
        <w:rPr>
          <w:sz w:val="24"/>
          <w:szCs w:val="24"/>
        </w:rPr>
      </w:pPr>
    </w:p>
    <w:p w14:paraId="68DB1D86" w14:textId="77777777" w:rsidR="0017436D" w:rsidRDefault="0017436D">
      <w:pPr>
        <w:jc w:val="both"/>
        <w:rPr>
          <w:sz w:val="24"/>
          <w:szCs w:val="24"/>
        </w:rPr>
      </w:pPr>
    </w:p>
    <w:p w14:paraId="6AAB96C4" w14:textId="77777777" w:rsidR="0017436D" w:rsidRPr="0017436D" w:rsidRDefault="0017436D" w:rsidP="0017436D">
      <w:pPr>
        <w:jc w:val="both"/>
        <w:rPr>
          <w:sz w:val="24"/>
          <w:szCs w:val="24"/>
        </w:rPr>
      </w:pPr>
      <w:r w:rsidRPr="0017436D">
        <w:rPr>
          <w:sz w:val="24"/>
          <w:szCs w:val="24"/>
        </w:rPr>
        <w:t>COMPETING INTERESTS DISCLAIMER:</w:t>
      </w:r>
    </w:p>
    <w:p w14:paraId="17F7574C" w14:textId="53C3BB63" w:rsidR="0017436D" w:rsidRDefault="0017436D" w:rsidP="0017436D">
      <w:pPr>
        <w:jc w:val="both"/>
        <w:rPr>
          <w:sz w:val="24"/>
          <w:szCs w:val="24"/>
        </w:rPr>
      </w:pPr>
      <w:r w:rsidRPr="0017436D">
        <w:rPr>
          <w:sz w:val="24"/>
          <w:szCs w:val="24"/>
        </w:rPr>
        <w:t>Authors have declared that they have no known competing financial interests OR non-financial interests OR personal relationships that could have appeared to influence the work reported in this paper.</w:t>
      </w:r>
    </w:p>
    <w:p w14:paraId="6996E753" w14:textId="77777777" w:rsidR="0018439B" w:rsidRDefault="0018439B">
      <w:pPr>
        <w:jc w:val="both"/>
        <w:rPr>
          <w:b/>
          <w:sz w:val="24"/>
          <w:szCs w:val="24"/>
        </w:rPr>
      </w:pPr>
    </w:p>
    <w:p w14:paraId="5D355DC0" w14:textId="77777777" w:rsidR="0018439B" w:rsidRDefault="000B4639">
      <w:pPr>
        <w:jc w:val="both"/>
        <w:rPr>
          <w:b/>
          <w:sz w:val="24"/>
          <w:szCs w:val="24"/>
        </w:rPr>
      </w:pPr>
      <w:r>
        <w:rPr>
          <w:b/>
          <w:sz w:val="24"/>
          <w:szCs w:val="24"/>
        </w:rPr>
        <w:t>REFERENCES</w:t>
      </w:r>
    </w:p>
    <w:p w14:paraId="4A7E7947" w14:textId="77777777" w:rsidR="00EE7762" w:rsidRDefault="00EE7762" w:rsidP="00EE7762">
      <w:pPr>
        <w:spacing w:after="120"/>
        <w:ind w:hanging="720"/>
        <w:jc w:val="both"/>
        <w:rPr>
          <w:sz w:val="24"/>
          <w:szCs w:val="24"/>
        </w:rPr>
      </w:pPr>
      <w:r>
        <w:rPr>
          <w:sz w:val="24"/>
          <w:szCs w:val="24"/>
        </w:rPr>
        <w:t xml:space="preserve">Abisola, O. S., &amp; Taiwo, A. (2020). School Variables and Inclination towards Dropout of Secondary School Students: A Case Study. International. </w:t>
      </w:r>
      <w:r>
        <w:rPr>
          <w:i/>
          <w:sz w:val="24"/>
          <w:szCs w:val="24"/>
        </w:rPr>
        <w:t>Journal of Educational Excellence,</w:t>
      </w:r>
      <w:r>
        <w:rPr>
          <w:sz w:val="24"/>
          <w:szCs w:val="24"/>
        </w:rPr>
        <w:t>6</w:t>
      </w:r>
      <w:r>
        <w:rPr>
          <w:i/>
          <w:sz w:val="24"/>
          <w:szCs w:val="24"/>
        </w:rPr>
        <w:t>(</w:t>
      </w:r>
      <w:r>
        <w:rPr>
          <w:sz w:val="24"/>
          <w:szCs w:val="24"/>
        </w:rPr>
        <w:t xml:space="preserve">2),81-95 </w:t>
      </w:r>
    </w:p>
    <w:p w14:paraId="70FF7CAB" w14:textId="77777777" w:rsidR="00EE7762" w:rsidRDefault="00EE7762" w:rsidP="00EE7762">
      <w:pPr>
        <w:spacing w:after="120"/>
        <w:ind w:hanging="720"/>
        <w:jc w:val="both"/>
        <w:rPr>
          <w:sz w:val="24"/>
          <w:szCs w:val="24"/>
        </w:rPr>
      </w:pPr>
      <w:r>
        <w:rPr>
          <w:sz w:val="24"/>
          <w:szCs w:val="24"/>
        </w:rPr>
        <w:t xml:space="preserve"> </w:t>
      </w:r>
      <w:proofErr w:type="spellStart"/>
      <w:r>
        <w:rPr>
          <w:sz w:val="24"/>
          <w:szCs w:val="24"/>
        </w:rPr>
        <w:t>Abotsi</w:t>
      </w:r>
      <w:proofErr w:type="spellEnd"/>
      <w:r>
        <w:rPr>
          <w:sz w:val="24"/>
          <w:szCs w:val="24"/>
        </w:rPr>
        <w:t>, A. K., Yaganumah, N., &amp; Obeng, H. E. (2018). Dropouts Issues and its Economic Implications: Evidence from Rural Communities in Ghana. J</w:t>
      </w:r>
      <w:r>
        <w:rPr>
          <w:i/>
          <w:sz w:val="24"/>
          <w:szCs w:val="24"/>
        </w:rPr>
        <w:t>ournal of Economics and Economic Education Research</w:t>
      </w:r>
      <w:r>
        <w:rPr>
          <w:sz w:val="24"/>
          <w:szCs w:val="24"/>
        </w:rPr>
        <w:t>, 19(1), 1-13.</w:t>
      </w:r>
    </w:p>
    <w:p w14:paraId="145EB132" w14:textId="77777777" w:rsidR="00EE7762" w:rsidRDefault="00EE7762" w:rsidP="00EE7762">
      <w:pPr>
        <w:spacing w:after="120"/>
        <w:ind w:hanging="720"/>
        <w:jc w:val="both"/>
        <w:rPr>
          <w:sz w:val="24"/>
          <w:szCs w:val="24"/>
        </w:rPr>
      </w:pPr>
      <w:r>
        <w:rPr>
          <w:sz w:val="24"/>
          <w:szCs w:val="24"/>
        </w:rPr>
        <w:t>African Union. (2021). Continental Education Strategy for Africa 2016-2025.</w:t>
      </w:r>
    </w:p>
    <w:p w14:paraId="0FC0956C" w14:textId="77777777" w:rsidR="00EE7762" w:rsidRDefault="00EE7762" w:rsidP="00EE7762">
      <w:pPr>
        <w:spacing w:after="120"/>
        <w:ind w:hanging="720"/>
        <w:jc w:val="both"/>
        <w:rPr>
          <w:sz w:val="24"/>
          <w:szCs w:val="24"/>
        </w:rPr>
      </w:pPr>
      <w:r>
        <w:rPr>
          <w:sz w:val="24"/>
          <w:szCs w:val="24"/>
        </w:rPr>
        <w:t>Asif, M., Hayat, M., &amp; Khan, S. (2021). Factors Associated to High School Students Dropout in Malakand District, Pakistan.</w:t>
      </w:r>
      <w:r>
        <w:rPr>
          <w:i/>
          <w:sz w:val="24"/>
          <w:szCs w:val="24"/>
        </w:rPr>
        <w:t>Preprints,</w:t>
      </w:r>
      <w:r>
        <w:rPr>
          <w:sz w:val="24"/>
          <w:szCs w:val="24"/>
        </w:rPr>
        <w:t>1</w:t>
      </w:r>
    </w:p>
    <w:p w14:paraId="6A3103EF" w14:textId="77777777" w:rsidR="00EE7762" w:rsidRDefault="00EE7762" w:rsidP="00EE7762">
      <w:pPr>
        <w:spacing w:after="120"/>
        <w:ind w:hanging="720"/>
        <w:jc w:val="both"/>
        <w:rPr>
          <w:sz w:val="24"/>
          <w:szCs w:val="24"/>
        </w:rPr>
      </w:pPr>
      <w:r>
        <w:rPr>
          <w:sz w:val="24"/>
          <w:szCs w:val="24"/>
        </w:rPr>
        <w:t xml:space="preserve">Becker, G. S. (1964). Human capital: </w:t>
      </w:r>
      <w:r>
        <w:rPr>
          <w:i/>
          <w:sz w:val="24"/>
          <w:szCs w:val="24"/>
        </w:rPr>
        <w:t>A theoretical and empirical analysis, with special reference to education</w:t>
      </w:r>
      <w:r>
        <w:rPr>
          <w:sz w:val="24"/>
          <w:szCs w:val="24"/>
        </w:rPr>
        <w:t>. University of Chicago Press.</w:t>
      </w:r>
    </w:p>
    <w:p w14:paraId="7570CE66" w14:textId="77777777" w:rsidR="00EE7762" w:rsidRDefault="00EE7762" w:rsidP="00EE7762">
      <w:pPr>
        <w:spacing w:after="120"/>
        <w:ind w:hanging="720"/>
        <w:jc w:val="both"/>
        <w:rPr>
          <w:sz w:val="24"/>
          <w:szCs w:val="24"/>
        </w:rPr>
      </w:pPr>
      <w:r>
        <w:rPr>
          <w:sz w:val="24"/>
          <w:szCs w:val="24"/>
        </w:rPr>
        <w:t xml:space="preserve">Berger, Y. G., &amp; Torres, O. D. L. R. (2016). An empirical likelihood approach for inference under complex sampling design. </w:t>
      </w:r>
      <w:r>
        <w:rPr>
          <w:i/>
          <w:sz w:val="24"/>
          <w:szCs w:val="24"/>
        </w:rPr>
        <w:t>Journal of the Royal Statistical Society Series B 78</w:t>
      </w:r>
      <w:r>
        <w:rPr>
          <w:sz w:val="24"/>
          <w:szCs w:val="24"/>
        </w:rPr>
        <w:t>(2), 319–341.</w:t>
      </w:r>
    </w:p>
    <w:p w14:paraId="03AB1273" w14:textId="77777777" w:rsidR="00EE7762" w:rsidRDefault="00EE7762" w:rsidP="00EE7762">
      <w:pPr>
        <w:spacing w:after="120"/>
        <w:ind w:hanging="720"/>
        <w:jc w:val="both"/>
        <w:rPr>
          <w:sz w:val="24"/>
          <w:szCs w:val="24"/>
        </w:rPr>
      </w:pPr>
      <w:r>
        <w:rPr>
          <w:sz w:val="24"/>
          <w:szCs w:val="24"/>
        </w:rPr>
        <w:t>Bronfenbrenner, U. (1979). The ecology of human development: Experiments by nature and design. Harvard University Press.</w:t>
      </w:r>
    </w:p>
    <w:p w14:paraId="54EF6EC3" w14:textId="77777777" w:rsidR="00EE7762" w:rsidRDefault="00EE7762" w:rsidP="00EE7762">
      <w:pPr>
        <w:spacing w:after="120"/>
        <w:ind w:hanging="720"/>
        <w:jc w:val="both"/>
        <w:rPr>
          <w:sz w:val="24"/>
          <w:szCs w:val="24"/>
        </w:rPr>
      </w:pPr>
      <w:r>
        <w:rPr>
          <w:sz w:val="24"/>
          <w:szCs w:val="24"/>
        </w:rPr>
        <w:t xml:space="preserve">Bryman, A. &amp; Bell, E. (2019). </w:t>
      </w:r>
      <w:r>
        <w:rPr>
          <w:i/>
          <w:sz w:val="24"/>
          <w:szCs w:val="24"/>
        </w:rPr>
        <w:t>Business Research Methods.</w:t>
      </w:r>
      <w:r>
        <w:rPr>
          <w:sz w:val="24"/>
          <w:szCs w:val="24"/>
        </w:rPr>
        <w:t xml:space="preserve"> 4th edition. Oxford: Oxford University Press.</w:t>
      </w:r>
    </w:p>
    <w:p w14:paraId="00791665" w14:textId="77777777" w:rsidR="00EE7762" w:rsidRDefault="00EE7762" w:rsidP="00EE7762">
      <w:pPr>
        <w:spacing w:after="120"/>
        <w:ind w:hanging="720"/>
        <w:jc w:val="both"/>
        <w:rPr>
          <w:sz w:val="24"/>
          <w:szCs w:val="24"/>
        </w:rPr>
      </w:pPr>
      <w:r>
        <w:rPr>
          <w:sz w:val="24"/>
          <w:szCs w:val="24"/>
        </w:rPr>
        <w:t xml:space="preserve">Chaudhury, N., et al. (2006). The Role of Education in Enabling the Poor to Escape Poverty. </w:t>
      </w:r>
      <w:r>
        <w:rPr>
          <w:i/>
          <w:sz w:val="24"/>
          <w:szCs w:val="24"/>
        </w:rPr>
        <w:t>Journal of Development Studies</w:t>
      </w:r>
      <w:r>
        <w:rPr>
          <w:sz w:val="24"/>
          <w:szCs w:val="24"/>
        </w:rPr>
        <w:t>, 42(1), 4-31.</w:t>
      </w:r>
    </w:p>
    <w:p w14:paraId="405CD537" w14:textId="77777777" w:rsidR="00EE7762" w:rsidRDefault="00EE7762" w:rsidP="00EE7762">
      <w:pPr>
        <w:spacing w:after="120"/>
        <w:ind w:hanging="720"/>
        <w:jc w:val="both"/>
        <w:rPr>
          <w:sz w:val="24"/>
          <w:szCs w:val="24"/>
        </w:rPr>
      </w:pPr>
      <w:proofErr w:type="spellStart"/>
      <w:r>
        <w:rPr>
          <w:sz w:val="24"/>
          <w:szCs w:val="24"/>
        </w:rPr>
        <w:t>Cheloti</w:t>
      </w:r>
      <w:proofErr w:type="spellEnd"/>
      <w:r>
        <w:rPr>
          <w:sz w:val="24"/>
          <w:szCs w:val="24"/>
        </w:rPr>
        <w:t xml:space="preserve">, S.K., </w:t>
      </w:r>
      <w:proofErr w:type="spellStart"/>
      <w:proofErr w:type="gramStart"/>
      <w:r>
        <w:rPr>
          <w:sz w:val="24"/>
          <w:szCs w:val="24"/>
        </w:rPr>
        <w:t>Mwikya,V</w:t>
      </w:r>
      <w:proofErr w:type="spellEnd"/>
      <w:r>
        <w:rPr>
          <w:sz w:val="24"/>
          <w:szCs w:val="24"/>
        </w:rPr>
        <w:t>.</w:t>
      </w:r>
      <w:proofErr w:type="gramEnd"/>
      <w:r>
        <w:rPr>
          <w:sz w:val="24"/>
          <w:szCs w:val="24"/>
        </w:rPr>
        <w:t xml:space="preserve"> N., &amp; Mulwa, D. (2019). Influence of cost of education on transition rates from primary to secondary schools in Kenya: a case of Machakos sub-county. </w:t>
      </w:r>
      <w:r>
        <w:rPr>
          <w:i/>
          <w:sz w:val="24"/>
          <w:szCs w:val="24"/>
        </w:rPr>
        <w:t xml:space="preserve">International Journal of Economics, Commerce and Management United Kingdom,7(3), </w:t>
      </w:r>
      <w:r>
        <w:rPr>
          <w:sz w:val="24"/>
          <w:szCs w:val="24"/>
        </w:rPr>
        <w:t>298-316</w:t>
      </w:r>
    </w:p>
    <w:p w14:paraId="446C857C" w14:textId="77777777" w:rsidR="00EE7762" w:rsidRDefault="00EE7762" w:rsidP="00EE7762">
      <w:pPr>
        <w:spacing w:after="120"/>
        <w:ind w:hanging="720"/>
        <w:jc w:val="both"/>
        <w:rPr>
          <w:sz w:val="24"/>
          <w:szCs w:val="24"/>
        </w:rPr>
      </w:pPr>
      <w:r>
        <w:rPr>
          <w:sz w:val="24"/>
          <w:szCs w:val="24"/>
        </w:rPr>
        <w:t xml:space="preserve">Cooper, D. R. &amp; Schindler, S. (2011). </w:t>
      </w:r>
      <w:r>
        <w:rPr>
          <w:i/>
          <w:sz w:val="24"/>
          <w:szCs w:val="24"/>
        </w:rPr>
        <w:t>Survey design</w:t>
      </w:r>
      <w:r>
        <w:rPr>
          <w:sz w:val="24"/>
          <w:szCs w:val="24"/>
        </w:rPr>
        <w:t xml:space="preserve">. Thousand Oaks, CA: Sage </w:t>
      </w:r>
    </w:p>
    <w:p w14:paraId="1249B792" w14:textId="77777777" w:rsidR="00EE7762" w:rsidRDefault="00EE7762" w:rsidP="00EE7762">
      <w:pPr>
        <w:spacing w:after="120"/>
        <w:ind w:hanging="720"/>
        <w:jc w:val="both"/>
        <w:rPr>
          <w:color w:val="000000"/>
          <w:sz w:val="24"/>
          <w:szCs w:val="24"/>
          <w:u w:val="single"/>
        </w:rPr>
      </w:pPr>
      <w:r>
        <w:rPr>
          <w:sz w:val="24"/>
          <w:szCs w:val="24"/>
        </w:rPr>
        <w:t xml:space="preserve">County Government of Garissa. (2018). Ministry of Devolution: </w:t>
      </w:r>
      <w:hyperlink r:id="rId6">
        <w:r>
          <w:rPr>
            <w:color w:val="000000"/>
            <w:sz w:val="24"/>
            <w:szCs w:val="24"/>
            <w:u w:val="single"/>
          </w:rPr>
          <w:t>https://www.devolution.go.ke/wp-content/uploads/2020/02/Garissa-CIDP-2018-2022.pdf</w:t>
        </w:r>
      </w:hyperlink>
    </w:p>
    <w:p w14:paraId="3114277E" w14:textId="77777777" w:rsidR="00EE7762" w:rsidRDefault="00EE7762" w:rsidP="00EE7762">
      <w:pPr>
        <w:spacing w:after="120"/>
        <w:ind w:hanging="720"/>
        <w:jc w:val="both"/>
        <w:rPr>
          <w:sz w:val="24"/>
          <w:szCs w:val="24"/>
          <w:highlight w:val="white"/>
        </w:rPr>
      </w:pPr>
      <w:r>
        <w:rPr>
          <w:sz w:val="24"/>
          <w:szCs w:val="24"/>
          <w:highlight w:val="white"/>
        </w:rPr>
        <w:lastRenderedPageBreak/>
        <w:t xml:space="preserve">Cropley, A. J. (2021). </w:t>
      </w:r>
      <w:r>
        <w:rPr>
          <w:i/>
          <w:sz w:val="24"/>
          <w:szCs w:val="24"/>
          <w:highlight w:val="white"/>
        </w:rPr>
        <w:t>Qualitative research methods</w:t>
      </w:r>
      <w:r>
        <w:rPr>
          <w:sz w:val="24"/>
          <w:szCs w:val="24"/>
          <w:highlight w:val="white"/>
        </w:rPr>
        <w:t>: A practice-oriented introduction for students of psychology and education.</w:t>
      </w:r>
    </w:p>
    <w:p w14:paraId="6D3BE33D" w14:textId="77777777" w:rsidR="00EE7762" w:rsidRDefault="00EE7762" w:rsidP="00EE7762">
      <w:pPr>
        <w:spacing w:after="120"/>
        <w:ind w:hanging="720"/>
        <w:jc w:val="both"/>
        <w:rPr>
          <w:sz w:val="24"/>
          <w:szCs w:val="24"/>
        </w:rPr>
      </w:pPr>
      <w:r>
        <w:rPr>
          <w:sz w:val="24"/>
          <w:szCs w:val="24"/>
        </w:rPr>
        <w:t xml:space="preserve">Dagane, </w:t>
      </w:r>
      <w:proofErr w:type="gramStart"/>
      <w:r>
        <w:rPr>
          <w:sz w:val="24"/>
          <w:szCs w:val="24"/>
        </w:rPr>
        <w:t>A.S.,&amp;</w:t>
      </w:r>
      <w:proofErr w:type="gramEnd"/>
      <w:r>
        <w:rPr>
          <w:sz w:val="24"/>
          <w:szCs w:val="24"/>
        </w:rPr>
        <w:t xml:space="preserve"> Aden, A.Y.(2021).</w:t>
      </w:r>
      <w:r>
        <w:rPr>
          <w:i/>
          <w:sz w:val="24"/>
          <w:szCs w:val="24"/>
        </w:rPr>
        <w:t>The Causes of Female Student Dropout in a Secondary School in the Dadaab Refugee Camps of Kenya</w:t>
      </w:r>
      <w:r>
        <w:rPr>
          <w:sz w:val="24"/>
          <w:szCs w:val="24"/>
        </w:rPr>
        <w:t>. Local Engagement Refugee Research Network Paper No. 12</w:t>
      </w:r>
    </w:p>
    <w:p w14:paraId="2D898C87" w14:textId="77777777" w:rsidR="00EE7762" w:rsidRDefault="00EE7762" w:rsidP="00EE7762">
      <w:pPr>
        <w:spacing w:after="120"/>
        <w:ind w:hanging="720"/>
        <w:jc w:val="both"/>
      </w:pPr>
      <w:r w:rsidRPr="00AA70D4">
        <w:t xml:space="preserve">Dominic, A., Amodu, L., </w:t>
      </w:r>
      <w:proofErr w:type="spellStart"/>
      <w:r w:rsidRPr="00AA70D4">
        <w:t>Azuh</w:t>
      </w:r>
      <w:proofErr w:type="spellEnd"/>
      <w:r w:rsidRPr="00AA70D4">
        <w:t>, A. E., Toluwalope, O., &amp; Oluwatoyin, M. A. (2017). Factors of gender inequality and development among selected low human development countries in sub-Saharan Africa. </w:t>
      </w:r>
      <w:r w:rsidRPr="00AA70D4">
        <w:rPr>
          <w:i/>
          <w:iCs/>
        </w:rPr>
        <w:t>IOSR Journal of Humanities and Social Science</w:t>
      </w:r>
      <w:r w:rsidRPr="00AA70D4">
        <w:t>, </w:t>
      </w:r>
      <w:r w:rsidRPr="00AA70D4">
        <w:rPr>
          <w:i/>
          <w:iCs/>
        </w:rPr>
        <w:t>22</w:t>
      </w:r>
      <w:r w:rsidRPr="00AA70D4">
        <w:t>(02), 01-07.</w:t>
      </w:r>
    </w:p>
    <w:p w14:paraId="10E0EA24" w14:textId="77777777" w:rsidR="00EE7762" w:rsidRDefault="00EE7762" w:rsidP="00EE7762">
      <w:pPr>
        <w:spacing w:after="120"/>
        <w:ind w:hanging="720"/>
        <w:jc w:val="both"/>
        <w:rPr>
          <w:sz w:val="24"/>
          <w:szCs w:val="24"/>
        </w:rPr>
      </w:pPr>
      <w:r>
        <w:rPr>
          <w:sz w:val="24"/>
          <w:szCs w:val="24"/>
        </w:rPr>
        <w:t xml:space="preserve">Effiong, O.E., &amp; Edet, M. I. (2020). Influence of Family Background on Students’ Drop Out from Secondary Schools in </w:t>
      </w:r>
      <w:proofErr w:type="spellStart"/>
      <w:r>
        <w:rPr>
          <w:sz w:val="24"/>
          <w:szCs w:val="24"/>
        </w:rPr>
        <w:t>Yakurr</w:t>
      </w:r>
      <w:proofErr w:type="spellEnd"/>
      <w:r>
        <w:rPr>
          <w:sz w:val="24"/>
          <w:szCs w:val="24"/>
        </w:rPr>
        <w:t xml:space="preserve"> Local Government </w:t>
      </w:r>
      <w:proofErr w:type="spellStart"/>
      <w:r>
        <w:rPr>
          <w:sz w:val="24"/>
          <w:szCs w:val="24"/>
        </w:rPr>
        <w:t>Area.</w:t>
      </w:r>
      <w:r>
        <w:rPr>
          <w:i/>
          <w:sz w:val="24"/>
          <w:szCs w:val="24"/>
        </w:rPr>
        <w:t>GlobalJournal</w:t>
      </w:r>
      <w:proofErr w:type="spellEnd"/>
      <w:r>
        <w:rPr>
          <w:i/>
          <w:sz w:val="24"/>
          <w:szCs w:val="24"/>
        </w:rPr>
        <w:t xml:space="preserve"> of Educational Research,</w:t>
      </w:r>
      <w:r>
        <w:rPr>
          <w:sz w:val="24"/>
          <w:szCs w:val="24"/>
        </w:rPr>
        <w:t>19(1)</w:t>
      </w:r>
    </w:p>
    <w:p w14:paraId="1F832B6A" w14:textId="77777777" w:rsidR="00EE7762" w:rsidRDefault="00EE7762" w:rsidP="00EE7762">
      <w:pPr>
        <w:spacing w:after="120"/>
        <w:ind w:hanging="720"/>
        <w:jc w:val="both"/>
      </w:pPr>
      <w:r w:rsidRPr="00AA70D4">
        <w:t xml:space="preserve">Fisher, A. N., Stinson, D. A., </w:t>
      </w:r>
      <w:proofErr w:type="spellStart"/>
      <w:r w:rsidRPr="00AA70D4">
        <w:t>Kalajdzic</w:t>
      </w:r>
      <w:proofErr w:type="spellEnd"/>
      <w:r w:rsidRPr="00AA70D4">
        <w:t xml:space="preserve">, A., Dupuis, H. E., Lowey, E. E., </w:t>
      </w:r>
      <w:proofErr w:type="spellStart"/>
      <w:r w:rsidRPr="00AA70D4">
        <w:t>Desgrosseilliers</w:t>
      </w:r>
      <w:proofErr w:type="spellEnd"/>
      <w:r w:rsidRPr="00AA70D4">
        <w:t xml:space="preserve">, E., &amp; MacIntosh, A. (2025). </w:t>
      </w:r>
      <w:r>
        <w:t>“</w:t>
      </w:r>
      <w:r w:rsidRPr="00AA70D4">
        <w:t>A recipe for disaster?”: Female</w:t>
      </w:r>
      <w:r w:rsidRPr="00AA70D4">
        <w:noBreakHyphen/>
        <w:t xml:space="preserve">breadwinner relationships threaten heterosexual scripts. </w:t>
      </w:r>
      <w:r w:rsidRPr="00AA70D4">
        <w:rPr>
          <w:i/>
          <w:iCs/>
        </w:rPr>
        <w:t>Sex Roles, 91</w:t>
      </w:r>
      <w:r w:rsidRPr="00AA70D4">
        <w:t xml:space="preserve">, 16. </w:t>
      </w:r>
      <w:hyperlink r:id="rId7" w:history="1">
        <w:r w:rsidRPr="00235C2A">
          <w:rPr>
            <w:rStyle w:val="Hyperlink"/>
          </w:rPr>
          <w:t>https://doi.org/10.1007/s11199</w:t>
        </w:r>
        <w:r w:rsidRPr="00235C2A">
          <w:rPr>
            <w:rStyle w:val="Hyperlink"/>
          </w:rPr>
          <w:noBreakHyphen/>
          <w:t>025</w:t>
        </w:r>
        <w:r w:rsidRPr="00235C2A">
          <w:rPr>
            <w:rStyle w:val="Hyperlink"/>
          </w:rPr>
          <w:noBreakHyphen/>
          <w:t>01560</w:t>
        </w:r>
        <w:r w:rsidRPr="00235C2A">
          <w:rPr>
            <w:rStyle w:val="Hyperlink"/>
          </w:rPr>
          <w:noBreakHyphen/>
          <w:t>y</w:t>
        </w:r>
      </w:hyperlink>
      <w:r>
        <w:t>.</w:t>
      </w:r>
    </w:p>
    <w:p w14:paraId="06254E2A" w14:textId="77777777" w:rsidR="00EE7762" w:rsidRDefault="00EE7762" w:rsidP="00EE7762">
      <w:pPr>
        <w:spacing w:after="120"/>
        <w:ind w:hanging="720"/>
        <w:jc w:val="both"/>
      </w:pPr>
      <w:r w:rsidRPr="000C374E">
        <w:t>Guy-Evans, O. (2020). Bronfenbrenner’s ecological systems theory. </w:t>
      </w:r>
      <w:r w:rsidRPr="000C374E">
        <w:rPr>
          <w:i/>
          <w:iCs/>
        </w:rPr>
        <w:t>Simply Psychology</w:t>
      </w:r>
      <w:r w:rsidRPr="000C374E">
        <w:t>, 10518-046.</w:t>
      </w:r>
    </w:p>
    <w:p w14:paraId="60344DC3" w14:textId="77777777" w:rsidR="00EE7762" w:rsidRDefault="00EE7762" w:rsidP="00EE7762">
      <w:pPr>
        <w:spacing w:after="120"/>
        <w:ind w:hanging="720"/>
        <w:jc w:val="both"/>
      </w:pPr>
      <w:proofErr w:type="spellStart"/>
      <w:r w:rsidRPr="00AA70D4">
        <w:t>Imoro</w:t>
      </w:r>
      <w:proofErr w:type="spellEnd"/>
      <w:r w:rsidRPr="00AA70D4">
        <w:t xml:space="preserve">, B. (2009). Dimensions of basic school dropouts in rural Ghana: The case of </w:t>
      </w:r>
      <w:proofErr w:type="spellStart"/>
      <w:r w:rsidRPr="00AA70D4">
        <w:t>Asutifi</w:t>
      </w:r>
      <w:proofErr w:type="spellEnd"/>
      <w:r w:rsidRPr="00AA70D4">
        <w:t xml:space="preserve"> District. </w:t>
      </w:r>
      <w:r w:rsidRPr="00AA70D4">
        <w:rPr>
          <w:i/>
          <w:iCs/>
        </w:rPr>
        <w:t>Journal of Science and Technology (Ghana)</w:t>
      </w:r>
      <w:r w:rsidRPr="00AA70D4">
        <w:t>, </w:t>
      </w:r>
      <w:r w:rsidRPr="00AA70D4">
        <w:rPr>
          <w:i/>
          <w:iCs/>
        </w:rPr>
        <w:t>29</w:t>
      </w:r>
      <w:r w:rsidRPr="00AA70D4">
        <w:t>(3).</w:t>
      </w:r>
    </w:p>
    <w:p w14:paraId="51982DFF" w14:textId="77777777" w:rsidR="00EE7762" w:rsidRDefault="00EE7762" w:rsidP="00EE7762">
      <w:pPr>
        <w:spacing w:after="120"/>
        <w:ind w:hanging="720"/>
        <w:jc w:val="both"/>
        <w:rPr>
          <w:sz w:val="24"/>
          <w:szCs w:val="24"/>
        </w:rPr>
      </w:pPr>
      <w:r>
        <w:rPr>
          <w:sz w:val="24"/>
          <w:szCs w:val="24"/>
        </w:rPr>
        <w:t xml:space="preserve">                               in Nigeria and Kenya.</w:t>
      </w:r>
    </w:p>
    <w:p w14:paraId="562968A7" w14:textId="77777777" w:rsidR="00EE7762" w:rsidRDefault="00EE7762" w:rsidP="00EE7762">
      <w:pPr>
        <w:spacing w:after="120"/>
        <w:ind w:hanging="720"/>
        <w:jc w:val="both"/>
      </w:pPr>
      <w:proofErr w:type="spellStart"/>
      <w:r w:rsidRPr="000C374E">
        <w:t>Kisaka</w:t>
      </w:r>
      <w:proofErr w:type="spellEnd"/>
      <w:r w:rsidRPr="000C374E">
        <w:t xml:space="preserve">, J. (2015). Cultural Lag Facing Education of Girls in Secondary Schools: The Case of Garissa and </w:t>
      </w:r>
      <w:proofErr w:type="spellStart"/>
      <w:r w:rsidRPr="000C374E">
        <w:t>Ijara</w:t>
      </w:r>
      <w:proofErr w:type="spellEnd"/>
      <w:r w:rsidRPr="000C374E">
        <w:t xml:space="preserve"> Constituencies in Kenya. </w:t>
      </w:r>
      <w:r w:rsidRPr="000C374E">
        <w:rPr>
          <w:i/>
          <w:iCs/>
        </w:rPr>
        <w:t>Journal of Education and Practice</w:t>
      </w:r>
      <w:r w:rsidRPr="000C374E">
        <w:t>, </w:t>
      </w:r>
      <w:r w:rsidRPr="000C374E">
        <w:rPr>
          <w:i/>
          <w:iCs/>
        </w:rPr>
        <w:t>6</w:t>
      </w:r>
      <w:r w:rsidRPr="000C374E">
        <w:t>(27), 181-185.</w:t>
      </w:r>
    </w:p>
    <w:p w14:paraId="0DA0A06B" w14:textId="77777777" w:rsidR="00EE7762" w:rsidRDefault="00EE7762" w:rsidP="00EE7762">
      <w:pPr>
        <w:spacing w:after="120"/>
        <w:ind w:hanging="720"/>
        <w:jc w:val="both"/>
        <w:rPr>
          <w:sz w:val="24"/>
          <w:szCs w:val="24"/>
        </w:rPr>
      </w:pPr>
      <w:proofErr w:type="spellStart"/>
      <w:r>
        <w:rPr>
          <w:sz w:val="24"/>
          <w:szCs w:val="24"/>
        </w:rPr>
        <w:t>Kisaka</w:t>
      </w:r>
      <w:proofErr w:type="spellEnd"/>
      <w:r>
        <w:rPr>
          <w:sz w:val="24"/>
          <w:szCs w:val="24"/>
        </w:rPr>
        <w:t>, J. (2015</w:t>
      </w:r>
      <w:proofErr w:type="gramStart"/>
      <w:r>
        <w:rPr>
          <w:sz w:val="24"/>
          <w:szCs w:val="24"/>
        </w:rPr>
        <w:t>).Cultural</w:t>
      </w:r>
      <w:proofErr w:type="gramEnd"/>
      <w:r>
        <w:rPr>
          <w:sz w:val="24"/>
          <w:szCs w:val="24"/>
        </w:rPr>
        <w:t xml:space="preserve"> Lag Facing Education of Girls in Secondary Schools: The Case of Garissa and </w:t>
      </w:r>
      <w:proofErr w:type="spellStart"/>
      <w:r>
        <w:rPr>
          <w:sz w:val="24"/>
          <w:szCs w:val="24"/>
        </w:rPr>
        <w:t>Ijara</w:t>
      </w:r>
      <w:proofErr w:type="spellEnd"/>
      <w:r>
        <w:rPr>
          <w:sz w:val="24"/>
          <w:szCs w:val="24"/>
        </w:rPr>
        <w:t xml:space="preserve"> Constituencies in Kenya. </w:t>
      </w:r>
      <w:r>
        <w:rPr>
          <w:i/>
          <w:sz w:val="24"/>
          <w:szCs w:val="24"/>
        </w:rPr>
        <w:t>Journal of Education and Practice</w:t>
      </w:r>
      <w:r>
        <w:rPr>
          <w:sz w:val="24"/>
          <w:szCs w:val="24"/>
        </w:rPr>
        <w:t>, 6 (27).</w:t>
      </w:r>
    </w:p>
    <w:p w14:paraId="6636E2DD" w14:textId="77777777" w:rsidR="00EE7762" w:rsidRDefault="00EE7762" w:rsidP="00EE7762">
      <w:pPr>
        <w:spacing w:after="120"/>
        <w:ind w:hanging="720"/>
        <w:jc w:val="both"/>
        <w:rPr>
          <w:sz w:val="24"/>
          <w:szCs w:val="24"/>
        </w:rPr>
      </w:pPr>
      <w:r>
        <w:rPr>
          <w:sz w:val="24"/>
          <w:szCs w:val="24"/>
        </w:rPr>
        <w:t xml:space="preserve">Kothari, C. R, (2012). </w:t>
      </w:r>
      <w:r>
        <w:rPr>
          <w:i/>
          <w:sz w:val="24"/>
          <w:szCs w:val="24"/>
        </w:rPr>
        <w:t>Research Methodology: Methods and Techniques.</w:t>
      </w:r>
      <w:r>
        <w:rPr>
          <w:sz w:val="24"/>
          <w:szCs w:val="24"/>
        </w:rPr>
        <w:t xml:space="preserve">2nd </w:t>
      </w:r>
      <w:proofErr w:type="spellStart"/>
      <w:r>
        <w:rPr>
          <w:sz w:val="24"/>
          <w:szCs w:val="24"/>
        </w:rPr>
        <w:t>edn</w:t>
      </w:r>
      <w:proofErr w:type="spellEnd"/>
      <w:r>
        <w:rPr>
          <w:sz w:val="24"/>
          <w:szCs w:val="24"/>
        </w:rPr>
        <w:t>. New Delhi. New Age International Limited Publishers</w:t>
      </w:r>
    </w:p>
    <w:p w14:paraId="62AA28C0" w14:textId="77777777" w:rsidR="00EE7762" w:rsidRDefault="00EE7762" w:rsidP="00EE7762">
      <w:pPr>
        <w:spacing w:after="120"/>
        <w:ind w:hanging="720"/>
        <w:jc w:val="both"/>
      </w:pPr>
      <w:proofErr w:type="spellStart"/>
      <w:r w:rsidRPr="00AA70D4">
        <w:t>Kurangking</w:t>
      </w:r>
      <w:proofErr w:type="spellEnd"/>
      <w:r w:rsidRPr="00AA70D4">
        <w:t xml:space="preserve">, J., Santander, M., Du, E., &amp; </w:t>
      </w:r>
      <w:proofErr w:type="spellStart"/>
      <w:r w:rsidRPr="00AA70D4">
        <w:t>Cimene</w:t>
      </w:r>
      <w:proofErr w:type="spellEnd"/>
      <w:r w:rsidRPr="00AA70D4">
        <w:t xml:space="preserve">, F. T. (2023). </w:t>
      </w:r>
      <w:r w:rsidRPr="00AA70D4">
        <w:rPr>
          <w:i/>
          <w:iCs/>
        </w:rPr>
        <w:t>Empowering nations through education: Strategies for sustainable development</w:t>
      </w:r>
      <w:r w:rsidRPr="00AA70D4">
        <w:t>. Pampanga: Beyond Books Publication.</w:t>
      </w:r>
    </w:p>
    <w:p w14:paraId="34EA403E" w14:textId="77777777" w:rsidR="00EE7762" w:rsidRDefault="00EE7762" w:rsidP="00EE7762">
      <w:pPr>
        <w:spacing w:after="120"/>
        <w:ind w:hanging="720"/>
        <w:jc w:val="both"/>
      </w:pPr>
      <w:proofErr w:type="spellStart"/>
      <w:r w:rsidRPr="00EB76CD">
        <w:rPr>
          <w:lang w:val="en-US"/>
        </w:rPr>
        <w:t>Kuteesa</w:t>
      </w:r>
      <w:proofErr w:type="spellEnd"/>
      <w:r w:rsidRPr="00EB76CD">
        <w:rPr>
          <w:lang w:val="en-US"/>
        </w:rPr>
        <w:t xml:space="preserve">, K. N., </w:t>
      </w:r>
      <w:proofErr w:type="spellStart"/>
      <w:r w:rsidRPr="00EB76CD">
        <w:rPr>
          <w:lang w:val="en-US"/>
        </w:rPr>
        <w:t>Akpuokwe</w:t>
      </w:r>
      <w:proofErr w:type="spellEnd"/>
      <w:r w:rsidRPr="00EB76CD">
        <w:rPr>
          <w:lang w:val="en-US"/>
        </w:rPr>
        <w:t xml:space="preserve">, C. U., &amp; Udeh, C. A. (2024). </w:t>
      </w:r>
      <w:r w:rsidRPr="00AA70D4">
        <w:t>Gender equity in education: addressing challenges and promoting opportunities for social empowerment. </w:t>
      </w:r>
      <w:r w:rsidRPr="00AA70D4">
        <w:rPr>
          <w:i/>
          <w:iCs/>
        </w:rPr>
        <w:t>International Journal of Applied Research in Social Sciences</w:t>
      </w:r>
      <w:r w:rsidRPr="00AA70D4">
        <w:t>, </w:t>
      </w:r>
      <w:r w:rsidRPr="00AA70D4">
        <w:rPr>
          <w:i/>
          <w:iCs/>
        </w:rPr>
        <w:t>6</w:t>
      </w:r>
      <w:r w:rsidRPr="00AA70D4">
        <w:t>(4), 631-641.</w:t>
      </w:r>
    </w:p>
    <w:p w14:paraId="19AF52FB" w14:textId="77777777" w:rsidR="00EE7762" w:rsidRDefault="00EE7762" w:rsidP="00EE7762">
      <w:pPr>
        <w:spacing w:after="120"/>
        <w:ind w:hanging="720"/>
        <w:jc w:val="both"/>
        <w:rPr>
          <w:sz w:val="24"/>
          <w:szCs w:val="24"/>
        </w:rPr>
      </w:pPr>
      <w:r>
        <w:rPr>
          <w:sz w:val="24"/>
          <w:szCs w:val="24"/>
          <w:shd w:val="clear" w:color="auto" w:fill="FBFBF3"/>
        </w:rPr>
        <w:t>Leedy, P. (2010). Practical Research: Planning and Design, Ninth Edition. NYC: Merril.</w:t>
      </w:r>
    </w:p>
    <w:p w14:paraId="760F3375" w14:textId="77777777" w:rsidR="00EE7762" w:rsidRDefault="00EE7762" w:rsidP="00EE7762">
      <w:pPr>
        <w:spacing w:after="120"/>
        <w:ind w:hanging="720"/>
        <w:jc w:val="both"/>
        <w:rPr>
          <w:sz w:val="24"/>
          <w:szCs w:val="24"/>
        </w:rPr>
      </w:pPr>
      <w:r>
        <w:rPr>
          <w:sz w:val="24"/>
          <w:szCs w:val="24"/>
        </w:rPr>
        <w:t xml:space="preserve">Lloyd, C. B., &amp; Blanc, A. K. (1996). Children’s Schooling in Sub-Saharan Africa: The Role of Fathers, Mothers, and Others. </w:t>
      </w:r>
      <w:r>
        <w:rPr>
          <w:i/>
          <w:sz w:val="24"/>
          <w:szCs w:val="24"/>
        </w:rPr>
        <w:t>Population and Development Review</w:t>
      </w:r>
      <w:r>
        <w:rPr>
          <w:sz w:val="24"/>
          <w:szCs w:val="24"/>
        </w:rPr>
        <w:t>, 22(2), 265–298.</w:t>
      </w:r>
    </w:p>
    <w:p w14:paraId="40360C43" w14:textId="77777777" w:rsidR="00EE7762" w:rsidRDefault="00EE7762" w:rsidP="00EE7762">
      <w:pPr>
        <w:spacing w:after="120"/>
        <w:ind w:hanging="720"/>
        <w:jc w:val="both"/>
        <w:rPr>
          <w:sz w:val="24"/>
          <w:szCs w:val="24"/>
        </w:rPr>
      </w:pPr>
      <w:proofErr w:type="spellStart"/>
      <w:r>
        <w:rPr>
          <w:sz w:val="24"/>
          <w:szCs w:val="24"/>
        </w:rPr>
        <w:t>Mackatiani</w:t>
      </w:r>
      <w:proofErr w:type="spellEnd"/>
      <w:r>
        <w:rPr>
          <w:sz w:val="24"/>
          <w:szCs w:val="24"/>
        </w:rPr>
        <w:t xml:space="preserve">, C.I., </w:t>
      </w:r>
      <w:proofErr w:type="spellStart"/>
      <w:proofErr w:type="gramStart"/>
      <w:r>
        <w:rPr>
          <w:sz w:val="24"/>
          <w:szCs w:val="24"/>
        </w:rPr>
        <w:t>Mackatiani,N.I</w:t>
      </w:r>
      <w:proofErr w:type="spellEnd"/>
      <w:r>
        <w:rPr>
          <w:sz w:val="24"/>
          <w:szCs w:val="24"/>
        </w:rPr>
        <w:t>.</w:t>
      </w:r>
      <w:proofErr w:type="gramEnd"/>
      <w:r>
        <w:rPr>
          <w:sz w:val="24"/>
          <w:szCs w:val="24"/>
        </w:rPr>
        <w:t xml:space="preserve">, &amp; </w:t>
      </w:r>
      <w:proofErr w:type="spellStart"/>
      <w:r>
        <w:rPr>
          <w:sz w:val="24"/>
          <w:szCs w:val="24"/>
        </w:rPr>
        <w:t>Atieno,M</w:t>
      </w:r>
      <w:proofErr w:type="spellEnd"/>
      <w:r>
        <w:rPr>
          <w:sz w:val="24"/>
          <w:szCs w:val="24"/>
        </w:rPr>
        <w:t xml:space="preserve">.(2022).Transition in Education: Perspectives on - Girls' Drop-Out Rates in secondary Schools in Kenya. </w:t>
      </w:r>
      <w:r>
        <w:rPr>
          <w:i/>
          <w:sz w:val="24"/>
          <w:szCs w:val="24"/>
        </w:rPr>
        <w:t>London Journal of Research in Humanities and Social Sciences</w:t>
      </w:r>
      <w:r>
        <w:rPr>
          <w:sz w:val="24"/>
          <w:szCs w:val="24"/>
        </w:rPr>
        <w:t>, 22(1)</w:t>
      </w:r>
    </w:p>
    <w:p w14:paraId="74812A72" w14:textId="77777777" w:rsidR="00EE7762" w:rsidRPr="00AA70D4" w:rsidRDefault="00EE7762" w:rsidP="00EE7762">
      <w:pPr>
        <w:spacing w:after="120"/>
        <w:ind w:hanging="720"/>
        <w:jc w:val="both"/>
      </w:pPr>
      <w:proofErr w:type="spellStart"/>
      <w:r w:rsidRPr="00EB76CD">
        <w:rPr>
          <w:lang w:val="en-US"/>
        </w:rPr>
        <w:t>Mduma</w:t>
      </w:r>
      <w:proofErr w:type="spellEnd"/>
      <w:r w:rsidRPr="00EB76CD">
        <w:rPr>
          <w:lang w:val="en-US"/>
        </w:rPr>
        <w:t xml:space="preserve">, N., </w:t>
      </w:r>
      <w:proofErr w:type="spellStart"/>
      <w:r w:rsidRPr="00EB76CD">
        <w:rPr>
          <w:lang w:val="en-US"/>
        </w:rPr>
        <w:t>Kalegele</w:t>
      </w:r>
      <w:proofErr w:type="spellEnd"/>
      <w:r w:rsidRPr="00EB76CD">
        <w:rPr>
          <w:lang w:val="en-US"/>
        </w:rPr>
        <w:t xml:space="preserve">, K., &amp; </w:t>
      </w:r>
      <w:proofErr w:type="spellStart"/>
      <w:r w:rsidRPr="00EB76CD">
        <w:rPr>
          <w:lang w:val="en-US"/>
        </w:rPr>
        <w:t>Machuve</w:t>
      </w:r>
      <w:proofErr w:type="spellEnd"/>
      <w:r w:rsidRPr="00EB76CD">
        <w:rPr>
          <w:lang w:val="en-US"/>
        </w:rPr>
        <w:t xml:space="preserve">, D. (2019). </w:t>
      </w:r>
      <w:r w:rsidRPr="00E65201">
        <w:t>An Ensemble Predictive Model Based Prototype for Student Drop-out in Secondary Schools. Journal of Information Systems Engineering and Management, 4(3), em0094</w:t>
      </w:r>
    </w:p>
    <w:p w14:paraId="1A465BE4" w14:textId="77777777" w:rsidR="00EE7762" w:rsidRDefault="00EE7762" w:rsidP="00EE7762">
      <w:pPr>
        <w:spacing w:after="120"/>
        <w:ind w:hanging="720"/>
        <w:jc w:val="both"/>
      </w:pPr>
      <w:r w:rsidRPr="00E65201">
        <w:t xml:space="preserve">Ministry of </w:t>
      </w:r>
      <w:proofErr w:type="gramStart"/>
      <w:r w:rsidRPr="00E65201">
        <w:t xml:space="preserve">Education </w:t>
      </w:r>
      <w:r>
        <w:t>.</w:t>
      </w:r>
      <w:proofErr w:type="gramEnd"/>
      <w:r>
        <w:t xml:space="preserve"> (2020). </w:t>
      </w:r>
      <w:r w:rsidRPr="00E65201">
        <w:t>National Guidelines for School Re-Entry in Early Learning and Basic Education 2020</w:t>
      </w:r>
      <w:r>
        <w:t>. Nairobi, Kenya.</w:t>
      </w:r>
    </w:p>
    <w:p w14:paraId="183FF2B4" w14:textId="77777777" w:rsidR="00EE7762" w:rsidRDefault="00EE7762" w:rsidP="00EE7762">
      <w:pPr>
        <w:spacing w:after="120"/>
        <w:ind w:hanging="720"/>
        <w:jc w:val="both"/>
        <w:rPr>
          <w:sz w:val="24"/>
          <w:szCs w:val="24"/>
        </w:rPr>
      </w:pPr>
      <w:r>
        <w:rPr>
          <w:sz w:val="24"/>
          <w:szCs w:val="24"/>
        </w:rPr>
        <w:lastRenderedPageBreak/>
        <w:t xml:space="preserve">Mugenda, A. G., &amp; Mugenda, A. (2013). </w:t>
      </w:r>
      <w:r>
        <w:rPr>
          <w:i/>
          <w:sz w:val="24"/>
          <w:szCs w:val="24"/>
        </w:rPr>
        <w:t>Qualitative research methods. Applied Research and Training Services</w:t>
      </w:r>
      <w:r>
        <w:rPr>
          <w:sz w:val="24"/>
          <w:szCs w:val="24"/>
        </w:rPr>
        <w:t>. Nairobi, Kenya</w:t>
      </w:r>
    </w:p>
    <w:p w14:paraId="684E91B2" w14:textId="77777777" w:rsidR="00EE7762" w:rsidRDefault="00EE7762" w:rsidP="00EE7762">
      <w:pPr>
        <w:spacing w:after="120"/>
        <w:ind w:hanging="720"/>
        <w:jc w:val="both"/>
        <w:rPr>
          <w:sz w:val="24"/>
          <w:szCs w:val="24"/>
        </w:rPr>
      </w:pPr>
      <w:r>
        <w:rPr>
          <w:sz w:val="24"/>
          <w:szCs w:val="24"/>
        </w:rPr>
        <w:t xml:space="preserve">Murage, S., &amp; </w:t>
      </w:r>
      <w:proofErr w:type="spellStart"/>
      <w:r>
        <w:rPr>
          <w:sz w:val="24"/>
          <w:szCs w:val="24"/>
        </w:rPr>
        <w:t>Kisaka</w:t>
      </w:r>
      <w:proofErr w:type="spellEnd"/>
      <w:r>
        <w:rPr>
          <w:sz w:val="24"/>
          <w:szCs w:val="24"/>
        </w:rPr>
        <w:t xml:space="preserve">, J. (2018). Socio- Economic Factors and Students Retention and Completion rates in Public Secondary Schools in Kilifi County, Kenya. </w:t>
      </w:r>
      <w:r>
        <w:rPr>
          <w:i/>
          <w:sz w:val="24"/>
          <w:szCs w:val="24"/>
        </w:rPr>
        <w:t>African Journal of Education, Science and Technology</w:t>
      </w:r>
      <w:r>
        <w:rPr>
          <w:sz w:val="24"/>
          <w:szCs w:val="24"/>
        </w:rPr>
        <w:t>, 2(2), 95-102</w:t>
      </w:r>
    </w:p>
    <w:p w14:paraId="29383D3F" w14:textId="77777777" w:rsidR="00EE7762" w:rsidRDefault="00EE7762" w:rsidP="00EE7762">
      <w:pPr>
        <w:spacing w:after="120"/>
        <w:ind w:hanging="720"/>
        <w:jc w:val="both"/>
      </w:pPr>
      <w:proofErr w:type="spellStart"/>
      <w:r w:rsidRPr="00EB76CD">
        <w:rPr>
          <w:lang w:val="en-US"/>
        </w:rPr>
        <w:t>Musangi</w:t>
      </w:r>
      <w:proofErr w:type="spellEnd"/>
      <w:r w:rsidRPr="00EB76CD">
        <w:rPr>
          <w:lang w:val="en-US"/>
        </w:rPr>
        <w:t xml:space="preserve">, S. S., Mulwa, D. M., Migosi, J., &amp; Kamau, L. M. (2017). </w:t>
      </w:r>
      <w:r w:rsidRPr="00E65201">
        <w:t>Influence of school-based factors on educational wastage in public secondary schools in Machakos County, Kenya. International Journal of Humanities and Social Science, 7(1) Student-Related</w:t>
      </w:r>
    </w:p>
    <w:p w14:paraId="6D925CB8" w14:textId="77777777" w:rsidR="00EE7762" w:rsidRDefault="00EE7762" w:rsidP="00EE7762">
      <w:pPr>
        <w:spacing w:after="120"/>
        <w:ind w:hanging="720"/>
        <w:jc w:val="both"/>
        <w:rPr>
          <w:sz w:val="24"/>
          <w:szCs w:val="24"/>
        </w:rPr>
      </w:pPr>
      <w:proofErr w:type="spellStart"/>
      <w:proofErr w:type="gramStart"/>
      <w:r>
        <w:rPr>
          <w:sz w:val="24"/>
          <w:szCs w:val="24"/>
        </w:rPr>
        <w:t>Mutisya,M.R</w:t>
      </w:r>
      <w:proofErr w:type="spellEnd"/>
      <w:r>
        <w:rPr>
          <w:sz w:val="24"/>
          <w:szCs w:val="24"/>
        </w:rPr>
        <w:t>.</w:t>
      </w:r>
      <w:proofErr w:type="gramEnd"/>
      <w:r>
        <w:rPr>
          <w:sz w:val="24"/>
          <w:szCs w:val="24"/>
        </w:rPr>
        <w:t xml:space="preserve">(2016). Influence of non-governmental organizations initiatives on poverty alleviation: Case of innovations for poverty action in </w:t>
      </w:r>
      <w:proofErr w:type="spellStart"/>
      <w:r>
        <w:rPr>
          <w:sz w:val="24"/>
          <w:szCs w:val="24"/>
        </w:rPr>
        <w:t>sinai</w:t>
      </w:r>
      <w:proofErr w:type="spellEnd"/>
      <w:r>
        <w:rPr>
          <w:sz w:val="24"/>
          <w:szCs w:val="24"/>
        </w:rPr>
        <w:t xml:space="preserve"> slums, Nairobi County, Kenya.</w:t>
      </w:r>
      <w:r>
        <w:rPr>
          <w:i/>
          <w:sz w:val="24"/>
          <w:szCs w:val="24"/>
        </w:rPr>
        <w:t xml:space="preserve"> Unpublished research project.  University of Nairobi. Nairobi. Kenya</w:t>
      </w:r>
      <w:r>
        <w:rPr>
          <w:sz w:val="24"/>
          <w:szCs w:val="24"/>
        </w:rPr>
        <w:t xml:space="preserve">. </w:t>
      </w:r>
    </w:p>
    <w:p w14:paraId="22FBFFF3" w14:textId="77777777" w:rsidR="00EE7762" w:rsidRDefault="00EE7762" w:rsidP="00EE7762">
      <w:pPr>
        <w:spacing w:after="120"/>
        <w:ind w:hanging="720"/>
        <w:jc w:val="both"/>
        <w:rPr>
          <w:sz w:val="24"/>
          <w:szCs w:val="24"/>
        </w:rPr>
      </w:pPr>
      <w:proofErr w:type="spellStart"/>
      <w:r>
        <w:rPr>
          <w:sz w:val="24"/>
          <w:szCs w:val="24"/>
        </w:rPr>
        <w:t>Naissuma</w:t>
      </w:r>
      <w:proofErr w:type="spellEnd"/>
      <w:r>
        <w:rPr>
          <w:sz w:val="24"/>
          <w:szCs w:val="24"/>
        </w:rPr>
        <w:t xml:space="preserve">, D. K (2000) </w:t>
      </w:r>
      <w:r>
        <w:rPr>
          <w:i/>
          <w:sz w:val="24"/>
          <w:szCs w:val="24"/>
        </w:rPr>
        <w:t>Survey and sampling methods</w:t>
      </w:r>
      <w:r>
        <w:rPr>
          <w:sz w:val="24"/>
          <w:szCs w:val="24"/>
        </w:rPr>
        <w:t>. Nairobi. University of Nairobi press</w:t>
      </w:r>
    </w:p>
    <w:p w14:paraId="3896BF8E" w14:textId="77777777" w:rsidR="00EE7762" w:rsidRDefault="00EE7762" w:rsidP="00EE7762">
      <w:pPr>
        <w:spacing w:after="120"/>
        <w:ind w:hanging="720"/>
        <w:jc w:val="both"/>
        <w:rPr>
          <w:sz w:val="24"/>
          <w:szCs w:val="24"/>
        </w:rPr>
      </w:pPr>
      <w:r>
        <w:rPr>
          <w:sz w:val="24"/>
          <w:szCs w:val="24"/>
        </w:rPr>
        <w:t xml:space="preserve">Nanjundeswaraswamy, T. S., and Divakar, S. (2021). Determination of Sample Size and Sampling Methods in Applied Research. </w:t>
      </w:r>
      <w:r>
        <w:rPr>
          <w:i/>
          <w:sz w:val="24"/>
          <w:szCs w:val="24"/>
        </w:rPr>
        <w:t>Proceedings on Engineering Sciences, 3</w:t>
      </w:r>
      <w:r>
        <w:rPr>
          <w:sz w:val="24"/>
          <w:szCs w:val="24"/>
        </w:rPr>
        <w:t>(1), 25-32.</w:t>
      </w:r>
    </w:p>
    <w:p w14:paraId="0A3F7FDC" w14:textId="77777777" w:rsidR="00EE7762" w:rsidRDefault="00EE7762" w:rsidP="00EE7762">
      <w:pPr>
        <w:spacing w:after="120"/>
        <w:ind w:hanging="720"/>
        <w:jc w:val="both"/>
      </w:pPr>
      <w:proofErr w:type="spellStart"/>
      <w:r w:rsidRPr="00E65201">
        <w:t>Njati</w:t>
      </w:r>
      <w:proofErr w:type="spellEnd"/>
      <w:r w:rsidRPr="00E65201">
        <w:t xml:space="preserve">, I. C., &amp; Abel, O. (2024). The Traditional Beliefs Inhibiting Uptake of Education in Kajiado Community During the 21 </w:t>
      </w:r>
      <w:proofErr w:type="spellStart"/>
      <w:r w:rsidRPr="00E65201">
        <w:t>st</w:t>
      </w:r>
      <w:proofErr w:type="spellEnd"/>
      <w:r w:rsidRPr="00E65201">
        <w:t xml:space="preserve"> Century. </w:t>
      </w:r>
      <w:r w:rsidRPr="00E65201">
        <w:rPr>
          <w:i/>
          <w:iCs/>
        </w:rPr>
        <w:t>International Journal of Research and Innovation in Applied Science</w:t>
      </w:r>
      <w:r w:rsidRPr="00E65201">
        <w:t>, </w:t>
      </w:r>
      <w:r w:rsidRPr="00E65201">
        <w:rPr>
          <w:i/>
          <w:iCs/>
        </w:rPr>
        <w:t>9</w:t>
      </w:r>
      <w:r w:rsidRPr="00E65201">
        <w:t>(3), 540-547.</w:t>
      </w:r>
    </w:p>
    <w:p w14:paraId="4118C329" w14:textId="77777777" w:rsidR="00EE7762" w:rsidRDefault="00EE7762" w:rsidP="00EE7762">
      <w:pPr>
        <w:spacing w:after="120"/>
        <w:ind w:hanging="720"/>
        <w:jc w:val="both"/>
        <w:rPr>
          <w:sz w:val="24"/>
          <w:szCs w:val="24"/>
        </w:rPr>
      </w:pPr>
      <w:r>
        <w:rPr>
          <w:sz w:val="24"/>
          <w:szCs w:val="24"/>
        </w:rPr>
        <w:t xml:space="preserve">Oduya, </w:t>
      </w:r>
      <w:proofErr w:type="gramStart"/>
      <w:r>
        <w:rPr>
          <w:sz w:val="24"/>
          <w:szCs w:val="24"/>
        </w:rPr>
        <w:t>S,O.</w:t>
      </w:r>
      <w:proofErr w:type="gramEnd"/>
      <w:r>
        <w:rPr>
          <w:sz w:val="24"/>
          <w:szCs w:val="24"/>
        </w:rPr>
        <w:t xml:space="preserve">(2020). Determinants of school dropout among secondary school girls in </w:t>
      </w:r>
      <w:proofErr w:type="spellStart"/>
      <w:r>
        <w:rPr>
          <w:sz w:val="24"/>
          <w:szCs w:val="24"/>
        </w:rPr>
        <w:t>Kibra</w:t>
      </w:r>
      <w:proofErr w:type="spellEnd"/>
      <w:r>
        <w:rPr>
          <w:sz w:val="24"/>
          <w:szCs w:val="24"/>
        </w:rPr>
        <w:t xml:space="preserve"> and Langata in Nairobi County, Kenya.</w:t>
      </w:r>
      <w:r>
        <w:rPr>
          <w:i/>
          <w:sz w:val="24"/>
          <w:szCs w:val="24"/>
        </w:rPr>
        <w:t xml:space="preserve"> Unpublished research project. Kenyatta University. Nairobi. Kenya</w:t>
      </w:r>
      <w:r>
        <w:rPr>
          <w:sz w:val="24"/>
          <w:szCs w:val="24"/>
        </w:rPr>
        <w:t>.</w:t>
      </w:r>
    </w:p>
    <w:p w14:paraId="6E03C41F" w14:textId="77777777" w:rsidR="00EE7762" w:rsidRDefault="00EE7762" w:rsidP="00EE7762">
      <w:pPr>
        <w:spacing w:after="120"/>
        <w:ind w:hanging="720"/>
        <w:jc w:val="both"/>
      </w:pPr>
      <w:proofErr w:type="spellStart"/>
      <w:r w:rsidRPr="00E65201">
        <w:t>Oprong</w:t>
      </w:r>
      <w:proofErr w:type="spellEnd"/>
      <w:r w:rsidRPr="00E65201">
        <w:t>, A. (2016). Socio-economic factors influencing girl child dropouts in public secondary schools in Busia District. International Journal of Education and Research, 4(4), 2411-5681</w:t>
      </w:r>
    </w:p>
    <w:p w14:paraId="2187DD5D" w14:textId="77777777" w:rsidR="00EE7762" w:rsidRDefault="00EE7762" w:rsidP="00EE7762">
      <w:pPr>
        <w:spacing w:after="120"/>
        <w:ind w:hanging="720"/>
        <w:jc w:val="both"/>
        <w:rPr>
          <w:sz w:val="24"/>
          <w:szCs w:val="24"/>
        </w:rPr>
      </w:pPr>
      <w:proofErr w:type="spellStart"/>
      <w:r>
        <w:rPr>
          <w:sz w:val="24"/>
          <w:szCs w:val="24"/>
        </w:rPr>
        <w:t>Owuor</w:t>
      </w:r>
      <w:proofErr w:type="spellEnd"/>
      <w:r>
        <w:rPr>
          <w:sz w:val="24"/>
          <w:szCs w:val="24"/>
        </w:rPr>
        <w:t xml:space="preserve">, D.A., &amp; </w:t>
      </w:r>
      <w:proofErr w:type="spellStart"/>
      <w:r>
        <w:rPr>
          <w:sz w:val="24"/>
          <w:szCs w:val="24"/>
        </w:rPr>
        <w:t>Chemisto</w:t>
      </w:r>
      <w:proofErr w:type="spellEnd"/>
      <w:r>
        <w:rPr>
          <w:sz w:val="24"/>
          <w:szCs w:val="24"/>
        </w:rPr>
        <w:t xml:space="preserve">, </w:t>
      </w:r>
      <w:proofErr w:type="gramStart"/>
      <w:r>
        <w:rPr>
          <w:sz w:val="24"/>
          <w:szCs w:val="24"/>
        </w:rPr>
        <w:t>E.M.(</w:t>
      </w:r>
      <w:proofErr w:type="gramEnd"/>
      <w:r>
        <w:rPr>
          <w:sz w:val="24"/>
          <w:szCs w:val="24"/>
        </w:rPr>
        <w:t>2016).Economic Factors Affecting Girls Academic Performance (</w:t>
      </w:r>
      <w:proofErr w:type="spellStart"/>
      <w:r>
        <w:rPr>
          <w:sz w:val="24"/>
          <w:szCs w:val="24"/>
        </w:rPr>
        <w:t>Kcse</w:t>
      </w:r>
      <w:proofErr w:type="spellEnd"/>
      <w:r>
        <w:rPr>
          <w:sz w:val="24"/>
          <w:szCs w:val="24"/>
        </w:rPr>
        <w:t xml:space="preserve">) In Mixed Secondary Schools: A Case Of Nakuru Municipality. </w:t>
      </w:r>
      <w:r>
        <w:rPr>
          <w:i/>
          <w:sz w:val="24"/>
          <w:szCs w:val="24"/>
        </w:rPr>
        <w:t>European Journal of Contemporary Economics and Management,</w:t>
      </w:r>
      <w:r>
        <w:rPr>
          <w:sz w:val="24"/>
          <w:szCs w:val="24"/>
        </w:rPr>
        <w:t>3(1),77-100</w:t>
      </w:r>
    </w:p>
    <w:p w14:paraId="7443F540" w14:textId="77777777" w:rsidR="00EE7762" w:rsidRDefault="00EE7762" w:rsidP="00EE7762">
      <w:pPr>
        <w:spacing w:after="120"/>
        <w:ind w:hanging="720"/>
        <w:jc w:val="both"/>
        <w:rPr>
          <w:sz w:val="24"/>
          <w:szCs w:val="24"/>
        </w:rPr>
      </w:pPr>
      <w:r>
        <w:rPr>
          <w:sz w:val="24"/>
          <w:szCs w:val="24"/>
        </w:rPr>
        <w:t>Oxford Policy Management. (2021). Girls’ Education Project Phase 3 (GEP3) in Nigeria.</w:t>
      </w:r>
    </w:p>
    <w:p w14:paraId="6E24887D" w14:textId="77777777" w:rsidR="00EE7762" w:rsidRDefault="00EE7762" w:rsidP="00EE7762">
      <w:pPr>
        <w:spacing w:after="120"/>
        <w:ind w:hanging="720"/>
        <w:jc w:val="both"/>
        <w:rPr>
          <w:sz w:val="24"/>
          <w:szCs w:val="24"/>
        </w:rPr>
      </w:pPr>
      <w:r>
        <w:rPr>
          <w:sz w:val="24"/>
          <w:szCs w:val="24"/>
        </w:rPr>
        <w:t xml:space="preserve">Republic of Kenya. (2021). National Education Sector Plan 2019-2023. </w:t>
      </w:r>
    </w:p>
    <w:p w14:paraId="0A952783" w14:textId="77777777" w:rsidR="00EE7762" w:rsidRDefault="00EE7762" w:rsidP="00EE7762">
      <w:pPr>
        <w:spacing w:after="120"/>
        <w:ind w:hanging="720"/>
        <w:jc w:val="both"/>
        <w:rPr>
          <w:sz w:val="24"/>
          <w:szCs w:val="24"/>
        </w:rPr>
      </w:pPr>
      <w:proofErr w:type="spellStart"/>
      <w:r>
        <w:rPr>
          <w:sz w:val="24"/>
          <w:szCs w:val="24"/>
        </w:rPr>
        <w:t>Ringera</w:t>
      </w:r>
      <w:proofErr w:type="spellEnd"/>
      <w:r>
        <w:rPr>
          <w:sz w:val="24"/>
          <w:szCs w:val="24"/>
        </w:rPr>
        <w:t xml:space="preserve">, M. M. (2020). </w:t>
      </w:r>
      <w:r>
        <w:rPr>
          <w:i/>
          <w:sz w:val="24"/>
          <w:szCs w:val="24"/>
        </w:rPr>
        <w:t>Home and School Determinants of School Dropouts in Public Mixed Day Secondary Schools in Laikipia County, Kenya</w:t>
      </w:r>
      <w:r>
        <w:rPr>
          <w:sz w:val="24"/>
          <w:szCs w:val="24"/>
        </w:rPr>
        <w:t xml:space="preserve">. Unpublished masters project. </w:t>
      </w:r>
      <w:proofErr w:type="spellStart"/>
      <w:proofErr w:type="gramStart"/>
      <w:r>
        <w:rPr>
          <w:sz w:val="24"/>
          <w:szCs w:val="24"/>
        </w:rPr>
        <w:t>Nairobi:Kenyatta</w:t>
      </w:r>
      <w:proofErr w:type="spellEnd"/>
      <w:proofErr w:type="gramEnd"/>
      <w:r>
        <w:rPr>
          <w:sz w:val="24"/>
          <w:szCs w:val="24"/>
        </w:rPr>
        <w:t xml:space="preserve"> University</w:t>
      </w:r>
    </w:p>
    <w:p w14:paraId="1719890F" w14:textId="77777777" w:rsidR="00EE7762" w:rsidRPr="00AA70D4" w:rsidRDefault="00EE7762" w:rsidP="00EE7762">
      <w:pPr>
        <w:spacing w:after="120"/>
        <w:ind w:hanging="720"/>
        <w:jc w:val="both"/>
      </w:pPr>
      <w:r w:rsidRPr="000C374E">
        <w:t>Rus, A. V., Lee, W. C., Salas, B. D., Parris, S. R., Webster, R. D., Lobo, A. R., ... &amp; Popa, C. (2020). Bronfenbrenner’s ecological system theory and the experience of institutionalization of Romanian children. </w:t>
      </w:r>
      <w:r w:rsidRPr="000C374E">
        <w:rPr>
          <w:i/>
          <w:iCs/>
        </w:rPr>
        <w:t>New approaches in behavioral sciences</w:t>
      </w:r>
      <w:r w:rsidRPr="000C374E">
        <w:t>, 237-251.</w:t>
      </w:r>
    </w:p>
    <w:p w14:paraId="49ABCE54" w14:textId="77777777" w:rsidR="00EE7762" w:rsidRDefault="00EE7762" w:rsidP="00EE7762">
      <w:pPr>
        <w:spacing w:after="120"/>
        <w:ind w:hanging="720"/>
        <w:jc w:val="both"/>
        <w:rPr>
          <w:sz w:val="24"/>
          <w:szCs w:val="24"/>
        </w:rPr>
      </w:pPr>
      <w:r>
        <w:rPr>
          <w:sz w:val="24"/>
          <w:szCs w:val="24"/>
        </w:rPr>
        <w:t>Saunders, M. N. K., </w:t>
      </w:r>
      <w:hyperlink r:id="rId8">
        <w:r>
          <w:rPr>
            <w:color w:val="000000"/>
            <w:sz w:val="24"/>
            <w:szCs w:val="24"/>
            <w:u w:val="single"/>
          </w:rPr>
          <w:t>Bristow, A</w:t>
        </w:r>
      </w:hyperlink>
      <w:r>
        <w:rPr>
          <w:sz w:val="24"/>
          <w:szCs w:val="24"/>
        </w:rPr>
        <w:t>., Thornhill, A., &amp; Lewis, P. (2019). Understanding research philosophy and approaches to theory development. In: Saunders, Mark N. K.; Lewis, Philip and Thornhill, Adrian eds. </w:t>
      </w:r>
      <w:r>
        <w:rPr>
          <w:i/>
          <w:sz w:val="24"/>
          <w:szCs w:val="24"/>
        </w:rPr>
        <w:t xml:space="preserve">Research Methods for Business Students, </w:t>
      </w:r>
      <w:r>
        <w:rPr>
          <w:sz w:val="24"/>
          <w:szCs w:val="24"/>
        </w:rPr>
        <w:t>8th edition</w:t>
      </w:r>
      <w:r>
        <w:rPr>
          <w:i/>
          <w:sz w:val="24"/>
          <w:szCs w:val="24"/>
        </w:rPr>
        <w:t>.</w:t>
      </w:r>
      <w:r>
        <w:rPr>
          <w:sz w:val="24"/>
          <w:szCs w:val="24"/>
        </w:rPr>
        <w:t> Harlow: Pearson Education, pp. 128–171.</w:t>
      </w:r>
    </w:p>
    <w:p w14:paraId="5F174A19" w14:textId="77777777" w:rsidR="00EE7762" w:rsidRDefault="00EE7762" w:rsidP="00EE7762">
      <w:pPr>
        <w:spacing w:after="120"/>
        <w:ind w:hanging="720"/>
        <w:jc w:val="both"/>
        <w:rPr>
          <w:sz w:val="24"/>
          <w:szCs w:val="24"/>
        </w:rPr>
      </w:pPr>
      <w:r>
        <w:rPr>
          <w:sz w:val="24"/>
          <w:szCs w:val="24"/>
        </w:rPr>
        <w:t xml:space="preserve"> Save the Children. (2021). Child Marriage in Kenya: A Scoping Study in Four Counties.</w:t>
      </w:r>
    </w:p>
    <w:p w14:paraId="1B829C44" w14:textId="77777777" w:rsidR="00EE7762" w:rsidRDefault="00EE7762" w:rsidP="00EE7762">
      <w:pPr>
        <w:spacing w:after="120"/>
        <w:ind w:hanging="720"/>
        <w:jc w:val="both"/>
        <w:rPr>
          <w:sz w:val="24"/>
          <w:szCs w:val="24"/>
        </w:rPr>
      </w:pPr>
      <w:r>
        <w:rPr>
          <w:sz w:val="24"/>
          <w:szCs w:val="24"/>
        </w:rPr>
        <w:t xml:space="preserve">Save the Children. (2021). Girls’ Education Challenge: What Works in Girls’ Education  </w:t>
      </w:r>
    </w:p>
    <w:p w14:paraId="7CB1A7DA" w14:textId="77777777" w:rsidR="00EE7762" w:rsidRDefault="00EE7762" w:rsidP="00EE7762">
      <w:pPr>
        <w:spacing w:after="120"/>
        <w:ind w:hanging="720"/>
        <w:jc w:val="both"/>
        <w:rPr>
          <w:sz w:val="24"/>
          <w:szCs w:val="24"/>
        </w:rPr>
      </w:pPr>
      <w:r>
        <w:rPr>
          <w:sz w:val="24"/>
          <w:szCs w:val="24"/>
          <w:highlight w:val="white"/>
        </w:rPr>
        <w:t xml:space="preserve">Sekaran, U., &amp; Bougie, R. (2010). </w:t>
      </w:r>
      <w:r>
        <w:rPr>
          <w:i/>
          <w:sz w:val="24"/>
          <w:szCs w:val="24"/>
          <w:highlight w:val="white"/>
        </w:rPr>
        <w:t>Research methods for business: A skill-building approach</w:t>
      </w:r>
      <w:r>
        <w:rPr>
          <w:sz w:val="24"/>
          <w:szCs w:val="24"/>
          <w:highlight w:val="white"/>
        </w:rPr>
        <w:t xml:space="preserve"> (5th ed.). </w:t>
      </w:r>
      <w:r>
        <w:rPr>
          <w:sz w:val="24"/>
          <w:szCs w:val="24"/>
          <w:highlight w:val="white"/>
        </w:rPr>
        <w:lastRenderedPageBreak/>
        <w:t>Haddington: John Wiley &amp; Sons.</w:t>
      </w:r>
    </w:p>
    <w:p w14:paraId="46815D84" w14:textId="77777777" w:rsidR="00EE7762" w:rsidRDefault="00EE7762" w:rsidP="00EE7762">
      <w:pPr>
        <w:spacing w:after="120"/>
        <w:ind w:hanging="720"/>
        <w:jc w:val="both"/>
        <w:rPr>
          <w:sz w:val="24"/>
          <w:szCs w:val="24"/>
        </w:rPr>
      </w:pPr>
      <w:r>
        <w:rPr>
          <w:sz w:val="24"/>
          <w:szCs w:val="24"/>
        </w:rPr>
        <w:t>UNESCO. (2021). Girls' Education Challenge: Kenya.</w:t>
      </w:r>
    </w:p>
    <w:p w14:paraId="6BED6C97" w14:textId="77777777" w:rsidR="00EE7762" w:rsidRDefault="00EE7762" w:rsidP="00EE7762">
      <w:pPr>
        <w:spacing w:after="120"/>
        <w:ind w:hanging="720"/>
        <w:jc w:val="both"/>
        <w:rPr>
          <w:sz w:val="24"/>
          <w:szCs w:val="24"/>
        </w:rPr>
      </w:pPr>
      <w:r>
        <w:rPr>
          <w:sz w:val="24"/>
          <w:szCs w:val="24"/>
        </w:rPr>
        <w:t>UNESCO. (2021). Global Education Monitoring Report 2021: Gender Report.</w:t>
      </w:r>
    </w:p>
    <w:p w14:paraId="0E6BBC51" w14:textId="77777777" w:rsidR="00EE7762" w:rsidRDefault="00EE7762" w:rsidP="00EE7762">
      <w:pPr>
        <w:spacing w:after="120"/>
        <w:ind w:hanging="720"/>
        <w:jc w:val="both"/>
        <w:rPr>
          <w:sz w:val="24"/>
          <w:szCs w:val="24"/>
        </w:rPr>
      </w:pPr>
      <w:proofErr w:type="spellStart"/>
      <w:r>
        <w:rPr>
          <w:sz w:val="24"/>
          <w:szCs w:val="24"/>
          <w:highlight w:val="white"/>
        </w:rPr>
        <w:t>Vushe</w:t>
      </w:r>
      <w:proofErr w:type="spellEnd"/>
      <w:r>
        <w:rPr>
          <w:sz w:val="24"/>
          <w:szCs w:val="24"/>
          <w:highlight w:val="white"/>
        </w:rPr>
        <w:t xml:space="preserve">, L. (2019). A Qualitative Exploration of the Personal, Schooling and Structural Factors Contributing to High School Learner Dropout in Philippi. Faculty of </w:t>
      </w:r>
      <w:proofErr w:type="gramStart"/>
      <w:r>
        <w:rPr>
          <w:sz w:val="24"/>
          <w:szCs w:val="24"/>
          <w:highlight w:val="white"/>
        </w:rPr>
        <w:t>Humanities ,Department</w:t>
      </w:r>
      <w:proofErr w:type="gramEnd"/>
      <w:r>
        <w:rPr>
          <w:sz w:val="24"/>
          <w:szCs w:val="24"/>
          <w:highlight w:val="white"/>
        </w:rPr>
        <w:t xml:space="preserve"> of Social Development. Retrieved from </w:t>
      </w:r>
      <w:hyperlink r:id="rId9">
        <w:r>
          <w:rPr>
            <w:color w:val="000000"/>
            <w:sz w:val="24"/>
            <w:szCs w:val="24"/>
            <w:highlight w:val="white"/>
            <w:u w:val="single"/>
          </w:rPr>
          <w:t>http://hdl.handle.net/11427/30997</w:t>
        </w:r>
      </w:hyperlink>
    </w:p>
    <w:p w14:paraId="562432C9" w14:textId="77777777" w:rsidR="00EE7762" w:rsidRDefault="00EE7762" w:rsidP="00EE7762">
      <w:pPr>
        <w:spacing w:after="120"/>
        <w:ind w:hanging="720"/>
        <w:jc w:val="both"/>
        <w:rPr>
          <w:sz w:val="24"/>
          <w:szCs w:val="24"/>
        </w:rPr>
      </w:pPr>
      <w:r>
        <w:rPr>
          <w:sz w:val="24"/>
          <w:szCs w:val="24"/>
        </w:rPr>
        <w:t>World Bank. (2021). Poverty and Shared Prosperity 2021: Reversals of Fortune.</w:t>
      </w:r>
    </w:p>
    <w:p w14:paraId="4BD8E56A" w14:textId="77777777" w:rsidR="00EE7762" w:rsidRDefault="00EE7762">
      <w:pPr>
        <w:spacing w:before="280" w:after="280"/>
        <w:ind w:left="567" w:hanging="720"/>
        <w:jc w:val="both"/>
        <w:rPr>
          <w:sz w:val="24"/>
          <w:szCs w:val="24"/>
        </w:rPr>
      </w:pPr>
    </w:p>
    <w:p w14:paraId="31CD6696" w14:textId="77777777" w:rsidR="0018439B" w:rsidRDefault="0018439B">
      <w:pPr>
        <w:pBdr>
          <w:top w:val="nil"/>
          <w:left w:val="nil"/>
          <w:bottom w:val="nil"/>
          <w:right w:val="nil"/>
          <w:between w:val="nil"/>
        </w:pBdr>
        <w:ind w:hanging="720"/>
        <w:jc w:val="both"/>
        <w:rPr>
          <w:color w:val="000000"/>
          <w:sz w:val="24"/>
          <w:szCs w:val="24"/>
        </w:rPr>
      </w:pPr>
    </w:p>
    <w:sectPr w:rsidR="0018439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A5AD1" w14:textId="77777777" w:rsidR="000B4639" w:rsidRDefault="000B4639">
      <w:r>
        <w:separator/>
      </w:r>
    </w:p>
  </w:endnote>
  <w:endnote w:type="continuationSeparator" w:id="0">
    <w:p w14:paraId="6319B2C7" w14:textId="77777777" w:rsidR="000B4639" w:rsidRDefault="000B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4402" w14:textId="77777777" w:rsidR="00340AE0" w:rsidRDefault="00340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505A" w14:textId="51169153" w:rsidR="0018439B" w:rsidRDefault="000B463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719ED">
      <w:rPr>
        <w:noProof/>
        <w:color w:val="000000"/>
      </w:rPr>
      <w:t>4</w:t>
    </w:r>
    <w:r>
      <w:rPr>
        <w:color w:val="000000"/>
      </w:rPr>
      <w:fldChar w:fldCharType="end"/>
    </w:r>
  </w:p>
  <w:p w14:paraId="1F6447AB" w14:textId="77777777" w:rsidR="0018439B" w:rsidRDefault="0018439B">
    <w:pPr>
      <w:pBdr>
        <w:top w:val="nil"/>
        <w:left w:val="nil"/>
        <w:bottom w:val="nil"/>
        <w:right w:val="nil"/>
        <w:between w:val="nil"/>
      </w:pBdr>
      <w:tabs>
        <w:tab w:val="center" w:pos="4680"/>
        <w:tab w:val="right" w:pos="9360"/>
      </w:tabs>
      <w:rPr>
        <w:color w:val="000000"/>
      </w:rPr>
    </w:pPr>
  </w:p>
  <w:p w14:paraId="651E1CB9" w14:textId="77777777" w:rsidR="0018439B" w:rsidRDefault="0018439B"/>
  <w:p w14:paraId="4F40C87D" w14:textId="77777777" w:rsidR="0018439B" w:rsidRDefault="001843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8D5B" w14:textId="77777777" w:rsidR="00340AE0" w:rsidRDefault="0034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21807" w14:textId="77777777" w:rsidR="000B4639" w:rsidRDefault="000B4639">
      <w:r>
        <w:separator/>
      </w:r>
    </w:p>
  </w:footnote>
  <w:footnote w:type="continuationSeparator" w:id="0">
    <w:p w14:paraId="4E06EB5B" w14:textId="77777777" w:rsidR="000B4639" w:rsidRDefault="000B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2F8A" w14:textId="473F4FD9" w:rsidR="00340AE0" w:rsidRDefault="00340AE0">
    <w:pPr>
      <w:pStyle w:val="Header"/>
    </w:pPr>
    <w:r>
      <w:rPr>
        <w:noProof/>
      </w:rPr>
      <w:pict w14:anchorId="3E15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37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C861" w14:textId="5F77F521" w:rsidR="00340AE0" w:rsidRDefault="00340AE0">
    <w:pPr>
      <w:pStyle w:val="Header"/>
    </w:pPr>
    <w:r>
      <w:rPr>
        <w:noProof/>
      </w:rPr>
      <w:pict w14:anchorId="384C3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37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FC99" w14:textId="3BE7DD41" w:rsidR="00340AE0" w:rsidRDefault="00340AE0">
    <w:pPr>
      <w:pStyle w:val="Header"/>
    </w:pPr>
    <w:r>
      <w:rPr>
        <w:noProof/>
      </w:rPr>
      <w:pict w14:anchorId="46C62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37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9B"/>
    <w:rsid w:val="00025502"/>
    <w:rsid w:val="00055C2A"/>
    <w:rsid w:val="0006041B"/>
    <w:rsid w:val="0009478F"/>
    <w:rsid w:val="000B4639"/>
    <w:rsid w:val="00136095"/>
    <w:rsid w:val="0017436D"/>
    <w:rsid w:val="0018439B"/>
    <w:rsid w:val="002C3D04"/>
    <w:rsid w:val="00340AE0"/>
    <w:rsid w:val="00341A97"/>
    <w:rsid w:val="003F6AD6"/>
    <w:rsid w:val="00485ABA"/>
    <w:rsid w:val="00504A9E"/>
    <w:rsid w:val="0054159A"/>
    <w:rsid w:val="00620C05"/>
    <w:rsid w:val="00690D0C"/>
    <w:rsid w:val="006A2782"/>
    <w:rsid w:val="0077201C"/>
    <w:rsid w:val="00925947"/>
    <w:rsid w:val="00956593"/>
    <w:rsid w:val="009B58C3"/>
    <w:rsid w:val="00A719ED"/>
    <w:rsid w:val="00AA516A"/>
    <w:rsid w:val="00AF3D9D"/>
    <w:rsid w:val="00B70209"/>
    <w:rsid w:val="00BC3F15"/>
    <w:rsid w:val="00BF0F79"/>
    <w:rsid w:val="00CA3938"/>
    <w:rsid w:val="00E16D5C"/>
    <w:rsid w:val="00EB76CD"/>
    <w:rsid w:val="00EE3055"/>
    <w:rsid w:val="00EE7762"/>
    <w:rsid w:val="00F1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B81BFD"/>
  <w15:docId w15:val="{10FD0C03-287E-42ED-A1DF-9C7DC2DE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character" w:styleId="Hyperlink">
    <w:name w:val="Hyperlink"/>
    <w:basedOn w:val="DefaultParagraphFont"/>
    <w:uiPriority w:val="99"/>
    <w:unhideWhenUsed/>
    <w:rsid w:val="00EE7762"/>
    <w:rPr>
      <w:color w:val="0000FF" w:themeColor="hyperlink"/>
      <w:u w:val="single"/>
    </w:rPr>
  </w:style>
  <w:style w:type="character" w:styleId="UnresolvedMention">
    <w:name w:val="Unresolved Mention"/>
    <w:basedOn w:val="DefaultParagraphFont"/>
    <w:uiPriority w:val="99"/>
    <w:semiHidden/>
    <w:unhideWhenUsed/>
    <w:rsid w:val="00620C05"/>
    <w:rPr>
      <w:color w:val="605E5C"/>
      <w:shd w:val="clear" w:color="auto" w:fill="E1DFDD"/>
    </w:rPr>
  </w:style>
  <w:style w:type="paragraph" w:styleId="ListParagraph">
    <w:name w:val="List Paragraph"/>
    <w:basedOn w:val="Normal"/>
    <w:uiPriority w:val="34"/>
    <w:qFormat/>
    <w:rsid w:val="0017436D"/>
    <w:pPr>
      <w:ind w:left="720"/>
      <w:contextualSpacing/>
    </w:pPr>
  </w:style>
  <w:style w:type="paragraph" w:styleId="Header">
    <w:name w:val="header"/>
    <w:basedOn w:val="Normal"/>
    <w:link w:val="HeaderChar"/>
    <w:uiPriority w:val="99"/>
    <w:unhideWhenUsed/>
    <w:rsid w:val="00340AE0"/>
    <w:pPr>
      <w:tabs>
        <w:tab w:val="center" w:pos="4680"/>
        <w:tab w:val="right" w:pos="9360"/>
      </w:tabs>
    </w:pPr>
  </w:style>
  <w:style w:type="character" w:customStyle="1" w:styleId="HeaderChar">
    <w:name w:val="Header Char"/>
    <w:basedOn w:val="DefaultParagraphFont"/>
    <w:link w:val="Header"/>
    <w:uiPriority w:val="99"/>
    <w:rsid w:val="00340AE0"/>
  </w:style>
  <w:style w:type="paragraph" w:styleId="Footer">
    <w:name w:val="footer"/>
    <w:basedOn w:val="Normal"/>
    <w:link w:val="FooterChar"/>
    <w:uiPriority w:val="99"/>
    <w:unhideWhenUsed/>
    <w:rsid w:val="00340AE0"/>
    <w:pPr>
      <w:tabs>
        <w:tab w:val="center" w:pos="4680"/>
        <w:tab w:val="right" w:pos="9360"/>
      </w:tabs>
    </w:pPr>
  </w:style>
  <w:style w:type="character" w:customStyle="1" w:styleId="FooterChar">
    <w:name w:val="Footer Char"/>
    <w:basedOn w:val="DefaultParagraphFont"/>
    <w:link w:val="Footer"/>
    <w:uiPriority w:val="99"/>
    <w:rsid w:val="0034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ro.open.ac.uk/view/person/ab36678.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07/s1119902501560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evolution.go.ke/wp-content/uploads/2020/02/Garissa-CIDP-2018-2022.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hdl.handle.net/11427/3099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5681</Words>
  <Characters>32387</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RESEARCH OBJECTIVE</vt:lpstr>
      <vt:lpstr>    RESEARCH HYPOTHESIS</vt:lpstr>
      <vt:lpstr>    DISCUSSIONS OF FINDINGS</vt:lpstr>
    </vt:vector>
  </TitlesOfParts>
  <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1084</cp:lastModifiedBy>
  <cp:revision>21</cp:revision>
  <dcterms:created xsi:type="dcterms:W3CDTF">2025-08-24T12:13:00Z</dcterms:created>
  <dcterms:modified xsi:type="dcterms:W3CDTF">2025-08-25T14:01:00Z</dcterms:modified>
</cp:coreProperties>
</file>