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1DD85" w14:textId="77777777" w:rsidR="003B6AD6" w:rsidRDefault="003B6AD6" w:rsidP="00392AF8">
      <w:pPr>
        <w:spacing w:after="0" w:line="240" w:lineRule="auto"/>
        <w:jc w:val="center"/>
        <w:rPr>
          <w:rFonts w:ascii="Arial" w:hAnsi="Arial" w:cs="Arial"/>
          <w:sz w:val="28"/>
          <w:szCs w:val="28"/>
        </w:rPr>
      </w:pPr>
      <w:r w:rsidRPr="003B6AD6">
        <w:rPr>
          <w:rFonts w:ascii="Arial" w:hAnsi="Arial" w:cs="Arial"/>
          <w:sz w:val="28"/>
          <w:szCs w:val="28"/>
        </w:rPr>
        <w:t xml:space="preserve">Level of Community Participation in Rural Road Maintenance Projects: Insights from </w:t>
      </w:r>
      <w:proofErr w:type="spellStart"/>
      <w:r w:rsidRPr="003B6AD6">
        <w:rPr>
          <w:rFonts w:ascii="Arial" w:hAnsi="Arial" w:cs="Arial"/>
          <w:sz w:val="28"/>
          <w:szCs w:val="28"/>
        </w:rPr>
        <w:t>Babati</w:t>
      </w:r>
      <w:proofErr w:type="spellEnd"/>
      <w:r w:rsidRPr="003B6AD6">
        <w:rPr>
          <w:rFonts w:ascii="Arial" w:hAnsi="Arial" w:cs="Arial"/>
          <w:sz w:val="28"/>
          <w:szCs w:val="28"/>
        </w:rPr>
        <w:t xml:space="preserve"> District Council</w:t>
      </w:r>
    </w:p>
    <w:p w14:paraId="40CBF9A1" w14:textId="77777777" w:rsidR="003B6AD6" w:rsidRDefault="003B6AD6" w:rsidP="00392AF8">
      <w:pPr>
        <w:spacing w:after="0" w:line="240" w:lineRule="auto"/>
        <w:jc w:val="center"/>
        <w:rPr>
          <w:rFonts w:ascii="Arial" w:hAnsi="Arial" w:cs="Arial"/>
          <w:sz w:val="28"/>
          <w:szCs w:val="28"/>
        </w:rPr>
      </w:pPr>
    </w:p>
    <w:p w14:paraId="731A807F" w14:textId="77777777" w:rsidR="004B7D50" w:rsidRDefault="004B7D50" w:rsidP="00703D21">
      <w:pPr>
        <w:jc w:val="both"/>
        <w:rPr>
          <w:rFonts w:ascii="Arial" w:hAnsi="Arial" w:cs="Arial"/>
          <w:b/>
          <w:sz w:val="20"/>
          <w:szCs w:val="20"/>
        </w:rPr>
      </w:pPr>
    </w:p>
    <w:p w14:paraId="28E99075" w14:textId="1291814F" w:rsidR="00703D21" w:rsidRDefault="00703D21" w:rsidP="00703D21">
      <w:pPr>
        <w:jc w:val="both"/>
        <w:rPr>
          <w:rFonts w:ascii="Arial" w:hAnsi="Arial" w:cs="Arial"/>
          <w:b/>
          <w:sz w:val="20"/>
          <w:szCs w:val="20"/>
        </w:rPr>
      </w:pPr>
      <w:bookmarkStart w:id="0" w:name="_GoBack"/>
      <w:bookmarkEnd w:id="0"/>
      <w:r>
        <w:rPr>
          <w:rFonts w:ascii="Arial" w:hAnsi="Arial" w:cs="Arial"/>
          <w:b/>
          <w:sz w:val="20"/>
          <w:szCs w:val="20"/>
        </w:rPr>
        <w:t>Abstract</w:t>
      </w:r>
    </w:p>
    <w:p w14:paraId="235794AC" w14:textId="77777777" w:rsidR="00703D21" w:rsidRPr="00703D21" w:rsidRDefault="00703D21" w:rsidP="00703D21">
      <w:pPr>
        <w:jc w:val="both"/>
        <w:rPr>
          <w:rFonts w:ascii="Arial" w:hAnsi="Arial" w:cs="Arial"/>
          <w:b/>
          <w:sz w:val="20"/>
          <w:szCs w:val="20"/>
        </w:rPr>
      </w:pPr>
      <w:r w:rsidRPr="00703D21">
        <w:rPr>
          <w:rFonts w:ascii="Arial" w:hAnsi="Arial" w:cs="Arial"/>
          <w:sz w:val="20"/>
          <w:szCs w:val="20"/>
        </w:rPr>
        <w:t xml:space="preserve">The sustainability of rural road networks is critical for socio-economic development in Tanzania, particularly in districts where agriculture and trade depend on reliable transport. This study assessed the level of community participation in rural road maintenance projects in </w:t>
      </w:r>
      <w:proofErr w:type="spellStart"/>
      <w:r w:rsidRPr="00703D21">
        <w:rPr>
          <w:rFonts w:ascii="Arial" w:hAnsi="Arial" w:cs="Arial"/>
          <w:sz w:val="20"/>
          <w:szCs w:val="20"/>
        </w:rPr>
        <w:t>Babati</w:t>
      </w:r>
      <w:proofErr w:type="spellEnd"/>
      <w:r w:rsidRPr="00703D21">
        <w:rPr>
          <w:rFonts w:ascii="Arial" w:hAnsi="Arial" w:cs="Arial"/>
          <w:sz w:val="20"/>
          <w:szCs w:val="20"/>
        </w:rPr>
        <w:t xml:space="preserve"> District Council, </w:t>
      </w:r>
      <w:proofErr w:type="spellStart"/>
      <w:r w:rsidRPr="00703D21">
        <w:rPr>
          <w:rFonts w:ascii="Arial" w:hAnsi="Arial" w:cs="Arial"/>
          <w:sz w:val="20"/>
          <w:szCs w:val="20"/>
        </w:rPr>
        <w:t>Manyara</w:t>
      </w:r>
      <w:proofErr w:type="spellEnd"/>
      <w:r w:rsidRPr="00703D21">
        <w:rPr>
          <w:rFonts w:ascii="Arial" w:hAnsi="Arial" w:cs="Arial"/>
          <w:sz w:val="20"/>
          <w:szCs w:val="20"/>
        </w:rPr>
        <w:t xml:space="preserve"> Region, focusing on planning, implementation, and monitoring phases. Using a mixed-methods approach, 399 community members were selected through simple random sampling, complemented by purposively sampled key informants, including local leaders and TARURA officials. Data collection involved structured questionnaires and key informant interviews. Quantitative responses were </w:t>
      </w:r>
      <w:proofErr w:type="spellStart"/>
      <w:r w:rsidRPr="00703D21">
        <w:rPr>
          <w:rFonts w:ascii="Arial" w:hAnsi="Arial" w:cs="Arial"/>
          <w:sz w:val="20"/>
          <w:szCs w:val="20"/>
        </w:rPr>
        <w:t>analyzed</w:t>
      </w:r>
      <w:proofErr w:type="spellEnd"/>
      <w:r w:rsidRPr="00703D21">
        <w:rPr>
          <w:rFonts w:ascii="Arial" w:hAnsi="Arial" w:cs="Arial"/>
          <w:sz w:val="20"/>
          <w:szCs w:val="20"/>
        </w:rPr>
        <w:t xml:space="preserve"> using descriptive statistics and a Participation Index (PI) to classify engagement levels as low, moderate, or high. Findings reveal that a majority (71.7%) of community members exhibited low participation, indicating minimal involvement in decision-making, </w:t>
      </w:r>
      <w:proofErr w:type="spellStart"/>
      <w:r w:rsidRPr="00703D21">
        <w:rPr>
          <w:rFonts w:ascii="Arial" w:hAnsi="Arial" w:cs="Arial"/>
          <w:sz w:val="20"/>
          <w:szCs w:val="20"/>
        </w:rPr>
        <w:t>labor</w:t>
      </w:r>
      <w:proofErr w:type="spellEnd"/>
      <w:r w:rsidRPr="00703D21">
        <w:rPr>
          <w:rFonts w:ascii="Arial" w:hAnsi="Arial" w:cs="Arial"/>
          <w:sz w:val="20"/>
          <w:szCs w:val="20"/>
        </w:rPr>
        <w:t xml:space="preserve"> contribution, and project monitoring. Moderate (16.7%) and high (11.6%) participation was limited to individuals who were often better educated, economically stable, or residing closer to project sites. Low engagement was attributed to inadequate communication, top-down decision-making, limited awareness of participatory processes, and socio-economic constraints, which also restricted marginalized groups, including women, youth, and residents of remote areas, from meaningful involvement. Despite low overall participation, there exists potential to enhance engagement through targeted interventions, such as participatory budgeting, community awareness campaigns, and structured mechanisms to recognize contributions. The study underscores the importance of inclusive and well-structured participation for improving local ownership, accountability, and sustainability of rural road maintenance initiatives. These insights provide practical guidance for policymakers, local authorities, and development partners aiming to strengthen community-driven infrastructure management in Tanzania and similar contexts.</w:t>
      </w:r>
    </w:p>
    <w:p w14:paraId="71EF5EDA" w14:textId="77777777" w:rsidR="00703D21" w:rsidRPr="00703D21" w:rsidRDefault="00703D21" w:rsidP="00703D21">
      <w:pPr>
        <w:jc w:val="both"/>
        <w:rPr>
          <w:rFonts w:ascii="Arial" w:hAnsi="Arial" w:cs="Arial"/>
          <w:sz w:val="20"/>
          <w:szCs w:val="20"/>
        </w:rPr>
      </w:pPr>
    </w:p>
    <w:p w14:paraId="0716BF45" w14:textId="77777777" w:rsidR="00392AF8" w:rsidRPr="00703D21" w:rsidRDefault="00703D21" w:rsidP="00703D21">
      <w:pPr>
        <w:ind w:left="360"/>
        <w:jc w:val="both"/>
        <w:rPr>
          <w:rFonts w:ascii="Arial" w:hAnsi="Arial" w:cs="Arial"/>
          <w:sz w:val="20"/>
          <w:szCs w:val="20"/>
        </w:rPr>
      </w:pPr>
      <w:r w:rsidRPr="00703D21">
        <w:rPr>
          <w:rFonts w:ascii="Arial" w:hAnsi="Arial" w:cs="Arial"/>
          <w:b/>
          <w:i/>
          <w:sz w:val="20"/>
          <w:szCs w:val="20"/>
        </w:rPr>
        <w:t>Keywords</w:t>
      </w:r>
      <w:r w:rsidRPr="00703D21">
        <w:rPr>
          <w:rFonts w:ascii="Arial" w:hAnsi="Arial" w:cs="Arial"/>
          <w:sz w:val="20"/>
          <w:szCs w:val="20"/>
        </w:rPr>
        <w:t xml:space="preserve">: Community participation, rural roads, maintenance projects, </w:t>
      </w:r>
      <w:proofErr w:type="spellStart"/>
      <w:r w:rsidRPr="00703D21">
        <w:rPr>
          <w:rFonts w:ascii="Arial" w:hAnsi="Arial" w:cs="Arial"/>
          <w:sz w:val="20"/>
          <w:szCs w:val="20"/>
        </w:rPr>
        <w:t>Babati</w:t>
      </w:r>
      <w:proofErr w:type="spellEnd"/>
      <w:r w:rsidRPr="00703D21">
        <w:rPr>
          <w:rFonts w:ascii="Arial" w:hAnsi="Arial" w:cs="Arial"/>
          <w:sz w:val="20"/>
          <w:szCs w:val="20"/>
        </w:rPr>
        <w:t xml:space="preserve"> District, Participation Index</w:t>
      </w:r>
    </w:p>
    <w:p w14:paraId="0EB4671A" w14:textId="77777777" w:rsidR="00392AF8" w:rsidRPr="003B6AD6" w:rsidRDefault="00392AF8" w:rsidP="00392AF8">
      <w:pPr>
        <w:pStyle w:val="ListParagraph"/>
        <w:numPr>
          <w:ilvl w:val="0"/>
          <w:numId w:val="2"/>
        </w:numPr>
        <w:jc w:val="both"/>
        <w:rPr>
          <w:rFonts w:ascii="Arial" w:hAnsi="Arial" w:cs="Arial"/>
          <w:b/>
          <w:sz w:val="24"/>
          <w:szCs w:val="24"/>
        </w:rPr>
      </w:pPr>
      <w:r w:rsidRPr="003B6AD6">
        <w:rPr>
          <w:rFonts w:ascii="Arial" w:hAnsi="Arial" w:cs="Arial"/>
          <w:b/>
          <w:sz w:val="24"/>
          <w:szCs w:val="24"/>
        </w:rPr>
        <w:t>INTRODUCTION</w:t>
      </w:r>
    </w:p>
    <w:p w14:paraId="39E40A4A" w14:textId="77777777" w:rsidR="00FF5611" w:rsidRPr="00FF5611" w:rsidRDefault="00FF5611" w:rsidP="00FF5611">
      <w:pPr>
        <w:spacing w:after="0"/>
        <w:jc w:val="both"/>
        <w:rPr>
          <w:rFonts w:ascii="Arial" w:hAnsi="Arial" w:cs="Arial"/>
          <w:sz w:val="24"/>
          <w:szCs w:val="24"/>
        </w:rPr>
      </w:pPr>
      <w:r w:rsidRPr="00FF5611">
        <w:rPr>
          <w:rFonts w:ascii="Arial" w:hAnsi="Arial" w:cs="Arial"/>
          <w:sz w:val="24"/>
          <w:szCs w:val="24"/>
        </w:rPr>
        <w:t>The sustainability of rural road networks is essential for promoting socio-economic development, particularly in developing countries. Well-maintained roads reduce transport costs, facilitate access to markets, schools, and health facilities, and enhance community well-being (Chan et al., 2021; Coppola et al., 2022). Despite their significance, rural road maintenance in many low- and middle-income countries remains inadequate, with poor planning, underfunding, and limited technical expertise leading to deterioration of infrastructure (Herrera et al., 2020; World Bank, 2022). These challenges often undermine rural livelihoods by restricting access to basic services and economic opportunities.</w:t>
      </w:r>
    </w:p>
    <w:p w14:paraId="7C6B9B69" w14:textId="77777777" w:rsidR="00FF5611" w:rsidRPr="00FF5611" w:rsidRDefault="00FF5611" w:rsidP="00FF5611">
      <w:pPr>
        <w:spacing w:after="0"/>
        <w:jc w:val="both"/>
        <w:rPr>
          <w:rFonts w:ascii="Arial" w:hAnsi="Arial" w:cs="Arial"/>
          <w:sz w:val="24"/>
          <w:szCs w:val="24"/>
        </w:rPr>
      </w:pPr>
    </w:p>
    <w:p w14:paraId="473605E1" w14:textId="77777777" w:rsidR="00FF5611" w:rsidRPr="00FF5611" w:rsidRDefault="00FF5611" w:rsidP="00FF5611">
      <w:pPr>
        <w:spacing w:after="0"/>
        <w:jc w:val="both"/>
        <w:rPr>
          <w:rFonts w:ascii="Arial" w:hAnsi="Arial" w:cs="Arial"/>
          <w:sz w:val="24"/>
          <w:szCs w:val="24"/>
        </w:rPr>
      </w:pPr>
      <w:r w:rsidRPr="00FF5611">
        <w:rPr>
          <w:rFonts w:ascii="Arial" w:hAnsi="Arial" w:cs="Arial"/>
          <w:sz w:val="24"/>
          <w:szCs w:val="24"/>
        </w:rPr>
        <w:t>In recent years, community participation has been advanced as an important strategy for improving road maintenance outcomes. Beyond simply involving citizens, examining the level of participation is critical, as participation can range from passive consultation to active decision-making, implementation, and monitoring (</w:t>
      </w:r>
      <w:proofErr w:type="spellStart"/>
      <w:r w:rsidRPr="00FF5611">
        <w:rPr>
          <w:rFonts w:ascii="Arial" w:hAnsi="Arial" w:cs="Arial"/>
          <w:sz w:val="24"/>
          <w:szCs w:val="24"/>
        </w:rPr>
        <w:t>Obiuto</w:t>
      </w:r>
      <w:proofErr w:type="spellEnd"/>
      <w:r w:rsidRPr="00FF5611">
        <w:rPr>
          <w:rFonts w:ascii="Arial" w:hAnsi="Arial" w:cs="Arial"/>
          <w:sz w:val="24"/>
          <w:szCs w:val="24"/>
        </w:rPr>
        <w:t xml:space="preserve">, 2024; </w:t>
      </w:r>
      <w:proofErr w:type="spellStart"/>
      <w:r w:rsidRPr="00FF5611">
        <w:rPr>
          <w:rFonts w:ascii="Arial" w:hAnsi="Arial" w:cs="Arial"/>
          <w:sz w:val="24"/>
          <w:szCs w:val="24"/>
        </w:rPr>
        <w:t>Żelazo</w:t>
      </w:r>
      <w:proofErr w:type="spellEnd"/>
      <w:r w:rsidRPr="00FF5611">
        <w:rPr>
          <w:rFonts w:ascii="Arial" w:hAnsi="Arial" w:cs="Arial"/>
          <w:sz w:val="24"/>
          <w:szCs w:val="24"/>
        </w:rPr>
        <w:t xml:space="preserve">, 2023). Higher levels of engagement are associated with stronger accountability, better alignment of projects with local needs, and greater sustainability of outcomes. Conversely, when participation remains at lower levels, projects often </w:t>
      </w:r>
      <w:r w:rsidRPr="00FF5611">
        <w:rPr>
          <w:rFonts w:ascii="Arial" w:hAnsi="Arial" w:cs="Arial"/>
          <w:sz w:val="24"/>
          <w:szCs w:val="24"/>
        </w:rPr>
        <w:lastRenderedPageBreak/>
        <w:t>suffer from weak ownership, limited effectiveness, and short-lived benefits (Kiss et al., 2022; Wang, 2023).</w:t>
      </w:r>
    </w:p>
    <w:p w14:paraId="7E8C5097" w14:textId="77777777" w:rsidR="00FF5611" w:rsidRPr="00FF5611" w:rsidRDefault="00FF5611" w:rsidP="00FF5611">
      <w:pPr>
        <w:spacing w:after="0"/>
        <w:jc w:val="both"/>
        <w:rPr>
          <w:rFonts w:ascii="Arial" w:hAnsi="Arial" w:cs="Arial"/>
          <w:sz w:val="24"/>
          <w:szCs w:val="24"/>
        </w:rPr>
      </w:pPr>
    </w:p>
    <w:p w14:paraId="67FCB879" w14:textId="77777777" w:rsidR="00FF5611" w:rsidRPr="00FF5611" w:rsidRDefault="00FF5611" w:rsidP="00FF5611">
      <w:pPr>
        <w:spacing w:after="0"/>
        <w:jc w:val="both"/>
        <w:rPr>
          <w:rFonts w:ascii="Arial" w:hAnsi="Arial" w:cs="Arial"/>
          <w:sz w:val="24"/>
          <w:szCs w:val="24"/>
        </w:rPr>
      </w:pPr>
      <w:r w:rsidRPr="00FF5611">
        <w:rPr>
          <w:rFonts w:ascii="Arial" w:hAnsi="Arial" w:cs="Arial"/>
          <w:sz w:val="24"/>
          <w:szCs w:val="24"/>
        </w:rPr>
        <w:t>Evidence from other regions illustrates how deeper community engagement contributes to more effective road management. For example, participatory budgeting initiatives in Latin America have empowered communities to directly influence infrastructure priorities (</w:t>
      </w:r>
      <w:proofErr w:type="spellStart"/>
      <w:r w:rsidRPr="00FF5611">
        <w:rPr>
          <w:rFonts w:ascii="Arial" w:hAnsi="Arial" w:cs="Arial"/>
          <w:sz w:val="24"/>
          <w:szCs w:val="24"/>
        </w:rPr>
        <w:t>Żelazo</w:t>
      </w:r>
      <w:proofErr w:type="spellEnd"/>
      <w:r w:rsidRPr="00FF5611">
        <w:rPr>
          <w:rFonts w:ascii="Arial" w:hAnsi="Arial" w:cs="Arial"/>
          <w:sz w:val="24"/>
          <w:szCs w:val="24"/>
        </w:rPr>
        <w:t>, 2023), while in Africa, programs such as the Rural Access and Mobility Program (RAMP) have mobilized communities to take an active role in rehabilitating and maintaining rural roads (</w:t>
      </w:r>
      <w:proofErr w:type="spellStart"/>
      <w:r w:rsidRPr="00FF5611">
        <w:rPr>
          <w:rFonts w:ascii="Arial" w:hAnsi="Arial" w:cs="Arial"/>
          <w:sz w:val="24"/>
          <w:szCs w:val="24"/>
        </w:rPr>
        <w:t>Lukala</w:t>
      </w:r>
      <w:proofErr w:type="spellEnd"/>
      <w:r w:rsidRPr="00FF5611">
        <w:rPr>
          <w:rFonts w:ascii="Arial" w:hAnsi="Arial" w:cs="Arial"/>
          <w:sz w:val="24"/>
          <w:szCs w:val="24"/>
        </w:rPr>
        <w:t xml:space="preserve">, 2023; </w:t>
      </w:r>
      <w:proofErr w:type="spellStart"/>
      <w:r w:rsidRPr="00FF5611">
        <w:rPr>
          <w:rFonts w:ascii="Arial" w:hAnsi="Arial" w:cs="Arial"/>
          <w:sz w:val="24"/>
          <w:szCs w:val="24"/>
        </w:rPr>
        <w:t>Manyinsa</w:t>
      </w:r>
      <w:proofErr w:type="spellEnd"/>
      <w:r w:rsidRPr="00FF5611">
        <w:rPr>
          <w:rFonts w:ascii="Arial" w:hAnsi="Arial" w:cs="Arial"/>
          <w:sz w:val="24"/>
          <w:szCs w:val="24"/>
        </w:rPr>
        <w:t>, 2018). Nonetheless, these experiences also highlight that the degree of participation often determines the extent of project success. Where participation remains shallow, structural barriers such as poverty, weak governance, and lack of technical capacity continue to limit project sustainability (</w:t>
      </w:r>
      <w:proofErr w:type="spellStart"/>
      <w:r w:rsidRPr="00FF5611">
        <w:rPr>
          <w:rFonts w:ascii="Arial" w:hAnsi="Arial" w:cs="Arial"/>
          <w:sz w:val="24"/>
          <w:szCs w:val="24"/>
        </w:rPr>
        <w:t>Faiz</w:t>
      </w:r>
      <w:proofErr w:type="spellEnd"/>
      <w:r w:rsidRPr="00FF5611">
        <w:rPr>
          <w:rFonts w:ascii="Arial" w:hAnsi="Arial" w:cs="Arial"/>
          <w:sz w:val="24"/>
          <w:szCs w:val="24"/>
        </w:rPr>
        <w:t xml:space="preserve"> &amp; Junaid, 2021; </w:t>
      </w:r>
      <w:proofErr w:type="spellStart"/>
      <w:r w:rsidRPr="00FF5611">
        <w:rPr>
          <w:rFonts w:ascii="Arial" w:hAnsi="Arial" w:cs="Arial"/>
          <w:sz w:val="24"/>
          <w:szCs w:val="24"/>
        </w:rPr>
        <w:t>Ojo</w:t>
      </w:r>
      <w:proofErr w:type="spellEnd"/>
      <w:r w:rsidRPr="00FF5611">
        <w:rPr>
          <w:rFonts w:ascii="Arial" w:hAnsi="Arial" w:cs="Arial"/>
          <w:sz w:val="24"/>
          <w:szCs w:val="24"/>
        </w:rPr>
        <w:t>, 2024).</w:t>
      </w:r>
    </w:p>
    <w:p w14:paraId="653DF177" w14:textId="77777777" w:rsidR="00FF5611" w:rsidRPr="00FF5611" w:rsidRDefault="00FF5611" w:rsidP="00FF5611">
      <w:pPr>
        <w:spacing w:after="0"/>
        <w:jc w:val="both"/>
        <w:rPr>
          <w:rFonts w:ascii="Arial" w:hAnsi="Arial" w:cs="Arial"/>
          <w:sz w:val="24"/>
          <w:szCs w:val="24"/>
        </w:rPr>
      </w:pPr>
    </w:p>
    <w:p w14:paraId="14655792" w14:textId="77777777" w:rsidR="00FF5611" w:rsidRPr="00FF5611" w:rsidRDefault="00FF5611" w:rsidP="00FF5611">
      <w:pPr>
        <w:spacing w:after="0"/>
        <w:jc w:val="both"/>
        <w:rPr>
          <w:rFonts w:ascii="Arial" w:hAnsi="Arial" w:cs="Arial"/>
          <w:sz w:val="24"/>
          <w:szCs w:val="24"/>
        </w:rPr>
      </w:pPr>
      <w:r w:rsidRPr="00FF5611">
        <w:rPr>
          <w:rFonts w:ascii="Arial" w:hAnsi="Arial" w:cs="Arial"/>
          <w:sz w:val="24"/>
          <w:szCs w:val="24"/>
        </w:rPr>
        <w:t xml:space="preserve">In Tanzania, rural road networks are vital to agricultural production, trade, and service delivery. However, maintenance challenges remain significant, particularly in rural districts where community involvement is inconsistent and often superficial (Phiri et al., 2021; </w:t>
      </w:r>
      <w:proofErr w:type="spellStart"/>
      <w:r w:rsidRPr="00FF5611">
        <w:rPr>
          <w:rFonts w:ascii="Arial" w:hAnsi="Arial" w:cs="Arial"/>
          <w:sz w:val="24"/>
          <w:szCs w:val="24"/>
        </w:rPr>
        <w:t>Eyisi</w:t>
      </w:r>
      <w:proofErr w:type="spellEnd"/>
      <w:r w:rsidRPr="00FF5611">
        <w:rPr>
          <w:rFonts w:ascii="Arial" w:hAnsi="Arial" w:cs="Arial"/>
          <w:sz w:val="24"/>
          <w:szCs w:val="24"/>
        </w:rPr>
        <w:t xml:space="preserve"> et al., 2021). The government has attempted to strengthen local engagement through programs such as the Tanzania Social Action Fund (TASAF), which incorporates community participation in road maintenance projects. Yet, the effectiveness of these initiatives has varied widely, with some communities demonstrating high levels of involvement, while others remain disengaged (</w:t>
      </w:r>
      <w:proofErr w:type="spellStart"/>
      <w:r w:rsidRPr="00FF5611">
        <w:rPr>
          <w:rFonts w:ascii="Arial" w:hAnsi="Arial" w:cs="Arial"/>
          <w:sz w:val="24"/>
          <w:szCs w:val="24"/>
        </w:rPr>
        <w:t>Seniwoliba</w:t>
      </w:r>
      <w:proofErr w:type="spellEnd"/>
      <w:r w:rsidRPr="00FF5611">
        <w:rPr>
          <w:rFonts w:ascii="Arial" w:hAnsi="Arial" w:cs="Arial"/>
          <w:sz w:val="24"/>
          <w:szCs w:val="24"/>
        </w:rPr>
        <w:t>, 2022).</w:t>
      </w:r>
    </w:p>
    <w:p w14:paraId="0EDD40C0" w14:textId="77777777" w:rsidR="00FF5611" w:rsidRPr="00FF5611" w:rsidRDefault="00FF5611" w:rsidP="00FF5611">
      <w:pPr>
        <w:spacing w:after="0"/>
        <w:jc w:val="both"/>
        <w:rPr>
          <w:rFonts w:ascii="Arial" w:hAnsi="Arial" w:cs="Arial"/>
          <w:sz w:val="24"/>
          <w:szCs w:val="24"/>
        </w:rPr>
      </w:pPr>
    </w:p>
    <w:p w14:paraId="5909CEE1" w14:textId="77777777" w:rsidR="00FF5611" w:rsidRDefault="00FF5611" w:rsidP="00FF5611">
      <w:pPr>
        <w:spacing w:after="0"/>
        <w:jc w:val="both"/>
        <w:rPr>
          <w:rFonts w:ascii="Arial" w:hAnsi="Arial" w:cs="Arial"/>
          <w:sz w:val="24"/>
          <w:szCs w:val="24"/>
        </w:rPr>
      </w:pPr>
      <w:r w:rsidRPr="00FF5611">
        <w:rPr>
          <w:rFonts w:ascii="Arial" w:hAnsi="Arial" w:cs="Arial"/>
          <w:sz w:val="24"/>
          <w:szCs w:val="24"/>
        </w:rPr>
        <w:t xml:space="preserve">Despite these efforts, the level and quality of community participation remain uneven across districts. Existing studies suggest that participation often remains limited to superficial roles, such as attending meetings or providing </w:t>
      </w:r>
      <w:proofErr w:type="spellStart"/>
      <w:r w:rsidRPr="00FF5611">
        <w:rPr>
          <w:rFonts w:ascii="Arial" w:hAnsi="Arial" w:cs="Arial"/>
          <w:sz w:val="24"/>
          <w:szCs w:val="24"/>
        </w:rPr>
        <w:t>labor</w:t>
      </w:r>
      <w:proofErr w:type="spellEnd"/>
      <w:r w:rsidRPr="00FF5611">
        <w:rPr>
          <w:rFonts w:ascii="Arial" w:hAnsi="Arial" w:cs="Arial"/>
          <w:sz w:val="24"/>
          <w:szCs w:val="24"/>
        </w:rPr>
        <w:t>, without meaningful engagement in decision-making or monitoring processes (</w:t>
      </w:r>
      <w:proofErr w:type="spellStart"/>
      <w:r w:rsidRPr="00FF5611">
        <w:rPr>
          <w:rFonts w:ascii="Arial" w:hAnsi="Arial" w:cs="Arial"/>
          <w:sz w:val="24"/>
          <w:szCs w:val="24"/>
        </w:rPr>
        <w:t>Seniwoliba</w:t>
      </w:r>
      <w:proofErr w:type="spellEnd"/>
      <w:r w:rsidRPr="00FF5611">
        <w:rPr>
          <w:rFonts w:ascii="Arial" w:hAnsi="Arial" w:cs="Arial"/>
          <w:sz w:val="24"/>
          <w:szCs w:val="24"/>
        </w:rPr>
        <w:t>, 2022; Phiri et al., 2021). This indicates that the actual l</w:t>
      </w:r>
      <w:r w:rsidR="004123D3">
        <w:rPr>
          <w:rFonts w:ascii="Arial" w:hAnsi="Arial" w:cs="Arial"/>
          <w:sz w:val="24"/>
          <w:szCs w:val="24"/>
        </w:rPr>
        <w:t xml:space="preserve">evel of community participation </w:t>
      </w:r>
      <w:r w:rsidRPr="00FF5611">
        <w:rPr>
          <w:rFonts w:ascii="Arial" w:hAnsi="Arial" w:cs="Arial"/>
          <w:sz w:val="24"/>
          <w:szCs w:val="24"/>
        </w:rPr>
        <w:t>ranging from passive involv</w:t>
      </w:r>
      <w:r w:rsidR="004123D3">
        <w:rPr>
          <w:rFonts w:ascii="Arial" w:hAnsi="Arial" w:cs="Arial"/>
          <w:sz w:val="24"/>
          <w:szCs w:val="24"/>
        </w:rPr>
        <w:t xml:space="preserve">ement to active decision-making </w:t>
      </w:r>
      <w:r w:rsidRPr="00FF5611">
        <w:rPr>
          <w:rFonts w:ascii="Arial" w:hAnsi="Arial" w:cs="Arial"/>
          <w:sz w:val="24"/>
          <w:szCs w:val="24"/>
        </w:rPr>
        <w:t>has not been sufficiently examin</w:t>
      </w:r>
      <w:r>
        <w:rPr>
          <w:rFonts w:ascii="Arial" w:hAnsi="Arial" w:cs="Arial"/>
          <w:sz w:val="24"/>
          <w:szCs w:val="24"/>
        </w:rPr>
        <w:t>ed in Tanzanian rural contexts.</w:t>
      </w:r>
    </w:p>
    <w:p w14:paraId="6852725D" w14:textId="77777777" w:rsidR="00FF5611" w:rsidRPr="00FF5611" w:rsidRDefault="00FF5611" w:rsidP="00FF5611">
      <w:pPr>
        <w:spacing w:after="0"/>
        <w:jc w:val="both"/>
        <w:rPr>
          <w:rFonts w:ascii="Arial" w:hAnsi="Arial" w:cs="Arial"/>
          <w:sz w:val="24"/>
          <w:szCs w:val="24"/>
        </w:rPr>
      </w:pPr>
    </w:p>
    <w:p w14:paraId="3DFA57D1" w14:textId="77777777" w:rsidR="00FF5611" w:rsidRPr="00FF5611" w:rsidRDefault="00FF5611" w:rsidP="00FF5611">
      <w:pPr>
        <w:spacing w:after="0"/>
        <w:jc w:val="both"/>
        <w:rPr>
          <w:rFonts w:ascii="Arial" w:hAnsi="Arial" w:cs="Arial"/>
          <w:sz w:val="24"/>
          <w:szCs w:val="24"/>
        </w:rPr>
      </w:pPr>
      <w:r w:rsidRPr="00FF5611">
        <w:rPr>
          <w:rFonts w:ascii="Arial" w:hAnsi="Arial" w:cs="Arial"/>
          <w:sz w:val="24"/>
          <w:szCs w:val="24"/>
        </w:rPr>
        <w:t>Moreover, most previous research on rural road maintenance in Tanzania has focused on infrastructural challenges, funding issues, or general community participation without systematically measuring the extent, depth, or determinants of participation in specific local contexts (</w:t>
      </w:r>
      <w:proofErr w:type="spellStart"/>
      <w:r w:rsidRPr="00FF5611">
        <w:rPr>
          <w:rFonts w:ascii="Arial" w:hAnsi="Arial" w:cs="Arial"/>
          <w:sz w:val="24"/>
          <w:szCs w:val="24"/>
        </w:rPr>
        <w:t>Eyisi</w:t>
      </w:r>
      <w:proofErr w:type="spellEnd"/>
      <w:r w:rsidRPr="00FF5611">
        <w:rPr>
          <w:rFonts w:ascii="Arial" w:hAnsi="Arial" w:cs="Arial"/>
          <w:sz w:val="24"/>
          <w:szCs w:val="24"/>
        </w:rPr>
        <w:t xml:space="preserve"> et al., 2021; Wang, 2023). As a result, there is limited empirical evidence on how the level of community engagement influences the sustainability and effectiveness of rural road maintenance projects, particularly in districts like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where rural roads are vital for livelihoods.</w:t>
      </w:r>
    </w:p>
    <w:p w14:paraId="4807B455" w14:textId="77777777" w:rsidR="00FF5611" w:rsidRPr="00FF5611" w:rsidRDefault="00FF5611" w:rsidP="00FF5611">
      <w:pPr>
        <w:spacing w:after="0"/>
        <w:jc w:val="both"/>
        <w:rPr>
          <w:rFonts w:ascii="Arial" w:hAnsi="Arial" w:cs="Arial"/>
          <w:sz w:val="24"/>
          <w:szCs w:val="24"/>
        </w:rPr>
      </w:pPr>
    </w:p>
    <w:p w14:paraId="6A9DFEB0" w14:textId="77777777" w:rsidR="003B6AD6" w:rsidRPr="003B6AD6" w:rsidRDefault="00FF5611" w:rsidP="00FF5611">
      <w:pPr>
        <w:spacing w:after="0"/>
        <w:jc w:val="both"/>
        <w:rPr>
          <w:rFonts w:ascii="Arial" w:hAnsi="Arial" w:cs="Arial"/>
          <w:sz w:val="24"/>
          <w:szCs w:val="24"/>
        </w:rPr>
      </w:pPr>
      <w:r w:rsidRPr="00FF5611">
        <w:rPr>
          <w:rFonts w:ascii="Arial" w:hAnsi="Arial" w:cs="Arial"/>
          <w:sz w:val="24"/>
          <w:szCs w:val="24"/>
        </w:rPr>
        <w:t xml:space="preserve">This gap highlights the need for a focused investigation into the level of community participation in rural road maintenance projects. Understanding not only whether communities participate, but also the extent, quality, and influencing factors of such participation, is essential for designing interventions that strengthen local ownership, improve maintenance outcomes, and ensure sustainable rural infrastructure development. Therefore, this study seeks to assess the level of community </w:t>
      </w:r>
      <w:r w:rsidRPr="00FF5611">
        <w:rPr>
          <w:rFonts w:ascii="Arial" w:hAnsi="Arial" w:cs="Arial"/>
          <w:sz w:val="24"/>
          <w:szCs w:val="24"/>
        </w:rPr>
        <w:lastRenderedPageBreak/>
        <w:t xml:space="preserve">participation in rural road maintenance projects in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District Council, providing critical insights to inform both local practices and national policy strategies.</w:t>
      </w:r>
    </w:p>
    <w:p w14:paraId="4A408FA9" w14:textId="77777777" w:rsidR="003B6AD6" w:rsidRPr="003B6AD6" w:rsidRDefault="003B6AD6" w:rsidP="003B6AD6">
      <w:pPr>
        <w:pStyle w:val="Heading2"/>
        <w:jc w:val="both"/>
        <w:rPr>
          <w:rFonts w:ascii="Arial" w:hAnsi="Arial" w:cs="Arial"/>
          <w:sz w:val="24"/>
          <w:szCs w:val="24"/>
        </w:rPr>
      </w:pPr>
    </w:p>
    <w:p w14:paraId="29D42B8D" w14:textId="77777777" w:rsidR="00392AF8" w:rsidRPr="003B6AD6" w:rsidRDefault="00392AF8" w:rsidP="003B6AD6">
      <w:pPr>
        <w:jc w:val="both"/>
        <w:rPr>
          <w:rFonts w:ascii="Arial" w:hAnsi="Arial" w:cs="Arial"/>
          <w:sz w:val="24"/>
          <w:szCs w:val="24"/>
        </w:rPr>
      </w:pPr>
    </w:p>
    <w:p w14:paraId="4B977BF1" w14:textId="77777777" w:rsidR="00392AF8" w:rsidRPr="00762D57" w:rsidRDefault="00FF5611" w:rsidP="00392AF8">
      <w:pPr>
        <w:pStyle w:val="ListParagraph"/>
        <w:numPr>
          <w:ilvl w:val="0"/>
          <w:numId w:val="2"/>
        </w:numPr>
        <w:jc w:val="both"/>
        <w:rPr>
          <w:rFonts w:ascii="Arial" w:hAnsi="Arial" w:cs="Arial"/>
          <w:b/>
          <w:sz w:val="24"/>
          <w:szCs w:val="24"/>
        </w:rPr>
      </w:pPr>
      <w:r w:rsidRPr="00762D57">
        <w:rPr>
          <w:rFonts w:ascii="Arial" w:hAnsi="Arial" w:cs="Arial"/>
          <w:b/>
          <w:sz w:val="24"/>
          <w:szCs w:val="24"/>
        </w:rPr>
        <w:t>METHODOLOGY</w:t>
      </w:r>
    </w:p>
    <w:p w14:paraId="0D7A9D7A" w14:textId="77777777" w:rsidR="00FF5611" w:rsidRPr="00762D57" w:rsidRDefault="00FF5611" w:rsidP="00FF5611">
      <w:pPr>
        <w:pStyle w:val="ListParagraph"/>
        <w:numPr>
          <w:ilvl w:val="1"/>
          <w:numId w:val="2"/>
        </w:numPr>
        <w:jc w:val="both"/>
        <w:rPr>
          <w:rFonts w:ascii="Arial" w:hAnsi="Arial" w:cs="Arial"/>
          <w:b/>
          <w:sz w:val="24"/>
          <w:szCs w:val="24"/>
        </w:rPr>
      </w:pPr>
      <w:r w:rsidRPr="00762D57">
        <w:rPr>
          <w:rFonts w:ascii="Arial" w:hAnsi="Arial" w:cs="Arial"/>
          <w:b/>
          <w:sz w:val="24"/>
          <w:szCs w:val="24"/>
        </w:rPr>
        <w:t>Description of the Study Area</w:t>
      </w:r>
    </w:p>
    <w:p w14:paraId="33F80B64" w14:textId="77777777" w:rsidR="00FF5611" w:rsidRDefault="00FF5611" w:rsidP="00FF5611">
      <w:pPr>
        <w:jc w:val="both"/>
        <w:rPr>
          <w:rFonts w:ascii="Arial" w:hAnsi="Arial" w:cs="Arial"/>
          <w:sz w:val="24"/>
          <w:szCs w:val="24"/>
        </w:rPr>
      </w:pPr>
      <w:r w:rsidRPr="00FF5611">
        <w:rPr>
          <w:rFonts w:ascii="Arial" w:hAnsi="Arial" w:cs="Arial"/>
          <w:sz w:val="24"/>
          <w:szCs w:val="24"/>
        </w:rPr>
        <w:t xml:space="preserve">The study was conducted in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District Council, </w:t>
      </w:r>
      <w:proofErr w:type="spellStart"/>
      <w:r w:rsidRPr="00FF5611">
        <w:rPr>
          <w:rFonts w:ascii="Arial" w:hAnsi="Arial" w:cs="Arial"/>
          <w:sz w:val="24"/>
          <w:szCs w:val="24"/>
        </w:rPr>
        <w:t>Manyara</w:t>
      </w:r>
      <w:proofErr w:type="spellEnd"/>
      <w:r w:rsidRPr="00FF5611">
        <w:rPr>
          <w:rFonts w:ascii="Arial" w:hAnsi="Arial" w:cs="Arial"/>
          <w:sz w:val="24"/>
          <w:szCs w:val="24"/>
        </w:rPr>
        <w:t xml:space="preserve"> Region, which encompasses both rural and semi-urban areas. The district’s road network includes about 223.5 km of trunk roads and numerous feeder roads connecting communities to markets, schools, and healthcare facilities, many of which are managed by TARURA. Despite this, a large portion of the roads remains in poor condition, posing transportation challenges and limiting local economic development. These characteristics make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an appropriate setting to assess the level of community participation in road maintenance projects. A sketch map of the study area is shown in Figure 1.</w:t>
      </w:r>
    </w:p>
    <w:p w14:paraId="4DD9CC66" w14:textId="77777777" w:rsidR="00FF5611" w:rsidRDefault="00FF5611" w:rsidP="00FF5611">
      <w:pPr>
        <w:jc w:val="both"/>
        <w:rPr>
          <w:rFonts w:ascii="Arial" w:hAnsi="Arial" w:cs="Arial"/>
          <w:sz w:val="24"/>
          <w:szCs w:val="24"/>
        </w:rPr>
      </w:pPr>
    </w:p>
    <w:p w14:paraId="3783536D" w14:textId="77777777" w:rsidR="00FF5611" w:rsidRPr="00FF5611" w:rsidRDefault="00FF5611" w:rsidP="00FF5611">
      <w:pPr>
        <w:jc w:val="both"/>
        <w:rPr>
          <w:rFonts w:ascii="Arial" w:hAnsi="Arial" w:cs="Arial"/>
          <w:sz w:val="24"/>
          <w:szCs w:val="24"/>
        </w:rPr>
      </w:pPr>
      <w:r w:rsidRPr="00FF5611">
        <w:rPr>
          <w:rFonts w:ascii="Aptos" w:eastAsia="Aptos" w:hAnsi="Aptos" w:cs="Times New Roman"/>
          <w:noProof/>
          <w:color w:val="FF0000"/>
          <w:sz w:val="24"/>
          <w:szCs w:val="24"/>
          <w:lang w:eastAsia="en-GB"/>
        </w:rPr>
        <w:drawing>
          <wp:inline distT="0" distB="0" distL="0" distR="0" wp14:anchorId="5CBE7383" wp14:editId="11623D43">
            <wp:extent cx="4215865" cy="2362835"/>
            <wp:effectExtent l="0" t="0" r="0" b="0"/>
            <wp:docPr id="1" name="Picture 1" descr="C:\Users\Lucy\Desktop\IMG_20250621_20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esktop\IMG_20250621_2015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035" cy="2370216"/>
                    </a:xfrm>
                    <a:prstGeom prst="rect">
                      <a:avLst/>
                    </a:prstGeom>
                    <a:ln>
                      <a:noFill/>
                    </a:ln>
                    <a:effectLst>
                      <a:softEdge rad="112500"/>
                    </a:effectLst>
                  </pic:spPr>
                </pic:pic>
              </a:graphicData>
            </a:graphic>
          </wp:inline>
        </w:drawing>
      </w:r>
    </w:p>
    <w:p w14:paraId="4424456E" w14:textId="77777777" w:rsidR="00325923" w:rsidRPr="00FF5611" w:rsidRDefault="00325923" w:rsidP="00FF5611">
      <w:pPr>
        <w:jc w:val="both"/>
        <w:rPr>
          <w:rFonts w:ascii="Arial" w:hAnsi="Arial" w:cs="Arial"/>
          <w:sz w:val="24"/>
          <w:szCs w:val="24"/>
        </w:rPr>
      </w:pPr>
      <w:r w:rsidRPr="00325923">
        <w:rPr>
          <w:rFonts w:ascii="Arial" w:hAnsi="Arial" w:cs="Arial"/>
          <w:sz w:val="24"/>
          <w:szCs w:val="24"/>
        </w:rPr>
        <w:t>Figure1: Sketch map showing the study area</w:t>
      </w:r>
    </w:p>
    <w:p w14:paraId="3E8855B7" w14:textId="77777777" w:rsidR="00FF5611" w:rsidRPr="00325923" w:rsidRDefault="00325923" w:rsidP="00FF5611">
      <w:pPr>
        <w:pStyle w:val="ListParagraph"/>
        <w:numPr>
          <w:ilvl w:val="1"/>
          <w:numId w:val="2"/>
        </w:numPr>
        <w:jc w:val="both"/>
        <w:rPr>
          <w:rFonts w:ascii="Arial" w:hAnsi="Arial" w:cs="Arial"/>
          <w:b/>
          <w:sz w:val="24"/>
          <w:szCs w:val="24"/>
        </w:rPr>
      </w:pPr>
      <w:r w:rsidRPr="00325923">
        <w:rPr>
          <w:rFonts w:ascii="Arial" w:hAnsi="Arial" w:cs="Arial"/>
          <w:b/>
          <w:sz w:val="24"/>
          <w:szCs w:val="24"/>
        </w:rPr>
        <w:t>Study Population</w:t>
      </w:r>
    </w:p>
    <w:p w14:paraId="0F4D35A2" w14:textId="77777777" w:rsidR="00325923" w:rsidRDefault="00325923" w:rsidP="00325923">
      <w:pPr>
        <w:jc w:val="both"/>
        <w:rPr>
          <w:rFonts w:ascii="Arial" w:hAnsi="Arial" w:cs="Arial"/>
          <w:sz w:val="24"/>
          <w:szCs w:val="24"/>
        </w:rPr>
      </w:pPr>
      <w:r w:rsidRPr="00325923">
        <w:rPr>
          <w:rFonts w:ascii="Arial" w:hAnsi="Arial" w:cs="Arial"/>
          <w:sz w:val="24"/>
          <w:szCs w:val="24"/>
        </w:rPr>
        <w:t xml:space="preserve">The study targeted community members actively involved in road maintenance projects in </w:t>
      </w:r>
      <w:proofErr w:type="spellStart"/>
      <w:r w:rsidRPr="00325923">
        <w:rPr>
          <w:rFonts w:ascii="Arial" w:hAnsi="Arial" w:cs="Arial"/>
          <w:sz w:val="24"/>
          <w:szCs w:val="24"/>
        </w:rPr>
        <w:t>Babati</w:t>
      </w:r>
      <w:proofErr w:type="spellEnd"/>
      <w:r w:rsidRPr="00325923">
        <w:rPr>
          <w:rFonts w:ascii="Arial" w:hAnsi="Arial" w:cs="Arial"/>
          <w:sz w:val="24"/>
          <w:szCs w:val="24"/>
        </w:rPr>
        <w:t xml:space="preserve"> District Council. These individuals participate in planning, implementation, and monitoring, providing critical insights into the level of community participation, the central focus of this research. With an estimated population of 129,572 (2022 National Census) and diverse socio-economic backgrounds, the district offers an opportunity to explore how participation levels and their impacts vary across different demographic groups.</w:t>
      </w:r>
    </w:p>
    <w:p w14:paraId="200F4DC3" w14:textId="77777777" w:rsidR="00255F00" w:rsidRPr="00325923" w:rsidRDefault="00255F00" w:rsidP="00325923">
      <w:pPr>
        <w:jc w:val="both"/>
        <w:rPr>
          <w:rFonts w:ascii="Arial" w:hAnsi="Arial" w:cs="Arial"/>
          <w:sz w:val="24"/>
          <w:szCs w:val="24"/>
        </w:rPr>
      </w:pPr>
    </w:p>
    <w:p w14:paraId="0626F761" w14:textId="77777777" w:rsidR="00FF5611" w:rsidRPr="00192C7B" w:rsidRDefault="00FF5611" w:rsidP="00FF5611">
      <w:pPr>
        <w:pStyle w:val="ListParagraph"/>
        <w:numPr>
          <w:ilvl w:val="1"/>
          <w:numId w:val="2"/>
        </w:numPr>
        <w:jc w:val="both"/>
        <w:rPr>
          <w:rFonts w:ascii="Arial" w:hAnsi="Arial" w:cs="Arial"/>
          <w:b/>
          <w:sz w:val="24"/>
          <w:szCs w:val="24"/>
        </w:rPr>
      </w:pPr>
      <w:r w:rsidRPr="00192C7B">
        <w:rPr>
          <w:rFonts w:ascii="Arial" w:hAnsi="Arial" w:cs="Arial"/>
          <w:b/>
          <w:sz w:val="24"/>
          <w:szCs w:val="24"/>
        </w:rPr>
        <w:t>S</w:t>
      </w:r>
      <w:r w:rsidR="00192C7B" w:rsidRPr="00192C7B">
        <w:rPr>
          <w:rFonts w:ascii="Arial" w:hAnsi="Arial" w:cs="Arial"/>
          <w:b/>
          <w:sz w:val="24"/>
          <w:szCs w:val="24"/>
        </w:rPr>
        <w:t>ampling Procedure</w:t>
      </w:r>
    </w:p>
    <w:p w14:paraId="1FECE6EF" w14:textId="77777777" w:rsidR="00192C7B" w:rsidRPr="00192C7B" w:rsidRDefault="00192C7B" w:rsidP="00192C7B">
      <w:pPr>
        <w:jc w:val="both"/>
        <w:rPr>
          <w:rFonts w:ascii="Arial" w:hAnsi="Arial" w:cs="Arial"/>
          <w:sz w:val="24"/>
          <w:szCs w:val="24"/>
        </w:rPr>
      </w:pPr>
      <w:r w:rsidRPr="00192C7B">
        <w:rPr>
          <w:rFonts w:ascii="Arial" w:hAnsi="Arial" w:cs="Arial"/>
          <w:sz w:val="24"/>
          <w:szCs w:val="24"/>
        </w:rPr>
        <w:lastRenderedPageBreak/>
        <w:t xml:space="preserve">This study employed a simple random sampling technique to select community members engaged in road maintenance projects, ensuring that every individual in the target population had an equal opportunity to participate. This method was well-suited to the diverse population of </w:t>
      </w:r>
      <w:proofErr w:type="spellStart"/>
      <w:r w:rsidRPr="00192C7B">
        <w:rPr>
          <w:rFonts w:ascii="Arial" w:hAnsi="Arial" w:cs="Arial"/>
          <w:sz w:val="24"/>
          <w:szCs w:val="24"/>
        </w:rPr>
        <w:t>Babati</w:t>
      </w:r>
      <w:proofErr w:type="spellEnd"/>
      <w:r w:rsidRPr="00192C7B">
        <w:rPr>
          <w:rFonts w:ascii="Arial" w:hAnsi="Arial" w:cs="Arial"/>
          <w:sz w:val="24"/>
          <w:szCs w:val="24"/>
        </w:rPr>
        <w:t xml:space="preserve"> District Council, as it reduced selection bias and enhanced t</w:t>
      </w:r>
      <w:r>
        <w:rPr>
          <w:rFonts w:ascii="Arial" w:hAnsi="Arial" w:cs="Arial"/>
          <w:sz w:val="24"/>
          <w:szCs w:val="24"/>
        </w:rPr>
        <w:t>he reliability of the findings.</w:t>
      </w:r>
    </w:p>
    <w:p w14:paraId="5E64161F" w14:textId="77777777" w:rsidR="00192C7B" w:rsidRPr="00192C7B" w:rsidRDefault="00192C7B" w:rsidP="00192C7B">
      <w:pPr>
        <w:jc w:val="both"/>
        <w:rPr>
          <w:rFonts w:ascii="Arial" w:hAnsi="Arial" w:cs="Arial"/>
          <w:sz w:val="24"/>
          <w:szCs w:val="24"/>
        </w:rPr>
      </w:pPr>
      <w:r w:rsidRPr="00192C7B">
        <w:rPr>
          <w:rFonts w:ascii="Arial" w:hAnsi="Arial" w:cs="Arial"/>
          <w:sz w:val="24"/>
          <w:szCs w:val="24"/>
        </w:rPr>
        <w:t>Additionally, key informants were selected using a purposive sampling approach to capture specialized knowledge and insights relevant to the study. These informants included local leaders, the project manager, and the TARURA Regional Manager, all of whom are directly involved in road maintenance activities and policy implementation. Combining simple random sampling for community members with purposive sampling for key informants enabled the study to collect both representative data and in-depth perspectives essential for understanding the level of community participation in road maintenance projects.</w:t>
      </w:r>
    </w:p>
    <w:p w14:paraId="40B17F0D" w14:textId="77777777" w:rsidR="00FF5611" w:rsidRPr="00472004" w:rsidRDefault="00192C7B" w:rsidP="00FF5611">
      <w:pPr>
        <w:pStyle w:val="ListParagraph"/>
        <w:numPr>
          <w:ilvl w:val="1"/>
          <w:numId w:val="2"/>
        </w:numPr>
        <w:jc w:val="both"/>
        <w:rPr>
          <w:rFonts w:ascii="Arial" w:hAnsi="Arial" w:cs="Arial"/>
          <w:b/>
          <w:sz w:val="24"/>
          <w:szCs w:val="24"/>
        </w:rPr>
      </w:pPr>
      <w:r w:rsidRPr="00472004">
        <w:rPr>
          <w:rFonts w:ascii="Arial" w:hAnsi="Arial" w:cs="Arial"/>
          <w:b/>
          <w:sz w:val="24"/>
          <w:szCs w:val="24"/>
        </w:rPr>
        <w:t>Sample Size</w:t>
      </w:r>
    </w:p>
    <w:p w14:paraId="7463DCC0" w14:textId="77777777" w:rsidR="00192C7B" w:rsidRDefault="00472004" w:rsidP="00192C7B">
      <w:pPr>
        <w:spacing w:after="0" w:line="240" w:lineRule="auto"/>
        <w:jc w:val="both"/>
        <w:rPr>
          <w:rFonts w:ascii="Arial" w:hAnsi="Arial" w:cs="Arial"/>
          <w:sz w:val="24"/>
          <w:szCs w:val="24"/>
        </w:rPr>
      </w:pPr>
      <w:r w:rsidRPr="00472004">
        <w:rPr>
          <w:rFonts w:ascii="Arial" w:hAnsi="Arial" w:cs="Arial"/>
          <w:sz w:val="24"/>
          <w:szCs w:val="24"/>
        </w:rPr>
        <w:t xml:space="preserve">The sample size for this study was determined using the Yamane formula and practical considerations based on the target population of 129,572. According to Yamane (1967), the sample should be sufficiently representative to allow the findings to be generalized to the wider community. Applying a 95% confidence level and a 5% margin of error, the Yamane formula was used to calculate an appropriate sample size. Accordingly, a sample of 399 community members was selected from the population of </w:t>
      </w:r>
      <w:proofErr w:type="spellStart"/>
      <w:r w:rsidRPr="00472004">
        <w:rPr>
          <w:rFonts w:ascii="Arial" w:hAnsi="Arial" w:cs="Arial"/>
          <w:sz w:val="24"/>
          <w:szCs w:val="24"/>
        </w:rPr>
        <w:t>Babati</w:t>
      </w:r>
      <w:proofErr w:type="spellEnd"/>
      <w:r w:rsidRPr="00472004">
        <w:rPr>
          <w:rFonts w:ascii="Arial" w:hAnsi="Arial" w:cs="Arial"/>
          <w:sz w:val="24"/>
          <w:szCs w:val="24"/>
        </w:rPr>
        <w:t xml:space="preserve"> District Council for this study.</w:t>
      </w:r>
    </w:p>
    <w:p w14:paraId="3618B972" w14:textId="77777777" w:rsidR="00472004" w:rsidRPr="00192C7B" w:rsidRDefault="00472004" w:rsidP="00192C7B">
      <w:pPr>
        <w:spacing w:after="0" w:line="240" w:lineRule="auto"/>
        <w:jc w:val="both"/>
        <w:rPr>
          <w:rFonts w:ascii="Aptos" w:eastAsia="Aptos" w:hAnsi="Aptos" w:cs="Times New Roman"/>
          <w:sz w:val="24"/>
          <w:szCs w:val="24"/>
          <w:lang w:val="en-US"/>
        </w:rPr>
      </w:pPr>
    </w:p>
    <w:p w14:paraId="6D8F2274" w14:textId="77777777" w:rsidR="00192C7B" w:rsidRPr="00192C7B" w:rsidRDefault="00192C7B" w:rsidP="00192C7B">
      <w:pPr>
        <w:spacing w:after="0" w:line="240" w:lineRule="auto"/>
        <w:jc w:val="both"/>
        <w:rPr>
          <w:rFonts w:ascii="Aptos" w:eastAsia="Times New Roman" w:hAnsi="Aptos" w:cs="Times New Roman"/>
          <w:sz w:val="24"/>
          <w:szCs w:val="24"/>
          <w:lang w:val="en-US"/>
        </w:rPr>
      </w:pPr>
      <m:oMathPara>
        <m:oMathParaPr>
          <m:jc m:val="center"/>
        </m:oMathParaPr>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w:rPr>
                  <w:rFonts w:ascii="Cambria Math" w:eastAsia="Aptos" w:hAnsi="Cambria Math" w:cs="Times New Roman"/>
                  <w:sz w:val="24"/>
                  <w:szCs w:val="24"/>
                  <w:lang w:val="en-US"/>
                </w:rPr>
                <m:t>N</m:t>
              </m:r>
            </m:num>
            <m:den>
              <m:r>
                <w:rPr>
                  <w:rFonts w:ascii="Cambria Math" w:eastAsia="Aptos" w:hAnsi="Cambria Math" w:cs="Times New Roman"/>
                  <w:sz w:val="24"/>
                  <w:szCs w:val="24"/>
                  <w:lang w:val="en-US"/>
                </w:rPr>
                <m:t>1+N(</m:t>
              </m:r>
              <m:sSup>
                <m:sSupPr>
                  <m:ctrlPr>
                    <w:rPr>
                      <w:rFonts w:ascii="Cambria Math" w:eastAsia="Aptos" w:hAnsi="Cambria Math" w:cs="Times New Roman"/>
                      <w:i/>
                      <w:sz w:val="24"/>
                      <w:szCs w:val="24"/>
                      <w:lang w:val="en-US"/>
                    </w:rPr>
                  </m:ctrlPr>
                </m:sSupPr>
                <m:e>
                  <m:r>
                    <w:rPr>
                      <w:rFonts w:ascii="Cambria Math" w:eastAsia="Aptos" w:hAnsi="Cambria Math" w:cs="Times New Roman"/>
                      <w:sz w:val="24"/>
                      <w:szCs w:val="24"/>
                      <w:lang w:val="en-US"/>
                    </w:rPr>
                    <m:t>e)</m:t>
                  </m:r>
                </m:e>
                <m:sup>
                  <m:r>
                    <w:rPr>
                      <w:rFonts w:ascii="Cambria Math" w:eastAsia="Aptos" w:hAnsi="Cambria Math" w:cs="Times New Roman"/>
                      <w:sz w:val="24"/>
                      <w:szCs w:val="24"/>
                      <w:lang w:val="en-US"/>
                    </w:rPr>
                    <m:t>2</m:t>
                  </m:r>
                </m:sup>
              </m:sSup>
            </m:den>
          </m:f>
        </m:oMath>
      </m:oMathPara>
    </w:p>
    <w:p w14:paraId="2729A664"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Whereby n is the sample size, N is the population size, and e is the margin of error.</w:t>
      </w:r>
    </w:p>
    <w:p w14:paraId="03E113B0"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 xml:space="preserve">So, </w:t>
      </w:r>
    </w:p>
    <w:p w14:paraId="6CBCF3BE" w14:textId="77777777" w:rsidR="00192C7B" w:rsidRDefault="00192C7B" w:rsidP="00192C7B">
      <w:pPr>
        <w:tabs>
          <w:tab w:val="left" w:pos="1176"/>
        </w:tabs>
        <w:jc w:val="both"/>
        <w:rPr>
          <w:rFonts w:ascii="Arial" w:hAnsi="Arial" w:cs="Arial"/>
          <w:sz w:val="24"/>
          <w:szCs w:val="24"/>
        </w:rPr>
      </w:pPr>
      <w:r>
        <w:rPr>
          <w:rFonts w:ascii="Arial" w:hAnsi="Arial" w:cs="Arial"/>
          <w:sz w:val="24"/>
          <w:szCs w:val="24"/>
        </w:rPr>
        <w:tab/>
      </w:r>
    </w:p>
    <w:p w14:paraId="27DFB1B1"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 xml:space="preserve">So, </w:t>
      </w:r>
    </w:p>
    <w:p w14:paraId="4BB09BE8" w14:textId="77777777" w:rsidR="00192C7B" w:rsidRPr="00472004" w:rsidRDefault="00192C7B" w:rsidP="00192C7B">
      <w:pPr>
        <w:spacing w:after="0" w:line="240" w:lineRule="auto"/>
        <w:jc w:val="both"/>
        <w:rPr>
          <w:rFonts w:ascii="Aptos" w:eastAsia="Aptos" w:hAnsi="Aptos" w:cs="Times New Roman"/>
          <w:sz w:val="24"/>
          <w:szCs w:val="24"/>
          <w:lang w:val="en-US"/>
        </w:rPr>
      </w:pPr>
      <m:oMathPara>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1+</m:t>
              </m:r>
              <m:r>
                <m:rPr>
                  <m:sty m:val="p"/>
                </m:rPr>
                <w:rPr>
                  <w:rFonts w:ascii="Cambria Math" w:eastAsia="Aptos" w:hAnsi="Cambria Math" w:cs="Times New Roman"/>
                  <w:sz w:val="24"/>
                  <w:szCs w:val="24"/>
                  <w:lang w:val="en-US"/>
                </w:rPr>
                <m:t>129,572×</m:t>
              </m:r>
              <m:sSup>
                <m:sSupPr>
                  <m:ctrlPr>
                    <w:rPr>
                      <w:rFonts w:ascii="Cambria Math" w:eastAsia="Aptos" w:hAnsi="Cambria Math" w:cs="Times New Roman"/>
                      <w:sz w:val="24"/>
                      <w:szCs w:val="24"/>
                      <w:lang w:val="en-US"/>
                    </w:rPr>
                  </m:ctrlPr>
                </m:sSupPr>
                <m:e>
                  <m:r>
                    <w:rPr>
                      <w:rFonts w:ascii="Cambria Math" w:eastAsia="Aptos" w:hAnsi="Cambria Math" w:cs="Times New Roman"/>
                      <w:sz w:val="24"/>
                      <w:szCs w:val="24"/>
                      <w:lang w:val="en-US"/>
                    </w:rPr>
                    <m:t>(0.05)</m:t>
                  </m:r>
                </m:e>
                <m:sup>
                  <m:r>
                    <w:rPr>
                      <w:rFonts w:ascii="Cambria Math" w:eastAsia="Aptos" w:hAnsi="Cambria Math" w:cs="Times New Roman"/>
                      <w:sz w:val="24"/>
                      <w:szCs w:val="24"/>
                      <w:lang w:val="en-US"/>
                    </w:rPr>
                    <m:t>2</m:t>
                  </m:r>
                </m:sup>
              </m:sSup>
            </m:den>
          </m:f>
          <m:r>
            <w:rPr>
              <w:rFonts w:ascii="Cambria Math" w:eastAsia="Aptos" w:hAnsi="Cambria Math" w:cs="Times New Roman"/>
              <w:sz w:val="24"/>
              <w:szCs w:val="24"/>
              <w:lang w:val="en-US"/>
            </w:rPr>
            <m:t>=</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324.93</m:t>
              </m:r>
            </m:den>
          </m:f>
          <m:r>
            <w:rPr>
              <w:rFonts w:ascii="Cambria Math" w:eastAsia="Aptos" w:hAnsi="Cambria Math" w:cs="Times New Roman"/>
              <w:sz w:val="24"/>
              <w:szCs w:val="24"/>
              <w:lang w:val="en-US"/>
            </w:rPr>
            <m:t>=398.77≈399</m:t>
          </m:r>
        </m:oMath>
      </m:oMathPara>
    </w:p>
    <w:p w14:paraId="5159ED7F" w14:textId="77777777" w:rsidR="00472004" w:rsidRPr="00192C7B" w:rsidRDefault="00472004" w:rsidP="00192C7B">
      <w:pPr>
        <w:spacing w:after="0" w:line="240" w:lineRule="auto"/>
        <w:jc w:val="both"/>
        <w:rPr>
          <w:rFonts w:ascii="Aptos" w:eastAsia="Aptos" w:hAnsi="Aptos" w:cs="Times New Roman"/>
          <w:sz w:val="24"/>
          <w:szCs w:val="24"/>
          <w:lang w:val="en-US"/>
        </w:rPr>
      </w:pPr>
    </w:p>
    <w:p w14:paraId="01F8EF4B" w14:textId="77777777" w:rsidR="00FF5611" w:rsidRPr="00294F93" w:rsidRDefault="00472004" w:rsidP="00FF5611">
      <w:pPr>
        <w:pStyle w:val="ListParagraph"/>
        <w:numPr>
          <w:ilvl w:val="1"/>
          <w:numId w:val="2"/>
        </w:numPr>
        <w:jc w:val="both"/>
        <w:rPr>
          <w:rFonts w:ascii="Arial" w:hAnsi="Arial" w:cs="Arial"/>
          <w:b/>
          <w:sz w:val="24"/>
          <w:szCs w:val="24"/>
        </w:rPr>
      </w:pPr>
      <w:r w:rsidRPr="00294F93">
        <w:rPr>
          <w:rFonts w:ascii="Arial" w:hAnsi="Arial" w:cs="Arial"/>
          <w:b/>
          <w:sz w:val="24"/>
          <w:szCs w:val="24"/>
        </w:rPr>
        <w:t>Data Collection Methods</w:t>
      </w:r>
    </w:p>
    <w:p w14:paraId="4600AEAB" w14:textId="77777777" w:rsidR="00472004" w:rsidRPr="00294F93" w:rsidRDefault="00472004" w:rsidP="00472004">
      <w:pPr>
        <w:pStyle w:val="ListParagraph"/>
        <w:numPr>
          <w:ilvl w:val="2"/>
          <w:numId w:val="2"/>
        </w:numPr>
        <w:jc w:val="both"/>
        <w:rPr>
          <w:rFonts w:ascii="Arial" w:hAnsi="Arial" w:cs="Arial"/>
          <w:b/>
          <w:sz w:val="24"/>
          <w:szCs w:val="24"/>
        </w:rPr>
      </w:pPr>
      <w:r w:rsidRPr="00294F93">
        <w:rPr>
          <w:rFonts w:ascii="Arial" w:hAnsi="Arial" w:cs="Arial"/>
          <w:b/>
          <w:sz w:val="24"/>
          <w:szCs w:val="24"/>
        </w:rPr>
        <w:t>Questionnaire</w:t>
      </w:r>
    </w:p>
    <w:p w14:paraId="2339A639" w14:textId="77777777" w:rsidR="00472004" w:rsidRDefault="00472004" w:rsidP="00472004">
      <w:pPr>
        <w:jc w:val="both"/>
        <w:rPr>
          <w:rFonts w:ascii="Arial" w:hAnsi="Arial" w:cs="Arial"/>
          <w:sz w:val="24"/>
          <w:szCs w:val="24"/>
        </w:rPr>
      </w:pPr>
      <w:r w:rsidRPr="00472004">
        <w:rPr>
          <w:rFonts w:ascii="Arial" w:hAnsi="Arial" w:cs="Arial"/>
          <w:sz w:val="24"/>
          <w:szCs w:val="24"/>
        </w:rPr>
        <w:t xml:space="preserve">Structured questionnaires were employed to collect quantitative data from community members engaged in rural road maintenance projects in </w:t>
      </w:r>
      <w:proofErr w:type="spellStart"/>
      <w:r w:rsidRPr="00472004">
        <w:rPr>
          <w:rFonts w:ascii="Arial" w:hAnsi="Arial" w:cs="Arial"/>
          <w:sz w:val="24"/>
          <w:szCs w:val="24"/>
        </w:rPr>
        <w:t>Babati</w:t>
      </w:r>
      <w:proofErr w:type="spellEnd"/>
      <w:r w:rsidRPr="00472004">
        <w:rPr>
          <w:rFonts w:ascii="Arial" w:hAnsi="Arial" w:cs="Arial"/>
          <w:sz w:val="24"/>
          <w:szCs w:val="24"/>
        </w:rPr>
        <w:t xml:space="preserve"> District Council, Tanzania. The instrument was designed to assess the level of community participation in these projects. It examined aspects such as involvement in planning, implementation, and monitoring of road maintenance activities. Comprising primarily closed-ended questions, the questionnaires ensured consistent responses and facilitated systematic statistical analysis. The data provided comprehensive insights into the </w:t>
      </w:r>
      <w:r w:rsidR="00294F93">
        <w:rPr>
          <w:rFonts w:ascii="Arial" w:hAnsi="Arial" w:cs="Arial"/>
          <w:sz w:val="24"/>
          <w:szCs w:val="24"/>
        </w:rPr>
        <w:t>level</w:t>
      </w:r>
      <w:r w:rsidRPr="00472004">
        <w:rPr>
          <w:rFonts w:ascii="Arial" w:hAnsi="Arial" w:cs="Arial"/>
          <w:sz w:val="24"/>
          <w:szCs w:val="24"/>
        </w:rPr>
        <w:t xml:space="preserve"> and nature of community participation, highlighting how community members engage in sustaining rural road infrastructure.</w:t>
      </w:r>
    </w:p>
    <w:p w14:paraId="75AAA9DA" w14:textId="77777777" w:rsidR="00255F00" w:rsidRPr="00472004" w:rsidRDefault="00255F00" w:rsidP="00472004">
      <w:pPr>
        <w:jc w:val="both"/>
        <w:rPr>
          <w:rFonts w:ascii="Arial" w:hAnsi="Arial" w:cs="Arial"/>
          <w:sz w:val="24"/>
          <w:szCs w:val="24"/>
        </w:rPr>
      </w:pPr>
    </w:p>
    <w:p w14:paraId="2F430589" w14:textId="77777777" w:rsidR="00472004" w:rsidRPr="00294F93" w:rsidRDefault="00294F93" w:rsidP="00472004">
      <w:pPr>
        <w:pStyle w:val="ListParagraph"/>
        <w:numPr>
          <w:ilvl w:val="2"/>
          <w:numId w:val="2"/>
        </w:numPr>
        <w:jc w:val="both"/>
        <w:rPr>
          <w:rFonts w:ascii="Arial" w:hAnsi="Arial" w:cs="Arial"/>
          <w:b/>
          <w:sz w:val="24"/>
          <w:szCs w:val="24"/>
        </w:rPr>
      </w:pPr>
      <w:r w:rsidRPr="00294F93">
        <w:rPr>
          <w:rFonts w:ascii="Arial" w:hAnsi="Arial" w:cs="Arial"/>
          <w:b/>
          <w:sz w:val="24"/>
          <w:szCs w:val="24"/>
        </w:rPr>
        <w:lastRenderedPageBreak/>
        <w:t xml:space="preserve">Key </w:t>
      </w:r>
      <w:proofErr w:type="gramStart"/>
      <w:r w:rsidRPr="00294F93">
        <w:rPr>
          <w:rFonts w:ascii="Arial" w:hAnsi="Arial" w:cs="Arial"/>
          <w:b/>
          <w:sz w:val="24"/>
          <w:szCs w:val="24"/>
        </w:rPr>
        <w:t>informants</w:t>
      </w:r>
      <w:proofErr w:type="gramEnd"/>
      <w:r w:rsidRPr="00294F93">
        <w:rPr>
          <w:rFonts w:ascii="Arial" w:hAnsi="Arial" w:cs="Arial"/>
          <w:b/>
          <w:sz w:val="24"/>
          <w:szCs w:val="24"/>
        </w:rPr>
        <w:t xml:space="preserve"> interview</w:t>
      </w:r>
    </w:p>
    <w:p w14:paraId="39381DA1" w14:textId="77777777" w:rsidR="00294F93" w:rsidRPr="00294F93" w:rsidRDefault="00294F93" w:rsidP="00294F93">
      <w:pPr>
        <w:jc w:val="both"/>
        <w:rPr>
          <w:rFonts w:ascii="Arial" w:hAnsi="Arial" w:cs="Arial"/>
          <w:sz w:val="24"/>
          <w:szCs w:val="24"/>
        </w:rPr>
      </w:pPr>
      <w:r w:rsidRPr="00294F93">
        <w:rPr>
          <w:rFonts w:ascii="Arial" w:hAnsi="Arial" w:cs="Arial"/>
          <w:sz w:val="24"/>
          <w:szCs w:val="24"/>
        </w:rPr>
        <w:t xml:space="preserve">Key informant interviews were conducted to collect qualitative data from individuals with specialized knowledge and direct involvement in rural road maintenance projects in </w:t>
      </w:r>
      <w:proofErr w:type="spellStart"/>
      <w:r w:rsidRPr="00294F93">
        <w:rPr>
          <w:rFonts w:ascii="Arial" w:hAnsi="Arial" w:cs="Arial"/>
          <w:sz w:val="24"/>
          <w:szCs w:val="24"/>
        </w:rPr>
        <w:t>Babati</w:t>
      </w:r>
      <w:proofErr w:type="spellEnd"/>
      <w:r w:rsidRPr="00294F93">
        <w:rPr>
          <w:rFonts w:ascii="Arial" w:hAnsi="Arial" w:cs="Arial"/>
          <w:sz w:val="24"/>
          <w:szCs w:val="24"/>
        </w:rPr>
        <w:t xml:space="preserve"> District Council, Tanzania. The key informants included local leaders, the project manager, and the TARURA Regional Manager. These interviews explored the extent and nature of community participation in road maintenance activities, including involvement in planning, implementation, and monitoring processes. Engaging these key stakeholders provided in-depth insights into how community members participate in sustaining rural road infrastructure, and offered perspectives that complemented the quantitative data collected from the broader community.</w:t>
      </w:r>
    </w:p>
    <w:p w14:paraId="38D5808E" w14:textId="77777777" w:rsidR="00472004" w:rsidRPr="00674627" w:rsidRDefault="00294F93" w:rsidP="00FF5611">
      <w:pPr>
        <w:pStyle w:val="ListParagraph"/>
        <w:numPr>
          <w:ilvl w:val="1"/>
          <w:numId w:val="2"/>
        </w:numPr>
        <w:jc w:val="both"/>
        <w:rPr>
          <w:rFonts w:ascii="Arial" w:hAnsi="Arial" w:cs="Arial"/>
          <w:b/>
          <w:sz w:val="24"/>
          <w:szCs w:val="24"/>
        </w:rPr>
      </w:pPr>
      <w:r w:rsidRPr="00674627">
        <w:rPr>
          <w:rFonts w:ascii="Arial" w:hAnsi="Arial" w:cs="Arial"/>
          <w:b/>
          <w:sz w:val="24"/>
          <w:szCs w:val="24"/>
        </w:rPr>
        <w:t>Data Analysis</w:t>
      </w:r>
    </w:p>
    <w:p w14:paraId="71B1A3F8" w14:textId="77777777" w:rsidR="00294F93" w:rsidRPr="00294F93" w:rsidRDefault="00294F93" w:rsidP="00294F93">
      <w:pPr>
        <w:jc w:val="both"/>
        <w:rPr>
          <w:rFonts w:ascii="Arial" w:hAnsi="Arial" w:cs="Arial"/>
          <w:sz w:val="24"/>
          <w:szCs w:val="24"/>
        </w:rPr>
      </w:pPr>
      <w:r>
        <w:rPr>
          <w:rFonts w:ascii="Arial" w:hAnsi="Arial" w:cs="Arial"/>
          <w:sz w:val="24"/>
          <w:szCs w:val="24"/>
        </w:rPr>
        <w:t>In order t</w:t>
      </w:r>
      <w:r w:rsidRPr="00294F93">
        <w:rPr>
          <w:rFonts w:ascii="Arial" w:hAnsi="Arial" w:cs="Arial"/>
          <w:sz w:val="24"/>
          <w:szCs w:val="24"/>
        </w:rPr>
        <w:t>o assess the level of community participation in road maintenance projects, responses from community members were summarized using descriptive statistics, including means, standard deviations, and frequency distributions. These measures provided insights into central tendencies and variability in participation levels. Additionally, a Participation Index (PI) was calculated to synthesize responses across multiple dimensions, yielding a composite score that reflects each participant's overall engagement level. The PI is a composite measure designed to quantify the extent of individual or community involvement across different facets of participation (</w:t>
      </w:r>
      <w:proofErr w:type="spellStart"/>
      <w:r w:rsidR="000C6CA6" w:rsidRPr="000C6CA6">
        <w:rPr>
          <w:rFonts w:ascii="Arial" w:hAnsi="Arial" w:cs="Arial"/>
          <w:sz w:val="24"/>
          <w:szCs w:val="24"/>
        </w:rPr>
        <w:t>Khodyakov</w:t>
      </w:r>
      <w:proofErr w:type="spellEnd"/>
      <w:r w:rsidR="000C6CA6" w:rsidRPr="000C6CA6">
        <w:rPr>
          <w:rFonts w:ascii="Arial" w:hAnsi="Arial" w:cs="Arial"/>
          <w:sz w:val="24"/>
          <w:szCs w:val="24"/>
        </w:rPr>
        <w:t xml:space="preserve"> et al., 2013</w:t>
      </w:r>
      <w:r w:rsidRPr="00294F93">
        <w:rPr>
          <w:rFonts w:ascii="Arial" w:hAnsi="Arial" w:cs="Arial"/>
          <w:sz w:val="24"/>
          <w:szCs w:val="24"/>
        </w:rPr>
        <w:t>). Its formulation draws on methodologies that aggregate multiple indicators to evaluate complex social phenomena, often employing linear aggregation techniques with equal or differential weighting based on t</w:t>
      </w:r>
      <w:r>
        <w:rPr>
          <w:rFonts w:ascii="Arial" w:hAnsi="Arial" w:cs="Arial"/>
          <w:sz w:val="24"/>
          <w:szCs w:val="24"/>
        </w:rPr>
        <w:t>he relevance of each component.</w:t>
      </w:r>
    </w:p>
    <w:p w14:paraId="46EC5FDF" w14:textId="77777777" w:rsidR="00294F93" w:rsidRPr="00294F93" w:rsidRDefault="00294F93" w:rsidP="00294F93">
      <w:pPr>
        <w:jc w:val="both"/>
        <w:rPr>
          <w:rFonts w:ascii="Arial" w:hAnsi="Arial" w:cs="Arial"/>
          <w:sz w:val="24"/>
          <w:szCs w:val="24"/>
        </w:rPr>
      </w:pPr>
      <w:r w:rsidRPr="00294F93">
        <w:rPr>
          <w:rFonts w:ascii="Arial" w:hAnsi="Arial" w:cs="Arial"/>
          <w:sz w:val="24"/>
          <w:szCs w:val="24"/>
        </w:rPr>
        <w:t>In this study, responses to Likert-scale items across various participation dimensions were aggregated to compute the PI. This approach enabled a nuanced understanding of participation levels, capturing both the breadth and depth of engagement among community members.</w:t>
      </w:r>
    </w:p>
    <w:p w14:paraId="7526D4BC"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The Participation Index was calculated using the following formula:</w:t>
      </w:r>
      <w:r w:rsidRPr="00294F93">
        <w:rPr>
          <w:rFonts w:ascii="Arial" w:eastAsia="Calibri" w:hAnsi="Arial" w:cs="Arial"/>
          <w:sz w:val="24"/>
          <w:szCs w:val="24"/>
        </w:rPr>
        <w:tab/>
      </w:r>
    </w:p>
    <w:p w14:paraId="6DBC319F" w14:textId="77777777" w:rsidR="00294F93" w:rsidRPr="00294F93" w:rsidRDefault="00294F93" w:rsidP="00294F93">
      <w:pPr>
        <w:spacing w:line="240" w:lineRule="auto"/>
        <w:jc w:val="both"/>
        <w:rPr>
          <w:rFonts w:ascii="Arial" w:eastAsia="Calibri" w:hAnsi="Arial" w:cs="Arial"/>
          <w:sz w:val="24"/>
          <w:szCs w:val="24"/>
        </w:rPr>
      </w:pPr>
      <m:oMathPara>
        <m:oMathParaPr>
          <m:jc m:val="center"/>
        </m:oMathParaPr>
        <m:oMath>
          <m:r>
            <w:rPr>
              <w:rFonts w:ascii="Cambria Math" w:eastAsia="Calibri" w:hAnsi="Cambria Math" w:cs="Arial"/>
              <w:sz w:val="24"/>
              <w:szCs w:val="24"/>
            </w:rPr>
            <m:t>PI=</m:t>
          </m:r>
          <m:f>
            <m:fPr>
              <m:ctrlPr>
                <w:rPr>
                  <w:rFonts w:ascii="Cambria Math" w:eastAsia="Calibri" w:hAnsi="Cambria Math" w:cs="Arial"/>
                  <w:i/>
                  <w:sz w:val="24"/>
                  <w:szCs w:val="24"/>
                </w:rPr>
              </m:ctrlPr>
            </m:fPr>
            <m:num>
              <m:nary>
                <m:naryPr>
                  <m:chr m:val="∑"/>
                  <m:limLoc m:val="undOvr"/>
                  <m:ctrlPr>
                    <w:rPr>
                      <w:rFonts w:ascii="Cambria Math" w:eastAsia="Calibri" w:hAnsi="Cambria Math" w:cs="Arial"/>
                      <w:i/>
                      <w:sz w:val="24"/>
                      <w:szCs w:val="24"/>
                    </w:rPr>
                  </m:ctrlPr>
                </m:naryPr>
                <m:sub>
                  <m:r>
                    <w:rPr>
                      <w:rFonts w:ascii="Cambria Math" w:eastAsia="Calibri" w:hAnsi="Cambria Math" w:cs="Arial"/>
                      <w:sz w:val="24"/>
                      <w:szCs w:val="24"/>
                    </w:rPr>
                    <m:t>i=1</m:t>
                  </m:r>
                </m:sub>
                <m:sup>
                  <m:r>
                    <w:rPr>
                      <w:rFonts w:ascii="Cambria Math" w:eastAsia="Calibri" w:hAnsi="Cambria Math" w:cs="Arial"/>
                      <w:sz w:val="24"/>
                      <w:szCs w:val="24"/>
                    </w:rPr>
                    <m:t>n</m:t>
                  </m:r>
                </m:sup>
                <m:e>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i</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W</m:t>
                      </m:r>
                    </m:e>
                    <m:sub>
                      <m:r>
                        <w:rPr>
                          <w:rFonts w:ascii="Cambria Math" w:eastAsia="Calibri" w:hAnsi="Cambria Math" w:cs="Arial"/>
                          <w:sz w:val="24"/>
                          <w:szCs w:val="24"/>
                        </w:rPr>
                        <m:t>i</m:t>
                      </m:r>
                    </m:sub>
                  </m:sSub>
                </m:e>
              </m:nary>
            </m:num>
            <m:den>
              <m:r>
                <w:rPr>
                  <w:rFonts w:ascii="Cambria Math" w:eastAsia="Calibri" w:hAnsi="Cambria Math" w:cs="Arial"/>
                  <w:sz w:val="24"/>
                  <w:szCs w:val="24"/>
                </w:rPr>
                <m:t>T</m:t>
              </m:r>
            </m:den>
          </m:f>
        </m:oMath>
      </m:oMathPara>
    </w:p>
    <w:p w14:paraId="67C88E61"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Where:</w:t>
      </w:r>
    </w:p>
    <w:p w14:paraId="140B158E" w14:textId="77777777"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X</w:t>
      </w:r>
      <w:r w:rsidRPr="00294F93">
        <w:rPr>
          <w:rFonts w:ascii="Arial" w:eastAsia="Calibri" w:hAnsi="Arial" w:cs="Arial"/>
          <w:sz w:val="24"/>
          <w:szCs w:val="24"/>
          <w:vertAlign w:val="subscript"/>
        </w:rPr>
        <w:t>i</w:t>
      </w:r>
      <w:r w:rsidRPr="00294F93">
        <w:rPr>
          <w:rFonts w:ascii="Arial" w:eastAsia="Calibri" w:hAnsi="Arial" w:cs="Arial"/>
          <w:sz w:val="24"/>
          <w:szCs w:val="24"/>
        </w:rPr>
        <w:t xml:space="preserve"> ​ is the response score on the Likert scale for each item measuring community participation (a Likert scale ranging from 1 to 5, where 1 = "strongly disagree" and 5 = "strongly agree").</w:t>
      </w:r>
    </w:p>
    <w:p w14:paraId="084694CC" w14:textId="77777777"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W</w:t>
      </w:r>
      <w:r w:rsidRPr="00294F93">
        <w:rPr>
          <w:rFonts w:ascii="Arial" w:eastAsia="Calibri" w:hAnsi="Arial" w:cs="Arial"/>
          <w:sz w:val="24"/>
          <w:szCs w:val="24"/>
          <w:vertAlign w:val="subscript"/>
        </w:rPr>
        <w:t>i</w:t>
      </w:r>
      <w:r w:rsidRPr="00294F93">
        <w:rPr>
          <w:rFonts w:ascii="Arial" w:eastAsia="Calibri" w:hAnsi="Arial" w:cs="Arial"/>
          <w:sz w:val="24"/>
          <w:szCs w:val="24"/>
        </w:rPr>
        <w:t xml:space="preserve"> ​ is the weight assigned to each item, reflecting its relative importance in measuring community participation. If all aspects are considered equally important, each dimension may receive an equal weight (e.g., Wi=1). If some aspects are considered more critical (such as participation in decision-making versus implementation), higher weights can be assigned to those items.</w:t>
      </w:r>
    </w:p>
    <w:p w14:paraId="16C71008" w14:textId="77777777"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 xml:space="preserve">T is the total score, which represents the maximum score a respondent could achieve if they answered "strongly agree" (5) to all questions. This is calculated as the sum of the weighted maximum possible scores for each participation dimension. The categorization of PI scores into levels such as "Low," "Moderate," and "High" </w:t>
      </w:r>
      <w:r w:rsidRPr="00294F93">
        <w:rPr>
          <w:rFonts w:ascii="Arial" w:eastAsia="Calibri" w:hAnsi="Arial" w:cs="Arial"/>
          <w:sz w:val="24"/>
          <w:szCs w:val="24"/>
        </w:rPr>
        <w:lastRenderedPageBreak/>
        <w:t>participation was typically based on the range of the Likert scale used in the survey instrument. For a 5-point Likert scale, the following thresholds are commonly applied:</w:t>
      </w:r>
    </w:p>
    <w:p w14:paraId="6DBEC60A"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Low Participation: PI between 1.00 and 2.49</w:t>
      </w:r>
    </w:p>
    <w:p w14:paraId="4AC0643E"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Moderate Participation: PI between 2.50 and 3.49</w:t>
      </w:r>
    </w:p>
    <w:p w14:paraId="51D28D0B" w14:textId="77777777" w:rsid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High Participation: PI between 3.50 and 5.00</w:t>
      </w:r>
    </w:p>
    <w:p w14:paraId="1579B5C4" w14:textId="77777777" w:rsidR="002171DD" w:rsidRPr="00294F93" w:rsidRDefault="002171DD" w:rsidP="00294F93">
      <w:pPr>
        <w:spacing w:after="0" w:line="240" w:lineRule="auto"/>
        <w:jc w:val="both"/>
        <w:rPr>
          <w:rFonts w:ascii="Arial" w:eastAsia="Calibri" w:hAnsi="Arial" w:cs="Arial"/>
          <w:sz w:val="24"/>
          <w:szCs w:val="24"/>
        </w:rPr>
      </w:pPr>
    </w:p>
    <w:p w14:paraId="793EE0B7" w14:textId="77777777" w:rsidR="00FF5611" w:rsidRDefault="00294F93" w:rsidP="002171DD">
      <w:pPr>
        <w:spacing w:after="0" w:line="240" w:lineRule="auto"/>
        <w:jc w:val="both"/>
        <w:rPr>
          <w:rFonts w:ascii="Arial" w:eastAsia="Calibri" w:hAnsi="Arial" w:cs="Arial"/>
          <w:sz w:val="24"/>
          <w:szCs w:val="24"/>
        </w:rPr>
      </w:pPr>
      <w:r w:rsidRPr="00294F93">
        <w:rPr>
          <w:rFonts w:ascii="Arial" w:eastAsia="Calibri" w:hAnsi="Arial" w:cs="Arial"/>
          <w:sz w:val="24"/>
          <w:szCs w:val="24"/>
        </w:rPr>
        <w:t xml:space="preserve">These classification thresholds align with the approach suggested by </w:t>
      </w:r>
      <w:proofErr w:type="spellStart"/>
      <w:r w:rsidRPr="00294F93">
        <w:rPr>
          <w:rFonts w:ascii="Arial" w:eastAsia="Calibri" w:hAnsi="Arial" w:cs="Arial"/>
          <w:sz w:val="24"/>
          <w:szCs w:val="24"/>
        </w:rPr>
        <w:t>Alkharusi</w:t>
      </w:r>
      <w:proofErr w:type="spellEnd"/>
      <w:r w:rsidRPr="00294F93">
        <w:rPr>
          <w:rFonts w:ascii="Arial" w:eastAsia="Calibri" w:hAnsi="Arial" w:cs="Arial"/>
          <w:sz w:val="24"/>
          <w:szCs w:val="24"/>
        </w:rPr>
        <w:t xml:space="preserve"> (2022), who recommended dividing the Likert scale range into equal intervals to categorize response levels. This method provides a standardized framework for interpreting Likert scale data in educational and psychological research.</w:t>
      </w:r>
    </w:p>
    <w:p w14:paraId="7C3FB560" w14:textId="77777777" w:rsidR="002171DD" w:rsidRPr="002171DD" w:rsidRDefault="002171DD" w:rsidP="002171DD">
      <w:pPr>
        <w:spacing w:after="0" w:line="240" w:lineRule="auto"/>
        <w:jc w:val="both"/>
        <w:rPr>
          <w:rFonts w:ascii="Arial" w:eastAsia="Calibri" w:hAnsi="Arial" w:cs="Arial"/>
          <w:sz w:val="24"/>
          <w:szCs w:val="24"/>
        </w:rPr>
      </w:pPr>
    </w:p>
    <w:p w14:paraId="331E2F78" w14:textId="77777777" w:rsidR="00392AF8" w:rsidRPr="00270E62" w:rsidRDefault="002171DD" w:rsidP="00392AF8">
      <w:pPr>
        <w:pStyle w:val="ListParagraph"/>
        <w:numPr>
          <w:ilvl w:val="0"/>
          <w:numId w:val="2"/>
        </w:numPr>
        <w:jc w:val="both"/>
        <w:rPr>
          <w:rFonts w:ascii="Arial" w:hAnsi="Arial" w:cs="Arial"/>
          <w:b/>
          <w:sz w:val="24"/>
          <w:szCs w:val="24"/>
        </w:rPr>
      </w:pPr>
      <w:r w:rsidRPr="00270E62">
        <w:rPr>
          <w:rFonts w:ascii="Arial" w:hAnsi="Arial" w:cs="Arial"/>
          <w:b/>
          <w:sz w:val="24"/>
          <w:szCs w:val="24"/>
        </w:rPr>
        <w:t>RESULTS AND DISCUSSION</w:t>
      </w:r>
    </w:p>
    <w:p w14:paraId="280FD15B" w14:textId="77777777" w:rsidR="002171DD" w:rsidRPr="00270E62" w:rsidRDefault="002171DD" w:rsidP="002171DD">
      <w:pPr>
        <w:pStyle w:val="ListParagraph"/>
        <w:numPr>
          <w:ilvl w:val="1"/>
          <w:numId w:val="2"/>
        </w:numPr>
        <w:rPr>
          <w:rFonts w:ascii="Arial" w:hAnsi="Arial" w:cs="Arial"/>
          <w:b/>
          <w:sz w:val="24"/>
          <w:szCs w:val="24"/>
        </w:rPr>
      </w:pPr>
      <w:r w:rsidRPr="00270E62">
        <w:rPr>
          <w:rFonts w:ascii="Arial" w:hAnsi="Arial" w:cs="Arial"/>
          <w:b/>
          <w:sz w:val="24"/>
          <w:szCs w:val="24"/>
        </w:rPr>
        <w:t>Demographic Characteristics of Respondents</w:t>
      </w:r>
    </w:p>
    <w:p w14:paraId="01DF63D5"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This section presents the demographic profile of the respondents, providing context for understanding the level of community participation in rural road maintenance projects 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Key characteristics examined include age, gender, education level, employment status, income, and proximity to the road projects. These characteristics help interpret patterns of engagement in planning, implementat</w:t>
      </w:r>
      <w:r w:rsidR="00AE040C">
        <w:rPr>
          <w:rFonts w:ascii="Arial" w:hAnsi="Arial" w:cs="Arial"/>
          <w:sz w:val="24"/>
          <w:szCs w:val="24"/>
        </w:rPr>
        <w:t>ion, and monitoring activities.</w:t>
      </w:r>
    </w:p>
    <w:p w14:paraId="720598B3"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The results, summarized in Table 1, reveal important insights into community participation dynamics. The majority of participants were male (61.2%), indicating higher male involvement in road maintenance activities compared to females (38.8%). Nonetheless, the substantial female participation observed challenges traditional gender norms and aligns with </w:t>
      </w:r>
      <w:proofErr w:type="spellStart"/>
      <w:r w:rsidRPr="00270E62">
        <w:rPr>
          <w:rFonts w:ascii="Arial" w:hAnsi="Arial" w:cs="Arial"/>
          <w:sz w:val="24"/>
          <w:szCs w:val="24"/>
        </w:rPr>
        <w:t>Seniwoliba</w:t>
      </w:r>
      <w:proofErr w:type="spellEnd"/>
      <w:r w:rsidRPr="00270E62">
        <w:rPr>
          <w:rFonts w:ascii="Arial" w:hAnsi="Arial" w:cs="Arial"/>
          <w:sz w:val="24"/>
          <w:szCs w:val="24"/>
        </w:rPr>
        <w:t xml:space="preserve"> (2022), who highlighted the increasing role of women in com</w:t>
      </w:r>
      <w:r>
        <w:rPr>
          <w:rFonts w:ascii="Arial" w:hAnsi="Arial" w:cs="Arial"/>
          <w:sz w:val="24"/>
          <w:szCs w:val="24"/>
        </w:rPr>
        <w:t>munity development initiatives.</w:t>
      </w:r>
    </w:p>
    <w:p w14:paraId="5BBFFF51"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Regarding age, most respondents were between 20 and 49 years, with the 30–39 age group representing the largest proportion (27.9%), followed by 20–29 (24.3%) and 40–49 (23.8%). This indicates that youths and middle-aged adults are more actively engaged in road maintenance projects, consistent with </w:t>
      </w:r>
      <w:proofErr w:type="spellStart"/>
      <w:r w:rsidRPr="00270E62">
        <w:rPr>
          <w:rFonts w:ascii="Arial" w:hAnsi="Arial" w:cs="Arial"/>
          <w:sz w:val="24"/>
          <w:szCs w:val="24"/>
        </w:rPr>
        <w:t>Mohammadi</w:t>
      </w:r>
      <w:proofErr w:type="spellEnd"/>
      <w:r w:rsidRPr="00270E62">
        <w:rPr>
          <w:rFonts w:ascii="Arial" w:hAnsi="Arial" w:cs="Arial"/>
          <w:sz w:val="24"/>
          <w:szCs w:val="24"/>
        </w:rPr>
        <w:t xml:space="preserve"> et al. (2020), who reported that middle-aged individuals tend to participate more in community initiatives, while lower participation among younger and older groups reflects limited capacity</w:t>
      </w:r>
      <w:r>
        <w:rPr>
          <w:rFonts w:ascii="Arial" w:hAnsi="Arial" w:cs="Arial"/>
          <w:sz w:val="24"/>
          <w:szCs w:val="24"/>
        </w:rPr>
        <w:t xml:space="preserve"> or competing responsibilities.</w:t>
      </w:r>
    </w:p>
    <w:p w14:paraId="6FB2B3BE"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In terms of education, the majority of respondents had completed at least secondary school, with 31.7% having secondary education, 27.9% holding tertiary qualifications, and 23.8% possessing a degree. This suggests that the community is well-positioned to engage in both technical and administrative aspects of road maintenance, contrasting with earlier findings linking rural participation to lower literac</w:t>
      </w:r>
      <w:r>
        <w:rPr>
          <w:rFonts w:ascii="Arial" w:hAnsi="Arial" w:cs="Arial"/>
          <w:sz w:val="24"/>
          <w:szCs w:val="24"/>
        </w:rPr>
        <w:t>y levels (</w:t>
      </w:r>
      <w:proofErr w:type="spellStart"/>
      <w:r>
        <w:rPr>
          <w:rFonts w:ascii="Arial" w:hAnsi="Arial" w:cs="Arial"/>
          <w:sz w:val="24"/>
          <w:szCs w:val="24"/>
        </w:rPr>
        <w:t>Faiz</w:t>
      </w:r>
      <w:proofErr w:type="spellEnd"/>
      <w:r>
        <w:rPr>
          <w:rFonts w:ascii="Arial" w:hAnsi="Arial" w:cs="Arial"/>
          <w:sz w:val="24"/>
          <w:szCs w:val="24"/>
        </w:rPr>
        <w:t xml:space="preserve"> &amp; Junaid, 2021).</w:t>
      </w:r>
    </w:p>
    <w:p w14:paraId="35A680C0"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Employment status data showed that most respondents were self-employed (62.8%), reflecting flexible livelihoods that facilitate involvement in communal activities, consistent with URT (2021) observations of informal employment prevalence in rural Tanzania. Unemployed respondents (19.9%) were more available but faced economic constraints, while formally employed individuals (17.2%) were limited by time despite</w:t>
      </w:r>
      <w:r>
        <w:rPr>
          <w:rFonts w:ascii="Arial" w:hAnsi="Arial" w:cs="Arial"/>
          <w:sz w:val="24"/>
          <w:szCs w:val="24"/>
        </w:rPr>
        <w:t xml:space="preserve"> potentially greater resources.</w:t>
      </w:r>
    </w:p>
    <w:p w14:paraId="4FA621FC"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lastRenderedPageBreak/>
        <w:t xml:space="preserve">Analysis of income levels revealed that 44.5% of respondents earned between TSH 500,001–1,000,000, followed by 37.4% earning TSH 100,000–300,000. This indicates a moderate-income population likely to contribute </w:t>
      </w:r>
      <w:proofErr w:type="spellStart"/>
      <w:r w:rsidRPr="00270E62">
        <w:rPr>
          <w:rFonts w:ascii="Arial" w:hAnsi="Arial" w:cs="Arial"/>
          <w:sz w:val="24"/>
          <w:szCs w:val="24"/>
        </w:rPr>
        <w:t>labor</w:t>
      </w:r>
      <w:proofErr w:type="spellEnd"/>
      <w:r w:rsidRPr="00270E62">
        <w:rPr>
          <w:rFonts w:ascii="Arial" w:hAnsi="Arial" w:cs="Arial"/>
          <w:sz w:val="24"/>
          <w:szCs w:val="24"/>
        </w:rPr>
        <w:t xml:space="preserve"> and time rather than financial resources, aligning with </w:t>
      </w:r>
      <w:proofErr w:type="spellStart"/>
      <w:r w:rsidRPr="00270E62">
        <w:rPr>
          <w:rFonts w:ascii="Arial" w:hAnsi="Arial" w:cs="Arial"/>
          <w:sz w:val="24"/>
          <w:szCs w:val="24"/>
        </w:rPr>
        <w:t>Nadaraba</w:t>
      </w:r>
      <w:proofErr w:type="spellEnd"/>
      <w:r w:rsidRPr="00270E62">
        <w:rPr>
          <w:rFonts w:ascii="Arial" w:hAnsi="Arial" w:cs="Arial"/>
          <w:sz w:val="24"/>
          <w:szCs w:val="24"/>
        </w:rPr>
        <w:t xml:space="preserve"> et al. (2024), who noted that wealthier individuals tend to be less i</w:t>
      </w:r>
      <w:r>
        <w:rPr>
          <w:rFonts w:ascii="Arial" w:hAnsi="Arial" w:cs="Arial"/>
          <w:sz w:val="24"/>
          <w:szCs w:val="24"/>
        </w:rPr>
        <w:t>nvolved in grassroots projects.</w:t>
      </w:r>
    </w:p>
    <w:p w14:paraId="3372B164"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Finally, proximity to the road projects was notable, with 74.3% of respondents residing within 1–3 kilometres. This supports findings by </w:t>
      </w:r>
      <w:proofErr w:type="spellStart"/>
      <w:r w:rsidRPr="00270E62">
        <w:rPr>
          <w:rFonts w:ascii="Arial" w:hAnsi="Arial" w:cs="Arial"/>
          <w:sz w:val="24"/>
          <w:szCs w:val="24"/>
        </w:rPr>
        <w:t>Mokwani</w:t>
      </w:r>
      <w:proofErr w:type="spellEnd"/>
      <w:r w:rsidRPr="00270E62">
        <w:rPr>
          <w:rFonts w:ascii="Arial" w:hAnsi="Arial" w:cs="Arial"/>
          <w:sz w:val="24"/>
          <w:szCs w:val="24"/>
        </w:rPr>
        <w:t xml:space="preserve"> and </w:t>
      </w:r>
      <w:proofErr w:type="spellStart"/>
      <w:r w:rsidRPr="00270E62">
        <w:rPr>
          <w:rFonts w:ascii="Arial" w:hAnsi="Arial" w:cs="Arial"/>
          <w:sz w:val="24"/>
          <w:szCs w:val="24"/>
        </w:rPr>
        <w:t>Sekho</w:t>
      </w:r>
      <w:proofErr w:type="spellEnd"/>
      <w:r w:rsidRPr="00270E62">
        <w:rPr>
          <w:rFonts w:ascii="Arial" w:hAnsi="Arial" w:cs="Arial"/>
          <w:sz w:val="24"/>
          <w:szCs w:val="24"/>
        </w:rPr>
        <w:t xml:space="preserve"> (2023), suggesting that closer proximity enhances participation due to a stronger sense of ownership and direct benefits from</w:t>
      </w:r>
      <w:r>
        <w:rPr>
          <w:rFonts w:ascii="Arial" w:hAnsi="Arial" w:cs="Arial"/>
          <w:sz w:val="24"/>
          <w:szCs w:val="24"/>
        </w:rPr>
        <w:t xml:space="preserve"> the maintained infrastructure.</w:t>
      </w:r>
    </w:p>
    <w:p w14:paraId="520C11EF" w14:textId="77777777" w:rsidR="002171DD" w:rsidRDefault="00270E62" w:rsidP="00270E62">
      <w:pPr>
        <w:jc w:val="both"/>
        <w:rPr>
          <w:rFonts w:ascii="Arial" w:hAnsi="Arial" w:cs="Arial"/>
          <w:sz w:val="24"/>
          <w:szCs w:val="24"/>
        </w:rPr>
      </w:pPr>
      <w:r w:rsidRPr="00270E62">
        <w:rPr>
          <w:rFonts w:ascii="Arial" w:hAnsi="Arial" w:cs="Arial"/>
          <w:sz w:val="24"/>
          <w:szCs w:val="24"/>
        </w:rPr>
        <w:t xml:space="preserve">Overall, these demographic patterns provide a comprehensive understanding of the level and nature of community participation in rural road maintenance projects 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highlighting which groups are more actively involved and how socio-economic and spatial factors influence engagement.</w:t>
      </w:r>
    </w:p>
    <w:p w14:paraId="3418D80A" w14:textId="77777777" w:rsidR="00270E62" w:rsidRDefault="00270E62" w:rsidP="00270E62">
      <w:pPr>
        <w:jc w:val="both"/>
        <w:rPr>
          <w:rFonts w:ascii="Arial" w:hAnsi="Arial" w:cs="Arial"/>
          <w:sz w:val="24"/>
          <w:szCs w:val="24"/>
        </w:rPr>
      </w:pPr>
    </w:p>
    <w:p w14:paraId="3824C5C9" w14:textId="77777777" w:rsidR="002171DD" w:rsidRPr="002171DD" w:rsidRDefault="002171DD" w:rsidP="002171DD">
      <w:pPr>
        <w:keepNext/>
        <w:spacing w:after="200" w:line="240" w:lineRule="auto"/>
        <w:jc w:val="center"/>
        <w:rPr>
          <w:rFonts w:ascii="Times New Roman" w:eastAsia="Calibri" w:hAnsi="Times New Roman" w:cs="Times New Roman"/>
          <w:b/>
          <w:bCs/>
          <w:sz w:val="24"/>
          <w:szCs w:val="24"/>
        </w:rPr>
      </w:pPr>
      <w:bookmarkStart w:id="1" w:name="_Toc198199010"/>
      <w:r w:rsidRPr="002171DD">
        <w:rPr>
          <w:rFonts w:ascii="Times New Roman" w:eastAsia="Calibri" w:hAnsi="Times New Roman" w:cs="Times New Roman"/>
          <w:b/>
          <w:bCs/>
          <w:sz w:val="24"/>
          <w:szCs w:val="24"/>
        </w:rPr>
        <w:t xml:space="preserve">Table </w:t>
      </w:r>
      <w:r w:rsidRPr="002171DD">
        <w:rPr>
          <w:rFonts w:ascii="Times New Roman" w:eastAsia="Calibri" w:hAnsi="Times New Roman" w:cs="Times New Roman"/>
          <w:b/>
          <w:bCs/>
          <w:sz w:val="24"/>
          <w:szCs w:val="24"/>
        </w:rPr>
        <w:fldChar w:fldCharType="begin"/>
      </w:r>
      <w:r w:rsidRPr="002171DD">
        <w:rPr>
          <w:rFonts w:ascii="Times New Roman" w:eastAsia="Calibri" w:hAnsi="Times New Roman" w:cs="Times New Roman"/>
          <w:b/>
          <w:bCs/>
          <w:sz w:val="24"/>
          <w:szCs w:val="24"/>
        </w:rPr>
        <w:instrText xml:space="preserve"> SEQ Table_4 \* ARABIC </w:instrText>
      </w:r>
      <w:r w:rsidRPr="002171DD">
        <w:rPr>
          <w:rFonts w:ascii="Times New Roman" w:eastAsia="Calibri" w:hAnsi="Times New Roman" w:cs="Times New Roman"/>
          <w:b/>
          <w:bCs/>
          <w:sz w:val="24"/>
          <w:szCs w:val="24"/>
        </w:rPr>
        <w:fldChar w:fldCharType="separate"/>
      </w:r>
      <w:r w:rsidRPr="002171DD">
        <w:rPr>
          <w:rFonts w:ascii="Times New Roman" w:eastAsia="Calibri" w:hAnsi="Times New Roman" w:cs="Times New Roman"/>
          <w:b/>
          <w:bCs/>
          <w:noProof/>
          <w:sz w:val="24"/>
          <w:szCs w:val="24"/>
        </w:rPr>
        <w:t>1</w:t>
      </w:r>
      <w:r w:rsidRPr="002171DD">
        <w:rPr>
          <w:rFonts w:ascii="Times New Roman" w:eastAsia="Calibri" w:hAnsi="Times New Roman" w:cs="Times New Roman"/>
          <w:b/>
          <w:bCs/>
          <w:sz w:val="24"/>
          <w:szCs w:val="24"/>
        </w:rPr>
        <w:fldChar w:fldCharType="end"/>
      </w:r>
      <w:r w:rsidRPr="002171DD">
        <w:rPr>
          <w:rFonts w:ascii="Times New Roman" w:eastAsia="Calibri" w:hAnsi="Times New Roman" w:cs="Times New Roman"/>
          <w:b/>
          <w:bCs/>
          <w:sz w:val="24"/>
          <w:szCs w:val="24"/>
        </w:rPr>
        <w:t>: Frequency Distribution of Respondents by Demographic Characteristics</w:t>
      </w:r>
      <w:bookmarkEnd w:id="1"/>
      <w:r w:rsidRPr="002171DD">
        <w:rPr>
          <w:rFonts w:ascii="Times New Roman" w:eastAsia="Calibri" w:hAnsi="Times New Roman" w:cs="Times New Roman"/>
          <w:b/>
          <w:bCs/>
          <w:sz w:val="24"/>
          <w:szCs w:val="24"/>
        </w:rPr>
        <w:t xml:space="preserve"> (n=399)</w:t>
      </w:r>
    </w:p>
    <w:tbl>
      <w:tblPr>
        <w:tblStyle w:val="TableGrid"/>
        <w:tblW w:w="8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1629"/>
        <w:gridCol w:w="1497"/>
      </w:tblGrid>
      <w:tr w:rsidR="002171DD" w:rsidRPr="002171DD" w14:paraId="004AA3CB" w14:textId="77777777" w:rsidTr="002F7D8A">
        <w:trPr>
          <w:trHeight w:val="400"/>
        </w:trPr>
        <w:tc>
          <w:tcPr>
            <w:tcW w:w="5031" w:type="dxa"/>
            <w:tcBorders>
              <w:top w:val="single" w:sz="12" w:space="0" w:color="auto"/>
              <w:bottom w:val="single" w:sz="12" w:space="0" w:color="auto"/>
            </w:tcBorders>
            <w:noWrap/>
          </w:tcPr>
          <w:p w14:paraId="75C474CD"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Demographic Characteristics</w:t>
            </w:r>
          </w:p>
        </w:tc>
        <w:tc>
          <w:tcPr>
            <w:tcW w:w="1629" w:type="dxa"/>
            <w:tcBorders>
              <w:top w:val="single" w:sz="12" w:space="0" w:color="auto"/>
              <w:bottom w:val="single" w:sz="12" w:space="0" w:color="auto"/>
            </w:tcBorders>
            <w:noWrap/>
          </w:tcPr>
          <w:p w14:paraId="0CC1D2F0"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Frequency</w:t>
            </w:r>
          </w:p>
        </w:tc>
        <w:tc>
          <w:tcPr>
            <w:tcW w:w="1497" w:type="dxa"/>
            <w:tcBorders>
              <w:top w:val="single" w:sz="12" w:space="0" w:color="auto"/>
              <w:bottom w:val="single" w:sz="12" w:space="0" w:color="auto"/>
            </w:tcBorders>
            <w:noWrap/>
          </w:tcPr>
          <w:p w14:paraId="02C5FB6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Percent (%)</w:t>
            </w:r>
          </w:p>
        </w:tc>
      </w:tr>
      <w:tr w:rsidR="002171DD" w:rsidRPr="002171DD" w14:paraId="6E0D4EAD" w14:textId="77777777" w:rsidTr="002F7D8A">
        <w:trPr>
          <w:trHeight w:val="304"/>
        </w:trPr>
        <w:tc>
          <w:tcPr>
            <w:tcW w:w="5031" w:type="dxa"/>
            <w:tcBorders>
              <w:top w:val="single" w:sz="12" w:space="0" w:color="auto"/>
            </w:tcBorders>
            <w:noWrap/>
          </w:tcPr>
          <w:p w14:paraId="4A7A6283"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Gender</w:t>
            </w:r>
          </w:p>
        </w:tc>
        <w:tc>
          <w:tcPr>
            <w:tcW w:w="1629" w:type="dxa"/>
            <w:tcBorders>
              <w:top w:val="single" w:sz="12" w:space="0" w:color="auto"/>
            </w:tcBorders>
            <w:noWrap/>
          </w:tcPr>
          <w:p w14:paraId="54221C2A" w14:textId="77777777" w:rsidR="002171DD" w:rsidRPr="002171DD" w:rsidRDefault="002171DD" w:rsidP="002171DD">
            <w:pPr>
              <w:rPr>
                <w:rFonts w:ascii="Arial" w:eastAsia="Aptos" w:hAnsi="Arial" w:cs="Arial"/>
                <w:sz w:val="20"/>
                <w:szCs w:val="20"/>
              </w:rPr>
            </w:pPr>
          </w:p>
        </w:tc>
        <w:tc>
          <w:tcPr>
            <w:tcW w:w="1497" w:type="dxa"/>
            <w:tcBorders>
              <w:top w:val="single" w:sz="12" w:space="0" w:color="auto"/>
            </w:tcBorders>
            <w:noWrap/>
          </w:tcPr>
          <w:p w14:paraId="3B9F6C5F" w14:textId="77777777" w:rsidR="002171DD" w:rsidRPr="002171DD" w:rsidRDefault="002171DD" w:rsidP="002171DD">
            <w:pPr>
              <w:rPr>
                <w:rFonts w:ascii="Arial" w:eastAsia="Aptos" w:hAnsi="Arial" w:cs="Arial"/>
                <w:sz w:val="20"/>
                <w:szCs w:val="20"/>
              </w:rPr>
            </w:pPr>
          </w:p>
        </w:tc>
      </w:tr>
      <w:tr w:rsidR="002171DD" w:rsidRPr="002171DD" w14:paraId="6713F0FB" w14:textId="77777777" w:rsidTr="002F7D8A">
        <w:trPr>
          <w:trHeight w:val="304"/>
        </w:trPr>
        <w:tc>
          <w:tcPr>
            <w:tcW w:w="5031" w:type="dxa"/>
            <w:noWrap/>
          </w:tcPr>
          <w:p w14:paraId="0F903EB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Male</w:t>
            </w:r>
          </w:p>
        </w:tc>
        <w:tc>
          <w:tcPr>
            <w:tcW w:w="1629" w:type="dxa"/>
            <w:noWrap/>
          </w:tcPr>
          <w:p w14:paraId="2BC262F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244</w:t>
            </w:r>
          </w:p>
        </w:tc>
        <w:tc>
          <w:tcPr>
            <w:tcW w:w="1497" w:type="dxa"/>
            <w:noWrap/>
          </w:tcPr>
          <w:p w14:paraId="5B5BAD4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61.2</w:t>
            </w:r>
          </w:p>
        </w:tc>
      </w:tr>
      <w:tr w:rsidR="002171DD" w:rsidRPr="002171DD" w14:paraId="3A7E5A17" w14:textId="77777777" w:rsidTr="002F7D8A">
        <w:trPr>
          <w:trHeight w:val="304"/>
        </w:trPr>
        <w:tc>
          <w:tcPr>
            <w:tcW w:w="5031" w:type="dxa"/>
            <w:noWrap/>
          </w:tcPr>
          <w:p w14:paraId="0310CC1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Female</w:t>
            </w:r>
          </w:p>
        </w:tc>
        <w:tc>
          <w:tcPr>
            <w:tcW w:w="1629" w:type="dxa"/>
            <w:noWrap/>
          </w:tcPr>
          <w:p w14:paraId="367342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155</w:t>
            </w:r>
          </w:p>
        </w:tc>
        <w:tc>
          <w:tcPr>
            <w:tcW w:w="1497" w:type="dxa"/>
            <w:noWrap/>
          </w:tcPr>
          <w:p w14:paraId="7ED7DE7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38.8</w:t>
            </w:r>
          </w:p>
        </w:tc>
      </w:tr>
      <w:tr w:rsidR="002171DD" w:rsidRPr="002171DD" w14:paraId="53A2FE85" w14:textId="77777777" w:rsidTr="002F7D8A">
        <w:trPr>
          <w:trHeight w:val="304"/>
        </w:trPr>
        <w:tc>
          <w:tcPr>
            <w:tcW w:w="5031" w:type="dxa"/>
            <w:noWrap/>
          </w:tcPr>
          <w:p w14:paraId="1C52FCB3"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Age Group</w:t>
            </w:r>
          </w:p>
        </w:tc>
        <w:tc>
          <w:tcPr>
            <w:tcW w:w="1629" w:type="dxa"/>
            <w:noWrap/>
          </w:tcPr>
          <w:p w14:paraId="36B5186C" w14:textId="77777777" w:rsidR="002171DD" w:rsidRPr="002171DD" w:rsidRDefault="002171DD" w:rsidP="002171DD">
            <w:pPr>
              <w:rPr>
                <w:rFonts w:ascii="Arial" w:eastAsia="Aptos" w:hAnsi="Arial" w:cs="Arial"/>
                <w:sz w:val="20"/>
                <w:szCs w:val="20"/>
              </w:rPr>
            </w:pPr>
          </w:p>
        </w:tc>
        <w:tc>
          <w:tcPr>
            <w:tcW w:w="1497" w:type="dxa"/>
            <w:noWrap/>
          </w:tcPr>
          <w:p w14:paraId="5C76C651" w14:textId="77777777" w:rsidR="002171DD" w:rsidRPr="002171DD" w:rsidRDefault="002171DD" w:rsidP="002171DD">
            <w:pPr>
              <w:rPr>
                <w:rFonts w:ascii="Arial" w:eastAsia="Aptos" w:hAnsi="Arial" w:cs="Arial"/>
                <w:sz w:val="20"/>
                <w:szCs w:val="20"/>
              </w:rPr>
            </w:pPr>
          </w:p>
        </w:tc>
      </w:tr>
      <w:tr w:rsidR="002171DD" w:rsidRPr="002171DD" w14:paraId="06F6F30D" w14:textId="77777777" w:rsidTr="002F7D8A">
        <w:trPr>
          <w:trHeight w:val="304"/>
        </w:trPr>
        <w:tc>
          <w:tcPr>
            <w:tcW w:w="5031" w:type="dxa"/>
            <w:noWrap/>
          </w:tcPr>
          <w:p w14:paraId="2F0B202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Below 20 years</w:t>
            </w:r>
          </w:p>
        </w:tc>
        <w:tc>
          <w:tcPr>
            <w:tcW w:w="1629" w:type="dxa"/>
            <w:noWrap/>
          </w:tcPr>
          <w:p w14:paraId="58DCC72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55</w:t>
            </w:r>
          </w:p>
        </w:tc>
        <w:tc>
          <w:tcPr>
            <w:tcW w:w="1497" w:type="dxa"/>
            <w:noWrap/>
          </w:tcPr>
          <w:p w14:paraId="28D1780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13.8</w:t>
            </w:r>
          </w:p>
        </w:tc>
      </w:tr>
      <w:tr w:rsidR="002171DD" w:rsidRPr="002171DD" w14:paraId="79E8CC3B" w14:textId="77777777" w:rsidTr="002F7D8A">
        <w:trPr>
          <w:trHeight w:val="304"/>
        </w:trPr>
        <w:tc>
          <w:tcPr>
            <w:tcW w:w="5031" w:type="dxa"/>
            <w:noWrap/>
          </w:tcPr>
          <w:p w14:paraId="4AD6DDE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20–29 years</w:t>
            </w:r>
          </w:p>
        </w:tc>
        <w:tc>
          <w:tcPr>
            <w:tcW w:w="1629" w:type="dxa"/>
            <w:noWrap/>
          </w:tcPr>
          <w:p w14:paraId="300C299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97</w:t>
            </w:r>
          </w:p>
        </w:tc>
        <w:tc>
          <w:tcPr>
            <w:tcW w:w="1497" w:type="dxa"/>
            <w:noWrap/>
          </w:tcPr>
          <w:p w14:paraId="5DA40F3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24.3</w:t>
            </w:r>
          </w:p>
        </w:tc>
      </w:tr>
      <w:tr w:rsidR="002171DD" w:rsidRPr="002171DD" w14:paraId="330FDD1D" w14:textId="77777777" w:rsidTr="002F7D8A">
        <w:trPr>
          <w:trHeight w:val="304"/>
        </w:trPr>
        <w:tc>
          <w:tcPr>
            <w:tcW w:w="5031" w:type="dxa"/>
            <w:noWrap/>
          </w:tcPr>
          <w:p w14:paraId="72EFDB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30–39 years</w:t>
            </w:r>
          </w:p>
        </w:tc>
        <w:tc>
          <w:tcPr>
            <w:tcW w:w="1629" w:type="dxa"/>
            <w:noWrap/>
          </w:tcPr>
          <w:p w14:paraId="76B3B06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111</w:t>
            </w:r>
          </w:p>
        </w:tc>
        <w:tc>
          <w:tcPr>
            <w:tcW w:w="1497" w:type="dxa"/>
            <w:noWrap/>
          </w:tcPr>
          <w:p w14:paraId="668262A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27.8</w:t>
            </w:r>
          </w:p>
        </w:tc>
      </w:tr>
      <w:tr w:rsidR="002171DD" w:rsidRPr="002171DD" w14:paraId="5E54D96E" w14:textId="77777777" w:rsidTr="002F7D8A">
        <w:trPr>
          <w:trHeight w:val="304"/>
        </w:trPr>
        <w:tc>
          <w:tcPr>
            <w:tcW w:w="5031" w:type="dxa"/>
            <w:noWrap/>
          </w:tcPr>
          <w:p w14:paraId="02A274B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40–49 years</w:t>
            </w:r>
          </w:p>
        </w:tc>
        <w:tc>
          <w:tcPr>
            <w:tcW w:w="1629" w:type="dxa"/>
            <w:noWrap/>
          </w:tcPr>
          <w:p w14:paraId="2D640F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95</w:t>
            </w:r>
          </w:p>
        </w:tc>
        <w:tc>
          <w:tcPr>
            <w:tcW w:w="1497" w:type="dxa"/>
            <w:noWrap/>
          </w:tcPr>
          <w:p w14:paraId="72A27AF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23.8</w:t>
            </w:r>
          </w:p>
        </w:tc>
      </w:tr>
      <w:tr w:rsidR="002171DD" w:rsidRPr="002171DD" w14:paraId="266474A1" w14:textId="77777777" w:rsidTr="002F7D8A">
        <w:trPr>
          <w:trHeight w:val="304"/>
        </w:trPr>
        <w:tc>
          <w:tcPr>
            <w:tcW w:w="5031" w:type="dxa"/>
            <w:noWrap/>
          </w:tcPr>
          <w:p w14:paraId="782640AD"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50 and above years</w:t>
            </w:r>
          </w:p>
        </w:tc>
        <w:tc>
          <w:tcPr>
            <w:tcW w:w="1629" w:type="dxa"/>
            <w:noWrap/>
          </w:tcPr>
          <w:p w14:paraId="6E8C266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41</w:t>
            </w:r>
          </w:p>
        </w:tc>
        <w:tc>
          <w:tcPr>
            <w:tcW w:w="1497" w:type="dxa"/>
            <w:noWrap/>
          </w:tcPr>
          <w:p w14:paraId="11A949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10.3</w:t>
            </w:r>
          </w:p>
        </w:tc>
      </w:tr>
      <w:tr w:rsidR="002171DD" w:rsidRPr="002171DD" w14:paraId="6D186DD2" w14:textId="77777777" w:rsidTr="002F7D8A">
        <w:trPr>
          <w:trHeight w:val="304"/>
        </w:trPr>
        <w:tc>
          <w:tcPr>
            <w:tcW w:w="5031" w:type="dxa"/>
            <w:noWrap/>
          </w:tcPr>
          <w:p w14:paraId="76DB1675"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Level of Education</w:t>
            </w:r>
          </w:p>
        </w:tc>
        <w:tc>
          <w:tcPr>
            <w:tcW w:w="1629" w:type="dxa"/>
            <w:noWrap/>
          </w:tcPr>
          <w:p w14:paraId="4DF97BC4" w14:textId="77777777" w:rsidR="002171DD" w:rsidRPr="002171DD" w:rsidRDefault="002171DD" w:rsidP="002171DD">
            <w:pPr>
              <w:rPr>
                <w:rFonts w:ascii="Arial" w:eastAsia="Aptos" w:hAnsi="Arial" w:cs="Arial"/>
                <w:sz w:val="20"/>
                <w:szCs w:val="20"/>
              </w:rPr>
            </w:pPr>
          </w:p>
        </w:tc>
        <w:tc>
          <w:tcPr>
            <w:tcW w:w="1497" w:type="dxa"/>
            <w:noWrap/>
          </w:tcPr>
          <w:p w14:paraId="770DF261" w14:textId="77777777" w:rsidR="002171DD" w:rsidRPr="002171DD" w:rsidRDefault="002171DD" w:rsidP="002171DD">
            <w:pPr>
              <w:rPr>
                <w:rFonts w:ascii="Arial" w:eastAsia="Aptos" w:hAnsi="Arial" w:cs="Arial"/>
                <w:sz w:val="20"/>
                <w:szCs w:val="20"/>
              </w:rPr>
            </w:pPr>
          </w:p>
        </w:tc>
      </w:tr>
      <w:tr w:rsidR="002171DD" w:rsidRPr="002171DD" w14:paraId="4384562B" w14:textId="77777777" w:rsidTr="002F7D8A">
        <w:trPr>
          <w:trHeight w:val="304"/>
        </w:trPr>
        <w:tc>
          <w:tcPr>
            <w:tcW w:w="5031" w:type="dxa"/>
            <w:noWrap/>
          </w:tcPr>
          <w:p w14:paraId="5D39F16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No formal education</w:t>
            </w:r>
          </w:p>
        </w:tc>
        <w:tc>
          <w:tcPr>
            <w:tcW w:w="1629" w:type="dxa"/>
            <w:noWrap/>
          </w:tcPr>
          <w:p w14:paraId="12EF97E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w:t>
            </w:r>
          </w:p>
        </w:tc>
        <w:tc>
          <w:tcPr>
            <w:tcW w:w="1497" w:type="dxa"/>
            <w:noWrap/>
          </w:tcPr>
          <w:p w14:paraId="0CA2257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6.0</w:t>
            </w:r>
          </w:p>
        </w:tc>
      </w:tr>
      <w:tr w:rsidR="002171DD" w:rsidRPr="002171DD" w14:paraId="54F923CF" w14:textId="77777777" w:rsidTr="002F7D8A">
        <w:trPr>
          <w:trHeight w:val="304"/>
        </w:trPr>
        <w:tc>
          <w:tcPr>
            <w:tcW w:w="5031" w:type="dxa"/>
            <w:noWrap/>
          </w:tcPr>
          <w:p w14:paraId="46EA86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Primary education</w:t>
            </w:r>
          </w:p>
        </w:tc>
        <w:tc>
          <w:tcPr>
            <w:tcW w:w="1629" w:type="dxa"/>
            <w:noWrap/>
          </w:tcPr>
          <w:p w14:paraId="2E43AA1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43</w:t>
            </w:r>
          </w:p>
        </w:tc>
        <w:tc>
          <w:tcPr>
            <w:tcW w:w="1497" w:type="dxa"/>
            <w:noWrap/>
          </w:tcPr>
          <w:p w14:paraId="74E01E5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10.8</w:t>
            </w:r>
          </w:p>
        </w:tc>
      </w:tr>
      <w:tr w:rsidR="002171DD" w:rsidRPr="002171DD" w14:paraId="6CC089FA" w14:textId="77777777" w:rsidTr="002F7D8A">
        <w:trPr>
          <w:trHeight w:val="304"/>
        </w:trPr>
        <w:tc>
          <w:tcPr>
            <w:tcW w:w="5031" w:type="dxa"/>
            <w:noWrap/>
          </w:tcPr>
          <w:p w14:paraId="74DF903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Secondary education</w:t>
            </w:r>
          </w:p>
        </w:tc>
        <w:tc>
          <w:tcPr>
            <w:tcW w:w="1629" w:type="dxa"/>
            <w:noWrap/>
          </w:tcPr>
          <w:p w14:paraId="3FAB996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126</w:t>
            </w:r>
          </w:p>
        </w:tc>
        <w:tc>
          <w:tcPr>
            <w:tcW w:w="1497" w:type="dxa"/>
            <w:noWrap/>
          </w:tcPr>
          <w:p w14:paraId="3528794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31.6</w:t>
            </w:r>
          </w:p>
        </w:tc>
      </w:tr>
      <w:tr w:rsidR="002171DD" w:rsidRPr="002171DD" w14:paraId="1E144C1E" w14:textId="77777777" w:rsidTr="002F7D8A">
        <w:trPr>
          <w:trHeight w:val="304"/>
        </w:trPr>
        <w:tc>
          <w:tcPr>
            <w:tcW w:w="5031" w:type="dxa"/>
            <w:noWrap/>
          </w:tcPr>
          <w:p w14:paraId="317A341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Tertiary education</w:t>
            </w:r>
          </w:p>
        </w:tc>
        <w:tc>
          <w:tcPr>
            <w:tcW w:w="1629" w:type="dxa"/>
            <w:noWrap/>
          </w:tcPr>
          <w:p w14:paraId="382CD1A3"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111</w:t>
            </w:r>
          </w:p>
        </w:tc>
        <w:tc>
          <w:tcPr>
            <w:tcW w:w="1497" w:type="dxa"/>
            <w:noWrap/>
          </w:tcPr>
          <w:p w14:paraId="2A73230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27.8</w:t>
            </w:r>
          </w:p>
        </w:tc>
      </w:tr>
      <w:tr w:rsidR="002171DD" w:rsidRPr="002171DD" w14:paraId="01141A35" w14:textId="77777777" w:rsidTr="002F7D8A">
        <w:trPr>
          <w:trHeight w:val="304"/>
        </w:trPr>
        <w:tc>
          <w:tcPr>
            <w:tcW w:w="5031" w:type="dxa"/>
            <w:noWrap/>
          </w:tcPr>
          <w:p w14:paraId="0BB8DCB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Degree</w:t>
            </w:r>
          </w:p>
        </w:tc>
        <w:tc>
          <w:tcPr>
            <w:tcW w:w="1629" w:type="dxa"/>
            <w:noWrap/>
          </w:tcPr>
          <w:p w14:paraId="4DF711D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95</w:t>
            </w:r>
          </w:p>
        </w:tc>
        <w:tc>
          <w:tcPr>
            <w:tcW w:w="1497" w:type="dxa"/>
            <w:noWrap/>
          </w:tcPr>
          <w:p w14:paraId="1A7477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23.8</w:t>
            </w:r>
          </w:p>
        </w:tc>
      </w:tr>
      <w:tr w:rsidR="002171DD" w:rsidRPr="002171DD" w14:paraId="6A384B8C" w14:textId="77777777" w:rsidTr="002F7D8A">
        <w:trPr>
          <w:trHeight w:val="304"/>
        </w:trPr>
        <w:tc>
          <w:tcPr>
            <w:tcW w:w="5031" w:type="dxa"/>
            <w:noWrap/>
          </w:tcPr>
          <w:p w14:paraId="7B3E1A8C"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Employment Status</w:t>
            </w:r>
          </w:p>
        </w:tc>
        <w:tc>
          <w:tcPr>
            <w:tcW w:w="1629" w:type="dxa"/>
            <w:noWrap/>
          </w:tcPr>
          <w:p w14:paraId="188D6F04" w14:textId="77777777" w:rsidR="002171DD" w:rsidRPr="002171DD" w:rsidRDefault="002171DD" w:rsidP="002171DD">
            <w:pPr>
              <w:rPr>
                <w:rFonts w:ascii="Arial" w:eastAsia="Aptos" w:hAnsi="Arial" w:cs="Arial"/>
                <w:sz w:val="20"/>
                <w:szCs w:val="20"/>
              </w:rPr>
            </w:pPr>
          </w:p>
        </w:tc>
        <w:tc>
          <w:tcPr>
            <w:tcW w:w="1497" w:type="dxa"/>
            <w:noWrap/>
          </w:tcPr>
          <w:p w14:paraId="04E898BD" w14:textId="77777777" w:rsidR="002171DD" w:rsidRPr="002171DD" w:rsidRDefault="002171DD" w:rsidP="002171DD">
            <w:pPr>
              <w:rPr>
                <w:rFonts w:ascii="Arial" w:eastAsia="Aptos" w:hAnsi="Arial" w:cs="Arial"/>
                <w:sz w:val="20"/>
                <w:szCs w:val="20"/>
              </w:rPr>
            </w:pPr>
          </w:p>
        </w:tc>
      </w:tr>
      <w:tr w:rsidR="002171DD" w:rsidRPr="002171DD" w14:paraId="3995B553" w14:textId="77777777" w:rsidTr="002F7D8A">
        <w:trPr>
          <w:trHeight w:val="304"/>
        </w:trPr>
        <w:tc>
          <w:tcPr>
            <w:tcW w:w="5031" w:type="dxa"/>
            <w:noWrap/>
          </w:tcPr>
          <w:p w14:paraId="0CB71F3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Employed</w:t>
            </w:r>
          </w:p>
        </w:tc>
        <w:tc>
          <w:tcPr>
            <w:tcW w:w="1629" w:type="dxa"/>
            <w:noWrap/>
          </w:tcPr>
          <w:p w14:paraId="683637C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69</w:t>
            </w:r>
          </w:p>
        </w:tc>
        <w:tc>
          <w:tcPr>
            <w:tcW w:w="1497" w:type="dxa"/>
            <w:noWrap/>
          </w:tcPr>
          <w:p w14:paraId="0306DE9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17.3</w:t>
            </w:r>
          </w:p>
        </w:tc>
      </w:tr>
      <w:tr w:rsidR="002171DD" w:rsidRPr="002171DD" w14:paraId="4E680AD5" w14:textId="77777777" w:rsidTr="002F7D8A">
        <w:trPr>
          <w:trHeight w:val="304"/>
        </w:trPr>
        <w:tc>
          <w:tcPr>
            <w:tcW w:w="5031" w:type="dxa"/>
            <w:noWrap/>
          </w:tcPr>
          <w:p w14:paraId="3F59F7A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Self Employed</w:t>
            </w:r>
          </w:p>
        </w:tc>
        <w:tc>
          <w:tcPr>
            <w:tcW w:w="1629" w:type="dxa"/>
            <w:noWrap/>
          </w:tcPr>
          <w:p w14:paraId="797EFC5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251</w:t>
            </w:r>
          </w:p>
        </w:tc>
        <w:tc>
          <w:tcPr>
            <w:tcW w:w="1497" w:type="dxa"/>
            <w:noWrap/>
          </w:tcPr>
          <w:p w14:paraId="17A274D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62.9</w:t>
            </w:r>
          </w:p>
        </w:tc>
      </w:tr>
      <w:tr w:rsidR="002171DD" w:rsidRPr="002171DD" w14:paraId="040F4E3E" w14:textId="77777777" w:rsidTr="002F7D8A">
        <w:trPr>
          <w:trHeight w:val="304"/>
        </w:trPr>
        <w:tc>
          <w:tcPr>
            <w:tcW w:w="5031" w:type="dxa"/>
            <w:noWrap/>
          </w:tcPr>
          <w:p w14:paraId="08745AD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Unemployed</w:t>
            </w:r>
          </w:p>
        </w:tc>
        <w:tc>
          <w:tcPr>
            <w:tcW w:w="1629" w:type="dxa"/>
            <w:noWrap/>
          </w:tcPr>
          <w:p w14:paraId="72CE565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79</w:t>
            </w:r>
          </w:p>
        </w:tc>
        <w:tc>
          <w:tcPr>
            <w:tcW w:w="1497" w:type="dxa"/>
            <w:noWrap/>
          </w:tcPr>
          <w:p w14:paraId="70D3AFE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19.8</w:t>
            </w:r>
          </w:p>
        </w:tc>
      </w:tr>
      <w:tr w:rsidR="002171DD" w:rsidRPr="002171DD" w14:paraId="2D88C8E4" w14:textId="77777777" w:rsidTr="002F7D8A">
        <w:trPr>
          <w:trHeight w:val="304"/>
        </w:trPr>
        <w:tc>
          <w:tcPr>
            <w:tcW w:w="5031" w:type="dxa"/>
            <w:noWrap/>
          </w:tcPr>
          <w:p w14:paraId="5A394B9B"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Household Income (TSH/Month)</w:t>
            </w:r>
          </w:p>
        </w:tc>
        <w:tc>
          <w:tcPr>
            <w:tcW w:w="1629" w:type="dxa"/>
            <w:noWrap/>
          </w:tcPr>
          <w:p w14:paraId="63166428" w14:textId="77777777" w:rsidR="002171DD" w:rsidRPr="002171DD" w:rsidRDefault="002171DD" w:rsidP="002171DD">
            <w:pPr>
              <w:rPr>
                <w:rFonts w:ascii="Arial" w:eastAsia="Aptos" w:hAnsi="Arial" w:cs="Arial"/>
                <w:sz w:val="20"/>
                <w:szCs w:val="20"/>
              </w:rPr>
            </w:pPr>
          </w:p>
        </w:tc>
        <w:tc>
          <w:tcPr>
            <w:tcW w:w="1497" w:type="dxa"/>
            <w:noWrap/>
          </w:tcPr>
          <w:p w14:paraId="6D0D2D1E" w14:textId="77777777" w:rsidR="002171DD" w:rsidRPr="002171DD" w:rsidRDefault="002171DD" w:rsidP="002171DD">
            <w:pPr>
              <w:rPr>
                <w:rFonts w:ascii="Arial" w:eastAsia="Aptos" w:hAnsi="Arial" w:cs="Arial"/>
                <w:sz w:val="20"/>
                <w:szCs w:val="20"/>
              </w:rPr>
            </w:pPr>
          </w:p>
        </w:tc>
      </w:tr>
      <w:tr w:rsidR="002171DD" w:rsidRPr="002171DD" w14:paraId="1ABA29C3" w14:textId="77777777" w:rsidTr="002F7D8A">
        <w:trPr>
          <w:trHeight w:val="304"/>
        </w:trPr>
        <w:tc>
          <w:tcPr>
            <w:tcW w:w="5031" w:type="dxa"/>
            <w:noWrap/>
          </w:tcPr>
          <w:p w14:paraId="738FA9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Less than 100,000</w:t>
            </w:r>
          </w:p>
        </w:tc>
        <w:tc>
          <w:tcPr>
            <w:tcW w:w="1629" w:type="dxa"/>
            <w:noWrap/>
          </w:tcPr>
          <w:p w14:paraId="696173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5A982B1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0D9CE9A2" w14:textId="77777777" w:rsidTr="002F7D8A">
        <w:trPr>
          <w:trHeight w:val="304"/>
        </w:trPr>
        <w:tc>
          <w:tcPr>
            <w:tcW w:w="5031" w:type="dxa"/>
            <w:noWrap/>
          </w:tcPr>
          <w:p w14:paraId="72E0E2D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100,000–300,000</w:t>
            </w:r>
          </w:p>
        </w:tc>
        <w:tc>
          <w:tcPr>
            <w:tcW w:w="1629" w:type="dxa"/>
            <w:noWrap/>
          </w:tcPr>
          <w:p w14:paraId="386B83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149</w:t>
            </w:r>
          </w:p>
        </w:tc>
        <w:tc>
          <w:tcPr>
            <w:tcW w:w="1497" w:type="dxa"/>
            <w:noWrap/>
          </w:tcPr>
          <w:p w14:paraId="0FAD7CE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37.3</w:t>
            </w:r>
          </w:p>
        </w:tc>
      </w:tr>
      <w:tr w:rsidR="002171DD" w:rsidRPr="002171DD" w14:paraId="64CD680E" w14:textId="77777777" w:rsidTr="002F7D8A">
        <w:trPr>
          <w:trHeight w:val="304"/>
        </w:trPr>
        <w:tc>
          <w:tcPr>
            <w:tcW w:w="5031" w:type="dxa"/>
            <w:noWrap/>
          </w:tcPr>
          <w:p w14:paraId="57BBA52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300,001–500,000</w:t>
            </w:r>
          </w:p>
        </w:tc>
        <w:tc>
          <w:tcPr>
            <w:tcW w:w="1629" w:type="dxa"/>
            <w:noWrap/>
          </w:tcPr>
          <w:p w14:paraId="54BC611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72</w:t>
            </w:r>
          </w:p>
        </w:tc>
        <w:tc>
          <w:tcPr>
            <w:tcW w:w="1497" w:type="dxa"/>
            <w:noWrap/>
          </w:tcPr>
          <w:p w14:paraId="59E5ED4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18.0</w:t>
            </w:r>
          </w:p>
        </w:tc>
      </w:tr>
      <w:tr w:rsidR="002171DD" w:rsidRPr="002171DD" w14:paraId="6F45DB4C" w14:textId="77777777" w:rsidTr="002F7D8A">
        <w:trPr>
          <w:trHeight w:val="304"/>
        </w:trPr>
        <w:tc>
          <w:tcPr>
            <w:tcW w:w="5031" w:type="dxa"/>
            <w:noWrap/>
          </w:tcPr>
          <w:p w14:paraId="371DCD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500,001–1,000,000</w:t>
            </w:r>
          </w:p>
        </w:tc>
        <w:tc>
          <w:tcPr>
            <w:tcW w:w="1629" w:type="dxa"/>
            <w:noWrap/>
          </w:tcPr>
          <w:p w14:paraId="0D50887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178</w:t>
            </w:r>
          </w:p>
        </w:tc>
        <w:tc>
          <w:tcPr>
            <w:tcW w:w="1497" w:type="dxa"/>
            <w:noWrap/>
          </w:tcPr>
          <w:p w14:paraId="6590637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44.6</w:t>
            </w:r>
          </w:p>
        </w:tc>
      </w:tr>
      <w:tr w:rsidR="002171DD" w:rsidRPr="002171DD" w14:paraId="5AA78721" w14:textId="77777777" w:rsidTr="002F7D8A">
        <w:trPr>
          <w:trHeight w:val="304"/>
        </w:trPr>
        <w:tc>
          <w:tcPr>
            <w:tcW w:w="5031" w:type="dxa"/>
            <w:noWrap/>
          </w:tcPr>
          <w:p w14:paraId="65FADC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More than 1,000,000</w:t>
            </w:r>
          </w:p>
        </w:tc>
        <w:tc>
          <w:tcPr>
            <w:tcW w:w="1629" w:type="dxa"/>
            <w:noWrap/>
          </w:tcPr>
          <w:p w14:paraId="63E94DD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085C5EA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7B49BD89" w14:textId="77777777" w:rsidTr="002F7D8A">
        <w:trPr>
          <w:trHeight w:val="304"/>
        </w:trPr>
        <w:tc>
          <w:tcPr>
            <w:tcW w:w="5031" w:type="dxa"/>
            <w:noWrap/>
          </w:tcPr>
          <w:p w14:paraId="67F7D6C0"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Proximity to the Project (in km)</w:t>
            </w:r>
          </w:p>
        </w:tc>
        <w:tc>
          <w:tcPr>
            <w:tcW w:w="1629" w:type="dxa"/>
            <w:noWrap/>
          </w:tcPr>
          <w:p w14:paraId="29F674D2" w14:textId="77777777" w:rsidR="002171DD" w:rsidRPr="002171DD" w:rsidRDefault="002171DD" w:rsidP="002171DD">
            <w:pPr>
              <w:rPr>
                <w:rFonts w:ascii="Arial" w:eastAsia="Aptos" w:hAnsi="Arial" w:cs="Arial"/>
                <w:sz w:val="20"/>
                <w:szCs w:val="20"/>
              </w:rPr>
            </w:pPr>
          </w:p>
        </w:tc>
        <w:tc>
          <w:tcPr>
            <w:tcW w:w="1497" w:type="dxa"/>
            <w:noWrap/>
          </w:tcPr>
          <w:p w14:paraId="6EEC536F" w14:textId="77777777" w:rsidR="002171DD" w:rsidRPr="002171DD" w:rsidRDefault="002171DD" w:rsidP="002171DD">
            <w:pPr>
              <w:rPr>
                <w:rFonts w:ascii="Arial" w:eastAsia="Aptos" w:hAnsi="Arial" w:cs="Arial"/>
                <w:sz w:val="20"/>
                <w:szCs w:val="20"/>
              </w:rPr>
            </w:pPr>
          </w:p>
        </w:tc>
      </w:tr>
      <w:tr w:rsidR="002171DD" w:rsidRPr="002171DD" w14:paraId="611345F7" w14:textId="77777777" w:rsidTr="002F7D8A">
        <w:trPr>
          <w:trHeight w:val="304"/>
        </w:trPr>
        <w:tc>
          <w:tcPr>
            <w:tcW w:w="5031" w:type="dxa"/>
            <w:noWrap/>
          </w:tcPr>
          <w:p w14:paraId="56F926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lastRenderedPageBreak/>
              <w:t>Less than 1Km</w:t>
            </w:r>
          </w:p>
        </w:tc>
        <w:tc>
          <w:tcPr>
            <w:tcW w:w="1629" w:type="dxa"/>
            <w:noWrap/>
          </w:tcPr>
          <w:p w14:paraId="2F46245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30EBCC8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2E8037C1" w14:textId="77777777" w:rsidTr="002F7D8A">
        <w:trPr>
          <w:trHeight w:val="304"/>
        </w:trPr>
        <w:tc>
          <w:tcPr>
            <w:tcW w:w="5031" w:type="dxa"/>
            <w:noWrap/>
          </w:tcPr>
          <w:p w14:paraId="3B700187"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1–3 Km</w:t>
            </w:r>
          </w:p>
        </w:tc>
        <w:tc>
          <w:tcPr>
            <w:tcW w:w="1629" w:type="dxa"/>
            <w:noWrap/>
          </w:tcPr>
          <w:p w14:paraId="52F767F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296</w:t>
            </w:r>
          </w:p>
        </w:tc>
        <w:tc>
          <w:tcPr>
            <w:tcW w:w="1497" w:type="dxa"/>
            <w:noWrap/>
          </w:tcPr>
          <w:p w14:paraId="785D4DD7"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74.2</w:t>
            </w:r>
          </w:p>
        </w:tc>
      </w:tr>
      <w:tr w:rsidR="002171DD" w:rsidRPr="002171DD" w14:paraId="21880322" w14:textId="77777777" w:rsidTr="002F7D8A">
        <w:trPr>
          <w:trHeight w:val="304"/>
        </w:trPr>
        <w:tc>
          <w:tcPr>
            <w:tcW w:w="5031" w:type="dxa"/>
            <w:tcBorders>
              <w:bottom w:val="single" w:sz="12" w:space="0" w:color="auto"/>
            </w:tcBorders>
            <w:noWrap/>
          </w:tcPr>
          <w:p w14:paraId="07E7AA5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More than 3Km</w:t>
            </w:r>
          </w:p>
        </w:tc>
        <w:tc>
          <w:tcPr>
            <w:tcW w:w="1629" w:type="dxa"/>
            <w:tcBorders>
              <w:bottom w:val="single" w:sz="12" w:space="0" w:color="auto"/>
            </w:tcBorders>
            <w:noWrap/>
          </w:tcPr>
          <w:p w14:paraId="5D7E09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103</w:t>
            </w:r>
          </w:p>
        </w:tc>
        <w:tc>
          <w:tcPr>
            <w:tcW w:w="1497" w:type="dxa"/>
            <w:tcBorders>
              <w:bottom w:val="single" w:sz="12" w:space="0" w:color="auto"/>
            </w:tcBorders>
            <w:noWrap/>
          </w:tcPr>
          <w:p w14:paraId="473A457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25.8</w:t>
            </w:r>
          </w:p>
        </w:tc>
      </w:tr>
    </w:tbl>
    <w:p w14:paraId="79ECF076" w14:textId="77777777" w:rsidR="002171DD" w:rsidRDefault="002171DD" w:rsidP="002171DD">
      <w:pPr>
        <w:jc w:val="both"/>
        <w:rPr>
          <w:rFonts w:ascii="Arial" w:hAnsi="Arial" w:cs="Arial"/>
          <w:sz w:val="24"/>
          <w:szCs w:val="24"/>
        </w:rPr>
      </w:pPr>
    </w:p>
    <w:p w14:paraId="11D1D927" w14:textId="77777777" w:rsidR="002171DD" w:rsidRPr="002171DD" w:rsidRDefault="002171DD" w:rsidP="002171DD">
      <w:pPr>
        <w:jc w:val="both"/>
        <w:rPr>
          <w:rFonts w:ascii="Arial" w:hAnsi="Arial" w:cs="Arial"/>
          <w:sz w:val="24"/>
          <w:szCs w:val="24"/>
        </w:rPr>
      </w:pPr>
    </w:p>
    <w:p w14:paraId="3A84716E" w14:textId="77777777" w:rsidR="002171DD" w:rsidRPr="00270E62" w:rsidRDefault="00270E62" w:rsidP="002171DD">
      <w:pPr>
        <w:pStyle w:val="ListParagraph"/>
        <w:numPr>
          <w:ilvl w:val="1"/>
          <w:numId w:val="2"/>
        </w:numPr>
        <w:jc w:val="both"/>
        <w:rPr>
          <w:rFonts w:ascii="Arial" w:hAnsi="Arial" w:cs="Arial"/>
          <w:b/>
          <w:sz w:val="24"/>
          <w:szCs w:val="24"/>
        </w:rPr>
      </w:pPr>
      <w:r w:rsidRPr="00270E62">
        <w:rPr>
          <w:rFonts w:ascii="Arial" w:hAnsi="Arial" w:cs="Arial"/>
          <w:b/>
          <w:sz w:val="24"/>
          <w:szCs w:val="24"/>
        </w:rPr>
        <w:t xml:space="preserve"> Level of Community Participation in Road Projects in </w:t>
      </w:r>
      <w:proofErr w:type="spellStart"/>
      <w:r w:rsidRPr="00270E62">
        <w:rPr>
          <w:rFonts w:ascii="Arial" w:hAnsi="Arial" w:cs="Arial"/>
          <w:b/>
          <w:sz w:val="24"/>
          <w:szCs w:val="24"/>
        </w:rPr>
        <w:t>Babati</w:t>
      </w:r>
      <w:proofErr w:type="spellEnd"/>
      <w:r w:rsidRPr="00270E62">
        <w:rPr>
          <w:rFonts w:ascii="Arial" w:hAnsi="Arial" w:cs="Arial"/>
          <w:b/>
          <w:sz w:val="24"/>
          <w:szCs w:val="24"/>
        </w:rPr>
        <w:t xml:space="preserve"> District Council</w:t>
      </w:r>
    </w:p>
    <w:p w14:paraId="06004EA6"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The study assessed the level of community participation in rural road maintenance projects within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using a dual approach that combined descriptive statistical analysis with the computation of the Participation Index (PI). The analysis commenced with descriptive statistics to examine the distribution of responses, followed by the PI, which provides a composite measure of overall engagement across differe</w:t>
      </w:r>
      <w:r w:rsidR="00AE040C">
        <w:rPr>
          <w:rFonts w:ascii="Arial" w:hAnsi="Arial" w:cs="Arial"/>
          <w:sz w:val="24"/>
          <w:szCs w:val="24"/>
        </w:rPr>
        <w:t>nt dimensions of participation.</w:t>
      </w:r>
    </w:p>
    <w:p w14:paraId="54D5E6EF" w14:textId="77777777" w:rsidR="00270E62" w:rsidRDefault="00270E62" w:rsidP="00270E62">
      <w:pPr>
        <w:jc w:val="both"/>
        <w:rPr>
          <w:rFonts w:ascii="Arial" w:hAnsi="Arial" w:cs="Arial"/>
          <w:sz w:val="24"/>
          <w:szCs w:val="24"/>
        </w:rPr>
      </w:pPr>
      <w:r w:rsidRPr="00270E62">
        <w:rPr>
          <w:rFonts w:ascii="Arial" w:hAnsi="Arial" w:cs="Arial"/>
          <w:sz w:val="24"/>
          <w:szCs w:val="24"/>
        </w:rPr>
        <w:t>The descriptive analysis offered an initial understanding of participation patterns. Table 1 presents the questionnaire findings, highlighting the varying levels of involvement among community members in the road maintenance projects.</w:t>
      </w:r>
    </w:p>
    <w:p w14:paraId="2D09343E" w14:textId="77777777" w:rsidR="00270E62" w:rsidRPr="00270E62" w:rsidRDefault="005869FC" w:rsidP="00270E62">
      <w:pPr>
        <w:keepNext/>
        <w:spacing w:after="200" w:line="240" w:lineRule="auto"/>
        <w:jc w:val="center"/>
        <w:rPr>
          <w:rFonts w:ascii="Arial" w:eastAsia="Calibri" w:hAnsi="Arial" w:cs="Arial"/>
          <w:b/>
          <w:bCs/>
          <w:sz w:val="24"/>
          <w:szCs w:val="24"/>
        </w:rPr>
      </w:pPr>
      <w:bookmarkStart w:id="2" w:name="_Toc195123702"/>
      <w:bookmarkStart w:id="3" w:name="_Toc198199011"/>
      <w:r>
        <w:rPr>
          <w:rFonts w:ascii="Arial" w:eastAsia="Calibri" w:hAnsi="Arial" w:cs="Arial"/>
          <w:b/>
          <w:bCs/>
          <w:sz w:val="24"/>
          <w:szCs w:val="24"/>
        </w:rPr>
        <w:t>Table 2</w:t>
      </w:r>
      <w:r w:rsidR="00270E62" w:rsidRPr="00270E62">
        <w:rPr>
          <w:rFonts w:ascii="Arial" w:eastAsia="Calibri" w:hAnsi="Arial" w:cs="Arial"/>
          <w:b/>
          <w:bCs/>
          <w:sz w:val="24"/>
          <w:szCs w:val="24"/>
        </w:rPr>
        <w:t>: Respondents’ Perceptions toward Level of Community Participation in Road Projects</w:t>
      </w:r>
      <w:bookmarkEnd w:id="2"/>
      <w:bookmarkEnd w:id="3"/>
      <w:r w:rsidR="00270E62" w:rsidRPr="00270E62">
        <w:rPr>
          <w:rFonts w:ascii="Arial" w:eastAsia="Calibri" w:hAnsi="Arial" w:cs="Arial"/>
          <w:b/>
          <w:bCs/>
          <w:sz w:val="24"/>
          <w:szCs w:val="24"/>
        </w:rPr>
        <w:t xml:space="preserve"> (n=399)</w:t>
      </w:r>
    </w:p>
    <w:tbl>
      <w:tblPr>
        <w:tblStyle w:val="TableGrid1"/>
        <w:tblW w:w="8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672"/>
        <w:gridCol w:w="639"/>
        <w:gridCol w:w="747"/>
        <w:gridCol w:w="665"/>
        <w:gridCol w:w="605"/>
        <w:gridCol w:w="792"/>
        <w:gridCol w:w="784"/>
      </w:tblGrid>
      <w:tr w:rsidR="00270E62" w:rsidRPr="00270E62" w14:paraId="2DB61FD7" w14:textId="77777777" w:rsidTr="002F7D8A">
        <w:trPr>
          <w:trHeight w:val="263"/>
        </w:trPr>
        <w:tc>
          <w:tcPr>
            <w:tcW w:w="3233" w:type="dxa"/>
            <w:vMerge w:val="restart"/>
            <w:tcBorders>
              <w:top w:val="single" w:sz="12" w:space="0" w:color="auto"/>
              <w:bottom w:val="single" w:sz="12" w:space="0" w:color="auto"/>
            </w:tcBorders>
            <w:noWrap/>
            <w:hideMark/>
          </w:tcPr>
          <w:p w14:paraId="55260B0F"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Statements</w:t>
            </w:r>
          </w:p>
        </w:tc>
        <w:tc>
          <w:tcPr>
            <w:tcW w:w="672" w:type="dxa"/>
            <w:tcBorders>
              <w:top w:val="single" w:sz="12" w:space="0" w:color="auto"/>
              <w:bottom w:val="single" w:sz="12" w:space="0" w:color="auto"/>
            </w:tcBorders>
            <w:noWrap/>
            <w:hideMark/>
          </w:tcPr>
          <w:p w14:paraId="2F8324CD"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SD</w:t>
            </w:r>
          </w:p>
        </w:tc>
        <w:tc>
          <w:tcPr>
            <w:tcW w:w="639" w:type="dxa"/>
            <w:tcBorders>
              <w:top w:val="single" w:sz="12" w:space="0" w:color="auto"/>
              <w:bottom w:val="single" w:sz="12" w:space="0" w:color="auto"/>
            </w:tcBorders>
            <w:noWrap/>
            <w:hideMark/>
          </w:tcPr>
          <w:p w14:paraId="5527AAF5"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D</w:t>
            </w:r>
          </w:p>
        </w:tc>
        <w:tc>
          <w:tcPr>
            <w:tcW w:w="747" w:type="dxa"/>
            <w:tcBorders>
              <w:top w:val="single" w:sz="12" w:space="0" w:color="auto"/>
              <w:bottom w:val="single" w:sz="12" w:space="0" w:color="auto"/>
            </w:tcBorders>
            <w:noWrap/>
            <w:hideMark/>
          </w:tcPr>
          <w:p w14:paraId="6DD654B7"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N</w:t>
            </w:r>
          </w:p>
        </w:tc>
        <w:tc>
          <w:tcPr>
            <w:tcW w:w="665" w:type="dxa"/>
            <w:tcBorders>
              <w:top w:val="single" w:sz="12" w:space="0" w:color="auto"/>
              <w:bottom w:val="single" w:sz="12" w:space="0" w:color="auto"/>
            </w:tcBorders>
            <w:noWrap/>
            <w:hideMark/>
          </w:tcPr>
          <w:p w14:paraId="527CD6E8"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A</w:t>
            </w:r>
          </w:p>
        </w:tc>
        <w:tc>
          <w:tcPr>
            <w:tcW w:w="605" w:type="dxa"/>
            <w:tcBorders>
              <w:top w:val="single" w:sz="12" w:space="0" w:color="auto"/>
              <w:bottom w:val="single" w:sz="12" w:space="0" w:color="auto"/>
            </w:tcBorders>
            <w:noWrap/>
            <w:hideMark/>
          </w:tcPr>
          <w:p w14:paraId="1A4D67D0"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SA</w:t>
            </w:r>
          </w:p>
        </w:tc>
        <w:tc>
          <w:tcPr>
            <w:tcW w:w="792" w:type="dxa"/>
            <w:vMerge w:val="restart"/>
            <w:tcBorders>
              <w:top w:val="single" w:sz="12" w:space="0" w:color="auto"/>
            </w:tcBorders>
          </w:tcPr>
          <w:p w14:paraId="26944EC3"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Mean</w:t>
            </w:r>
          </w:p>
        </w:tc>
        <w:tc>
          <w:tcPr>
            <w:tcW w:w="0" w:type="auto"/>
            <w:vMerge w:val="restart"/>
            <w:tcBorders>
              <w:top w:val="single" w:sz="12" w:space="0" w:color="auto"/>
            </w:tcBorders>
          </w:tcPr>
          <w:p w14:paraId="229E4B29"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STD</w:t>
            </w:r>
          </w:p>
        </w:tc>
      </w:tr>
      <w:tr w:rsidR="00270E62" w:rsidRPr="00270E62" w14:paraId="214267C9" w14:textId="77777777" w:rsidTr="002F7D8A">
        <w:trPr>
          <w:trHeight w:val="263"/>
        </w:trPr>
        <w:tc>
          <w:tcPr>
            <w:tcW w:w="3233" w:type="dxa"/>
            <w:vMerge/>
            <w:tcBorders>
              <w:top w:val="single" w:sz="12" w:space="0" w:color="auto"/>
              <w:bottom w:val="single" w:sz="12" w:space="0" w:color="auto"/>
            </w:tcBorders>
            <w:noWrap/>
            <w:hideMark/>
          </w:tcPr>
          <w:p w14:paraId="3EF03A92" w14:textId="77777777" w:rsidR="00270E62" w:rsidRPr="00270E62" w:rsidRDefault="00270E62" w:rsidP="00270E62">
            <w:pPr>
              <w:rPr>
                <w:rFonts w:ascii="Arial" w:eastAsia="Calibri" w:hAnsi="Arial" w:cs="Arial"/>
                <w:b/>
                <w:bCs/>
                <w:sz w:val="20"/>
                <w:szCs w:val="20"/>
              </w:rPr>
            </w:pPr>
          </w:p>
        </w:tc>
        <w:tc>
          <w:tcPr>
            <w:tcW w:w="672" w:type="dxa"/>
            <w:tcBorders>
              <w:top w:val="single" w:sz="12" w:space="0" w:color="auto"/>
              <w:bottom w:val="single" w:sz="12" w:space="0" w:color="auto"/>
            </w:tcBorders>
            <w:noWrap/>
            <w:hideMark/>
          </w:tcPr>
          <w:p w14:paraId="2103C71C"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39" w:type="dxa"/>
            <w:tcBorders>
              <w:top w:val="single" w:sz="12" w:space="0" w:color="auto"/>
              <w:bottom w:val="single" w:sz="12" w:space="0" w:color="auto"/>
            </w:tcBorders>
            <w:noWrap/>
            <w:hideMark/>
          </w:tcPr>
          <w:p w14:paraId="28FA4F5F"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747" w:type="dxa"/>
            <w:tcBorders>
              <w:top w:val="single" w:sz="12" w:space="0" w:color="auto"/>
              <w:bottom w:val="single" w:sz="12" w:space="0" w:color="auto"/>
            </w:tcBorders>
            <w:noWrap/>
            <w:hideMark/>
          </w:tcPr>
          <w:p w14:paraId="25C3ACF4"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65" w:type="dxa"/>
            <w:tcBorders>
              <w:top w:val="single" w:sz="12" w:space="0" w:color="auto"/>
              <w:bottom w:val="single" w:sz="12" w:space="0" w:color="auto"/>
            </w:tcBorders>
            <w:noWrap/>
            <w:hideMark/>
          </w:tcPr>
          <w:p w14:paraId="5ECEE461"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05" w:type="dxa"/>
            <w:tcBorders>
              <w:top w:val="single" w:sz="12" w:space="0" w:color="auto"/>
              <w:bottom w:val="single" w:sz="12" w:space="0" w:color="auto"/>
            </w:tcBorders>
            <w:noWrap/>
            <w:hideMark/>
          </w:tcPr>
          <w:p w14:paraId="421C51FA"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792" w:type="dxa"/>
            <w:vMerge/>
            <w:tcBorders>
              <w:bottom w:val="single" w:sz="12" w:space="0" w:color="auto"/>
            </w:tcBorders>
          </w:tcPr>
          <w:p w14:paraId="5381BD82" w14:textId="77777777" w:rsidR="00270E62" w:rsidRPr="00270E62" w:rsidRDefault="00270E62" w:rsidP="00270E62">
            <w:pPr>
              <w:rPr>
                <w:rFonts w:ascii="Arial" w:eastAsia="Calibri" w:hAnsi="Arial" w:cs="Arial"/>
                <w:b/>
                <w:bCs/>
                <w:sz w:val="20"/>
                <w:szCs w:val="20"/>
              </w:rPr>
            </w:pPr>
          </w:p>
        </w:tc>
        <w:tc>
          <w:tcPr>
            <w:tcW w:w="0" w:type="auto"/>
            <w:vMerge/>
            <w:tcBorders>
              <w:bottom w:val="single" w:sz="12" w:space="0" w:color="auto"/>
            </w:tcBorders>
          </w:tcPr>
          <w:p w14:paraId="33500E53" w14:textId="77777777" w:rsidR="00270E62" w:rsidRPr="00270E62" w:rsidRDefault="00270E62" w:rsidP="00270E62">
            <w:pPr>
              <w:rPr>
                <w:rFonts w:ascii="Arial" w:eastAsia="Calibri" w:hAnsi="Arial" w:cs="Arial"/>
                <w:b/>
                <w:bCs/>
                <w:sz w:val="20"/>
                <w:szCs w:val="20"/>
              </w:rPr>
            </w:pPr>
          </w:p>
        </w:tc>
      </w:tr>
      <w:tr w:rsidR="00270E62" w:rsidRPr="00270E62" w14:paraId="18D3B58D" w14:textId="77777777" w:rsidTr="002F7D8A">
        <w:trPr>
          <w:trHeight w:val="263"/>
        </w:trPr>
        <w:tc>
          <w:tcPr>
            <w:tcW w:w="3233" w:type="dxa"/>
            <w:tcBorders>
              <w:top w:val="single" w:sz="12" w:space="0" w:color="auto"/>
            </w:tcBorders>
            <w:noWrap/>
            <w:hideMark/>
          </w:tcPr>
          <w:p w14:paraId="0B94578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was actively involved in identifying the need for road maintenance.</w:t>
            </w:r>
          </w:p>
        </w:tc>
        <w:tc>
          <w:tcPr>
            <w:tcW w:w="672" w:type="dxa"/>
            <w:tcBorders>
              <w:top w:val="single" w:sz="12" w:space="0" w:color="auto"/>
            </w:tcBorders>
            <w:noWrap/>
            <w:hideMark/>
          </w:tcPr>
          <w:p w14:paraId="54ED75E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40.0</w:t>
            </w:r>
          </w:p>
        </w:tc>
        <w:tc>
          <w:tcPr>
            <w:tcW w:w="639" w:type="dxa"/>
            <w:tcBorders>
              <w:top w:val="single" w:sz="12" w:space="0" w:color="auto"/>
            </w:tcBorders>
            <w:noWrap/>
            <w:hideMark/>
          </w:tcPr>
          <w:p w14:paraId="34D220A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31.7</w:t>
            </w:r>
          </w:p>
        </w:tc>
        <w:tc>
          <w:tcPr>
            <w:tcW w:w="747" w:type="dxa"/>
            <w:tcBorders>
              <w:top w:val="single" w:sz="12" w:space="0" w:color="auto"/>
            </w:tcBorders>
            <w:noWrap/>
            <w:hideMark/>
          </w:tcPr>
          <w:p w14:paraId="7C3B5D7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65" w:type="dxa"/>
            <w:tcBorders>
              <w:top w:val="single" w:sz="12" w:space="0" w:color="auto"/>
            </w:tcBorders>
            <w:noWrap/>
            <w:hideMark/>
          </w:tcPr>
          <w:p w14:paraId="0C7C896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tcBorders>
              <w:top w:val="single" w:sz="12" w:space="0" w:color="auto"/>
            </w:tcBorders>
            <w:noWrap/>
            <w:hideMark/>
          </w:tcPr>
          <w:p w14:paraId="20B0D84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w:t>
            </w:r>
          </w:p>
        </w:tc>
        <w:tc>
          <w:tcPr>
            <w:tcW w:w="792" w:type="dxa"/>
            <w:tcBorders>
              <w:top w:val="single" w:sz="12" w:space="0" w:color="auto"/>
            </w:tcBorders>
          </w:tcPr>
          <w:p w14:paraId="3B656EF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2.08</w:t>
            </w:r>
          </w:p>
        </w:tc>
        <w:tc>
          <w:tcPr>
            <w:tcW w:w="0" w:type="auto"/>
            <w:tcBorders>
              <w:top w:val="single" w:sz="12" w:space="0" w:color="auto"/>
            </w:tcBorders>
          </w:tcPr>
          <w:p w14:paraId="3D5FA1E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1.153</w:t>
            </w:r>
          </w:p>
        </w:tc>
      </w:tr>
      <w:tr w:rsidR="00270E62" w:rsidRPr="00270E62" w14:paraId="3E6F2AA2" w14:textId="77777777" w:rsidTr="002F7D8A">
        <w:trPr>
          <w:trHeight w:val="263"/>
        </w:trPr>
        <w:tc>
          <w:tcPr>
            <w:tcW w:w="3233" w:type="dxa"/>
            <w:noWrap/>
            <w:hideMark/>
          </w:tcPr>
          <w:p w14:paraId="0CE89B6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participated in planning how the road maintenance would be conducted.</w:t>
            </w:r>
          </w:p>
        </w:tc>
        <w:tc>
          <w:tcPr>
            <w:tcW w:w="672" w:type="dxa"/>
            <w:noWrap/>
            <w:hideMark/>
          </w:tcPr>
          <w:p w14:paraId="529E3BD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44.2</w:t>
            </w:r>
          </w:p>
        </w:tc>
        <w:tc>
          <w:tcPr>
            <w:tcW w:w="639" w:type="dxa"/>
            <w:noWrap/>
            <w:hideMark/>
          </w:tcPr>
          <w:p w14:paraId="1B6BAD1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28.3</w:t>
            </w:r>
          </w:p>
        </w:tc>
        <w:tc>
          <w:tcPr>
            <w:tcW w:w="747" w:type="dxa"/>
            <w:noWrap/>
            <w:hideMark/>
          </w:tcPr>
          <w:p w14:paraId="0CDCCF8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65" w:type="dxa"/>
            <w:noWrap/>
            <w:hideMark/>
          </w:tcPr>
          <w:p w14:paraId="0E117AE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noWrap/>
            <w:hideMark/>
          </w:tcPr>
          <w:p w14:paraId="4FA3DC9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5C53227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2.01</w:t>
            </w:r>
          </w:p>
        </w:tc>
        <w:tc>
          <w:tcPr>
            <w:tcW w:w="0" w:type="auto"/>
          </w:tcPr>
          <w:p w14:paraId="7C5E083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1.141</w:t>
            </w:r>
          </w:p>
        </w:tc>
      </w:tr>
      <w:tr w:rsidR="00270E62" w:rsidRPr="00270E62" w14:paraId="4BA92BF3" w14:textId="77777777" w:rsidTr="002F7D8A">
        <w:trPr>
          <w:trHeight w:val="263"/>
        </w:trPr>
        <w:tc>
          <w:tcPr>
            <w:tcW w:w="3233" w:type="dxa"/>
            <w:noWrap/>
            <w:hideMark/>
          </w:tcPr>
          <w:p w14:paraId="49C3694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My suggestions were considered during decision-making.</w:t>
            </w:r>
          </w:p>
        </w:tc>
        <w:tc>
          <w:tcPr>
            <w:tcW w:w="672" w:type="dxa"/>
            <w:noWrap/>
            <w:hideMark/>
          </w:tcPr>
          <w:p w14:paraId="68AAE69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44.2</w:t>
            </w:r>
          </w:p>
        </w:tc>
        <w:tc>
          <w:tcPr>
            <w:tcW w:w="639" w:type="dxa"/>
            <w:noWrap/>
            <w:hideMark/>
          </w:tcPr>
          <w:p w14:paraId="7F5D1D3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26.7</w:t>
            </w:r>
          </w:p>
        </w:tc>
        <w:tc>
          <w:tcPr>
            <w:tcW w:w="747" w:type="dxa"/>
            <w:noWrap/>
            <w:hideMark/>
          </w:tcPr>
          <w:p w14:paraId="323702E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037720A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10.0</w:t>
            </w:r>
          </w:p>
        </w:tc>
        <w:tc>
          <w:tcPr>
            <w:tcW w:w="605" w:type="dxa"/>
            <w:noWrap/>
            <w:hideMark/>
          </w:tcPr>
          <w:p w14:paraId="0C2D4EA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4.2</w:t>
            </w:r>
          </w:p>
        </w:tc>
        <w:tc>
          <w:tcPr>
            <w:tcW w:w="792" w:type="dxa"/>
          </w:tcPr>
          <w:p w14:paraId="412E892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2.03</w:t>
            </w:r>
          </w:p>
        </w:tc>
        <w:tc>
          <w:tcPr>
            <w:tcW w:w="0" w:type="auto"/>
          </w:tcPr>
          <w:p w14:paraId="314F562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1.173</w:t>
            </w:r>
          </w:p>
        </w:tc>
      </w:tr>
      <w:tr w:rsidR="00270E62" w:rsidRPr="00270E62" w14:paraId="4091B1FB" w14:textId="77777777" w:rsidTr="002F7D8A">
        <w:trPr>
          <w:trHeight w:val="263"/>
        </w:trPr>
        <w:tc>
          <w:tcPr>
            <w:tcW w:w="3233" w:type="dxa"/>
            <w:noWrap/>
            <w:hideMark/>
          </w:tcPr>
          <w:p w14:paraId="3407E6F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was informed about the project before its implementation.</w:t>
            </w:r>
          </w:p>
        </w:tc>
        <w:tc>
          <w:tcPr>
            <w:tcW w:w="672" w:type="dxa"/>
            <w:noWrap/>
            <w:hideMark/>
          </w:tcPr>
          <w:p w14:paraId="2E3360F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33.3</w:t>
            </w:r>
          </w:p>
        </w:tc>
        <w:tc>
          <w:tcPr>
            <w:tcW w:w="639" w:type="dxa"/>
            <w:noWrap/>
            <w:hideMark/>
          </w:tcPr>
          <w:p w14:paraId="041C1DD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747" w:type="dxa"/>
            <w:noWrap/>
            <w:hideMark/>
          </w:tcPr>
          <w:p w14:paraId="45B2158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8.3</w:t>
            </w:r>
          </w:p>
        </w:tc>
        <w:tc>
          <w:tcPr>
            <w:tcW w:w="665" w:type="dxa"/>
            <w:noWrap/>
            <w:hideMark/>
          </w:tcPr>
          <w:p w14:paraId="5BF0B40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16.7</w:t>
            </w:r>
          </w:p>
        </w:tc>
        <w:tc>
          <w:tcPr>
            <w:tcW w:w="605" w:type="dxa"/>
            <w:noWrap/>
            <w:hideMark/>
          </w:tcPr>
          <w:p w14:paraId="3C36940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14D8DE0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2.16</w:t>
            </w:r>
          </w:p>
        </w:tc>
        <w:tc>
          <w:tcPr>
            <w:tcW w:w="0" w:type="auto"/>
          </w:tcPr>
          <w:p w14:paraId="5ECB83F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1.138</w:t>
            </w:r>
          </w:p>
        </w:tc>
      </w:tr>
      <w:tr w:rsidR="00270E62" w:rsidRPr="00270E62" w14:paraId="651E500F" w14:textId="77777777" w:rsidTr="002F7D8A">
        <w:trPr>
          <w:trHeight w:val="263"/>
        </w:trPr>
        <w:tc>
          <w:tcPr>
            <w:tcW w:w="3233" w:type="dxa"/>
            <w:noWrap/>
            <w:hideMark/>
          </w:tcPr>
          <w:p w14:paraId="3065C69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participated in discussions about the project’s goals and methods.</w:t>
            </w:r>
          </w:p>
        </w:tc>
        <w:tc>
          <w:tcPr>
            <w:tcW w:w="672" w:type="dxa"/>
            <w:noWrap/>
            <w:hideMark/>
          </w:tcPr>
          <w:p w14:paraId="4B7FA77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639" w:type="dxa"/>
            <w:noWrap/>
            <w:hideMark/>
          </w:tcPr>
          <w:p w14:paraId="7B47F3D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34.2</w:t>
            </w:r>
          </w:p>
        </w:tc>
        <w:tc>
          <w:tcPr>
            <w:tcW w:w="747" w:type="dxa"/>
            <w:noWrap/>
            <w:hideMark/>
          </w:tcPr>
          <w:p w14:paraId="1263669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13.3</w:t>
            </w:r>
          </w:p>
        </w:tc>
        <w:tc>
          <w:tcPr>
            <w:tcW w:w="665" w:type="dxa"/>
            <w:noWrap/>
            <w:hideMark/>
          </w:tcPr>
          <w:p w14:paraId="0A645C4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473579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697465D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2.03</w:t>
            </w:r>
          </w:p>
        </w:tc>
        <w:tc>
          <w:tcPr>
            <w:tcW w:w="0" w:type="auto"/>
          </w:tcPr>
          <w:p w14:paraId="3174B3B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1.073</w:t>
            </w:r>
          </w:p>
        </w:tc>
      </w:tr>
      <w:tr w:rsidR="00270E62" w:rsidRPr="00270E62" w14:paraId="32975897" w14:textId="77777777" w:rsidTr="002F7D8A">
        <w:trPr>
          <w:trHeight w:val="263"/>
        </w:trPr>
        <w:tc>
          <w:tcPr>
            <w:tcW w:w="3233" w:type="dxa"/>
            <w:noWrap/>
            <w:hideMark/>
          </w:tcPr>
          <w:p w14:paraId="56F2499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My input was considered during project planning.</w:t>
            </w:r>
          </w:p>
        </w:tc>
        <w:tc>
          <w:tcPr>
            <w:tcW w:w="672" w:type="dxa"/>
            <w:noWrap/>
            <w:hideMark/>
          </w:tcPr>
          <w:p w14:paraId="27FDB5D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36.7</w:t>
            </w:r>
          </w:p>
        </w:tc>
        <w:tc>
          <w:tcPr>
            <w:tcW w:w="639" w:type="dxa"/>
            <w:noWrap/>
            <w:hideMark/>
          </w:tcPr>
          <w:p w14:paraId="4B34E0D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35.0</w:t>
            </w:r>
          </w:p>
        </w:tc>
        <w:tc>
          <w:tcPr>
            <w:tcW w:w="747" w:type="dxa"/>
            <w:noWrap/>
            <w:hideMark/>
          </w:tcPr>
          <w:p w14:paraId="46A2E17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19.2</w:t>
            </w:r>
          </w:p>
        </w:tc>
        <w:tc>
          <w:tcPr>
            <w:tcW w:w="665" w:type="dxa"/>
            <w:noWrap/>
            <w:hideMark/>
          </w:tcPr>
          <w:p w14:paraId="71AF622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7.5</w:t>
            </w:r>
          </w:p>
        </w:tc>
        <w:tc>
          <w:tcPr>
            <w:tcW w:w="605" w:type="dxa"/>
            <w:noWrap/>
            <w:hideMark/>
          </w:tcPr>
          <w:p w14:paraId="70552B3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E66B3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2.02</w:t>
            </w:r>
          </w:p>
        </w:tc>
        <w:tc>
          <w:tcPr>
            <w:tcW w:w="0" w:type="auto"/>
          </w:tcPr>
          <w:p w14:paraId="14F2684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1.008</w:t>
            </w:r>
          </w:p>
        </w:tc>
      </w:tr>
      <w:tr w:rsidR="00270E62" w:rsidRPr="00270E62" w14:paraId="632EF93C" w14:textId="77777777" w:rsidTr="002F7D8A">
        <w:trPr>
          <w:trHeight w:val="263"/>
        </w:trPr>
        <w:tc>
          <w:tcPr>
            <w:tcW w:w="3233" w:type="dxa"/>
            <w:noWrap/>
            <w:hideMark/>
          </w:tcPr>
          <w:p w14:paraId="732E68C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 xml:space="preserve">I contributed </w:t>
            </w:r>
            <w:proofErr w:type="spellStart"/>
            <w:r w:rsidRPr="00270E62">
              <w:rPr>
                <w:rFonts w:ascii="Arial" w:eastAsia="Calibri" w:hAnsi="Arial" w:cs="Arial"/>
                <w:sz w:val="20"/>
                <w:szCs w:val="20"/>
              </w:rPr>
              <w:t>labour</w:t>
            </w:r>
            <w:proofErr w:type="spellEnd"/>
            <w:r w:rsidRPr="00270E62">
              <w:rPr>
                <w:rFonts w:ascii="Arial" w:eastAsia="Calibri" w:hAnsi="Arial" w:cs="Arial"/>
                <w:sz w:val="20"/>
                <w:szCs w:val="20"/>
              </w:rPr>
              <w:t xml:space="preserve"> to the road maintenance project.</w:t>
            </w:r>
          </w:p>
        </w:tc>
        <w:tc>
          <w:tcPr>
            <w:tcW w:w="672" w:type="dxa"/>
            <w:noWrap/>
            <w:hideMark/>
          </w:tcPr>
          <w:p w14:paraId="5677796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639" w:type="dxa"/>
            <w:noWrap/>
            <w:hideMark/>
          </w:tcPr>
          <w:p w14:paraId="40796B3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747" w:type="dxa"/>
            <w:noWrap/>
            <w:hideMark/>
          </w:tcPr>
          <w:p w14:paraId="0D12EE0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w:t>
            </w:r>
          </w:p>
        </w:tc>
        <w:tc>
          <w:tcPr>
            <w:tcW w:w="665" w:type="dxa"/>
            <w:noWrap/>
            <w:hideMark/>
          </w:tcPr>
          <w:p w14:paraId="2A43571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7470FC8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2D9575F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2.06</w:t>
            </w:r>
          </w:p>
        </w:tc>
        <w:tc>
          <w:tcPr>
            <w:tcW w:w="0" w:type="auto"/>
          </w:tcPr>
          <w:p w14:paraId="59DBE00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1.079</w:t>
            </w:r>
          </w:p>
        </w:tc>
      </w:tr>
      <w:tr w:rsidR="00270E62" w:rsidRPr="00270E62" w14:paraId="11AA7556" w14:textId="77777777" w:rsidTr="002F7D8A">
        <w:trPr>
          <w:trHeight w:val="263"/>
        </w:trPr>
        <w:tc>
          <w:tcPr>
            <w:tcW w:w="3233" w:type="dxa"/>
            <w:noWrap/>
            <w:hideMark/>
          </w:tcPr>
          <w:p w14:paraId="1C1C5A9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contributed materials (e.g., tools or raw materials) to the project.</w:t>
            </w:r>
          </w:p>
        </w:tc>
        <w:tc>
          <w:tcPr>
            <w:tcW w:w="672" w:type="dxa"/>
            <w:noWrap/>
            <w:hideMark/>
          </w:tcPr>
          <w:p w14:paraId="06CB82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4866FF8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31.7</w:t>
            </w:r>
          </w:p>
        </w:tc>
        <w:tc>
          <w:tcPr>
            <w:tcW w:w="747" w:type="dxa"/>
            <w:noWrap/>
            <w:hideMark/>
          </w:tcPr>
          <w:p w14:paraId="3265588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7500EF6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5.8</w:t>
            </w:r>
          </w:p>
        </w:tc>
        <w:tc>
          <w:tcPr>
            <w:tcW w:w="605" w:type="dxa"/>
            <w:noWrap/>
            <w:hideMark/>
          </w:tcPr>
          <w:p w14:paraId="3FED38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A9D90E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1.86</w:t>
            </w:r>
          </w:p>
        </w:tc>
        <w:tc>
          <w:tcPr>
            <w:tcW w:w="0" w:type="auto"/>
          </w:tcPr>
          <w:p w14:paraId="59CC677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0.99</w:t>
            </w:r>
          </w:p>
        </w:tc>
      </w:tr>
      <w:tr w:rsidR="00270E62" w:rsidRPr="00270E62" w14:paraId="7FC5E3C8" w14:textId="77777777" w:rsidTr="002F7D8A">
        <w:trPr>
          <w:trHeight w:val="263"/>
        </w:trPr>
        <w:tc>
          <w:tcPr>
            <w:tcW w:w="3233" w:type="dxa"/>
            <w:noWrap/>
            <w:hideMark/>
          </w:tcPr>
          <w:p w14:paraId="536418B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assisted in monitoring and supervising the road maintenance activities.</w:t>
            </w:r>
          </w:p>
        </w:tc>
        <w:tc>
          <w:tcPr>
            <w:tcW w:w="672" w:type="dxa"/>
            <w:noWrap/>
            <w:hideMark/>
          </w:tcPr>
          <w:p w14:paraId="42141D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18C964E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747" w:type="dxa"/>
            <w:noWrap/>
            <w:hideMark/>
          </w:tcPr>
          <w:p w14:paraId="013184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w:t>
            </w:r>
          </w:p>
        </w:tc>
        <w:tc>
          <w:tcPr>
            <w:tcW w:w="665" w:type="dxa"/>
            <w:noWrap/>
            <w:hideMark/>
          </w:tcPr>
          <w:p w14:paraId="63C1A3B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5.0</w:t>
            </w:r>
          </w:p>
        </w:tc>
        <w:tc>
          <w:tcPr>
            <w:tcW w:w="605" w:type="dxa"/>
            <w:noWrap/>
            <w:hideMark/>
          </w:tcPr>
          <w:p w14:paraId="16B2702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5684A6A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1.83</w:t>
            </w:r>
          </w:p>
        </w:tc>
        <w:tc>
          <w:tcPr>
            <w:tcW w:w="0" w:type="auto"/>
          </w:tcPr>
          <w:p w14:paraId="39FB7BB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0.984</w:t>
            </w:r>
          </w:p>
        </w:tc>
      </w:tr>
      <w:tr w:rsidR="00270E62" w:rsidRPr="00270E62" w14:paraId="1E8CE679" w14:textId="77777777" w:rsidTr="002F7D8A">
        <w:trPr>
          <w:trHeight w:val="263"/>
        </w:trPr>
        <w:tc>
          <w:tcPr>
            <w:tcW w:w="3233" w:type="dxa"/>
            <w:noWrap/>
            <w:hideMark/>
          </w:tcPr>
          <w:p w14:paraId="65C07AB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 in periodic maintenance activities for the road.</w:t>
            </w:r>
          </w:p>
        </w:tc>
        <w:tc>
          <w:tcPr>
            <w:tcW w:w="672" w:type="dxa"/>
            <w:noWrap/>
            <w:hideMark/>
          </w:tcPr>
          <w:p w14:paraId="2430E9D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35.0</w:t>
            </w:r>
          </w:p>
        </w:tc>
        <w:tc>
          <w:tcPr>
            <w:tcW w:w="639" w:type="dxa"/>
            <w:noWrap/>
            <w:hideMark/>
          </w:tcPr>
          <w:p w14:paraId="0387C6C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36.7</w:t>
            </w:r>
          </w:p>
        </w:tc>
        <w:tc>
          <w:tcPr>
            <w:tcW w:w="747" w:type="dxa"/>
            <w:noWrap/>
            <w:hideMark/>
          </w:tcPr>
          <w:p w14:paraId="0AE0B84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13.3</w:t>
            </w:r>
          </w:p>
        </w:tc>
        <w:tc>
          <w:tcPr>
            <w:tcW w:w="665" w:type="dxa"/>
            <w:noWrap/>
            <w:hideMark/>
          </w:tcPr>
          <w:p w14:paraId="6A0B21C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noWrap/>
            <w:hideMark/>
          </w:tcPr>
          <w:p w14:paraId="481CF91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1A8D8B2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2.11</w:t>
            </w:r>
          </w:p>
        </w:tc>
        <w:tc>
          <w:tcPr>
            <w:tcW w:w="0" w:type="auto"/>
          </w:tcPr>
          <w:p w14:paraId="431F304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1.098</w:t>
            </w:r>
          </w:p>
        </w:tc>
      </w:tr>
      <w:tr w:rsidR="00270E62" w:rsidRPr="00270E62" w14:paraId="5D5F239D" w14:textId="77777777" w:rsidTr="002F7D8A">
        <w:trPr>
          <w:trHeight w:val="263"/>
        </w:trPr>
        <w:tc>
          <w:tcPr>
            <w:tcW w:w="3233" w:type="dxa"/>
            <w:noWrap/>
            <w:hideMark/>
          </w:tcPr>
          <w:p w14:paraId="1E72640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contribute funds or materials for continued road maintenance.</w:t>
            </w:r>
          </w:p>
        </w:tc>
        <w:tc>
          <w:tcPr>
            <w:tcW w:w="672" w:type="dxa"/>
            <w:noWrap/>
            <w:hideMark/>
          </w:tcPr>
          <w:p w14:paraId="257469F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49.2</w:t>
            </w:r>
          </w:p>
        </w:tc>
        <w:tc>
          <w:tcPr>
            <w:tcW w:w="639" w:type="dxa"/>
            <w:noWrap/>
            <w:hideMark/>
          </w:tcPr>
          <w:p w14:paraId="7E11E12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26.7</w:t>
            </w:r>
          </w:p>
        </w:tc>
        <w:tc>
          <w:tcPr>
            <w:tcW w:w="747" w:type="dxa"/>
            <w:noWrap/>
            <w:hideMark/>
          </w:tcPr>
          <w:p w14:paraId="0EF7666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15.8</w:t>
            </w:r>
          </w:p>
        </w:tc>
        <w:tc>
          <w:tcPr>
            <w:tcW w:w="665" w:type="dxa"/>
            <w:noWrap/>
            <w:hideMark/>
          </w:tcPr>
          <w:p w14:paraId="441FE04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6.7</w:t>
            </w:r>
          </w:p>
        </w:tc>
        <w:tc>
          <w:tcPr>
            <w:tcW w:w="605" w:type="dxa"/>
            <w:noWrap/>
            <w:hideMark/>
          </w:tcPr>
          <w:p w14:paraId="15EB9E0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B19EF5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1.85</w:t>
            </w:r>
          </w:p>
        </w:tc>
        <w:tc>
          <w:tcPr>
            <w:tcW w:w="0" w:type="auto"/>
          </w:tcPr>
          <w:p w14:paraId="7CFEFDE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1.026</w:t>
            </w:r>
          </w:p>
        </w:tc>
      </w:tr>
      <w:tr w:rsidR="00270E62" w:rsidRPr="00270E62" w14:paraId="1EBAE545" w14:textId="77777777" w:rsidTr="002F7D8A">
        <w:trPr>
          <w:trHeight w:val="263"/>
        </w:trPr>
        <w:tc>
          <w:tcPr>
            <w:tcW w:w="3233" w:type="dxa"/>
            <w:noWrap/>
            <w:hideMark/>
          </w:tcPr>
          <w:p w14:paraId="25E62DC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help in mobilizing others to contribute to road maintenance activities.</w:t>
            </w:r>
          </w:p>
        </w:tc>
        <w:tc>
          <w:tcPr>
            <w:tcW w:w="672" w:type="dxa"/>
            <w:noWrap/>
            <w:hideMark/>
          </w:tcPr>
          <w:p w14:paraId="0A76184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40.0</w:t>
            </w:r>
          </w:p>
        </w:tc>
        <w:tc>
          <w:tcPr>
            <w:tcW w:w="639" w:type="dxa"/>
            <w:noWrap/>
            <w:hideMark/>
          </w:tcPr>
          <w:p w14:paraId="6F8E73D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30.8</w:t>
            </w:r>
          </w:p>
        </w:tc>
        <w:tc>
          <w:tcPr>
            <w:tcW w:w="747" w:type="dxa"/>
            <w:noWrap/>
            <w:hideMark/>
          </w:tcPr>
          <w:p w14:paraId="46FE2E2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15.8</w:t>
            </w:r>
          </w:p>
        </w:tc>
        <w:tc>
          <w:tcPr>
            <w:tcW w:w="665" w:type="dxa"/>
            <w:noWrap/>
            <w:hideMark/>
          </w:tcPr>
          <w:p w14:paraId="203E945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1BCCE01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1DBC8A3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2.04</w:t>
            </w:r>
          </w:p>
        </w:tc>
        <w:tc>
          <w:tcPr>
            <w:tcW w:w="0" w:type="auto"/>
          </w:tcPr>
          <w:p w14:paraId="650F805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1.088</w:t>
            </w:r>
          </w:p>
        </w:tc>
      </w:tr>
      <w:tr w:rsidR="00270E62" w:rsidRPr="00270E62" w14:paraId="2E166DC4" w14:textId="77777777" w:rsidTr="002F7D8A">
        <w:trPr>
          <w:trHeight w:val="263"/>
        </w:trPr>
        <w:tc>
          <w:tcPr>
            <w:tcW w:w="3233" w:type="dxa"/>
            <w:noWrap/>
            <w:hideMark/>
          </w:tcPr>
          <w:p w14:paraId="02FA37E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lastRenderedPageBreak/>
              <w:t>I feel my participation has significantly impacted the project's success.</w:t>
            </w:r>
          </w:p>
        </w:tc>
        <w:tc>
          <w:tcPr>
            <w:tcW w:w="672" w:type="dxa"/>
            <w:noWrap/>
            <w:hideMark/>
          </w:tcPr>
          <w:p w14:paraId="543E3B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727DA75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22.5</w:t>
            </w:r>
          </w:p>
        </w:tc>
        <w:tc>
          <w:tcPr>
            <w:tcW w:w="747" w:type="dxa"/>
            <w:noWrap/>
            <w:hideMark/>
          </w:tcPr>
          <w:p w14:paraId="598ABA6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3A1D178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14.2</w:t>
            </w:r>
          </w:p>
        </w:tc>
        <w:tc>
          <w:tcPr>
            <w:tcW w:w="605" w:type="dxa"/>
            <w:noWrap/>
            <w:hideMark/>
          </w:tcPr>
          <w:p w14:paraId="091D167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3BF3034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2.05</w:t>
            </w:r>
          </w:p>
        </w:tc>
        <w:tc>
          <w:tcPr>
            <w:tcW w:w="0" w:type="auto"/>
          </w:tcPr>
          <w:p w14:paraId="74D1C24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1.187</w:t>
            </w:r>
          </w:p>
        </w:tc>
      </w:tr>
      <w:tr w:rsidR="00270E62" w:rsidRPr="00270E62" w14:paraId="208A90FE" w14:textId="77777777" w:rsidTr="002F7D8A">
        <w:trPr>
          <w:trHeight w:val="263"/>
        </w:trPr>
        <w:tc>
          <w:tcPr>
            <w:tcW w:w="3233" w:type="dxa"/>
            <w:noWrap/>
            <w:hideMark/>
          </w:tcPr>
          <w:p w14:paraId="2D7DC18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am satisfied with the level of involvement the community had in this project.</w:t>
            </w:r>
          </w:p>
        </w:tc>
        <w:tc>
          <w:tcPr>
            <w:tcW w:w="672" w:type="dxa"/>
            <w:noWrap/>
            <w:hideMark/>
          </w:tcPr>
          <w:p w14:paraId="4C775E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41.7</w:t>
            </w:r>
          </w:p>
        </w:tc>
        <w:tc>
          <w:tcPr>
            <w:tcW w:w="639" w:type="dxa"/>
            <w:noWrap/>
            <w:hideMark/>
          </w:tcPr>
          <w:p w14:paraId="1A62969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29.2</w:t>
            </w:r>
          </w:p>
        </w:tc>
        <w:tc>
          <w:tcPr>
            <w:tcW w:w="747" w:type="dxa"/>
            <w:noWrap/>
            <w:hideMark/>
          </w:tcPr>
          <w:p w14:paraId="5337013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20.0</w:t>
            </w:r>
          </w:p>
        </w:tc>
        <w:tc>
          <w:tcPr>
            <w:tcW w:w="665" w:type="dxa"/>
            <w:noWrap/>
            <w:hideMark/>
          </w:tcPr>
          <w:p w14:paraId="003621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9.2</w:t>
            </w:r>
          </w:p>
        </w:tc>
        <w:tc>
          <w:tcPr>
            <w:tcW w:w="605" w:type="dxa"/>
            <w:noWrap/>
            <w:hideMark/>
          </w:tcPr>
          <w:p w14:paraId="37AFFDC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0.0</w:t>
            </w:r>
          </w:p>
        </w:tc>
        <w:tc>
          <w:tcPr>
            <w:tcW w:w="792" w:type="dxa"/>
          </w:tcPr>
          <w:p w14:paraId="75A7595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1.97</w:t>
            </w:r>
          </w:p>
        </w:tc>
        <w:tc>
          <w:tcPr>
            <w:tcW w:w="0" w:type="auto"/>
          </w:tcPr>
          <w:p w14:paraId="301B409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0.995</w:t>
            </w:r>
          </w:p>
        </w:tc>
      </w:tr>
      <w:tr w:rsidR="00270E62" w:rsidRPr="00270E62" w14:paraId="78902159" w14:textId="77777777" w:rsidTr="002F7D8A">
        <w:trPr>
          <w:trHeight w:val="263"/>
        </w:trPr>
        <w:tc>
          <w:tcPr>
            <w:tcW w:w="3233" w:type="dxa"/>
            <w:tcBorders>
              <w:bottom w:val="single" w:sz="12" w:space="0" w:color="auto"/>
            </w:tcBorders>
            <w:noWrap/>
            <w:hideMark/>
          </w:tcPr>
          <w:p w14:paraId="7EE91E7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would participate in similar road maintenance projects in the future</w:t>
            </w:r>
          </w:p>
        </w:tc>
        <w:tc>
          <w:tcPr>
            <w:tcW w:w="672" w:type="dxa"/>
            <w:tcBorders>
              <w:bottom w:val="single" w:sz="12" w:space="0" w:color="auto"/>
            </w:tcBorders>
            <w:noWrap/>
            <w:hideMark/>
          </w:tcPr>
          <w:p w14:paraId="50428BE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639" w:type="dxa"/>
            <w:tcBorders>
              <w:bottom w:val="single" w:sz="12" w:space="0" w:color="auto"/>
            </w:tcBorders>
            <w:noWrap/>
            <w:hideMark/>
          </w:tcPr>
          <w:p w14:paraId="23FEF51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23.3</w:t>
            </w:r>
          </w:p>
        </w:tc>
        <w:tc>
          <w:tcPr>
            <w:tcW w:w="747" w:type="dxa"/>
            <w:tcBorders>
              <w:bottom w:val="single" w:sz="12" w:space="0" w:color="auto"/>
            </w:tcBorders>
            <w:noWrap/>
            <w:hideMark/>
          </w:tcPr>
          <w:p w14:paraId="070C4B3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tcBorders>
              <w:bottom w:val="single" w:sz="12" w:space="0" w:color="auto"/>
            </w:tcBorders>
            <w:noWrap/>
            <w:hideMark/>
          </w:tcPr>
          <w:p w14:paraId="7DAE661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22.5</w:t>
            </w:r>
          </w:p>
        </w:tc>
        <w:tc>
          <w:tcPr>
            <w:tcW w:w="605" w:type="dxa"/>
            <w:tcBorders>
              <w:bottom w:val="single" w:sz="12" w:space="0" w:color="auto"/>
            </w:tcBorders>
            <w:noWrap/>
            <w:hideMark/>
          </w:tcPr>
          <w:p w14:paraId="268FED9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w:t>
            </w:r>
          </w:p>
        </w:tc>
        <w:tc>
          <w:tcPr>
            <w:tcW w:w="792" w:type="dxa"/>
            <w:tcBorders>
              <w:bottom w:val="single" w:sz="12" w:space="0" w:color="auto"/>
            </w:tcBorders>
          </w:tcPr>
          <w:p w14:paraId="7A9A239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2.34</w:t>
            </w:r>
          </w:p>
        </w:tc>
        <w:tc>
          <w:tcPr>
            <w:tcW w:w="0" w:type="auto"/>
            <w:tcBorders>
              <w:bottom w:val="single" w:sz="12" w:space="0" w:color="auto"/>
            </w:tcBorders>
          </w:tcPr>
          <w:p w14:paraId="0654A6D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1.267</w:t>
            </w:r>
          </w:p>
        </w:tc>
      </w:tr>
    </w:tbl>
    <w:p w14:paraId="4C5C3E7B" w14:textId="77777777" w:rsidR="00270E62" w:rsidRPr="00270E62" w:rsidRDefault="00270E62" w:rsidP="00270E62">
      <w:pPr>
        <w:spacing w:after="0" w:line="360" w:lineRule="auto"/>
        <w:rPr>
          <w:rFonts w:ascii="Arial" w:eastAsia="Calibri" w:hAnsi="Arial" w:cs="Arial"/>
          <w:i/>
          <w:iCs/>
          <w:sz w:val="20"/>
          <w:szCs w:val="20"/>
        </w:rPr>
      </w:pPr>
      <w:r w:rsidRPr="00270E62">
        <w:rPr>
          <w:rFonts w:ascii="Arial" w:eastAsia="Calibri" w:hAnsi="Arial" w:cs="Arial"/>
          <w:b/>
          <w:bCs/>
          <w:i/>
          <w:iCs/>
          <w:sz w:val="20"/>
          <w:szCs w:val="20"/>
        </w:rPr>
        <w:t>Key:</w:t>
      </w:r>
      <w:r w:rsidRPr="00270E62">
        <w:rPr>
          <w:rFonts w:ascii="Arial" w:eastAsia="Calibri" w:hAnsi="Arial" w:cs="Arial"/>
          <w:i/>
          <w:iCs/>
          <w:sz w:val="20"/>
          <w:szCs w:val="20"/>
        </w:rPr>
        <w:t xml:space="preserve"> SD = Strongly Disagree (1), D = Disagree (2), N = Neutral (3), A = Agree (4), SA = Strongly Agree (5)</w:t>
      </w:r>
    </w:p>
    <w:p w14:paraId="09D5C4EF" w14:textId="77777777" w:rsidR="005869FC" w:rsidRPr="005869FC" w:rsidRDefault="005869FC" w:rsidP="005869FC">
      <w:pPr>
        <w:jc w:val="both"/>
        <w:rPr>
          <w:rFonts w:ascii="Arial" w:hAnsi="Arial" w:cs="Arial"/>
          <w:sz w:val="24"/>
          <w:szCs w:val="24"/>
        </w:rPr>
      </w:pPr>
      <w:r>
        <w:rPr>
          <w:rFonts w:ascii="Arial" w:hAnsi="Arial" w:cs="Arial"/>
          <w:sz w:val="24"/>
          <w:szCs w:val="24"/>
        </w:rPr>
        <w:t>The findings from Table 2</w:t>
      </w:r>
      <w:r w:rsidRPr="005869FC">
        <w:rPr>
          <w:rFonts w:ascii="Arial" w:hAnsi="Arial" w:cs="Arial"/>
          <w:sz w:val="24"/>
          <w:szCs w:val="24"/>
        </w:rPr>
        <w:t xml:space="preserve"> reveal that community involvement in the initial identification of road maintenance needs was markedly low. Specifically, 40.0% of respondents strongly disagreed, and 31.7% disagreed, that they were involved in identifying road maintenance needs. The mean score of 2.08 (SD = 1.153) indicates a generally low level of perceived involvement, with responses clustered around disagreement but showing moderate variability. This suggests that most road maintenance initiatives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 Council were initiated without systematic consultation with local residents, who are the primary users of these roads. In a rural context like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where community members rely heavily on unpaved feeder roads to access markets, schools, and health </w:t>
      </w:r>
      <w:proofErr w:type="spellStart"/>
      <w:r w:rsidRPr="005869FC">
        <w:rPr>
          <w:rFonts w:ascii="Arial" w:hAnsi="Arial" w:cs="Arial"/>
          <w:sz w:val="24"/>
          <w:szCs w:val="24"/>
        </w:rPr>
        <w:t>centers</w:t>
      </w:r>
      <w:proofErr w:type="spellEnd"/>
      <w:r w:rsidRPr="005869FC">
        <w:rPr>
          <w:rFonts w:ascii="Arial" w:hAnsi="Arial" w:cs="Arial"/>
          <w:sz w:val="24"/>
          <w:szCs w:val="24"/>
        </w:rPr>
        <w:t xml:space="preserve">, excluding them from identifying maintenance needs can result in a mismatch between actual needs and project priorities. These findings are consistent with </w:t>
      </w:r>
      <w:proofErr w:type="spellStart"/>
      <w:r w:rsidRPr="005869FC">
        <w:rPr>
          <w:rFonts w:ascii="Arial" w:hAnsi="Arial" w:cs="Arial"/>
          <w:sz w:val="24"/>
          <w:szCs w:val="24"/>
        </w:rPr>
        <w:t>Ndaraba</w:t>
      </w:r>
      <w:proofErr w:type="spellEnd"/>
      <w:r w:rsidRPr="005869FC">
        <w:rPr>
          <w:rFonts w:ascii="Arial" w:hAnsi="Arial" w:cs="Arial"/>
          <w:sz w:val="24"/>
          <w:szCs w:val="24"/>
        </w:rPr>
        <w:t xml:space="preserve"> et al. (2024), who reported similarly low levels of community involvement in rural road maintenance projects in Iringa District, where most projects were designed and executed by District Engineers without local input, limiting community ownership and project </w:t>
      </w:r>
      <w:r>
        <w:rPr>
          <w:rFonts w:ascii="Arial" w:hAnsi="Arial" w:cs="Arial"/>
          <w:sz w:val="24"/>
          <w:szCs w:val="24"/>
        </w:rPr>
        <w:t>effectiveness.</w:t>
      </w:r>
    </w:p>
    <w:p w14:paraId="68F0CCE7" w14:textId="77777777" w:rsidR="005869FC" w:rsidRPr="009C65B1" w:rsidRDefault="005869FC" w:rsidP="006E796E">
      <w:pPr>
        <w:rPr>
          <w:rFonts w:ascii="Arial" w:hAnsi="Arial" w:cs="Arial"/>
          <w:sz w:val="24"/>
          <w:szCs w:val="24"/>
        </w:rPr>
      </w:pPr>
      <w:r w:rsidRPr="009C65B1">
        <w:rPr>
          <w:rFonts w:ascii="Arial" w:hAnsi="Arial" w:cs="Arial"/>
          <w:sz w:val="24"/>
          <w:szCs w:val="24"/>
        </w:rPr>
        <w:t xml:space="preserve">The trend of minimal engagement continued into the planning phase. The majority of respondents (44.2% strongly disagreed and 28.3% disagreed) indicated they were not involved in determining how road maintenance would be conducted. The mean score of 2.01 (SD = 1.141) reinforces the perception that community members were largely excluded from planning. This is concerning given the participatory planning frameworks promoted under Tanzania’s Local Government Reform Programme, which expects engagement through Ward Development Committees (WDCs) and Village General Assemblies. The findings suggest that these mechanisms either are not functioning effectively or that participation remains largely symbolic, aligning with </w:t>
      </w:r>
      <w:proofErr w:type="spellStart"/>
      <w:r w:rsidR="009C65B1" w:rsidRPr="009C65B1">
        <w:rPr>
          <w:rFonts w:ascii="Arial" w:hAnsi="Arial" w:cs="Arial"/>
          <w:sz w:val="24"/>
          <w:szCs w:val="24"/>
        </w:rPr>
        <w:t>Muluk</w:t>
      </w:r>
      <w:proofErr w:type="spellEnd"/>
      <w:r w:rsidR="009C65B1" w:rsidRPr="009C65B1">
        <w:rPr>
          <w:rFonts w:ascii="Arial" w:hAnsi="Arial" w:cs="Arial"/>
          <w:sz w:val="24"/>
          <w:szCs w:val="24"/>
        </w:rPr>
        <w:t xml:space="preserve"> </w:t>
      </w:r>
      <w:r w:rsidRPr="009C65B1">
        <w:rPr>
          <w:rFonts w:ascii="Arial" w:hAnsi="Arial" w:cs="Arial"/>
          <w:sz w:val="24"/>
          <w:szCs w:val="24"/>
        </w:rPr>
        <w:t>et al. (2020), who critiqued tokenistic participation where communities have limited influence over substantive decisions.</w:t>
      </w:r>
    </w:p>
    <w:p w14:paraId="78F1B014"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Similarly, a considerable proportion of respondents (44.2% strongly disagreed and 26.7% disagreed) felt that their suggestions were not considered during decision-making. The mean of 2.03 (SD = 1.173) indicates that most respondents felt marginalized in this critical process. This highlights a lack of participatory governance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District’s road maintenance initiatives. Community involvement in decision-making is essential for fostering ownership, transparency, and accountability; when citizens perceive their voices are ignored, they are less likely to support or contribute to projects. </w:t>
      </w:r>
      <w:proofErr w:type="spellStart"/>
      <w:r w:rsidRPr="005869FC">
        <w:rPr>
          <w:rFonts w:ascii="Arial" w:hAnsi="Arial" w:cs="Arial"/>
          <w:sz w:val="24"/>
          <w:szCs w:val="24"/>
        </w:rPr>
        <w:t>Mokwani</w:t>
      </w:r>
      <w:proofErr w:type="spellEnd"/>
      <w:r w:rsidRPr="005869FC">
        <w:rPr>
          <w:rFonts w:ascii="Arial" w:hAnsi="Arial" w:cs="Arial"/>
          <w:sz w:val="24"/>
          <w:szCs w:val="24"/>
        </w:rPr>
        <w:t xml:space="preserve"> and </w:t>
      </w:r>
      <w:proofErr w:type="spellStart"/>
      <w:r w:rsidRPr="005869FC">
        <w:rPr>
          <w:rFonts w:ascii="Arial" w:hAnsi="Arial" w:cs="Arial"/>
          <w:sz w:val="24"/>
          <w:szCs w:val="24"/>
        </w:rPr>
        <w:t>Sekho</w:t>
      </w:r>
      <w:proofErr w:type="spellEnd"/>
      <w:r w:rsidRPr="005869FC">
        <w:rPr>
          <w:rFonts w:ascii="Arial" w:hAnsi="Arial" w:cs="Arial"/>
          <w:sz w:val="24"/>
          <w:szCs w:val="24"/>
        </w:rPr>
        <w:t xml:space="preserve"> (2023) similarly observed that limited inclusion in decision-making undermined project susta</w:t>
      </w:r>
      <w:r>
        <w:rPr>
          <w:rFonts w:ascii="Arial" w:hAnsi="Arial" w:cs="Arial"/>
          <w:sz w:val="24"/>
          <w:szCs w:val="24"/>
        </w:rPr>
        <w:t>inability and community morale.</w:t>
      </w:r>
    </w:p>
    <w:p w14:paraId="6AFCDA43"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lastRenderedPageBreak/>
        <w:t xml:space="preserve">Communication gaps were also evident. Only 16.7% of respondents reported being informed about the project before implementation, whereas 72.5% indicated otherwise. With a mean of 2.16 (SD = 1.138), these findings reflect a breakdown in information flow from project implementers to the community. Traditional communication channels, such as village meetings, notice boards, and announcements via local leaders, appear underutilized or restricted to limited groups. This supports </w:t>
      </w:r>
      <w:proofErr w:type="spellStart"/>
      <w:r w:rsidRPr="005869FC">
        <w:rPr>
          <w:rFonts w:ascii="Arial" w:hAnsi="Arial" w:cs="Arial"/>
          <w:sz w:val="24"/>
          <w:szCs w:val="24"/>
        </w:rPr>
        <w:t>Coenen</w:t>
      </w:r>
      <w:proofErr w:type="spellEnd"/>
      <w:r w:rsidRPr="005869FC">
        <w:rPr>
          <w:rFonts w:ascii="Arial" w:hAnsi="Arial" w:cs="Arial"/>
          <w:sz w:val="24"/>
          <w:szCs w:val="24"/>
        </w:rPr>
        <w:t xml:space="preserve"> (2021), who described a “myth of community participation” in technical and donor-driven projects that often bypass the intended beneficiaries. Without adequate communication, project objectives may be misunderstood, participation reduced, and misinformation may spread, undermining both trust in local institutions and the</w:t>
      </w:r>
      <w:r>
        <w:rPr>
          <w:rFonts w:ascii="Arial" w:hAnsi="Arial" w:cs="Arial"/>
          <w:sz w:val="24"/>
          <w:szCs w:val="24"/>
        </w:rPr>
        <w:t xml:space="preserve"> success of future initiatives.</w:t>
      </w:r>
    </w:p>
    <w:p w14:paraId="014E24DE"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Exclusion from project discussions was also prevalent. The majority of respondents (39.2% strongly disagreed and 34.2% disagreed) reported not participating in discussions regarding project goals and methods. The mean of 2.03 (SD = 1.073) highlights low consensus and moderate variation. In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rural communities, where local customs support participatory dialogue through public forums (</w:t>
      </w:r>
      <w:proofErr w:type="spellStart"/>
      <w:r w:rsidRPr="005869FC">
        <w:rPr>
          <w:rFonts w:ascii="Arial" w:hAnsi="Arial" w:cs="Arial"/>
          <w:sz w:val="24"/>
          <w:szCs w:val="24"/>
        </w:rPr>
        <w:t>Baraza</w:t>
      </w:r>
      <w:proofErr w:type="spellEnd"/>
      <w:r w:rsidRPr="005869FC">
        <w:rPr>
          <w:rFonts w:ascii="Arial" w:hAnsi="Arial" w:cs="Arial"/>
          <w:sz w:val="24"/>
          <w:szCs w:val="24"/>
        </w:rPr>
        <w:t xml:space="preserve">) and village assemblies, this exclusion raises concerns about procedural inclusiveness. </w:t>
      </w:r>
      <w:proofErr w:type="spellStart"/>
      <w:r w:rsidRPr="005869FC">
        <w:rPr>
          <w:rFonts w:ascii="Arial" w:hAnsi="Arial" w:cs="Arial"/>
          <w:sz w:val="24"/>
          <w:szCs w:val="24"/>
        </w:rPr>
        <w:t>Manyinsa</w:t>
      </w:r>
      <w:proofErr w:type="spellEnd"/>
      <w:r w:rsidRPr="005869FC">
        <w:rPr>
          <w:rFonts w:ascii="Arial" w:hAnsi="Arial" w:cs="Arial"/>
          <w:sz w:val="24"/>
          <w:szCs w:val="24"/>
        </w:rPr>
        <w:t xml:space="preserve"> (2018) emphasized that meaningful participation requires not only the presence of participatory spaces but also the redistribution of decision-making power, which appears lacking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Limited inclusion constrains the integration of local knowledge on road use, terrain, and seasonality, which is crucial for effective </w:t>
      </w:r>
      <w:r>
        <w:rPr>
          <w:rFonts w:ascii="Arial" w:hAnsi="Arial" w:cs="Arial"/>
          <w:sz w:val="24"/>
          <w:szCs w:val="24"/>
        </w:rPr>
        <w:t>project planning and execution.</w:t>
      </w:r>
    </w:p>
    <w:p w14:paraId="2DE91B1C"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Participation during project planning showed a similar pattern. Most respondents (36.7% strongly disagreed and 35.0% disagreed) felt that their contributions were not considered. The mean of 2.02 (SD = 1.008) underscores low perceived inclusion and relatively low variability in responses. This suggests a top-down approach inconsistent with participatory rural appraisal principles emphasized in Tanzania’s development frameworks. Ignoring community input in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diverse topography may lead to infrastructure that fails to address practical challenges, such as drainage, bottlenecks, or the need for culverts. Coppola et al. (2022) similarly noted that infrastructure planned without local input tends to be unsustainable and poorly adapt</w:t>
      </w:r>
      <w:r>
        <w:rPr>
          <w:rFonts w:ascii="Arial" w:hAnsi="Arial" w:cs="Arial"/>
          <w:sz w:val="24"/>
          <w:szCs w:val="24"/>
        </w:rPr>
        <w:t>ed to community-specific needs.</w:t>
      </w:r>
    </w:p>
    <w:p w14:paraId="62C1DF6E"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Implementation phase participation, particularly in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contribution, was minimal. A high proportion of respondents (35.8% strongly disagreed and 39.2% disagreed) reported not contributing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to road maintenance activities, despite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 Council’s tradition of community-driven public works under initiatives like TASAF. The mean of 2.06 (SD = 1.079) suggests general disagreement with moderate dispersion. This low engagement may stem from poor mobilization, lack of incentives, or negative past experiences, corroborating </w:t>
      </w:r>
      <w:proofErr w:type="spellStart"/>
      <w:r w:rsidRPr="005869FC">
        <w:rPr>
          <w:rFonts w:ascii="Arial" w:hAnsi="Arial" w:cs="Arial"/>
          <w:sz w:val="24"/>
          <w:szCs w:val="24"/>
        </w:rPr>
        <w:t>Faiz</w:t>
      </w:r>
      <w:proofErr w:type="spellEnd"/>
      <w:r w:rsidRPr="005869FC">
        <w:rPr>
          <w:rFonts w:ascii="Arial" w:hAnsi="Arial" w:cs="Arial"/>
          <w:sz w:val="24"/>
          <w:szCs w:val="24"/>
        </w:rPr>
        <w:t xml:space="preserve"> and Junaid (2021), who observed that voluntary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declines when perceived benefits are limited, especially among </w:t>
      </w:r>
      <w:r>
        <w:rPr>
          <w:rFonts w:ascii="Arial" w:hAnsi="Arial" w:cs="Arial"/>
          <w:sz w:val="24"/>
          <w:szCs w:val="24"/>
        </w:rPr>
        <w:t>economically vulnerable groups.</w:t>
      </w:r>
    </w:p>
    <w:p w14:paraId="42A577A2"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Material contribution was even lower, with 45.8% strongly disagreeing and 31.7% disagreeing that they provided tools or raw materials. The mean of 1.86 (SD = 0.99) indicates strong disagreement with low variability.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where economic </w:t>
      </w:r>
      <w:r w:rsidRPr="005869FC">
        <w:rPr>
          <w:rFonts w:ascii="Arial" w:hAnsi="Arial" w:cs="Arial"/>
          <w:sz w:val="24"/>
          <w:szCs w:val="24"/>
        </w:rPr>
        <w:lastRenderedPageBreak/>
        <w:t xml:space="preserve">resources are scarce and most households engage in subsistence farming, community members are often unable or unwilling to provide materials unless there is a strong sense of ownership or visible benefits. These findings contrast with </w:t>
      </w:r>
      <w:proofErr w:type="spellStart"/>
      <w:r w:rsidRPr="005869FC">
        <w:rPr>
          <w:rFonts w:ascii="Arial" w:hAnsi="Arial" w:cs="Arial"/>
          <w:sz w:val="24"/>
          <w:szCs w:val="24"/>
        </w:rPr>
        <w:t>Mohammadi</w:t>
      </w:r>
      <w:proofErr w:type="spellEnd"/>
      <w:r w:rsidRPr="005869FC">
        <w:rPr>
          <w:rFonts w:ascii="Arial" w:hAnsi="Arial" w:cs="Arial"/>
          <w:sz w:val="24"/>
          <w:szCs w:val="24"/>
        </w:rPr>
        <w:t xml:space="preserve"> et al. (2020), who reported higher community material invol</w:t>
      </w:r>
      <w:r>
        <w:rPr>
          <w:rFonts w:ascii="Arial" w:hAnsi="Arial" w:cs="Arial"/>
          <w:sz w:val="24"/>
          <w:szCs w:val="24"/>
        </w:rPr>
        <w:t>vement in other rural contexts.</w:t>
      </w:r>
    </w:p>
    <w:p w14:paraId="60EB5CF6"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Monitoring and supervision participation was also low. Most respondents (45.8% strongly disagreed and 35.8% disagreed) did not assist in overseeing project activities, with a mean of 1.83 (SD = 0.984), reflecting minimal variation. Community monitoring is essential for accountability and feedback, particularly where formal oversight is weak. The limited engagement suggests a missed opportunity to foster transparency and responsiveness, as highlighted by </w:t>
      </w:r>
      <w:proofErr w:type="spellStart"/>
      <w:r w:rsidRPr="005869FC">
        <w:rPr>
          <w:rFonts w:ascii="Arial" w:hAnsi="Arial" w:cs="Arial"/>
          <w:sz w:val="24"/>
          <w:szCs w:val="24"/>
        </w:rPr>
        <w:t>Lukala</w:t>
      </w:r>
      <w:proofErr w:type="spellEnd"/>
      <w:r w:rsidRPr="005869FC">
        <w:rPr>
          <w:rFonts w:ascii="Arial" w:hAnsi="Arial" w:cs="Arial"/>
          <w:sz w:val="24"/>
          <w:szCs w:val="24"/>
        </w:rPr>
        <w:t xml:space="preserve"> (2023), who emphasized that community monitoring is a corner</w:t>
      </w:r>
      <w:r>
        <w:rPr>
          <w:rFonts w:ascii="Arial" w:hAnsi="Arial" w:cs="Arial"/>
          <w:sz w:val="24"/>
          <w:szCs w:val="24"/>
        </w:rPr>
        <w:t>stone of social accountability.</w:t>
      </w:r>
    </w:p>
    <w:p w14:paraId="405A44C6"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Engagement in periodic maintenance remained low. A majority (35.0% strongly disagreed and 36.7% disagreed) reported not participating in ongoing upkeep, with a mean of 2.11 (SD = 1.098). Only 15% of respondents participated, likely those living close to the roads. These findings differ from </w:t>
      </w:r>
      <w:proofErr w:type="spellStart"/>
      <w:r w:rsidRPr="005869FC">
        <w:rPr>
          <w:rFonts w:ascii="Arial" w:hAnsi="Arial" w:cs="Arial"/>
          <w:sz w:val="24"/>
          <w:szCs w:val="24"/>
        </w:rPr>
        <w:t>Manyinsa</w:t>
      </w:r>
      <w:proofErr w:type="spellEnd"/>
      <w:r w:rsidRPr="005869FC">
        <w:rPr>
          <w:rFonts w:ascii="Arial" w:hAnsi="Arial" w:cs="Arial"/>
          <w:sz w:val="24"/>
          <w:szCs w:val="24"/>
        </w:rPr>
        <w:t xml:space="preserve"> (2018), who reported notable community involvement in routine maintenance supported by structured schedules, enforcement of bylaws, and strong local leadership, highlighting the need for locally own</w:t>
      </w:r>
      <w:r>
        <w:rPr>
          <w:rFonts w:ascii="Arial" w:hAnsi="Arial" w:cs="Arial"/>
          <w:sz w:val="24"/>
          <w:szCs w:val="24"/>
        </w:rPr>
        <w:t xml:space="preserve">ed maintenance plans in </w:t>
      </w:r>
      <w:proofErr w:type="spellStart"/>
      <w:r>
        <w:rPr>
          <w:rFonts w:ascii="Arial" w:hAnsi="Arial" w:cs="Arial"/>
          <w:sz w:val="24"/>
          <w:szCs w:val="24"/>
        </w:rPr>
        <w:t>Babati</w:t>
      </w:r>
      <w:proofErr w:type="spellEnd"/>
      <w:r>
        <w:rPr>
          <w:rFonts w:ascii="Arial" w:hAnsi="Arial" w:cs="Arial"/>
          <w:sz w:val="24"/>
          <w:szCs w:val="24"/>
        </w:rPr>
        <w:t>.</w:t>
      </w:r>
    </w:p>
    <w:p w14:paraId="620D3FFC"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Financial and material contributions were similarly limited. Nearly half of the respondents (49.2% strongly disagreed and 26.7% disagreed) reported not providing any support, with a mean of 1.85 (SD = 1.026). Only 8.4% contributed funds or materials, suggesting that financial participation is largely confined to better-off households or those with higher awareness or direct stakes in road access. This limitation is largely attributable to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agrarian economy, where most residents depend on subsistence farming and informal trade. Phiri et al. (2021) reported higher contributions in other districts, underscoring the influenc</w:t>
      </w:r>
      <w:r>
        <w:rPr>
          <w:rFonts w:ascii="Arial" w:hAnsi="Arial" w:cs="Arial"/>
          <w:sz w:val="24"/>
          <w:szCs w:val="24"/>
        </w:rPr>
        <w:t>e of local economic conditions.</w:t>
      </w:r>
    </w:p>
    <w:p w14:paraId="315CA181"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Community mobilization efforts were also weak. Most respondents (70.8%; 40.0% strongly disagreed and 30.8% disagreed) reported not encouraging others to participate, with a mean of 2.04 (SD = 1.088). Traditionally, mobilization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occurs through influential local figures such as village elders and ward officials. The low initiative observed suggests either a breakdown in leadership structures or unclear mobilization strategies, consistent with </w:t>
      </w:r>
      <w:proofErr w:type="spellStart"/>
      <w:r w:rsidRPr="005869FC">
        <w:rPr>
          <w:rFonts w:ascii="Arial" w:hAnsi="Arial" w:cs="Arial"/>
          <w:sz w:val="24"/>
          <w:szCs w:val="24"/>
        </w:rPr>
        <w:t>Ojo</w:t>
      </w:r>
      <w:proofErr w:type="spellEnd"/>
      <w:r w:rsidRPr="005869FC">
        <w:rPr>
          <w:rFonts w:ascii="Arial" w:hAnsi="Arial" w:cs="Arial"/>
          <w:sz w:val="24"/>
          <w:szCs w:val="24"/>
        </w:rPr>
        <w:t xml:space="preserve"> (2024), who found that empowering local influencers significantly increased community-led mobi</w:t>
      </w:r>
      <w:r>
        <w:rPr>
          <w:rFonts w:ascii="Arial" w:hAnsi="Arial" w:cs="Arial"/>
          <w:sz w:val="24"/>
          <w:szCs w:val="24"/>
        </w:rPr>
        <w:t>lization.</w:t>
      </w:r>
    </w:p>
    <w:p w14:paraId="49ACAE79"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When asked whether their participation significantly impacted project success, 68.3% (45.8% strongly disagreed and 22.5% disagreed) felt it did not. The mean of 2.05 (SD = 1.187) reflects the widest variability, indicating differing individual experiences. This perception can discourage future engagement and highlights the absence of feedback mechanisms to recognize community contributions, consistent with </w:t>
      </w:r>
      <w:proofErr w:type="spellStart"/>
      <w:r w:rsidRPr="005869FC">
        <w:rPr>
          <w:rFonts w:ascii="Arial" w:hAnsi="Arial" w:cs="Arial"/>
          <w:sz w:val="24"/>
          <w:szCs w:val="24"/>
        </w:rPr>
        <w:t>Ginkel</w:t>
      </w:r>
      <w:proofErr w:type="spellEnd"/>
      <w:r w:rsidRPr="005869FC">
        <w:rPr>
          <w:rFonts w:ascii="Arial" w:hAnsi="Arial" w:cs="Arial"/>
          <w:sz w:val="24"/>
          <w:szCs w:val="24"/>
        </w:rPr>
        <w:t xml:space="preserve"> et al. (2021), who emphasized linking participation to tangible influence to sustain</w:t>
      </w:r>
      <w:r>
        <w:rPr>
          <w:rFonts w:ascii="Arial" w:hAnsi="Arial" w:cs="Arial"/>
          <w:sz w:val="24"/>
          <w:szCs w:val="24"/>
        </w:rPr>
        <w:t xml:space="preserve"> motivation.</w:t>
      </w:r>
    </w:p>
    <w:p w14:paraId="00AE4548" w14:textId="7777777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Regarding satisfaction with participation, most respondents (41.7% strongly disagreed and 29.2% disagreed) expressed dissatisfaction, with a mean of 1.97 (SD = 0.995). </w:t>
      </w:r>
      <w:r w:rsidRPr="005869FC">
        <w:rPr>
          <w:rFonts w:ascii="Arial" w:hAnsi="Arial" w:cs="Arial"/>
          <w:sz w:val="24"/>
          <w:szCs w:val="24"/>
        </w:rPr>
        <w:lastRenderedPageBreak/>
        <w:t xml:space="preserve">Only 9.2% expressed mild satisfaction, while none strongly agreed. This discontent reflects systemic gaps in participatory practices, aligned with </w:t>
      </w:r>
      <w:proofErr w:type="spellStart"/>
      <w:r w:rsidRPr="005869FC">
        <w:rPr>
          <w:rFonts w:ascii="Arial" w:hAnsi="Arial" w:cs="Arial"/>
          <w:sz w:val="24"/>
          <w:szCs w:val="24"/>
        </w:rPr>
        <w:t>Arnstein</w:t>
      </w:r>
      <w:proofErr w:type="spellEnd"/>
      <w:r w:rsidRPr="005869FC">
        <w:rPr>
          <w:rFonts w:ascii="Arial" w:hAnsi="Arial" w:cs="Arial"/>
          <w:sz w:val="24"/>
          <w:szCs w:val="24"/>
        </w:rPr>
        <w:t xml:space="preserve"> (1969), who warned against tokenistic</w:t>
      </w:r>
      <w:r>
        <w:rPr>
          <w:rFonts w:ascii="Arial" w:hAnsi="Arial" w:cs="Arial"/>
          <w:sz w:val="24"/>
          <w:szCs w:val="24"/>
        </w:rPr>
        <w:t xml:space="preserve"> forms of pseudo-participation.</w:t>
      </w:r>
    </w:p>
    <w:p w14:paraId="38A48F28" w14:textId="77777777" w:rsidR="00270E62" w:rsidRPr="00270E62" w:rsidRDefault="005869FC" w:rsidP="005869FC">
      <w:pPr>
        <w:jc w:val="both"/>
        <w:rPr>
          <w:rFonts w:ascii="Arial" w:hAnsi="Arial" w:cs="Arial"/>
          <w:sz w:val="24"/>
          <w:szCs w:val="24"/>
        </w:rPr>
      </w:pPr>
      <w:r w:rsidRPr="005869FC">
        <w:rPr>
          <w:rFonts w:ascii="Arial" w:hAnsi="Arial" w:cs="Arial"/>
          <w:sz w:val="24"/>
          <w:szCs w:val="24"/>
        </w:rPr>
        <w:t>Despite these limitations, a notable portion of respondents (3.3% strongly agreed and 22.5% agreed) expressed willingness to participate in future projects, indicating a foundation of goodwill. This suggests opportunities for local government and development partners to rebuild trust and enhance participatory frameworks through awareness campaigns, training, and inclusion in monitoring and planning, as supported by Phiri et al. (2021).</w:t>
      </w:r>
    </w:p>
    <w:p w14:paraId="1C14CD9F" w14:textId="77777777" w:rsidR="002171DD" w:rsidRPr="00E1487E" w:rsidRDefault="005869FC" w:rsidP="005869FC">
      <w:pPr>
        <w:pStyle w:val="ListParagraph"/>
        <w:numPr>
          <w:ilvl w:val="1"/>
          <w:numId w:val="2"/>
        </w:numPr>
        <w:jc w:val="both"/>
        <w:rPr>
          <w:rFonts w:ascii="Arial" w:hAnsi="Arial" w:cs="Arial"/>
          <w:b/>
          <w:sz w:val="24"/>
          <w:szCs w:val="24"/>
        </w:rPr>
      </w:pPr>
      <w:r w:rsidRPr="00E1487E">
        <w:rPr>
          <w:rFonts w:ascii="Arial" w:hAnsi="Arial" w:cs="Arial"/>
          <w:b/>
          <w:sz w:val="24"/>
          <w:szCs w:val="24"/>
        </w:rPr>
        <w:t>Participation Index to Measure Levels of Community Participation</w:t>
      </w:r>
    </w:p>
    <w:p w14:paraId="652114C4" w14:textId="77777777" w:rsidR="005869FC" w:rsidRDefault="00E1487E" w:rsidP="005869FC">
      <w:pPr>
        <w:jc w:val="both"/>
        <w:rPr>
          <w:rFonts w:ascii="Arial" w:hAnsi="Arial" w:cs="Arial"/>
          <w:sz w:val="24"/>
          <w:szCs w:val="24"/>
        </w:rPr>
      </w:pPr>
      <w:r w:rsidRPr="00E1487E">
        <w:rPr>
          <w:rFonts w:ascii="Arial" w:hAnsi="Arial" w:cs="Arial"/>
          <w:sz w:val="24"/>
          <w:szCs w:val="24"/>
        </w:rPr>
        <w:t>While descriptive statistics provide valuable insights into respondents’ perceptions of their involvement in various stages of rural road maintenance projects, these individual response items offer a fragmented view of participation. To move beyond item-by-item interpretation and achieve a more consolidated and analytically robust understanding, this study employed a Participation Index (PI). The rationale for developing this index was to transform qualitative perceptions into a quantifiable and comparable metric. By aggregating scores across multiple participation indicators, the PI enabled the assessment of the overall degree of engagement for each respondent. These engagement levels were then categorized as low, moderate, or high, as presented in Table 3.</w:t>
      </w:r>
    </w:p>
    <w:p w14:paraId="41269266" w14:textId="77777777" w:rsidR="00E1487E" w:rsidRPr="00E1487E" w:rsidRDefault="00E1487E" w:rsidP="00E1487E">
      <w:pPr>
        <w:keepNext/>
        <w:spacing w:after="120" w:line="240" w:lineRule="auto"/>
        <w:jc w:val="both"/>
        <w:rPr>
          <w:rFonts w:ascii="Arial" w:eastAsia="Calibri" w:hAnsi="Arial" w:cs="Arial"/>
          <w:b/>
          <w:bCs/>
          <w:sz w:val="24"/>
          <w:szCs w:val="24"/>
        </w:rPr>
      </w:pPr>
      <w:bookmarkStart w:id="4" w:name="_Toc195103350"/>
      <w:bookmarkStart w:id="5" w:name="_Toc195119343"/>
      <w:bookmarkStart w:id="6" w:name="_Toc195123703"/>
      <w:bookmarkStart w:id="7" w:name="_Toc198199012"/>
      <w:r w:rsidRPr="00E1487E">
        <w:rPr>
          <w:rFonts w:ascii="Arial" w:eastAsia="Calibri" w:hAnsi="Arial" w:cs="Arial"/>
          <w:b/>
          <w:bCs/>
          <w:sz w:val="24"/>
          <w:szCs w:val="24"/>
        </w:rPr>
        <w:t xml:space="preserve">Table </w:t>
      </w:r>
      <w:r w:rsidRPr="00E1487E">
        <w:rPr>
          <w:rFonts w:ascii="Arial" w:eastAsia="Calibri" w:hAnsi="Arial" w:cs="Arial"/>
          <w:b/>
          <w:bCs/>
          <w:sz w:val="24"/>
          <w:szCs w:val="24"/>
        </w:rPr>
        <w:fldChar w:fldCharType="begin"/>
      </w:r>
      <w:r w:rsidRPr="00E1487E">
        <w:rPr>
          <w:rFonts w:ascii="Arial" w:eastAsia="Calibri" w:hAnsi="Arial" w:cs="Arial"/>
          <w:b/>
          <w:bCs/>
          <w:sz w:val="24"/>
          <w:szCs w:val="24"/>
        </w:rPr>
        <w:instrText xml:space="preserve"> SEQ Table_4 \* ARABIC </w:instrText>
      </w:r>
      <w:r w:rsidRPr="00E1487E">
        <w:rPr>
          <w:rFonts w:ascii="Arial" w:eastAsia="Calibri" w:hAnsi="Arial" w:cs="Arial"/>
          <w:b/>
          <w:bCs/>
          <w:sz w:val="24"/>
          <w:szCs w:val="24"/>
        </w:rPr>
        <w:fldChar w:fldCharType="separate"/>
      </w:r>
      <w:r w:rsidRPr="00E1487E">
        <w:rPr>
          <w:rFonts w:ascii="Arial" w:eastAsia="Calibri" w:hAnsi="Arial" w:cs="Arial"/>
          <w:b/>
          <w:bCs/>
          <w:noProof/>
          <w:sz w:val="24"/>
          <w:szCs w:val="24"/>
        </w:rPr>
        <w:t>3</w:t>
      </w:r>
      <w:r w:rsidRPr="00E1487E">
        <w:rPr>
          <w:rFonts w:ascii="Arial" w:eastAsia="Calibri" w:hAnsi="Arial" w:cs="Arial"/>
          <w:b/>
          <w:bCs/>
          <w:sz w:val="24"/>
          <w:szCs w:val="24"/>
        </w:rPr>
        <w:fldChar w:fldCharType="end"/>
      </w:r>
      <w:r w:rsidRPr="00E1487E">
        <w:rPr>
          <w:rFonts w:ascii="Arial" w:eastAsia="Calibri" w:hAnsi="Arial" w:cs="Arial"/>
          <w:b/>
          <w:bCs/>
          <w:sz w:val="24"/>
          <w:szCs w:val="24"/>
        </w:rPr>
        <w:t>: Categories of Participation Index</w:t>
      </w:r>
      <w:bookmarkEnd w:id="4"/>
      <w:bookmarkEnd w:id="5"/>
      <w:bookmarkEnd w:id="6"/>
      <w:bookmarkEnd w:id="7"/>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8"/>
        <w:gridCol w:w="2360"/>
      </w:tblGrid>
      <w:tr w:rsidR="00E1487E" w:rsidRPr="00E1487E" w14:paraId="5D055595" w14:textId="77777777" w:rsidTr="002F7D8A">
        <w:trPr>
          <w:trHeight w:val="406"/>
        </w:trPr>
        <w:tc>
          <w:tcPr>
            <w:tcW w:w="3397" w:type="dxa"/>
            <w:tcBorders>
              <w:top w:val="single" w:sz="12" w:space="0" w:color="auto"/>
              <w:bottom w:val="single" w:sz="12" w:space="0" w:color="auto"/>
            </w:tcBorders>
            <w:noWrap/>
            <w:hideMark/>
          </w:tcPr>
          <w:p w14:paraId="7FCB1BCE"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Participation Index Category</w:t>
            </w:r>
          </w:p>
        </w:tc>
        <w:tc>
          <w:tcPr>
            <w:tcW w:w="2418" w:type="dxa"/>
            <w:tcBorders>
              <w:top w:val="single" w:sz="12" w:space="0" w:color="auto"/>
              <w:bottom w:val="single" w:sz="12" w:space="0" w:color="auto"/>
            </w:tcBorders>
            <w:noWrap/>
            <w:hideMark/>
          </w:tcPr>
          <w:p w14:paraId="2DF6BC5A"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Frequency</w:t>
            </w:r>
          </w:p>
        </w:tc>
        <w:tc>
          <w:tcPr>
            <w:tcW w:w="2360" w:type="dxa"/>
            <w:tcBorders>
              <w:top w:val="single" w:sz="12" w:space="0" w:color="auto"/>
              <w:bottom w:val="single" w:sz="12" w:space="0" w:color="auto"/>
            </w:tcBorders>
            <w:noWrap/>
            <w:hideMark/>
          </w:tcPr>
          <w:p w14:paraId="6DA48EC0"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Percent (%)</w:t>
            </w:r>
          </w:p>
        </w:tc>
      </w:tr>
      <w:tr w:rsidR="00E1487E" w:rsidRPr="00E1487E" w14:paraId="6564AAF1" w14:textId="77777777" w:rsidTr="002F7D8A">
        <w:trPr>
          <w:trHeight w:val="406"/>
        </w:trPr>
        <w:tc>
          <w:tcPr>
            <w:tcW w:w="3397" w:type="dxa"/>
            <w:tcBorders>
              <w:top w:val="single" w:sz="12" w:space="0" w:color="auto"/>
            </w:tcBorders>
            <w:noWrap/>
            <w:hideMark/>
          </w:tcPr>
          <w:p w14:paraId="30B11C75"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Low</w:t>
            </w:r>
          </w:p>
        </w:tc>
        <w:tc>
          <w:tcPr>
            <w:tcW w:w="2418" w:type="dxa"/>
            <w:tcBorders>
              <w:top w:val="single" w:sz="12" w:space="0" w:color="auto"/>
            </w:tcBorders>
            <w:noWrap/>
            <w:hideMark/>
          </w:tcPr>
          <w:p w14:paraId="159D7A7D"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262</w:t>
            </w:r>
          </w:p>
        </w:tc>
        <w:tc>
          <w:tcPr>
            <w:tcW w:w="2360" w:type="dxa"/>
            <w:tcBorders>
              <w:top w:val="single" w:sz="12" w:space="0" w:color="auto"/>
            </w:tcBorders>
            <w:noWrap/>
            <w:hideMark/>
          </w:tcPr>
          <w:p w14:paraId="5570D9E9"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71.7</w:t>
            </w:r>
          </w:p>
        </w:tc>
      </w:tr>
      <w:tr w:rsidR="00E1487E" w:rsidRPr="00E1487E" w14:paraId="771A85E8" w14:textId="77777777" w:rsidTr="002F7D8A">
        <w:trPr>
          <w:trHeight w:val="406"/>
        </w:trPr>
        <w:tc>
          <w:tcPr>
            <w:tcW w:w="3397" w:type="dxa"/>
            <w:noWrap/>
            <w:hideMark/>
          </w:tcPr>
          <w:p w14:paraId="61FEBD96"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Moderate</w:t>
            </w:r>
          </w:p>
        </w:tc>
        <w:tc>
          <w:tcPr>
            <w:tcW w:w="2418" w:type="dxa"/>
            <w:noWrap/>
            <w:hideMark/>
          </w:tcPr>
          <w:p w14:paraId="04BBFBC3"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61</w:t>
            </w:r>
          </w:p>
        </w:tc>
        <w:tc>
          <w:tcPr>
            <w:tcW w:w="2360" w:type="dxa"/>
            <w:noWrap/>
            <w:hideMark/>
          </w:tcPr>
          <w:p w14:paraId="3AB61A44"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16.7</w:t>
            </w:r>
          </w:p>
        </w:tc>
      </w:tr>
      <w:tr w:rsidR="00E1487E" w:rsidRPr="00E1487E" w14:paraId="0EBF7C32" w14:textId="77777777" w:rsidTr="002F7D8A">
        <w:trPr>
          <w:trHeight w:val="406"/>
        </w:trPr>
        <w:tc>
          <w:tcPr>
            <w:tcW w:w="3397" w:type="dxa"/>
            <w:tcBorders>
              <w:bottom w:val="single" w:sz="12" w:space="0" w:color="auto"/>
            </w:tcBorders>
            <w:noWrap/>
            <w:hideMark/>
          </w:tcPr>
          <w:p w14:paraId="4F900200"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High</w:t>
            </w:r>
          </w:p>
        </w:tc>
        <w:tc>
          <w:tcPr>
            <w:tcW w:w="2418" w:type="dxa"/>
            <w:tcBorders>
              <w:bottom w:val="single" w:sz="12" w:space="0" w:color="auto"/>
            </w:tcBorders>
            <w:noWrap/>
            <w:hideMark/>
          </w:tcPr>
          <w:p w14:paraId="62A9A96B"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43</w:t>
            </w:r>
          </w:p>
        </w:tc>
        <w:tc>
          <w:tcPr>
            <w:tcW w:w="2360" w:type="dxa"/>
            <w:tcBorders>
              <w:bottom w:val="single" w:sz="12" w:space="0" w:color="auto"/>
            </w:tcBorders>
            <w:noWrap/>
            <w:hideMark/>
          </w:tcPr>
          <w:p w14:paraId="21D54B89"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11.6</w:t>
            </w:r>
          </w:p>
        </w:tc>
      </w:tr>
    </w:tbl>
    <w:p w14:paraId="630C5132" w14:textId="77777777" w:rsidR="00E1487E" w:rsidRDefault="00E1487E" w:rsidP="005869FC">
      <w:pPr>
        <w:jc w:val="both"/>
        <w:rPr>
          <w:rFonts w:ascii="Arial" w:hAnsi="Arial" w:cs="Arial"/>
          <w:sz w:val="24"/>
          <w:szCs w:val="24"/>
        </w:rPr>
      </w:pPr>
    </w:p>
    <w:p w14:paraId="6A93CC7E" w14:textId="77777777" w:rsidR="00E1487E" w:rsidRPr="00E1487E" w:rsidRDefault="00E1487E" w:rsidP="00E1487E">
      <w:pPr>
        <w:jc w:val="both"/>
        <w:rPr>
          <w:rFonts w:ascii="Arial" w:hAnsi="Arial" w:cs="Arial"/>
          <w:sz w:val="24"/>
          <w:szCs w:val="24"/>
        </w:rPr>
      </w:pPr>
      <w:r w:rsidRPr="00E1487E">
        <w:rPr>
          <w:rFonts w:ascii="Arial" w:hAnsi="Arial" w:cs="Arial"/>
          <w:sz w:val="24"/>
          <w:szCs w:val="24"/>
        </w:rPr>
        <w:t xml:space="preserve">The results (Table 3) reveal that a substantial 71.7% of respondents in </w:t>
      </w:r>
      <w:proofErr w:type="spellStart"/>
      <w:r w:rsidRPr="00E1487E">
        <w:rPr>
          <w:rFonts w:ascii="Arial" w:hAnsi="Arial" w:cs="Arial"/>
          <w:sz w:val="24"/>
          <w:szCs w:val="24"/>
        </w:rPr>
        <w:t>Babati</w:t>
      </w:r>
      <w:proofErr w:type="spellEnd"/>
      <w:r w:rsidRPr="00E1487E">
        <w:rPr>
          <w:rFonts w:ascii="Arial" w:hAnsi="Arial" w:cs="Arial"/>
          <w:sz w:val="24"/>
          <w:szCs w:val="24"/>
        </w:rPr>
        <w:t xml:space="preserve"> District Council fall within the low participation category, indicating minimal or no engagement in the planning, implementation, or monitoring of rural road maintenance projects. This finding is significant as it reflects not only a general apathy or detachment from development initiatives but also suggests potential shortcomings in the participatory framework applied in the district. In rural settings like </w:t>
      </w:r>
      <w:proofErr w:type="spellStart"/>
      <w:r w:rsidRPr="00E1487E">
        <w:rPr>
          <w:rFonts w:ascii="Arial" w:hAnsi="Arial" w:cs="Arial"/>
          <w:sz w:val="24"/>
          <w:szCs w:val="24"/>
        </w:rPr>
        <w:t>Babati</w:t>
      </w:r>
      <w:proofErr w:type="spellEnd"/>
      <w:r w:rsidRPr="00E1487E">
        <w:rPr>
          <w:rFonts w:ascii="Arial" w:hAnsi="Arial" w:cs="Arial"/>
          <w:sz w:val="24"/>
          <w:szCs w:val="24"/>
        </w:rPr>
        <w:t>, where infrastructural development directly impacts lo</w:t>
      </w:r>
      <w:r>
        <w:rPr>
          <w:rFonts w:ascii="Arial" w:hAnsi="Arial" w:cs="Arial"/>
          <w:sz w:val="24"/>
          <w:szCs w:val="24"/>
        </w:rPr>
        <w:t xml:space="preserve">cal livelihoods </w:t>
      </w:r>
      <w:r w:rsidRPr="00E1487E">
        <w:rPr>
          <w:rFonts w:ascii="Arial" w:hAnsi="Arial" w:cs="Arial"/>
          <w:sz w:val="24"/>
          <w:szCs w:val="24"/>
        </w:rPr>
        <w:t>particularly for small-scale far</w:t>
      </w:r>
      <w:r>
        <w:rPr>
          <w:rFonts w:ascii="Arial" w:hAnsi="Arial" w:cs="Arial"/>
          <w:sz w:val="24"/>
          <w:szCs w:val="24"/>
        </w:rPr>
        <w:t xml:space="preserve">mers, traders, and transporters </w:t>
      </w:r>
      <w:r w:rsidRPr="00E1487E">
        <w:rPr>
          <w:rFonts w:ascii="Arial" w:hAnsi="Arial" w:cs="Arial"/>
          <w:sz w:val="24"/>
          <w:szCs w:val="24"/>
        </w:rPr>
        <w:t xml:space="preserve">the low engagement rate is concerning. It implies that most residents are not adequately informed, involved, or empowered to participate in activities that directly affect their daily lives and economic productivity. This observation aligns with </w:t>
      </w:r>
      <w:proofErr w:type="spellStart"/>
      <w:r w:rsidRPr="00E1487E">
        <w:rPr>
          <w:rFonts w:ascii="Arial" w:hAnsi="Arial" w:cs="Arial"/>
          <w:sz w:val="24"/>
          <w:szCs w:val="24"/>
        </w:rPr>
        <w:t>Lukala</w:t>
      </w:r>
      <w:proofErr w:type="spellEnd"/>
      <w:r w:rsidRPr="00E1487E">
        <w:rPr>
          <w:rFonts w:ascii="Arial" w:hAnsi="Arial" w:cs="Arial"/>
          <w:sz w:val="24"/>
          <w:szCs w:val="24"/>
        </w:rPr>
        <w:t xml:space="preserve"> (2023) and </w:t>
      </w:r>
      <w:proofErr w:type="spellStart"/>
      <w:r w:rsidRPr="00E1487E">
        <w:rPr>
          <w:rFonts w:ascii="Arial" w:hAnsi="Arial" w:cs="Arial"/>
          <w:sz w:val="24"/>
          <w:szCs w:val="24"/>
        </w:rPr>
        <w:t>Ndaraba</w:t>
      </w:r>
      <w:proofErr w:type="spellEnd"/>
      <w:r w:rsidRPr="00E1487E">
        <w:rPr>
          <w:rFonts w:ascii="Arial" w:hAnsi="Arial" w:cs="Arial"/>
          <w:sz w:val="24"/>
          <w:szCs w:val="24"/>
        </w:rPr>
        <w:t xml:space="preserve"> et al. (2024), who argue that participatory development often fails when processes are neither sufficiently inclusive nor contextually adapted. The reasons for limited engagement are likely multifaceted, including inadequate access to information, lack of transparency in project planning, </w:t>
      </w:r>
      <w:r w:rsidRPr="00E1487E">
        <w:rPr>
          <w:rFonts w:ascii="Arial" w:hAnsi="Arial" w:cs="Arial"/>
          <w:sz w:val="24"/>
          <w:szCs w:val="24"/>
        </w:rPr>
        <w:lastRenderedPageBreak/>
        <w:t>limited awareness of the importance of participation, and the prevalence of top-down decision-making approaches that marginali</w:t>
      </w:r>
      <w:r>
        <w:rPr>
          <w:rFonts w:ascii="Arial" w:hAnsi="Arial" w:cs="Arial"/>
          <w:sz w:val="24"/>
          <w:szCs w:val="24"/>
        </w:rPr>
        <w:t>ze ordinary citizens.</w:t>
      </w:r>
    </w:p>
    <w:p w14:paraId="4318FC1A" w14:textId="77777777" w:rsidR="00E1487E" w:rsidRPr="00E1487E" w:rsidRDefault="00E1487E" w:rsidP="00E1487E">
      <w:pPr>
        <w:jc w:val="both"/>
        <w:rPr>
          <w:rFonts w:ascii="Arial" w:hAnsi="Arial" w:cs="Arial"/>
          <w:sz w:val="24"/>
          <w:szCs w:val="24"/>
        </w:rPr>
      </w:pPr>
      <w:r w:rsidRPr="00E1487E">
        <w:rPr>
          <w:rFonts w:ascii="Arial" w:hAnsi="Arial" w:cs="Arial"/>
          <w:sz w:val="24"/>
          <w:szCs w:val="24"/>
        </w:rPr>
        <w:t xml:space="preserve">In contrast, 16.7% of respondents were classified under the moderate participation category, representing individuals who had some involvement in road maintenance activities, though inconsistently or limited to certain phases of the project cycle. These participants might have attended a few village meetings, contributed </w:t>
      </w:r>
      <w:proofErr w:type="spellStart"/>
      <w:r w:rsidRPr="00E1487E">
        <w:rPr>
          <w:rFonts w:ascii="Arial" w:hAnsi="Arial" w:cs="Arial"/>
          <w:sz w:val="24"/>
          <w:szCs w:val="24"/>
        </w:rPr>
        <w:t>labor</w:t>
      </w:r>
      <w:proofErr w:type="spellEnd"/>
      <w:r w:rsidRPr="00E1487E">
        <w:rPr>
          <w:rFonts w:ascii="Arial" w:hAnsi="Arial" w:cs="Arial"/>
          <w:sz w:val="24"/>
          <w:szCs w:val="24"/>
        </w:rPr>
        <w:t xml:space="preserve"> or materials sporadically, or been consulted during implementation rather than planning. This group is important because it constitutes a transitional demographic: community members who are neither fully excluded nor fully engaged. Phiri et al. (2021) and </w:t>
      </w:r>
      <w:proofErr w:type="spellStart"/>
      <w:r w:rsidRPr="00E1487E">
        <w:rPr>
          <w:rFonts w:ascii="Arial" w:hAnsi="Arial" w:cs="Arial"/>
          <w:sz w:val="24"/>
          <w:szCs w:val="24"/>
        </w:rPr>
        <w:t>Seniwoliba</w:t>
      </w:r>
      <w:proofErr w:type="spellEnd"/>
      <w:r w:rsidRPr="00E1487E">
        <w:rPr>
          <w:rFonts w:ascii="Arial" w:hAnsi="Arial" w:cs="Arial"/>
          <w:sz w:val="24"/>
          <w:szCs w:val="24"/>
        </w:rPr>
        <w:t xml:space="preserve"> (2022) emphasize the potential of such participants, noting that with proper mobilization and support, they can become active contributors to sustainable, community-led development. In</w:t>
      </w:r>
      <w:r w:rsidR="004123D3">
        <w:rPr>
          <w:rFonts w:ascii="Arial" w:hAnsi="Arial" w:cs="Arial"/>
          <w:sz w:val="24"/>
          <w:szCs w:val="24"/>
        </w:rPr>
        <w:t xml:space="preserve"> </w:t>
      </w:r>
      <w:proofErr w:type="spellStart"/>
      <w:r w:rsidR="004123D3">
        <w:rPr>
          <w:rFonts w:ascii="Arial" w:hAnsi="Arial" w:cs="Arial"/>
          <w:sz w:val="24"/>
          <w:szCs w:val="24"/>
        </w:rPr>
        <w:t>Babati</w:t>
      </w:r>
      <w:proofErr w:type="spellEnd"/>
      <w:r w:rsidR="004123D3">
        <w:rPr>
          <w:rFonts w:ascii="Arial" w:hAnsi="Arial" w:cs="Arial"/>
          <w:sz w:val="24"/>
          <w:szCs w:val="24"/>
        </w:rPr>
        <w:t xml:space="preserve">, targeted interventions </w:t>
      </w:r>
      <w:r w:rsidRPr="00E1487E">
        <w:rPr>
          <w:rFonts w:ascii="Arial" w:hAnsi="Arial" w:cs="Arial"/>
          <w:sz w:val="24"/>
          <w:szCs w:val="24"/>
        </w:rPr>
        <w:t>such as improved communication through local government channels, participatory budgeting, and inclusive d</w:t>
      </w:r>
      <w:r w:rsidR="004123D3">
        <w:rPr>
          <w:rFonts w:ascii="Arial" w:hAnsi="Arial" w:cs="Arial"/>
          <w:sz w:val="24"/>
          <w:szCs w:val="24"/>
        </w:rPr>
        <w:t xml:space="preserve">ialogues via village assemblies </w:t>
      </w:r>
      <w:r w:rsidRPr="00E1487E">
        <w:rPr>
          <w:rFonts w:ascii="Arial" w:hAnsi="Arial" w:cs="Arial"/>
          <w:sz w:val="24"/>
          <w:szCs w:val="24"/>
        </w:rPr>
        <w:t>could gradually transform moderate participants into consistent and engaged stakeholders in r</w:t>
      </w:r>
      <w:r w:rsidR="004123D3">
        <w:rPr>
          <w:rFonts w:ascii="Arial" w:hAnsi="Arial" w:cs="Arial"/>
          <w:sz w:val="24"/>
          <w:szCs w:val="24"/>
        </w:rPr>
        <w:t>ural infrastructure management.</w:t>
      </w:r>
    </w:p>
    <w:p w14:paraId="308C54BA" w14:textId="77777777" w:rsidR="00E1487E" w:rsidRPr="00E1487E" w:rsidRDefault="00E1487E" w:rsidP="00E1487E">
      <w:pPr>
        <w:jc w:val="both"/>
        <w:rPr>
          <w:rFonts w:ascii="Arial" w:hAnsi="Arial" w:cs="Arial"/>
          <w:sz w:val="24"/>
          <w:szCs w:val="24"/>
        </w:rPr>
      </w:pPr>
      <w:r w:rsidRPr="00E1487E">
        <w:rPr>
          <w:rFonts w:ascii="Arial" w:hAnsi="Arial" w:cs="Arial"/>
          <w:sz w:val="24"/>
          <w:szCs w:val="24"/>
        </w:rPr>
        <w:t xml:space="preserve">At the higher end of the spectrum, only 11.6% of respondents reported high participation, reflecting consistent and meaningful involvement in various stages of rural road maintenance projects. This group likely includes local leaders, educated residents, and members of village committees, and economically stable individuals who understand the importance of community-driven infrastructure and can navigate local governance systems to influence decision-making. In </w:t>
      </w:r>
      <w:proofErr w:type="spellStart"/>
      <w:r w:rsidRPr="00E1487E">
        <w:rPr>
          <w:rFonts w:ascii="Arial" w:hAnsi="Arial" w:cs="Arial"/>
          <w:sz w:val="24"/>
          <w:szCs w:val="24"/>
        </w:rPr>
        <w:t>Babati</w:t>
      </w:r>
      <w:proofErr w:type="spellEnd"/>
      <w:r w:rsidRPr="00E1487E">
        <w:rPr>
          <w:rFonts w:ascii="Arial" w:hAnsi="Arial" w:cs="Arial"/>
          <w:sz w:val="24"/>
          <w:szCs w:val="24"/>
        </w:rPr>
        <w:t xml:space="preserve"> District Council, these participants may reside closer to administrative </w:t>
      </w:r>
      <w:proofErr w:type="spellStart"/>
      <w:r w:rsidRPr="00E1487E">
        <w:rPr>
          <w:rFonts w:ascii="Arial" w:hAnsi="Arial" w:cs="Arial"/>
          <w:sz w:val="24"/>
          <w:szCs w:val="24"/>
        </w:rPr>
        <w:t>centers</w:t>
      </w:r>
      <w:proofErr w:type="spellEnd"/>
      <w:r w:rsidRPr="00E1487E">
        <w:rPr>
          <w:rFonts w:ascii="Arial" w:hAnsi="Arial" w:cs="Arial"/>
          <w:sz w:val="24"/>
          <w:szCs w:val="24"/>
        </w:rPr>
        <w:t xml:space="preserve"> or near critical road sections, where the benefits of maintenance are most visible. Their engagement demonstrates a foundational base upon which stronger participatory practices can be built. Similar patterns were observed by </w:t>
      </w:r>
      <w:proofErr w:type="spellStart"/>
      <w:r w:rsidRPr="00E1487E">
        <w:rPr>
          <w:rFonts w:ascii="Arial" w:hAnsi="Arial" w:cs="Arial"/>
          <w:sz w:val="24"/>
          <w:szCs w:val="24"/>
        </w:rPr>
        <w:t>Mohammadi</w:t>
      </w:r>
      <w:proofErr w:type="spellEnd"/>
      <w:r w:rsidRPr="00E1487E">
        <w:rPr>
          <w:rFonts w:ascii="Arial" w:hAnsi="Arial" w:cs="Arial"/>
          <w:sz w:val="24"/>
          <w:szCs w:val="24"/>
        </w:rPr>
        <w:t xml:space="preserve"> et al. (2020), where a minority of well-informed and socio-economically advantaged residents played key roles in sustaining rural road projects, while the majority</w:t>
      </w:r>
      <w:r>
        <w:rPr>
          <w:rFonts w:ascii="Arial" w:hAnsi="Arial" w:cs="Arial"/>
          <w:sz w:val="24"/>
          <w:szCs w:val="24"/>
        </w:rPr>
        <w:t xml:space="preserve"> remained passive.</w:t>
      </w:r>
    </w:p>
    <w:p w14:paraId="129B30E6" w14:textId="77777777" w:rsidR="002171DD" w:rsidRDefault="00E1487E" w:rsidP="00E1487E">
      <w:pPr>
        <w:jc w:val="both"/>
        <w:rPr>
          <w:rFonts w:ascii="Arial" w:hAnsi="Arial" w:cs="Arial"/>
          <w:sz w:val="24"/>
          <w:szCs w:val="24"/>
        </w:rPr>
      </w:pPr>
      <w:r w:rsidRPr="00E1487E">
        <w:rPr>
          <w:rFonts w:ascii="Arial" w:hAnsi="Arial" w:cs="Arial"/>
          <w:sz w:val="24"/>
          <w:szCs w:val="24"/>
        </w:rPr>
        <w:t>However, the small size of this highly engaged group highlights inequalities in participation, indicating that opportunities are not equally accessible to all community members. This situation underscores the need for deliberate policies to democratize participation, removing barriers that p</w:t>
      </w:r>
      <w:r>
        <w:rPr>
          <w:rFonts w:ascii="Arial" w:hAnsi="Arial" w:cs="Arial"/>
          <w:sz w:val="24"/>
          <w:szCs w:val="24"/>
        </w:rPr>
        <w:t xml:space="preserve">revent marginalized populations </w:t>
      </w:r>
      <w:r w:rsidRPr="00E1487E">
        <w:rPr>
          <w:rFonts w:ascii="Arial" w:hAnsi="Arial" w:cs="Arial"/>
          <w:sz w:val="24"/>
          <w:szCs w:val="24"/>
        </w:rPr>
        <w:t xml:space="preserve">such as women, youth, the elderly, </w:t>
      </w:r>
      <w:r>
        <w:rPr>
          <w:rFonts w:ascii="Arial" w:hAnsi="Arial" w:cs="Arial"/>
          <w:sz w:val="24"/>
          <w:szCs w:val="24"/>
        </w:rPr>
        <w:t xml:space="preserve">and residents of remote hamlets </w:t>
      </w:r>
      <w:r w:rsidRPr="00E1487E">
        <w:rPr>
          <w:rFonts w:ascii="Arial" w:hAnsi="Arial" w:cs="Arial"/>
          <w:sz w:val="24"/>
          <w:szCs w:val="24"/>
        </w:rPr>
        <w:t>from fully engaging in decision-making and implementation processes.</w:t>
      </w:r>
    </w:p>
    <w:p w14:paraId="66AFAC69" w14:textId="77777777" w:rsidR="00AE040C" w:rsidRDefault="00AE040C" w:rsidP="00E1487E">
      <w:pPr>
        <w:jc w:val="both"/>
        <w:rPr>
          <w:rFonts w:ascii="Arial" w:hAnsi="Arial" w:cs="Arial"/>
          <w:b/>
          <w:sz w:val="24"/>
          <w:szCs w:val="24"/>
        </w:rPr>
      </w:pPr>
      <w:r w:rsidRPr="00AE040C">
        <w:rPr>
          <w:rFonts w:ascii="Arial" w:hAnsi="Arial" w:cs="Arial"/>
          <w:b/>
          <w:sz w:val="24"/>
          <w:szCs w:val="24"/>
        </w:rPr>
        <w:t>3.4 Key Informant Perspectives on Community Participation</w:t>
      </w:r>
    </w:p>
    <w:p w14:paraId="7C763592" w14:textId="77777777" w:rsidR="00AE040C" w:rsidRPr="00AE040C" w:rsidRDefault="00AE040C" w:rsidP="00AE040C">
      <w:pPr>
        <w:pStyle w:val="NormalWeb"/>
        <w:jc w:val="both"/>
        <w:rPr>
          <w:rFonts w:ascii="Arial" w:hAnsi="Arial" w:cs="Arial"/>
        </w:rPr>
      </w:pPr>
      <w:r w:rsidRPr="00AE040C">
        <w:rPr>
          <w:rFonts w:ascii="Arial" w:hAnsi="Arial" w:cs="Arial"/>
        </w:rPr>
        <w:t xml:space="preserve">Insights from key informants provided a nuanced understanding of community participation in rural road maintenance projects in </w:t>
      </w:r>
      <w:proofErr w:type="spellStart"/>
      <w:r w:rsidRPr="00AE040C">
        <w:rPr>
          <w:rFonts w:ascii="Arial" w:hAnsi="Arial" w:cs="Arial"/>
        </w:rPr>
        <w:t>Babati</w:t>
      </w:r>
      <w:proofErr w:type="spellEnd"/>
      <w:r w:rsidRPr="00AE040C">
        <w:rPr>
          <w:rFonts w:ascii="Arial" w:hAnsi="Arial" w:cs="Arial"/>
        </w:rPr>
        <w:t xml:space="preserve"> District Council. The TARURA Regional Manager (TRM) observed:</w:t>
      </w:r>
    </w:p>
    <w:p w14:paraId="5DF224CA" w14:textId="77777777" w:rsidR="00AE040C" w:rsidRPr="00AE040C" w:rsidRDefault="00AE040C" w:rsidP="00AE040C">
      <w:pPr>
        <w:pStyle w:val="NormalWeb"/>
        <w:jc w:val="both"/>
        <w:rPr>
          <w:rFonts w:ascii="Arial" w:hAnsi="Arial" w:cs="Arial"/>
        </w:rPr>
      </w:pPr>
      <w:r w:rsidRPr="00AE040C">
        <w:rPr>
          <w:rStyle w:val="Emphasis"/>
          <w:rFonts w:ascii="Arial" w:hAnsi="Arial" w:cs="Arial"/>
        </w:rPr>
        <w:t xml:space="preserve">"In most cases, community members are only called to provide </w:t>
      </w:r>
      <w:proofErr w:type="spellStart"/>
      <w:r w:rsidRPr="00AE040C">
        <w:rPr>
          <w:rStyle w:val="Emphasis"/>
          <w:rFonts w:ascii="Arial" w:hAnsi="Arial" w:cs="Arial"/>
        </w:rPr>
        <w:t>labor</w:t>
      </w:r>
      <w:proofErr w:type="spellEnd"/>
      <w:r w:rsidRPr="00AE040C">
        <w:rPr>
          <w:rStyle w:val="Emphasis"/>
          <w:rFonts w:ascii="Arial" w:hAnsi="Arial" w:cs="Arial"/>
        </w:rPr>
        <w:t>; they rarely influence planning or monitoring, which aligns with what our surveys indicate."</w:t>
      </w:r>
    </w:p>
    <w:p w14:paraId="2D7A31E0" w14:textId="77777777" w:rsidR="00AE040C" w:rsidRPr="00AE040C" w:rsidRDefault="00AE040C" w:rsidP="00AE040C">
      <w:pPr>
        <w:pStyle w:val="NormalWeb"/>
        <w:jc w:val="both"/>
        <w:rPr>
          <w:rFonts w:ascii="Arial" w:hAnsi="Arial" w:cs="Arial"/>
        </w:rPr>
      </w:pPr>
      <w:r w:rsidRPr="00AE040C">
        <w:rPr>
          <w:rFonts w:ascii="Arial" w:hAnsi="Arial" w:cs="Arial"/>
        </w:rPr>
        <w:t xml:space="preserve">This statement confirms the quantitative findings showing that 71.7% of respondents had low participation, highlighting that engagement is largely limited to </w:t>
      </w:r>
      <w:proofErr w:type="spellStart"/>
      <w:r w:rsidRPr="00AE040C">
        <w:rPr>
          <w:rFonts w:ascii="Arial" w:hAnsi="Arial" w:cs="Arial"/>
        </w:rPr>
        <w:t>labor</w:t>
      </w:r>
      <w:proofErr w:type="spellEnd"/>
      <w:r w:rsidRPr="00AE040C">
        <w:rPr>
          <w:rFonts w:ascii="Arial" w:hAnsi="Arial" w:cs="Arial"/>
        </w:rPr>
        <w:t xml:space="preserve"> </w:t>
      </w:r>
      <w:r w:rsidRPr="00AE040C">
        <w:rPr>
          <w:rFonts w:ascii="Arial" w:hAnsi="Arial" w:cs="Arial"/>
        </w:rPr>
        <w:lastRenderedPageBreak/>
        <w:t>contributions while decision-making and monitoring remain dominated by project implementers.</w:t>
      </w:r>
    </w:p>
    <w:p w14:paraId="43D825B5" w14:textId="77777777" w:rsidR="00AE040C" w:rsidRPr="00AE040C" w:rsidRDefault="00AE040C" w:rsidP="00AE040C">
      <w:pPr>
        <w:pStyle w:val="NormalWeb"/>
        <w:jc w:val="both"/>
        <w:rPr>
          <w:rFonts w:ascii="Arial" w:hAnsi="Arial" w:cs="Arial"/>
        </w:rPr>
      </w:pPr>
      <w:r w:rsidRPr="00AE040C">
        <w:rPr>
          <w:rFonts w:ascii="Arial" w:hAnsi="Arial" w:cs="Arial"/>
        </w:rPr>
        <w:t>The Project Manager (PR) added:</w:t>
      </w:r>
    </w:p>
    <w:p w14:paraId="562B6798" w14:textId="77777777" w:rsidR="00AE040C" w:rsidRPr="00AE040C" w:rsidRDefault="00AE040C" w:rsidP="00AE040C">
      <w:pPr>
        <w:pStyle w:val="NormalWeb"/>
        <w:jc w:val="both"/>
        <w:rPr>
          <w:rFonts w:ascii="Arial" w:hAnsi="Arial" w:cs="Arial"/>
        </w:rPr>
      </w:pPr>
      <w:r w:rsidRPr="00AE040C">
        <w:rPr>
          <w:rStyle w:val="Emphasis"/>
          <w:rFonts w:ascii="Arial" w:hAnsi="Arial" w:cs="Arial"/>
        </w:rPr>
        <w:t>"Actually, some communities contribute regularly to maintenance, especially those living near key roads, even if our data shows low engagement overall."</w:t>
      </w:r>
    </w:p>
    <w:p w14:paraId="5A322010" w14:textId="77777777" w:rsidR="00AE040C" w:rsidRPr="00AE040C" w:rsidRDefault="00AE040C" w:rsidP="00AE040C">
      <w:pPr>
        <w:pStyle w:val="NormalWeb"/>
        <w:jc w:val="both"/>
        <w:rPr>
          <w:rFonts w:ascii="Arial" w:hAnsi="Arial" w:cs="Arial"/>
        </w:rPr>
      </w:pPr>
      <w:r w:rsidRPr="00AE040C">
        <w:rPr>
          <w:rFonts w:ascii="Arial" w:hAnsi="Arial" w:cs="Arial"/>
        </w:rPr>
        <w:t>This adds nuance, suggesting that proximity to vital road sections motivates certain residents to engage consistently, even when overall participation is minimal. It emphasizes the role of local context and visible benefits in influencing engagement levels.</w:t>
      </w:r>
    </w:p>
    <w:p w14:paraId="5004EA97" w14:textId="77777777" w:rsidR="00AE040C" w:rsidRPr="00AE040C" w:rsidRDefault="00AE040C" w:rsidP="00AE040C">
      <w:pPr>
        <w:pStyle w:val="NormalWeb"/>
        <w:jc w:val="both"/>
        <w:rPr>
          <w:rFonts w:ascii="Arial" w:hAnsi="Arial" w:cs="Arial"/>
        </w:rPr>
      </w:pPr>
      <w:r w:rsidRPr="00AE040C">
        <w:rPr>
          <w:rFonts w:ascii="Arial" w:hAnsi="Arial" w:cs="Arial"/>
        </w:rPr>
        <w:t>Local leaders (LL) shared:</w:t>
      </w:r>
    </w:p>
    <w:p w14:paraId="67A88875" w14:textId="77777777" w:rsidR="00AE040C" w:rsidRPr="00AE040C" w:rsidRDefault="00AE040C" w:rsidP="00AE040C">
      <w:pPr>
        <w:pStyle w:val="NormalWeb"/>
        <w:jc w:val="both"/>
        <w:rPr>
          <w:rFonts w:ascii="Arial" w:hAnsi="Arial" w:cs="Arial"/>
        </w:rPr>
      </w:pPr>
      <w:r w:rsidRPr="00AE040C">
        <w:rPr>
          <w:rStyle w:val="Emphasis"/>
          <w:rFonts w:ascii="Arial" w:hAnsi="Arial" w:cs="Arial"/>
        </w:rPr>
        <w:t>"We organize meetings and inform villagers about road projects, but attendance is often poor due to competing economic activities."</w:t>
      </w:r>
    </w:p>
    <w:p w14:paraId="4787D608" w14:textId="77777777" w:rsidR="00AE040C" w:rsidRPr="00AE040C" w:rsidRDefault="00AE040C" w:rsidP="00AE040C">
      <w:pPr>
        <w:pStyle w:val="NormalWeb"/>
        <w:jc w:val="both"/>
        <w:rPr>
          <w:rFonts w:ascii="Arial" w:hAnsi="Arial" w:cs="Arial"/>
        </w:rPr>
      </w:pPr>
      <w:r w:rsidRPr="00AE040C">
        <w:rPr>
          <w:rFonts w:ascii="Arial" w:hAnsi="Arial" w:cs="Arial"/>
        </w:rPr>
        <w:t>This aligns with survey findings of low involvement and communication gaps, demonstrating</w:t>
      </w:r>
      <w:r w:rsidR="004123D3">
        <w:rPr>
          <w:rFonts w:ascii="Arial" w:hAnsi="Arial" w:cs="Arial"/>
        </w:rPr>
        <w:t xml:space="preserve"> that socioeconomic constraints </w:t>
      </w:r>
      <w:r w:rsidRPr="00AE040C">
        <w:rPr>
          <w:rFonts w:ascii="Arial" w:hAnsi="Arial" w:cs="Arial"/>
        </w:rPr>
        <w:t>like subsist</w:t>
      </w:r>
      <w:r w:rsidR="004123D3">
        <w:rPr>
          <w:rFonts w:ascii="Arial" w:hAnsi="Arial" w:cs="Arial"/>
        </w:rPr>
        <w:t xml:space="preserve">ence farming and informal trade </w:t>
      </w:r>
      <w:r w:rsidRPr="00AE040C">
        <w:rPr>
          <w:rFonts w:ascii="Arial" w:hAnsi="Arial" w:cs="Arial"/>
        </w:rPr>
        <w:t>limit residents’ ability to attend meetings or participate actively.</w:t>
      </w:r>
    </w:p>
    <w:p w14:paraId="412ACF77" w14:textId="77777777" w:rsidR="00AE040C" w:rsidRPr="00AE040C" w:rsidRDefault="00AE040C" w:rsidP="00AE040C">
      <w:pPr>
        <w:pStyle w:val="NormalWeb"/>
        <w:jc w:val="both"/>
        <w:rPr>
          <w:rFonts w:ascii="Arial" w:hAnsi="Arial" w:cs="Arial"/>
        </w:rPr>
      </w:pPr>
      <w:r w:rsidRPr="00AE040C">
        <w:rPr>
          <w:rFonts w:ascii="Arial" w:hAnsi="Arial" w:cs="Arial"/>
        </w:rPr>
        <w:t>The TRM also noted:</w:t>
      </w:r>
    </w:p>
    <w:p w14:paraId="2265EAEA" w14:textId="77777777" w:rsidR="00AE040C" w:rsidRPr="00AE040C" w:rsidRDefault="00AE040C" w:rsidP="00AE040C">
      <w:pPr>
        <w:pStyle w:val="NormalWeb"/>
        <w:jc w:val="both"/>
        <w:rPr>
          <w:rFonts w:ascii="Arial" w:hAnsi="Arial" w:cs="Arial"/>
        </w:rPr>
      </w:pPr>
      <w:r w:rsidRPr="00AE040C">
        <w:rPr>
          <w:rStyle w:val="Emphasis"/>
          <w:rFonts w:ascii="Arial" w:hAnsi="Arial" w:cs="Arial"/>
        </w:rPr>
        <w:t>"Some women and youth actively participate when mobilized, but their efforts are often overshadowed by more vocal men or local elites."</w:t>
      </w:r>
    </w:p>
    <w:p w14:paraId="3AF1CEF3" w14:textId="77777777" w:rsidR="00AE040C" w:rsidRPr="00AE040C" w:rsidRDefault="00AE040C" w:rsidP="00AE040C">
      <w:pPr>
        <w:pStyle w:val="NormalWeb"/>
        <w:jc w:val="both"/>
        <w:rPr>
          <w:rFonts w:ascii="Arial" w:hAnsi="Arial" w:cs="Arial"/>
        </w:rPr>
      </w:pPr>
      <w:r w:rsidRPr="00AE040C">
        <w:rPr>
          <w:rFonts w:ascii="Arial" w:hAnsi="Arial" w:cs="Arial"/>
        </w:rPr>
        <w:t>This complements the demographic data showing higher male participation and underscores structural barriers preventing equitable involvement of marginalized groups, such as women and youth, in decision-making processes.</w:t>
      </w:r>
    </w:p>
    <w:p w14:paraId="699D261A" w14:textId="77777777" w:rsidR="00AE040C" w:rsidRPr="00AE040C" w:rsidRDefault="00AE040C" w:rsidP="00AE040C">
      <w:pPr>
        <w:pStyle w:val="NormalWeb"/>
        <w:jc w:val="both"/>
        <w:rPr>
          <w:rFonts w:ascii="Arial" w:hAnsi="Arial" w:cs="Arial"/>
        </w:rPr>
      </w:pPr>
      <w:r w:rsidRPr="00AE040C">
        <w:rPr>
          <w:rFonts w:ascii="Arial" w:hAnsi="Arial" w:cs="Arial"/>
        </w:rPr>
        <w:t>Finally, the PR reflected:</w:t>
      </w:r>
    </w:p>
    <w:p w14:paraId="4CCBADE1" w14:textId="77777777" w:rsidR="00AE040C" w:rsidRPr="00AE040C" w:rsidRDefault="00AE040C" w:rsidP="00AE040C">
      <w:pPr>
        <w:pStyle w:val="NormalWeb"/>
        <w:jc w:val="both"/>
        <w:rPr>
          <w:rFonts w:ascii="Arial" w:hAnsi="Arial" w:cs="Arial"/>
        </w:rPr>
      </w:pPr>
      <w:r w:rsidRPr="00AE040C">
        <w:rPr>
          <w:rStyle w:val="Emphasis"/>
          <w:rFonts w:ascii="Arial" w:hAnsi="Arial" w:cs="Arial"/>
        </w:rPr>
        <w:t>"We sometimes fail to incorporate community suggestions due to technical or budgetary constraints, which may frustrate residents."</w:t>
      </w:r>
    </w:p>
    <w:p w14:paraId="3CDA62EF" w14:textId="77777777" w:rsidR="00AE040C" w:rsidRPr="00AE040C" w:rsidRDefault="00AE040C" w:rsidP="00AE040C">
      <w:pPr>
        <w:pStyle w:val="NormalWeb"/>
        <w:jc w:val="both"/>
        <w:rPr>
          <w:rFonts w:ascii="Arial" w:hAnsi="Arial" w:cs="Arial"/>
        </w:rPr>
      </w:pPr>
      <w:r w:rsidRPr="00AE040C">
        <w:rPr>
          <w:rFonts w:ascii="Arial" w:hAnsi="Arial" w:cs="Arial"/>
        </w:rPr>
        <w:t>This explains why respondents felt their input was ignored, reflecting low mean scores for engagement in planning, and highlights that low participation is influenced not only by social and procedural factors but also by practical project limitations.</w:t>
      </w:r>
    </w:p>
    <w:p w14:paraId="21124EA2" w14:textId="77777777" w:rsidR="00AE040C" w:rsidRPr="00AE040C" w:rsidRDefault="00AE040C" w:rsidP="00AE040C">
      <w:pPr>
        <w:pStyle w:val="NormalWeb"/>
        <w:jc w:val="both"/>
        <w:rPr>
          <w:rFonts w:ascii="Arial" w:hAnsi="Arial" w:cs="Arial"/>
        </w:rPr>
      </w:pPr>
      <w:r w:rsidRPr="00AE040C">
        <w:rPr>
          <w:rFonts w:ascii="Arial" w:hAnsi="Arial" w:cs="Arial"/>
        </w:rPr>
        <w:t xml:space="preserve">Overall, these qualitative insights illustrate that low participation in </w:t>
      </w:r>
      <w:proofErr w:type="spellStart"/>
      <w:r w:rsidRPr="00AE040C">
        <w:rPr>
          <w:rFonts w:ascii="Arial" w:hAnsi="Arial" w:cs="Arial"/>
        </w:rPr>
        <w:t>Babati’s</w:t>
      </w:r>
      <w:proofErr w:type="spellEnd"/>
      <w:r w:rsidRPr="00AE040C">
        <w:rPr>
          <w:rFonts w:ascii="Arial" w:hAnsi="Arial" w:cs="Arial"/>
        </w:rPr>
        <w:t xml:space="preserve"> rural road projects is shaped by a combination of structural, socioeconomic, and operational factors, providing depth to the quantitative findings and emphasizing the need for context-sensitive strategies to enhance community engagement.</w:t>
      </w:r>
    </w:p>
    <w:p w14:paraId="565F4E3A" w14:textId="77777777" w:rsidR="00392AF8" w:rsidRPr="00703D21" w:rsidRDefault="00E1487E" w:rsidP="00392AF8">
      <w:pPr>
        <w:pStyle w:val="ListParagraph"/>
        <w:numPr>
          <w:ilvl w:val="0"/>
          <w:numId w:val="2"/>
        </w:numPr>
        <w:jc w:val="both"/>
        <w:rPr>
          <w:rFonts w:ascii="Arial" w:hAnsi="Arial" w:cs="Arial"/>
          <w:b/>
          <w:sz w:val="24"/>
          <w:szCs w:val="24"/>
        </w:rPr>
      </w:pPr>
      <w:r w:rsidRPr="00703D21">
        <w:rPr>
          <w:rFonts w:ascii="Arial" w:hAnsi="Arial" w:cs="Arial"/>
          <w:b/>
          <w:sz w:val="24"/>
          <w:szCs w:val="24"/>
        </w:rPr>
        <w:t>CONCLUSION</w:t>
      </w:r>
    </w:p>
    <w:p w14:paraId="2148FBD0" w14:textId="77777777" w:rsidR="00703D21" w:rsidRPr="00703D21" w:rsidRDefault="00703D21" w:rsidP="00703D21">
      <w:pPr>
        <w:jc w:val="both"/>
        <w:rPr>
          <w:rFonts w:ascii="Arial" w:hAnsi="Arial" w:cs="Arial"/>
          <w:sz w:val="24"/>
          <w:szCs w:val="24"/>
        </w:rPr>
      </w:pPr>
      <w:r w:rsidRPr="00703D21">
        <w:rPr>
          <w:rFonts w:ascii="Arial" w:hAnsi="Arial" w:cs="Arial"/>
          <w:sz w:val="24"/>
          <w:szCs w:val="24"/>
        </w:rPr>
        <w:t xml:space="preserve">This study has examined the level of community participation in rural road maintenance projects in </w:t>
      </w:r>
      <w:proofErr w:type="spellStart"/>
      <w:r w:rsidRPr="00703D21">
        <w:rPr>
          <w:rFonts w:ascii="Arial" w:hAnsi="Arial" w:cs="Arial"/>
          <w:sz w:val="24"/>
          <w:szCs w:val="24"/>
        </w:rPr>
        <w:t>Babati</w:t>
      </w:r>
      <w:proofErr w:type="spellEnd"/>
      <w:r w:rsidRPr="00703D21">
        <w:rPr>
          <w:rFonts w:ascii="Arial" w:hAnsi="Arial" w:cs="Arial"/>
          <w:sz w:val="24"/>
          <w:szCs w:val="24"/>
        </w:rPr>
        <w:t xml:space="preserve"> District Council, highlighting significant variations in engagement across planning, implementation, and monitoring phases. The findings </w:t>
      </w:r>
      <w:r w:rsidRPr="00703D21">
        <w:rPr>
          <w:rFonts w:ascii="Arial" w:hAnsi="Arial" w:cs="Arial"/>
          <w:sz w:val="24"/>
          <w:szCs w:val="24"/>
        </w:rPr>
        <w:lastRenderedPageBreak/>
        <w:t>reveal that a majority of community members (71.7%) fall within the low participation category, indicating minimal involvement and limited influence over decision-making processes. Such low engagement reflects both systemic shortcomings in participatory frameworks and broader socio-economic constraints that hinder meaningful community involvement. Conversely, a smaller segment of the population demonstrates moderate (16.7%) or high (11.6%) participation, representing transitional and highly engaged individuals who could serve as catalysts for strengthening participatory pra</w:t>
      </w:r>
      <w:r>
        <w:rPr>
          <w:rFonts w:ascii="Arial" w:hAnsi="Arial" w:cs="Arial"/>
          <w:sz w:val="24"/>
          <w:szCs w:val="24"/>
        </w:rPr>
        <w:t>ctices if adequately supported.</w:t>
      </w:r>
    </w:p>
    <w:p w14:paraId="07F10DE4" w14:textId="77777777" w:rsidR="00703D21" w:rsidRPr="00703D21" w:rsidRDefault="00703D21" w:rsidP="00703D21">
      <w:pPr>
        <w:jc w:val="both"/>
        <w:rPr>
          <w:rFonts w:ascii="Arial" w:hAnsi="Arial" w:cs="Arial"/>
          <w:sz w:val="24"/>
          <w:szCs w:val="24"/>
        </w:rPr>
      </w:pPr>
      <w:r w:rsidRPr="00703D21">
        <w:rPr>
          <w:rFonts w:ascii="Arial" w:hAnsi="Arial" w:cs="Arial"/>
          <w:sz w:val="24"/>
          <w:szCs w:val="24"/>
        </w:rPr>
        <w:t>The study further emphasizes that low participation is influenced by multiple factors, including inadequate communication, limited transparency in project planning, top-down decision-making, and socio-economic limitations among community members. These challenges restrict opportun</w:t>
      </w:r>
      <w:r>
        <w:rPr>
          <w:rFonts w:ascii="Arial" w:hAnsi="Arial" w:cs="Arial"/>
          <w:sz w:val="24"/>
          <w:szCs w:val="24"/>
        </w:rPr>
        <w:t xml:space="preserve">ities for marginalized groups </w:t>
      </w:r>
      <w:r w:rsidRPr="00703D21">
        <w:rPr>
          <w:rFonts w:ascii="Arial" w:hAnsi="Arial" w:cs="Arial"/>
          <w:sz w:val="24"/>
          <w:szCs w:val="24"/>
        </w:rPr>
        <w:t>including women, youth, the elderly</w:t>
      </w:r>
      <w:r>
        <w:rPr>
          <w:rFonts w:ascii="Arial" w:hAnsi="Arial" w:cs="Arial"/>
          <w:sz w:val="24"/>
          <w:szCs w:val="24"/>
        </w:rPr>
        <w:t xml:space="preserve">, and residents of remote areas </w:t>
      </w:r>
      <w:r w:rsidRPr="00703D21">
        <w:rPr>
          <w:rFonts w:ascii="Arial" w:hAnsi="Arial" w:cs="Arial"/>
          <w:sz w:val="24"/>
          <w:szCs w:val="24"/>
        </w:rPr>
        <w:t xml:space="preserve">to contribute effectively, thereby undermining the sustainability and effectiveness of rural road maintenance initiatives. Importantly, even where participation exists, it is often fragmented, inconsistent, and confined to sporadic contributions of </w:t>
      </w:r>
      <w:proofErr w:type="spellStart"/>
      <w:r w:rsidRPr="00703D21">
        <w:rPr>
          <w:rFonts w:ascii="Arial" w:hAnsi="Arial" w:cs="Arial"/>
          <w:sz w:val="24"/>
          <w:szCs w:val="24"/>
        </w:rPr>
        <w:t>labor</w:t>
      </w:r>
      <w:proofErr w:type="spellEnd"/>
      <w:r w:rsidRPr="00703D21">
        <w:rPr>
          <w:rFonts w:ascii="Arial" w:hAnsi="Arial" w:cs="Arial"/>
          <w:sz w:val="24"/>
          <w:szCs w:val="24"/>
        </w:rPr>
        <w:t xml:space="preserve"> or materials, rather than encompassing meaningful input in decisio</w:t>
      </w:r>
      <w:r>
        <w:rPr>
          <w:rFonts w:ascii="Arial" w:hAnsi="Arial" w:cs="Arial"/>
          <w:sz w:val="24"/>
          <w:szCs w:val="24"/>
        </w:rPr>
        <w:t>n-making or project monitoring.</w:t>
      </w:r>
    </w:p>
    <w:p w14:paraId="45AEA790" w14:textId="77777777" w:rsidR="00E1487E" w:rsidRPr="00E1487E" w:rsidRDefault="00703D21" w:rsidP="00703D21">
      <w:pPr>
        <w:jc w:val="both"/>
        <w:rPr>
          <w:rFonts w:ascii="Arial" w:hAnsi="Arial" w:cs="Arial"/>
          <w:sz w:val="24"/>
          <w:szCs w:val="24"/>
        </w:rPr>
      </w:pPr>
      <w:r w:rsidRPr="00703D21">
        <w:rPr>
          <w:rFonts w:ascii="Arial" w:hAnsi="Arial" w:cs="Arial"/>
          <w:sz w:val="24"/>
          <w:szCs w:val="24"/>
        </w:rPr>
        <w:t xml:space="preserve">Given these insights, the study underscores the urgent need for interventions that promote inclusive and structured participation. Strategies such as improved communication through local governance channels, participatory budgeting, community awareness campaigns, and mechanisms to recognize and reward contributions can enhance engagement. By addressing barriers to involvement and fostering equitable participation, local authorities and development partners can build stronger community ownership, improve maintenance outcomes, and ensure the long-term sustainability of rural road infrastructure in </w:t>
      </w:r>
      <w:proofErr w:type="spellStart"/>
      <w:r w:rsidRPr="00703D21">
        <w:rPr>
          <w:rFonts w:ascii="Arial" w:hAnsi="Arial" w:cs="Arial"/>
          <w:sz w:val="24"/>
          <w:szCs w:val="24"/>
        </w:rPr>
        <w:t>Babati</w:t>
      </w:r>
      <w:proofErr w:type="spellEnd"/>
      <w:r w:rsidRPr="00703D21">
        <w:rPr>
          <w:rFonts w:ascii="Arial" w:hAnsi="Arial" w:cs="Arial"/>
          <w:sz w:val="24"/>
          <w:szCs w:val="24"/>
        </w:rPr>
        <w:t xml:space="preserve"> District. The findings provide critical guidance for policymakers, practitioners, and researchers seeking to enhance community-driven approaches to rural infrastructure development in Tanzania and similar contexts.</w:t>
      </w:r>
    </w:p>
    <w:p w14:paraId="585F20F1" w14:textId="77777777" w:rsidR="00BE562E" w:rsidRPr="00E1487E" w:rsidRDefault="00BE562E" w:rsidP="00E1487E">
      <w:pPr>
        <w:jc w:val="both"/>
        <w:rPr>
          <w:rFonts w:ascii="Arial" w:hAnsi="Arial" w:cs="Arial"/>
          <w:sz w:val="24"/>
          <w:szCs w:val="24"/>
        </w:rPr>
      </w:pPr>
    </w:p>
    <w:p w14:paraId="547FB164" w14:textId="77777777" w:rsidR="00BE562E" w:rsidRDefault="00BE562E">
      <w:pPr>
        <w:rPr>
          <w:rFonts w:ascii="Arial" w:hAnsi="Arial" w:cs="Arial"/>
          <w:sz w:val="24"/>
          <w:szCs w:val="24"/>
        </w:rPr>
      </w:pPr>
      <w:r>
        <w:rPr>
          <w:rFonts w:ascii="Arial" w:hAnsi="Arial" w:cs="Arial"/>
          <w:sz w:val="24"/>
          <w:szCs w:val="24"/>
        </w:rPr>
        <w:br w:type="page"/>
      </w:r>
    </w:p>
    <w:p w14:paraId="41C51C20" w14:textId="77777777" w:rsidR="002171DD" w:rsidRPr="00AE040C" w:rsidRDefault="00BE562E" w:rsidP="00AE040C">
      <w:pPr>
        <w:jc w:val="both"/>
        <w:rPr>
          <w:rFonts w:ascii="Arial" w:hAnsi="Arial" w:cs="Arial"/>
          <w:b/>
          <w:sz w:val="24"/>
          <w:szCs w:val="24"/>
        </w:rPr>
      </w:pPr>
      <w:r w:rsidRPr="00BE562E">
        <w:rPr>
          <w:rFonts w:ascii="Arial" w:hAnsi="Arial" w:cs="Arial"/>
          <w:b/>
          <w:sz w:val="24"/>
          <w:szCs w:val="24"/>
        </w:rPr>
        <w:lastRenderedPageBreak/>
        <w:t>REFERENCE</w:t>
      </w:r>
    </w:p>
    <w:p w14:paraId="41D4C673"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Chan, A., Lee, K., &amp; Wong, J. (2021). Transport infrastructure and its socio-economic impacts: A global perspective. International Journal of Infrastructure Development, 18(2), 134–1</w:t>
      </w:r>
      <w:r>
        <w:rPr>
          <w:rFonts w:ascii="Arial" w:hAnsi="Arial" w:cs="Arial"/>
          <w:sz w:val="24"/>
          <w:szCs w:val="24"/>
        </w:rPr>
        <w:t xml:space="preserve">50. </w:t>
      </w:r>
    </w:p>
    <w:p w14:paraId="1ACE06EA"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 xml:space="preserve">Coppola, P., Papa, E., &amp; </w:t>
      </w:r>
      <w:proofErr w:type="spellStart"/>
      <w:r w:rsidRPr="003B6AD6">
        <w:rPr>
          <w:rFonts w:ascii="Arial" w:hAnsi="Arial" w:cs="Arial"/>
          <w:sz w:val="24"/>
          <w:szCs w:val="24"/>
        </w:rPr>
        <w:t>Angiello</w:t>
      </w:r>
      <w:proofErr w:type="spellEnd"/>
      <w:r w:rsidRPr="003B6AD6">
        <w:rPr>
          <w:rFonts w:ascii="Arial" w:hAnsi="Arial" w:cs="Arial"/>
          <w:sz w:val="24"/>
          <w:szCs w:val="24"/>
        </w:rPr>
        <w:t>, G. (2022). Sustainable road networks and economic development. Journal of Transport Polic</w:t>
      </w:r>
      <w:r>
        <w:rPr>
          <w:rFonts w:ascii="Arial" w:hAnsi="Arial" w:cs="Arial"/>
          <w:sz w:val="24"/>
          <w:szCs w:val="24"/>
        </w:rPr>
        <w:t>y, 45(3), 211–225.</w:t>
      </w:r>
    </w:p>
    <w:p w14:paraId="6CEC1061"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Eyisi</w:t>
      </w:r>
      <w:proofErr w:type="spellEnd"/>
      <w:r w:rsidRPr="003B6AD6">
        <w:rPr>
          <w:rFonts w:ascii="Arial" w:hAnsi="Arial" w:cs="Arial"/>
          <w:sz w:val="24"/>
          <w:szCs w:val="24"/>
        </w:rPr>
        <w:t xml:space="preserve">, J., Musa, S., &amp; </w:t>
      </w:r>
      <w:proofErr w:type="spellStart"/>
      <w:r w:rsidRPr="003B6AD6">
        <w:rPr>
          <w:rFonts w:ascii="Arial" w:hAnsi="Arial" w:cs="Arial"/>
          <w:sz w:val="24"/>
          <w:szCs w:val="24"/>
        </w:rPr>
        <w:t>Oche</w:t>
      </w:r>
      <w:proofErr w:type="spellEnd"/>
      <w:r w:rsidRPr="003B6AD6">
        <w:rPr>
          <w:rFonts w:ascii="Arial" w:hAnsi="Arial" w:cs="Arial"/>
          <w:sz w:val="24"/>
          <w:szCs w:val="24"/>
        </w:rPr>
        <w:t>, A. (2021). Challenges of rural road maintenance in sub-Saharan Africa. African Journal of Development Studies, 13(1), 45–59.</w:t>
      </w:r>
    </w:p>
    <w:p w14:paraId="373D3D1E"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Faiz</w:t>
      </w:r>
      <w:proofErr w:type="spellEnd"/>
      <w:r w:rsidRPr="003B6AD6">
        <w:rPr>
          <w:rFonts w:ascii="Arial" w:hAnsi="Arial" w:cs="Arial"/>
          <w:sz w:val="24"/>
          <w:szCs w:val="24"/>
        </w:rPr>
        <w:t>, A., &amp; Junaid, M. (2021). Financing road maintenance in Africa: Opportunities and challenges. World Transport Review, 27(4), 312–328.</w:t>
      </w:r>
    </w:p>
    <w:p w14:paraId="435E86AF"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Herrera, R., López, D., &amp; Ramos, P. (2020). Infrastructure management challenges in developing countries. International Journal of Public Works, 12(3), 98–115.</w:t>
      </w:r>
    </w:p>
    <w:p w14:paraId="1C61B8CD" w14:textId="77777777" w:rsidR="00BE562E"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Kiss, G., Toth, B., &amp; Horvath, Z. (2022). Community involvement in infrastructure: Lessons from developing economies. Development</w:t>
      </w:r>
      <w:r>
        <w:rPr>
          <w:rFonts w:ascii="Arial" w:hAnsi="Arial" w:cs="Arial"/>
          <w:sz w:val="24"/>
          <w:szCs w:val="24"/>
        </w:rPr>
        <w:t xml:space="preserve"> Policy Review, 40(1), e12533.</w:t>
      </w:r>
    </w:p>
    <w:p w14:paraId="6BFB400D" w14:textId="77777777" w:rsidR="000C6CA6" w:rsidRPr="003B6AD6" w:rsidRDefault="000C6CA6" w:rsidP="000C6CA6">
      <w:pPr>
        <w:spacing w:after="0" w:line="240" w:lineRule="auto"/>
        <w:ind w:left="720" w:hanging="720"/>
        <w:jc w:val="both"/>
        <w:rPr>
          <w:rFonts w:ascii="Arial" w:hAnsi="Arial" w:cs="Arial"/>
          <w:sz w:val="24"/>
          <w:szCs w:val="24"/>
        </w:rPr>
      </w:pPr>
      <w:proofErr w:type="spellStart"/>
      <w:r w:rsidRPr="000C6CA6">
        <w:rPr>
          <w:rFonts w:ascii="Arial" w:hAnsi="Arial" w:cs="Arial"/>
          <w:sz w:val="24"/>
          <w:szCs w:val="24"/>
        </w:rPr>
        <w:t>Khodyakov</w:t>
      </w:r>
      <w:proofErr w:type="spellEnd"/>
      <w:r w:rsidRPr="000C6CA6">
        <w:rPr>
          <w:rFonts w:ascii="Arial" w:hAnsi="Arial" w:cs="Arial"/>
          <w:sz w:val="24"/>
          <w:szCs w:val="24"/>
        </w:rPr>
        <w:t xml:space="preserve">, D., Stockdale, S., Jones, A., Mango, J., Jones, F., &amp; </w:t>
      </w:r>
      <w:proofErr w:type="spellStart"/>
      <w:r w:rsidRPr="000C6CA6">
        <w:rPr>
          <w:rFonts w:ascii="Arial" w:hAnsi="Arial" w:cs="Arial"/>
          <w:sz w:val="24"/>
          <w:szCs w:val="24"/>
        </w:rPr>
        <w:t>Lizaola</w:t>
      </w:r>
      <w:proofErr w:type="spellEnd"/>
      <w:r w:rsidRPr="000C6CA6">
        <w:rPr>
          <w:rFonts w:ascii="Arial" w:hAnsi="Arial" w:cs="Arial"/>
          <w:sz w:val="24"/>
          <w:szCs w:val="24"/>
        </w:rPr>
        <w:t xml:space="preserve">, E. (2013). On Measuring Community Participation in Research. Health Education and </w:t>
      </w:r>
      <w:proofErr w:type="spellStart"/>
      <w:r w:rsidRPr="000C6CA6">
        <w:rPr>
          <w:rFonts w:ascii="Arial" w:hAnsi="Arial" w:cs="Arial"/>
          <w:sz w:val="24"/>
          <w:szCs w:val="24"/>
        </w:rPr>
        <w:t>Behavior</w:t>
      </w:r>
      <w:proofErr w:type="spellEnd"/>
      <w:r w:rsidRPr="000C6CA6">
        <w:rPr>
          <w:rFonts w:ascii="Arial" w:hAnsi="Arial" w:cs="Arial"/>
          <w:sz w:val="24"/>
          <w:szCs w:val="24"/>
        </w:rPr>
        <w:t>, 40(3), 346–354</w:t>
      </w:r>
    </w:p>
    <w:p w14:paraId="20D519AD"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Lam, W., &amp; Yang, X. (2020). Road access and rural development in sub-Saharan Africa. African Developme</w:t>
      </w:r>
      <w:r>
        <w:rPr>
          <w:rFonts w:ascii="Arial" w:hAnsi="Arial" w:cs="Arial"/>
          <w:sz w:val="24"/>
          <w:szCs w:val="24"/>
        </w:rPr>
        <w:t xml:space="preserve">nt Review, 32(1), 67–79. </w:t>
      </w:r>
    </w:p>
    <w:p w14:paraId="2A46CB81"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Lukala</w:t>
      </w:r>
      <w:proofErr w:type="spellEnd"/>
      <w:r w:rsidRPr="003B6AD6">
        <w:rPr>
          <w:rFonts w:ascii="Arial" w:hAnsi="Arial" w:cs="Arial"/>
          <w:sz w:val="24"/>
          <w:szCs w:val="24"/>
        </w:rPr>
        <w:t>, T. (2023). Community participation in Africa’s rural road programs: Achievements and challenges. Journal of African Infrastructure, 19(2), 56–74.</w:t>
      </w:r>
    </w:p>
    <w:p w14:paraId="78F9DC8A" w14:textId="77777777" w:rsidR="00BE562E"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Manyinsa</w:t>
      </w:r>
      <w:proofErr w:type="spellEnd"/>
      <w:r w:rsidRPr="003B6AD6">
        <w:rPr>
          <w:rFonts w:ascii="Arial" w:hAnsi="Arial" w:cs="Arial"/>
          <w:sz w:val="24"/>
          <w:szCs w:val="24"/>
        </w:rPr>
        <w:t>, M. (2018). Community engagement in Nigeria’s Rural Access and Mobility Program. Journal of Transport and Society, 14(2), 77–92.</w:t>
      </w:r>
    </w:p>
    <w:p w14:paraId="248EA1AE" w14:textId="77777777" w:rsidR="009C65B1" w:rsidRPr="003B6AD6" w:rsidRDefault="009C65B1" w:rsidP="000C6CA6">
      <w:pPr>
        <w:spacing w:after="0" w:line="240" w:lineRule="auto"/>
        <w:ind w:left="720" w:hanging="720"/>
        <w:jc w:val="both"/>
        <w:rPr>
          <w:rFonts w:ascii="Arial" w:hAnsi="Arial" w:cs="Arial"/>
          <w:sz w:val="24"/>
          <w:szCs w:val="24"/>
        </w:rPr>
      </w:pPr>
      <w:proofErr w:type="spellStart"/>
      <w:r w:rsidRPr="009C65B1">
        <w:rPr>
          <w:rFonts w:ascii="Arial" w:hAnsi="Arial" w:cs="Arial"/>
          <w:sz w:val="24"/>
          <w:szCs w:val="24"/>
        </w:rPr>
        <w:t>Muluk</w:t>
      </w:r>
      <w:proofErr w:type="spellEnd"/>
      <w:r w:rsidRPr="009C65B1">
        <w:rPr>
          <w:rFonts w:ascii="Arial" w:hAnsi="Arial" w:cs="Arial"/>
          <w:sz w:val="24"/>
          <w:szCs w:val="24"/>
        </w:rPr>
        <w:t xml:space="preserve">, M. R. K., </w:t>
      </w:r>
      <w:proofErr w:type="spellStart"/>
      <w:r w:rsidRPr="009C65B1">
        <w:rPr>
          <w:rFonts w:ascii="Arial" w:hAnsi="Arial" w:cs="Arial"/>
          <w:sz w:val="24"/>
          <w:szCs w:val="24"/>
        </w:rPr>
        <w:t>Danar</w:t>
      </w:r>
      <w:proofErr w:type="spellEnd"/>
      <w:r w:rsidRPr="009C65B1">
        <w:rPr>
          <w:rFonts w:ascii="Arial" w:hAnsi="Arial" w:cs="Arial"/>
          <w:sz w:val="24"/>
          <w:szCs w:val="24"/>
        </w:rPr>
        <w:t xml:space="preserve">, O. R., &amp; </w:t>
      </w:r>
      <w:proofErr w:type="spellStart"/>
      <w:r w:rsidRPr="009C65B1">
        <w:rPr>
          <w:rFonts w:ascii="Arial" w:hAnsi="Arial" w:cs="Arial"/>
          <w:sz w:val="24"/>
          <w:szCs w:val="24"/>
        </w:rPr>
        <w:t>Rahmawati</w:t>
      </w:r>
      <w:proofErr w:type="spellEnd"/>
      <w:r w:rsidRPr="009C65B1">
        <w:rPr>
          <w:rFonts w:ascii="Arial" w:hAnsi="Arial" w:cs="Arial"/>
          <w:sz w:val="24"/>
          <w:szCs w:val="24"/>
        </w:rPr>
        <w:t xml:space="preserve">, L. (2020). Community Participation and Development Planning in Local Government Level: A Study on the Formulation of </w:t>
      </w:r>
      <w:proofErr w:type="spellStart"/>
      <w:r w:rsidRPr="009C65B1">
        <w:rPr>
          <w:rFonts w:ascii="Arial" w:hAnsi="Arial" w:cs="Arial"/>
          <w:sz w:val="24"/>
          <w:szCs w:val="24"/>
        </w:rPr>
        <w:t>Batu</w:t>
      </w:r>
      <w:proofErr w:type="spellEnd"/>
      <w:r w:rsidRPr="009C65B1">
        <w:rPr>
          <w:rFonts w:ascii="Arial" w:hAnsi="Arial" w:cs="Arial"/>
          <w:sz w:val="24"/>
          <w:szCs w:val="24"/>
        </w:rPr>
        <w:t xml:space="preserve"> City Medium-Term Development Plan. </w:t>
      </w:r>
      <w:proofErr w:type="spellStart"/>
      <w:r w:rsidRPr="009C65B1">
        <w:rPr>
          <w:rFonts w:ascii="Arial" w:hAnsi="Arial" w:cs="Arial"/>
          <w:sz w:val="24"/>
          <w:szCs w:val="24"/>
        </w:rPr>
        <w:t>Bisnis</w:t>
      </w:r>
      <w:proofErr w:type="spellEnd"/>
      <w:r w:rsidRPr="009C65B1">
        <w:rPr>
          <w:rFonts w:ascii="Arial" w:hAnsi="Arial" w:cs="Arial"/>
          <w:sz w:val="24"/>
          <w:szCs w:val="24"/>
        </w:rPr>
        <w:t xml:space="preserve"> &amp; </w:t>
      </w:r>
      <w:proofErr w:type="spellStart"/>
      <w:r w:rsidRPr="009C65B1">
        <w:rPr>
          <w:rFonts w:ascii="Arial" w:hAnsi="Arial" w:cs="Arial"/>
          <w:sz w:val="24"/>
          <w:szCs w:val="24"/>
        </w:rPr>
        <w:t>Birokrasi</w:t>
      </w:r>
      <w:proofErr w:type="spellEnd"/>
      <w:r w:rsidRPr="009C65B1">
        <w:rPr>
          <w:rFonts w:ascii="Arial" w:hAnsi="Arial" w:cs="Arial"/>
          <w:sz w:val="24"/>
          <w:szCs w:val="24"/>
        </w:rPr>
        <w:t xml:space="preserve"> Journal, 26(3), 1–9.</w:t>
      </w:r>
    </w:p>
    <w:p w14:paraId="0EDD5A51"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Obiuto</w:t>
      </w:r>
      <w:proofErr w:type="spellEnd"/>
      <w:r w:rsidRPr="003B6AD6">
        <w:rPr>
          <w:rFonts w:ascii="Arial" w:hAnsi="Arial" w:cs="Arial"/>
          <w:sz w:val="24"/>
          <w:szCs w:val="24"/>
        </w:rPr>
        <w:t>, P. (2024). Participatory approaches in infrastructure development: Evidence from developing countries. Journal of Community Development Research, 29(1), 102–118.</w:t>
      </w:r>
    </w:p>
    <w:p w14:paraId="5CDEA18D"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Ojo</w:t>
      </w:r>
      <w:proofErr w:type="spellEnd"/>
      <w:r w:rsidRPr="003B6AD6">
        <w:rPr>
          <w:rFonts w:ascii="Arial" w:hAnsi="Arial" w:cs="Arial"/>
          <w:sz w:val="24"/>
          <w:szCs w:val="24"/>
        </w:rPr>
        <w:t>, S. (2024). Community-based road maintenance initiatives in Africa. African Journal of Public Policy, 16(3), 201–219.</w:t>
      </w:r>
    </w:p>
    <w:p w14:paraId="63E88D0A"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 xml:space="preserve">Phiri, T., </w:t>
      </w:r>
      <w:proofErr w:type="spellStart"/>
      <w:r w:rsidRPr="003B6AD6">
        <w:rPr>
          <w:rFonts w:ascii="Arial" w:hAnsi="Arial" w:cs="Arial"/>
          <w:sz w:val="24"/>
          <w:szCs w:val="24"/>
        </w:rPr>
        <w:t>Magesa</w:t>
      </w:r>
      <w:proofErr w:type="spellEnd"/>
      <w:r w:rsidRPr="003B6AD6">
        <w:rPr>
          <w:rFonts w:ascii="Arial" w:hAnsi="Arial" w:cs="Arial"/>
          <w:sz w:val="24"/>
          <w:szCs w:val="24"/>
        </w:rPr>
        <w:t xml:space="preserve">, S., &amp; </w:t>
      </w:r>
      <w:proofErr w:type="spellStart"/>
      <w:r w:rsidRPr="003B6AD6">
        <w:rPr>
          <w:rFonts w:ascii="Arial" w:hAnsi="Arial" w:cs="Arial"/>
          <w:sz w:val="24"/>
          <w:szCs w:val="24"/>
        </w:rPr>
        <w:t>Komba</w:t>
      </w:r>
      <w:proofErr w:type="spellEnd"/>
      <w:r w:rsidRPr="003B6AD6">
        <w:rPr>
          <w:rFonts w:ascii="Arial" w:hAnsi="Arial" w:cs="Arial"/>
          <w:sz w:val="24"/>
          <w:szCs w:val="24"/>
        </w:rPr>
        <w:t>, C. (2021). Road infrastructure and rural livelihoods in Tanzania. Tanzania Journal of Development Studies, 9(1), 45–63.</w:t>
      </w:r>
    </w:p>
    <w:p w14:paraId="6B77AB45" w14:textId="77777777" w:rsidR="00BE562E" w:rsidRPr="003B6AD6" w:rsidRDefault="00BE562E" w:rsidP="000C6CA6">
      <w:pPr>
        <w:spacing w:after="0" w:line="240" w:lineRule="auto"/>
        <w:ind w:left="720" w:hanging="720"/>
        <w:jc w:val="both"/>
        <w:rPr>
          <w:rFonts w:ascii="Arial" w:hAnsi="Arial" w:cs="Arial"/>
          <w:sz w:val="24"/>
          <w:szCs w:val="24"/>
        </w:rPr>
      </w:pPr>
      <w:proofErr w:type="spellStart"/>
      <w:r w:rsidRPr="003B6AD6">
        <w:rPr>
          <w:rFonts w:ascii="Arial" w:hAnsi="Arial" w:cs="Arial"/>
          <w:sz w:val="24"/>
          <w:szCs w:val="24"/>
        </w:rPr>
        <w:t>Seniwoliba</w:t>
      </w:r>
      <w:proofErr w:type="spellEnd"/>
      <w:r w:rsidRPr="003B6AD6">
        <w:rPr>
          <w:rFonts w:ascii="Arial" w:hAnsi="Arial" w:cs="Arial"/>
          <w:sz w:val="24"/>
          <w:szCs w:val="24"/>
        </w:rPr>
        <w:t>, A. (2022). Community-driven development and infrastructure sustainability: Lessons from Tanzania. Journal of Social Policy and Development, 15(2), 140–156.</w:t>
      </w:r>
    </w:p>
    <w:p w14:paraId="68F272D2"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Wang, L. (2023). Barriers to community participation in rural development projects. International Development Review, 41(2), 205–222.</w:t>
      </w:r>
    </w:p>
    <w:p w14:paraId="382BCCC3" w14:textId="77777777" w:rsidR="00BE562E" w:rsidRPr="003B6AD6" w:rsidRDefault="00BE562E" w:rsidP="000C6CA6">
      <w:pPr>
        <w:spacing w:after="0" w:line="240" w:lineRule="auto"/>
        <w:ind w:left="720" w:hanging="720"/>
        <w:jc w:val="both"/>
        <w:rPr>
          <w:rFonts w:ascii="Arial" w:hAnsi="Arial" w:cs="Arial"/>
          <w:sz w:val="24"/>
          <w:szCs w:val="24"/>
        </w:rPr>
      </w:pPr>
      <w:r w:rsidRPr="003B6AD6">
        <w:rPr>
          <w:rFonts w:ascii="Arial" w:hAnsi="Arial" w:cs="Arial"/>
          <w:sz w:val="24"/>
          <w:szCs w:val="24"/>
        </w:rPr>
        <w:t>World Bank. (2022). The economic impact of poor road conditions in developing countries. World Bank Publications.</w:t>
      </w:r>
    </w:p>
    <w:p w14:paraId="035B32F4" w14:textId="77777777" w:rsidR="00BE562E" w:rsidRPr="00BE562E" w:rsidRDefault="00BE562E" w:rsidP="000C6CA6">
      <w:pPr>
        <w:spacing w:after="0" w:line="240" w:lineRule="auto"/>
        <w:ind w:left="851" w:hanging="851"/>
        <w:jc w:val="both"/>
        <w:rPr>
          <w:rFonts w:ascii="Arial" w:hAnsi="Arial" w:cs="Arial"/>
          <w:sz w:val="24"/>
          <w:szCs w:val="24"/>
        </w:rPr>
      </w:pPr>
      <w:proofErr w:type="spellStart"/>
      <w:r w:rsidRPr="003B6AD6">
        <w:rPr>
          <w:rFonts w:ascii="Arial" w:hAnsi="Arial" w:cs="Arial"/>
          <w:sz w:val="24"/>
          <w:szCs w:val="24"/>
        </w:rPr>
        <w:t>Żelazo</w:t>
      </w:r>
      <w:proofErr w:type="spellEnd"/>
      <w:r w:rsidRPr="003B6AD6">
        <w:rPr>
          <w:rFonts w:ascii="Arial" w:hAnsi="Arial" w:cs="Arial"/>
          <w:sz w:val="24"/>
          <w:szCs w:val="24"/>
        </w:rPr>
        <w:t>, J. (2023). Participatory budgeting and infrastructure governance: Case studies from Latin America. Governance and Policy Review, 37(2), 89–104.</w:t>
      </w:r>
    </w:p>
    <w:sectPr w:rsidR="00BE562E" w:rsidRPr="00BE56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B5FE7" w14:textId="77777777" w:rsidR="009A4E12" w:rsidRDefault="009A4E12" w:rsidP="006E796E">
      <w:pPr>
        <w:spacing w:after="0" w:line="240" w:lineRule="auto"/>
      </w:pPr>
      <w:r>
        <w:separator/>
      </w:r>
    </w:p>
  </w:endnote>
  <w:endnote w:type="continuationSeparator" w:id="0">
    <w:p w14:paraId="4120FA8C" w14:textId="77777777" w:rsidR="009A4E12" w:rsidRDefault="009A4E12" w:rsidP="006E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2F76" w14:textId="77777777" w:rsidR="004B7D50" w:rsidRDefault="004B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954874"/>
      <w:docPartObj>
        <w:docPartGallery w:val="Page Numbers (Bottom of Page)"/>
        <w:docPartUnique/>
      </w:docPartObj>
    </w:sdtPr>
    <w:sdtEndPr>
      <w:rPr>
        <w:noProof/>
      </w:rPr>
    </w:sdtEndPr>
    <w:sdtContent>
      <w:p w14:paraId="1157D737" w14:textId="77777777" w:rsidR="006E796E" w:rsidRDefault="006E796E">
        <w:pPr>
          <w:pStyle w:val="Footer"/>
          <w:jc w:val="center"/>
        </w:pPr>
        <w:r>
          <w:fldChar w:fldCharType="begin"/>
        </w:r>
        <w:r>
          <w:instrText xml:space="preserve"> PAGE   \* MERGEFORMAT </w:instrText>
        </w:r>
        <w:r>
          <w:fldChar w:fldCharType="separate"/>
        </w:r>
        <w:r w:rsidR="006210C7">
          <w:rPr>
            <w:noProof/>
          </w:rPr>
          <w:t>1</w:t>
        </w:r>
        <w:r>
          <w:rPr>
            <w:noProof/>
          </w:rPr>
          <w:fldChar w:fldCharType="end"/>
        </w:r>
      </w:p>
    </w:sdtContent>
  </w:sdt>
  <w:p w14:paraId="71E81D2A" w14:textId="77777777" w:rsidR="006E796E" w:rsidRDefault="006E7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6BAA" w14:textId="77777777" w:rsidR="004B7D50" w:rsidRDefault="004B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3965" w14:textId="77777777" w:rsidR="009A4E12" w:rsidRDefault="009A4E12" w:rsidP="006E796E">
      <w:pPr>
        <w:spacing w:after="0" w:line="240" w:lineRule="auto"/>
      </w:pPr>
      <w:r>
        <w:separator/>
      </w:r>
    </w:p>
  </w:footnote>
  <w:footnote w:type="continuationSeparator" w:id="0">
    <w:p w14:paraId="52980F31" w14:textId="77777777" w:rsidR="009A4E12" w:rsidRDefault="009A4E12" w:rsidP="006E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629D" w14:textId="76F46C7E" w:rsidR="004B7D50" w:rsidRDefault="004B7D50">
    <w:pPr>
      <w:pStyle w:val="Header"/>
    </w:pPr>
    <w:r>
      <w:rPr>
        <w:noProof/>
      </w:rPr>
      <w:pict w14:anchorId="7F68E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D6F8" w14:textId="03687E45" w:rsidR="004B7D50" w:rsidRDefault="004B7D50">
    <w:pPr>
      <w:pStyle w:val="Header"/>
    </w:pPr>
    <w:r>
      <w:rPr>
        <w:noProof/>
      </w:rPr>
      <w:pict w14:anchorId="7913B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966A" w14:textId="56AFF393" w:rsidR="004B7D50" w:rsidRDefault="004B7D50">
    <w:pPr>
      <w:pStyle w:val="Header"/>
    </w:pPr>
    <w:r>
      <w:rPr>
        <w:noProof/>
      </w:rPr>
      <w:pict w14:anchorId="46B2D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B1E81"/>
    <w:multiLevelType w:val="hybridMultilevel"/>
    <w:tmpl w:val="42F8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D2E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D9"/>
    <w:rsid w:val="000C6CA6"/>
    <w:rsid w:val="00192C7B"/>
    <w:rsid w:val="002171DD"/>
    <w:rsid w:val="00255F00"/>
    <w:rsid w:val="00270E62"/>
    <w:rsid w:val="00294F93"/>
    <w:rsid w:val="00325923"/>
    <w:rsid w:val="00392AF8"/>
    <w:rsid w:val="003B6AD6"/>
    <w:rsid w:val="003C2C0D"/>
    <w:rsid w:val="004123D3"/>
    <w:rsid w:val="00472004"/>
    <w:rsid w:val="004A4AA6"/>
    <w:rsid w:val="004B7D50"/>
    <w:rsid w:val="005869FC"/>
    <w:rsid w:val="006210C7"/>
    <w:rsid w:val="00674627"/>
    <w:rsid w:val="006E796E"/>
    <w:rsid w:val="00703D21"/>
    <w:rsid w:val="00762D57"/>
    <w:rsid w:val="00896D14"/>
    <w:rsid w:val="009A4E12"/>
    <w:rsid w:val="009C65B1"/>
    <w:rsid w:val="00A81AD9"/>
    <w:rsid w:val="00AE040C"/>
    <w:rsid w:val="00BD397D"/>
    <w:rsid w:val="00BE4101"/>
    <w:rsid w:val="00BE562E"/>
    <w:rsid w:val="00E1487E"/>
    <w:rsid w:val="00EC4BC3"/>
    <w:rsid w:val="00FB680A"/>
    <w:rsid w:val="00FF5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E7243"/>
  <w15:chartTrackingRefBased/>
  <w15:docId w15:val="{8FADFC63-714A-47F2-A610-52111FCC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AD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AF8"/>
    <w:rPr>
      <w:color w:val="0563C1" w:themeColor="hyperlink"/>
      <w:u w:val="single"/>
    </w:rPr>
  </w:style>
  <w:style w:type="paragraph" w:styleId="ListParagraph">
    <w:name w:val="List Paragraph"/>
    <w:basedOn w:val="Normal"/>
    <w:uiPriority w:val="34"/>
    <w:qFormat/>
    <w:rsid w:val="00392AF8"/>
    <w:pPr>
      <w:ind w:left="720"/>
      <w:contextualSpacing/>
    </w:pPr>
  </w:style>
  <w:style w:type="character" w:customStyle="1" w:styleId="Heading2Char">
    <w:name w:val="Heading 2 Char"/>
    <w:basedOn w:val="DefaultParagraphFont"/>
    <w:link w:val="Heading2"/>
    <w:uiPriority w:val="9"/>
    <w:rsid w:val="003B6AD6"/>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2171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0E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48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0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E040C"/>
    <w:rPr>
      <w:i/>
      <w:iCs/>
    </w:rPr>
  </w:style>
  <w:style w:type="paragraph" w:styleId="Header">
    <w:name w:val="header"/>
    <w:basedOn w:val="Normal"/>
    <w:link w:val="HeaderChar"/>
    <w:uiPriority w:val="99"/>
    <w:unhideWhenUsed/>
    <w:rsid w:val="006E7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96E"/>
  </w:style>
  <w:style w:type="paragraph" w:styleId="Footer">
    <w:name w:val="footer"/>
    <w:basedOn w:val="Normal"/>
    <w:link w:val="FooterChar"/>
    <w:uiPriority w:val="99"/>
    <w:unhideWhenUsed/>
    <w:rsid w:val="006E7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16</Pages>
  <Words>6568</Words>
  <Characters>37438</Characters>
  <Application>Microsoft Office Word</Application>
  <DocSecurity>0</DocSecurity>
  <Lines>311</Lines>
  <Paragraphs>87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cp:revision>
  <dcterms:created xsi:type="dcterms:W3CDTF">2025-08-22T08:18:00Z</dcterms:created>
  <dcterms:modified xsi:type="dcterms:W3CDTF">2025-08-25T07:15:00Z</dcterms:modified>
</cp:coreProperties>
</file>