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AB182D" w14:textId="3E321F1A" w:rsidR="00436792" w:rsidRDefault="002D3215" w:rsidP="00CC3668">
      <w:pPr>
        <w:pStyle w:val="Author"/>
        <w:spacing w:after="240" w:line="240" w:lineRule="auto"/>
        <w:jc w:val="center"/>
        <w:rPr>
          <w:rFonts w:ascii="Arial" w:hAnsi="Arial" w:cs="Arial"/>
          <w:sz w:val="36"/>
        </w:rPr>
      </w:pPr>
      <w:r>
        <w:rPr>
          <w:rFonts w:ascii="Arial" w:hAnsi="Arial" w:cs="Arial"/>
          <w:bCs/>
          <w:iCs/>
          <w:kern w:val="28"/>
          <w:sz w:val="36"/>
        </w:rPr>
        <w:t>Investigating the Impact of 3d Model in Finding the Volume</w:t>
      </w:r>
    </w:p>
    <w:p w14:paraId="4305AF66" w14:textId="77777777" w:rsidR="00436792" w:rsidRDefault="00436792">
      <w:pPr>
        <w:pStyle w:val="AbstHead"/>
        <w:spacing w:after="60"/>
        <w:jc w:val="both"/>
        <w:rPr>
          <w:rFonts w:ascii="Arial" w:hAnsi="Arial" w:cs="Arial"/>
        </w:rPr>
      </w:pPr>
    </w:p>
    <w:p w14:paraId="4C26B3DF" w14:textId="77777777" w:rsidR="00436792" w:rsidRDefault="002D3215">
      <w:pPr>
        <w:pStyle w:val="AbstHead"/>
        <w:spacing w:after="60"/>
        <w:jc w:val="both"/>
        <w:rPr>
          <w:rFonts w:ascii="Arial" w:hAnsi="Arial" w:cs="Arial"/>
        </w:rPr>
      </w:pPr>
      <w:r>
        <w:rPr>
          <w:rFonts w:ascii="Arial" w:hAnsi="Arial" w:cs="Arial"/>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436792" w14:paraId="41F143A0" w14:textId="77777777">
        <w:tc>
          <w:tcPr>
            <w:tcW w:w="9576" w:type="dxa"/>
            <w:shd w:val="clear" w:color="auto" w:fill="F2F2F2"/>
          </w:tcPr>
          <w:p w14:paraId="03CF475C" w14:textId="77777777" w:rsidR="00436792" w:rsidRDefault="002D3215">
            <w:pPr>
              <w:pStyle w:val="Body"/>
              <w:spacing w:after="0"/>
              <w:rPr>
                <w:rFonts w:ascii="Arial" w:eastAsia="Calibri" w:hAnsi="Arial" w:cs="Arial"/>
                <w:szCs w:val="22"/>
              </w:rPr>
            </w:pPr>
            <w:r>
              <w:rPr>
                <w:rFonts w:ascii="Arial" w:eastAsia="Calibri" w:hAnsi="Arial" w:cs="Arial"/>
                <w:szCs w:val="22"/>
              </w:rPr>
              <w:t xml:space="preserve">This action research investigated the effectiveness of three-dimensional (3D) models in enhancing the understanding of Grade 4 students in volume, particularly in calculating the volume of rectangular prisms. Grounded in Piaget's theory of cognitive development, the study emphasized the value of hands-on learning during the concrete operational stage of cognitive development. Conducted at San Rafael Integrated School during the 2024–2025 school year, a quasi-experimental design was employed, involving 60 students divided into two groups: a control group and an experimental group. The control group received traditional instruction, while the experimental group was taught using physical 3D models. </w:t>
            </w:r>
            <w:bookmarkStart w:id="0" w:name="_Hlk198891107"/>
            <w:r>
              <w:rPr>
                <w:rFonts w:ascii="Arial" w:eastAsia="Calibri" w:hAnsi="Arial" w:cs="Arial"/>
                <w:szCs w:val="22"/>
              </w:rPr>
              <w:t>Results showed that while both groups scored below expectations in the pre-test, the experimental group demonstrated significantly greater improvement in the post-test (x̅ = 9.83) compared to the control group (x̅ = 6.93). This comparison was based on the mean increase in scores from the pre-test to the post-te</w:t>
            </w:r>
            <w:bookmarkStart w:id="1" w:name="_GoBack"/>
            <w:bookmarkEnd w:id="1"/>
            <w:r>
              <w:rPr>
                <w:rFonts w:ascii="Arial" w:eastAsia="Calibri" w:hAnsi="Arial" w:cs="Arial"/>
                <w:szCs w:val="22"/>
              </w:rPr>
              <w:t xml:space="preserve">st, highlighting the impact of the 3D model intervention on student performance. </w:t>
            </w:r>
            <w:bookmarkEnd w:id="0"/>
            <w:r>
              <w:rPr>
                <w:rFonts w:ascii="Arial" w:eastAsia="Calibri" w:hAnsi="Arial" w:cs="Arial"/>
                <w:szCs w:val="22"/>
              </w:rPr>
              <w:t>A statistically significant difference was confirmed (t = 3.329, p = 0.002), and a large effect size (Cohen’s d = 0.860) indicated a strong positive impact of the intervention. In practical terms, an average student at the 50th percentile could advance to the 81st percentile when taught using 3D models—outperforming 81% of peers, compared to just 50% without the intervention. These findings highlight the pedagogical value of 3D models in enhancing spatial reasoning and conceptual understanding in mathematics education.</w:t>
            </w:r>
          </w:p>
        </w:tc>
      </w:tr>
    </w:tbl>
    <w:p w14:paraId="5FBC3B99" w14:textId="77777777" w:rsidR="00436792" w:rsidRDefault="00436792">
      <w:pPr>
        <w:pStyle w:val="Body"/>
        <w:spacing w:after="0"/>
        <w:rPr>
          <w:rFonts w:ascii="Arial" w:hAnsi="Arial" w:cs="Arial"/>
          <w:b/>
          <w:bCs/>
          <w:i/>
        </w:rPr>
      </w:pPr>
    </w:p>
    <w:p w14:paraId="53473AB1" w14:textId="77777777" w:rsidR="00436792" w:rsidRDefault="002D3215">
      <w:pPr>
        <w:pStyle w:val="Body"/>
        <w:spacing w:after="0"/>
        <w:rPr>
          <w:rFonts w:ascii="Arial" w:hAnsi="Arial" w:cs="Arial"/>
          <w:i/>
        </w:rPr>
      </w:pPr>
      <w:r>
        <w:rPr>
          <w:rFonts w:ascii="Arial" w:hAnsi="Arial" w:cs="Arial"/>
          <w:b/>
          <w:bCs/>
          <w:i/>
        </w:rPr>
        <w:t>Keywords:</w:t>
      </w:r>
      <w:r>
        <w:rPr>
          <w:rFonts w:ascii="Arial" w:hAnsi="Arial" w:cs="Arial"/>
          <w:i/>
        </w:rPr>
        <w:t xml:space="preserve"> 3D models, volume, spatial reasoning, Piaget, concrete operational stage, elementary mathematics, quasi-experimental design</w:t>
      </w:r>
    </w:p>
    <w:p w14:paraId="6EA37788" w14:textId="77777777" w:rsidR="00436792" w:rsidRDefault="00436792">
      <w:pPr>
        <w:pStyle w:val="AbstHead"/>
        <w:spacing w:after="0"/>
        <w:jc w:val="both"/>
        <w:rPr>
          <w:rFonts w:ascii="Arial" w:hAnsi="Arial" w:cs="Arial"/>
        </w:rPr>
      </w:pPr>
    </w:p>
    <w:p w14:paraId="102D9771" w14:textId="77777777" w:rsidR="00436792" w:rsidRDefault="002D3215">
      <w:pPr>
        <w:pStyle w:val="AbstHead"/>
        <w:numPr>
          <w:ilvl w:val="0"/>
          <w:numId w:val="2"/>
        </w:numPr>
        <w:spacing w:after="0"/>
        <w:jc w:val="both"/>
        <w:rPr>
          <w:rFonts w:ascii="Arial" w:hAnsi="Arial" w:cs="Arial"/>
        </w:rPr>
      </w:pPr>
      <w:r>
        <w:rPr>
          <w:rFonts w:ascii="Arial" w:hAnsi="Arial" w:cs="Arial"/>
        </w:rPr>
        <w:t xml:space="preserve">INTRODUCTION   </w:t>
      </w:r>
    </w:p>
    <w:p w14:paraId="40178744" w14:textId="77777777" w:rsidR="00436792" w:rsidRDefault="002D3215">
      <w:pPr>
        <w:pStyle w:val="Body"/>
        <w:spacing w:after="0"/>
        <w:ind w:firstLine="720"/>
        <w:rPr>
          <w:rFonts w:ascii="Arial" w:hAnsi="Arial" w:cs="Arial"/>
        </w:rPr>
      </w:pPr>
      <w:r>
        <w:rPr>
          <w:rFonts w:ascii="Arial" w:hAnsi="Arial" w:cs="Arial"/>
        </w:rPr>
        <w:t>Understanding the volume of three-dimensional (3D) objects poses significant cognitive challenges for students, particularly during the transition from two-dimensional (2D) to 3D thinking (Kok, 2020). This difficulty often leads to misconceptions and error patterns in applying mathematical formulas for volume calculation (Corum, 2017). Traditional teaching methods that emphasize rote memorization of formulas may not effectively address these challenges, resulting in persistent misunderstandings among learners (Guner, 2020).</w:t>
      </w:r>
    </w:p>
    <w:p w14:paraId="61AD24E7" w14:textId="77777777" w:rsidR="00436792" w:rsidRDefault="002D3215">
      <w:pPr>
        <w:pStyle w:val="Body"/>
        <w:spacing w:after="0"/>
        <w:rPr>
          <w:rFonts w:ascii="Arial" w:hAnsi="Arial" w:cs="Arial"/>
        </w:rPr>
      </w:pPr>
      <w:r>
        <w:rPr>
          <w:rFonts w:ascii="Arial" w:hAnsi="Arial" w:cs="Arial"/>
        </w:rPr>
        <w:t xml:space="preserve"> </w:t>
      </w:r>
      <w:r>
        <w:rPr>
          <w:rFonts w:ascii="Arial" w:hAnsi="Arial" w:cs="Arial"/>
        </w:rPr>
        <w:tab/>
      </w:r>
    </w:p>
    <w:p w14:paraId="4A6D8CA8" w14:textId="77777777" w:rsidR="00436792" w:rsidRDefault="002D3215">
      <w:pPr>
        <w:pStyle w:val="Body"/>
        <w:spacing w:after="0"/>
        <w:ind w:firstLine="720"/>
        <w:rPr>
          <w:rFonts w:ascii="Arial" w:hAnsi="Arial" w:cs="Arial"/>
        </w:rPr>
      </w:pPr>
      <w:r>
        <w:rPr>
          <w:rFonts w:ascii="Arial" w:hAnsi="Arial" w:cs="Arial"/>
        </w:rPr>
        <w:t xml:space="preserve">Consequently, students struggle to apply mathematical concepts to real-world problems, hindering their overall mathematical proficiency (Davis &amp; </w:t>
      </w:r>
      <w:proofErr w:type="spellStart"/>
      <w:r>
        <w:rPr>
          <w:rFonts w:ascii="Arial" w:hAnsi="Arial" w:cs="Arial"/>
        </w:rPr>
        <w:t>Simmt</w:t>
      </w:r>
      <w:proofErr w:type="spellEnd"/>
      <w:r>
        <w:rPr>
          <w:rFonts w:ascii="Arial" w:hAnsi="Arial" w:cs="Arial"/>
        </w:rPr>
        <w:t>, 2015). Addressing these cognitive challenges is essential for improving students' understanding of geometric principles and their applications (Sudirman et al., 2020). Internationally, students often struggle to distinguish between area and volume, frequently confusing two-dimensional measurements with three-dimensional ones (Huang &amp; Wu, 2019). For instance, students may incorrectly apply area formulas when attempting to calculate volume, leading to significant errors in problem-solving (</w:t>
      </w:r>
      <w:proofErr w:type="spellStart"/>
      <w:r>
        <w:rPr>
          <w:rFonts w:ascii="Arial" w:hAnsi="Arial" w:cs="Arial"/>
        </w:rPr>
        <w:t>Sisman</w:t>
      </w:r>
      <w:proofErr w:type="spellEnd"/>
      <w:r>
        <w:rPr>
          <w:rFonts w:ascii="Arial" w:hAnsi="Arial" w:cs="Arial"/>
        </w:rPr>
        <w:t xml:space="preserve"> &amp; Aksu, 2015). These misconceptions highlight a global need for instructional strategies that enhance spatial reasoning and conceptual understanding of geometric principles (Fujii, 2020). Educational systems worldwide are seeking innovative approaches to address these challenges and improve student outcomes in mathematics (Lowrie et al., 2019). Implementing effective teaching methods that promote a deeper understanding of volume concepts is crucial for students' success in mathematics (Abramovich et al., 2019). </w:t>
      </w:r>
    </w:p>
    <w:p w14:paraId="67B9E198" w14:textId="77777777" w:rsidR="00436792" w:rsidRDefault="00436792">
      <w:pPr>
        <w:pStyle w:val="Body"/>
        <w:spacing w:after="0"/>
        <w:ind w:firstLine="720"/>
        <w:rPr>
          <w:rFonts w:ascii="Arial" w:hAnsi="Arial" w:cs="Arial"/>
        </w:rPr>
      </w:pPr>
    </w:p>
    <w:p w14:paraId="611078E1" w14:textId="77777777" w:rsidR="00436792" w:rsidRDefault="002D3215">
      <w:pPr>
        <w:pStyle w:val="Body"/>
        <w:spacing w:after="0"/>
        <w:ind w:firstLine="720"/>
        <w:rPr>
          <w:rFonts w:ascii="Arial" w:hAnsi="Arial" w:cs="Arial"/>
        </w:rPr>
      </w:pPr>
      <w:r>
        <w:rPr>
          <w:rFonts w:ascii="Arial" w:hAnsi="Arial" w:cs="Arial"/>
        </w:rPr>
        <w:lastRenderedPageBreak/>
        <w:t>In the Philippines, challenges in mathematics education are evident, with students demonstrating low proficiency in geometry, particularly in understanding volume (</w:t>
      </w:r>
      <w:proofErr w:type="spellStart"/>
      <w:r>
        <w:rPr>
          <w:rFonts w:ascii="Arial" w:hAnsi="Arial" w:cs="Arial"/>
        </w:rPr>
        <w:t>Verzosa</w:t>
      </w:r>
      <w:proofErr w:type="spellEnd"/>
      <w:r>
        <w:rPr>
          <w:rFonts w:ascii="Arial" w:hAnsi="Arial" w:cs="Arial"/>
        </w:rPr>
        <w:t xml:space="preserve"> &amp; </w:t>
      </w:r>
      <w:proofErr w:type="spellStart"/>
      <w:r>
        <w:rPr>
          <w:rFonts w:ascii="Arial" w:hAnsi="Arial" w:cs="Arial"/>
        </w:rPr>
        <w:t>Vistro</w:t>
      </w:r>
      <w:proofErr w:type="spellEnd"/>
      <w:r>
        <w:rPr>
          <w:rFonts w:ascii="Arial" w:hAnsi="Arial" w:cs="Arial"/>
        </w:rPr>
        <w:t xml:space="preserve">-Yu, 2019). The 2018 </w:t>
      </w:r>
      <w:proofErr w:type="spellStart"/>
      <w:r>
        <w:rPr>
          <w:rFonts w:ascii="Arial" w:hAnsi="Arial" w:cs="Arial"/>
        </w:rPr>
        <w:t>Programme</w:t>
      </w:r>
      <w:proofErr w:type="spellEnd"/>
      <w:r>
        <w:rPr>
          <w:rFonts w:ascii="Arial" w:hAnsi="Arial" w:cs="Arial"/>
        </w:rPr>
        <w:t xml:space="preserve"> for International Student Assessment (PISA) results indicated that Filipino students scored below the global average in mathematics, underscoring the need for improved instructional methods (</w:t>
      </w:r>
      <w:proofErr w:type="spellStart"/>
      <w:r>
        <w:rPr>
          <w:rFonts w:ascii="Arial" w:hAnsi="Arial" w:cs="Arial"/>
        </w:rPr>
        <w:t>Alinsunurin</w:t>
      </w:r>
      <w:proofErr w:type="spellEnd"/>
      <w:r>
        <w:rPr>
          <w:rFonts w:ascii="Arial" w:hAnsi="Arial" w:cs="Arial"/>
        </w:rPr>
        <w:t>, 2021). Traditional teaching approaches may not effectively engage learners or cater to diverse learning styles, contributing to these challenges (</w:t>
      </w:r>
      <w:proofErr w:type="spellStart"/>
      <w:r>
        <w:rPr>
          <w:rFonts w:ascii="Arial" w:hAnsi="Arial" w:cs="Arial"/>
        </w:rPr>
        <w:t>Cimermanová</w:t>
      </w:r>
      <w:proofErr w:type="spellEnd"/>
      <w:r>
        <w:rPr>
          <w:rFonts w:ascii="Arial" w:hAnsi="Arial" w:cs="Arial"/>
        </w:rPr>
        <w:t xml:space="preserve">, 2018). Consequently, there is a pressing need to explore innovative teaching strategies that can enhance students' understanding and application of volume concepts (Englund et al., 2016). Addressing these national educational challenges is crucial for enhancing students' mathematical competencies (Wittmann, 2020). </w:t>
      </w:r>
    </w:p>
    <w:p w14:paraId="4FFA48D2" w14:textId="77777777" w:rsidR="00436792" w:rsidRDefault="00436792">
      <w:pPr>
        <w:pStyle w:val="Body"/>
        <w:spacing w:after="0"/>
        <w:ind w:firstLine="720"/>
        <w:rPr>
          <w:rFonts w:ascii="Arial" w:hAnsi="Arial" w:cs="Arial"/>
        </w:rPr>
      </w:pPr>
    </w:p>
    <w:p w14:paraId="4FC88E82" w14:textId="77777777" w:rsidR="00436792" w:rsidRDefault="002D3215">
      <w:pPr>
        <w:pStyle w:val="Body"/>
        <w:spacing w:after="0"/>
        <w:ind w:firstLine="720"/>
        <w:rPr>
          <w:rFonts w:ascii="Arial" w:hAnsi="Arial" w:cs="Arial"/>
        </w:rPr>
      </w:pPr>
      <w:r>
        <w:rPr>
          <w:rFonts w:ascii="Arial" w:hAnsi="Arial" w:cs="Arial"/>
        </w:rPr>
        <w:t>Furthermore, the lack of resources and training for teachers in implementing new instructional strategies exacerbates the problem (Johnson et al., 2016). Many educators rely on traditional methods due to limited access to innovative teaching tools and professional development opportunities (Smith &amp; Gillespie, 2023). This situation hinders the adoption of effective teaching practices that could improve students' understanding of geometric concepts (Mamali, 2015). Addressing these systemic issues is crucial for creating an educational environment that fosters learning and growth (Darling-Hammond &amp; Cook-Harvey, 2018). By providing adequate support and resources, educators can better assist students in overcoming challenges related to volume calculation (</w:t>
      </w:r>
      <w:proofErr w:type="spellStart"/>
      <w:r>
        <w:rPr>
          <w:rFonts w:ascii="Arial" w:hAnsi="Arial" w:cs="Arial"/>
        </w:rPr>
        <w:t>Mirzajani</w:t>
      </w:r>
      <w:proofErr w:type="spellEnd"/>
      <w:r>
        <w:rPr>
          <w:rFonts w:ascii="Arial" w:hAnsi="Arial" w:cs="Arial"/>
        </w:rPr>
        <w:t xml:space="preserve"> et al., 2016). </w:t>
      </w:r>
    </w:p>
    <w:p w14:paraId="5C0FF27B" w14:textId="77777777" w:rsidR="00436792" w:rsidRDefault="00436792">
      <w:pPr>
        <w:pStyle w:val="Body"/>
        <w:spacing w:after="0"/>
        <w:ind w:firstLine="720"/>
        <w:rPr>
          <w:rFonts w:ascii="Arial" w:hAnsi="Arial" w:cs="Arial"/>
        </w:rPr>
      </w:pPr>
    </w:p>
    <w:p w14:paraId="6AD6500B" w14:textId="77777777" w:rsidR="00436792" w:rsidRDefault="002D3215">
      <w:pPr>
        <w:pStyle w:val="Body"/>
        <w:spacing w:after="0"/>
        <w:ind w:firstLine="720"/>
        <w:rPr>
          <w:rFonts w:ascii="Arial" w:hAnsi="Arial" w:cs="Arial"/>
        </w:rPr>
      </w:pPr>
      <w:r>
        <w:rPr>
          <w:rFonts w:ascii="Arial" w:hAnsi="Arial" w:cs="Arial"/>
        </w:rPr>
        <w:t>The integration of 3D models in education has shown promise in enhancing students' spatial visualization skills and understanding of geometric concepts (</w:t>
      </w:r>
      <w:proofErr w:type="spellStart"/>
      <w:r>
        <w:rPr>
          <w:rFonts w:ascii="Arial" w:hAnsi="Arial" w:cs="Arial"/>
        </w:rPr>
        <w:t>Mjenda</w:t>
      </w:r>
      <w:proofErr w:type="spellEnd"/>
      <w:r>
        <w:rPr>
          <w:rFonts w:ascii="Arial" w:hAnsi="Arial" w:cs="Arial"/>
        </w:rPr>
        <w:t xml:space="preserve"> et al., 2023). By engaging with 3D models, students can interact with and manipulate shapes, resulting in a deeper understanding of volume (Fujita et al., 2017). This hands-on approach can bridge the gap between theoretical knowledge and practical application (J. Chen et al., 2019). Studies have demonstrated that incorporating 3D modeling into the curriculum can improve students' problem-solving abilities and mathematical performance (Levin &amp; Verner, 2020). Implementing such innovative teaching methods may address the challenges students face in understanding volume calculation (Qian &amp; Lehman, 2017).</w:t>
      </w:r>
    </w:p>
    <w:p w14:paraId="3AC99D66" w14:textId="77777777" w:rsidR="00436792" w:rsidRDefault="00436792">
      <w:pPr>
        <w:pStyle w:val="Body"/>
        <w:spacing w:after="0"/>
        <w:ind w:firstLine="720"/>
        <w:rPr>
          <w:rFonts w:ascii="Arial" w:hAnsi="Arial" w:cs="Arial"/>
        </w:rPr>
      </w:pPr>
    </w:p>
    <w:p w14:paraId="63A81F01" w14:textId="77777777" w:rsidR="00436792" w:rsidRDefault="002D3215">
      <w:pPr>
        <w:pStyle w:val="Body"/>
        <w:spacing w:after="0"/>
        <w:ind w:firstLine="720"/>
        <w:rPr>
          <w:rFonts w:ascii="Arial" w:hAnsi="Arial" w:cs="Arial"/>
        </w:rPr>
      </w:pPr>
      <w:r>
        <w:rPr>
          <w:rFonts w:ascii="Arial" w:hAnsi="Arial" w:cs="Arial"/>
        </w:rPr>
        <w:t>Despite the potential benefits of 3D modeling in teaching volume calculation, there is a lack of comprehensive research examining its effectiveness in the Philippine educational context (Tao et al., 2022). Existing studies have primarily focused on other regions, leaving a gap in understanding how 3D models can be utilized to improve geometry education locally (Kaiser, 2020). This research aims to fill that gap by investigating the impact of 3D models on students' ability to find volumes, providing insights that could inform teaching practices and curriculum development (</w:t>
      </w:r>
      <w:proofErr w:type="spellStart"/>
      <w:r>
        <w:rPr>
          <w:rFonts w:ascii="Arial" w:hAnsi="Arial" w:cs="Arial"/>
        </w:rPr>
        <w:t>İbili</w:t>
      </w:r>
      <w:proofErr w:type="spellEnd"/>
      <w:r>
        <w:rPr>
          <w:rFonts w:ascii="Arial" w:hAnsi="Arial" w:cs="Arial"/>
        </w:rPr>
        <w:t xml:space="preserve"> et al., 2019). By exploring the effectiveness of 3D modeling in the local context, educators can develop strategies tailored to the specific needs of Filipino students (Refugio et al., 2020). Ultimately, this study seeks to contribute to the improvement of mathematics education in the Philippines (Lomibao, 2016).</w:t>
      </w:r>
    </w:p>
    <w:p w14:paraId="43BA581B" w14:textId="77777777" w:rsidR="00436792" w:rsidRDefault="00436792">
      <w:pPr>
        <w:pStyle w:val="Body"/>
        <w:spacing w:after="0"/>
        <w:rPr>
          <w:rFonts w:ascii="Arial" w:hAnsi="Arial" w:cs="Arial"/>
        </w:rPr>
      </w:pPr>
    </w:p>
    <w:p w14:paraId="5ED2EF7B" w14:textId="77777777" w:rsidR="00436792" w:rsidRDefault="002D3215">
      <w:pPr>
        <w:pStyle w:val="AbstHead"/>
        <w:spacing w:after="0"/>
        <w:jc w:val="both"/>
        <w:rPr>
          <w:rFonts w:ascii="Arial" w:hAnsi="Arial" w:cs="Arial"/>
        </w:rPr>
      </w:pPr>
      <w:r>
        <w:rPr>
          <w:rFonts w:ascii="Arial" w:hAnsi="Arial" w:cs="Arial"/>
        </w:rPr>
        <w:t>2. methodology</w:t>
      </w:r>
    </w:p>
    <w:p w14:paraId="5D3A1C32" w14:textId="77777777" w:rsidR="00436792" w:rsidRDefault="002D3215">
      <w:pPr>
        <w:pStyle w:val="Body"/>
        <w:spacing w:after="0"/>
        <w:rPr>
          <w:rFonts w:ascii="Arial" w:eastAsia="SimSun" w:hAnsi="Arial" w:cs="Arial"/>
        </w:rPr>
      </w:pPr>
      <w:r>
        <w:rPr>
          <w:rFonts w:ascii="Arial" w:eastAsia="SimSun" w:hAnsi="Arial" w:cs="Arial"/>
        </w:rPr>
        <w:t>This study employed a quasi-experimental design with pre-test and post-test assessments for both control and experimental groups. Due to ethical and practical constraints, two intact Grade 4 sections at San Rafael Integrated School were used. This design allows for comparison between groups without random assignment (Thomas, 2020).</w:t>
      </w:r>
    </w:p>
    <w:p w14:paraId="19589431" w14:textId="77777777" w:rsidR="00436792" w:rsidRDefault="002D3215">
      <w:pPr>
        <w:pStyle w:val="Body"/>
        <w:spacing w:after="0"/>
        <w:rPr>
          <w:rFonts w:ascii="Arial" w:eastAsia="SimSun" w:hAnsi="Arial" w:cs="Arial"/>
        </w:rPr>
      </w:pPr>
      <w:r>
        <w:rPr>
          <w:rFonts w:ascii="Arial" w:eastAsia="SimSun" w:hAnsi="Arial" w:cs="Arial"/>
        </w:rPr>
        <w:t xml:space="preserve">A researcher-made 25-item multiple-choice test was used, aligned with the Grade 4 Mathematics competencies: M4ME-IVe-63 and M4ME-IVE-64. Content validity was confirmed by three experts using Aiken’s V (score: 0.94). Reliability was tested through a pilot study at </w:t>
      </w:r>
      <w:proofErr w:type="spellStart"/>
      <w:r>
        <w:rPr>
          <w:rFonts w:ascii="Arial" w:eastAsia="SimSun" w:hAnsi="Arial" w:cs="Arial"/>
        </w:rPr>
        <w:t>Sibajay</w:t>
      </w:r>
      <w:proofErr w:type="spellEnd"/>
      <w:r>
        <w:rPr>
          <w:rFonts w:ascii="Arial" w:eastAsia="SimSun" w:hAnsi="Arial" w:cs="Arial"/>
        </w:rPr>
        <w:t xml:space="preserve"> Elementary School, with a Cronbach’s alpha of 0.701 after item reduction, indicating acceptable internal consistency.</w:t>
      </w:r>
    </w:p>
    <w:p w14:paraId="7639D019" w14:textId="77777777" w:rsidR="00436792" w:rsidRDefault="002D3215">
      <w:pPr>
        <w:pStyle w:val="Body"/>
        <w:spacing w:after="0"/>
        <w:rPr>
          <w:rFonts w:ascii="Arial" w:eastAsia="SimSun" w:hAnsi="Arial" w:cs="Arial"/>
        </w:rPr>
      </w:pPr>
      <w:r>
        <w:rPr>
          <w:rFonts w:ascii="Arial" w:eastAsia="SimSun" w:hAnsi="Arial" w:cs="Arial"/>
        </w:rPr>
        <w:lastRenderedPageBreak/>
        <w:t>The study involved two Grade 4 sections (30 students each). A coin toss assigned one section as the experimental group (taught using 3D models) and the other as the control group (taught using traditional methods). Students absent in either test were excluded. Respondents were aged 10–11 years, with a balanced gender distribution.</w:t>
      </w:r>
    </w:p>
    <w:p w14:paraId="22F1470B" w14:textId="77777777" w:rsidR="00436792" w:rsidRDefault="002D3215">
      <w:pPr>
        <w:pStyle w:val="Body"/>
        <w:spacing w:after="0"/>
        <w:rPr>
          <w:rFonts w:ascii="Arial" w:eastAsia="SimSun" w:hAnsi="Arial" w:cs="Arial"/>
        </w:rPr>
      </w:pPr>
      <w:r>
        <w:rPr>
          <w:rFonts w:ascii="Arial" w:eastAsia="SimSun" w:hAnsi="Arial" w:cs="Arial"/>
          <w:lang w:eastAsia="zh-CN"/>
        </w:rPr>
        <w:t>The researcher followed the following procedures in conducting the action research:</w:t>
      </w:r>
    </w:p>
    <w:p w14:paraId="1D3F437F" w14:textId="77777777" w:rsidR="00436792" w:rsidRDefault="002D3215">
      <w:pPr>
        <w:pStyle w:val="Body"/>
        <w:numPr>
          <w:ilvl w:val="0"/>
          <w:numId w:val="3"/>
        </w:numPr>
        <w:spacing w:after="0"/>
        <w:rPr>
          <w:rFonts w:ascii="Arial" w:eastAsia="SimSun" w:hAnsi="Arial" w:cs="Arial"/>
          <w:lang w:eastAsia="zh-CN"/>
        </w:rPr>
      </w:pPr>
      <w:r>
        <w:rPr>
          <w:rFonts w:ascii="Arial" w:eastAsia="SimSun" w:hAnsi="Arial" w:cs="Arial"/>
          <w:lang w:eastAsia="zh-CN"/>
        </w:rPr>
        <w:t xml:space="preserve">Ethical Clearance was obtained from the University Research Ethics Board by submitting the research proposal, curriculum vitae, and risk management plan. </w:t>
      </w:r>
    </w:p>
    <w:p w14:paraId="1F0D1217" w14:textId="77777777" w:rsidR="00436792" w:rsidRDefault="002D3215">
      <w:pPr>
        <w:pStyle w:val="Body"/>
        <w:numPr>
          <w:ilvl w:val="0"/>
          <w:numId w:val="3"/>
        </w:numPr>
        <w:spacing w:after="0"/>
        <w:rPr>
          <w:rFonts w:ascii="Arial" w:eastAsia="SimSun" w:hAnsi="Arial" w:cs="Arial"/>
          <w:lang w:eastAsia="zh-CN"/>
        </w:rPr>
      </w:pPr>
      <w:r>
        <w:rPr>
          <w:rFonts w:ascii="Arial" w:eastAsia="SimSun" w:hAnsi="Arial" w:cs="Arial"/>
          <w:lang w:eastAsia="zh-CN"/>
        </w:rPr>
        <w:t>A permission letter was submitted to the School Principal of San Rafael Integrated School to conduct the study. Upon approval, a second letter was sent to the class advisers, explaining the purpose and method of the study.</w:t>
      </w:r>
    </w:p>
    <w:p w14:paraId="537BC39D" w14:textId="77777777" w:rsidR="00436792" w:rsidRDefault="002D3215">
      <w:pPr>
        <w:pStyle w:val="Body"/>
        <w:numPr>
          <w:ilvl w:val="0"/>
          <w:numId w:val="3"/>
        </w:numPr>
        <w:spacing w:after="0"/>
        <w:rPr>
          <w:rFonts w:ascii="Arial" w:eastAsia="SimSun" w:hAnsi="Arial" w:cs="Arial"/>
          <w:lang w:eastAsia="zh-CN"/>
        </w:rPr>
      </w:pPr>
      <w:r>
        <w:rPr>
          <w:rFonts w:ascii="Arial" w:eastAsia="SimSun" w:hAnsi="Arial" w:cs="Arial"/>
          <w:lang w:eastAsia="zh-CN"/>
        </w:rPr>
        <w:t xml:space="preserve">A pre-test was administered to both the control and experimental groups to assess their baseline understanding of volume. </w:t>
      </w:r>
    </w:p>
    <w:p w14:paraId="4E0C2DE8" w14:textId="77777777" w:rsidR="00436792" w:rsidRDefault="002D3215">
      <w:pPr>
        <w:pStyle w:val="Body"/>
        <w:numPr>
          <w:ilvl w:val="0"/>
          <w:numId w:val="3"/>
        </w:numPr>
        <w:spacing w:after="0"/>
        <w:rPr>
          <w:rFonts w:ascii="Arial" w:eastAsia="SimSun" w:hAnsi="Arial" w:cs="Arial"/>
          <w:lang w:eastAsia="zh-CN"/>
        </w:rPr>
      </w:pPr>
      <w:r>
        <w:rPr>
          <w:rFonts w:ascii="Arial" w:eastAsia="SimSun" w:hAnsi="Arial" w:cs="Arial"/>
          <w:lang w:eastAsia="zh-CN"/>
        </w:rPr>
        <w:t xml:space="preserve">The experimental group was taught using 3D models to enhance conceptual understanding of volume. The control group received instruction through traditional methods based on the existing curriculum. </w:t>
      </w:r>
    </w:p>
    <w:p w14:paraId="444A0F3F" w14:textId="77777777" w:rsidR="00436792" w:rsidRDefault="002D3215">
      <w:pPr>
        <w:pStyle w:val="Body"/>
        <w:numPr>
          <w:ilvl w:val="0"/>
          <w:numId w:val="3"/>
        </w:numPr>
        <w:spacing w:after="0"/>
        <w:rPr>
          <w:rFonts w:ascii="Arial" w:eastAsia="SimSun" w:hAnsi="Arial" w:cs="Arial"/>
          <w:lang w:eastAsia="zh-CN"/>
        </w:rPr>
      </w:pPr>
      <w:r>
        <w:rPr>
          <w:rFonts w:ascii="Arial" w:eastAsia="SimSun" w:hAnsi="Arial" w:cs="Arial"/>
          <w:lang w:eastAsia="zh-CN"/>
        </w:rPr>
        <w:t xml:space="preserve">After the intervention, a post-test was administered to both groups to assess changes in performance. </w:t>
      </w:r>
    </w:p>
    <w:p w14:paraId="6837C84A" w14:textId="77777777" w:rsidR="00436792" w:rsidRDefault="002D3215">
      <w:pPr>
        <w:pStyle w:val="Body"/>
        <w:spacing w:after="0"/>
        <w:rPr>
          <w:rFonts w:ascii="Arial" w:eastAsia="SimSun" w:hAnsi="Arial" w:cs="Arial"/>
        </w:rPr>
      </w:pPr>
      <w:r>
        <w:rPr>
          <w:rFonts w:ascii="Arial" w:eastAsia="SimSun" w:hAnsi="Arial" w:cs="Arial"/>
          <w:lang w:eastAsia="zh-CN"/>
        </w:rPr>
        <w:t>6. The completed post-test responses were retrieved, scored, encoded, and analyzed using appropriate statistical tools to measure the effectiveness of the intervention.</w:t>
      </w:r>
    </w:p>
    <w:p w14:paraId="3F0BA802" w14:textId="77777777" w:rsidR="00436792" w:rsidRDefault="00436792">
      <w:pPr>
        <w:pStyle w:val="Body"/>
        <w:spacing w:after="0"/>
        <w:rPr>
          <w:rFonts w:ascii="Arial" w:eastAsia="SimSun" w:hAnsi="Arial" w:cs="Arial"/>
        </w:rPr>
      </w:pPr>
    </w:p>
    <w:p w14:paraId="3D39287F" w14:textId="77777777" w:rsidR="00436792" w:rsidRDefault="002D3215">
      <w:pPr>
        <w:pStyle w:val="Head1"/>
        <w:spacing w:after="0"/>
        <w:jc w:val="both"/>
        <w:rPr>
          <w:rFonts w:ascii="Arial" w:hAnsi="Arial" w:cs="Arial"/>
        </w:rPr>
      </w:pPr>
      <w:r>
        <w:rPr>
          <w:rFonts w:ascii="Arial" w:hAnsi="Arial" w:cs="Arial"/>
        </w:rPr>
        <w:t>3. results and discussion</w:t>
      </w:r>
    </w:p>
    <w:p w14:paraId="54D36CD2" w14:textId="77777777" w:rsidR="00436792" w:rsidRDefault="002D3215">
      <w:pPr>
        <w:pStyle w:val="Body"/>
        <w:spacing w:after="0"/>
        <w:rPr>
          <w:rFonts w:ascii="Arial" w:hAnsi="Arial" w:cs="Arial"/>
        </w:rPr>
      </w:pPr>
      <w:r>
        <w:rPr>
          <w:rFonts w:ascii="Arial" w:hAnsi="Arial" w:cs="Arial"/>
        </w:rPr>
        <w:t>Table 1 to Table 5 show the results of the pre-test and post-test analyses comparing the control and experimental groups. This section presents the effectiveness of 3D models in teaching volume, using statistical tools to determine significant differences and the impact of the intervention.</w:t>
      </w:r>
    </w:p>
    <w:p w14:paraId="4E02A894" w14:textId="77777777" w:rsidR="00436792" w:rsidRDefault="002D3215">
      <w:pPr>
        <w:pStyle w:val="Body"/>
        <w:spacing w:after="0"/>
        <w:rPr>
          <w:rFonts w:ascii="Arial" w:hAnsi="Arial" w:cs="Arial"/>
        </w:rPr>
      </w:pPr>
      <w:r>
        <w:rPr>
          <w:rFonts w:ascii="Arial" w:hAnsi="Arial" w:cs="Arial"/>
        </w:rPr>
        <w:t xml:space="preserve">Table 1 shows that both groups performed below expectations in the pre-test, with transmuted grades of 66 (control) and 71 (experimental). Despite the experimental group scoring slightly higher, results indicate limited prior understanding of volume. </w:t>
      </w:r>
    </w:p>
    <w:p w14:paraId="570A0C02" w14:textId="77777777" w:rsidR="00436792" w:rsidRDefault="002D3215">
      <w:pPr>
        <w:pStyle w:val="Body"/>
        <w:spacing w:after="0"/>
        <w:rPr>
          <w:rFonts w:ascii="Arial" w:hAnsi="Arial" w:cs="Arial"/>
          <w:b/>
          <w:bCs/>
        </w:rPr>
      </w:pPr>
      <w:r>
        <w:rPr>
          <w:rFonts w:ascii="Arial" w:hAnsi="Arial" w:cs="Arial"/>
          <w:b/>
          <w:bCs/>
        </w:rPr>
        <w:t xml:space="preserve">Table 1. Average pre-test score achievement in finding the volume in the control and </w:t>
      </w:r>
    </w:p>
    <w:p w14:paraId="377B8530" w14:textId="77777777" w:rsidR="00436792" w:rsidRDefault="002D3215">
      <w:pPr>
        <w:pStyle w:val="Body"/>
        <w:spacing w:after="0"/>
        <w:rPr>
          <w:rFonts w:ascii="Arial" w:hAnsi="Arial" w:cs="Arial"/>
          <w:b/>
          <w:bCs/>
        </w:rPr>
      </w:pPr>
      <w:r>
        <w:rPr>
          <w:rFonts w:ascii="Arial" w:hAnsi="Arial" w:cs="Arial"/>
          <w:b/>
          <w:bCs/>
        </w:rPr>
        <w:t>experimental groups</w:t>
      </w:r>
    </w:p>
    <w:tbl>
      <w:tblPr>
        <w:tblStyle w:val="TableGrid"/>
        <w:tblpPr w:leftFromText="180" w:rightFromText="180" w:vertAnchor="text" w:horzAnchor="margin" w:tblpX="120"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870"/>
        <w:gridCol w:w="1273"/>
        <w:gridCol w:w="920"/>
        <w:gridCol w:w="1548"/>
        <w:gridCol w:w="2018"/>
      </w:tblGrid>
      <w:tr w:rsidR="00436792" w14:paraId="4901469C" w14:textId="77777777">
        <w:tc>
          <w:tcPr>
            <w:tcW w:w="1571" w:type="dxa"/>
          </w:tcPr>
          <w:p w14:paraId="18B161D3" w14:textId="77777777" w:rsidR="00436792" w:rsidRDefault="002D3215">
            <w:pPr>
              <w:pStyle w:val="Body"/>
              <w:spacing w:after="0"/>
              <w:rPr>
                <w:rFonts w:ascii="Arial" w:hAnsi="Arial" w:cs="Arial"/>
                <w:b/>
                <w:bCs/>
              </w:rPr>
            </w:pPr>
            <w:r>
              <w:rPr>
                <w:rFonts w:ascii="Arial" w:hAnsi="Arial" w:cs="Arial" w:hint="eastAsia"/>
                <w:b/>
                <w:bCs/>
              </w:rPr>
              <w:t>Group</w:t>
            </w:r>
          </w:p>
        </w:tc>
        <w:tc>
          <w:tcPr>
            <w:tcW w:w="870" w:type="dxa"/>
          </w:tcPr>
          <w:p w14:paraId="680297E4" w14:textId="77777777" w:rsidR="00436792" w:rsidRDefault="002D3215">
            <w:pPr>
              <w:pStyle w:val="Body"/>
              <w:spacing w:after="0"/>
              <w:rPr>
                <w:rFonts w:ascii="Arial" w:hAnsi="Arial" w:cs="Arial"/>
                <w:b/>
                <w:bCs/>
              </w:rPr>
            </w:pPr>
            <w:r>
              <w:rPr>
                <w:rFonts w:ascii="Arial" w:hAnsi="Arial" w:cs="Arial" w:hint="eastAsia"/>
                <w:b/>
                <w:bCs/>
              </w:rPr>
              <w:t>Total Score</w:t>
            </w:r>
          </w:p>
        </w:tc>
        <w:tc>
          <w:tcPr>
            <w:tcW w:w="1273" w:type="dxa"/>
          </w:tcPr>
          <w:p w14:paraId="468A0787" w14:textId="77777777" w:rsidR="00436792" w:rsidRDefault="002D3215">
            <w:pPr>
              <w:pStyle w:val="Body"/>
              <w:spacing w:after="0"/>
              <w:rPr>
                <w:rFonts w:ascii="Arial" w:hAnsi="Arial" w:cs="Arial"/>
                <w:b/>
                <w:bCs/>
              </w:rPr>
            </w:pPr>
            <w:r>
              <w:rPr>
                <w:rFonts w:ascii="Arial" w:hAnsi="Arial" w:cs="Arial" w:hint="eastAsia"/>
                <w:b/>
                <w:bCs/>
              </w:rPr>
              <w:t>Standard Deviation</w:t>
            </w:r>
          </w:p>
        </w:tc>
        <w:tc>
          <w:tcPr>
            <w:tcW w:w="920" w:type="dxa"/>
          </w:tcPr>
          <w:p w14:paraId="384FAFFE" w14:textId="77777777" w:rsidR="00436792" w:rsidRDefault="002D3215">
            <w:pPr>
              <w:pStyle w:val="Body"/>
              <w:spacing w:after="0"/>
              <w:rPr>
                <w:rFonts w:ascii="Arial" w:hAnsi="Arial" w:cs="Arial"/>
                <w:b/>
                <w:bCs/>
              </w:rPr>
            </w:pPr>
            <w:r>
              <w:rPr>
                <w:rFonts w:ascii="Arial" w:hAnsi="Arial" w:cs="Arial" w:hint="eastAsia"/>
                <w:b/>
                <w:bCs/>
              </w:rPr>
              <w:t>Mean</w:t>
            </w:r>
          </w:p>
        </w:tc>
        <w:tc>
          <w:tcPr>
            <w:tcW w:w="1548" w:type="dxa"/>
          </w:tcPr>
          <w:p w14:paraId="641F76F7" w14:textId="77777777" w:rsidR="00436792" w:rsidRDefault="002D3215">
            <w:pPr>
              <w:pStyle w:val="Body"/>
              <w:spacing w:after="0"/>
              <w:rPr>
                <w:rFonts w:ascii="Arial" w:hAnsi="Arial" w:cs="Arial"/>
                <w:b/>
                <w:bCs/>
              </w:rPr>
            </w:pPr>
            <w:r>
              <w:rPr>
                <w:rFonts w:ascii="Arial" w:hAnsi="Arial" w:cs="Arial" w:hint="eastAsia"/>
                <w:b/>
                <w:bCs/>
              </w:rPr>
              <w:t>Transmuted Grade</w:t>
            </w:r>
          </w:p>
        </w:tc>
        <w:tc>
          <w:tcPr>
            <w:tcW w:w="2018" w:type="dxa"/>
          </w:tcPr>
          <w:p w14:paraId="2623DDD0" w14:textId="77777777" w:rsidR="00436792" w:rsidRDefault="002D3215">
            <w:pPr>
              <w:pStyle w:val="Body"/>
              <w:spacing w:after="0"/>
              <w:rPr>
                <w:rFonts w:ascii="Arial" w:hAnsi="Arial" w:cs="Arial"/>
                <w:b/>
                <w:bCs/>
              </w:rPr>
            </w:pPr>
            <w:r>
              <w:rPr>
                <w:rFonts w:ascii="Arial" w:hAnsi="Arial" w:cs="Arial" w:hint="eastAsia"/>
                <w:b/>
                <w:bCs/>
              </w:rPr>
              <w:t>Remarks</w:t>
            </w:r>
          </w:p>
        </w:tc>
      </w:tr>
      <w:tr w:rsidR="00436792" w14:paraId="725F24ED" w14:textId="77777777">
        <w:tc>
          <w:tcPr>
            <w:tcW w:w="1571" w:type="dxa"/>
          </w:tcPr>
          <w:p w14:paraId="50FEA48A" w14:textId="77777777" w:rsidR="00436792" w:rsidRDefault="002D3215">
            <w:pPr>
              <w:pStyle w:val="Body"/>
              <w:spacing w:after="0"/>
              <w:rPr>
                <w:rFonts w:ascii="Arial" w:hAnsi="Arial" w:cs="Arial"/>
              </w:rPr>
            </w:pPr>
            <w:r>
              <w:rPr>
                <w:rFonts w:ascii="Arial" w:hAnsi="Arial" w:cs="Arial" w:hint="eastAsia"/>
              </w:rPr>
              <w:t>Control</w:t>
            </w:r>
          </w:p>
        </w:tc>
        <w:tc>
          <w:tcPr>
            <w:tcW w:w="870" w:type="dxa"/>
          </w:tcPr>
          <w:p w14:paraId="53FB221D" w14:textId="77777777" w:rsidR="00436792" w:rsidRDefault="002D3215">
            <w:pPr>
              <w:pStyle w:val="Body"/>
              <w:spacing w:after="0"/>
              <w:rPr>
                <w:rFonts w:ascii="Arial" w:hAnsi="Arial" w:cs="Arial"/>
              </w:rPr>
            </w:pPr>
            <w:r>
              <w:rPr>
                <w:rFonts w:ascii="Arial" w:hAnsi="Arial" w:cs="Arial" w:hint="eastAsia"/>
              </w:rPr>
              <w:t>25</w:t>
            </w:r>
          </w:p>
        </w:tc>
        <w:tc>
          <w:tcPr>
            <w:tcW w:w="1273" w:type="dxa"/>
          </w:tcPr>
          <w:p w14:paraId="6458A686" w14:textId="77777777" w:rsidR="00436792" w:rsidRDefault="002D3215">
            <w:pPr>
              <w:pStyle w:val="Body"/>
              <w:spacing w:after="0"/>
              <w:rPr>
                <w:rFonts w:ascii="Arial" w:hAnsi="Arial" w:cs="Arial"/>
              </w:rPr>
            </w:pPr>
            <w:r>
              <w:rPr>
                <w:rFonts w:ascii="Arial" w:hAnsi="Arial" w:cs="Arial" w:hint="eastAsia"/>
              </w:rPr>
              <w:t>2.63</w:t>
            </w:r>
          </w:p>
        </w:tc>
        <w:tc>
          <w:tcPr>
            <w:tcW w:w="920" w:type="dxa"/>
          </w:tcPr>
          <w:p w14:paraId="37F9436A" w14:textId="77777777" w:rsidR="00436792" w:rsidRDefault="002D3215">
            <w:pPr>
              <w:pStyle w:val="Body"/>
              <w:spacing w:after="0"/>
              <w:rPr>
                <w:rFonts w:ascii="Arial" w:hAnsi="Arial" w:cs="Arial"/>
              </w:rPr>
            </w:pPr>
            <w:r>
              <w:rPr>
                <w:rFonts w:ascii="Arial" w:hAnsi="Arial" w:cs="Arial" w:hint="eastAsia"/>
              </w:rPr>
              <w:t>6.67</w:t>
            </w:r>
          </w:p>
        </w:tc>
        <w:tc>
          <w:tcPr>
            <w:tcW w:w="1548" w:type="dxa"/>
          </w:tcPr>
          <w:p w14:paraId="709C0016" w14:textId="77777777" w:rsidR="00436792" w:rsidRDefault="002D3215">
            <w:pPr>
              <w:pStyle w:val="Body"/>
              <w:spacing w:after="0"/>
              <w:rPr>
                <w:rFonts w:ascii="Arial" w:hAnsi="Arial" w:cs="Arial"/>
              </w:rPr>
            </w:pPr>
            <w:r>
              <w:rPr>
                <w:rFonts w:ascii="Arial" w:hAnsi="Arial" w:cs="Arial" w:hint="eastAsia"/>
              </w:rPr>
              <w:t>66</w:t>
            </w:r>
          </w:p>
        </w:tc>
        <w:tc>
          <w:tcPr>
            <w:tcW w:w="2018" w:type="dxa"/>
          </w:tcPr>
          <w:p w14:paraId="2BBC503E" w14:textId="77777777" w:rsidR="00436792" w:rsidRDefault="002D3215">
            <w:pPr>
              <w:pStyle w:val="Body"/>
              <w:spacing w:after="0"/>
              <w:rPr>
                <w:rFonts w:ascii="Arial" w:hAnsi="Arial" w:cs="Arial"/>
              </w:rPr>
            </w:pPr>
            <w:r>
              <w:rPr>
                <w:rFonts w:ascii="Arial" w:hAnsi="Arial" w:cs="Arial" w:hint="eastAsia"/>
              </w:rPr>
              <w:t>Did Not Meet Expectations</w:t>
            </w:r>
          </w:p>
        </w:tc>
      </w:tr>
      <w:tr w:rsidR="00436792" w14:paraId="49CB05E0" w14:textId="77777777">
        <w:tc>
          <w:tcPr>
            <w:tcW w:w="1571" w:type="dxa"/>
          </w:tcPr>
          <w:p w14:paraId="47188019" w14:textId="77777777" w:rsidR="00436792" w:rsidRDefault="002D3215">
            <w:pPr>
              <w:pStyle w:val="Body"/>
              <w:spacing w:after="0"/>
              <w:rPr>
                <w:rFonts w:ascii="Arial" w:hAnsi="Arial" w:cs="Arial"/>
              </w:rPr>
            </w:pPr>
            <w:r>
              <w:rPr>
                <w:rFonts w:ascii="Arial" w:hAnsi="Arial" w:cs="Arial" w:hint="eastAsia"/>
              </w:rPr>
              <w:t>Experimental</w:t>
            </w:r>
          </w:p>
        </w:tc>
        <w:tc>
          <w:tcPr>
            <w:tcW w:w="870" w:type="dxa"/>
          </w:tcPr>
          <w:p w14:paraId="11F71D6B" w14:textId="77777777" w:rsidR="00436792" w:rsidRDefault="002D3215">
            <w:pPr>
              <w:pStyle w:val="Body"/>
              <w:spacing w:after="0"/>
              <w:rPr>
                <w:rFonts w:ascii="Arial" w:hAnsi="Arial" w:cs="Arial"/>
              </w:rPr>
            </w:pPr>
            <w:r>
              <w:rPr>
                <w:rFonts w:ascii="Arial" w:hAnsi="Arial" w:cs="Arial" w:hint="eastAsia"/>
              </w:rPr>
              <w:t>25</w:t>
            </w:r>
          </w:p>
        </w:tc>
        <w:tc>
          <w:tcPr>
            <w:tcW w:w="1273" w:type="dxa"/>
          </w:tcPr>
          <w:p w14:paraId="50305FA5" w14:textId="77777777" w:rsidR="00436792" w:rsidRDefault="002D3215">
            <w:pPr>
              <w:pStyle w:val="Body"/>
              <w:spacing w:after="0"/>
              <w:rPr>
                <w:rFonts w:ascii="Arial" w:hAnsi="Arial" w:cs="Arial"/>
              </w:rPr>
            </w:pPr>
            <w:r>
              <w:rPr>
                <w:rFonts w:ascii="Arial" w:hAnsi="Arial" w:cs="Arial" w:hint="eastAsia"/>
              </w:rPr>
              <w:t>3.16</w:t>
            </w:r>
          </w:p>
        </w:tc>
        <w:tc>
          <w:tcPr>
            <w:tcW w:w="920" w:type="dxa"/>
          </w:tcPr>
          <w:p w14:paraId="6AD22B9C" w14:textId="77777777" w:rsidR="00436792" w:rsidRDefault="002D3215">
            <w:pPr>
              <w:pStyle w:val="Body"/>
              <w:spacing w:after="0"/>
              <w:rPr>
                <w:rFonts w:ascii="Arial" w:hAnsi="Arial" w:cs="Arial"/>
              </w:rPr>
            </w:pPr>
            <w:r>
              <w:rPr>
                <w:rFonts w:ascii="Arial" w:hAnsi="Arial" w:cs="Arial" w:hint="eastAsia"/>
              </w:rPr>
              <w:t>11.33</w:t>
            </w:r>
          </w:p>
        </w:tc>
        <w:tc>
          <w:tcPr>
            <w:tcW w:w="1548" w:type="dxa"/>
          </w:tcPr>
          <w:p w14:paraId="1BDFE461" w14:textId="77777777" w:rsidR="00436792" w:rsidRDefault="002D3215">
            <w:pPr>
              <w:pStyle w:val="Body"/>
              <w:spacing w:after="0"/>
              <w:rPr>
                <w:rFonts w:ascii="Arial" w:hAnsi="Arial" w:cs="Arial"/>
              </w:rPr>
            </w:pPr>
            <w:r>
              <w:rPr>
                <w:rFonts w:ascii="Arial" w:hAnsi="Arial" w:cs="Arial" w:hint="eastAsia"/>
              </w:rPr>
              <w:t>71</w:t>
            </w:r>
          </w:p>
        </w:tc>
        <w:tc>
          <w:tcPr>
            <w:tcW w:w="2018" w:type="dxa"/>
          </w:tcPr>
          <w:p w14:paraId="77491582" w14:textId="77777777" w:rsidR="00436792" w:rsidRDefault="002D3215">
            <w:pPr>
              <w:pStyle w:val="Body"/>
              <w:spacing w:after="0"/>
              <w:rPr>
                <w:rFonts w:ascii="Arial" w:hAnsi="Arial" w:cs="Arial"/>
              </w:rPr>
            </w:pPr>
            <w:r>
              <w:rPr>
                <w:rFonts w:ascii="Arial" w:hAnsi="Arial" w:cs="Arial" w:hint="eastAsia"/>
              </w:rPr>
              <w:t>Did Not Meet Expectations</w:t>
            </w:r>
          </w:p>
        </w:tc>
      </w:tr>
    </w:tbl>
    <w:p w14:paraId="0CAD4090" w14:textId="77777777" w:rsidR="00436792" w:rsidRDefault="002D3215">
      <w:pPr>
        <w:pStyle w:val="Body"/>
        <w:spacing w:after="0"/>
        <w:rPr>
          <w:rFonts w:ascii="Arial" w:hAnsi="Arial" w:cs="Arial"/>
        </w:rPr>
      </w:pPr>
      <w:r>
        <w:rPr>
          <w:rFonts w:ascii="Arial" w:hAnsi="Arial" w:cs="Arial"/>
        </w:rPr>
        <w:t>One critical factor contributing to these low scores is the cognitive challenge students face in transitioning from two-dimensional (2D) to three-dimensional (3D) conceptualization. Understanding volume requires the mental integration of length, width, and height—an abstract task that is difficult to achieve without sufficient spatial reasoning skills (DeSutter &amp; Stieff, 2017; Lowrie et al., 2019). The slightly better performance of the experimental group may be explained by incidental or informal exposure to volumetric concepts or inherent differences in spatial visualization abilities (</w:t>
      </w:r>
      <w:proofErr w:type="spellStart"/>
      <w:r>
        <w:rPr>
          <w:rFonts w:ascii="Arial" w:hAnsi="Arial" w:cs="Arial"/>
        </w:rPr>
        <w:t>Boaler</w:t>
      </w:r>
      <w:proofErr w:type="spellEnd"/>
      <w:r>
        <w:rPr>
          <w:rFonts w:ascii="Arial" w:hAnsi="Arial" w:cs="Arial"/>
        </w:rPr>
        <w:t xml:space="preserve"> et al., 2016; Burte et al., 2017). However, both groups’ performance confirms that traditional teaching strategies are insufficient for fostering a robust understanding of volume.</w:t>
      </w:r>
    </w:p>
    <w:p w14:paraId="6D929426" w14:textId="77777777" w:rsidR="00436792" w:rsidRDefault="00436792">
      <w:pPr>
        <w:pStyle w:val="Body"/>
        <w:spacing w:after="0"/>
        <w:rPr>
          <w:rFonts w:ascii="Arial" w:hAnsi="Arial" w:cs="Arial"/>
        </w:rPr>
      </w:pPr>
    </w:p>
    <w:p w14:paraId="2B4A6CB8" w14:textId="77777777" w:rsidR="00436792" w:rsidRDefault="002D3215">
      <w:pPr>
        <w:pStyle w:val="Body"/>
        <w:spacing w:after="0"/>
        <w:rPr>
          <w:rFonts w:ascii="Arial" w:hAnsi="Arial" w:cs="Arial"/>
        </w:rPr>
      </w:pPr>
      <w:r>
        <w:rPr>
          <w:rFonts w:ascii="Arial" w:hAnsi="Arial" w:cs="Arial"/>
        </w:rPr>
        <w:t>Table 2 presents a significant difference in pre-test scores, with the experimental group outperforming the control group (</w:t>
      </w:r>
      <w:proofErr w:type="spellStart"/>
      <w:r>
        <w:rPr>
          <w:rFonts w:ascii="Arial" w:hAnsi="Arial" w:cs="Arial"/>
        </w:rPr>
        <w:t>x̅e</w:t>
      </w:r>
      <w:proofErr w:type="spellEnd"/>
      <w:r>
        <w:rPr>
          <w:rFonts w:ascii="Arial" w:hAnsi="Arial" w:cs="Arial"/>
        </w:rPr>
        <w:t xml:space="preserve"> = 11.33 vs. </w:t>
      </w:r>
      <w:proofErr w:type="spellStart"/>
      <w:r>
        <w:rPr>
          <w:rFonts w:ascii="Arial" w:hAnsi="Arial" w:cs="Arial"/>
        </w:rPr>
        <w:t>x̅c</w:t>
      </w:r>
      <w:proofErr w:type="spellEnd"/>
      <w:r>
        <w:rPr>
          <w:rFonts w:ascii="Arial" w:hAnsi="Arial" w:cs="Arial"/>
        </w:rPr>
        <w:t xml:space="preserve"> = 6.67; p = 0.001). This indicates a prior conceptual advantage for the experimental group, which should be considered when assessing the intervention.</w:t>
      </w:r>
    </w:p>
    <w:p w14:paraId="61398C82" w14:textId="77777777" w:rsidR="00436792" w:rsidRDefault="002D3215">
      <w:pPr>
        <w:pStyle w:val="Body"/>
        <w:spacing w:after="0"/>
        <w:rPr>
          <w:rFonts w:ascii="Arial" w:hAnsi="Arial" w:cs="Arial"/>
          <w:b/>
          <w:bCs/>
        </w:rPr>
      </w:pPr>
      <w:r>
        <w:rPr>
          <w:rFonts w:ascii="Arial" w:hAnsi="Arial" w:cs="Arial"/>
          <w:b/>
          <w:bCs/>
        </w:rPr>
        <w:t>Table 2. Mean comparison between pre-test scores of the control group and experimental group.</w:t>
      </w:r>
    </w:p>
    <w:tbl>
      <w:tblPr>
        <w:tblStyle w:val="TableGrid"/>
        <w:tblpPr w:leftFromText="180" w:rightFromText="180" w:vertAnchor="text" w:horzAnchor="page" w:tblpX="2116" w:tblpY="20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779"/>
        <w:gridCol w:w="1381"/>
        <w:gridCol w:w="804"/>
        <w:gridCol w:w="815"/>
        <w:gridCol w:w="3145"/>
      </w:tblGrid>
      <w:tr w:rsidR="00436792" w14:paraId="44D3E10B" w14:textId="77777777">
        <w:tc>
          <w:tcPr>
            <w:tcW w:w="0" w:type="auto"/>
          </w:tcPr>
          <w:p w14:paraId="77D043DF" w14:textId="77777777" w:rsidR="00436792" w:rsidRDefault="002D3215">
            <w:pPr>
              <w:pStyle w:val="Body"/>
              <w:spacing w:after="0"/>
              <w:rPr>
                <w:rFonts w:ascii="Arial" w:hAnsi="Arial" w:cs="Arial"/>
                <w:b/>
                <w:bCs/>
              </w:rPr>
            </w:pPr>
            <w:r>
              <w:rPr>
                <w:rFonts w:ascii="Arial" w:hAnsi="Arial" w:cs="Arial"/>
                <w:b/>
                <w:bCs/>
              </w:rPr>
              <w:lastRenderedPageBreak/>
              <w:t>Group</w:t>
            </w:r>
          </w:p>
        </w:tc>
        <w:tc>
          <w:tcPr>
            <w:tcW w:w="0" w:type="auto"/>
          </w:tcPr>
          <w:p w14:paraId="0BC8AA64" w14:textId="77777777" w:rsidR="00436792" w:rsidRDefault="002D3215">
            <w:pPr>
              <w:pStyle w:val="Body"/>
              <w:spacing w:after="0"/>
              <w:rPr>
                <w:rFonts w:ascii="Arial" w:hAnsi="Arial" w:cs="Arial"/>
                <w:b/>
                <w:bCs/>
              </w:rPr>
            </w:pPr>
            <w:r>
              <w:rPr>
                <w:rFonts w:ascii="Arial" w:hAnsi="Arial" w:cs="Arial"/>
                <w:b/>
                <w:bCs/>
              </w:rPr>
              <w:t>Mean</w:t>
            </w:r>
          </w:p>
        </w:tc>
        <w:tc>
          <w:tcPr>
            <w:tcW w:w="0" w:type="auto"/>
          </w:tcPr>
          <w:p w14:paraId="2C3D72DB" w14:textId="77777777" w:rsidR="00436792" w:rsidRDefault="002D3215">
            <w:pPr>
              <w:pStyle w:val="Body"/>
              <w:spacing w:after="0"/>
              <w:rPr>
                <w:rFonts w:ascii="Arial" w:hAnsi="Arial" w:cs="Arial"/>
                <w:b/>
                <w:bCs/>
              </w:rPr>
            </w:pPr>
            <w:r>
              <w:rPr>
                <w:rFonts w:ascii="Arial" w:hAnsi="Arial" w:cs="Arial"/>
                <w:b/>
                <w:bCs/>
              </w:rPr>
              <w:t>Standard Deviation</w:t>
            </w:r>
          </w:p>
        </w:tc>
        <w:tc>
          <w:tcPr>
            <w:tcW w:w="0" w:type="auto"/>
          </w:tcPr>
          <w:p w14:paraId="4C6BFBB2" w14:textId="77777777" w:rsidR="00436792" w:rsidRDefault="002D3215">
            <w:pPr>
              <w:pStyle w:val="Body"/>
              <w:spacing w:after="0"/>
              <w:rPr>
                <w:rFonts w:ascii="Arial" w:hAnsi="Arial" w:cs="Arial"/>
                <w:b/>
                <w:bCs/>
              </w:rPr>
            </w:pPr>
            <w:r>
              <w:rPr>
                <w:rFonts w:ascii="Arial" w:hAnsi="Arial" w:cs="Arial"/>
                <w:b/>
                <w:bCs/>
              </w:rPr>
              <w:t>t-value</w:t>
            </w:r>
          </w:p>
        </w:tc>
        <w:tc>
          <w:tcPr>
            <w:tcW w:w="0" w:type="auto"/>
          </w:tcPr>
          <w:p w14:paraId="65A3C815" w14:textId="77777777" w:rsidR="00436792" w:rsidRDefault="002D3215">
            <w:pPr>
              <w:pStyle w:val="Body"/>
              <w:spacing w:after="0"/>
              <w:rPr>
                <w:rFonts w:ascii="Arial" w:hAnsi="Arial" w:cs="Arial"/>
                <w:b/>
                <w:bCs/>
              </w:rPr>
            </w:pPr>
            <w:r>
              <w:rPr>
                <w:rFonts w:ascii="Arial" w:hAnsi="Arial" w:cs="Arial"/>
                <w:b/>
                <w:bCs/>
              </w:rPr>
              <w:t>p-value</w:t>
            </w:r>
          </w:p>
        </w:tc>
        <w:tc>
          <w:tcPr>
            <w:tcW w:w="0" w:type="auto"/>
          </w:tcPr>
          <w:p w14:paraId="573FC776" w14:textId="77777777" w:rsidR="00436792" w:rsidRDefault="002D3215">
            <w:pPr>
              <w:pStyle w:val="Body"/>
              <w:spacing w:after="0"/>
              <w:rPr>
                <w:rFonts w:ascii="Arial" w:hAnsi="Arial" w:cs="Arial"/>
                <w:b/>
                <w:bCs/>
              </w:rPr>
            </w:pPr>
            <w:r>
              <w:rPr>
                <w:rFonts w:ascii="Arial" w:hAnsi="Arial" w:cs="Arial"/>
                <w:b/>
                <w:bCs/>
              </w:rPr>
              <w:t>Interpretation</w:t>
            </w:r>
          </w:p>
        </w:tc>
      </w:tr>
      <w:tr w:rsidR="00436792" w14:paraId="5454EC54" w14:textId="77777777">
        <w:trPr>
          <w:trHeight w:val="935"/>
        </w:trPr>
        <w:tc>
          <w:tcPr>
            <w:tcW w:w="0" w:type="auto"/>
          </w:tcPr>
          <w:p w14:paraId="0F6D4169" w14:textId="77777777" w:rsidR="00436792" w:rsidRDefault="002D3215">
            <w:pPr>
              <w:pStyle w:val="Body"/>
              <w:spacing w:after="0"/>
              <w:rPr>
                <w:rFonts w:ascii="Arial" w:hAnsi="Arial" w:cs="Arial"/>
              </w:rPr>
            </w:pPr>
            <w:r>
              <w:rPr>
                <w:rFonts w:ascii="Arial" w:hAnsi="Arial" w:cs="Arial"/>
              </w:rPr>
              <w:t>Control</w:t>
            </w:r>
          </w:p>
        </w:tc>
        <w:tc>
          <w:tcPr>
            <w:tcW w:w="0" w:type="auto"/>
          </w:tcPr>
          <w:p w14:paraId="6D730786" w14:textId="77777777" w:rsidR="00436792" w:rsidRDefault="002D3215">
            <w:pPr>
              <w:pStyle w:val="Body"/>
              <w:spacing w:after="0"/>
              <w:rPr>
                <w:rFonts w:ascii="Arial" w:hAnsi="Arial" w:cs="Arial"/>
              </w:rPr>
            </w:pPr>
            <w:r>
              <w:rPr>
                <w:rFonts w:ascii="Arial" w:hAnsi="Arial" w:cs="Arial"/>
              </w:rPr>
              <w:t>6.67</w:t>
            </w:r>
          </w:p>
        </w:tc>
        <w:tc>
          <w:tcPr>
            <w:tcW w:w="0" w:type="auto"/>
          </w:tcPr>
          <w:p w14:paraId="70F48A3A" w14:textId="77777777" w:rsidR="00436792" w:rsidRDefault="002D3215">
            <w:pPr>
              <w:pStyle w:val="Body"/>
              <w:spacing w:after="0"/>
              <w:rPr>
                <w:rFonts w:ascii="Arial" w:hAnsi="Arial" w:cs="Arial"/>
              </w:rPr>
            </w:pPr>
            <w:r>
              <w:rPr>
                <w:rFonts w:ascii="Arial" w:hAnsi="Arial" w:cs="Arial"/>
              </w:rPr>
              <w:t>2.63</w:t>
            </w:r>
          </w:p>
        </w:tc>
        <w:tc>
          <w:tcPr>
            <w:tcW w:w="0" w:type="auto"/>
            <w:vMerge w:val="restart"/>
          </w:tcPr>
          <w:p w14:paraId="7067B825" w14:textId="77777777" w:rsidR="00436792" w:rsidRDefault="002D3215">
            <w:pPr>
              <w:pStyle w:val="Body"/>
              <w:spacing w:after="0"/>
              <w:rPr>
                <w:rFonts w:ascii="Arial" w:hAnsi="Arial" w:cs="Arial"/>
              </w:rPr>
            </w:pPr>
            <m:oMathPara>
              <m:oMath>
                <m:r>
                  <m:rPr>
                    <m:sty m:val="p"/>
                  </m:rPr>
                  <w:rPr>
                    <w:rFonts w:ascii="Cambria Math" w:hAnsi="Cambria Math" w:cs="Arial"/>
                  </w:rPr>
                  <m:t>6.222</m:t>
                </m:r>
              </m:oMath>
            </m:oMathPara>
          </w:p>
        </w:tc>
        <w:tc>
          <w:tcPr>
            <w:tcW w:w="0" w:type="auto"/>
            <w:vMerge w:val="restart"/>
          </w:tcPr>
          <w:p w14:paraId="561064FE" w14:textId="77777777" w:rsidR="00436792" w:rsidRDefault="002D3215">
            <w:pPr>
              <w:pStyle w:val="Body"/>
              <w:spacing w:after="0"/>
              <w:rPr>
                <w:rFonts w:ascii="Arial" w:hAnsi="Arial" w:cs="Arial"/>
              </w:rPr>
            </w:pPr>
            <w:r>
              <w:rPr>
                <w:rFonts w:ascii="Arial" w:hAnsi="Arial" w:cs="Arial"/>
              </w:rPr>
              <w:t>0.001</w:t>
            </w:r>
          </w:p>
        </w:tc>
        <w:tc>
          <w:tcPr>
            <w:tcW w:w="0" w:type="auto"/>
            <w:vMerge w:val="restart"/>
          </w:tcPr>
          <w:p w14:paraId="4DFF405C" w14:textId="77777777" w:rsidR="00436792" w:rsidRDefault="002D3215">
            <w:pPr>
              <w:pStyle w:val="Body"/>
              <w:spacing w:after="0"/>
              <w:rPr>
                <w:rFonts w:ascii="Arial" w:hAnsi="Arial" w:cs="Arial"/>
              </w:rPr>
            </w:pPr>
            <w:r>
              <w:rPr>
                <w:rFonts w:ascii="Arial" w:hAnsi="Arial" w:cs="Arial"/>
              </w:rPr>
              <w:t>There is significant difference on the average pre-test score between the experimental and control group.</w:t>
            </w:r>
          </w:p>
        </w:tc>
      </w:tr>
      <w:tr w:rsidR="00436792" w14:paraId="4DF13A99" w14:textId="77777777">
        <w:tc>
          <w:tcPr>
            <w:tcW w:w="0" w:type="auto"/>
          </w:tcPr>
          <w:p w14:paraId="58FB235D" w14:textId="77777777" w:rsidR="00436792" w:rsidRDefault="002D3215">
            <w:pPr>
              <w:pStyle w:val="Body"/>
              <w:spacing w:after="0"/>
              <w:rPr>
                <w:rFonts w:ascii="Arial" w:hAnsi="Arial" w:cs="Arial"/>
              </w:rPr>
            </w:pPr>
            <w:r>
              <w:rPr>
                <w:rFonts w:ascii="Arial" w:hAnsi="Arial" w:cs="Arial"/>
              </w:rPr>
              <w:t>Experimental</w:t>
            </w:r>
          </w:p>
        </w:tc>
        <w:tc>
          <w:tcPr>
            <w:tcW w:w="0" w:type="auto"/>
          </w:tcPr>
          <w:p w14:paraId="35888040" w14:textId="77777777" w:rsidR="00436792" w:rsidRDefault="002D3215">
            <w:pPr>
              <w:pStyle w:val="Body"/>
              <w:spacing w:after="0"/>
              <w:rPr>
                <w:rFonts w:ascii="Arial" w:hAnsi="Arial" w:cs="Arial"/>
              </w:rPr>
            </w:pPr>
            <w:r>
              <w:rPr>
                <w:rFonts w:ascii="Arial" w:hAnsi="Arial" w:cs="Arial"/>
              </w:rPr>
              <w:t>11.33</w:t>
            </w:r>
          </w:p>
        </w:tc>
        <w:tc>
          <w:tcPr>
            <w:tcW w:w="0" w:type="auto"/>
          </w:tcPr>
          <w:p w14:paraId="50ACEC71" w14:textId="77777777" w:rsidR="00436792" w:rsidRDefault="002D3215">
            <w:pPr>
              <w:pStyle w:val="Body"/>
              <w:spacing w:after="0"/>
              <w:rPr>
                <w:rFonts w:ascii="Arial" w:hAnsi="Arial" w:cs="Arial"/>
              </w:rPr>
            </w:pPr>
            <w:r>
              <w:rPr>
                <w:rFonts w:ascii="Arial" w:hAnsi="Arial" w:cs="Arial"/>
              </w:rPr>
              <w:t>3.16</w:t>
            </w:r>
          </w:p>
        </w:tc>
        <w:tc>
          <w:tcPr>
            <w:tcW w:w="0" w:type="auto"/>
            <w:vMerge/>
          </w:tcPr>
          <w:p w14:paraId="14F7990C" w14:textId="77777777" w:rsidR="00436792" w:rsidRDefault="00436792">
            <w:pPr>
              <w:pStyle w:val="Body"/>
              <w:spacing w:after="0"/>
              <w:rPr>
                <w:rFonts w:ascii="Arial" w:hAnsi="Arial" w:cs="Arial"/>
              </w:rPr>
            </w:pPr>
          </w:p>
        </w:tc>
        <w:tc>
          <w:tcPr>
            <w:tcW w:w="0" w:type="auto"/>
            <w:vMerge/>
          </w:tcPr>
          <w:p w14:paraId="79B72DB5" w14:textId="77777777" w:rsidR="00436792" w:rsidRDefault="00436792">
            <w:pPr>
              <w:pStyle w:val="Body"/>
              <w:spacing w:after="0"/>
              <w:rPr>
                <w:rFonts w:ascii="Arial" w:hAnsi="Arial" w:cs="Arial"/>
              </w:rPr>
            </w:pPr>
          </w:p>
        </w:tc>
        <w:tc>
          <w:tcPr>
            <w:tcW w:w="0" w:type="auto"/>
            <w:vMerge/>
          </w:tcPr>
          <w:p w14:paraId="03617C7B" w14:textId="77777777" w:rsidR="00436792" w:rsidRDefault="00436792">
            <w:pPr>
              <w:pStyle w:val="Body"/>
              <w:spacing w:after="0"/>
              <w:rPr>
                <w:rFonts w:ascii="Arial" w:hAnsi="Arial" w:cs="Arial"/>
              </w:rPr>
            </w:pPr>
          </w:p>
        </w:tc>
      </w:tr>
    </w:tbl>
    <w:p w14:paraId="3A61D719" w14:textId="77777777" w:rsidR="00436792" w:rsidRDefault="002D3215">
      <w:pPr>
        <w:pStyle w:val="Body"/>
        <w:spacing w:after="0"/>
        <w:rPr>
          <w:rFonts w:ascii="Arial" w:hAnsi="Arial" w:cs="Arial"/>
        </w:rPr>
      </w:pPr>
      <w:r>
        <w:rPr>
          <w:rFonts w:ascii="Arial" w:hAnsi="Arial" w:cs="Arial"/>
        </w:rPr>
        <w:t xml:space="preserve">The statistically significant pre-test advantage of the experimental group demands deeper interpretation beyond surface-level performance. This disparity likely reflects differences in students' prior exposure to spatial learning or informal experiences with three-dimensional thinking. </w:t>
      </w:r>
      <w:proofErr w:type="spellStart"/>
      <w:r>
        <w:rPr>
          <w:rFonts w:ascii="Arial" w:hAnsi="Arial" w:cs="Arial"/>
        </w:rPr>
        <w:t>Boaler</w:t>
      </w:r>
      <w:proofErr w:type="spellEnd"/>
      <w:r>
        <w:rPr>
          <w:rFonts w:ascii="Arial" w:hAnsi="Arial" w:cs="Arial"/>
        </w:rPr>
        <w:t xml:space="preserve"> et al. (2016) suggest that students who engage more frequently in spatial tasks tend to exhibit stronger conceptual foundations in volume-related topics. Complementing this, Lowrie et al. (2019) highlight how spatial visualization skills are not uniformly developed among learners, which can directly influence their initial readiness to understand volumetric concepts. Hence, what appears to be a numerical advantage in the experimental group may stem from pre-existing cognitive advantages rather than the early impact of the intervention itself.</w:t>
      </w:r>
    </w:p>
    <w:p w14:paraId="5685B9EA" w14:textId="77777777" w:rsidR="00436792" w:rsidRDefault="00436792">
      <w:pPr>
        <w:pStyle w:val="Body"/>
        <w:spacing w:after="0"/>
        <w:rPr>
          <w:rFonts w:ascii="Arial" w:hAnsi="Arial" w:cs="Arial"/>
        </w:rPr>
      </w:pPr>
    </w:p>
    <w:p w14:paraId="633A2C0F" w14:textId="63D13532" w:rsidR="00436792" w:rsidRDefault="002D3215">
      <w:pPr>
        <w:pStyle w:val="Body"/>
        <w:spacing w:after="0"/>
        <w:rPr>
          <w:rFonts w:ascii="Arial" w:hAnsi="Arial" w:cs="Arial"/>
        </w:rPr>
      </w:pPr>
      <w:r>
        <w:rPr>
          <w:rFonts w:ascii="Arial" w:hAnsi="Arial" w:cs="Arial"/>
        </w:rPr>
        <w:t>Table 3 indicates that the experimental group (</w:t>
      </w:r>
      <w:proofErr w:type="spellStart"/>
      <w:r>
        <w:rPr>
          <w:rFonts w:ascii="Arial" w:hAnsi="Arial" w:cs="Arial"/>
        </w:rPr>
        <w:t>x̅e</w:t>
      </w:r>
      <w:proofErr w:type="spellEnd"/>
      <w:r>
        <w:rPr>
          <w:rFonts w:ascii="Arial" w:hAnsi="Arial" w:cs="Arial"/>
        </w:rPr>
        <w:t xml:space="preserve"> = 21.17) outperformed the control group (</w:t>
      </w:r>
      <w:proofErr w:type="spellStart"/>
      <w:r>
        <w:rPr>
          <w:rFonts w:ascii="Arial" w:hAnsi="Arial" w:cs="Arial"/>
        </w:rPr>
        <w:t>x̅c</w:t>
      </w:r>
      <w:proofErr w:type="spellEnd"/>
      <w:r>
        <w:rPr>
          <w:rFonts w:ascii="Arial" w:hAnsi="Arial" w:cs="Arial"/>
        </w:rPr>
        <w:t xml:space="preserve"> = 13.60) in the post-test. The results </w:t>
      </w:r>
      <w:proofErr w:type="spellStart"/>
      <w:r>
        <w:rPr>
          <w:rFonts w:ascii="Arial" w:hAnsi="Arial" w:cs="Arial"/>
        </w:rPr>
        <w:t>indicateTable</w:t>
      </w:r>
      <w:proofErr w:type="spellEnd"/>
      <w:r>
        <w:rPr>
          <w:rFonts w:ascii="Arial" w:hAnsi="Arial" w:cs="Arial"/>
        </w:rPr>
        <w:t xml:space="preserve"> </w:t>
      </w:r>
      <w:r w:rsidR="00EE537C">
        <w:rPr>
          <w:rFonts w:ascii="Arial" w:hAnsi="Arial" w:cs="Arial"/>
        </w:rPr>
        <w:t>6</w:t>
      </w:r>
      <w:r>
        <w:rPr>
          <w:rFonts w:ascii="Arial" w:hAnsi="Arial" w:cs="Arial"/>
        </w:rPr>
        <w:t xml:space="preserve"> presents the change score analysis, addressing the initial performance gap between groups. The experimental group showed greater improvement from pre-test to post-test than the control group. improved understanding of volume in the experimental group, while the control group showed limited progress.</w:t>
      </w:r>
    </w:p>
    <w:p w14:paraId="49B9246C" w14:textId="77777777" w:rsidR="00436792" w:rsidRDefault="002D3215">
      <w:pPr>
        <w:pStyle w:val="Body"/>
        <w:spacing w:after="0"/>
        <w:rPr>
          <w:rFonts w:ascii="Arial" w:hAnsi="Arial" w:cs="Arial"/>
          <w:b/>
          <w:bCs/>
        </w:rPr>
      </w:pPr>
      <w:r>
        <w:rPr>
          <w:rFonts w:ascii="Arial" w:hAnsi="Arial" w:cs="Arial"/>
          <w:b/>
          <w:bCs/>
        </w:rPr>
        <w:t>Table 3. Average post-test scores of the control and experimental group</w:t>
      </w:r>
    </w:p>
    <w:tbl>
      <w:tblPr>
        <w:tblStyle w:val="TableGrid"/>
        <w:tblpPr w:leftFromText="180" w:rightFromText="180" w:vertAnchor="text" w:horzAnchor="page" w:tblpX="2128" w:tblpY="12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031"/>
        <w:gridCol w:w="1577"/>
        <w:gridCol w:w="728"/>
        <w:gridCol w:w="1666"/>
        <w:gridCol w:w="1971"/>
      </w:tblGrid>
      <w:tr w:rsidR="00436792" w14:paraId="2B559ED6" w14:textId="77777777">
        <w:trPr>
          <w:trHeight w:val="506"/>
        </w:trPr>
        <w:tc>
          <w:tcPr>
            <w:tcW w:w="1451" w:type="dxa"/>
            <w:vAlign w:val="center"/>
          </w:tcPr>
          <w:p w14:paraId="5EB72F6E" w14:textId="77777777" w:rsidR="00436792" w:rsidRDefault="002D3215">
            <w:pPr>
              <w:spacing w:after="160"/>
              <w:contextualSpacing/>
              <w:jc w:val="center"/>
              <w:rPr>
                <w:rFonts w:ascii="Arial" w:eastAsia="Aptos" w:hAnsi="Arial" w:cs="Arial"/>
                <w:b/>
                <w:bCs/>
                <w:kern w:val="2"/>
                <w:sz w:val="20"/>
                <w:szCs w:val="20"/>
                <w14:ligatures w14:val="standardContextual"/>
              </w:rPr>
            </w:pPr>
            <w:r>
              <w:rPr>
                <w:rFonts w:ascii="Arial" w:eastAsia="Aptos" w:hAnsi="Arial" w:cs="Arial" w:hint="eastAsia"/>
                <w:b/>
                <w:bCs/>
                <w:kern w:val="2"/>
                <w:sz w:val="20"/>
                <w:szCs w:val="20"/>
                <w14:ligatures w14:val="standardContextual"/>
              </w:rPr>
              <w:t>Group</w:t>
            </w:r>
          </w:p>
        </w:tc>
        <w:tc>
          <w:tcPr>
            <w:tcW w:w="1031" w:type="dxa"/>
            <w:vAlign w:val="center"/>
          </w:tcPr>
          <w:p w14:paraId="34A373E4" w14:textId="77777777" w:rsidR="00436792" w:rsidRDefault="002D3215">
            <w:pPr>
              <w:spacing w:after="160"/>
              <w:contextualSpacing/>
              <w:jc w:val="center"/>
              <w:rPr>
                <w:rFonts w:ascii="Arial" w:eastAsia="Aptos" w:hAnsi="Arial" w:cs="Arial"/>
                <w:b/>
                <w:bCs/>
                <w:kern w:val="2"/>
                <w:sz w:val="20"/>
                <w:szCs w:val="20"/>
                <w14:ligatures w14:val="standardContextual"/>
              </w:rPr>
            </w:pPr>
            <w:r>
              <w:rPr>
                <w:rFonts w:ascii="Arial" w:eastAsia="Aptos" w:hAnsi="Arial" w:cs="Arial" w:hint="eastAsia"/>
                <w:b/>
                <w:bCs/>
                <w:kern w:val="2"/>
                <w:sz w:val="20"/>
                <w:szCs w:val="20"/>
                <w14:ligatures w14:val="standardContextual"/>
              </w:rPr>
              <w:t>Total Score</w:t>
            </w:r>
          </w:p>
        </w:tc>
        <w:tc>
          <w:tcPr>
            <w:tcW w:w="1577" w:type="dxa"/>
            <w:vAlign w:val="center"/>
          </w:tcPr>
          <w:p w14:paraId="7DA1BF00" w14:textId="77777777" w:rsidR="00436792" w:rsidRDefault="002D3215">
            <w:pPr>
              <w:spacing w:after="160"/>
              <w:contextualSpacing/>
              <w:jc w:val="center"/>
              <w:rPr>
                <w:rFonts w:ascii="Arial" w:eastAsia="Aptos" w:hAnsi="Arial" w:cs="Arial"/>
                <w:b/>
                <w:bCs/>
                <w:kern w:val="2"/>
                <w:sz w:val="20"/>
                <w:szCs w:val="20"/>
                <w14:ligatures w14:val="standardContextual"/>
              </w:rPr>
            </w:pPr>
            <w:r>
              <w:rPr>
                <w:rFonts w:ascii="Arial" w:eastAsia="Aptos" w:hAnsi="Arial" w:cs="Arial" w:hint="eastAsia"/>
                <w:b/>
                <w:bCs/>
                <w:kern w:val="2"/>
                <w:sz w:val="20"/>
                <w:szCs w:val="20"/>
                <w14:ligatures w14:val="standardContextual"/>
              </w:rPr>
              <w:t>Standard Deviation</w:t>
            </w:r>
          </w:p>
        </w:tc>
        <w:tc>
          <w:tcPr>
            <w:tcW w:w="728" w:type="dxa"/>
            <w:vAlign w:val="center"/>
          </w:tcPr>
          <w:p w14:paraId="412966A6" w14:textId="77777777" w:rsidR="00436792" w:rsidRDefault="002D3215">
            <w:pPr>
              <w:spacing w:after="160"/>
              <w:contextualSpacing/>
              <w:jc w:val="center"/>
              <w:rPr>
                <w:rFonts w:ascii="Arial" w:eastAsia="Aptos" w:hAnsi="Arial" w:cs="Arial"/>
                <w:b/>
                <w:bCs/>
                <w:kern w:val="2"/>
                <w:sz w:val="20"/>
                <w:szCs w:val="20"/>
                <w14:ligatures w14:val="standardContextual"/>
              </w:rPr>
            </w:pPr>
            <w:r>
              <w:rPr>
                <w:rFonts w:ascii="Arial" w:eastAsia="Aptos" w:hAnsi="Arial" w:cs="Arial" w:hint="eastAsia"/>
                <w:b/>
                <w:bCs/>
                <w:kern w:val="2"/>
                <w:sz w:val="20"/>
                <w:szCs w:val="20"/>
                <w14:ligatures w14:val="standardContextual"/>
              </w:rPr>
              <w:t>Mean</w:t>
            </w:r>
          </w:p>
        </w:tc>
        <w:tc>
          <w:tcPr>
            <w:tcW w:w="1666" w:type="dxa"/>
            <w:vAlign w:val="center"/>
          </w:tcPr>
          <w:p w14:paraId="6C53CDB0" w14:textId="77777777" w:rsidR="00436792" w:rsidRDefault="002D3215">
            <w:pPr>
              <w:spacing w:after="160"/>
              <w:contextualSpacing/>
              <w:jc w:val="center"/>
              <w:rPr>
                <w:rFonts w:ascii="Arial" w:eastAsia="Aptos" w:hAnsi="Arial" w:cs="Arial"/>
                <w:b/>
                <w:bCs/>
                <w:kern w:val="2"/>
                <w:sz w:val="20"/>
                <w:szCs w:val="20"/>
                <w14:ligatures w14:val="standardContextual"/>
              </w:rPr>
            </w:pPr>
            <w:r>
              <w:rPr>
                <w:rFonts w:ascii="Arial" w:eastAsia="Aptos" w:hAnsi="Arial" w:cs="Arial" w:hint="eastAsia"/>
                <w:b/>
                <w:bCs/>
                <w:kern w:val="2"/>
                <w:sz w:val="20"/>
                <w:szCs w:val="20"/>
                <w14:ligatures w14:val="standardContextual"/>
              </w:rPr>
              <w:t>Transmuted Grade</w:t>
            </w:r>
          </w:p>
        </w:tc>
        <w:tc>
          <w:tcPr>
            <w:tcW w:w="1971" w:type="dxa"/>
            <w:vAlign w:val="center"/>
          </w:tcPr>
          <w:p w14:paraId="6606BB8B" w14:textId="77777777" w:rsidR="00436792" w:rsidRDefault="002D3215">
            <w:pPr>
              <w:spacing w:after="160"/>
              <w:contextualSpacing/>
              <w:jc w:val="center"/>
              <w:rPr>
                <w:rFonts w:ascii="Arial" w:eastAsia="Aptos" w:hAnsi="Arial" w:cs="Arial"/>
                <w:b/>
                <w:bCs/>
                <w:kern w:val="2"/>
                <w:sz w:val="20"/>
                <w:szCs w:val="20"/>
                <w14:ligatures w14:val="standardContextual"/>
              </w:rPr>
            </w:pPr>
            <w:r>
              <w:rPr>
                <w:rFonts w:ascii="Arial" w:eastAsia="Aptos" w:hAnsi="Arial" w:cs="Arial" w:hint="eastAsia"/>
                <w:b/>
                <w:bCs/>
                <w:kern w:val="2"/>
                <w:sz w:val="20"/>
                <w:szCs w:val="20"/>
                <w14:ligatures w14:val="standardContextual"/>
              </w:rPr>
              <w:t>Remarks</w:t>
            </w:r>
          </w:p>
        </w:tc>
      </w:tr>
      <w:tr w:rsidR="00436792" w14:paraId="21BD21ED" w14:textId="77777777">
        <w:trPr>
          <w:trHeight w:val="672"/>
        </w:trPr>
        <w:tc>
          <w:tcPr>
            <w:tcW w:w="1451" w:type="dxa"/>
            <w:vAlign w:val="center"/>
          </w:tcPr>
          <w:p w14:paraId="0EBB3B55" w14:textId="77777777" w:rsidR="00436792" w:rsidRDefault="002D3215">
            <w:pPr>
              <w:spacing w:after="160"/>
              <w:contextualSpacing/>
              <w:rPr>
                <w:rFonts w:ascii="Arial" w:eastAsia="Aptos" w:hAnsi="Arial" w:cs="Arial"/>
                <w:kern w:val="2"/>
                <w:sz w:val="20"/>
                <w:szCs w:val="20"/>
                <w14:ligatures w14:val="standardContextual"/>
              </w:rPr>
            </w:pPr>
            <w:r>
              <w:rPr>
                <w:rFonts w:ascii="Arial" w:eastAsia="Aptos" w:hAnsi="Arial" w:cs="Arial" w:hint="eastAsia"/>
                <w:kern w:val="2"/>
                <w:sz w:val="20"/>
                <w:szCs w:val="20"/>
                <w14:ligatures w14:val="standardContextual"/>
              </w:rPr>
              <w:t>Control</w:t>
            </w:r>
          </w:p>
        </w:tc>
        <w:tc>
          <w:tcPr>
            <w:tcW w:w="1031" w:type="dxa"/>
            <w:vAlign w:val="center"/>
          </w:tcPr>
          <w:p w14:paraId="3FDFD936" w14:textId="77777777" w:rsidR="00436792" w:rsidRDefault="002D3215">
            <w:pPr>
              <w:spacing w:after="160"/>
              <w:contextualSpacing/>
              <w:jc w:val="center"/>
              <w:rPr>
                <w:rFonts w:ascii="Arial" w:eastAsia="Aptos" w:hAnsi="Arial" w:cs="Arial"/>
                <w:kern w:val="2"/>
                <w:sz w:val="20"/>
                <w:szCs w:val="20"/>
                <w14:ligatures w14:val="standardContextual"/>
              </w:rPr>
            </w:pPr>
            <w:r>
              <w:rPr>
                <w:rFonts w:ascii="Arial" w:eastAsia="Aptos" w:hAnsi="Arial" w:cs="Arial" w:hint="eastAsia"/>
                <w:kern w:val="2"/>
                <w:sz w:val="20"/>
                <w:szCs w:val="20"/>
                <w14:ligatures w14:val="standardContextual"/>
              </w:rPr>
              <w:t>25</w:t>
            </w:r>
          </w:p>
        </w:tc>
        <w:tc>
          <w:tcPr>
            <w:tcW w:w="1577" w:type="dxa"/>
            <w:vAlign w:val="center"/>
          </w:tcPr>
          <w:p w14:paraId="099CC257" w14:textId="77777777" w:rsidR="00436792" w:rsidRDefault="002D3215">
            <w:pPr>
              <w:spacing w:after="160"/>
              <w:contextualSpacing/>
              <w:jc w:val="center"/>
              <w:rPr>
                <w:rFonts w:ascii="Arial" w:eastAsia="Aptos" w:hAnsi="Arial" w:cs="Arial"/>
                <w:kern w:val="2"/>
                <w:sz w:val="20"/>
                <w:szCs w:val="20"/>
                <w14:ligatures w14:val="standardContextual"/>
              </w:rPr>
            </w:pPr>
            <w:r>
              <w:rPr>
                <w:rFonts w:ascii="Arial" w:eastAsia="Aptos" w:hAnsi="Arial" w:cs="Arial" w:hint="eastAsia"/>
                <w:kern w:val="2"/>
                <w:sz w:val="20"/>
                <w:szCs w:val="20"/>
                <w14:ligatures w14:val="standardContextual"/>
              </w:rPr>
              <w:t>2.92</w:t>
            </w:r>
          </w:p>
        </w:tc>
        <w:tc>
          <w:tcPr>
            <w:tcW w:w="728" w:type="dxa"/>
            <w:vAlign w:val="center"/>
          </w:tcPr>
          <w:p w14:paraId="5DD82F4A" w14:textId="77777777" w:rsidR="00436792" w:rsidRDefault="002D3215">
            <w:pPr>
              <w:spacing w:after="160"/>
              <w:contextualSpacing/>
              <w:jc w:val="center"/>
              <w:rPr>
                <w:rFonts w:ascii="Arial" w:eastAsia="Aptos" w:hAnsi="Arial" w:cs="Arial"/>
                <w:kern w:val="2"/>
                <w:sz w:val="20"/>
                <w:szCs w:val="20"/>
                <w14:ligatures w14:val="standardContextual"/>
              </w:rPr>
            </w:pPr>
            <w:r>
              <w:rPr>
                <w:rFonts w:ascii="Arial" w:eastAsia="Aptos" w:hAnsi="Arial" w:cs="Arial" w:hint="eastAsia"/>
                <w:kern w:val="2"/>
                <w:sz w:val="20"/>
                <w:szCs w:val="20"/>
                <w14:ligatures w14:val="standardContextual"/>
              </w:rPr>
              <w:t>13.60</w:t>
            </w:r>
          </w:p>
        </w:tc>
        <w:tc>
          <w:tcPr>
            <w:tcW w:w="1666" w:type="dxa"/>
            <w:vAlign w:val="center"/>
          </w:tcPr>
          <w:p w14:paraId="499AFFC0" w14:textId="77777777" w:rsidR="00436792" w:rsidRDefault="002D3215">
            <w:pPr>
              <w:spacing w:after="160"/>
              <w:contextualSpacing/>
              <w:jc w:val="center"/>
              <w:rPr>
                <w:rFonts w:ascii="Arial" w:eastAsia="Aptos" w:hAnsi="Arial" w:cs="Arial"/>
                <w:kern w:val="2"/>
                <w:sz w:val="20"/>
                <w:szCs w:val="20"/>
                <w14:ligatures w14:val="standardContextual"/>
              </w:rPr>
            </w:pPr>
            <w:r>
              <w:rPr>
                <w:rFonts w:ascii="Arial" w:eastAsia="Aptos" w:hAnsi="Arial" w:cs="Arial" w:hint="eastAsia"/>
                <w:kern w:val="2"/>
                <w:sz w:val="20"/>
                <w:szCs w:val="20"/>
                <w14:ligatures w14:val="standardContextual"/>
              </w:rPr>
              <w:t>73</w:t>
            </w:r>
          </w:p>
        </w:tc>
        <w:tc>
          <w:tcPr>
            <w:tcW w:w="1971" w:type="dxa"/>
            <w:vAlign w:val="center"/>
          </w:tcPr>
          <w:p w14:paraId="5A5248BB" w14:textId="77777777" w:rsidR="00436792" w:rsidRDefault="002D3215">
            <w:pPr>
              <w:spacing w:after="160"/>
              <w:contextualSpacing/>
              <w:rPr>
                <w:rFonts w:ascii="Arial" w:eastAsia="Aptos" w:hAnsi="Arial" w:cs="Arial"/>
                <w:kern w:val="2"/>
                <w:sz w:val="20"/>
                <w:szCs w:val="20"/>
                <w14:ligatures w14:val="standardContextual"/>
              </w:rPr>
            </w:pPr>
            <w:r>
              <w:rPr>
                <w:rFonts w:ascii="Arial" w:eastAsia="Aptos" w:hAnsi="Arial" w:cs="Arial" w:hint="eastAsia"/>
                <w:kern w:val="2"/>
                <w:sz w:val="20"/>
                <w:szCs w:val="20"/>
                <w14:ligatures w14:val="standardContextual"/>
              </w:rPr>
              <w:t>Did Not Meet Expectations</w:t>
            </w:r>
          </w:p>
        </w:tc>
      </w:tr>
      <w:tr w:rsidR="00436792" w14:paraId="6136A8CF" w14:textId="77777777">
        <w:trPr>
          <w:trHeight w:val="634"/>
        </w:trPr>
        <w:tc>
          <w:tcPr>
            <w:tcW w:w="1451" w:type="dxa"/>
            <w:vAlign w:val="center"/>
          </w:tcPr>
          <w:p w14:paraId="6FCB3B77" w14:textId="77777777" w:rsidR="00436792" w:rsidRDefault="002D3215">
            <w:pPr>
              <w:spacing w:after="160"/>
              <w:contextualSpacing/>
              <w:rPr>
                <w:rFonts w:ascii="Arial" w:eastAsia="Aptos" w:hAnsi="Arial" w:cs="Arial"/>
                <w:kern w:val="2"/>
                <w:sz w:val="20"/>
                <w:szCs w:val="20"/>
                <w14:ligatures w14:val="standardContextual"/>
              </w:rPr>
            </w:pPr>
            <w:r>
              <w:rPr>
                <w:rFonts w:ascii="Arial" w:eastAsia="Aptos" w:hAnsi="Arial" w:cs="Arial" w:hint="eastAsia"/>
                <w:kern w:val="2"/>
                <w:sz w:val="20"/>
                <w:szCs w:val="20"/>
                <w14:ligatures w14:val="standardContextual"/>
              </w:rPr>
              <w:t>Experimental</w:t>
            </w:r>
          </w:p>
        </w:tc>
        <w:tc>
          <w:tcPr>
            <w:tcW w:w="1031" w:type="dxa"/>
            <w:vAlign w:val="center"/>
          </w:tcPr>
          <w:p w14:paraId="62B5312D" w14:textId="77777777" w:rsidR="00436792" w:rsidRDefault="002D3215">
            <w:pPr>
              <w:spacing w:after="160"/>
              <w:contextualSpacing/>
              <w:jc w:val="center"/>
              <w:rPr>
                <w:rFonts w:ascii="Arial" w:eastAsia="Aptos" w:hAnsi="Arial" w:cs="Arial"/>
                <w:kern w:val="2"/>
                <w:sz w:val="20"/>
                <w:szCs w:val="20"/>
                <w14:ligatures w14:val="standardContextual"/>
              </w:rPr>
            </w:pPr>
            <w:r>
              <w:rPr>
                <w:rFonts w:ascii="Arial" w:eastAsia="Aptos" w:hAnsi="Arial" w:cs="Arial" w:hint="eastAsia"/>
                <w:kern w:val="2"/>
                <w:sz w:val="20"/>
                <w:szCs w:val="20"/>
                <w14:ligatures w14:val="standardContextual"/>
              </w:rPr>
              <w:t>25</w:t>
            </w:r>
          </w:p>
        </w:tc>
        <w:tc>
          <w:tcPr>
            <w:tcW w:w="1577" w:type="dxa"/>
            <w:vAlign w:val="center"/>
          </w:tcPr>
          <w:p w14:paraId="5C2C693B" w14:textId="77777777" w:rsidR="00436792" w:rsidRDefault="002D3215">
            <w:pPr>
              <w:spacing w:after="160"/>
              <w:contextualSpacing/>
              <w:jc w:val="center"/>
              <w:rPr>
                <w:rFonts w:ascii="Arial" w:eastAsia="Aptos" w:hAnsi="Arial" w:cs="Arial"/>
                <w:kern w:val="2"/>
                <w:sz w:val="20"/>
                <w:szCs w:val="20"/>
                <w14:ligatures w14:val="standardContextual"/>
              </w:rPr>
            </w:pPr>
            <w:r>
              <w:rPr>
                <w:rFonts w:ascii="Arial" w:eastAsia="Aptos" w:hAnsi="Arial" w:cs="Arial" w:hint="eastAsia"/>
                <w:kern w:val="2"/>
                <w:sz w:val="20"/>
                <w:szCs w:val="20"/>
                <w14:ligatures w14:val="standardContextual"/>
              </w:rPr>
              <w:t>4.06</w:t>
            </w:r>
          </w:p>
        </w:tc>
        <w:tc>
          <w:tcPr>
            <w:tcW w:w="728" w:type="dxa"/>
            <w:vAlign w:val="center"/>
          </w:tcPr>
          <w:p w14:paraId="2ECDED21" w14:textId="77777777" w:rsidR="00436792" w:rsidRDefault="002D3215">
            <w:pPr>
              <w:spacing w:after="160"/>
              <w:contextualSpacing/>
              <w:jc w:val="center"/>
              <w:rPr>
                <w:rFonts w:ascii="Arial" w:eastAsia="Aptos" w:hAnsi="Arial" w:cs="Arial"/>
                <w:kern w:val="2"/>
                <w:sz w:val="20"/>
                <w:szCs w:val="20"/>
                <w14:ligatures w14:val="standardContextual"/>
              </w:rPr>
            </w:pPr>
            <w:r>
              <w:rPr>
                <w:rFonts w:ascii="Arial" w:eastAsia="Aptos" w:hAnsi="Arial" w:cs="Arial" w:hint="eastAsia"/>
                <w:kern w:val="2"/>
                <w:sz w:val="20"/>
                <w:szCs w:val="20"/>
                <w14:ligatures w14:val="standardContextual"/>
              </w:rPr>
              <w:t>21.17</w:t>
            </w:r>
          </w:p>
        </w:tc>
        <w:tc>
          <w:tcPr>
            <w:tcW w:w="1666" w:type="dxa"/>
            <w:vAlign w:val="center"/>
          </w:tcPr>
          <w:p w14:paraId="2D0EC5A9" w14:textId="77777777" w:rsidR="00436792" w:rsidRDefault="002D3215">
            <w:pPr>
              <w:spacing w:after="160"/>
              <w:contextualSpacing/>
              <w:jc w:val="center"/>
              <w:rPr>
                <w:rFonts w:ascii="Arial" w:eastAsia="Aptos" w:hAnsi="Arial" w:cs="Arial"/>
                <w:kern w:val="2"/>
                <w:sz w:val="20"/>
                <w:szCs w:val="20"/>
                <w14:ligatures w14:val="standardContextual"/>
              </w:rPr>
            </w:pPr>
            <w:r>
              <w:rPr>
                <w:rFonts w:ascii="Arial" w:eastAsia="Aptos" w:hAnsi="Arial" w:cs="Arial" w:hint="eastAsia"/>
                <w:kern w:val="2"/>
                <w:sz w:val="20"/>
                <w:szCs w:val="20"/>
                <w14:ligatures w14:val="standardContextual"/>
              </w:rPr>
              <w:t>90</w:t>
            </w:r>
          </w:p>
        </w:tc>
        <w:tc>
          <w:tcPr>
            <w:tcW w:w="1971" w:type="dxa"/>
            <w:vAlign w:val="center"/>
          </w:tcPr>
          <w:p w14:paraId="2AC1A07D" w14:textId="77777777" w:rsidR="00436792" w:rsidRDefault="002D3215">
            <w:pPr>
              <w:spacing w:after="160"/>
              <w:contextualSpacing/>
              <w:rPr>
                <w:rFonts w:ascii="Arial" w:eastAsia="Aptos" w:hAnsi="Arial" w:cs="Arial"/>
                <w:kern w:val="2"/>
                <w:sz w:val="20"/>
                <w:szCs w:val="20"/>
                <w14:ligatures w14:val="standardContextual"/>
              </w:rPr>
            </w:pPr>
            <w:r>
              <w:rPr>
                <w:rFonts w:ascii="Arial" w:eastAsia="Aptos" w:hAnsi="Arial" w:cs="Arial" w:hint="eastAsia"/>
                <w:kern w:val="2"/>
                <w:sz w:val="20"/>
                <w:szCs w:val="20"/>
                <w14:ligatures w14:val="standardContextual"/>
              </w:rPr>
              <w:t>Outstanding</w:t>
            </w:r>
          </w:p>
        </w:tc>
      </w:tr>
    </w:tbl>
    <w:p w14:paraId="08F6FF65" w14:textId="77777777" w:rsidR="00436792" w:rsidRDefault="002D3215">
      <w:pPr>
        <w:pStyle w:val="ConcHead"/>
        <w:spacing w:after="0"/>
        <w:jc w:val="both"/>
        <w:rPr>
          <w:rFonts w:ascii="Arial" w:hAnsi="Arial" w:cs="Arial"/>
          <w:b w:val="0"/>
          <w:bCs/>
          <w:caps w:val="0"/>
          <w:sz w:val="20"/>
          <w:szCs w:val="18"/>
        </w:rPr>
      </w:pPr>
      <w:r>
        <w:rPr>
          <w:rFonts w:ascii="Arial" w:hAnsi="Arial" w:cs="Arial"/>
          <w:b w:val="0"/>
          <w:bCs/>
          <w:caps w:val="0"/>
          <w:sz w:val="20"/>
          <w:szCs w:val="18"/>
        </w:rPr>
        <w:t>The results strongly affirm that 3D models are not just supplementary tools but essential instructional strategies for enhancing elementary students’ understanding of volume. A growing body of evidence confirms that 3D visual aids do more than boost test scores—they actively nurture the spatial reasoning skills necessary for conceptualizing geometric structures. Aslan et al. (2024) found that interactive 3D tools significantly improved students’ academic outcomes in geometry by making abstract mathematical concepts more tangible and comprehensible. Likewise, Widodo et al. (2021) demonstrated that students retained and applied volume-related knowledge more effectively when taught with physical 3D models, showcasing the clear cognitive benefits of tactile and visual learning.</w:t>
      </w:r>
    </w:p>
    <w:p w14:paraId="06B07247" w14:textId="77777777" w:rsidR="00436792" w:rsidRDefault="00436792">
      <w:pPr>
        <w:pStyle w:val="ConcHead"/>
        <w:spacing w:after="0"/>
        <w:jc w:val="both"/>
        <w:rPr>
          <w:rFonts w:ascii="Arial" w:hAnsi="Arial" w:cs="Arial"/>
          <w:b w:val="0"/>
          <w:bCs/>
          <w:caps w:val="0"/>
          <w:sz w:val="20"/>
          <w:szCs w:val="18"/>
        </w:rPr>
      </w:pPr>
    </w:p>
    <w:p w14:paraId="3A1CC431" w14:textId="77777777" w:rsidR="00436792" w:rsidRDefault="002D3215">
      <w:pPr>
        <w:pStyle w:val="ConcHead"/>
        <w:spacing w:after="0"/>
        <w:jc w:val="both"/>
        <w:rPr>
          <w:rFonts w:ascii="Arial" w:hAnsi="Arial" w:cs="Arial"/>
          <w:b w:val="0"/>
          <w:bCs/>
          <w:caps w:val="0"/>
          <w:sz w:val="20"/>
          <w:szCs w:val="18"/>
        </w:rPr>
      </w:pPr>
      <w:r>
        <w:rPr>
          <w:rFonts w:ascii="Arial" w:hAnsi="Arial" w:cs="Arial"/>
          <w:b w:val="0"/>
          <w:bCs/>
          <w:caps w:val="0"/>
          <w:sz w:val="20"/>
          <w:szCs w:val="18"/>
        </w:rPr>
        <w:t>Table 4 presents the change score analysis, addressing the initial performance gap between groups. The experimental group showed greater improvement from pre-test to post-test than the control group.</w:t>
      </w:r>
    </w:p>
    <w:p w14:paraId="7C9F60B1" w14:textId="77777777" w:rsidR="00436792" w:rsidRDefault="002D3215">
      <w:pPr>
        <w:pStyle w:val="ConcHead"/>
        <w:spacing w:after="0"/>
        <w:jc w:val="both"/>
        <w:rPr>
          <w:rFonts w:ascii="Arial" w:hAnsi="Arial" w:cs="Arial"/>
          <w:caps w:val="0"/>
          <w:sz w:val="20"/>
          <w:szCs w:val="18"/>
        </w:rPr>
      </w:pPr>
      <w:r>
        <w:rPr>
          <w:rFonts w:ascii="Arial" w:hAnsi="Arial" w:cs="Arial"/>
          <w:caps w:val="0"/>
          <w:sz w:val="20"/>
          <w:szCs w:val="18"/>
        </w:rPr>
        <w:t>Table 4. Mean comparison in the change of scores between the control and experimental groups.</w:t>
      </w:r>
    </w:p>
    <w:tbl>
      <w:tblPr>
        <w:tblpPr w:leftFromText="180" w:rightFromText="180" w:vertAnchor="text" w:horzAnchor="page" w:tblpX="2116" w:tblpY="161"/>
        <w:tblOverlap w:val="never"/>
        <w:tblW w:w="8546" w:type="dxa"/>
        <w:tblLook w:val="04A0" w:firstRow="1" w:lastRow="0" w:firstColumn="1" w:lastColumn="0" w:noHBand="0" w:noVBand="1"/>
      </w:tblPr>
      <w:tblGrid>
        <w:gridCol w:w="1250"/>
        <w:gridCol w:w="824"/>
        <w:gridCol w:w="474"/>
        <w:gridCol w:w="1557"/>
        <w:gridCol w:w="1250"/>
        <w:gridCol w:w="1250"/>
        <w:gridCol w:w="839"/>
        <w:gridCol w:w="1102"/>
      </w:tblGrid>
      <w:tr w:rsidR="00436792" w14:paraId="783A21DA" w14:textId="77777777">
        <w:trPr>
          <w:trHeight w:val="117"/>
        </w:trPr>
        <w:tc>
          <w:tcPr>
            <w:tcW w:w="8546" w:type="dxa"/>
            <w:gridSpan w:val="8"/>
            <w:tcBorders>
              <w:top w:val="single" w:sz="4" w:space="0" w:color="auto"/>
              <w:left w:val="single" w:sz="4" w:space="0" w:color="auto"/>
              <w:bottom w:val="single" w:sz="4" w:space="0" w:color="auto"/>
              <w:right w:val="single" w:sz="4" w:space="0" w:color="auto"/>
            </w:tcBorders>
            <w:vAlign w:val="center"/>
          </w:tcPr>
          <w:p w14:paraId="094D5ECA" w14:textId="77777777" w:rsidR="00436792" w:rsidRDefault="002D3215">
            <w:pPr>
              <w:spacing w:after="160"/>
              <w:jc w:val="center"/>
              <w:rPr>
                <w:rFonts w:ascii="Arial" w:hAnsi="Arial" w:cs="Arial"/>
                <w:kern w:val="2"/>
                <w:lang w:eastAsia="en-PH"/>
                <w14:ligatures w14:val="standardContextual"/>
              </w:rPr>
            </w:pPr>
            <w:r>
              <w:rPr>
                <w:rFonts w:ascii="Arial" w:hAnsi="Arial" w:cs="Arial"/>
                <w:kern w:val="2"/>
                <w:lang w:eastAsia="en-PH"/>
                <w14:ligatures w14:val="standardContextual"/>
              </w:rPr>
              <w:t>I</w:t>
            </w:r>
            <w:r>
              <w:rPr>
                <w:rFonts w:ascii="Arial" w:hAnsi="Arial" w:cs="Arial"/>
                <w:b/>
                <w:bCs/>
                <w:kern w:val="2"/>
                <w:lang w:eastAsia="en-PH"/>
                <w14:ligatures w14:val="standardContextual"/>
              </w:rPr>
              <w:t>ndependent Samples Test</w:t>
            </w:r>
          </w:p>
        </w:tc>
      </w:tr>
      <w:tr w:rsidR="00436792" w14:paraId="5AAC3E02" w14:textId="77777777">
        <w:trPr>
          <w:trHeight w:val="117"/>
        </w:trPr>
        <w:tc>
          <w:tcPr>
            <w:tcW w:w="1250" w:type="dxa"/>
            <w:vMerge w:val="restart"/>
            <w:tcBorders>
              <w:top w:val="nil"/>
              <w:left w:val="single" w:sz="4" w:space="0" w:color="auto"/>
              <w:bottom w:val="single" w:sz="4" w:space="0" w:color="000000"/>
              <w:right w:val="single" w:sz="4" w:space="0" w:color="auto"/>
            </w:tcBorders>
            <w:vAlign w:val="center"/>
          </w:tcPr>
          <w:p w14:paraId="6931AA6B" w14:textId="77777777" w:rsidR="00436792" w:rsidRDefault="002D3215">
            <w:pPr>
              <w:spacing w:after="160"/>
              <w:jc w:val="center"/>
              <w:rPr>
                <w:rFonts w:ascii="Arial" w:hAnsi="Arial" w:cs="Arial"/>
                <w:b/>
                <w:bCs/>
                <w:kern w:val="2"/>
                <w:lang w:eastAsia="en-PH"/>
                <w14:ligatures w14:val="standardContextual"/>
              </w:rPr>
            </w:pPr>
            <w:r>
              <w:rPr>
                <w:rFonts w:ascii="Arial" w:hAnsi="Arial" w:cs="Arial"/>
                <w:b/>
                <w:bCs/>
                <w:kern w:val="2"/>
                <w:lang w:eastAsia="en-PH"/>
                <w14:ligatures w14:val="standardContextual"/>
              </w:rPr>
              <w:lastRenderedPageBreak/>
              <w:t>Variable</w:t>
            </w:r>
          </w:p>
        </w:tc>
        <w:tc>
          <w:tcPr>
            <w:tcW w:w="7296" w:type="dxa"/>
            <w:gridSpan w:val="7"/>
            <w:tcBorders>
              <w:top w:val="single" w:sz="4" w:space="0" w:color="auto"/>
              <w:left w:val="nil"/>
              <w:bottom w:val="single" w:sz="4" w:space="0" w:color="auto"/>
              <w:right w:val="single" w:sz="4" w:space="0" w:color="auto"/>
            </w:tcBorders>
            <w:vAlign w:val="bottom"/>
          </w:tcPr>
          <w:p w14:paraId="3163BF3C" w14:textId="77777777" w:rsidR="00436792" w:rsidRDefault="002D3215">
            <w:pPr>
              <w:spacing w:after="160"/>
              <w:jc w:val="center"/>
              <w:rPr>
                <w:rFonts w:ascii="Arial" w:hAnsi="Arial" w:cs="Arial"/>
                <w:b/>
                <w:bCs/>
                <w:kern w:val="2"/>
                <w:lang w:eastAsia="en-PH"/>
                <w14:ligatures w14:val="standardContextual"/>
              </w:rPr>
            </w:pPr>
            <w:r>
              <w:rPr>
                <w:rFonts w:ascii="Arial" w:hAnsi="Arial" w:cs="Arial"/>
                <w:b/>
                <w:bCs/>
                <w:kern w:val="2"/>
                <w:lang w:eastAsia="en-PH"/>
                <w14:ligatures w14:val="standardContextual"/>
              </w:rPr>
              <w:t>t-test for Equality of Means</w:t>
            </w:r>
          </w:p>
        </w:tc>
      </w:tr>
      <w:tr w:rsidR="00436792" w14:paraId="34756935" w14:textId="77777777">
        <w:trPr>
          <w:trHeight w:val="259"/>
        </w:trPr>
        <w:tc>
          <w:tcPr>
            <w:tcW w:w="1250" w:type="dxa"/>
            <w:vMerge/>
            <w:tcBorders>
              <w:top w:val="nil"/>
              <w:left w:val="single" w:sz="4" w:space="0" w:color="auto"/>
              <w:bottom w:val="single" w:sz="4" w:space="0" w:color="000000"/>
              <w:right w:val="single" w:sz="4" w:space="0" w:color="auto"/>
            </w:tcBorders>
            <w:vAlign w:val="center"/>
          </w:tcPr>
          <w:p w14:paraId="1CD3AB12" w14:textId="77777777" w:rsidR="00436792" w:rsidRDefault="00436792">
            <w:pPr>
              <w:spacing w:after="160"/>
              <w:rPr>
                <w:rFonts w:ascii="Arial" w:hAnsi="Arial" w:cs="Arial"/>
                <w:b/>
                <w:bCs/>
                <w:kern w:val="2"/>
                <w:lang w:eastAsia="en-PH"/>
                <w14:ligatures w14:val="standardContextual"/>
              </w:rPr>
            </w:pPr>
          </w:p>
        </w:tc>
        <w:tc>
          <w:tcPr>
            <w:tcW w:w="824" w:type="dxa"/>
            <w:vMerge w:val="restart"/>
            <w:tcBorders>
              <w:top w:val="nil"/>
              <w:left w:val="single" w:sz="4" w:space="0" w:color="auto"/>
              <w:bottom w:val="single" w:sz="4" w:space="0" w:color="auto"/>
              <w:right w:val="single" w:sz="4" w:space="0" w:color="auto"/>
            </w:tcBorders>
            <w:vAlign w:val="center"/>
          </w:tcPr>
          <w:p w14:paraId="7F568AEE" w14:textId="77777777" w:rsidR="00436792" w:rsidRDefault="002D3215">
            <w:pPr>
              <w:spacing w:after="160"/>
              <w:jc w:val="center"/>
              <w:rPr>
                <w:rFonts w:ascii="Arial" w:hAnsi="Arial" w:cs="Arial"/>
                <w:b/>
                <w:bCs/>
                <w:kern w:val="2"/>
                <w:lang w:eastAsia="en-PH"/>
                <w14:ligatures w14:val="standardContextual"/>
              </w:rPr>
            </w:pPr>
            <w:r>
              <w:rPr>
                <w:rFonts w:ascii="Arial" w:hAnsi="Arial" w:cs="Arial"/>
                <w:b/>
                <w:bCs/>
                <w:kern w:val="2"/>
                <w:lang w:eastAsia="en-PH"/>
                <w14:ligatures w14:val="standardContextual"/>
              </w:rPr>
              <w:t>t</w:t>
            </w:r>
          </w:p>
        </w:tc>
        <w:tc>
          <w:tcPr>
            <w:tcW w:w="474" w:type="dxa"/>
            <w:vMerge w:val="restart"/>
            <w:tcBorders>
              <w:top w:val="nil"/>
              <w:left w:val="single" w:sz="4" w:space="0" w:color="auto"/>
              <w:bottom w:val="single" w:sz="4" w:space="0" w:color="auto"/>
              <w:right w:val="single" w:sz="4" w:space="0" w:color="auto"/>
            </w:tcBorders>
            <w:vAlign w:val="center"/>
          </w:tcPr>
          <w:p w14:paraId="361CD1E9" w14:textId="77777777" w:rsidR="00436792" w:rsidRDefault="002D3215">
            <w:pPr>
              <w:spacing w:after="160"/>
              <w:jc w:val="center"/>
              <w:rPr>
                <w:rFonts w:ascii="Arial" w:hAnsi="Arial" w:cs="Arial"/>
                <w:b/>
                <w:bCs/>
                <w:kern w:val="2"/>
                <w:lang w:eastAsia="en-PH"/>
                <w14:ligatures w14:val="standardContextual"/>
              </w:rPr>
            </w:pPr>
            <w:r>
              <w:rPr>
                <w:rFonts w:ascii="Arial" w:hAnsi="Arial" w:cs="Arial"/>
                <w:b/>
                <w:bCs/>
                <w:kern w:val="2"/>
                <w:lang w:eastAsia="en-PH"/>
                <w14:ligatures w14:val="standardContextual"/>
              </w:rPr>
              <w:t>df</w:t>
            </w:r>
          </w:p>
        </w:tc>
        <w:tc>
          <w:tcPr>
            <w:tcW w:w="1557" w:type="dxa"/>
            <w:vMerge w:val="restart"/>
            <w:tcBorders>
              <w:top w:val="nil"/>
              <w:left w:val="single" w:sz="4" w:space="0" w:color="auto"/>
              <w:bottom w:val="single" w:sz="4" w:space="0" w:color="auto"/>
              <w:right w:val="single" w:sz="4" w:space="0" w:color="auto"/>
            </w:tcBorders>
            <w:vAlign w:val="center"/>
          </w:tcPr>
          <w:p w14:paraId="0AAD9E75" w14:textId="77777777" w:rsidR="00436792" w:rsidRDefault="002D3215">
            <w:pPr>
              <w:spacing w:after="160"/>
              <w:jc w:val="center"/>
              <w:rPr>
                <w:rFonts w:ascii="Arial" w:hAnsi="Arial" w:cs="Arial"/>
                <w:b/>
                <w:bCs/>
                <w:kern w:val="2"/>
                <w:lang w:eastAsia="en-PH"/>
                <w14:ligatures w14:val="standardContextual"/>
              </w:rPr>
            </w:pPr>
            <w:r>
              <w:rPr>
                <w:rFonts w:ascii="Arial" w:hAnsi="Arial" w:cs="Arial"/>
                <w:b/>
                <w:bCs/>
                <w:kern w:val="2"/>
                <w:lang w:eastAsia="en-PH"/>
                <w14:ligatures w14:val="standardContextual"/>
              </w:rPr>
              <w:t>Sig. (2-tailed)</w:t>
            </w:r>
          </w:p>
        </w:tc>
        <w:tc>
          <w:tcPr>
            <w:tcW w:w="1250" w:type="dxa"/>
            <w:vMerge w:val="restart"/>
            <w:tcBorders>
              <w:top w:val="nil"/>
              <w:left w:val="single" w:sz="4" w:space="0" w:color="auto"/>
              <w:bottom w:val="single" w:sz="4" w:space="0" w:color="auto"/>
              <w:right w:val="single" w:sz="4" w:space="0" w:color="auto"/>
            </w:tcBorders>
            <w:vAlign w:val="center"/>
          </w:tcPr>
          <w:p w14:paraId="41A49491" w14:textId="77777777" w:rsidR="00436792" w:rsidRDefault="002D3215">
            <w:pPr>
              <w:spacing w:after="160"/>
              <w:jc w:val="center"/>
              <w:rPr>
                <w:rFonts w:ascii="Arial" w:hAnsi="Arial" w:cs="Arial"/>
                <w:b/>
                <w:bCs/>
                <w:kern w:val="2"/>
                <w:lang w:eastAsia="en-PH"/>
                <w14:ligatures w14:val="standardContextual"/>
              </w:rPr>
            </w:pPr>
            <w:r>
              <w:rPr>
                <w:rFonts w:ascii="Arial" w:hAnsi="Arial" w:cs="Arial"/>
                <w:b/>
                <w:bCs/>
                <w:kern w:val="2"/>
                <w:lang w:eastAsia="en-PH"/>
                <w14:ligatures w14:val="standardContextual"/>
              </w:rPr>
              <w:t>Mean Difference</w:t>
            </w:r>
          </w:p>
        </w:tc>
        <w:tc>
          <w:tcPr>
            <w:tcW w:w="1250" w:type="dxa"/>
            <w:vMerge w:val="restart"/>
            <w:tcBorders>
              <w:top w:val="nil"/>
              <w:left w:val="single" w:sz="4" w:space="0" w:color="auto"/>
              <w:bottom w:val="single" w:sz="4" w:space="0" w:color="auto"/>
              <w:right w:val="single" w:sz="4" w:space="0" w:color="auto"/>
            </w:tcBorders>
            <w:vAlign w:val="center"/>
          </w:tcPr>
          <w:p w14:paraId="61E46301" w14:textId="77777777" w:rsidR="00436792" w:rsidRDefault="002D3215">
            <w:pPr>
              <w:spacing w:after="160"/>
              <w:jc w:val="center"/>
              <w:rPr>
                <w:rFonts w:ascii="Arial" w:hAnsi="Arial" w:cs="Arial"/>
                <w:b/>
                <w:bCs/>
                <w:kern w:val="2"/>
                <w:lang w:eastAsia="en-PH"/>
                <w14:ligatures w14:val="standardContextual"/>
              </w:rPr>
            </w:pPr>
            <w:r>
              <w:rPr>
                <w:rFonts w:ascii="Arial" w:hAnsi="Arial" w:cs="Arial"/>
                <w:b/>
                <w:bCs/>
                <w:kern w:val="2"/>
                <w:lang w:eastAsia="en-PH"/>
                <w14:ligatures w14:val="standardContextual"/>
              </w:rPr>
              <w:t>Std. Error Difference</w:t>
            </w:r>
          </w:p>
        </w:tc>
        <w:tc>
          <w:tcPr>
            <w:tcW w:w="1941" w:type="dxa"/>
            <w:gridSpan w:val="2"/>
            <w:tcBorders>
              <w:top w:val="single" w:sz="4" w:space="0" w:color="auto"/>
              <w:left w:val="nil"/>
              <w:bottom w:val="single" w:sz="4" w:space="0" w:color="auto"/>
              <w:right w:val="single" w:sz="4" w:space="0" w:color="auto"/>
            </w:tcBorders>
            <w:vAlign w:val="center"/>
          </w:tcPr>
          <w:p w14:paraId="11B6FF86" w14:textId="77777777" w:rsidR="00436792" w:rsidRDefault="002D3215">
            <w:pPr>
              <w:spacing w:after="160"/>
              <w:jc w:val="center"/>
              <w:rPr>
                <w:rFonts w:ascii="Arial" w:hAnsi="Arial" w:cs="Arial"/>
                <w:b/>
                <w:bCs/>
                <w:kern w:val="2"/>
                <w:lang w:eastAsia="en-PH"/>
                <w14:ligatures w14:val="standardContextual"/>
              </w:rPr>
            </w:pPr>
            <w:r>
              <w:rPr>
                <w:rFonts w:ascii="Arial" w:hAnsi="Arial" w:cs="Arial"/>
                <w:b/>
                <w:bCs/>
                <w:kern w:val="2"/>
                <w:lang w:eastAsia="en-PH"/>
                <w14:ligatures w14:val="standardContextual"/>
              </w:rPr>
              <w:t>95% Confidence Interval of the Difference</w:t>
            </w:r>
          </w:p>
        </w:tc>
      </w:tr>
      <w:tr w:rsidR="00436792" w14:paraId="46197A37" w14:textId="77777777">
        <w:trPr>
          <w:trHeight w:val="120"/>
        </w:trPr>
        <w:tc>
          <w:tcPr>
            <w:tcW w:w="1250" w:type="dxa"/>
            <w:vMerge/>
            <w:tcBorders>
              <w:top w:val="nil"/>
              <w:left w:val="single" w:sz="4" w:space="0" w:color="auto"/>
              <w:bottom w:val="single" w:sz="4" w:space="0" w:color="000000"/>
              <w:right w:val="single" w:sz="4" w:space="0" w:color="auto"/>
            </w:tcBorders>
            <w:vAlign w:val="center"/>
          </w:tcPr>
          <w:p w14:paraId="1751F292" w14:textId="77777777" w:rsidR="00436792" w:rsidRDefault="00436792">
            <w:pPr>
              <w:spacing w:after="160"/>
              <w:rPr>
                <w:rFonts w:ascii="Arial" w:hAnsi="Arial" w:cs="Arial"/>
                <w:kern w:val="2"/>
                <w:lang w:eastAsia="en-PH"/>
                <w14:ligatures w14:val="standardContextual"/>
              </w:rPr>
            </w:pPr>
          </w:p>
        </w:tc>
        <w:tc>
          <w:tcPr>
            <w:tcW w:w="824" w:type="dxa"/>
            <w:vMerge/>
            <w:tcBorders>
              <w:top w:val="nil"/>
              <w:left w:val="single" w:sz="4" w:space="0" w:color="auto"/>
              <w:bottom w:val="single" w:sz="4" w:space="0" w:color="auto"/>
              <w:right w:val="single" w:sz="4" w:space="0" w:color="auto"/>
            </w:tcBorders>
            <w:vAlign w:val="center"/>
          </w:tcPr>
          <w:p w14:paraId="3DD37620" w14:textId="77777777" w:rsidR="00436792" w:rsidRDefault="00436792">
            <w:pPr>
              <w:spacing w:after="160"/>
              <w:rPr>
                <w:rFonts w:ascii="Arial" w:hAnsi="Arial" w:cs="Arial"/>
                <w:kern w:val="2"/>
                <w:lang w:eastAsia="en-PH"/>
                <w14:ligatures w14:val="standardContextual"/>
              </w:rPr>
            </w:pPr>
          </w:p>
        </w:tc>
        <w:tc>
          <w:tcPr>
            <w:tcW w:w="474" w:type="dxa"/>
            <w:vMerge/>
            <w:tcBorders>
              <w:top w:val="nil"/>
              <w:left w:val="single" w:sz="4" w:space="0" w:color="auto"/>
              <w:bottom w:val="single" w:sz="4" w:space="0" w:color="auto"/>
              <w:right w:val="single" w:sz="4" w:space="0" w:color="auto"/>
            </w:tcBorders>
            <w:vAlign w:val="center"/>
          </w:tcPr>
          <w:p w14:paraId="74676E1B" w14:textId="77777777" w:rsidR="00436792" w:rsidRDefault="00436792">
            <w:pPr>
              <w:spacing w:after="160"/>
              <w:rPr>
                <w:rFonts w:ascii="Arial" w:hAnsi="Arial" w:cs="Arial"/>
                <w:kern w:val="2"/>
                <w:lang w:eastAsia="en-PH"/>
                <w14:ligatures w14:val="standardContextual"/>
              </w:rPr>
            </w:pPr>
          </w:p>
        </w:tc>
        <w:tc>
          <w:tcPr>
            <w:tcW w:w="1557" w:type="dxa"/>
            <w:vMerge/>
            <w:tcBorders>
              <w:top w:val="nil"/>
              <w:left w:val="single" w:sz="4" w:space="0" w:color="auto"/>
              <w:bottom w:val="single" w:sz="4" w:space="0" w:color="auto"/>
              <w:right w:val="single" w:sz="4" w:space="0" w:color="auto"/>
            </w:tcBorders>
            <w:vAlign w:val="center"/>
          </w:tcPr>
          <w:p w14:paraId="3EF802C3" w14:textId="77777777" w:rsidR="00436792" w:rsidRDefault="00436792">
            <w:pPr>
              <w:spacing w:after="160"/>
              <w:rPr>
                <w:rFonts w:ascii="Arial" w:hAnsi="Arial" w:cs="Arial"/>
                <w:kern w:val="2"/>
                <w:lang w:eastAsia="en-PH"/>
                <w14:ligatures w14:val="standardContextual"/>
              </w:rPr>
            </w:pPr>
          </w:p>
        </w:tc>
        <w:tc>
          <w:tcPr>
            <w:tcW w:w="1250" w:type="dxa"/>
            <w:vMerge/>
            <w:tcBorders>
              <w:top w:val="nil"/>
              <w:left w:val="single" w:sz="4" w:space="0" w:color="auto"/>
              <w:bottom w:val="single" w:sz="4" w:space="0" w:color="auto"/>
              <w:right w:val="single" w:sz="4" w:space="0" w:color="auto"/>
            </w:tcBorders>
            <w:vAlign w:val="center"/>
          </w:tcPr>
          <w:p w14:paraId="4B8EBD8B" w14:textId="77777777" w:rsidR="00436792" w:rsidRDefault="00436792">
            <w:pPr>
              <w:spacing w:after="160"/>
              <w:rPr>
                <w:rFonts w:ascii="Arial" w:hAnsi="Arial" w:cs="Arial"/>
                <w:kern w:val="2"/>
                <w:lang w:eastAsia="en-PH"/>
                <w14:ligatures w14:val="standardContextual"/>
              </w:rPr>
            </w:pPr>
          </w:p>
        </w:tc>
        <w:tc>
          <w:tcPr>
            <w:tcW w:w="1250" w:type="dxa"/>
            <w:vMerge/>
            <w:tcBorders>
              <w:top w:val="nil"/>
              <w:left w:val="single" w:sz="4" w:space="0" w:color="auto"/>
              <w:bottom w:val="single" w:sz="4" w:space="0" w:color="auto"/>
              <w:right w:val="single" w:sz="4" w:space="0" w:color="auto"/>
            </w:tcBorders>
            <w:vAlign w:val="center"/>
          </w:tcPr>
          <w:p w14:paraId="3E0A5B02" w14:textId="77777777" w:rsidR="00436792" w:rsidRDefault="00436792">
            <w:pPr>
              <w:spacing w:after="160"/>
              <w:rPr>
                <w:rFonts w:ascii="Arial" w:hAnsi="Arial" w:cs="Arial"/>
                <w:kern w:val="2"/>
                <w:lang w:eastAsia="en-PH"/>
                <w14:ligatures w14:val="standardContextual"/>
              </w:rPr>
            </w:pPr>
          </w:p>
        </w:tc>
        <w:tc>
          <w:tcPr>
            <w:tcW w:w="839" w:type="dxa"/>
            <w:tcBorders>
              <w:top w:val="nil"/>
              <w:left w:val="nil"/>
              <w:bottom w:val="single" w:sz="4" w:space="0" w:color="auto"/>
              <w:right w:val="single" w:sz="4" w:space="0" w:color="auto"/>
            </w:tcBorders>
            <w:vAlign w:val="center"/>
          </w:tcPr>
          <w:p w14:paraId="2E522994" w14:textId="77777777" w:rsidR="00436792" w:rsidRDefault="002D3215">
            <w:pPr>
              <w:spacing w:after="160"/>
              <w:jc w:val="center"/>
              <w:rPr>
                <w:rFonts w:ascii="Arial" w:hAnsi="Arial" w:cs="Arial"/>
                <w:kern w:val="2"/>
                <w:lang w:eastAsia="en-PH"/>
                <w14:ligatures w14:val="standardContextual"/>
              </w:rPr>
            </w:pPr>
            <w:r>
              <w:rPr>
                <w:rFonts w:ascii="Arial" w:hAnsi="Arial" w:cs="Arial"/>
                <w:kern w:val="2"/>
                <w:lang w:eastAsia="en-PH"/>
                <w14:ligatures w14:val="standardContextual"/>
              </w:rPr>
              <w:t>Lower</w:t>
            </w:r>
          </w:p>
        </w:tc>
        <w:tc>
          <w:tcPr>
            <w:tcW w:w="1102" w:type="dxa"/>
            <w:tcBorders>
              <w:top w:val="nil"/>
              <w:left w:val="nil"/>
              <w:bottom w:val="single" w:sz="4" w:space="0" w:color="auto"/>
              <w:right w:val="single" w:sz="4" w:space="0" w:color="auto"/>
            </w:tcBorders>
            <w:vAlign w:val="center"/>
          </w:tcPr>
          <w:p w14:paraId="2111E20B" w14:textId="77777777" w:rsidR="00436792" w:rsidRDefault="002D3215">
            <w:pPr>
              <w:spacing w:after="160"/>
              <w:jc w:val="center"/>
              <w:rPr>
                <w:rFonts w:ascii="Arial" w:hAnsi="Arial" w:cs="Arial"/>
                <w:kern w:val="2"/>
                <w:lang w:eastAsia="en-PH"/>
                <w14:ligatures w14:val="standardContextual"/>
              </w:rPr>
            </w:pPr>
            <w:r>
              <w:rPr>
                <w:rFonts w:ascii="Arial" w:hAnsi="Arial" w:cs="Arial"/>
                <w:kern w:val="2"/>
                <w:lang w:eastAsia="en-PH"/>
                <w14:ligatures w14:val="standardContextual"/>
              </w:rPr>
              <w:t>Upper</w:t>
            </w:r>
          </w:p>
        </w:tc>
      </w:tr>
      <w:tr w:rsidR="00436792" w14:paraId="2254719F" w14:textId="77777777">
        <w:trPr>
          <w:trHeight w:val="989"/>
        </w:trPr>
        <w:tc>
          <w:tcPr>
            <w:tcW w:w="1250" w:type="dxa"/>
            <w:tcBorders>
              <w:top w:val="nil"/>
              <w:left w:val="single" w:sz="4" w:space="0" w:color="auto"/>
              <w:bottom w:val="single" w:sz="4" w:space="0" w:color="auto"/>
              <w:right w:val="single" w:sz="4" w:space="0" w:color="auto"/>
            </w:tcBorders>
          </w:tcPr>
          <w:p w14:paraId="5A726EFD" w14:textId="77777777" w:rsidR="00436792" w:rsidRDefault="002D3215">
            <w:pPr>
              <w:spacing w:after="160"/>
              <w:rPr>
                <w:rFonts w:ascii="Arial" w:hAnsi="Arial" w:cs="Arial"/>
                <w:kern w:val="2"/>
                <w:lang w:eastAsia="en-PH"/>
                <w14:ligatures w14:val="standardContextual"/>
              </w:rPr>
            </w:pPr>
            <w:r>
              <w:rPr>
                <w:rFonts w:ascii="Arial" w:hAnsi="Arial" w:cs="Arial"/>
                <w:kern w:val="2"/>
                <w:lang w:eastAsia="en-PH"/>
                <w14:ligatures w14:val="standardContextual"/>
              </w:rPr>
              <w:t>Difference of Pre-test &amp; Posttest Scores</w:t>
            </w:r>
          </w:p>
        </w:tc>
        <w:tc>
          <w:tcPr>
            <w:tcW w:w="824" w:type="dxa"/>
            <w:tcBorders>
              <w:top w:val="nil"/>
              <w:left w:val="nil"/>
              <w:bottom w:val="single" w:sz="4" w:space="0" w:color="auto"/>
              <w:right w:val="single" w:sz="4" w:space="0" w:color="auto"/>
            </w:tcBorders>
            <w:noWrap/>
            <w:vAlign w:val="center"/>
          </w:tcPr>
          <w:p w14:paraId="7318C609" w14:textId="77777777" w:rsidR="00436792" w:rsidRDefault="002D3215">
            <w:pPr>
              <w:spacing w:after="160"/>
              <w:jc w:val="center"/>
              <w:rPr>
                <w:rFonts w:ascii="Arial" w:hAnsi="Arial" w:cs="Arial"/>
                <w:kern w:val="2"/>
                <w:lang w:eastAsia="en-PH"/>
                <w14:ligatures w14:val="standardContextual"/>
              </w:rPr>
            </w:pPr>
            <w:r>
              <w:rPr>
                <w:rFonts w:ascii="Arial" w:hAnsi="Arial" w:cs="Arial"/>
                <w:kern w:val="2"/>
                <w:lang w:eastAsia="en-PH"/>
                <w14:ligatures w14:val="standardContextual"/>
              </w:rPr>
              <w:t>3.329</w:t>
            </w:r>
          </w:p>
        </w:tc>
        <w:tc>
          <w:tcPr>
            <w:tcW w:w="474" w:type="dxa"/>
            <w:tcBorders>
              <w:top w:val="nil"/>
              <w:left w:val="nil"/>
              <w:bottom w:val="single" w:sz="4" w:space="0" w:color="auto"/>
              <w:right w:val="single" w:sz="4" w:space="0" w:color="auto"/>
            </w:tcBorders>
            <w:noWrap/>
            <w:vAlign w:val="center"/>
          </w:tcPr>
          <w:p w14:paraId="18723737" w14:textId="77777777" w:rsidR="00436792" w:rsidRDefault="002D3215">
            <w:pPr>
              <w:spacing w:after="160"/>
              <w:jc w:val="right"/>
              <w:rPr>
                <w:rFonts w:ascii="Arial" w:hAnsi="Arial" w:cs="Arial"/>
                <w:kern w:val="2"/>
                <w:lang w:eastAsia="en-PH"/>
                <w14:ligatures w14:val="standardContextual"/>
              </w:rPr>
            </w:pPr>
            <w:r>
              <w:rPr>
                <w:rFonts w:ascii="Arial" w:hAnsi="Arial" w:cs="Arial"/>
                <w:kern w:val="2"/>
                <w:lang w:eastAsia="en-PH"/>
                <w14:ligatures w14:val="standardContextual"/>
              </w:rPr>
              <w:t>58</w:t>
            </w:r>
          </w:p>
        </w:tc>
        <w:tc>
          <w:tcPr>
            <w:tcW w:w="1557" w:type="dxa"/>
            <w:tcBorders>
              <w:top w:val="nil"/>
              <w:left w:val="nil"/>
              <w:bottom w:val="single" w:sz="4" w:space="0" w:color="auto"/>
              <w:right w:val="single" w:sz="4" w:space="0" w:color="auto"/>
            </w:tcBorders>
            <w:noWrap/>
            <w:vAlign w:val="center"/>
          </w:tcPr>
          <w:p w14:paraId="70BCFAB1" w14:textId="77777777" w:rsidR="00436792" w:rsidRDefault="002D3215">
            <w:pPr>
              <w:spacing w:after="160"/>
              <w:jc w:val="center"/>
              <w:rPr>
                <w:rFonts w:ascii="Arial" w:hAnsi="Arial" w:cs="Arial"/>
                <w:kern w:val="2"/>
                <w:lang w:eastAsia="en-PH"/>
                <w14:ligatures w14:val="standardContextual"/>
              </w:rPr>
            </w:pPr>
            <w:r>
              <w:rPr>
                <w:rFonts w:ascii="Arial" w:hAnsi="Arial" w:cs="Arial"/>
                <w:kern w:val="2"/>
                <w:lang w:eastAsia="en-PH"/>
                <w14:ligatures w14:val="standardContextual"/>
              </w:rPr>
              <w:t>0.002</w:t>
            </w:r>
          </w:p>
        </w:tc>
        <w:tc>
          <w:tcPr>
            <w:tcW w:w="1250" w:type="dxa"/>
            <w:tcBorders>
              <w:top w:val="nil"/>
              <w:left w:val="nil"/>
              <w:bottom w:val="single" w:sz="4" w:space="0" w:color="auto"/>
              <w:right w:val="single" w:sz="4" w:space="0" w:color="auto"/>
            </w:tcBorders>
            <w:noWrap/>
            <w:vAlign w:val="center"/>
          </w:tcPr>
          <w:p w14:paraId="1CEA3D9B" w14:textId="77777777" w:rsidR="00436792" w:rsidRDefault="002D3215">
            <w:pPr>
              <w:spacing w:after="160"/>
              <w:jc w:val="center"/>
              <w:rPr>
                <w:rFonts w:ascii="Arial" w:hAnsi="Arial" w:cs="Arial"/>
                <w:kern w:val="2"/>
                <w:lang w:eastAsia="en-PH"/>
                <w14:ligatures w14:val="standardContextual"/>
              </w:rPr>
            </w:pPr>
            <w:r>
              <w:rPr>
                <w:rFonts w:ascii="Arial" w:hAnsi="Arial" w:cs="Arial"/>
                <w:kern w:val="2"/>
                <w:lang w:eastAsia="en-PH"/>
                <w14:ligatures w14:val="standardContextual"/>
              </w:rPr>
              <w:t>2.900</w:t>
            </w:r>
          </w:p>
        </w:tc>
        <w:tc>
          <w:tcPr>
            <w:tcW w:w="1250" w:type="dxa"/>
            <w:tcBorders>
              <w:top w:val="nil"/>
              <w:left w:val="nil"/>
              <w:bottom w:val="single" w:sz="4" w:space="0" w:color="auto"/>
              <w:right w:val="single" w:sz="4" w:space="0" w:color="auto"/>
            </w:tcBorders>
            <w:noWrap/>
            <w:vAlign w:val="center"/>
          </w:tcPr>
          <w:p w14:paraId="614A2CF6" w14:textId="77777777" w:rsidR="00436792" w:rsidRDefault="002D3215">
            <w:pPr>
              <w:spacing w:after="160"/>
              <w:jc w:val="center"/>
              <w:rPr>
                <w:rFonts w:ascii="Arial" w:hAnsi="Arial" w:cs="Arial"/>
                <w:kern w:val="2"/>
                <w:lang w:eastAsia="en-PH"/>
                <w14:ligatures w14:val="standardContextual"/>
              </w:rPr>
            </w:pPr>
            <w:r>
              <w:rPr>
                <w:rFonts w:ascii="Arial" w:hAnsi="Arial" w:cs="Arial"/>
                <w:kern w:val="2"/>
                <w:lang w:eastAsia="en-PH"/>
                <w14:ligatures w14:val="standardContextual"/>
              </w:rPr>
              <w:t>0.871</w:t>
            </w:r>
          </w:p>
        </w:tc>
        <w:tc>
          <w:tcPr>
            <w:tcW w:w="839" w:type="dxa"/>
            <w:tcBorders>
              <w:top w:val="nil"/>
              <w:left w:val="nil"/>
              <w:bottom w:val="single" w:sz="4" w:space="0" w:color="auto"/>
              <w:right w:val="single" w:sz="4" w:space="0" w:color="auto"/>
            </w:tcBorders>
            <w:noWrap/>
            <w:vAlign w:val="center"/>
          </w:tcPr>
          <w:p w14:paraId="75ABC868" w14:textId="77777777" w:rsidR="00436792" w:rsidRDefault="002D3215">
            <w:pPr>
              <w:spacing w:after="160"/>
              <w:jc w:val="center"/>
              <w:rPr>
                <w:rFonts w:ascii="Arial" w:hAnsi="Arial" w:cs="Arial"/>
                <w:kern w:val="2"/>
                <w:lang w:eastAsia="en-PH"/>
                <w14:ligatures w14:val="standardContextual"/>
              </w:rPr>
            </w:pPr>
            <w:r>
              <w:rPr>
                <w:rFonts w:ascii="Arial" w:hAnsi="Arial" w:cs="Arial"/>
                <w:kern w:val="2"/>
                <w:lang w:eastAsia="en-PH"/>
                <w14:ligatures w14:val="standardContextual"/>
              </w:rPr>
              <w:t>1.156</w:t>
            </w:r>
          </w:p>
        </w:tc>
        <w:tc>
          <w:tcPr>
            <w:tcW w:w="1102" w:type="dxa"/>
            <w:tcBorders>
              <w:top w:val="nil"/>
              <w:left w:val="nil"/>
              <w:bottom w:val="single" w:sz="4" w:space="0" w:color="auto"/>
              <w:right w:val="single" w:sz="4" w:space="0" w:color="auto"/>
            </w:tcBorders>
            <w:noWrap/>
            <w:vAlign w:val="center"/>
          </w:tcPr>
          <w:p w14:paraId="5A344553" w14:textId="77777777" w:rsidR="00436792" w:rsidRDefault="002D3215">
            <w:pPr>
              <w:spacing w:after="160"/>
              <w:jc w:val="center"/>
              <w:rPr>
                <w:rFonts w:ascii="Arial" w:hAnsi="Arial" w:cs="Arial"/>
                <w:kern w:val="2"/>
                <w:lang w:eastAsia="en-PH"/>
                <w14:ligatures w14:val="standardContextual"/>
              </w:rPr>
            </w:pPr>
            <w:r>
              <w:rPr>
                <w:rFonts w:ascii="Arial" w:hAnsi="Arial" w:cs="Arial"/>
                <w:kern w:val="2"/>
                <w:lang w:eastAsia="en-PH"/>
                <w14:ligatures w14:val="standardContextual"/>
              </w:rPr>
              <w:t>4.644</w:t>
            </w:r>
          </w:p>
        </w:tc>
      </w:tr>
    </w:tbl>
    <w:p w14:paraId="1C97ACE4" w14:textId="77777777" w:rsidR="00436792" w:rsidRDefault="002D3215">
      <w:pPr>
        <w:pStyle w:val="ConcHead"/>
        <w:spacing w:after="0"/>
        <w:jc w:val="both"/>
        <w:rPr>
          <w:rFonts w:ascii="Arial" w:hAnsi="Arial" w:cs="Arial"/>
          <w:b w:val="0"/>
          <w:bCs/>
          <w:caps w:val="0"/>
          <w:sz w:val="20"/>
          <w:szCs w:val="18"/>
        </w:rPr>
      </w:pPr>
      <w:r>
        <w:rPr>
          <w:rFonts w:ascii="Arial" w:hAnsi="Arial" w:cs="Arial"/>
          <w:b w:val="0"/>
          <w:bCs/>
          <w:caps w:val="0"/>
          <w:sz w:val="20"/>
          <w:szCs w:val="18"/>
        </w:rPr>
        <w:t>The consistent advantage of the experimental group in understanding volume underscores the growing body of research supporting the educational impact of 3D models in mathematics instruction. Recent studies have shown that 3D teaching aids are not only visually engaging but also cognitively transformative. Kurniawan et al. (2022) found that elementary students using 3D models significantly improved their problem-solving and spatial reasoning abilities. Similarly, Widodo et al. (2021) concluded that tactile learning through physical 3D objects led to better retention of volume concepts, reinforcing the idea that hands- on experiences deepen understanding.</w:t>
      </w:r>
    </w:p>
    <w:p w14:paraId="01D06F4A" w14:textId="77777777" w:rsidR="00436792" w:rsidRDefault="00436792">
      <w:pPr>
        <w:pStyle w:val="ConcHead"/>
        <w:spacing w:after="0"/>
        <w:jc w:val="both"/>
        <w:rPr>
          <w:rFonts w:ascii="Arial" w:hAnsi="Arial" w:cs="Arial"/>
          <w:b w:val="0"/>
          <w:bCs/>
          <w:caps w:val="0"/>
          <w:sz w:val="20"/>
          <w:szCs w:val="18"/>
        </w:rPr>
      </w:pPr>
    </w:p>
    <w:p w14:paraId="344A0FCC" w14:textId="77777777" w:rsidR="00436792" w:rsidRDefault="002D3215">
      <w:pPr>
        <w:pStyle w:val="ConcHead"/>
        <w:spacing w:after="0"/>
        <w:jc w:val="both"/>
        <w:rPr>
          <w:rFonts w:ascii="Arial" w:hAnsi="Arial" w:cs="Arial"/>
          <w:b w:val="0"/>
          <w:bCs/>
          <w:caps w:val="0"/>
          <w:sz w:val="20"/>
          <w:szCs w:val="18"/>
        </w:rPr>
      </w:pPr>
      <w:r>
        <w:rPr>
          <w:rFonts w:ascii="Arial" w:hAnsi="Arial" w:cs="Arial"/>
          <w:b w:val="0"/>
          <w:bCs/>
          <w:caps w:val="0"/>
          <w:sz w:val="20"/>
          <w:szCs w:val="18"/>
        </w:rPr>
        <w:t>Table 5 illustrates a large effect size (0.860), suggesting the experimental group benefited significantly from the intervention.</w:t>
      </w:r>
    </w:p>
    <w:p w14:paraId="184CDB82" w14:textId="77777777" w:rsidR="00436792" w:rsidRDefault="002D3215">
      <w:pPr>
        <w:pStyle w:val="ConcHead"/>
        <w:spacing w:after="0"/>
        <w:jc w:val="both"/>
        <w:rPr>
          <w:rFonts w:ascii="Arial" w:hAnsi="Arial" w:cs="Arial"/>
          <w:caps w:val="0"/>
          <w:sz w:val="20"/>
          <w:szCs w:val="18"/>
        </w:rPr>
      </w:pPr>
      <w:r>
        <w:rPr>
          <w:rFonts w:ascii="Arial" w:hAnsi="Arial" w:cs="Arial"/>
          <w:caps w:val="0"/>
          <w:sz w:val="20"/>
          <w:szCs w:val="18"/>
        </w:rPr>
        <w:t>Table 5. Effect Size of the 3D Model Intervention</w:t>
      </w:r>
    </w:p>
    <w:tbl>
      <w:tblPr>
        <w:tblStyle w:val="TableGrid"/>
        <w:tblW w:w="860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799"/>
        <w:gridCol w:w="892"/>
        <w:gridCol w:w="1381"/>
        <w:gridCol w:w="1530"/>
        <w:gridCol w:w="2550"/>
      </w:tblGrid>
      <w:tr w:rsidR="00436792" w14:paraId="15E92193" w14:textId="77777777">
        <w:trPr>
          <w:trHeight w:val="656"/>
        </w:trPr>
        <w:tc>
          <w:tcPr>
            <w:tcW w:w="1457" w:type="dxa"/>
            <w:vAlign w:val="center"/>
          </w:tcPr>
          <w:p w14:paraId="578DBEE6" w14:textId="77777777" w:rsidR="00436792" w:rsidRDefault="002D3215">
            <w:pPr>
              <w:pStyle w:val="ListParagraph"/>
              <w:ind w:left="0"/>
              <w:jc w:val="center"/>
              <w:rPr>
                <w:rFonts w:ascii="Arial" w:hAnsi="Arial" w:cs="Arial"/>
                <w:b/>
                <w:bCs/>
                <w:sz w:val="18"/>
                <w:szCs w:val="18"/>
              </w:rPr>
            </w:pPr>
            <w:r>
              <w:rPr>
                <w:rFonts w:ascii="Arial" w:hAnsi="Arial" w:cs="Arial"/>
                <w:b/>
                <w:bCs/>
                <w:sz w:val="18"/>
                <w:szCs w:val="18"/>
                <w:lang w:val="en-PH"/>
              </w:rPr>
              <w:t>Source</w:t>
            </w:r>
          </w:p>
        </w:tc>
        <w:tc>
          <w:tcPr>
            <w:tcW w:w="799" w:type="dxa"/>
            <w:vAlign w:val="center"/>
          </w:tcPr>
          <w:p w14:paraId="73E171FE" w14:textId="77777777" w:rsidR="00436792" w:rsidRDefault="002D3215">
            <w:pPr>
              <w:pStyle w:val="ListParagraph"/>
              <w:ind w:left="0"/>
              <w:jc w:val="center"/>
              <w:rPr>
                <w:rFonts w:ascii="Arial" w:hAnsi="Arial" w:cs="Arial"/>
                <w:b/>
                <w:bCs/>
                <w:sz w:val="18"/>
                <w:szCs w:val="18"/>
              </w:rPr>
            </w:pPr>
            <w:r>
              <w:rPr>
                <w:rFonts w:ascii="Arial" w:hAnsi="Arial" w:cs="Arial"/>
                <w:b/>
                <w:bCs/>
                <w:sz w:val="18"/>
                <w:szCs w:val="18"/>
                <w:lang w:val="en-PH"/>
              </w:rPr>
              <w:t>F</w:t>
            </w:r>
          </w:p>
        </w:tc>
        <w:tc>
          <w:tcPr>
            <w:tcW w:w="892" w:type="dxa"/>
            <w:vAlign w:val="center"/>
          </w:tcPr>
          <w:p w14:paraId="2ADF0174" w14:textId="77777777" w:rsidR="00436792" w:rsidRDefault="002D3215">
            <w:pPr>
              <w:pStyle w:val="ListParagraph"/>
              <w:ind w:left="0"/>
              <w:jc w:val="center"/>
              <w:rPr>
                <w:rFonts w:ascii="Arial" w:hAnsi="Arial" w:cs="Arial"/>
                <w:b/>
                <w:bCs/>
                <w:sz w:val="18"/>
                <w:szCs w:val="18"/>
              </w:rPr>
            </w:pPr>
            <w:r>
              <w:rPr>
                <w:rFonts w:ascii="Arial" w:hAnsi="Arial" w:cs="Arial"/>
                <w:b/>
                <w:bCs/>
                <w:sz w:val="18"/>
                <w:szCs w:val="18"/>
                <w:lang w:val="en-PH"/>
              </w:rPr>
              <w:t>p-value</w:t>
            </w:r>
          </w:p>
        </w:tc>
        <w:tc>
          <w:tcPr>
            <w:tcW w:w="1381" w:type="dxa"/>
            <w:vAlign w:val="center"/>
          </w:tcPr>
          <w:p w14:paraId="4847936F" w14:textId="77777777" w:rsidR="00436792" w:rsidRDefault="002D3215">
            <w:pPr>
              <w:pStyle w:val="ListParagraph"/>
              <w:ind w:left="0"/>
              <w:jc w:val="center"/>
              <w:rPr>
                <w:rFonts w:ascii="Arial" w:hAnsi="Arial" w:cs="Arial"/>
                <w:b/>
                <w:bCs/>
                <w:sz w:val="18"/>
                <w:szCs w:val="18"/>
              </w:rPr>
            </w:pPr>
            <w:r>
              <w:rPr>
                <w:rFonts w:ascii="Arial" w:hAnsi="Arial" w:cs="Arial"/>
                <w:b/>
                <w:bCs/>
                <w:sz w:val="18"/>
                <w:szCs w:val="18"/>
                <w:lang w:val="en-PH"/>
              </w:rPr>
              <w:t>Effect Size (Cohen’s d)</w:t>
            </w:r>
          </w:p>
        </w:tc>
        <w:tc>
          <w:tcPr>
            <w:tcW w:w="1530" w:type="dxa"/>
            <w:vAlign w:val="center"/>
          </w:tcPr>
          <w:p w14:paraId="7CEFF06C" w14:textId="77777777" w:rsidR="00436792" w:rsidRDefault="002D3215">
            <w:pPr>
              <w:pStyle w:val="ListParagraph"/>
              <w:ind w:left="0"/>
              <w:jc w:val="center"/>
              <w:rPr>
                <w:rFonts w:ascii="Arial" w:hAnsi="Arial" w:cs="Arial"/>
                <w:b/>
                <w:bCs/>
                <w:sz w:val="18"/>
                <w:szCs w:val="18"/>
              </w:rPr>
            </w:pPr>
            <w:r>
              <w:rPr>
                <w:rFonts w:ascii="Arial" w:hAnsi="Arial" w:cs="Arial"/>
                <w:b/>
                <w:bCs/>
                <w:sz w:val="18"/>
                <w:szCs w:val="18"/>
                <w:lang w:val="en-PH"/>
              </w:rPr>
              <w:t>Percentile point equivalent</w:t>
            </w:r>
          </w:p>
        </w:tc>
        <w:tc>
          <w:tcPr>
            <w:tcW w:w="2550" w:type="dxa"/>
            <w:vAlign w:val="center"/>
          </w:tcPr>
          <w:p w14:paraId="1BE75D0B" w14:textId="77777777" w:rsidR="00436792" w:rsidRDefault="002D3215">
            <w:pPr>
              <w:pStyle w:val="ListParagraph"/>
              <w:ind w:left="0"/>
              <w:jc w:val="center"/>
              <w:rPr>
                <w:rFonts w:ascii="Arial" w:hAnsi="Arial" w:cs="Arial"/>
                <w:b/>
                <w:bCs/>
                <w:sz w:val="18"/>
                <w:szCs w:val="18"/>
              </w:rPr>
            </w:pPr>
            <w:r>
              <w:rPr>
                <w:rFonts w:ascii="Arial" w:hAnsi="Arial" w:cs="Arial"/>
                <w:b/>
                <w:bCs/>
                <w:sz w:val="18"/>
                <w:szCs w:val="18"/>
              </w:rPr>
              <w:t>Interpretation</w:t>
            </w:r>
          </w:p>
        </w:tc>
      </w:tr>
      <w:tr w:rsidR="00436792" w14:paraId="30773D41" w14:textId="77777777">
        <w:trPr>
          <w:trHeight w:val="20"/>
        </w:trPr>
        <w:tc>
          <w:tcPr>
            <w:tcW w:w="1457" w:type="dxa"/>
            <w:vAlign w:val="center"/>
          </w:tcPr>
          <w:p w14:paraId="2BB9CF2F" w14:textId="77777777" w:rsidR="00436792" w:rsidRDefault="002D3215">
            <w:pPr>
              <w:pStyle w:val="ListParagraph"/>
              <w:ind w:left="0"/>
              <w:jc w:val="center"/>
              <w:rPr>
                <w:rFonts w:ascii="Arial" w:hAnsi="Arial" w:cs="Arial"/>
                <w:sz w:val="18"/>
                <w:szCs w:val="18"/>
              </w:rPr>
            </w:pPr>
            <w:r>
              <w:rPr>
                <w:rFonts w:ascii="Arial" w:hAnsi="Arial" w:cs="Arial"/>
                <w:sz w:val="18"/>
                <w:szCs w:val="18"/>
                <w:lang w:val="en-PH"/>
              </w:rPr>
              <w:t>Intervention</w:t>
            </w:r>
          </w:p>
        </w:tc>
        <w:tc>
          <w:tcPr>
            <w:tcW w:w="799" w:type="dxa"/>
            <w:vAlign w:val="center"/>
          </w:tcPr>
          <w:p w14:paraId="124DFC31" w14:textId="77777777" w:rsidR="00436792" w:rsidRDefault="002D3215">
            <w:pPr>
              <w:pStyle w:val="ListParagraph"/>
              <w:ind w:left="0"/>
              <w:jc w:val="center"/>
              <w:rPr>
                <w:rFonts w:ascii="Arial" w:hAnsi="Arial" w:cs="Arial"/>
                <w:sz w:val="18"/>
                <w:szCs w:val="18"/>
              </w:rPr>
            </w:pPr>
            <w:r>
              <w:rPr>
                <w:rFonts w:ascii="Arial" w:hAnsi="Arial" w:cs="Arial"/>
                <w:sz w:val="18"/>
                <w:szCs w:val="18"/>
                <w:lang w:val="en-PH"/>
              </w:rPr>
              <w:t>9.71</w:t>
            </w:r>
          </w:p>
        </w:tc>
        <w:tc>
          <w:tcPr>
            <w:tcW w:w="892" w:type="dxa"/>
            <w:vAlign w:val="center"/>
          </w:tcPr>
          <w:p w14:paraId="54D0AD87" w14:textId="77777777" w:rsidR="00436792" w:rsidRDefault="002D3215">
            <w:pPr>
              <w:pStyle w:val="ListParagraph"/>
              <w:ind w:left="0"/>
              <w:jc w:val="center"/>
              <w:rPr>
                <w:rFonts w:ascii="Arial" w:hAnsi="Arial" w:cs="Arial"/>
                <w:sz w:val="18"/>
                <w:szCs w:val="18"/>
              </w:rPr>
            </w:pPr>
            <w:r>
              <w:rPr>
                <w:rFonts w:ascii="Arial" w:hAnsi="Arial" w:cs="Arial"/>
                <w:sz w:val="18"/>
                <w:szCs w:val="18"/>
                <w:lang w:val="en-PH"/>
              </w:rPr>
              <w:t>3.16</w:t>
            </w:r>
          </w:p>
        </w:tc>
        <w:tc>
          <w:tcPr>
            <w:tcW w:w="1381" w:type="dxa"/>
            <w:vAlign w:val="center"/>
          </w:tcPr>
          <w:p w14:paraId="649E0A0E" w14:textId="77777777" w:rsidR="00436792" w:rsidRDefault="002D3215">
            <w:pPr>
              <w:pStyle w:val="ListParagraph"/>
              <w:ind w:left="0"/>
              <w:jc w:val="center"/>
              <w:rPr>
                <w:rFonts w:ascii="Arial" w:hAnsi="Arial" w:cs="Arial"/>
                <w:sz w:val="18"/>
                <w:szCs w:val="18"/>
              </w:rPr>
            </w:pPr>
            <w:r>
              <w:rPr>
                <w:rFonts w:ascii="Arial" w:hAnsi="Arial" w:cs="Arial"/>
                <w:sz w:val="18"/>
                <w:szCs w:val="18"/>
                <w:lang w:val="en-PH"/>
              </w:rPr>
              <w:t>0.86</w:t>
            </w:r>
          </w:p>
        </w:tc>
        <w:tc>
          <w:tcPr>
            <w:tcW w:w="1530" w:type="dxa"/>
            <w:vAlign w:val="center"/>
          </w:tcPr>
          <w:p w14:paraId="1DF49826" w14:textId="77777777" w:rsidR="00436792" w:rsidRDefault="002D3215">
            <w:pPr>
              <w:pStyle w:val="ListParagraph"/>
              <w:ind w:left="0"/>
              <w:jc w:val="center"/>
              <w:rPr>
                <w:rFonts w:ascii="Arial" w:hAnsi="Arial" w:cs="Arial"/>
                <w:sz w:val="18"/>
                <w:szCs w:val="18"/>
              </w:rPr>
            </w:pPr>
            <w:r>
              <w:rPr>
                <w:rFonts w:ascii="Arial" w:hAnsi="Arial" w:cs="Arial"/>
                <w:sz w:val="18"/>
                <w:szCs w:val="18"/>
                <w:lang w:val="en-PH"/>
              </w:rPr>
              <w:t>31.82</w:t>
            </w:r>
          </w:p>
        </w:tc>
        <w:tc>
          <w:tcPr>
            <w:tcW w:w="2550" w:type="dxa"/>
            <w:vAlign w:val="center"/>
          </w:tcPr>
          <w:p w14:paraId="4B7DB435" w14:textId="77777777" w:rsidR="00436792" w:rsidRDefault="002D3215">
            <w:pPr>
              <w:pStyle w:val="ListParagraph"/>
              <w:ind w:left="0"/>
              <w:jc w:val="center"/>
              <w:rPr>
                <w:rFonts w:ascii="Arial" w:hAnsi="Arial" w:cs="Arial"/>
                <w:sz w:val="18"/>
                <w:szCs w:val="18"/>
              </w:rPr>
            </w:pPr>
            <w:r>
              <w:rPr>
                <w:rFonts w:ascii="Arial" w:hAnsi="Arial" w:cs="Arial"/>
                <w:sz w:val="18"/>
                <w:szCs w:val="18"/>
              </w:rPr>
              <w:t>Th</w:t>
            </w:r>
            <w:r>
              <w:rPr>
                <w:rFonts w:ascii="Arial" w:hAnsi="Arial" w:cs="Arial"/>
                <w:sz w:val="18"/>
                <w:szCs w:val="18"/>
                <w:lang w:val="en-PH"/>
              </w:rPr>
              <w:t xml:space="preserve">e intervention has a large effect on </w:t>
            </w:r>
            <w:r>
              <w:rPr>
                <w:rFonts w:ascii="Arial" w:hAnsi="Arial" w:cs="Arial"/>
                <w:sz w:val="18"/>
                <w:szCs w:val="18"/>
              </w:rPr>
              <w:t>students'</w:t>
            </w:r>
            <w:r>
              <w:rPr>
                <w:rFonts w:ascii="Arial" w:hAnsi="Arial" w:cs="Arial"/>
                <w:sz w:val="18"/>
                <w:szCs w:val="18"/>
                <w:lang w:val="en-PH"/>
              </w:rPr>
              <w:t xml:space="preserve"> scores.</w:t>
            </w:r>
          </w:p>
        </w:tc>
      </w:tr>
    </w:tbl>
    <w:p w14:paraId="6975C4F2" w14:textId="77777777" w:rsidR="00436792" w:rsidRDefault="002D3215">
      <w:pPr>
        <w:pStyle w:val="ConcHead"/>
        <w:spacing w:after="0"/>
        <w:jc w:val="both"/>
        <w:rPr>
          <w:rFonts w:ascii="Arial" w:hAnsi="Arial" w:cs="Arial"/>
          <w:b w:val="0"/>
          <w:bCs/>
          <w:caps w:val="0"/>
          <w:sz w:val="20"/>
          <w:szCs w:val="18"/>
        </w:rPr>
      </w:pPr>
      <w:r>
        <w:rPr>
          <w:rFonts w:ascii="Arial" w:hAnsi="Arial" w:cs="Arial"/>
          <w:b w:val="0"/>
          <w:bCs/>
          <w:caps w:val="0"/>
          <w:sz w:val="20"/>
          <w:szCs w:val="18"/>
        </w:rPr>
        <w:t>This divergence in outcomes between the two groups mirrors prior research affirming the unique benefits of 3D learning tools. Zulaiha et al. (2024) found that the three-dimensional model significantly improved elementary students' achievement in learning volume, echoing the results observed in the experimental group. Similarly, Phuc and Tam (2024) demonstrated that tactile and visual manipulation of 3D-printed models greatly enhanced high school students’ skills in measuring and calculating volume—skills that remained underdeveloped in the control group. These findings suggest that 3D model instruction does not merely support rote learning but fosters active problem-solving and conceptual clarity, leading to transformative learning experiences.</w:t>
      </w:r>
    </w:p>
    <w:p w14:paraId="66116C0D" w14:textId="77777777" w:rsidR="00436792" w:rsidRDefault="002D3215">
      <w:pPr>
        <w:pStyle w:val="ConcHead"/>
        <w:spacing w:after="0"/>
        <w:jc w:val="both"/>
        <w:rPr>
          <w:rFonts w:ascii="Arial" w:hAnsi="Arial" w:cs="Arial"/>
        </w:rPr>
      </w:pPr>
      <w:r>
        <w:rPr>
          <w:rFonts w:ascii="Arial" w:hAnsi="Arial" w:cs="Arial"/>
        </w:rPr>
        <w:t>4. Conclusion</w:t>
      </w:r>
    </w:p>
    <w:p w14:paraId="456B1D64" w14:textId="77777777" w:rsidR="00436792" w:rsidRDefault="002D3215">
      <w:pPr>
        <w:pStyle w:val="ConcHead"/>
        <w:spacing w:after="0"/>
        <w:ind w:left="100"/>
        <w:jc w:val="both"/>
        <w:rPr>
          <w:rFonts w:ascii="Arial" w:hAnsi="Arial" w:cs="Arial"/>
          <w:b w:val="0"/>
          <w:bCs/>
          <w:caps w:val="0"/>
          <w:sz w:val="20"/>
          <w:szCs w:val="18"/>
        </w:rPr>
      </w:pPr>
      <w:r>
        <w:rPr>
          <w:rFonts w:ascii="Arial" w:hAnsi="Arial" w:cs="Arial"/>
          <w:b w:val="0"/>
          <w:bCs/>
          <w:caps w:val="0"/>
          <w:sz w:val="20"/>
          <w:szCs w:val="18"/>
        </w:rPr>
        <w:t>The following are the conclusions drawn from the results of this study:</w:t>
      </w:r>
    </w:p>
    <w:p w14:paraId="39536A08" w14:textId="77777777" w:rsidR="00436792" w:rsidRDefault="002D3215">
      <w:pPr>
        <w:pStyle w:val="Body"/>
        <w:numPr>
          <w:ilvl w:val="0"/>
          <w:numId w:val="4"/>
        </w:numPr>
        <w:spacing w:after="0"/>
        <w:rPr>
          <w:rFonts w:ascii="Arial" w:hAnsi="Arial" w:cs="Arial"/>
        </w:rPr>
      </w:pPr>
      <w:r>
        <w:rPr>
          <w:rFonts w:ascii="Arial" w:hAnsi="Arial" w:cs="Arial"/>
          <w:bCs/>
          <w:szCs w:val="18"/>
        </w:rPr>
        <w:t xml:space="preserve">The pre-test results revealed that both the control and experimental groups fell below the proficiency level outlined in the K to 12 grading system, highlighting the need for more effective teaching strategies in delivering volume-related concepts. </w:t>
      </w:r>
    </w:p>
    <w:p w14:paraId="5017938A" w14:textId="77777777" w:rsidR="00436792" w:rsidRDefault="002D3215">
      <w:pPr>
        <w:pStyle w:val="Body"/>
        <w:numPr>
          <w:ilvl w:val="0"/>
          <w:numId w:val="4"/>
        </w:numPr>
        <w:spacing w:after="0"/>
        <w:rPr>
          <w:rFonts w:ascii="Arial" w:hAnsi="Arial" w:cs="Arial"/>
        </w:rPr>
      </w:pPr>
      <w:r>
        <w:rPr>
          <w:rFonts w:ascii="Arial" w:hAnsi="Arial" w:cs="Arial"/>
          <w:bCs/>
          <w:szCs w:val="18"/>
        </w:rPr>
        <w:t>There was a statistically significant difference in the mean pre-test scores between the control and experimental groups, indicating that the two groups did not begin the intervention at the same level of understanding in finding volume.</w:t>
      </w:r>
    </w:p>
    <w:p w14:paraId="3383FEC8" w14:textId="77777777" w:rsidR="00436792" w:rsidRDefault="002D3215">
      <w:pPr>
        <w:pStyle w:val="Body"/>
        <w:numPr>
          <w:ilvl w:val="0"/>
          <w:numId w:val="4"/>
        </w:numPr>
        <w:spacing w:after="0"/>
        <w:rPr>
          <w:rFonts w:ascii="Arial" w:hAnsi="Arial" w:cs="Arial"/>
        </w:rPr>
      </w:pPr>
      <w:r>
        <w:rPr>
          <w:rFonts w:ascii="Arial" w:hAnsi="Arial" w:cs="Arial"/>
          <w:bCs/>
          <w:szCs w:val="18"/>
        </w:rPr>
        <w:t>The experimental group achieved a higher average post-test score than the control group, indicating that the use of 3D models significantly enhanced students’ ability to find the volume of rectangular prisms.</w:t>
      </w:r>
    </w:p>
    <w:p w14:paraId="69D21CD7" w14:textId="77777777" w:rsidR="00436792" w:rsidRDefault="002D3215">
      <w:pPr>
        <w:pStyle w:val="Body"/>
        <w:numPr>
          <w:ilvl w:val="0"/>
          <w:numId w:val="4"/>
        </w:numPr>
        <w:spacing w:after="0"/>
        <w:rPr>
          <w:rFonts w:ascii="Arial" w:hAnsi="Arial" w:cs="Arial"/>
        </w:rPr>
      </w:pPr>
      <w:r>
        <w:rPr>
          <w:rFonts w:ascii="Arial" w:hAnsi="Arial" w:cs="Arial"/>
          <w:bCs/>
          <w:szCs w:val="18"/>
        </w:rPr>
        <w:t xml:space="preserve">The statistically significant difference in the change of scores between the control and experimental groups highlights the greater effectiveness of instruction using 3D models compared to traditional teaching methods. This result affirms that incorporating concrete </w:t>
      </w:r>
      <w:r>
        <w:rPr>
          <w:rFonts w:ascii="Arial" w:hAnsi="Arial" w:cs="Arial"/>
          <w:bCs/>
          <w:szCs w:val="18"/>
        </w:rPr>
        <w:lastRenderedPageBreak/>
        <w:t>visual tools in mathematics instruction substantially enhances students' ability to understand and apply the concept of volume.</w:t>
      </w:r>
    </w:p>
    <w:p w14:paraId="3CA94A4F" w14:textId="77777777" w:rsidR="00436792" w:rsidRDefault="002D3215">
      <w:pPr>
        <w:pStyle w:val="Body"/>
        <w:numPr>
          <w:ilvl w:val="0"/>
          <w:numId w:val="4"/>
        </w:numPr>
        <w:spacing w:after="0"/>
        <w:rPr>
          <w:rFonts w:ascii="Arial" w:hAnsi="Arial" w:cs="Arial"/>
        </w:rPr>
      </w:pPr>
      <w:r>
        <w:rPr>
          <w:rFonts w:ascii="Arial" w:hAnsi="Arial" w:cs="Arial"/>
          <w:bCs/>
          <w:szCs w:val="18"/>
        </w:rPr>
        <w:t>The effect size results indicate a very large effect of the 3D model intervention. This confirms that the use of 3D models significantly improved students' skills in finding volume, demonstrating both statistical and educational impact over traditional teaching methods.</w:t>
      </w:r>
    </w:p>
    <w:p w14:paraId="4594893F" w14:textId="77777777" w:rsidR="00436792" w:rsidRDefault="002D3215">
      <w:pPr>
        <w:pStyle w:val="Body"/>
        <w:spacing w:after="0"/>
        <w:rPr>
          <w:rFonts w:ascii="Arial" w:hAnsi="Arial" w:cs="Arial"/>
          <w:bCs/>
          <w:szCs w:val="18"/>
        </w:rPr>
      </w:pPr>
      <w:r>
        <w:rPr>
          <w:rFonts w:ascii="Arial" w:hAnsi="Arial" w:cs="Arial"/>
          <w:bCs/>
          <w:szCs w:val="18"/>
        </w:rPr>
        <w:t>The study revealed that both groups started below the expected proficiency level. The experimental group showed significantly greater improvement after the intervention. This confirms the effectiveness and strong educational impact of using 3D models in teaching volume concepts in Mathematics.</w:t>
      </w:r>
    </w:p>
    <w:p w14:paraId="6E6219D7" w14:textId="77777777" w:rsidR="00436792" w:rsidRDefault="00436792">
      <w:pPr>
        <w:pStyle w:val="Body"/>
        <w:spacing w:after="0"/>
        <w:rPr>
          <w:rFonts w:ascii="Arial" w:hAnsi="Arial" w:cs="Arial"/>
          <w:bCs/>
          <w:szCs w:val="18"/>
        </w:rPr>
      </w:pPr>
    </w:p>
    <w:p w14:paraId="68B78743" w14:textId="77777777" w:rsidR="00436792" w:rsidRDefault="002D3215">
      <w:pPr>
        <w:pStyle w:val="ReferHead"/>
        <w:spacing w:after="0"/>
        <w:jc w:val="both"/>
        <w:rPr>
          <w:rFonts w:ascii="Arial" w:hAnsi="Arial" w:cs="Arial"/>
        </w:rPr>
      </w:pPr>
      <w:r>
        <w:rPr>
          <w:rFonts w:ascii="Arial" w:hAnsi="Arial" w:cs="Arial"/>
        </w:rPr>
        <w:t>References</w:t>
      </w:r>
    </w:p>
    <w:p w14:paraId="63CCF399" w14:textId="77777777" w:rsidR="00436792" w:rsidRDefault="002D3215" w:rsidP="00213BD8">
      <w:pPr>
        <w:pStyle w:val="Body"/>
        <w:spacing w:after="0"/>
        <w:rPr>
          <w:rFonts w:ascii="Arial" w:hAnsi="Arial" w:cs="Arial"/>
        </w:rPr>
        <w:sectPr w:rsidR="00436792" w:rsidSect="00DC6B73">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2016" w:bottom="2016" w:left="2016" w:header="720" w:footer="1123" w:gutter="0"/>
          <w:cols w:space="720"/>
          <w:docGrid w:linePitch="272"/>
        </w:sectPr>
      </w:pPr>
      <w:r>
        <w:rPr>
          <w:rFonts w:ascii="Arial" w:hAnsi="Arial" w:cs="Arial"/>
        </w:rPr>
        <w:t xml:space="preserve">Abramovich, S., </w:t>
      </w:r>
      <w:proofErr w:type="spellStart"/>
      <w:r>
        <w:rPr>
          <w:rFonts w:ascii="Arial" w:hAnsi="Arial" w:cs="Arial"/>
        </w:rPr>
        <w:t>Grinshpan</w:t>
      </w:r>
      <w:proofErr w:type="spellEnd"/>
      <w:r>
        <w:rPr>
          <w:rFonts w:ascii="Arial" w:hAnsi="Arial" w:cs="Arial"/>
        </w:rPr>
        <w:t xml:space="preserve">, A. Z., &amp; Milligan, D. (2019). Teaching mathematics through concept motivation and action learning. Education Sciences, 9(3), 1–14. </w:t>
      </w:r>
      <w:hyperlink r:id="rId15" w:tgtFrame="_new" w:history="1">
        <w:r>
          <w:rPr>
            <w:rFonts w:ascii="Arial" w:hAnsi="Arial" w:cs="Arial"/>
            <w:color w:val="FF3EAF"/>
          </w:rPr>
          <w:t>https://doi.org/10.3390/educsci9030179</w:t>
        </w:r>
      </w:hyperlink>
      <w:r>
        <w:rPr>
          <w:rFonts w:ascii="Arial" w:hAnsi="Arial" w:cs="Arial"/>
        </w:rPr>
        <w:br/>
      </w:r>
      <w:proofErr w:type="spellStart"/>
      <w:r>
        <w:rPr>
          <w:rFonts w:ascii="Arial" w:hAnsi="Arial" w:cs="Arial"/>
        </w:rPr>
        <w:t>Alinsunurin</w:t>
      </w:r>
      <w:proofErr w:type="spellEnd"/>
      <w:r>
        <w:rPr>
          <w:rFonts w:ascii="Arial" w:hAnsi="Arial" w:cs="Arial"/>
        </w:rPr>
        <w:t xml:space="preserve">, J. (2021). Filipino students' performance in PISA and its policy implications. Asian Journal of Comparative Politics, 6(1), 1–13. </w:t>
      </w:r>
      <w:hyperlink r:id="rId16" w:tgtFrame="_new" w:history="1">
        <w:r>
          <w:rPr>
            <w:rFonts w:ascii="Arial" w:hAnsi="Arial" w:cs="Arial"/>
            <w:color w:val="FF3EAF"/>
          </w:rPr>
          <w:t>https://doi.org/10.1177/2057891120981576</w:t>
        </w:r>
      </w:hyperlink>
      <w:r>
        <w:rPr>
          <w:rFonts w:ascii="Arial" w:hAnsi="Arial" w:cs="Arial"/>
        </w:rPr>
        <w:br/>
        <w:t xml:space="preserve">Aslan, M., Gunawan, G., </w:t>
      </w:r>
      <w:proofErr w:type="spellStart"/>
      <w:r>
        <w:rPr>
          <w:rFonts w:ascii="Arial" w:hAnsi="Arial" w:cs="Arial"/>
        </w:rPr>
        <w:t>Sahidu</w:t>
      </w:r>
      <w:proofErr w:type="spellEnd"/>
      <w:r>
        <w:rPr>
          <w:rFonts w:ascii="Arial" w:hAnsi="Arial" w:cs="Arial"/>
        </w:rPr>
        <w:t xml:space="preserve">, H., &amp; </w:t>
      </w:r>
      <w:proofErr w:type="spellStart"/>
      <w:r>
        <w:rPr>
          <w:rFonts w:ascii="Arial" w:hAnsi="Arial" w:cs="Arial"/>
        </w:rPr>
        <w:t>Herayanti</w:t>
      </w:r>
      <w:proofErr w:type="spellEnd"/>
      <w:r>
        <w:rPr>
          <w:rFonts w:ascii="Arial" w:hAnsi="Arial" w:cs="Arial"/>
        </w:rPr>
        <w:t>, L. (2024). Improving students’ mathematical representation ability and self-efficacy using 3D learning media. International Journal of Instruction, 17(1), 145–160.</w:t>
      </w:r>
      <w:r>
        <w:rPr>
          <w:rFonts w:ascii="Arial" w:hAnsi="Arial" w:cs="Arial"/>
          <w:color w:val="FF3EAF"/>
        </w:rPr>
        <w:t xml:space="preserve"> </w:t>
      </w:r>
      <w:hyperlink r:id="rId17" w:tgtFrame="_new" w:history="1">
        <w:r>
          <w:rPr>
            <w:rFonts w:ascii="Arial" w:hAnsi="Arial" w:cs="Arial"/>
            <w:color w:val="FF3EAF"/>
          </w:rPr>
          <w:t>https://doi.org/10.29333/iji.2024.1719a</w:t>
        </w:r>
      </w:hyperlink>
      <w:r>
        <w:rPr>
          <w:rFonts w:ascii="Arial" w:hAnsi="Arial" w:cs="Arial"/>
        </w:rPr>
        <w:br/>
      </w:r>
      <w:proofErr w:type="spellStart"/>
      <w:r>
        <w:rPr>
          <w:rFonts w:ascii="Arial" w:hAnsi="Arial" w:cs="Arial"/>
        </w:rPr>
        <w:t>Boaler</w:t>
      </w:r>
      <w:proofErr w:type="spellEnd"/>
      <w:r>
        <w:rPr>
          <w:rFonts w:ascii="Arial" w:hAnsi="Arial" w:cs="Arial"/>
        </w:rPr>
        <w:t xml:space="preserve">, J., Chen, L., Williams, C., &amp; Cordero, M. (2016). Seeing as understanding: The importance of visual mathematics for our brain and learning. Journal of Applied &amp; Computational Mathematics, 5(5). </w:t>
      </w:r>
      <w:hyperlink r:id="rId18" w:tgtFrame="_new" w:history="1">
        <w:r>
          <w:rPr>
            <w:rFonts w:ascii="Arial" w:hAnsi="Arial" w:cs="Arial"/>
            <w:color w:val="FF3EAF"/>
          </w:rPr>
          <w:t>https://doi.org/10.4172/2168-9679.1000325</w:t>
        </w:r>
      </w:hyperlink>
      <w:r>
        <w:rPr>
          <w:rFonts w:ascii="Arial" w:hAnsi="Arial" w:cs="Arial"/>
        </w:rPr>
        <w:br/>
        <w:t xml:space="preserve">Burte, H., </w:t>
      </w:r>
      <w:proofErr w:type="spellStart"/>
      <w:r>
        <w:rPr>
          <w:rFonts w:ascii="Arial" w:hAnsi="Arial" w:cs="Arial"/>
        </w:rPr>
        <w:t>Gardony</w:t>
      </w:r>
      <w:proofErr w:type="spellEnd"/>
      <w:r>
        <w:rPr>
          <w:rFonts w:ascii="Arial" w:hAnsi="Arial" w:cs="Arial"/>
        </w:rPr>
        <w:t>, A. L., Hutton, A., &amp; Taylor, H. A. (2017). Think3</w:t>
      </w:r>
      <w:proofErr w:type="gramStart"/>
      <w:r>
        <w:rPr>
          <w:rFonts w:ascii="Arial" w:hAnsi="Arial" w:cs="Arial"/>
        </w:rPr>
        <w:t>d!:</w:t>
      </w:r>
      <w:proofErr w:type="gramEnd"/>
      <w:r>
        <w:rPr>
          <w:rFonts w:ascii="Arial" w:hAnsi="Arial" w:cs="Arial"/>
        </w:rPr>
        <w:t xml:space="preserve"> Improving mathematics learning through embodied spatial training. Cognitive Research: Principles and Implications, 2(1). </w:t>
      </w:r>
      <w:hyperlink r:id="rId19" w:tgtFrame="_new" w:history="1">
        <w:r>
          <w:rPr>
            <w:rFonts w:ascii="Arial" w:hAnsi="Arial" w:cs="Arial"/>
            <w:color w:val="FF3EAF"/>
          </w:rPr>
          <w:t>https://doi.org/10.1186/s41235-017-0052-9</w:t>
        </w:r>
      </w:hyperlink>
      <w:r>
        <w:rPr>
          <w:rFonts w:ascii="Arial" w:hAnsi="Arial" w:cs="Arial"/>
        </w:rPr>
        <w:br/>
        <w:t xml:space="preserve">Chen, J., Huang, Y., Lin, K., Chang, Y., Lin, H., Lin, C., &amp; Hsiao, H. (2019). Developing a hands‐on activity using virtual reality to help students learn by doing. Journal of Computer Assisted Learning, 36(1), 46–60. </w:t>
      </w:r>
      <w:hyperlink r:id="rId20" w:tgtFrame="_new" w:history="1">
        <w:r>
          <w:rPr>
            <w:rFonts w:ascii="Arial" w:hAnsi="Arial" w:cs="Arial"/>
            <w:color w:val="FF3EAF"/>
          </w:rPr>
          <w:t>https://doi.org/10.1111/jcal.12389</w:t>
        </w:r>
      </w:hyperlink>
      <w:r>
        <w:rPr>
          <w:rFonts w:ascii="Arial" w:hAnsi="Arial" w:cs="Arial"/>
        </w:rPr>
        <w:br/>
      </w:r>
      <w:proofErr w:type="spellStart"/>
      <w:r>
        <w:rPr>
          <w:rFonts w:ascii="Arial" w:hAnsi="Arial" w:cs="Arial"/>
        </w:rPr>
        <w:t>Cimermanová</w:t>
      </w:r>
      <w:proofErr w:type="spellEnd"/>
      <w:r>
        <w:rPr>
          <w:rFonts w:ascii="Arial" w:hAnsi="Arial" w:cs="Arial"/>
        </w:rPr>
        <w:t xml:space="preserve">, I. (2018). The effect of learning styles on academic achievement in different forms of teaching. International Journal of Instruction, 11(3), 219–232. </w:t>
      </w:r>
      <w:hyperlink r:id="rId21" w:tgtFrame="_new" w:history="1">
        <w:r>
          <w:rPr>
            <w:rFonts w:ascii="Arial" w:hAnsi="Arial" w:cs="Arial"/>
            <w:color w:val="FF3EAF"/>
            <w:u w:val="single"/>
          </w:rPr>
          <w:t>https://doi.org/10.12973/iji.2018.11316a</w:t>
        </w:r>
      </w:hyperlink>
      <w:r>
        <w:rPr>
          <w:rFonts w:ascii="Arial" w:hAnsi="Arial" w:cs="Arial"/>
        </w:rPr>
        <w:br/>
        <w:t xml:space="preserve">Corum, K. (2017). Exploring the use of STEM-related hands-on instructional activities to support students’ understanding of algebra and geometry [Master’s thesis, University of Virginia]. </w:t>
      </w:r>
      <w:hyperlink r:id="rId22" w:tgtFrame="_new" w:history="1">
        <w:r>
          <w:rPr>
            <w:rFonts w:ascii="Arial" w:hAnsi="Arial" w:cs="Arial"/>
            <w:color w:val="FF3EAF"/>
          </w:rPr>
          <w:t>https://doi.org/10.18130/v3393g</w:t>
        </w:r>
      </w:hyperlink>
      <w:r>
        <w:rPr>
          <w:rFonts w:ascii="Arial" w:hAnsi="Arial" w:cs="Arial"/>
        </w:rPr>
        <w:br/>
        <w:t xml:space="preserve">Darling-Hammond, L., &amp; Cook-Harvey, C. M. (2018). Educating the whole child: Improving school climate to support student success. Learning Policy Institute. </w:t>
      </w:r>
      <w:hyperlink r:id="rId23" w:tgtFrame="_new" w:history="1">
        <w:r>
          <w:rPr>
            <w:rFonts w:ascii="Arial" w:hAnsi="Arial" w:cs="Arial"/>
            <w:color w:val="FF3EAF"/>
          </w:rPr>
          <w:t>https://doi.org/10.54300/145.655</w:t>
        </w:r>
      </w:hyperlink>
      <w:r>
        <w:rPr>
          <w:rFonts w:ascii="Arial" w:hAnsi="Arial" w:cs="Arial"/>
        </w:rPr>
        <w:br/>
        <w:t xml:space="preserve">Davis, B., &amp; </w:t>
      </w:r>
      <w:proofErr w:type="spellStart"/>
      <w:r>
        <w:rPr>
          <w:rFonts w:ascii="Arial" w:hAnsi="Arial" w:cs="Arial"/>
        </w:rPr>
        <w:t>Simmt</w:t>
      </w:r>
      <w:proofErr w:type="spellEnd"/>
      <w:r>
        <w:rPr>
          <w:rFonts w:ascii="Arial" w:hAnsi="Arial" w:cs="Arial"/>
        </w:rPr>
        <w:t xml:space="preserve">, E. (2015). Problem solving in a 21st-century mathematics curriculum. In S. Cho (Ed.), Selected regular lectures from the 12th International Congress on Mathematical Education (pp. 325–347). Routledge. </w:t>
      </w:r>
      <w:hyperlink r:id="rId24" w:tgtFrame="_new" w:history="1">
        <w:r>
          <w:rPr>
            <w:rFonts w:ascii="Arial" w:hAnsi="Arial" w:cs="Arial"/>
            <w:color w:val="FF3EAF"/>
          </w:rPr>
          <w:t>https://doi.org/10.4324/9780203448946-20</w:t>
        </w:r>
      </w:hyperlink>
      <w:r>
        <w:rPr>
          <w:rFonts w:ascii="Arial" w:hAnsi="Arial" w:cs="Arial"/>
          <w:color w:val="FF3EAF"/>
        </w:rPr>
        <w:br/>
      </w:r>
      <w:r>
        <w:rPr>
          <w:rFonts w:ascii="Arial" w:hAnsi="Arial" w:cs="Arial"/>
        </w:rPr>
        <w:t xml:space="preserve">DeSutter, D., &amp; Stieff, M. (2017). Teaching students to think spatially through embodied actions: Design principles for learning environments in science, technology, engineering, and mathematics. Cognitive Research: Principles and Implications, 2(1). </w:t>
      </w:r>
      <w:hyperlink r:id="rId25" w:tgtFrame="_new" w:history="1">
        <w:r>
          <w:rPr>
            <w:rFonts w:ascii="Arial" w:hAnsi="Arial" w:cs="Arial"/>
            <w:color w:val="FF3EAF"/>
          </w:rPr>
          <w:t>https://doi.org/10.1186/s41235-016-0039-y</w:t>
        </w:r>
      </w:hyperlink>
      <w:r>
        <w:rPr>
          <w:rFonts w:ascii="Arial" w:hAnsi="Arial" w:cs="Arial"/>
        </w:rPr>
        <w:br/>
        <w:t xml:space="preserve">Fujii, T. (2020). The role of mathematical tasks in lesson study: The case of a mathematics lesson from a Japanese school. ZDM Mathematics Education, 52(7), 1223–1235. </w:t>
      </w:r>
      <w:hyperlink r:id="rId26" w:tgtFrame="_new" w:history="1">
        <w:r>
          <w:rPr>
            <w:rFonts w:ascii="Arial" w:hAnsi="Arial" w:cs="Arial"/>
            <w:color w:val="FF3EAF"/>
          </w:rPr>
          <w:t>https://doi.org/10.1007/s11858-020-01163-9</w:t>
        </w:r>
      </w:hyperlink>
      <w:r>
        <w:rPr>
          <w:rFonts w:ascii="Arial" w:hAnsi="Arial" w:cs="Arial"/>
        </w:rPr>
        <w:br/>
        <w:t xml:space="preserve">Fujita, T., Kondo, Y., Kumakura, H., &amp; </w:t>
      </w:r>
      <w:proofErr w:type="spellStart"/>
      <w:r>
        <w:rPr>
          <w:rFonts w:ascii="Arial" w:hAnsi="Arial" w:cs="Arial"/>
        </w:rPr>
        <w:t>Kunimune</w:t>
      </w:r>
      <w:proofErr w:type="spellEnd"/>
      <w:r>
        <w:rPr>
          <w:rFonts w:ascii="Arial" w:hAnsi="Arial" w:cs="Arial"/>
        </w:rPr>
        <w:t>, S. (2017). Students’ geometric thinking with cube representations: Assessment framework and empirical evidence. The Journal of Mathematical Behavior, 46, 96–111.</w:t>
      </w:r>
      <w:r>
        <w:rPr>
          <w:rFonts w:ascii="Arial" w:hAnsi="Arial" w:cs="Arial"/>
          <w:color w:val="FF3EAF"/>
        </w:rPr>
        <w:t xml:space="preserve"> </w:t>
      </w:r>
      <w:hyperlink r:id="rId27" w:tgtFrame="_new" w:history="1">
        <w:r>
          <w:rPr>
            <w:rFonts w:ascii="Arial" w:hAnsi="Arial" w:cs="Arial"/>
            <w:color w:val="FF3EAF"/>
          </w:rPr>
          <w:t>https://doi.org/10.1016/j.jmathb.2017.03.003</w:t>
        </w:r>
      </w:hyperlink>
      <w:r>
        <w:rPr>
          <w:rFonts w:ascii="Arial" w:hAnsi="Arial" w:cs="Arial"/>
        </w:rPr>
        <w:br/>
        <w:t xml:space="preserve">Guner, N. (2020). Difficulties encountered by high school students in mathematics. </w:t>
      </w:r>
      <w:r>
        <w:rPr>
          <w:rFonts w:ascii="Arial" w:hAnsi="Arial" w:cs="Arial"/>
        </w:rPr>
        <w:lastRenderedPageBreak/>
        <w:t xml:space="preserve">International Journal of Educational Methodology, 6(4), 703–713. </w:t>
      </w:r>
      <w:hyperlink r:id="rId28" w:tgtFrame="_new" w:history="1">
        <w:r>
          <w:rPr>
            <w:rFonts w:ascii="Arial" w:hAnsi="Arial" w:cs="Arial"/>
            <w:color w:val="FF3EAF"/>
          </w:rPr>
          <w:t>https://doi.org/10.12973/ijem.6.4.703</w:t>
        </w:r>
      </w:hyperlink>
      <w:r>
        <w:rPr>
          <w:rFonts w:ascii="Arial" w:hAnsi="Arial" w:cs="Arial"/>
        </w:rPr>
        <w:br/>
        <w:t xml:space="preserve">Huang, H. E., &amp; Wu, H. (2019). Supporting children’s understanding of volume measurement and ability to solve volume problems: Teaching and learning. Eurasia Journal of Mathematics, Science and Technology Education, 15(12). </w:t>
      </w:r>
      <w:hyperlink r:id="rId29" w:tgtFrame="_new" w:history="1">
        <w:r>
          <w:rPr>
            <w:rFonts w:ascii="Arial" w:hAnsi="Arial" w:cs="Arial"/>
            <w:color w:val="FF3EAF"/>
          </w:rPr>
          <w:t>https://doi.org/10.29333/ejmste/109531</w:t>
        </w:r>
      </w:hyperlink>
      <w:r>
        <w:rPr>
          <w:rFonts w:ascii="Arial" w:hAnsi="Arial" w:cs="Arial"/>
        </w:rPr>
        <w:br/>
      </w:r>
      <w:proofErr w:type="spellStart"/>
      <w:r>
        <w:rPr>
          <w:rFonts w:ascii="Arial" w:hAnsi="Arial" w:cs="Arial"/>
        </w:rPr>
        <w:t>İbili</w:t>
      </w:r>
      <w:proofErr w:type="spellEnd"/>
      <w:r>
        <w:rPr>
          <w:rFonts w:ascii="Arial" w:hAnsi="Arial" w:cs="Arial"/>
        </w:rPr>
        <w:t xml:space="preserve">, E., </w:t>
      </w:r>
      <w:proofErr w:type="spellStart"/>
      <w:r>
        <w:rPr>
          <w:rFonts w:ascii="Arial" w:hAnsi="Arial" w:cs="Arial"/>
        </w:rPr>
        <w:t>Çat</w:t>
      </w:r>
      <w:proofErr w:type="spellEnd"/>
      <w:r>
        <w:rPr>
          <w:rFonts w:ascii="Arial" w:hAnsi="Arial" w:cs="Arial"/>
        </w:rPr>
        <w:t xml:space="preserve">, M., </w:t>
      </w:r>
      <w:proofErr w:type="spellStart"/>
      <w:r>
        <w:rPr>
          <w:rFonts w:ascii="Arial" w:hAnsi="Arial" w:cs="Arial"/>
        </w:rPr>
        <w:t>Resnyansky</w:t>
      </w:r>
      <w:proofErr w:type="spellEnd"/>
      <w:r>
        <w:rPr>
          <w:rFonts w:ascii="Arial" w:hAnsi="Arial" w:cs="Arial"/>
        </w:rPr>
        <w:t>, D., Şahin, S., &amp; Billinghurst, M. (2019). An assessment of geometry teaching supported with augmented reality teaching materials to enhance students’ 3D geometry thinking skills. International Journal of Mathematical Education in Science and Technology, 1–23.</w:t>
      </w:r>
      <w:r>
        <w:rPr>
          <w:rFonts w:ascii="Arial" w:hAnsi="Arial" w:cs="Arial"/>
          <w:color w:val="FF3EAF"/>
        </w:rPr>
        <w:t xml:space="preserve"> </w:t>
      </w:r>
      <w:hyperlink r:id="rId30" w:tgtFrame="_new" w:history="1">
        <w:r>
          <w:rPr>
            <w:rFonts w:ascii="Arial" w:hAnsi="Arial" w:cs="Arial"/>
            <w:color w:val="FF3EAF"/>
          </w:rPr>
          <w:t>https://doi.org/10.1080/0020739X.2019.1583382</w:t>
        </w:r>
      </w:hyperlink>
      <w:r>
        <w:rPr>
          <w:rFonts w:ascii="Arial" w:hAnsi="Arial" w:cs="Arial"/>
        </w:rPr>
        <w:br/>
        <w:t xml:space="preserve">Johnson, A. M., </w:t>
      </w:r>
      <w:proofErr w:type="spellStart"/>
      <w:r>
        <w:rPr>
          <w:rFonts w:ascii="Arial" w:hAnsi="Arial" w:cs="Arial"/>
        </w:rPr>
        <w:t>Jacovina</w:t>
      </w:r>
      <w:proofErr w:type="spellEnd"/>
      <w:r>
        <w:rPr>
          <w:rFonts w:ascii="Arial" w:hAnsi="Arial" w:cs="Arial"/>
        </w:rPr>
        <w:t xml:space="preserve">, M. E., Russell, D. G., &amp; Soto, C. M. (2016). Challenges and solutions when using technologies in the classroom. In S. A. Crossley &amp; D. S. McNamara (Eds.), Adaptive educational technologies for literacy instruction (pp. 13–30). Routledge. </w:t>
      </w:r>
      <w:hyperlink r:id="rId31" w:tgtFrame="_new" w:history="1">
        <w:r>
          <w:rPr>
            <w:rFonts w:ascii="Arial" w:hAnsi="Arial" w:cs="Arial"/>
            <w:color w:val="FF3EAF"/>
          </w:rPr>
          <w:t>https://doi.org/10.4324/9781315647500-2</w:t>
        </w:r>
      </w:hyperlink>
      <w:r>
        <w:rPr>
          <w:rFonts w:ascii="Arial" w:hAnsi="Arial" w:cs="Arial"/>
        </w:rPr>
        <w:br/>
        <w:t xml:space="preserve">Kaiser, G. (2020). Mathematical modelling and applications in education. In S. Lerman (Ed.), Encyclopedia of mathematics education (pp. 553–561). Springer. </w:t>
      </w:r>
      <w:hyperlink r:id="rId32" w:tgtFrame="_new" w:history="1">
        <w:r>
          <w:rPr>
            <w:rFonts w:ascii="Arial" w:hAnsi="Arial" w:cs="Arial"/>
            <w:color w:val="FF3EAF"/>
          </w:rPr>
          <w:t>https://doi.org/10.1007/978-3-030-15789-0_101</w:t>
        </w:r>
      </w:hyperlink>
      <w:r>
        <w:rPr>
          <w:rFonts w:ascii="Arial" w:hAnsi="Arial" w:cs="Arial"/>
        </w:rPr>
        <w:br/>
        <w:t xml:space="preserve">Kok, P. J. (2020). Pre-service teachers’ visuospatial cognition: 2D to 3D transition. African Journal of Research in Mathematics, Science and Technology Education, 24(3), 293–306. </w:t>
      </w:r>
      <w:hyperlink r:id="rId33" w:tgtFrame="_new" w:history="1">
        <w:r>
          <w:rPr>
            <w:rFonts w:ascii="Arial" w:hAnsi="Arial" w:cs="Arial"/>
            <w:color w:val="FF3EAF"/>
          </w:rPr>
          <w:t>https://doi.org/10.1080/18117295.2020.1848279</w:t>
        </w:r>
      </w:hyperlink>
      <w:r>
        <w:rPr>
          <w:rFonts w:ascii="Arial" w:hAnsi="Arial" w:cs="Arial"/>
        </w:rPr>
        <w:br/>
        <w:t xml:space="preserve">Kurniawan, Y., Widodo, S. A., &amp; </w:t>
      </w:r>
      <w:proofErr w:type="spellStart"/>
      <w:r>
        <w:rPr>
          <w:rFonts w:ascii="Arial" w:hAnsi="Arial" w:cs="Arial"/>
        </w:rPr>
        <w:t>Kustandi</w:t>
      </w:r>
      <w:proofErr w:type="spellEnd"/>
      <w:r>
        <w:rPr>
          <w:rFonts w:ascii="Arial" w:hAnsi="Arial" w:cs="Arial"/>
        </w:rPr>
        <w:t xml:space="preserve">, C. (2022). The effect of 3D printed media in improving elementary students’ spatial ability and problem-solving skills. International Journal of Emerging Technologies in Learning, 17(13), 122–133. </w:t>
      </w:r>
      <w:hyperlink r:id="rId34" w:tgtFrame="_new" w:history="1">
        <w:r>
          <w:rPr>
            <w:rFonts w:ascii="Arial" w:hAnsi="Arial" w:cs="Arial"/>
            <w:color w:val="FF3EAF"/>
          </w:rPr>
          <w:t>https://doi.org/10.3991/ijet.v17i13.31941</w:t>
        </w:r>
      </w:hyperlink>
      <w:r>
        <w:rPr>
          <w:rFonts w:ascii="Arial" w:hAnsi="Arial" w:cs="Arial"/>
        </w:rPr>
        <w:br/>
        <w:t xml:space="preserve">Levin, L., &amp; Verner, I. M. (2020). Fostering students’ analytical thinking and applied mathematical skills through 3D design and printing. In 2020 IEEE Global Engineering Education Conference (EDUCON) (pp. 159–166). IEEE. </w:t>
      </w:r>
      <w:hyperlink r:id="rId35" w:tgtFrame="_new" w:history="1">
        <w:r>
          <w:rPr>
            <w:rFonts w:ascii="Arial" w:hAnsi="Arial" w:cs="Arial"/>
            <w:color w:val="FF3EAF"/>
          </w:rPr>
          <w:t>https://doi.org/10.1109/EDUCON45650.2020.9125358</w:t>
        </w:r>
      </w:hyperlink>
      <w:r>
        <w:rPr>
          <w:rFonts w:ascii="Arial" w:hAnsi="Arial" w:cs="Arial"/>
        </w:rPr>
        <w:br/>
        <w:t xml:space="preserve">Lomibao, L. S. (2016). Enhancing mathematics teachers’ quality through lesson study. </w:t>
      </w:r>
      <w:proofErr w:type="spellStart"/>
      <w:r>
        <w:rPr>
          <w:rFonts w:ascii="Arial" w:hAnsi="Arial" w:cs="Arial"/>
        </w:rPr>
        <w:t>SpringerPlus</w:t>
      </w:r>
      <w:proofErr w:type="spellEnd"/>
      <w:r>
        <w:rPr>
          <w:rFonts w:ascii="Arial" w:hAnsi="Arial" w:cs="Arial"/>
        </w:rPr>
        <w:t>, 5(1), Article 1590.</w:t>
      </w:r>
      <w:r>
        <w:rPr>
          <w:rFonts w:ascii="Arial" w:hAnsi="Arial" w:cs="Arial"/>
          <w:color w:val="FF3EAF"/>
        </w:rPr>
        <w:t xml:space="preserve"> </w:t>
      </w:r>
      <w:hyperlink r:id="rId36" w:tgtFrame="_new" w:history="1">
        <w:r>
          <w:rPr>
            <w:rFonts w:ascii="Arial" w:hAnsi="Arial" w:cs="Arial"/>
            <w:color w:val="FF3EAF"/>
          </w:rPr>
          <w:t>https://doi.org/10.1186/s40064-016-3215-0</w:t>
        </w:r>
      </w:hyperlink>
      <w:r>
        <w:rPr>
          <w:rFonts w:ascii="Arial" w:hAnsi="Arial" w:cs="Arial"/>
        </w:rPr>
        <w:br/>
        <w:t xml:space="preserve">Lowrie, T., Logan, T., &amp; Hegarty, M. (2019). The influence of spatial visualization training on students’ spatial reasoning and mathematics performance. Journal of Cognition and Development, 1–23. </w:t>
      </w:r>
      <w:hyperlink r:id="rId37" w:tgtFrame="_new" w:history="1">
        <w:r>
          <w:rPr>
            <w:rFonts w:ascii="Arial" w:hAnsi="Arial" w:cs="Arial"/>
            <w:color w:val="FF3EAF"/>
          </w:rPr>
          <w:t>https://doi.org/10.1080/15248372.2019.1653298</w:t>
        </w:r>
      </w:hyperlink>
      <w:r>
        <w:rPr>
          <w:rFonts w:ascii="Arial" w:hAnsi="Arial" w:cs="Arial"/>
        </w:rPr>
        <w:br/>
        <w:t xml:space="preserve">Lowrie, T., Logan, T., &amp; Ramful, A. (2019). Spatial reasoning influences students’ mathematical achievement: Cross-cultural evidence. Mathematics Education Research Journal, 31(2), 239–253. </w:t>
      </w:r>
      <w:hyperlink r:id="rId38" w:tgtFrame="_new" w:history="1">
        <w:r>
          <w:rPr>
            <w:rFonts w:ascii="Arial" w:hAnsi="Arial" w:cs="Arial"/>
            <w:color w:val="FF3EAF"/>
          </w:rPr>
          <w:t>https://doi.org/10.1007/s13394-019-00273-2</w:t>
        </w:r>
      </w:hyperlink>
      <w:r>
        <w:rPr>
          <w:rFonts w:ascii="Arial" w:hAnsi="Arial" w:cs="Arial"/>
        </w:rPr>
        <w:br/>
        <w:t xml:space="preserve">Mamali, K. (2015). Teachers’ beliefs and their practices regarding problem-solving teaching approach in geometry [Doctoral dissertation, University of Pretoria]. </w:t>
      </w:r>
      <w:hyperlink r:id="rId39" w:tgtFrame="_new" w:history="1">
        <w:r>
          <w:rPr>
            <w:rFonts w:ascii="Arial" w:hAnsi="Arial" w:cs="Arial"/>
            <w:color w:val="FF3EAF"/>
          </w:rPr>
          <w:t>https://repository.up.ac.za/handle/2263/50987</w:t>
        </w:r>
      </w:hyperlink>
      <w:r>
        <w:rPr>
          <w:rFonts w:ascii="Arial" w:hAnsi="Arial" w:cs="Arial"/>
        </w:rPr>
        <w:br/>
      </w:r>
      <w:proofErr w:type="spellStart"/>
      <w:r>
        <w:rPr>
          <w:rFonts w:ascii="Arial" w:hAnsi="Arial" w:cs="Arial"/>
        </w:rPr>
        <w:t>Mirzajani</w:t>
      </w:r>
      <w:proofErr w:type="spellEnd"/>
      <w:r>
        <w:rPr>
          <w:rFonts w:ascii="Arial" w:hAnsi="Arial" w:cs="Arial"/>
        </w:rPr>
        <w:t xml:space="preserve">, H., Mahmud, R., Fauzi Mohd Ayub, A., &amp; Wong, S. L. (2016). Teachers’ acceptance of ICT and its integration in the classroom. Quality Assurance in Education, 24(1), 26–40. </w:t>
      </w:r>
      <w:hyperlink r:id="rId40" w:tgtFrame="_new" w:history="1">
        <w:r>
          <w:rPr>
            <w:rFonts w:ascii="Arial" w:hAnsi="Arial" w:cs="Arial"/>
            <w:color w:val="FF3EAF"/>
          </w:rPr>
          <w:t>https://doi.org/10.1108/QAE-06-2014-0025</w:t>
        </w:r>
      </w:hyperlink>
      <w:r>
        <w:rPr>
          <w:rFonts w:ascii="Arial" w:hAnsi="Arial" w:cs="Arial"/>
        </w:rPr>
        <w:br/>
      </w:r>
      <w:proofErr w:type="spellStart"/>
      <w:r>
        <w:rPr>
          <w:rFonts w:ascii="Arial" w:hAnsi="Arial" w:cs="Arial"/>
        </w:rPr>
        <w:t>Mjenda</w:t>
      </w:r>
      <w:proofErr w:type="spellEnd"/>
      <w:r>
        <w:rPr>
          <w:rFonts w:ascii="Arial" w:hAnsi="Arial" w:cs="Arial"/>
        </w:rPr>
        <w:t xml:space="preserve">, F., </w:t>
      </w:r>
      <w:proofErr w:type="spellStart"/>
      <w:r>
        <w:rPr>
          <w:rFonts w:ascii="Arial" w:hAnsi="Arial" w:cs="Arial"/>
        </w:rPr>
        <w:t>Kafyulilo</w:t>
      </w:r>
      <w:proofErr w:type="spellEnd"/>
      <w:r>
        <w:rPr>
          <w:rFonts w:ascii="Arial" w:hAnsi="Arial" w:cs="Arial"/>
        </w:rPr>
        <w:t>, A. C., &amp; Chirwa, H. (2023). Enhancing students’ spatial visualization through 3D models. Contemporary Educational Technology, 15(1), 111–129.</w:t>
      </w:r>
      <w:r>
        <w:rPr>
          <w:rFonts w:ascii="Arial" w:hAnsi="Arial" w:cs="Arial"/>
        </w:rPr>
        <w:br/>
        <w:t xml:space="preserve">Phuc, D. H., &amp; Tam, H. T. (2024). The effectiveness of 3D-printed learning media on students’ volume calculation skills in mathematics. Journal of Educational Technology and Innovation, 8(1), 42–55. </w:t>
      </w:r>
      <w:hyperlink r:id="rId41" w:tgtFrame="_new" w:history="1">
        <w:r>
          <w:rPr>
            <w:rFonts w:ascii="Arial" w:hAnsi="Arial" w:cs="Arial"/>
            <w:color w:val="FF3EAF"/>
          </w:rPr>
          <w:t>https://doi.org/10.5281/zenodo.10665520</w:t>
        </w:r>
      </w:hyperlink>
      <w:r>
        <w:rPr>
          <w:rFonts w:ascii="Arial" w:hAnsi="Arial" w:cs="Arial"/>
        </w:rPr>
        <w:br/>
        <w:t xml:space="preserve">Qian, Y., &amp; Lehman, J. D. (2017). Students’ misconceptions and error patterns in volume estimation. School Science and Mathematics, 117(3–4), 107–117. </w:t>
      </w:r>
      <w:hyperlink r:id="rId42" w:tgtFrame="_new" w:history="1">
        <w:r>
          <w:rPr>
            <w:rFonts w:ascii="Arial" w:hAnsi="Arial" w:cs="Arial"/>
            <w:color w:val="FF3EAF"/>
          </w:rPr>
          <w:t>https://doi.org/10.1111/ssm.12219</w:t>
        </w:r>
      </w:hyperlink>
      <w:r>
        <w:rPr>
          <w:rFonts w:ascii="Arial" w:hAnsi="Arial" w:cs="Arial"/>
        </w:rPr>
        <w:br/>
        <w:t xml:space="preserve">Refugio, C. N., </w:t>
      </w:r>
      <w:proofErr w:type="spellStart"/>
      <w:r>
        <w:rPr>
          <w:rFonts w:ascii="Arial" w:hAnsi="Arial" w:cs="Arial"/>
        </w:rPr>
        <w:t>Bulado</w:t>
      </w:r>
      <w:proofErr w:type="spellEnd"/>
      <w:r>
        <w:rPr>
          <w:rFonts w:ascii="Arial" w:hAnsi="Arial" w:cs="Arial"/>
        </w:rPr>
        <w:t xml:space="preserve">, M. I. E. A., </w:t>
      </w:r>
      <w:proofErr w:type="spellStart"/>
      <w:r>
        <w:rPr>
          <w:rFonts w:ascii="Arial" w:hAnsi="Arial" w:cs="Arial"/>
        </w:rPr>
        <w:t>Galleto</w:t>
      </w:r>
      <w:proofErr w:type="spellEnd"/>
      <w:r>
        <w:rPr>
          <w:rFonts w:ascii="Arial" w:hAnsi="Arial" w:cs="Arial"/>
        </w:rPr>
        <w:t xml:space="preserve">, P. G., </w:t>
      </w:r>
      <w:proofErr w:type="spellStart"/>
      <w:r>
        <w:rPr>
          <w:rFonts w:ascii="Arial" w:hAnsi="Arial" w:cs="Arial"/>
        </w:rPr>
        <w:t>Dimalig</w:t>
      </w:r>
      <w:proofErr w:type="spellEnd"/>
      <w:r>
        <w:rPr>
          <w:rFonts w:ascii="Arial" w:hAnsi="Arial" w:cs="Arial"/>
        </w:rPr>
        <w:t xml:space="preserve">, C. Y., Colina, D. G., </w:t>
      </w:r>
      <w:proofErr w:type="spellStart"/>
      <w:r>
        <w:rPr>
          <w:rFonts w:ascii="Arial" w:hAnsi="Arial" w:cs="Arial"/>
        </w:rPr>
        <w:t>Inoferio</w:t>
      </w:r>
      <w:proofErr w:type="spellEnd"/>
      <w:r>
        <w:rPr>
          <w:rFonts w:ascii="Arial" w:hAnsi="Arial" w:cs="Arial"/>
        </w:rPr>
        <w:t xml:space="preserve">, H. V., &amp; </w:t>
      </w:r>
      <w:proofErr w:type="spellStart"/>
      <w:r>
        <w:rPr>
          <w:rFonts w:ascii="Arial" w:hAnsi="Arial" w:cs="Arial"/>
        </w:rPr>
        <w:t>Nocete</w:t>
      </w:r>
      <w:proofErr w:type="spellEnd"/>
      <w:r>
        <w:rPr>
          <w:rFonts w:ascii="Arial" w:hAnsi="Arial" w:cs="Arial"/>
        </w:rPr>
        <w:t>, M. L. R. (2020). Difficulties in teaching senior high school general mathematics: Basis for training design. Cypriot Journal of Educational Sciences, 15(2), 319–</w:t>
      </w:r>
      <w:r>
        <w:rPr>
          <w:rFonts w:ascii="Arial" w:hAnsi="Arial" w:cs="Arial"/>
        </w:rPr>
        <w:lastRenderedPageBreak/>
        <w:t xml:space="preserve">335. </w:t>
      </w:r>
      <w:hyperlink r:id="rId43" w:tgtFrame="_new" w:history="1">
        <w:r>
          <w:rPr>
            <w:rFonts w:ascii="Arial" w:hAnsi="Arial" w:cs="Arial"/>
            <w:color w:val="FF3EAF"/>
          </w:rPr>
          <w:t>https://doi.org/10.18844/cjes.v15i2.4589</w:t>
        </w:r>
      </w:hyperlink>
      <w:r>
        <w:rPr>
          <w:rFonts w:ascii="Arial" w:hAnsi="Arial" w:cs="Arial"/>
        </w:rPr>
        <w:br/>
      </w:r>
      <w:proofErr w:type="spellStart"/>
      <w:r>
        <w:rPr>
          <w:rFonts w:ascii="Arial" w:hAnsi="Arial" w:cs="Arial"/>
        </w:rPr>
        <w:t>Sisman</w:t>
      </w:r>
      <w:proofErr w:type="spellEnd"/>
      <w:r>
        <w:rPr>
          <w:rFonts w:ascii="Arial" w:hAnsi="Arial" w:cs="Arial"/>
        </w:rPr>
        <w:t xml:space="preserve">, G. T., &amp; Aksu, M. (2015). The effect of </w:t>
      </w:r>
      <w:proofErr w:type="gramStart"/>
      <w:r>
        <w:rPr>
          <w:rFonts w:ascii="Arial" w:hAnsi="Arial" w:cs="Arial"/>
        </w:rPr>
        <w:t>problem solving</w:t>
      </w:r>
      <w:proofErr w:type="gramEnd"/>
      <w:r>
        <w:rPr>
          <w:rFonts w:ascii="Arial" w:hAnsi="Arial" w:cs="Arial"/>
        </w:rPr>
        <w:t xml:space="preserve"> approach on students’ misconceptions about volume. Journal of Educational and Instructional Studies in the World, 5(1), 62–70.</w:t>
      </w:r>
      <w:r>
        <w:rPr>
          <w:rFonts w:ascii="Arial" w:hAnsi="Arial" w:cs="Arial"/>
        </w:rPr>
        <w:br/>
        <w:t xml:space="preserve">Smith, T. M., &amp; Gillespie, N. M. (2023). The effects of teacher professional development on student achievement: A meta-analytic review. Review of Educational Research, 93(2), 267–306. </w:t>
      </w:r>
      <w:hyperlink r:id="rId44" w:tgtFrame="_new" w:history="1">
        <w:r>
          <w:rPr>
            <w:rFonts w:ascii="Arial" w:hAnsi="Arial" w:cs="Arial"/>
            <w:color w:val="FF3EAF"/>
          </w:rPr>
          <w:t>https://doi.org/10.3102/00346543221136584</w:t>
        </w:r>
      </w:hyperlink>
      <w:r>
        <w:rPr>
          <w:rFonts w:ascii="Arial" w:hAnsi="Arial" w:cs="Arial"/>
        </w:rPr>
        <w:br/>
        <w:t xml:space="preserve">Sudirman, S., Nusantara, T., </w:t>
      </w:r>
      <w:proofErr w:type="spellStart"/>
      <w:r>
        <w:rPr>
          <w:rFonts w:ascii="Arial" w:hAnsi="Arial" w:cs="Arial"/>
        </w:rPr>
        <w:t>Subanji</w:t>
      </w:r>
      <w:proofErr w:type="spellEnd"/>
      <w:r>
        <w:rPr>
          <w:rFonts w:ascii="Arial" w:hAnsi="Arial" w:cs="Arial"/>
        </w:rPr>
        <w:t xml:space="preserve">, S., &amp; </w:t>
      </w:r>
      <w:proofErr w:type="spellStart"/>
      <w:r>
        <w:rPr>
          <w:rFonts w:ascii="Arial" w:hAnsi="Arial" w:cs="Arial"/>
        </w:rPr>
        <w:t>Sisworo</w:t>
      </w:r>
      <w:proofErr w:type="spellEnd"/>
      <w:r>
        <w:rPr>
          <w:rFonts w:ascii="Arial" w:hAnsi="Arial" w:cs="Arial"/>
        </w:rPr>
        <w:t>, D. (2020). Students’ errors in solving volume problems and the causes: A qualitative study. Journal of Physics: Conference Series, 1567, 042061.</w:t>
      </w:r>
      <w:r>
        <w:rPr>
          <w:rFonts w:ascii="Arial" w:hAnsi="Arial" w:cs="Arial"/>
          <w:color w:val="FF3EAF"/>
        </w:rPr>
        <w:t xml:space="preserve"> </w:t>
      </w:r>
      <w:hyperlink r:id="rId45" w:tgtFrame="_new" w:history="1">
        <w:r>
          <w:rPr>
            <w:rFonts w:ascii="Arial" w:hAnsi="Arial" w:cs="Arial"/>
            <w:color w:val="FF3EAF"/>
          </w:rPr>
          <w:t>https://doi.org/10.1088/1742-6596/1567/4/042061</w:t>
        </w:r>
      </w:hyperlink>
      <w:r>
        <w:rPr>
          <w:rFonts w:ascii="Arial" w:hAnsi="Arial" w:cs="Arial"/>
        </w:rPr>
        <w:br/>
        <w:t xml:space="preserve">Tao, Y., Meng, Y., Gao, Z., &amp; Yang, X. (2022). Perceived teacher support, student engagement, and academic achievement: A meta-analysis. Educational Psychology, 42(4), 401–420. </w:t>
      </w:r>
      <w:hyperlink r:id="rId46" w:tgtFrame="_new" w:history="1">
        <w:r>
          <w:rPr>
            <w:rFonts w:ascii="Arial" w:hAnsi="Arial" w:cs="Arial"/>
            <w:color w:val="FF3EAF"/>
          </w:rPr>
          <w:t>https://doi.org/10.1080/01443410.2022.2033168</w:t>
        </w:r>
      </w:hyperlink>
      <w:r>
        <w:rPr>
          <w:rFonts w:ascii="Arial" w:hAnsi="Arial" w:cs="Arial"/>
        </w:rPr>
        <w:br/>
        <w:t xml:space="preserve">Verzosa, D. M. B., &amp; </w:t>
      </w:r>
      <w:proofErr w:type="spellStart"/>
      <w:r>
        <w:rPr>
          <w:rFonts w:ascii="Arial" w:hAnsi="Arial" w:cs="Arial"/>
        </w:rPr>
        <w:t>Vistro</w:t>
      </w:r>
      <w:proofErr w:type="spellEnd"/>
      <w:r>
        <w:rPr>
          <w:rFonts w:ascii="Arial" w:hAnsi="Arial" w:cs="Arial"/>
        </w:rPr>
        <w:t xml:space="preserve">-Yu, C. P. (2019). Prospects and challenges in implementing a new mathematics curriculum in the Philippines. In A. Karp &amp; G. Schubring (Eds.), School mathematics curricula (pp. 207–226). Springer. </w:t>
      </w:r>
      <w:hyperlink r:id="rId47" w:tgtFrame="_new" w:history="1">
        <w:r>
          <w:rPr>
            <w:rFonts w:ascii="Arial" w:hAnsi="Arial" w:cs="Arial"/>
            <w:color w:val="FF3EAF"/>
          </w:rPr>
          <w:t>https://doi.org/10.1007/978-981-13-6312-2_11</w:t>
        </w:r>
      </w:hyperlink>
      <w:r>
        <w:rPr>
          <w:rFonts w:ascii="Arial" w:hAnsi="Arial" w:cs="Arial"/>
          <w:color w:val="FF3EAF"/>
        </w:rPr>
        <w:br/>
      </w:r>
      <w:r>
        <w:rPr>
          <w:rFonts w:ascii="Arial" w:hAnsi="Arial" w:cs="Arial"/>
        </w:rPr>
        <w:t xml:space="preserve">Widodo, S. A., Kurniawan, Y., &amp; </w:t>
      </w:r>
      <w:proofErr w:type="spellStart"/>
      <w:r>
        <w:rPr>
          <w:rFonts w:ascii="Arial" w:hAnsi="Arial" w:cs="Arial"/>
        </w:rPr>
        <w:t>Kustandi</w:t>
      </w:r>
      <w:proofErr w:type="spellEnd"/>
      <w:r>
        <w:rPr>
          <w:rFonts w:ascii="Arial" w:hAnsi="Arial" w:cs="Arial"/>
        </w:rPr>
        <w:t xml:space="preserve">, C. (2021). Physical 3D learning media: Improving elementary school students’ understanding of volume. Universal Journal of Educational Research, 9(2), 241–248. </w:t>
      </w:r>
      <w:hyperlink r:id="rId48" w:tgtFrame="_new" w:history="1">
        <w:r>
          <w:rPr>
            <w:rFonts w:ascii="Arial" w:hAnsi="Arial" w:cs="Arial"/>
            <w:color w:val="FF3EAF"/>
          </w:rPr>
          <w:t>https://doi.org/10.13189/ujer.2021.090202</w:t>
        </w:r>
      </w:hyperlink>
      <w:r>
        <w:rPr>
          <w:rFonts w:ascii="Arial" w:hAnsi="Arial" w:cs="Arial"/>
        </w:rPr>
        <w:br/>
        <w:t xml:space="preserve">Wittmann, E. C. (2021). Developing mathematics education in a systemic process. In G. Kaiser &amp; N. </w:t>
      </w:r>
      <w:proofErr w:type="spellStart"/>
      <w:r>
        <w:rPr>
          <w:rFonts w:ascii="Arial" w:hAnsi="Arial" w:cs="Arial"/>
        </w:rPr>
        <w:t>Presmeg</w:t>
      </w:r>
      <w:proofErr w:type="spellEnd"/>
      <w:r>
        <w:rPr>
          <w:rFonts w:ascii="Arial" w:hAnsi="Arial" w:cs="Arial"/>
        </w:rPr>
        <w:t xml:space="preserve"> (Eds.), Compendium for early career researchers in mathematics education (pp. 191–208). Springer</w:t>
      </w:r>
      <w:r>
        <w:rPr>
          <w:rFonts w:ascii="Arial" w:hAnsi="Arial" w:cs="Arial"/>
          <w:color w:val="FF3EAF"/>
        </w:rPr>
        <w:t xml:space="preserve">. </w:t>
      </w:r>
      <w:hyperlink r:id="rId49" w:tgtFrame="_new" w:history="1">
        <w:r>
          <w:rPr>
            <w:rFonts w:ascii="Arial" w:hAnsi="Arial" w:cs="Arial"/>
            <w:color w:val="FF3EAF"/>
          </w:rPr>
          <w:t>https://doi.org/10.1007/978-3-030-61570-3_9</w:t>
        </w:r>
      </w:hyperlink>
      <w:r>
        <w:rPr>
          <w:rFonts w:ascii="Arial" w:hAnsi="Arial" w:cs="Arial"/>
        </w:rPr>
        <w:br/>
        <w:t xml:space="preserve">Zulaiha, S., Wibowo, S. B., &amp; Rahmawati, I. (2024). Improving elementary students’ volume learning outcomes through the use of 3D media. Journal of Primary Education, 13(1), 78–85. </w:t>
      </w:r>
      <w:hyperlink r:id="rId50" w:tgtFrame="_new" w:history="1">
        <w:r>
          <w:rPr>
            <w:rFonts w:ascii="Arial" w:hAnsi="Arial" w:cs="Arial"/>
            <w:color w:val="FF3EAF"/>
          </w:rPr>
          <w:t>https://doi.org/10.15294/jpe.v13i1.62592</w:t>
        </w:r>
      </w:hyperlink>
    </w:p>
    <w:p w14:paraId="48AA21C1" w14:textId="77777777" w:rsidR="00436792" w:rsidRDefault="00436792" w:rsidP="00213BD8">
      <w:pPr>
        <w:pStyle w:val="Appendix"/>
        <w:spacing w:after="0"/>
        <w:rPr>
          <w:rFonts w:ascii="Arial" w:hAnsi="Arial" w:cs="Arial"/>
          <w:b w:val="0"/>
        </w:rPr>
      </w:pPr>
    </w:p>
    <w:sectPr w:rsidR="00436792" w:rsidSect="00DC6B7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144AE" w14:textId="77777777" w:rsidR="00715EFE" w:rsidRDefault="00715EFE">
      <w:r>
        <w:separator/>
      </w:r>
    </w:p>
  </w:endnote>
  <w:endnote w:type="continuationSeparator" w:id="0">
    <w:p w14:paraId="0993F3B1" w14:textId="77777777" w:rsidR="00715EFE" w:rsidRDefault="00715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BC8E4" w14:textId="77777777" w:rsidR="00505A34" w:rsidRDefault="00505A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2ADB1" w14:textId="77777777" w:rsidR="00436792" w:rsidRDefault="004367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EEEE3" w14:textId="77777777" w:rsidR="00505A34" w:rsidRDefault="00505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7C1BF" w14:textId="77777777" w:rsidR="00715EFE" w:rsidRDefault="00715EFE">
      <w:r>
        <w:separator/>
      </w:r>
    </w:p>
  </w:footnote>
  <w:footnote w:type="continuationSeparator" w:id="0">
    <w:p w14:paraId="6B428384" w14:textId="77777777" w:rsidR="00715EFE" w:rsidRDefault="00715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E760B" w14:textId="4728505B" w:rsidR="00505A34" w:rsidRDefault="00505A34">
    <w:pPr>
      <w:pStyle w:val="Header"/>
    </w:pPr>
    <w:r>
      <w:rPr>
        <w:noProof/>
      </w:rPr>
      <w:pict w14:anchorId="2979F7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6A73E" w14:textId="53EEF293" w:rsidR="00505A34" w:rsidRDefault="00505A34">
    <w:pPr>
      <w:pStyle w:val="Header"/>
    </w:pPr>
    <w:r>
      <w:rPr>
        <w:noProof/>
      </w:rPr>
      <w:pict w14:anchorId="5C1605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17062" w14:textId="65BE6EB8" w:rsidR="00505A34" w:rsidRDefault="00505A34">
    <w:pPr>
      <w:pStyle w:val="Header"/>
    </w:pPr>
    <w:r>
      <w:rPr>
        <w:noProof/>
      </w:rPr>
      <w:pict w14:anchorId="553B79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CB07C3D"/>
    <w:multiLevelType w:val="singleLevel"/>
    <w:tmpl w:val="ACB07C3D"/>
    <w:lvl w:ilvl="0">
      <w:start w:val="1"/>
      <w:numFmt w:val="decimal"/>
      <w:suff w:val="space"/>
      <w:lvlText w:val="%1."/>
      <w:lvlJc w:val="left"/>
    </w:lvl>
  </w:abstractNum>
  <w:abstractNum w:abstractNumId="1" w15:restartNumberingAfterBreak="0">
    <w:nsid w:val="0E0928D1"/>
    <w:multiLevelType w:val="singleLevel"/>
    <w:tmpl w:val="0E0928D1"/>
    <w:lvl w:ilvl="0">
      <w:start w:val="1"/>
      <w:numFmt w:val="decimal"/>
      <w:suff w:val="space"/>
      <w:lvlText w:val="%1."/>
      <w:lvlJc w:val="left"/>
    </w:lvl>
  </w:abstractNum>
  <w:abstractNum w:abstractNumId="2" w15:restartNumberingAfterBreak="0">
    <w:nsid w:val="4DB02239"/>
    <w:multiLevelType w:val="hybridMultilevel"/>
    <w:tmpl w:val="1FA66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25F01A"/>
    <w:multiLevelType w:val="singleLevel"/>
    <w:tmpl w:val="5325F01A"/>
    <w:lvl w:ilvl="0">
      <w:start w:val="1"/>
      <w:numFmt w:val="decimal"/>
      <w:suff w:val="space"/>
      <w:lvlText w:val="%1."/>
      <w:lvlJc w:val="left"/>
    </w:lvl>
  </w:abstractNum>
  <w:abstractNum w:abstractNumId="4" w15:restartNumberingAfterBreak="0">
    <w:nsid w:val="5A8B5B95"/>
    <w:multiLevelType w:val="hybridMultilevel"/>
    <w:tmpl w:val="7F5A13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8588E"/>
    <w:rsid w:val="000A47FA"/>
    <w:rsid w:val="000A65D3"/>
    <w:rsid w:val="000B1E33"/>
    <w:rsid w:val="000B37BF"/>
    <w:rsid w:val="000D689F"/>
    <w:rsid w:val="000E7B7B"/>
    <w:rsid w:val="000E7D62"/>
    <w:rsid w:val="000F3EB0"/>
    <w:rsid w:val="00103357"/>
    <w:rsid w:val="00123C9F"/>
    <w:rsid w:val="00126190"/>
    <w:rsid w:val="00130F17"/>
    <w:rsid w:val="001320BF"/>
    <w:rsid w:val="00162C8A"/>
    <w:rsid w:val="00163BC4"/>
    <w:rsid w:val="00191062"/>
    <w:rsid w:val="00192B72"/>
    <w:rsid w:val="001A29D8"/>
    <w:rsid w:val="001A5CAA"/>
    <w:rsid w:val="001B0427"/>
    <w:rsid w:val="001D3A51"/>
    <w:rsid w:val="001D6529"/>
    <w:rsid w:val="001E10D2"/>
    <w:rsid w:val="001E25B4"/>
    <w:rsid w:val="001E44FE"/>
    <w:rsid w:val="00200595"/>
    <w:rsid w:val="00204835"/>
    <w:rsid w:val="00213BD8"/>
    <w:rsid w:val="0022370F"/>
    <w:rsid w:val="00231920"/>
    <w:rsid w:val="0023195C"/>
    <w:rsid w:val="0024282C"/>
    <w:rsid w:val="002460DC"/>
    <w:rsid w:val="00250985"/>
    <w:rsid w:val="002556F6"/>
    <w:rsid w:val="00283105"/>
    <w:rsid w:val="00284C4C"/>
    <w:rsid w:val="00287E68"/>
    <w:rsid w:val="00296529"/>
    <w:rsid w:val="002A0EA7"/>
    <w:rsid w:val="002B27FB"/>
    <w:rsid w:val="002B685A"/>
    <w:rsid w:val="002C57D2"/>
    <w:rsid w:val="002D3215"/>
    <w:rsid w:val="002E0D56"/>
    <w:rsid w:val="002E48CE"/>
    <w:rsid w:val="002F5122"/>
    <w:rsid w:val="00315186"/>
    <w:rsid w:val="00331A93"/>
    <w:rsid w:val="0033343E"/>
    <w:rsid w:val="003512C2"/>
    <w:rsid w:val="00360632"/>
    <w:rsid w:val="00371FB6"/>
    <w:rsid w:val="00372397"/>
    <w:rsid w:val="003763C1"/>
    <w:rsid w:val="00376BBE"/>
    <w:rsid w:val="0038734F"/>
    <w:rsid w:val="0039224F"/>
    <w:rsid w:val="003A43A4"/>
    <w:rsid w:val="003A7E18"/>
    <w:rsid w:val="003C1DEB"/>
    <w:rsid w:val="003C4C86"/>
    <w:rsid w:val="003C6258"/>
    <w:rsid w:val="003D5452"/>
    <w:rsid w:val="003E2904"/>
    <w:rsid w:val="003F053C"/>
    <w:rsid w:val="00401927"/>
    <w:rsid w:val="0041027F"/>
    <w:rsid w:val="00412475"/>
    <w:rsid w:val="00423789"/>
    <w:rsid w:val="00436792"/>
    <w:rsid w:val="004403B7"/>
    <w:rsid w:val="00440F43"/>
    <w:rsid w:val="00441B6F"/>
    <w:rsid w:val="00446221"/>
    <w:rsid w:val="00450E62"/>
    <w:rsid w:val="004539DB"/>
    <w:rsid w:val="00454421"/>
    <w:rsid w:val="00471A80"/>
    <w:rsid w:val="004D305E"/>
    <w:rsid w:val="004D4277"/>
    <w:rsid w:val="00502516"/>
    <w:rsid w:val="00505A34"/>
    <w:rsid w:val="00505F06"/>
    <w:rsid w:val="00506828"/>
    <w:rsid w:val="00513DD1"/>
    <w:rsid w:val="0053056E"/>
    <w:rsid w:val="00554FDA"/>
    <w:rsid w:val="00571802"/>
    <w:rsid w:val="00583D4E"/>
    <w:rsid w:val="00592D32"/>
    <w:rsid w:val="00597F1E"/>
    <w:rsid w:val="005C67F0"/>
    <w:rsid w:val="005C784C"/>
    <w:rsid w:val="005D17F6"/>
    <w:rsid w:val="005E5539"/>
    <w:rsid w:val="00602BF5"/>
    <w:rsid w:val="0060380C"/>
    <w:rsid w:val="00617FDD"/>
    <w:rsid w:val="0063087D"/>
    <w:rsid w:val="00633614"/>
    <w:rsid w:val="00633F68"/>
    <w:rsid w:val="00636EB2"/>
    <w:rsid w:val="006375B8"/>
    <w:rsid w:val="0066510A"/>
    <w:rsid w:val="00673F9F"/>
    <w:rsid w:val="00677C01"/>
    <w:rsid w:val="00686953"/>
    <w:rsid w:val="00687DEA"/>
    <w:rsid w:val="00687E67"/>
    <w:rsid w:val="006967F7"/>
    <w:rsid w:val="006A250C"/>
    <w:rsid w:val="006B21D3"/>
    <w:rsid w:val="006B57D0"/>
    <w:rsid w:val="006B70F5"/>
    <w:rsid w:val="006D30FF"/>
    <w:rsid w:val="006D6940"/>
    <w:rsid w:val="006D6C35"/>
    <w:rsid w:val="006F11EC"/>
    <w:rsid w:val="0070082C"/>
    <w:rsid w:val="00715EFE"/>
    <w:rsid w:val="00723B7E"/>
    <w:rsid w:val="00723E69"/>
    <w:rsid w:val="00727C12"/>
    <w:rsid w:val="007369E6"/>
    <w:rsid w:val="00746E59"/>
    <w:rsid w:val="00754C9A"/>
    <w:rsid w:val="0075599A"/>
    <w:rsid w:val="00761D52"/>
    <w:rsid w:val="0077749E"/>
    <w:rsid w:val="00790ADA"/>
    <w:rsid w:val="007962E8"/>
    <w:rsid w:val="007D2288"/>
    <w:rsid w:val="007D4581"/>
    <w:rsid w:val="007D7B2F"/>
    <w:rsid w:val="007E088F"/>
    <w:rsid w:val="007F7B32"/>
    <w:rsid w:val="00804BC2"/>
    <w:rsid w:val="0081431A"/>
    <w:rsid w:val="0083216F"/>
    <w:rsid w:val="00846438"/>
    <w:rsid w:val="00860000"/>
    <w:rsid w:val="00863BD3"/>
    <w:rsid w:val="008641ED"/>
    <w:rsid w:val="00866D66"/>
    <w:rsid w:val="008671C6"/>
    <w:rsid w:val="008738A8"/>
    <w:rsid w:val="00875803"/>
    <w:rsid w:val="008B459E"/>
    <w:rsid w:val="008C13F6"/>
    <w:rsid w:val="008E13AE"/>
    <w:rsid w:val="008E1506"/>
    <w:rsid w:val="008E710C"/>
    <w:rsid w:val="008E7DFA"/>
    <w:rsid w:val="008F6868"/>
    <w:rsid w:val="008F69D6"/>
    <w:rsid w:val="009008DF"/>
    <w:rsid w:val="00902823"/>
    <w:rsid w:val="00914DC8"/>
    <w:rsid w:val="00915CA6"/>
    <w:rsid w:val="00916CBA"/>
    <w:rsid w:val="00927834"/>
    <w:rsid w:val="009500A6"/>
    <w:rsid w:val="00957C18"/>
    <w:rsid w:val="009631F7"/>
    <w:rsid w:val="009659BA"/>
    <w:rsid w:val="00982606"/>
    <w:rsid w:val="00983040"/>
    <w:rsid w:val="009B3228"/>
    <w:rsid w:val="009B3FB9"/>
    <w:rsid w:val="009C2465"/>
    <w:rsid w:val="009D35A0"/>
    <w:rsid w:val="009D7EB7"/>
    <w:rsid w:val="009E048A"/>
    <w:rsid w:val="009E08E9"/>
    <w:rsid w:val="009E3DB9"/>
    <w:rsid w:val="009E6E35"/>
    <w:rsid w:val="009F0EDA"/>
    <w:rsid w:val="009F1ED5"/>
    <w:rsid w:val="00A03B96"/>
    <w:rsid w:val="00A05B19"/>
    <w:rsid w:val="00A1134E"/>
    <w:rsid w:val="00A2087D"/>
    <w:rsid w:val="00A214EA"/>
    <w:rsid w:val="00A24E7E"/>
    <w:rsid w:val="00A258C3"/>
    <w:rsid w:val="00A347C0"/>
    <w:rsid w:val="00A51431"/>
    <w:rsid w:val="00A539AD"/>
    <w:rsid w:val="00A85483"/>
    <w:rsid w:val="00A94063"/>
    <w:rsid w:val="00AA2C92"/>
    <w:rsid w:val="00AA6219"/>
    <w:rsid w:val="00AA667D"/>
    <w:rsid w:val="00AA74E0"/>
    <w:rsid w:val="00AB703F"/>
    <w:rsid w:val="00AC6BB8"/>
    <w:rsid w:val="00AD260C"/>
    <w:rsid w:val="00AE008F"/>
    <w:rsid w:val="00B01FCD"/>
    <w:rsid w:val="00B024AC"/>
    <w:rsid w:val="00B1776C"/>
    <w:rsid w:val="00B52583"/>
    <w:rsid w:val="00B52896"/>
    <w:rsid w:val="00B65F35"/>
    <w:rsid w:val="00B8482D"/>
    <w:rsid w:val="00B85D4C"/>
    <w:rsid w:val="00B95236"/>
    <w:rsid w:val="00B96BD9"/>
    <w:rsid w:val="00BA1B01"/>
    <w:rsid w:val="00BA2641"/>
    <w:rsid w:val="00BB37AA"/>
    <w:rsid w:val="00BC53A0"/>
    <w:rsid w:val="00BE62AD"/>
    <w:rsid w:val="00BE6972"/>
    <w:rsid w:val="00BF0F10"/>
    <w:rsid w:val="00BF121F"/>
    <w:rsid w:val="00BF1F80"/>
    <w:rsid w:val="00C026F6"/>
    <w:rsid w:val="00C158A0"/>
    <w:rsid w:val="00C166EF"/>
    <w:rsid w:val="00C17EB0"/>
    <w:rsid w:val="00C21107"/>
    <w:rsid w:val="00C27F5F"/>
    <w:rsid w:val="00C30A0F"/>
    <w:rsid w:val="00C37E61"/>
    <w:rsid w:val="00C70F1B"/>
    <w:rsid w:val="00C71A47"/>
    <w:rsid w:val="00C7464C"/>
    <w:rsid w:val="00C85588"/>
    <w:rsid w:val="00C9393D"/>
    <w:rsid w:val="00CA4BE2"/>
    <w:rsid w:val="00CC24D9"/>
    <w:rsid w:val="00CC3668"/>
    <w:rsid w:val="00CD01B4"/>
    <w:rsid w:val="00CD6755"/>
    <w:rsid w:val="00CD6856"/>
    <w:rsid w:val="00CE0089"/>
    <w:rsid w:val="00CE62DA"/>
    <w:rsid w:val="00CE793C"/>
    <w:rsid w:val="00CF193C"/>
    <w:rsid w:val="00CF3A38"/>
    <w:rsid w:val="00D173F1"/>
    <w:rsid w:val="00D22A47"/>
    <w:rsid w:val="00D47468"/>
    <w:rsid w:val="00D50A3D"/>
    <w:rsid w:val="00D56B7F"/>
    <w:rsid w:val="00D74CB0"/>
    <w:rsid w:val="00D8295D"/>
    <w:rsid w:val="00DC2A65"/>
    <w:rsid w:val="00DC6B73"/>
    <w:rsid w:val="00DE15F0"/>
    <w:rsid w:val="00DE5663"/>
    <w:rsid w:val="00DE78AA"/>
    <w:rsid w:val="00DF5B18"/>
    <w:rsid w:val="00DF63D2"/>
    <w:rsid w:val="00DF6ED2"/>
    <w:rsid w:val="00E053D0"/>
    <w:rsid w:val="00E15994"/>
    <w:rsid w:val="00E3114E"/>
    <w:rsid w:val="00E31A70"/>
    <w:rsid w:val="00E35B02"/>
    <w:rsid w:val="00E40267"/>
    <w:rsid w:val="00E66496"/>
    <w:rsid w:val="00E66B35"/>
    <w:rsid w:val="00E66E10"/>
    <w:rsid w:val="00E769F6"/>
    <w:rsid w:val="00E8407C"/>
    <w:rsid w:val="00E84F3C"/>
    <w:rsid w:val="00E9657F"/>
    <w:rsid w:val="00EA012C"/>
    <w:rsid w:val="00EA183C"/>
    <w:rsid w:val="00EC6A55"/>
    <w:rsid w:val="00ED0288"/>
    <w:rsid w:val="00EE52CB"/>
    <w:rsid w:val="00EE537C"/>
    <w:rsid w:val="00EF581D"/>
    <w:rsid w:val="00EF7FD8"/>
    <w:rsid w:val="00F06F59"/>
    <w:rsid w:val="00F17988"/>
    <w:rsid w:val="00F35E6D"/>
    <w:rsid w:val="00F469F0"/>
    <w:rsid w:val="00F53273"/>
    <w:rsid w:val="00F702F2"/>
    <w:rsid w:val="00F755E4"/>
    <w:rsid w:val="00F77D02"/>
    <w:rsid w:val="00FA16BE"/>
    <w:rsid w:val="00FA529D"/>
    <w:rsid w:val="00FB1ADD"/>
    <w:rsid w:val="00FB3A86"/>
    <w:rsid w:val="00FC575F"/>
    <w:rsid w:val="00FD36C8"/>
    <w:rsid w:val="07965F00"/>
    <w:rsid w:val="0C452D30"/>
    <w:rsid w:val="15B344E4"/>
    <w:rsid w:val="20642364"/>
    <w:rsid w:val="25CD5911"/>
    <w:rsid w:val="2DDC5167"/>
    <w:rsid w:val="36F13630"/>
    <w:rsid w:val="3B857320"/>
    <w:rsid w:val="434268E8"/>
    <w:rsid w:val="6A571590"/>
    <w:rsid w:val="78995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207FBC9B"/>
  <w15:docId w15:val="{4614EFC7-43AA-FF43-8371-12F2CFCF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PH"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5">
    <w:name w:val="heading 5"/>
    <w:next w:val="Normal"/>
    <w:semiHidden/>
    <w:unhideWhenUsed/>
    <w:qFormat/>
    <w:pPr>
      <w:spacing w:beforeAutospacing="1" w:afterAutospacing="1"/>
      <w:outlineLvl w:val="4"/>
    </w:pPr>
    <w:rPr>
      <w:rFonts w:ascii="SimSun" w:hAnsi="SimSun" w:hint="eastAsia"/>
      <w:b/>
      <w:bCs/>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paragraph" w:styleId="BodyTextIndent2">
    <w:name w:val="Body Text Indent 2"/>
    <w:basedOn w:val="Normal"/>
    <w:link w:val="BodyTextIndent2Char"/>
    <w:semiHidden/>
    <w:unhideWhenUsed/>
    <w:qFormat/>
    <w:pPr>
      <w:spacing w:after="120" w:line="480" w:lineRule="auto"/>
      <w:ind w:left="360"/>
    </w:p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semiHidden/>
    <w:unhideWhenUsed/>
    <w:pPr>
      <w:spacing w:beforeAutospacing="1" w:afterAutospacing="1"/>
    </w:pPr>
    <w:rPr>
      <w:sz w:val="24"/>
      <w:szCs w:val="24"/>
      <w:lang w:val="en-US" w:eastAsia="zh-CN"/>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Grid9">
    <w:name w:val="Table Grid9"/>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basedOn w:val="DefaultParagraphFont"/>
    <w:link w:val="BodyTextIndent2"/>
    <w:semiHidden/>
    <w:qFormat/>
    <w:rPr>
      <w:rFonts w:ascii="Helvetica" w:hAnsi="Helvetica"/>
    </w:rPr>
  </w:style>
  <w:style w:type="table" w:customStyle="1" w:styleId="TableGrid12">
    <w:name w:val="Table Grid12"/>
    <w:basedOn w:val="TableNormal"/>
    <w:uiPriority w:val="39"/>
    <w:qFormat/>
    <w:rPr>
      <w:rFonts w:ascii="Aptos" w:eastAsia="Aptos"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D56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4172/2168-9679.1000325" TargetMode="External"/><Relationship Id="rId26" Type="http://schemas.openxmlformats.org/officeDocument/2006/relationships/hyperlink" Target="https://doi.org/10.1007/s11858-020-01163-9" TargetMode="External"/><Relationship Id="rId39" Type="http://schemas.openxmlformats.org/officeDocument/2006/relationships/hyperlink" Target="https://repository.up.ac.za/handle/2263/50987" TargetMode="External"/><Relationship Id="rId21" Type="http://schemas.openxmlformats.org/officeDocument/2006/relationships/hyperlink" Target="https://doi.org/10.12973/iji.2018.11316a" TargetMode="External"/><Relationship Id="rId34" Type="http://schemas.openxmlformats.org/officeDocument/2006/relationships/hyperlink" Target="https://doi.org/10.3991/ijet.v17i13.31941" TargetMode="External"/><Relationship Id="rId42" Type="http://schemas.openxmlformats.org/officeDocument/2006/relationships/hyperlink" Target="https://doi.org/10.1111/ssm.12219" TargetMode="External"/><Relationship Id="rId47" Type="http://schemas.openxmlformats.org/officeDocument/2006/relationships/hyperlink" Target="https://doi.org/10.1007/978-981-13-6312-2_11" TargetMode="External"/><Relationship Id="rId50" Type="http://schemas.openxmlformats.org/officeDocument/2006/relationships/hyperlink" Target="https://doi.org/10.15294/jpe.v13i1.62592"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1177/2057891120981576" TargetMode="External"/><Relationship Id="rId29" Type="http://schemas.openxmlformats.org/officeDocument/2006/relationships/hyperlink" Target="https://doi.org/10.29333/ejmste/109531" TargetMode="External"/><Relationship Id="rId11" Type="http://schemas.openxmlformats.org/officeDocument/2006/relationships/footer" Target="footer1.xml"/><Relationship Id="rId24" Type="http://schemas.openxmlformats.org/officeDocument/2006/relationships/hyperlink" Target="https://doi.org/10.4324/9780203448946-20" TargetMode="External"/><Relationship Id="rId32" Type="http://schemas.openxmlformats.org/officeDocument/2006/relationships/hyperlink" Target="https://doi.org/10.1007/978-3-030-15789-0_101" TargetMode="External"/><Relationship Id="rId37" Type="http://schemas.openxmlformats.org/officeDocument/2006/relationships/hyperlink" Target="https://doi.org/10.1080/15248372.2019.1653298" TargetMode="External"/><Relationship Id="rId40" Type="http://schemas.openxmlformats.org/officeDocument/2006/relationships/hyperlink" Target="https://doi.org/10.1108/QAE-06-2014-0025" TargetMode="External"/><Relationship Id="rId45" Type="http://schemas.openxmlformats.org/officeDocument/2006/relationships/hyperlink" Target="https://doi.org/10.1088/1742-6596/1567/4/042061" TargetMode="External"/><Relationship Id="rId5" Type="http://schemas.openxmlformats.org/officeDocument/2006/relationships/settings" Target="settings.xml"/><Relationship Id="rId15" Type="http://schemas.openxmlformats.org/officeDocument/2006/relationships/hyperlink" Target="https://doi.org/10.3390/educsci9030179" TargetMode="External"/><Relationship Id="rId23" Type="http://schemas.openxmlformats.org/officeDocument/2006/relationships/hyperlink" Target="https://doi.org/10.54300/145.655" TargetMode="External"/><Relationship Id="rId28" Type="http://schemas.openxmlformats.org/officeDocument/2006/relationships/hyperlink" Target="https://doi.org/10.12973/ijem.6.4.703" TargetMode="External"/><Relationship Id="rId36" Type="http://schemas.openxmlformats.org/officeDocument/2006/relationships/hyperlink" Target="https://doi.org/10.1186/s40064-016-3215-0" TargetMode="External"/><Relationship Id="rId49" Type="http://schemas.openxmlformats.org/officeDocument/2006/relationships/hyperlink" Target="https://doi.org/10.1007/978-3-030-61570-3_9" TargetMode="External"/><Relationship Id="rId10" Type="http://schemas.openxmlformats.org/officeDocument/2006/relationships/header" Target="header2.xml"/><Relationship Id="rId19" Type="http://schemas.openxmlformats.org/officeDocument/2006/relationships/hyperlink" Target="https://doi.org/10.1186/s41235-017-0052-9" TargetMode="External"/><Relationship Id="rId31" Type="http://schemas.openxmlformats.org/officeDocument/2006/relationships/hyperlink" Target="https://doi.org/10.4324/9781315647500-2" TargetMode="External"/><Relationship Id="rId44" Type="http://schemas.openxmlformats.org/officeDocument/2006/relationships/hyperlink" Target="https://doi.org/10.3102/00346543221136584" TargetMode="External"/><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8130/v3393g" TargetMode="External"/><Relationship Id="rId27" Type="http://schemas.openxmlformats.org/officeDocument/2006/relationships/hyperlink" Target="https://doi.org/10.1016/j.jmathb.2017.03.003" TargetMode="External"/><Relationship Id="rId30" Type="http://schemas.openxmlformats.org/officeDocument/2006/relationships/hyperlink" Target="https://doi.org/10.1080/0020739X.2019.1583382" TargetMode="External"/><Relationship Id="rId35" Type="http://schemas.openxmlformats.org/officeDocument/2006/relationships/hyperlink" Target="https://doi.org/10.1109/EDUCON45650.2020.9125358" TargetMode="External"/><Relationship Id="rId43" Type="http://schemas.openxmlformats.org/officeDocument/2006/relationships/hyperlink" Target="https://doi.org/10.18844/cjes.v15i2.4589" TargetMode="External"/><Relationship Id="rId48" Type="http://schemas.openxmlformats.org/officeDocument/2006/relationships/hyperlink" Target="https://doi.org/10.13189/ujer.2021.090202" TargetMode="Externa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s://doi.org/10.29333/iji.2024.1719a" TargetMode="External"/><Relationship Id="rId25" Type="http://schemas.openxmlformats.org/officeDocument/2006/relationships/hyperlink" Target="https://doi.org/10.1186/s41235-016-0039-y" TargetMode="External"/><Relationship Id="rId33" Type="http://schemas.openxmlformats.org/officeDocument/2006/relationships/hyperlink" Target="https://doi.org/10.1080/18117295.2020.1848279" TargetMode="External"/><Relationship Id="rId38" Type="http://schemas.openxmlformats.org/officeDocument/2006/relationships/hyperlink" Target="https://doi.org/10.1007/s13394-019-00273-2" TargetMode="External"/><Relationship Id="rId46" Type="http://schemas.openxmlformats.org/officeDocument/2006/relationships/hyperlink" Target="https://doi.org/10.1080/01443410.2022.2033168" TargetMode="External"/><Relationship Id="rId20" Type="http://schemas.openxmlformats.org/officeDocument/2006/relationships/hyperlink" Target="https://doi.org/10.1111/jcal.12389" TargetMode="External"/><Relationship Id="rId41" Type="http://schemas.openxmlformats.org/officeDocument/2006/relationships/hyperlink" Target="https://doi.org/10.5281/zenodo.10665520"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04FF8E-4737-42A3-938C-B0F183A5A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52</TotalTime>
  <Pages>8</Pages>
  <Words>4335</Words>
  <Characters>24714</Characters>
  <Application>Microsoft Office Word</Application>
  <DocSecurity>0</DocSecurity>
  <Lines>205</Lines>
  <Paragraphs>57</Paragraphs>
  <ScaleCrop>false</ScaleCrop>
  <Company>aaaa</Company>
  <LinksUpToDate>false</LinksUpToDate>
  <CharactersWithSpaces>28992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40</cp:revision>
  <cp:lastPrinted>1999-07-06T11:00:00Z</cp:lastPrinted>
  <dcterms:created xsi:type="dcterms:W3CDTF">2014-10-25T14:34:00Z</dcterms:created>
  <dcterms:modified xsi:type="dcterms:W3CDTF">2025-08-06T06:59:00Z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C92E0AD2E9524226880CAD482E977591_13</vt:lpwstr>
  </property>
</Properties>
</file>