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D122" w14:textId="77777777" w:rsidR="00411A15" w:rsidRPr="00411A15" w:rsidRDefault="00411A15" w:rsidP="00411A15">
      <w:pPr>
        <w:spacing w:after="0" w:line="276" w:lineRule="auto"/>
        <w:jc w:val="center"/>
        <w:rPr>
          <w:rFonts w:ascii="Times New Roman" w:hAnsi="Times New Roman" w:cs="Times New Roman"/>
          <w:b/>
          <w:sz w:val="24"/>
          <w:szCs w:val="24"/>
        </w:rPr>
      </w:pPr>
      <w:r w:rsidRPr="00411A15">
        <w:rPr>
          <w:rFonts w:ascii="Times New Roman" w:hAnsi="Times New Roman" w:cs="Times New Roman"/>
          <w:b/>
          <w:sz w:val="24"/>
          <w:szCs w:val="24"/>
        </w:rPr>
        <w:t>IMPACT OF TEACHER PROFESSIONAL DEVELOPMENT IN SCIENCE, TECHNOLOGY, ENGINEERING AND MATHEMATICS (STEM) INTEGRATION ON PRIMARY SCHOOLS PUPILS’ ACADEMIC ACHIEVEMENT IN PLATEAU STATE CENTRAL ZONE</w:t>
      </w:r>
    </w:p>
    <w:p w14:paraId="0707F8D2" w14:textId="77777777" w:rsidR="00411A15" w:rsidRPr="00411A15" w:rsidRDefault="00411A15" w:rsidP="00411A15">
      <w:pPr>
        <w:spacing w:after="0" w:line="276" w:lineRule="auto"/>
        <w:jc w:val="center"/>
        <w:rPr>
          <w:rFonts w:ascii="Times New Roman" w:hAnsi="Times New Roman" w:cs="Times New Roman"/>
          <w:b/>
          <w:sz w:val="24"/>
          <w:szCs w:val="24"/>
        </w:rPr>
      </w:pPr>
    </w:p>
    <w:p w14:paraId="57E14051" w14:textId="77777777" w:rsidR="00411A15" w:rsidRPr="00411A15" w:rsidRDefault="00411A15" w:rsidP="00411A15">
      <w:pPr>
        <w:spacing w:after="0" w:line="276" w:lineRule="auto"/>
        <w:jc w:val="center"/>
        <w:rPr>
          <w:rFonts w:ascii="Times New Roman" w:hAnsi="Times New Roman" w:cs="Times New Roman"/>
          <w:b/>
          <w:sz w:val="24"/>
          <w:szCs w:val="24"/>
        </w:rPr>
      </w:pPr>
    </w:p>
    <w:p w14:paraId="776D4DD2" w14:textId="77777777" w:rsidR="00411A15" w:rsidRPr="00411A15" w:rsidRDefault="00411A15" w:rsidP="00411A15">
      <w:pPr>
        <w:spacing w:after="0" w:line="276" w:lineRule="auto"/>
        <w:jc w:val="center"/>
        <w:rPr>
          <w:rFonts w:ascii="Times New Roman" w:hAnsi="Times New Roman" w:cs="Times New Roman"/>
          <w:b/>
          <w:sz w:val="24"/>
          <w:szCs w:val="24"/>
        </w:rPr>
      </w:pPr>
    </w:p>
    <w:p w14:paraId="374F6ECB" w14:textId="77777777" w:rsidR="00411A15" w:rsidRPr="00411A15" w:rsidRDefault="00411A15" w:rsidP="00411A15">
      <w:pPr>
        <w:spacing w:after="0" w:line="276" w:lineRule="auto"/>
        <w:jc w:val="center"/>
        <w:rPr>
          <w:rFonts w:ascii="Times New Roman" w:hAnsi="Times New Roman" w:cs="Times New Roman"/>
          <w:b/>
          <w:sz w:val="24"/>
          <w:szCs w:val="24"/>
        </w:rPr>
      </w:pPr>
    </w:p>
    <w:p w14:paraId="1D7FFF21" w14:textId="77777777" w:rsidR="00411A15" w:rsidRPr="00411A15" w:rsidRDefault="00411A15" w:rsidP="00411A15">
      <w:pPr>
        <w:spacing w:after="0" w:line="276" w:lineRule="auto"/>
        <w:jc w:val="center"/>
        <w:rPr>
          <w:rFonts w:ascii="Times New Roman" w:hAnsi="Times New Roman" w:cs="Times New Roman"/>
          <w:b/>
          <w:sz w:val="24"/>
          <w:szCs w:val="24"/>
        </w:rPr>
      </w:pPr>
    </w:p>
    <w:p w14:paraId="526B4EFB" w14:textId="77777777" w:rsidR="00411A15" w:rsidRPr="00411A15" w:rsidRDefault="00411A15" w:rsidP="00411A15">
      <w:pPr>
        <w:spacing w:after="0" w:line="276" w:lineRule="auto"/>
        <w:jc w:val="center"/>
        <w:rPr>
          <w:rFonts w:ascii="Times New Roman" w:hAnsi="Times New Roman" w:cs="Times New Roman"/>
          <w:b/>
          <w:sz w:val="24"/>
          <w:szCs w:val="24"/>
        </w:rPr>
      </w:pPr>
      <w:r w:rsidRPr="00411A15">
        <w:rPr>
          <w:rFonts w:ascii="Times New Roman" w:hAnsi="Times New Roman" w:cs="Times New Roman"/>
          <w:b/>
          <w:sz w:val="24"/>
          <w:szCs w:val="24"/>
        </w:rPr>
        <w:t>ABSTRACT</w:t>
      </w:r>
    </w:p>
    <w:p w14:paraId="79C1E3A6" w14:textId="77777777" w:rsidR="00411A15" w:rsidRPr="00411A15" w:rsidRDefault="00411A15" w:rsidP="00411A15">
      <w:pPr>
        <w:spacing w:after="0" w:line="276" w:lineRule="auto"/>
        <w:jc w:val="both"/>
        <w:rPr>
          <w:rFonts w:ascii="Times New Roman" w:hAnsi="Times New Roman" w:cs="Times New Roman"/>
          <w:b/>
          <w:bCs/>
          <w:sz w:val="24"/>
          <w:szCs w:val="24"/>
        </w:rPr>
      </w:pPr>
      <w:r w:rsidRPr="00411A15">
        <w:rPr>
          <w:rFonts w:ascii="Times New Roman" w:hAnsi="Times New Roman" w:cs="Times New Roman"/>
          <w:sz w:val="24"/>
          <w:szCs w:val="24"/>
        </w:rPr>
        <w:t xml:space="preserve">This study investigated the impact of teacher professional development in Science, Technology, Engineering and Mathematics (STEM) integration on pupils’ academic achievement in primary schools within Plateau State Central Zone. The study was guided by three objectives and three research questions. </w:t>
      </w:r>
      <w:r w:rsidRPr="00411A15">
        <w:rPr>
          <w:rFonts w:ascii="Times New Roman" w:eastAsia="Times New Roman" w:hAnsi="Times New Roman" w:cs="Times New Roman"/>
          <w:sz w:val="24"/>
          <w:szCs w:val="24"/>
        </w:rPr>
        <w:t xml:space="preserve">The </w:t>
      </w:r>
      <w:r w:rsidRPr="00411A15">
        <w:rPr>
          <w:rFonts w:ascii="Times New Roman" w:eastAsia="Times New Roman" w:hAnsi="Times New Roman" w:cs="Times New Roman"/>
          <w:bCs/>
          <w:sz w:val="24"/>
          <w:szCs w:val="24"/>
        </w:rPr>
        <w:t>Constructivist Learning Theory</w:t>
      </w:r>
      <w:r w:rsidRPr="00411A15">
        <w:rPr>
          <w:rFonts w:ascii="Times New Roman" w:eastAsia="Times New Roman" w:hAnsi="Times New Roman" w:cs="Times New Roman"/>
          <w:sz w:val="24"/>
          <w:szCs w:val="24"/>
        </w:rPr>
        <w:t xml:space="preserve"> was used as theoretical framework. </w:t>
      </w:r>
      <w:r w:rsidRPr="00411A15">
        <w:rPr>
          <w:rFonts w:ascii="Times New Roman" w:hAnsi="Times New Roman" w:cs="Times New Roman"/>
          <w:sz w:val="24"/>
          <w:szCs w:val="24"/>
        </w:rPr>
        <w:t>A descriptive survey research design was adopted, with a population of 7,981 teachers across the five Local Government Areas in the zone. A sample of 500 teachers was selected through random sampling from 50 public primary schools. Data were collected using a validated and reliable questionnaire and analyzed using mean scores and chi-square statistics. Findings revealed that the extent of teacher professional development in STEM integration was relatively high, with teachers expressing satisfaction with the content, regularity and practicality of training received. The study also found that STEM-focused teacher training positively impacted pupils' academic achievement, as evidenced by improved performance in science and mathematics, enhanced critical thinking skills and greater student engagement. Despite these benefits, challenges such as inadequate instructional materials, large class sizes, limited time for STEM activities, lack of administrative support and absence of follow-up training were reported. The study concluded that while STEM professional development significantly improved teaching effectiveness and student outcomes, systemic barriers hindered its optimal implementation and called for strategic policy interventions to bridge these gaps.</w:t>
      </w:r>
    </w:p>
    <w:p w14:paraId="1E4749CC" w14:textId="77777777" w:rsidR="00411A15" w:rsidRPr="00411A15" w:rsidRDefault="00411A15" w:rsidP="00411A15">
      <w:pPr>
        <w:spacing w:before="100" w:beforeAutospacing="1" w:after="100" w:afterAutospacing="1"/>
        <w:rPr>
          <w:rFonts w:ascii="Times New Roman" w:eastAsia="Times New Roman" w:hAnsi="Times New Roman" w:cs="Times New Roman"/>
          <w:sz w:val="24"/>
          <w:szCs w:val="24"/>
        </w:rPr>
      </w:pPr>
      <w:r w:rsidRPr="00411A15">
        <w:rPr>
          <w:rFonts w:ascii="Times New Roman" w:hAnsi="Times New Roman" w:cs="Times New Roman"/>
          <w:b/>
          <w:sz w:val="24"/>
          <w:szCs w:val="24"/>
        </w:rPr>
        <w:t xml:space="preserve">Keywords: </w:t>
      </w:r>
      <w:r w:rsidRPr="00411A15">
        <w:rPr>
          <w:rFonts w:ascii="Times New Roman" w:eastAsia="Times New Roman" w:hAnsi="Times New Roman" w:cs="Times New Roman"/>
          <w:sz w:val="24"/>
          <w:szCs w:val="24"/>
        </w:rPr>
        <w:t xml:space="preserve">Teacher, Professional, Development, STEM Education, Academic </w:t>
      </w:r>
      <w:proofErr w:type="gramStart"/>
      <w:r w:rsidRPr="00411A15">
        <w:rPr>
          <w:rFonts w:ascii="Times New Roman" w:eastAsia="Times New Roman" w:hAnsi="Times New Roman" w:cs="Times New Roman"/>
          <w:sz w:val="24"/>
          <w:szCs w:val="24"/>
        </w:rPr>
        <w:t>Achievement,  Pupils</w:t>
      </w:r>
      <w:proofErr w:type="gramEnd"/>
    </w:p>
    <w:p w14:paraId="2FE6DF91" w14:textId="77777777" w:rsidR="00411A15" w:rsidRPr="00411A15" w:rsidRDefault="00411A15" w:rsidP="00411A15">
      <w:p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b/>
          <w:bCs/>
          <w:sz w:val="24"/>
          <w:szCs w:val="24"/>
        </w:rPr>
        <w:t>INTRODUCTION</w:t>
      </w:r>
    </w:p>
    <w:p w14:paraId="471B89F4" w14:textId="77777777" w:rsidR="00411A15" w:rsidRPr="00411A15" w:rsidRDefault="00411A15" w:rsidP="00411A15">
      <w:pPr>
        <w:spacing w:after="0" w:line="480" w:lineRule="auto"/>
        <w:ind w:firstLine="709"/>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Science, Technology, Engineering and Mathematics (STEM) education combines science, technology, engineering and mathematics into a cohesive learning framework. In primary schools, it nurtures creativity, critical thinking and problem-solving, equipping pupils with essential 21st-century skills (</w:t>
      </w:r>
      <w:proofErr w:type="spellStart"/>
      <w:r w:rsidRPr="00411A15">
        <w:rPr>
          <w:rFonts w:ascii="Times New Roman" w:hAnsi="Times New Roman" w:cs="Times New Roman"/>
          <w:sz w:val="24"/>
          <w:szCs w:val="24"/>
        </w:rPr>
        <w:t>Akinbola</w:t>
      </w:r>
      <w:proofErr w:type="spellEnd"/>
      <w:r w:rsidRPr="00411A15">
        <w:rPr>
          <w:rFonts w:ascii="Times New Roman" w:hAnsi="Times New Roman" w:cs="Times New Roman"/>
          <w:sz w:val="24"/>
          <w:szCs w:val="24"/>
        </w:rPr>
        <w:t xml:space="preserve"> &amp; </w:t>
      </w:r>
      <w:proofErr w:type="spellStart"/>
      <w:r w:rsidRPr="00411A15">
        <w:rPr>
          <w:rFonts w:ascii="Times New Roman" w:hAnsi="Times New Roman" w:cs="Times New Roman"/>
          <w:sz w:val="24"/>
          <w:szCs w:val="24"/>
        </w:rPr>
        <w:t>Atayero</w:t>
      </w:r>
      <w:proofErr w:type="spellEnd"/>
      <w:r w:rsidRPr="00411A15">
        <w:rPr>
          <w:rFonts w:ascii="Times New Roman" w:hAnsi="Times New Roman" w:cs="Times New Roman"/>
          <w:sz w:val="24"/>
          <w:szCs w:val="24"/>
        </w:rPr>
        <w:t>, 2017</w:t>
      </w:r>
      <w:r w:rsidRPr="00411A15">
        <w:rPr>
          <w:rFonts w:ascii="Times New Roman" w:eastAsia="Times New Roman" w:hAnsi="Times New Roman" w:cs="Times New Roman"/>
          <w:sz w:val="24"/>
          <w:szCs w:val="24"/>
        </w:rPr>
        <w:t xml:space="preserve">). For Nigerian students, early STEM exposure bridges gaps in scientific literacy and prepares them for future careers. Hands-on learning helps pupils connect concepts to real-world applications, fostering inquiry-based skills. Research shows that early </w:t>
      </w:r>
      <w:r w:rsidRPr="00411A15">
        <w:rPr>
          <w:rFonts w:ascii="Times New Roman" w:eastAsia="Times New Roman" w:hAnsi="Times New Roman" w:cs="Times New Roman"/>
          <w:sz w:val="24"/>
          <w:szCs w:val="24"/>
        </w:rPr>
        <w:lastRenderedPageBreak/>
        <w:t xml:space="preserve">engagement with STEM sustains interest in science-related fields. Yet, Nigerian primary schools face challenges like inadequate resources, poorly equipped labs and underqualified teachers. Despite these barriers, STEM education holds immense potential for improving academic performance. Studies, such as Chisom, </w:t>
      </w:r>
      <w:proofErr w:type="spellStart"/>
      <w:r w:rsidRPr="00411A15">
        <w:rPr>
          <w:rFonts w:ascii="Times New Roman" w:eastAsia="Times New Roman" w:hAnsi="Times New Roman" w:cs="Times New Roman"/>
          <w:sz w:val="24"/>
          <w:szCs w:val="24"/>
        </w:rPr>
        <w:t>Unachukwu</w:t>
      </w:r>
      <w:proofErr w:type="spellEnd"/>
      <w:r w:rsidR="00997A24">
        <w:rPr>
          <w:rFonts w:ascii="Times New Roman" w:eastAsia="Times New Roman" w:hAnsi="Times New Roman" w:cs="Times New Roman"/>
          <w:sz w:val="24"/>
          <w:szCs w:val="24"/>
        </w:rPr>
        <w:t xml:space="preserve"> and</w:t>
      </w:r>
      <w:r w:rsidRPr="00411A15">
        <w:rPr>
          <w:rFonts w:ascii="Times New Roman" w:eastAsia="Times New Roman" w:hAnsi="Times New Roman" w:cs="Times New Roman"/>
          <w:sz w:val="24"/>
          <w:szCs w:val="24"/>
        </w:rPr>
        <w:t xml:space="preserve"> </w:t>
      </w:r>
      <w:proofErr w:type="spellStart"/>
      <w:r w:rsidRPr="00411A15">
        <w:rPr>
          <w:rFonts w:ascii="Times New Roman" w:eastAsia="Times New Roman" w:hAnsi="Times New Roman" w:cs="Times New Roman"/>
          <w:sz w:val="24"/>
          <w:szCs w:val="24"/>
        </w:rPr>
        <w:t>Osawaru</w:t>
      </w:r>
      <w:proofErr w:type="spellEnd"/>
      <w:r w:rsidRPr="00411A15">
        <w:rPr>
          <w:rFonts w:ascii="Times New Roman" w:eastAsia="Times New Roman" w:hAnsi="Times New Roman" w:cs="Times New Roman"/>
          <w:sz w:val="24"/>
          <w:szCs w:val="24"/>
        </w:rPr>
        <w:t xml:space="preserve"> (2023), confirm that STEM enhances analytical thinking and cognitive development, particularly in science and math. Addressing these gaps requires innovative strategies, including robust teacher training programs, to ensure successful STEM integration.</w:t>
      </w:r>
    </w:p>
    <w:p w14:paraId="06882C09" w14:textId="77777777" w:rsidR="00411A15" w:rsidRPr="00411A15" w:rsidRDefault="00411A15" w:rsidP="00411A15">
      <w:pPr>
        <w:spacing w:after="0" w:line="480" w:lineRule="auto"/>
        <w:ind w:firstLine="709"/>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Teacher Professional Development (TPD) strengthens teaching quality through structured training in pedagogy, subject expertise and instructional techniques. According to </w:t>
      </w:r>
      <w:r w:rsidRPr="00411A15">
        <w:rPr>
          <w:rFonts w:ascii="Times New Roman" w:hAnsi="Times New Roman" w:cs="Times New Roman"/>
          <w:sz w:val="24"/>
          <w:szCs w:val="24"/>
        </w:rPr>
        <w:t>Okojie (2018), i</w:t>
      </w:r>
      <w:r w:rsidRPr="00411A15">
        <w:rPr>
          <w:rFonts w:ascii="Times New Roman" w:eastAsia="Times New Roman" w:hAnsi="Times New Roman" w:cs="Times New Roman"/>
          <w:sz w:val="24"/>
          <w:szCs w:val="24"/>
        </w:rPr>
        <w:t>n Nigeria, it plays a vital role in updating teachers on STEM innovations, ensuring learner-centered, standards-aligned instruction. For primary STEM educators, TPD enhances skills in technology use, inquiry-based teaching and fostering creativity. Continuous training also boosts teacher confidence and motivation, improving classroom effectiveness. However, Nigeria’s TPD efforts suffer from poor funding, weak policy support and limited access to quality programs. Collaborative, well-designed training models can address these gaps. As Joseph and Nwankwo (2024) notes, sustainable TPD transforms education by helping teachers adapt to evolving methods, increasing student engagement and academic success.</w:t>
      </w:r>
    </w:p>
    <w:p w14:paraId="310E194E" w14:textId="77777777" w:rsidR="00411A15" w:rsidRPr="00411A15" w:rsidRDefault="00411A15" w:rsidP="00411A15">
      <w:pPr>
        <w:spacing w:after="0" w:line="480" w:lineRule="auto"/>
        <w:ind w:firstLine="709"/>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Academic achievement measures pupils’ learning outcomes through tests, evaluations and classroom performance. In primary education, it reflects cognitive growth, comprehension and teaching effectiveness while determining readiness for higher education. Nigeria struggles with low performance in science and math, driven by poor resources, overcrowded classes and unqualified teachers. Regional disparities further highlight the need for localized solutions. Plateau State Central Zone, for instance, faces inconsistent results due to socio-economic and resource challenges. Yet, targeted interventions—like teacher training and curriculum reforms—can boost performance. </w:t>
      </w:r>
      <w:r w:rsidRPr="00411A15">
        <w:rPr>
          <w:rFonts w:ascii="Times New Roman" w:eastAsia="Times New Roman" w:hAnsi="Times New Roman" w:cs="Times New Roman"/>
          <w:sz w:val="24"/>
          <w:szCs w:val="24"/>
        </w:rPr>
        <w:lastRenderedPageBreak/>
        <w:t>Uzodinma, Njoku</w:t>
      </w:r>
      <w:r w:rsidR="00997A24">
        <w:rPr>
          <w:rFonts w:ascii="Times New Roman" w:eastAsia="Times New Roman" w:hAnsi="Times New Roman" w:cs="Times New Roman"/>
          <w:sz w:val="24"/>
          <w:szCs w:val="24"/>
        </w:rPr>
        <w:t xml:space="preserve"> and</w:t>
      </w:r>
      <w:r w:rsidRPr="00411A15">
        <w:rPr>
          <w:rFonts w:ascii="Times New Roman" w:eastAsia="Times New Roman" w:hAnsi="Times New Roman" w:cs="Times New Roman"/>
          <w:sz w:val="24"/>
          <w:szCs w:val="24"/>
        </w:rPr>
        <w:t xml:space="preserve"> Ejiofor (2024) links academic success to teacher quality and effective instruction, emphasizing continuous professional development as a key solution.</w:t>
      </w:r>
    </w:p>
    <w:p w14:paraId="04ED9C7B" w14:textId="77777777" w:rsidR="00411A15" w:rsidRPr="00411A15" w:rsidRDefault="00411A15" w:rsidP="00411A15">
      <w:pPr>
        <w:spacing w:after="0" w:line="480" w:lineRule="auto"/>
        <w:ind w:firstLine="709"/>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Effective STEM integration requires skilled teachers trained in content and pedagogy. TPD programs equip educators with hands-on, collaborative and problem-solving strategies, directly impacting student performance. In Plateau State Central Zone, where infrastructure gaps persist, STEM-focused TPD improves teaching methods and student engagement. </w:t>
      </w:r>
      <w:proofErr w:type="spellStart"/>
      <w:r w:rsidRPr="00411A15">
        <w:rPr>
          <w:rFonts w:ascii="Times New Roman" w:eastAsia="Times New Roman" w:hAnsi="Times New Roman" w:cs="Times New Roman"/>
          <w:sz w:val="24"/>
          <w:szCs w:val="24"/>
        </w:rPr>
        <w:t>Ubawuike</w:t>
      </w:r>
      <w:proofErr w:type="spellEnd"/>
      <w:r w:rsidRPr="00411A15">
        <w:rPr>
          <w:rFonts w:ascii="Times New Roman" w:eastAsia="Times New Roman" w:hAnsi="Times New Roman" w:cs="Times New Roman"/>
          <w:sz w:val="24"/>
          <w:szCs w:val="24"/>
        </w:rPr>
        <w:t xml:space="preserve"> (2018) confirms that STEM-trained teachers bridge theory and practice, elevating academic achievement. Investing in tailored, sustained TPD is crucial for unlocking Plateau State Central Zone’s primary education potential.</w:t>
      </w:r>
    </w:p>
    <w:p w14:paraId="2A98D7AD" w14:textId="77777777" w:rsidR="00411A15" w:rsidRPr="00411A15" w:rsidRDefault="00411A15" w:rsidP="00411A15">
      <w:p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b/>
          <w:bCs/>
          <w:sz w:val="24"/>
          <w:szCs w:val="24"/>
        </w:rPr>
        <w:t>Statement of the Problem</w:t>
      </w:r>
    </w:p>
    <w:p w14:paraId="4496DC24" w14:textId="77777777" w:rsidR="00411A15" w:rsidRPr="00411A15" w:rsidRDefault="00411A15" w:rsidP="00411A15">
      <w:pPr>
        <w:spacing w:after="0" w:line="480" w:lineRule="auto"/>
        <w:ind w:firstLine="720"/>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Despite global efforts to improve education through the integration of Science, Technology, Engineering and Mathematics (STEM), primary education in Nigeria, particularly in Plateau State Central Zone, continues to face significant challenges in STEM teaching and learning. Many primary school teachers lack adequate training in modern instructional strategies required for effective STEM delivery. Consequently, classroom instruction is often limited to traditional methods that do not foster critical thinking, creativity, or problem-solving skills among pupils. The integration of STEM requires not only curriculum reform but also well-trained and continually developed teachers who can interpret, implement and deliver content in an engaging and contextually relevant manner. Unfortunately, the absence of structured and continuous professional development programs in STEM for primary school teachers in Plateau State Central Zone contributes to poor pedagogical practices, thereby limiting pupils’ academic achievement in STEM-related subjects.</w:t>
      </w:r>
    </w:p>
    <w:p w14:paraId="6A88382D" w14:textId="77777777" w:rsidR="00411A15" w:rsidRPr="00411A15" w:rsidRDefault="00411A15" w:rsidP="00411A15">
      <w:pPr>
        <w:spacing w:after="0" w:line="480" w:lineRule="auto"/>
        <w:ind w:firstLine="720"/>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Furthermore, the persistent underperformance of pupils in science and mathematics at the primary level in Plateau State Central Zone raises concerns about the effectiveness of current teaching strategies and teacher preparedness. While research has shown a strong link between teacher quality </w:t>
      </w:r>
      <w:r w:rsidRPr="00411A15">
        <w:rPr>
          <w:rFonts w:ascii="Times New Roman" w:eastAsia="Times New Roman" w:hAnsi="Times New Roman" w:cs="Times New Roman"/>
          <w:sz w:val="24"/>
          <w:szCs w:val="24"/>
        </w:rPr>
        <w:lastRenderedPageBreak/>
        <w:t>and student learning outcomes, there is a gap in empirical evidence on how professional development focused specifically on STEM integration impacts pupils’ academic performance in the Nigerian context. Most teacher training programs remain generic and do not address the specific skills and knowledge required for STEM teaching. This gap highlights the urgent need to investigate whether targeted teacher professional development in STEM can positively influence pupils' academic achievement in primary schools, particularly in regions such as Plateau State Central Zone where educational disparities and resource constraints are prevalent.</w:t>
      </w:r>
    </w:p>
    <w:p w14:paraId="06E01428" w14:textId="77777777" w:rsidR="00411A15" w:rsidRPr="00411A15" w:rsidRDefault="00411A15" w:rsidP="00411A15">
      <w:pPr>
        <w:spacing w:after="0" w:line="480" w:lineRule="auto"/>
        <w:jc w:val="both"/>
        <w:rPr>
          <w:rFonts w:ascii="Times New Roman" w:eastAsia="Times New Roman" w:hAnsi="Times New Roman" w:cs="Times New Roman"/>
          <w:b/>
          <w:sz w:val="24"/>
          <w:szCs w:val="24"/>
        </w:rPr>
      </w:pPr>
      <w:r w:rsidRPr="00411A15">
        <w:rPr>
          <w:rFonts w:ascii="Times New Roman" w:eastAsia="Times New Roman" w:hAnsi="Times New Roman" w:cs="Times New Roman"/>
          <w:b/>
          <w:sz w:val="24"/>
          <w:szCs w:val="24"/>
        </w:rPr>
        <w:t>Aim and Objectives of the Study</w:t>
      </w:r>
    </w:p>
    <w:p w14:paraId="5D71F508" w14:textId="77777777" w:rsidR="00411A15" w:rsidRPr="00411A15" w:rsidRDefault="00411A15" w:rsidP="00411A15">
      <w:pPr>
        <w:spacing w:after="0" w:line="480" w:lineRule="auto"/>
        <w:ind w:firstLine="720"/>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The aim of this study is to examine the </w:t>
      </w:r>
      <w:r w:rsidRPr="00411A15">
        <w:rPr>
          <w:rFonts w:ascii="Times New Roman" w:hAnsi="Times New Roman" w:cs="Times New Roman"/>
          <w:sz w:val="24"/>
          <w:szCs w:val="24"/>
        </w:rPr>
        <w:t>Impact of teacher professional development in Science, Technology, Engineering and Mathematics (STEM) Integration on Primary Schools Pupils’ Academic Achievement in Plateau State Central Zone. The specific objectives of the study are:</w:t>
      </w:r>
    </w:p>
    <w:p w14:paraId="77D21E14" w14:textId="77777777" w:rsidR="00411A15" w:rsidRPr="00411A15" w:rsidRDefault="00411A15" w:rsidP="00411A15">
      <w:pPr>
        <w:pStyle w:val="ListParagraph"/>
        <w:numPr>
          <w:ilvl w:val="0"/>
          <w:numId w:val="2"/>
        </w:num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To examine the extent of teacher professional development in STEM integration in primary schools in Plateau State Central Zone.</w:t>
      </w:r>
    </w:p>
    <w:p w14:paraId="52D8CDDD" w14:textId="77777777" w:rsidR="00411A15" w:rsidRPr="00411A15" w:rsidRDefault="00411A15" w:rsidP="00411A15">
      <w:pPr>
        <w:pStyle w:val="ListParagraph"/>
        <w:numPr>
          <w:ilvl w:val="0"/>
          <w:numId w:val="2"/>
        </w:num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To assess the impact of STEM-focused teacher training on pupils’ academic achievement in primary schools.</w:t>
      </w:r>
    </w:p>
    <w:p w14:paraId="625E8700" w14:textId="77777777" w:rsidR="00411A15" w:rsidRPr="00411A15" w:rsidRDefault="00411A15" w:rsidP="00411A15">
      <w:pPr>
        <w:pStyle w:val="ListParagraph"/>
        <w:numPr>
          <w:ilvl w:val="0"/>
          <w:numId w:val="2"/>
        </w:num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To identify the challenges faced by teachers in implementing STEM integration after professional development.</w:t>
      </w:r>
    </w:p>
    <w:p w14:paraId="5F6E0488" w14:textId="77777777" w:rsidR="00411A15" w:rsidRPr="00411A15" w:rsidRDefault="00411A15" w:rsidP="00411A15">
      <w:pPr>
        <w:spacing w:after="0" w:line="480" w:lineRule="auto"/>
        <w:jc w:val="both"/>
        <w:rPr>
          <w:rFonts w:ascii="Times New Roman" w:eastAsia="Times New Roman" w:hAnsi="Times New Roman" w:cs="Times New Roman"/>
          <w:b/>
          <w:sz w:val="24"/>
          <w:szCs w:val="24"/>
        </w:rPr>
      </w:pPr>
      <w:r w:rsidRPr="00411A15">
        <w:rPr>
          <w:rFonts w:ascii="Times New Roman" w:eastAsia="Times New Roman" w:hAnsi="Times New Roman" w:cs="Times New Roman"/>
          <w:b/>
          <w:sz w:val="24"/>
          <w:szCs w:val="24"/>
        </w:rPr>
        <w:t>Research Questions</w:t>
      </w:r>
    </w:p>
    <w:p w14:paraId="1AB0C713" w14:textId="77777777" w:rsidR="00411A15" w:rsidRPr="00411A15" w:rsidRDefault="00411A15" w:rsidP="00411A15">
      <w:p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ab/>
        <w:t>The study is guided by the following research questions:</w:t>
      </w:r>
    </w:p>
    <w:p w14:paraId="0AD1EC70" w14:textId="77777777" w:rsidR="00411A15" w:rsidRPr="00411A15" w:rsidRDefault="00411A15" w:rsidP="00411A15">
      <w:pPr>
        <w:pStyle w:val="ListParagraph"/>
        <w:numPr>
          <w:ilvl w:val="0"/>
          <w:numId w:val="3"/>
        </w:num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What is the extent of teacher professional development in STEM integration in primary schools in Plateau State Central Zone?</w:t>
      </w:r>
    </w:p>
    <w:p w14:paraId="32683192" w14:textId="77777777" w:rsidR="00411A15" w:rsidRPr="00411A15" w:rsidRDefault="00411A15" w:rsidP="00411A15">
      <w:pPr>
        <w:pStyle w:val="ListParagraph"/>
        <w:numPr>
          <w:ilvl w:val="0"/>
          <w:numId w:val="3"/>
        </w:num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How does STEM-focused teacher training impact pupils’ academic achievement in primary schools?</w:t>
      </w:r>
    </w:p>
    <w:p w14:paraId="6242804F" w14:textId="77777777" w:rsidR="00411A15" w:rsidRPr="00411A15" w:rsidRDefault="00411A15" w:rsidP="00411A15">
      <w:pPr>
        <w:pStyle w:val="ListParagraph"/>
        <w:numPr>
          <w:ilvl w:val="0"/>
          <w:numId w:val="3"/>
        </w:num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lastRenderedPageBreak/>
        <w:t>What challenges do teachers face in implementing STEM integration after undergoing professional development?</w:t>
      </w:r>
    </w:p>
    <w:p w14:paraId="2C414179" w14:textId="77777777" w:rsidR="00411A15" w:rsidRPr="00411A15" w:rsidRDefault="00411A15" w:rsidP="00411A15">
      <w:pPr>
        <w:spacing w:after="0" w:line="480" w:lineRule="auto"/>
        <w:rPr>
          <w:rFonts w:ascii="Times New Roman" w:eastAsia="Times New Roman" w:hAnsi="Times New Roman" w:cs="Times New Roman"/>
          <w:sz w:val="24"/>
          <w:szCs w:val="24"/>
        </w:rPr>
      </w:pPr>
      <w:r w:rsidRPr="00411A15">
        <w:rPr>
          <w:rFonts w:ascii="Times New Roman" w:eastAsia="Times New Roman" w:hAnsi="Times New Roman" w:cs="Times New Roman"/>
          <w:b/>
          <w:bCs/>
          <w:sz w:val="24"/>
          <w:szCs w:val="24"/>
        </w:rPr>
        <w:t>LITERATURE REVIEW</w:t>
      </w:r>
    </w:p>
    <w:p w14:paraId="5E799293" w14:textId="77777777" w:rsidR="00411A15" w:rsidRPr="00411A15" w:rsidRDefault="00411A15" w:rsidP="00411A15">
      <w:p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b/>
          <w:bCs/>
          <w:sz w:val="24"/>
          <w:szCs w:val="24"/>
        </w:rPr>
        <w:t>Science, Technology, Engineering and Mathematics (STEM)</w:t>
      </w:r>
    </w:p>
    <w:p w14:paraId="78F90683" w14:textId="77777777" w:rsidR="00411A15" w:rsidRPr="00411A15" w:rsidRDefault="00411A15" w:rsidP="00411A15">
      <w:pPr>
        <w:spacing w:after="0" w:line="480" w:lineRule="auto"/>
        <w:ind w:firstLine="851"/>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Science, Technology, Engineering and Mathematics (STEM) education is a multidisciplinary approach that integrates the four domains into a unified learning paradigm. At the primary school level, STEM education serves as a foundational framework that fosters creativity, critical thinking, collaboration and problem-solving among pupils (Rahman, Zakariah, Anuar, Noh &amp; Abdul Razak, 2025). It equips learners with the competencies required for 21st-century challenges, especially in an increasingly technology-driven world. STEM education in Nigerian primary schools plays a crucial role in addressing issues of scientific illiteracy and under-preparedness for future careers. Integrating STEM into the primary school curriculum enables learners to make connections between concepts, apply them in real-life situations and develop inquiry-based learning skills. The integration is particularly important at this stage because early exposure to STEM concepts has been found to spark sustained interest in science-related subjects later in life. However, the implementation of STEM in Nigerian primary schools is faced with several challenges, including a lack of resources, poorly equipped laboratories, insufficient instructional materials and inadequately trained teachers. Despite these challenges, the potential of STEM education in improving pupils’ academic outcomes remains immense. According to Taiwo, </w:t>
      </w:r>
      <w:proofErr w:type="spellStart"/>
      <w:r w:rsidRPr="00411A15">
        <w:rPr>
          <w:rFonts w:ascii="Times New Roman" w:eastAsia="Times New Roman" w:hAnsi="Times New Roman" w:cs="Times New Roman"/>
          <w:sz w:val="24"/>
          <w:szCs w:val="24"/>
        </w:rPr>
        <w:t>Gbemiga</w:t>
      </w:r>
      <w:proofErr w:type="spellEnd"/>
      <w:r w:rsidRPr="00411A15">
        <w:rPr>
          <w:rFonts w:ascii="Times New Roman" w:eastAsia="Times New Roman" w:hAnsi="Times New Roman" w:cs="Times New Roman"/>
          <w:sz w:val="24"/>
          <w:szCs w:val="24"/>
        </w:rPr>
        <w:t xml:space="preserve"> and Oladimeji (2022), early exposure to STEM education promotes analytical thinking, enhances learners’ cognitive development and contributes significantly to improved learning outcomes, especially in science and mathematics-related subjects.</w:t>
      </w:r>
    </w:p>
    <w:p w14:paraId="047BCC20" w14:textId="77777777" w:rsidR="00411A15" w:rsidRPr="00411A15" w:rsidRDefault="00411A15" w:rsidP="00411A15">
      <w:p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b/>
          <w:bCs/>
          <w:sz w:val="24"/>
          <w:szCs w:val="24"/>
        </w:rPr>
        <w:t>Teacher Professional Development</w:t>
      </w:r>
    </w:p>
    <w:p w14:paraId="1C5296E8" w14:textId="77777777" w:rsidR="00411A15" w:rsidRPr="00411A15" w:rsidRDefault="00411A15" w:rsidP="00411A15">
      <w:pPr>
        <w:spacing w:after="0" w:line="480" w:lineRule="auto"/>
        <w:ind w:firstLine="851"/>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Teacher professional development (TPD) is an essential strategy for improving the quality of teaching and learning in educational systems. It refers to a range of formal and informal learning </w:t>
      </w:r>
      <w:r w:rsidRPr="00411A15">
        <w:rPr>
          <w:rFonts w:ascii="Times New Roman" w:eastAsia="Times New Roman" w:hAnsi="Times New Roman" w:cs="Times New Roman"/>
          <w:sz w:val="24"/>
          <w:szCs w:val="24"/>
        </w:rPr>
        <w:lastRenderedPageBreak/>
        <w:t>opportunities designed to improve teachers’ pedagogical knowledge, subject matter expertise and instructional skills (Boz, 2023). In the Nigerian context, TPD plays a critical role in equipping teachers with modern teaching methodologies, especially in areas such as STEM, where constant innovations require ongoing learning. Effective professional development enhances teachers' ability to deliver engaging, learner-centered instruction that aligns with curriculum standards and caters to diverse learners’ needs. For primary school teachers, particularly those teaching STEM-related subjects, TPD programs provide the necessary training to utilize technology, conduct inquiry-based lessons and foster creativity in pupils. Continuous professional learning also boosts teacher motivation and professional confidence, which ultimately translates to better classroom practices. However, despite the importance of TPD, its implementation in Nigeria has often been undermined by poor funding, lack of policy support and limited access to quality training programs. In addressing these gaps, collaborative and well-structured professional development models are increasingly being recognized as effective means of empowering teachers. As Abd Ghani et al. (2023) posit, sustainable teacher professional development is key to transforming Nigeria’s educational outcomes, especially in technical and scientific subjects, as it enables teachers to adapt to evolving content and methods that promote meaningful pupil engagement and academic growth.</w:t>
      </w:r>
    </w:p>
    <w:p w14:paraId="27740D5C" w14:textId="77777777" w:rsidR="00411A15" w:rsidRPr="00411A15" w:rsidRDefault="00411A15" w:rsidP="00411A15">
      <w:p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b/>
          <w:bCs/>
          <w:sz w:val="24"/>
          <w:szCs w:val="24"/>
        </w:rPr>
        <w:t>Academic Achievement</w:t>
      </w:r>
    </w:p>
    <w:p w14:paraId="2A315C6A" w14:textId="77777777" w:rsidR="00411A15" w:rsidRPr="00411A15" w:rsidRDefault="00411A15" w:rsidP="00411A15">
      <w:pPr>
        <w:spacing w:after="0" w:line="480" w:lineRule="auto"/>
        <w:ind w:firstLine="851"/>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Academic achievement refers to the measurable learning outcomes attained by pupils in specific subject areas, often assessed through standardized tests, teacher evaluations and classroom performance. In primary education, academic achievement serves as an indicator of cognitive development, comprehension skills and the effectiveness of teaching methods. It is also a critical factor in determining the readiness of pupils for secondary education and their overall educational trajectory (</w:t>
      </w:r>
      <w:proofErr w:type="spellStart"/>
      <w:r w:rsidRPr="00411A15">
        <w:rPr>
          <w:rFonts w:ascii="Times New Roman" w:eastAsia="Times New Roman" w:hAnsi="Times New Roman" w:cs="Times New Roman"/>
          <w:sz w:val="24"/>
          <w:szCs w:val="24"/>
        </w:rPr>
        <w:t>Mohajan</w:t>
      </w:r>
      <w:proofErr w:type="spellEnd"/>
      <w:r w:rsidRPr="00411A15">
        <w:rPr>
          <w:rFonts w:ascii="Times New Roman" w:eastAsia="Times New Roman" w:hAnsi="Times New Roman" w:cs="Times New Roman"/>
          <w:sz w:val="24"/>
          <w:szCs w:val="24"/>
        </w:rPr>
        <w:t xml:space="preserve">, 2020). In Nigeria, there has been growing concern over the low academic performance of pupils, particularly in science and mathematics-related subjects. Several factors have </w:t>
      </w:r>
      <w:r w:rsidRPr="00411A15">
        <w:rPr>
          <w:rFonts w:ascii="Times New Roman" w:eastAsia="Times New Roman" w:hAnsi="Times New Roman" w:cs="Times New Roman"/>
          <w:sz w:val="24"/>
          <w:szCs w:val="24"/>
        </w:rPr>
        <w:lastRenderedPageBreak/>
        <w:t>been identified as contributing to this trend, including inadequate instructional resources, large class sizes and unqualified teachers. Furthermore, the disparity in academic performance across different regions underscores the need for region-specific interventions that take into account the unique challenges of local contexts. The academic performance of pupils in Plateau State Central Zone, for example, has shown inconsistencies due to socio-economic factors and under-resourced educational systems. However, research has shown that targeted interventions, such as improved teacher training and curriculum reforms, can significantly improve academic outcomes. According to Ikechukwu (2015), the academic achievement of primary school pupils is closely linked to teacher quality and the availability of effective instructional strategies.</w:t>
      </w:r>
    </w:p>
    <w:p w14:paraId="42B307C1" w14:textId="77777777" w:rsidR="00411A15" w:rsidRPr="00411A15" w:rsidRDefault="00411A15" w:rsidP="00411A15">
      <w:p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b/>
          <w:bCs/>
          <w:sz w:val="24"/>
          <w:szCs w:val="24"/>
        </w:rPr>
        <w:t>Impact of Teacher Professional Development in STEM Integration on Primary Schools Pupils’ Academic Achievement</w:t>
      </w:r>
    </w:p>
    <w:p w14:paraId="693D4842" w14:textId="77777777" w:rsidR="00411A15" w:rsidRPr="00411A15" w:rsidRDefault="00411A15" w:rsidP="00411A15">
      <w:pPr>
        <w:spacing w:after="0" w:line="480" w:lineRule="auto"/>
        <w:ind w:firstLine="720"/>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The integration of STEM education into the primary school curriculum necessitates a workforce of well-trained and competent teachers who can deliver content in an engaging and meaningful way. Teacher professional development (TPD) in STEM equips educators with both content knowledge and pedagogical strategies tailored to STEM integration (Gardner, Glassmeyer &amp; Worthy, 2019). This professional competence is crucial in shaping how pupils perceive and perform in STEM-related subjects. In Plateau State Central Zone, where infrastructural and instructional challenges persist, the impact of TPD in STEM integration is increasingly being recognized as a catalyst for improving pupils’ academic performance. TPD programs that focus on hands-on learning, collaborative teaching and problem-solving methodologies have been shown to positively influence how STEM subjects are taught and understood by learners. Moreover, STEM-focused TPD promotes the use of technology, inquiry-based instruction and interdisciplinary teaching, which have all been associated with improved cognitive engagement and academic success. Empirical evidence supports the notion that when teachers are adequately trained to integrate STEM concepts, pupils develop better </w:t>
      </w:r>
      <w:r w:rsidRPr="00411A15">
        <w:rPr>
          <w:rFonts w:ascii="Times New Roman" w:eastAsia="Times New Roman" w:hAnsi="Times New Roman" w:cs="Times New Roman"/>
          <w:sz w:val="24"/>
          <w:szCs w:val="24"/>
        </w:rPr>
        <w:lastRenderedPageBreak/>
        <w:t xml:space="preserve">analytical skills, higher interest in science and mathematics and improved test scores. As </w:t>
      </w:r>
      <w:proofErr w:type="spellStart"/>
      <w:r w:rsidRPr="00411A15">
        <w:rPr>
          <w:rFonts w:ascii="Times New Roman" w:eastAsia="Times New Roman" w:hAnsi="Times New Roman" w:cs="Times New Roman"/>
          <w:sz w:val="24"/>
          <w:szCs w:val="24"/>
        </w:rPr>
        <w:t>Anagun</w:t>
      </w:r>
      <w:proofErr w:type="spellEnd"/>
      <w:r w:rsidRPr="00411A15">
        <w:rPr>
          <w:rFonts w:ascii="Times New Roman" w:eastAsia="Times New Roman" w:hAnsi="Times New Roman" w:cs="Times New Roman"/>
          <w:sz w:val="24"/>
          <w:szCs w:val="24"/>
        </w:rPr>
        <w:t>, Karahan and Kilic (2020) highlight, teacher professional development in STEM integration significantly enhances not only teaching practices but also learners’ academic achievement by bridging the gap between theoretical knowledge and practical application.</w:t>
      </w:r>
    </w:p>
    <w:p w14:paraId="6F0A0150" w14:textId="77777777" w:rsidR="00411A15" w:rsidRPr="00411A15" w:rsidRDefault="00411A15" w:rsidP="00411A15">
      <w:p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b/>
          <w:sz w:val="24"/>
          <w:szCs w:val="24"/>
        </w:rPr>
        <w:t>THEORETICAL FRAMEWORK</w:t>
      </w:r>
    </w:p>
    <w:p w14:paraId="6DE14522" w14:textId="77777777" w:rsidR="00411A15" w:rsidRPr="00411A15" w:rsidRDefault="00411A15" w:rsidP="00411A15">
      <w:pPr>
        <w:spacing w:after="0" w:line="480" w:lineRule="auto"/>
        <w:ind w:firstLine="720"/>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The </w:t>
      </w:r>
      <w:r w:rsidRPr="00411A15">
        <w:rPr>
          <w:rFonts w:ascii="Times New Roman" w:eastAsia="Times New Roman" w:hAnsi="Times New Roman" w:cs="Times New Roman"/>
          <w:bCs/>
          <w:sz w:val="24"/>
          <w:szCs w:val="24"/>
        </w:rPr>
        <w:t>Constructivist Learning Theory</w:t>
      </w:r>
      <w:r w:rsidRPr="00411A15">
        <w:rPr>
          <w:rFonts w:ascii="Times New Roman" w:eastAsia="Times New Roman" w:hAnsi="Times New Roman" w:cs="Times New Roman"/>
          <w:sz w:val="24"/>
          <w:szCs w:val="24"/>
        </w:rPr>
        <w:t xml:space="preserve">, propounded by </w:t>
      </w:r>
      <w:r w:rsidRPr="00411A15">
        <w:rPr>
          <w:rFonts w:ascii="Times New Roman" w:eastAsia="Times New Roman" w:hAnsi="Times New Roman" w:cs="Times New Roman"/>
          <w:bCs/>
          <w:sz w:val="24"/>
          <w:szCs w:val="24"/>
        </w:rPr>
        <w:t>Jean Piaget (1936)</w:t>
      </w:r>
      <w:r w:rsidRPr="00411A15">
        <w:rPr>
          <w:rFonts w:ascii="Times New Roman" w:eastAsia="Times New Roman" w:hAnsi="Times New Roman" w:cs="Times New Roman"/>
          <w:sz w:val="24"/>
          <w:szCs w:val="24"/>
        </w:rPr>
        <w:t xml:space="preserve"> and later expanded by </w:t>
      </w:r>
      <w:r w:rsidRPr="00411A15">
        <w:rPr>
          <w:rFonts w:ascii="Times New Roman" w:eastAsia="Times New Roman" w:hAnsi="Times New Roman" w:cs="Times New Roman"/>
          <w:bCs/>
          <w:sz w:val="24"/>
          <w:szCs w:val="24"/>
        </w:rPr>
        <w:t>Lev Vygotsky (1978)</w:t>
      </w:r>
      <w:r w:rsidRPr="00411A15">
        <w:rPr>
          <w:rFonts w:ascii="Times New Roman" w:eastAsia="Times New Roman" w:hAnsi="Times New Roman" w:cs="Times New Roman"/>
          <w:sz w:val="24"/>
          <w:szCs w:val="24"/>
        </w:rPr>
        <w:t>, provides a solid theoretical framework for this study. This theory emphasizes that learners actively construct knowledge through experiences and interactions with their environment rather than passively receiving information. Key principles include the importance of prior knowledge, the active role of the learner, the social nature of learning and the role of the teacher as a facilitator (Khan, 2019). In applying this theory to the current study, professional development equips teachers with pedagogical and content-specific STEM strategies that promote inquiry-based and learner-centered approaches. By enhancing teachers’ competencies through targeted STEM training, they are better able to create engaging, hands-on and collaborative learning environments that align with constructivist principles, thereby positively influencing pupils’ academic achievement in STEM subjects.</w:t>
      </w:r>
    </w:p>
    <w:p w14:paraId="762618EB" w14:textId="77777777" w:rsidR="00411A15" w:rsidRPr="00411A15" w:rsidRDefault="00411A15" w:rsidP="00411A15">
      <w:pPr>
        <w:spacing w:after="0" w:line="480" w:lineRule="auto"/>
        <w:rPr>
          <w:rFonts w:ascii="Times New Roman" w:hAnsi="Times New Roman" w:cs="Times New Roman"/>
          <w:b/>
          <w:bCs/>
          <w:sz w:val="24"/>
          <w:szCs w:val="24"/>
        </w:rPr>
      </w:pPr>
      <w:r w:rsidRPr="00411A15">
        <w:rPr>
          <w:rFonts w:ascii="Times New Roman" w:hAnsi="Times New Roman" w:cs="Times New Roman"/>
          <w:b/>
          <w:bCs/>
          <w:sz w:val="24"/>
          <w:szCs w:val="24"/>
        </w:rPr>
        <w:t>METHODOLOGY</w:t>
      </w:r>
    </w:p>
    <w:p w14:paraId="2E96DB0B" w14:textId="77777777" w:rsidR="00411A15" w:rsidRPr="00411A15" w:rsidRDefault="00411A15" w:rsidP="00411A15">
      <w:pPr>
        <w:spacing w:after="0" w:line="480" w:lineRule="auto"/>
        <w:ind w:firstLine="720"/>
        <w:jc w:val="both"/>
        <w:rPr>
          <w:rFonts w:ascii="Times New Roman" w:hAnsi="Times New Roman" w:cs="Times New Roman"/>
          <w:sz w:val="24"/>
          <w:szCs w:val="24"/>
        </w:rPr>
      </w:pPr>
      <w:r w:rsidRPr="00411A15">
        <w:rPr>
          <w:rFonts w:ascii="Times New Roman" w:hAnsi="Times New Roman" w:cs="Times New Roman"/>
          <w:sz w:val="24"/>
          <w:szCs w:val="24"/>
        </w:rPr>
        <w:t xml:space="preserve">This study employed a descriptive survey research design. The population of the study comprised 7, 981 primary school teachers in Plateau Central Zone. The five Local Government Areas in Central </w:t>
      </w:r>
      <w:proofErr w:type="spellStart"/>
      <w:r w:rsidRPr="00411A15">
        <w:rPr>
          <w:rFonts w:ascii="Times New Roman" w:hAnsi="Times New Roman" w:cs="Times New Roman"/>
          <w:sz w:val="24"/>
          <w:szCs w:val="24"/>
        </w:rPr>
        <w:t>Plaeau</w:t>
      </w:r>
      <w:proofErr w:type="spellEnd"/>
      <w:r w:rsidRPr="00411A15">
        <w:rPr>
          <w:rFonts w:ascii="Times New Roman" w:hAnsi="Times New Roman" w:cs="Times New Roman"/>
          <w:sz w:val="24"/>
          <w:szCs w:val="24"/>
        </w:rPr>
        <w:t xml:space="preserve"> Zone are </w:t>
      </w:r>
      <w:proofErr w:type="spellStart"/>
      <w:r w:rsidRPr="00411A15">
        <w:rPr>
          <w:rFonts w:ascii="Times New Roman" w:hAnsi="Times New Roman" w:cs="Times New Roman"/>
          <w:sz w:val="24"/>
          <w:szCs w:val="24"/>
        </w:rPr>
        <w:t>Bokkos</w:t>
      </w:r>
      <w:proofErr w:type="spellEnd"/>
      <w:r w:rsidRPr="00411A15">
        <w:rPr>
          <w:rFonts w:ascii="Times New Roman" w:hAnsi="Times New Roman" w:cs="Times New Roman"/>
          <w:sz w:val="24"/>
          <w:szCs w:val="24"/>
        </w:rPr>
        <w:t xml:space="preserve">, Mangu, </w:t>
      </w:r>
      <w:proofErr w:type="spellStart"/>
      <w:r w:rsidRPr="00411A15">
        <w:rPr>
          <w:rFonts w:ascii="Times New Roman" w:hAnsi="Times New Roman" w:cs="Times New Roman"/>
          <w:sz w:val="24"/>
          <w:szCs w:val="24"/>
        </w:rPr>
        <w:t>Pankshin</w:t>
      </w:r>
      <w:proofErr w:type="spellEnd"/>
      <w:r w:rsidRPr="00411A15">
        <w:rPr>
          <w:rFonts w:ascii="Times New Roman" w:hAnsi="Times New Roman" w:cs="Times New Roman"/>
          <w:sz w:val="24"/>
          <w:szCs w:val="24"/>
        </w:rPr>
        <w:t xml:space="preserve">, Kanke and </w:t>
      </w:r>
      <w:proofErr w:type="spellStart"/>
      <w:r w:rsidRPr="00411A15">
        <w:rPr>
          <w:rFonts w:ascii="Times New Roman" w:hAnsi="Times New Roman" w:cs="Times New Roman"/>
          <w:sz w:val="24"/>
          <w:szCs w:val="24"/>
        </w:rPr>
        <w:t>Kanam.The</w:t>
      </w:r>
      <w:proofErr w:type="spellEnd"/>
      <w:r w:rsidRPr="00411A15">
        <w:rPr>
          <w:rFonts w:ascii="Times New Roman" w:hAnsi="Times New Roman" w:cs="Times New Roman"/>
          <w:sz w:val="24"/>
          <w:szCs w:val="24"/>
        </w:rPr>
        <w:t xml:space="preserve"> sample of the study consisted of 500 primary school teachers, selected from 50 public primary schools in the region. The sample was drawn using a random sampling technique to ensure equal representation of teachers. The instrument for data collection was a structured questionnaire titled </w:t>
      </w:r>
      <w:r w:rsidRPr="00411A15">
        <w:rPr>
          <w:rFonts w:ascii="Times New Roman" w:hAnsi="Times New Roman" w:cs="Times New Roman"/>
          <w:iCs/>
          <w:sz w:val="24"/>
          <w:szCs w:val="24"/>
        </w:rPr>
        <w:t>"Impact of Teacher Professional Development in Science, Technology, Engineering and Mathematics (STEM)."</w:t>
      </w:r>
      <w:r w:rsidRPr="00411A15">
        <w:rPr>
          <w:rFonts w:ascii="Times New Roman" w:hAnsi="Times New Roman" w:cs="Times New Roman"/>
          <w:sz w:val="24"/>
          <w:szCs w:val="24"/>
        </w:rPr>
        <w:t xml:space="preserve"> The questionnaire </w:t>
      </w:r>
      <w:r w:rsidRPr="00411A15">
        <w:rPr>
          <w:rFonts w:ascii="Times New Roman" w:hAnsi="Times New Roman" w:cs="Times New Roman"/>
          <w:sz w:val="24"/>
          <w:szCs w:val="24"/>
        </w:rPr>
        <w:lastRenderedPageBreak/>
        <w:t>was designed on a four-point Likert scale and consisted of 15 items. The instrument underwent face and content validity by experts in educational research and measurement to ensure clarity and relevance. A pilot study was conducted and the reliability coefficient of the instrument was determined to be 0.87 using Cronbach’s Alpha method. Data collected were analyzed using mean scores for research questions.</w:t>
      </w:r>
    </w:p>
    <w:p w14:paraId="6C5E0F95" w14:textId="77777777" w:rsidR="00411A15" w:rsidRPr="00411A15" w:rsidRDefault="00411A15" w:rsidP="00411A15">
      <w:pPr>
        <w:spacing w:after="0" w:line="480" w:lineRule="auto"/>
        <w:rPr>
          <w:rFonts w:ascii="Times New Roman" w:hAnsi="Times New Roman" w:cs="Times New Roman"/>
          <w:sz w:val="24"/>
          <w:szCs w:val="24"/>
        </w:rPr>
      </w:pPr>
      <w:r w:rsidRPr="00411A15">
        <w:rPr>
          <w:rFonts w:ascii="Times New Roman" w:hAnsi="Times New Roman" w:cs="Times New Roman"/>
          <w:b/>
          <w:bCs/>
          <w:sz w:val="24"/>
          <w:szCs w:val="24"/>
        </w:rPr>
        <w:t>RESULTS AND DISCUSSION</w:t>
      </w:r>
    </w:p>
    <w:p w14:paraId="6F88B81E" w14:textId="77777777" w:rsidR="00411A15" w:rsidRPr="00411A15" w:rsidRDefault="00411A15" w:rsidP="00411A15">
      <w:pPr>
        <w:spacing w:after="0" w:line="276" w:lineRule="auto"/>
        <w:rPr>
          <w:rStyle w:val="Strong"/>
          <w:rFonts w:ascii="Times New Roman" w:eastAsia="Times New Roman" w:hAnsi="Times New Roman" w:cs="Times New Roman"/>
          <w:b w:val="0"/>
          <w:bCs w:val="0"/>
          <w:sz w:val="24"/>
          <w:szCs w:val="24"/>
        </w:rPr>
      </w:pPr>
      <w:r w:rsidRPr="00411A15">
        <w:rPr>
          <w:rStyle w:val="Strong"/>
          <w:rFonts w:ascii="Times New Roman" w:eastAsia="Times New Roman" w:hAnsi="Times New Roman" w:cs="Times New Roman"/>
          <w:bCs w:val="0"/>
          <w:sz w:val="24"/>
          <w:szCs w:val="24"/>
        </w:rPr>
        <w:t>Research Question 1:</w:t>
      </w:r>
      <w:r w:rsidRPr="00411A15">
        <w:rPr>
          <w:rStyle w:val="Strong"/>
          <w:rFonts w:ascii="Times New Roman" w:eastAsia="Times New Roman" w:hAnsi="Times New Roman" w:cs="Times New Roman"/>
          <w:b w:val="0"/>
          <w:bCs w:val="0"/>
          <w:sz w:val="24"/>
          <w:szCs w:val="24"/>
        </w:rPr>
        <w:t xml:space="preserve"> What is the extent of teacher professional development in STEM integration in primary schools in Plateau State Central Zone?</w:t>
      </w:r>
    </w:p>
    <w:p w14:paraId="6B0C53CD" w14:textId="77777777" w:rsidR="00411A15" w:rsidRPr="00411A15" w:rsidRDefault="00411A15" w:rsidP="00411A15">
      <w:pPr>
        <w:spacing w:after="0" w:line="276" w:lineRule="auto"/>
        <w:rPr>
          <w:rFonts w:ascii="Times New Roman" w:hAnsi="Times New Roman" w:cs="Times New Roman"/>
          <w:sz w:val="24"/>
          <w:szCs w:val="24"/>
        </w:rPr>
      </w:pPr>
      <w:r w:rsidRPr="00411A15">
        <w:rPr>
          <w:rFonts w:ascii="Times New Roman" w:hAnsi="Times New Roman" w:cs="Times New Roman"/>
          <w:b/>
          <w:bCs/>
          <w:sz w:val="24"/>
          <w:szCs w:val="24"/>
        </w:rPr>
        <w:t xml:space="preserve">Table 1: </w:t>
      </w:r>
      <w:r w:rsidRPr="00411A15">
        <w:rPr>
          <w:rFonts w:ascii="Times New Roman" w:hAnsi="Times New Roman" w:cs="Times New Roman"/>
          <w:sz w:val="24"/>
          <w:szCs w:val="24"/>
        </w:rPr>
        <w:t>T</w:t>
      </w:r>
      <w:r w:rsidRPr="00411A15">
        <w:rPr>
          <w:rStyle w:val="Strong"/>
          <w:rFonts w:ascii="Times New Roman" w:eastAsia="Times New Roman" w:hAnsi="Times New Roman" w:cs="Times New Roman"/>
          <w:b w:val="0"/>
          <w:bCs w:val="0"/>
          <w:sz w:val="24"/>
          <w:szCs w:val="24"/>
        </w:rPr>
        <w:t>he extent of teacher professional development in STEM integration in primary schools in Plateau State Central Zone</w:t>
      </w:r>
    </w:p>
    <w:tbl>
      <w:tblPr>
        <w:tblStyle w:val="TableGrid"/>
        <w:tblW w:w="92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3837"/>
        <w:gridCol w:w="576"/>
        <w:gridCol w:w="576"/>
        <w:gridCol w:w="576"/>
        <w:gridCol w:w="523"/>
        <w:gridCol w:w="741"/>
        <w:gridCol w:w="636"/>
        <w:gridCol w:w="1154"/>
      </w:tblGrid>
      <w:tr w:rsidR="00411A15" w:rsidRPr="00411A15" w14:paraId="10A21B28" w14:textId="77777777" w:rsidTr="00DD1200">
        <w:tc>
          <w:tcPr>
            <w:tcW w:w="0" w:type="auto"/>
            <w:tcBorders>
              <w:bottom w:val="single" w:sz="4" w:space="0" w:color="auto"/>
            </w:tcBorders>
            <w:hideMark/>
          </w:tcPr>
          <w:p w14:paraId="52F7D7E2"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S/N</w:t>
            </w:r>
          </w:p>
        </w:tc>
        <w:tc>
          <w:tcPr>
            <w:tcW w:w="0" w:type="auto"/>
            <w:tcBorders>
              <w:bottom w:val="single" w:sz="4" w:space="0" w:color="auto"/>
            </w:tcBorders>
            <w:hideMark/>
          </w:tcPr>
          <w:p w14:paraId="0921CF0C"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Items</w:t>
            </w:r>
          </w:p>
        </w:tc>
        <w:tc>
          <w:tcPr>
            <w:tcW w:w="0" w:type="auto"/>
            <w:tcBorders>
              <w:bottom w:val="single" w:sz="4" w:space="0" w:color="auto"/>
            </w:tcBorders>
            <w:hideMark/>
          </w:tcPr>
          <w:p w14:paraId="7110BFF2"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SA</w:t>
            </w:r>
          </w:p>
        </w:tc>
        <w:tc>
          <w:tcPr>
            <w:tcW w:w="0" w:type="auto"/>
            <w:tcBorders>
              <w:bottom w:val="single" w:sz="4" w:space="0" w:color="auto"/>
            </w:tcBorders>
            <w:hideMark/>
          </w:tcPr>
          <w:p w14:paraId="2AA096C9"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A</w:t>
            </w:r>
          </w:p>
        </w:tc>
        <w:tc>
          <w:tcPr>
            <w:tcW w:w="0" w:type="auto"/>
            <w:tcBorders>
              <w:bottom w:val="single" w:sz="4" w:space="0" w:color="auto"/>
            </w:tcBorders>
            <w:hideMark/>
          </w:tcPr>
          <w:p w14:paraId="6DC557D6"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D</w:t>
            </w:r>
          </w:p>
        </w:tc>
        <w:tc>
          <w:tcPr>
            <w:tcW w:w="0" w:type="auto"/>
            <w:tcBorders>
              <w:bottom w:val="single" w:sz="4" w:space="0" w:color="auto"/>
            </w:tcBorders>
            <w:hideMark/>
          </w:tcPr>
          <w:p w14:paraId="46C79D22"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SD</w:t>
            </w:r>
          </w:p>
        </w:tc>
        <w:tc>
          <w:tcPr>
            <w:tcW w:w="0" w:type="auto"/>
            <w:tcBorders>
              <w:bottom w:val="single" w:sz="4" w:space="0" w:color="auto"/>
            </w:tcBorders>
            <w:hideMark/>
          </w:tcPr>
          <w:p w14:paraId="72E40CDF"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Total</w:t>
            </w:r>
          </w:p>
        </w:tc>
        <w:tc>
          <w:tcPr>
            <w:tcW w:w="0" w:type="auto"/>
            <w:tcBorders>
              <w:bottom w:val="single" w:sz="4" w:space="0" w:color="auto"/>
            </w:tcBorders>
            <w:hideMark/>
          </w:tcPr>
          <w:p w14:paraId="31CEB9F4"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x̄</w:t>
            </w:r>
          </w:p>
        </w:tc>
        <w:tc>
          <w:tcPr>
            <w:tcW w:w="1154" w:type="dxa"/>
            <w:tcBorders>
              <w:bottom w:val="single" w:sz="4" w:space="0" w:color="auto"/>
            </w:tcBorders>
            <w:hideMark/>
          </w:tcPr>
          <w:p w14:paraId="62C091B1"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 xml:space="preserve">Decision </w:t>
            </w:r>
          </w:p>
        </w:tc>
      </w:tr>
      <w:tr w:rsidR="00411A15" w:rsidRPr="00411A15" w14:paraId="2D75DEC1" w14:textId="77777777" w:rsidTr="00DD1200">
        <w:tc>
          <w:tcPr>
            <w:tcW w:w="0" w:type="auto"/>
            <w:tcBorders>
              <w:top w:val="single" w:sz="4" w:space="0" w:color="auto"/>
              <w:bottom w:val="nil"/>
            </w:tcBorders>
            <w:hideMark/>
          </w:tcPr>
          <w:p w14:paraId="35F87791"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w:t>
            </w:r>
          </w:p>
        </w:tc>
        <w:tc>
          <w:tcPr>
            <w:tcW w:w="0" w:type="auto"/>
            <w:tcBorders>
              <w:top w:val="single" w:sz="4" w:space="0" w:color="auto"/>
              <w:bottom w:val="nil"/>
            </w:tcBorders>
            <w:vAlign w:val="center"/>
            <w:hideMark/>
          </w:tcPr>
          <w:p w14:paraId="180FCBB2"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I have attended a professional development training focused on STEM integration.</w:t>
            </w:r>
          </w:p>
        </w:tc>
        <w:tc>
          <w:tcPr>
            <w:tcW w:w="0" w:type="auto"/>
            <w:tcBorders>
              <w:top w:val="single" w:sz="4" w:space="0" w:color="auto"/>
              <w:bottom w:val="nil"/>
            </w:tcBorders>
            <w:hideMark/>
          </w:tcPr>
          <w:p w14:paraId="31063339"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130</w:t>
            </w:r>
          </w:p>
        </w:tc>
        <w:tc>
          <w:tcPr>
            <w:tcW w:w="0" w:type="auto"/>
            <w:tcBorders>
              <w:top w:val="single" w:sz="4" w:space="0" w:color="auto"/>
              <w:bottom w:val="nil"/>
            </w:tcBorders>
            <w:hideMark/>
          </w:tcPr>
          <w:p w14:paraId="55E7D717"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170</w:t>
            </w:r>
          </w:p>
        </w:tc>
        <w:tc>
          <w:tcPr>
            <w:tcW w:w="0" w:type="auto"/>
            <w:tcBorders>
              <w:top w:val="single" w:sz="4" w:space="0" w:color="auto"/>
              <w:bottom w:val="nil"/>
            </w:tcBorders>
            <w:hideMark/>
          </w:tcPr>
          <w:p w14:paraId="3A336ED6"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120</w:t>
            </w:r>
          </w:p>
        </w:tc>
        <w:tc>
          <w:tcPr>
            <w:tcW w:w="0" w:type="auto"/>
            <w:tcBorders>
              <w:top w:val="single" w:sz="4" w:space="0" w:color="auto"/>
              <w:bottom w:val="nil"/>
            </w:tcBorders>
            <w:hideMark/>
          </w:tcPr>
          <w:p w14:paraId="622FEDA5"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80</w:t>
            </w:r>
          </w:p>
        </w:tc>
        <w:tc>
          <w:tcPr>
            <w:tcW w:w="0" w:type="auto"/>
            <w:tcBorders>
              <w:top w:val="single" w:sz="4" w:space="0" w:color="auto"/>
              <w:bottom w:val="nil"/>
            </w:tcBorders>
            <w:hideMark/>
          </w:tcPr>
          <w:p w14:paraId="63BCADFA"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1450</w:t>
            </w:r>
          </w:p>
        </w:tc>
        <w:tc>
          <w:tcPr>
            <w:tcW w:w="0" w:type="auto"/>
            <w:tcBorders>
              <w:top w:val="single" w:sz="4" w:space="0" w:color="auto"/>
              <w:bottom w:val="nil"/>
            </w:tcBorders>
            <w:hideMark/>
          </w:tcPr>
          <w:p w14:paraId="586B4442"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2.64</w:t>
            </w:r>
          </w:p>
        </w:tc>
        <w:tc>
          <w:tcPr>
            <w:tcW w:w="1154" w:type="dxa"/>
            <w:tcBorders>
              <w:top w:val="single" w:sz="4" w:space="0" w:color="auto"/>
              <w:bottom w:val="nil"/>
            </w:tcBorders>
            <w:hideMark/>
          </w:tcPr>
          <w:p w14:paraId="26267C2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704A2440" w14:textId="77777777" w:rsidTr="00DD1200">
        <w:tc>
          <w:tcPr>
            <w:tcW w:w="0" w:type="auto"/>
            <w:tcBorders>
              <w:top w:val="nil"/>
            </w:tcBorders>
            <w:hideMark/>
          </w:tcPr>
          <w:p w14:paraId="1DEF4BE3"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w:t>
            </w:r>
          </w:p>
        </w:tc>
        <w:tc>
          <w:tcPr>
            <w:tcW w:w="0" w:type="auto"/>
            <w:tcBorders>
              <w:top w:val="nil"/>
            </w:tcBorders>
            <w:vAlign w:val="center"/>
            <w:hideMark/>
          </w:tcPr>
          <w:p w14:paraId="003EF8AB"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The training I received adequately prepared me for STEM integration in teaching.</w:t>
            </w:r>
          </w:p>
        </w:tc>
        <w:tc>
          <w:tcPr>
            <w:tcW w:w="0" w:type="auto"/>
            <w:tcBorders>
              <w:top w:val="nil"/>
            </w:tcBorders>
            <w:hideMark/>
          </w:tcPr>
          <w:p w14:paraId="0AD66A40"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220</w:t>
            </w:r>
          </w:p>
        </w:tc>
        <w:tc>
          <w:tcPr>
            <w:tcW w:w="0" w:type="auto"/>
            <w:tcBorders>
              <w:top w:val="nil"/>
            </w:tcBorders>
            <w:hideMark/>
          </w:tcPr>
          <w:p w14:paraId="5EB6E095"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190</w:t>
            </w:r>
          </w:p>
        </w:tc>
        <w:tc>
          <w:tcPr>
            <w:tcW w:w="0" w:type="auto"/>
            <w:tcBorders>
              <w:top w:val="nil"/>
            </w:tcBorders>
            <w:hideMark/>
          </w:tcPr>
          <w:p w14:paraId="28D29959"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40</w:t>
            </w:r>
          </w:p>
        </w:tc>
        <w:tc>
          <w:tcPr>
            <w:tcW w:w="0" w:type="auto"/>
            <w:tcBorders>
              <w:top w:val="nil"/>
            </w:tcBorders>
            <w:hideMark/>
          </w:tcPr>
          <w:p w14:paraId="3251C519"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50</w:t>
            </w:r>
          </w:p>
        </w:tc>
        <w:tc>
          <w:tcPr>
            <w:tcW w:w="0" w:type="auto"/>
            <w:tcBorders>
              <w:top w:val="nil"/>
            </w:tcBorders>
            <w:hideMark/>
          </w:tcPr>
          <w:p w14:paraId="06031ACA"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1780</w:t>
            </w:r>
          </w:p>
        </w:tc>
        <w:tc>
          <w:tcPr>
            <w:tcW w:w="0" w:type="auto"/>
            <w:tcBorders>
              <w:top w:val="nil"/>
            </w:tcBorders>
            <w:hideMark/>
          </w:tcPr>
          <w:p w14:paraId="40276E8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3.56</w:t>
            </w:r>
          </w:p>
        </w:tc>
        <w:tc>
          <w:tcPr>
            <w:tcW w:w="1154" w:type="dxa"/>
            <w:tcBorders>
              <w:top w:val="nil"/>
            </w:tcBorders>
            <w:hideMark/>
          </w:tcPr>
          <w:p w14:paraId="43C82542"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09ADC17F" w14:textId="77777777" w:rsidTr="00DD1200">
        <w:tc>
          <w:tcPr>
            <w:tcW w:w="0" w:type="auto"/>
            <w:hideMark/>
          </w:tcPr>
          <w:p w14:paraId="675D8BD5"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3</w:t>
            </w:r>
          </w:p>
        </w:tc>
        <w:tc>
          <w:tcPr>
            <w:tcW w:w="0" w:type="auto"/>
            <w:vAlign w:val="center"/>
            <w:hideMark/>
          </w:tcPr>
          <w:p w14:paraId="0ACA4977"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STEM professional development programs are regularly organized for primary school teachers.</w:t>
            </w:r>
          </w:p>
        </w:tc>
        <w:tc>
          <w:tcPr>
            <w:tcW w:w="0" w:type="auto"/>
            <w:hideMark/>
          </w:tcPr>
          <w:p w14:paraId="0D7120F7"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120</w:t>
            </w:r>
          </w:p>
        </w:tc>
        <w:tc>
          <w:tcPr>
            <w:tcW w:w="0" w:type="auto"/>
            <w:hideMark/>
          </w:tcPr>
          <w:p w14:paraId="480A6930"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180</w:t>
            </w:r>
          </w:p>
        </w:tc>
        <w:tc>
          <w:tcPr>
            <w:tcW w:w="0" w:type="auto"/>
            <w:hideMark/>
          </w:tcPr>
          <w:p w14:paraId="52723EE3"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130</w:t>
            </w:r>
          </w:p>
        </w:tc>
        <w:tc>
          <w:tcPr>
            <w:tcW w:w="0" w:type="auto"/>
            <w:hideMark/>
          </w:tcPr>
          <w:p w14:paraId="03E36C40"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70</w:t>
            </w:r>
          </w:p>
        </w:tc>
        <w:tc>
          <w:tcPr>
            <w:tcW w:w="0" w:type="auto"/>
            <w:hideMark/>
          </w:tcPr>
          <w:p w14:paraId="46BC884D"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1440</w:t>
            </w:r>
          </w:p>
        </w:tc>
        <w:tc>
          <w:tcPr>
            <w:tcW w:w="0" w:type="auto"/>
            <w:hideMark/>
          </w:tcPr>
          <w:p w14:paraId="49C5BC87"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2.62</w:t>
            </w:r>
          </w:p>
        </w:tc>
        <w:tc>
          <w:tcPr>
            <w:tcW w:w="1154" w:type="dxa"/>
            <w:hideMark/>
          </w:tcPr>
          <w:p w14:paraId="41DE569E"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5655956B" w14:textId="77777777" w:rsidTr="00DD1200">
        <w:tc>
          <w:tcPr>
            <w:tcW w:w="0" w:type="auto"/>
            <w:hideMark/>
          </w:tcPr>
          <w:p w14:paraId="69E4CD4C"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4</w:t>
            </w:r>
          </w:p>
        </w:tc>
        <w:tc>
          <w:tcPr>
            <w:tcW w:w="0" w:type="auto"/>
            <w:vAlign w:val="center"/>
            <w:hideMark/>
          </w:tcPr>
          <w:p w14:paraId="09A4C43D"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The training content was practical and applicable to the classroom context.</w:t>
            </w:r>
          </w:p>
        </w:tc>
        <w:tc>
          <w:tcPr>
            <w:tcW w:w="0" w:type="auto"/>
            <w:hideMark/>
          </w:tcPr>
          <w:p w14:paraId="110913A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170</w:t>
            </w:r>
          </w:p>
        </w:tc>
        <w:tc>
          <w:tcPr>
            <w:tcW w:w="0" w:type="auto"/>
            <w:hideMark/>
          </w:tcPr>
          <w:p w14:paraId="2443D00D"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160</w:t>
            </w:r>
          </w:p>
        </w:tc>
        <w:tc>
          <w:tcPr>
            <w:tcW w:w="0" w:type="auto"/>
            <w:hideMark/>
          </w:tcPr>
          <w:p w14:paraId="58914927"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90</w:t>
            </w:r>
          </w:p>
        </w:tc>
        <w:tc>
          <w:tcPr>
            <w:tcW w:w="0" w:type="auto"/>
            <w:hideMark/>
          </w:tcPr>
          <w:p w14:paraId="58B0537B"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80</w:t>
            </w:r>
          </w:p>
        </w:tc>
        <w:tc>
          <w:tcPr>
            <w:tcW w:w="0" w:type="auto"/>
            <w:hideMark/>
          </w:tcPr>
          <w:p w14:paraId="7F7F6840"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1550</w:t>
            </w:r>
          </w:p>
        </w:tc>
        <w:tc>
          <w:tcPr>
            <w:tcW w:w="0" w:type="auto"/>
            <w:hideMark/>
          </w:tcPr>
          <w:p w14:paraId="55CF65E5"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2.85</w:t>
            </w:r>
          </w:p>
        </w:tc>
        <w:tc>
          <w:tcPr>
            <w:tcW w:w="1154" w:type="dxa"/>
            <w:hideMark/>
          </w:tcPr>
          <w:p w14:paraId="1084EBC5"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4C93ED22" w14:textId="77777777" w:rsidTr="00DD1200">
        <w:tc>
          <w:tcPr>
            <w:tcW w:w="0" w:type="auto"/>
            <w:hideMark/>
          </w:tcPr>
          <w:p w14:paraId="2C521432"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5</w:t>
            </w:r>
          </w:p>
        </w:tc>
        <w:tc>
          <w:tcPr>
            <w:tcW w:w="0" w:type="auto"/>
            <w:vAlign w:val="center"/>
            <w:hideMark/>
          </w:tcPr>
          <w:p w14:paraId="63DD9256"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I feel confident teaching STEM-related topics due to the professional development I received.</w:t>
            </w:r>
          </w:p>
        </w:tc>
        <w:tc>
          <w:tcPr>
            <w:tcW w:w="0" w:type="auto"/>
            <w:hideMark/>
          </w:tcPr>
          <w:p w14:paraId="4643D4B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210</w:t>
            </w:r>
          </w:p>
        </w:tc>
        <w:tc>
          <w:tcPr>
            <w:tcW w:w="0" w:type="auto"/>
            <w:hideMark/>
          </w:tcPr>
          <w:p w14:paraId="33446AC4"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190</w:t>
            </w:r>
          </w:p>
        </w:tc>
        <w:tc>
          <w:tcPr>
            <w:tcW w:w="0" w:type="auto"/>
            <w:hideMark/>
          </w:tcPr>
          <w:p w14:paraId="62C0A576"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50</w:t>
            </w:r>
          </w:p>
        </w:tc>
        <w:tc>
          <w:tcPr>
            <w:tcW w:w="0" w:type="auto"/>
            <w:hideMark/>
          </w:tcPr>
          <w:p w14:paraId="13988BEB"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50</w:t>
            </w:r>
          </w:p>
        </w:tc>
        <w:tc>
          <w:tcPr>
            <w:tcW w:w="0" w:type="auto"/>
            <w:hideMark/>
          </w:tcPr>
          <w:p w14:paraId="5E3C66FF"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1760</w:t>
            </w:r>
          </w:p>
        </w:tc>
        <w:tc>
          <w:tcPr>
            <w:tcW w:w="0" w:type="auto"/>
            <w:hideMark/>
          </w:tcPr>
          <w:p w14:paraId="4E48406B"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3.52</w:t>
            </w:r>
          </w:p>
        </w:tc>
        <w:tc>
          <w:tcPr>
            <w:tcW w:w="1154" w:type="dxa"/>
            <w:hideMark/>
          </w:tcPr>
          <w:p w14:paraId="44DC256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bl>
    <w:p w14:paraId="61FD0FD6" w14:textId="77777777" w:rsidR="00411A15" w:rsidRPr="00411A15" w:rsidRDefault="00411A15" w:rsidP="00411A15">
      <w:pPr>
        <w:spacing w:after="0" w:line="240" w:lineRule="auto"/>
        <w:rPr>
          <w:rFonts w:ascii="Times New Roman" w:hAnsi="Times New Roman" w:cs="Times New Roman"/>
          <w:sz w:val="24"/>
          <w:szCs w:val="24"/>
        </w:rPr>
      </w:pPr>
    </w:p>
    <w:p w14:paraId="44556074" w14:textId="77777777" w:rsidR="00411A15" w:rsidRPr="00411A15" w:rsidRDefault="00411A15" w:rsidP="00411A15">
      <w:pPr>
        <w:spacing w:after="0" w:line="480" w:lineRule="auto"/>
        <w:jc w:val="both"/>
        <w:rPr>
          <w:rFonts w:ascii="Times New Roman" w:hAnsi="Times New Roman" w:cs="Times New Roman"/>
          <w:sz w:val="24"/>
          <w:szCs w:val="24"/>
        </w:rPr>
      </w:pPr>
      <w:r w:rsidRPr="00411A15">
        <w:rPr>
          <w:rFonts w:ascii="Times New Roman" w:hAnsi="Times New Roman" w:cs="Times New Roman"/>
          <w:sz w:val="24"/>
          <w:szCs w:val="24"/>
        </w:rPr>
        <w:t xml:space="preserve">The findings in Table 1 reveal that the extent of teacher professional development in STEM integration in primary schools in Plateau State Central Zone is relatively high. All the items recorded mean scores above the benchmark of 2.50, indicating acceptance. Teachers reported having attended professional development training focused on STEM integration (x̄ = 2.64) and felt adequately prepared by the training received (x̄ = 3.56). Furthermore, the regular organization of STEM professional development programs (x̄ = 2.62), the practicality of the training content (x̄ = 2.85) and the confidence gained in teaching STEM-related topics (x̄ = 3.52) affirm the effectiveness of such training programs. These </w:t>
      </w:r>
      <w:r w:rsidRPr="00411A15">
        <w:rPr>
          <w:rFonts w:ascii="Times New Roman" w:hAnsi="Times New Roman" w:cs="Times New Roman"/>
          <w:sz w:val="24"/>
          <w:szCs w:val="24"/>
        </w:rPr>
        <w:lastRenderedPageBreak/>
        <w:t>results suggest that professional development initiatives are positively influencing teachers’ readiness and competence in STEM instruction.</w:t>
      </w:r>
    </w:p>
    <w:p w14:paraId="1A622892" w14:textId="77777777" w:rsidR="00411A15" w:rsidRPr="00411A15" w:rsidRDefault="00411A15" w:rsidP="00411A15">
      <w:pPr>
        <w:spacing w:after="0" w:line="276" w:lineRule="auto"/>
        <w:rPr>
          <w:rStyle w:val="Strong"/>
          <w:rFonts w:ascii="Times New Roman" w:eastAsia="Times New Roman" w:hAnsi="Times New Roman" w:cs="Times New Roman"/>
          <w:b w:val="0"/>
          <w:bCs w:val="0"/>
          <w:sz w:val="24"/>
          <w:szCs w:val="24"/>
        </w:rPr>
      </w:pPr>
      <w:r w:rsidRPr="00411A15">
        <w:rPr>
          <w:rStyle w:val="Strong"/>
          <w:rFonts w:ascii="Times New Roman" w:eastAsia="Times New Roman" w:hAnsi="Times New Roman" w:cs="Times New Roman"/>
          <w:bCs w:val="0"/>
          <w:sz w:val="24"/>
          <w:szCs w:val="24"/>
        </w:rPr>
        <w:t>Research Question 2:</w:t>
      </w:r>
      <w:r w:rsidRPr="00411A15">
        <w:rPr>
          <w:rStyle w:val="Strong"/>
          <w:rFonts w:ascii="Times New Roman" w:eastAsia="Times New Roman" w:hAnsi="Times New Roman" w:cs="Times New Roman"/>
          <w:b w:val="0"/>
          <w:bCs w:val="0"/>
          <w:sz w:val="24"/>
          <w:szCs w:val="24"/>
        </w:rPr>
        <w:t xml:space="preserve"> How does STEM-focused teacher training impact pupils’ academic achievement in primary schools?</w:t>
      </w:r>
    </w:p>
    <w:p w14:paraId="42BB2821" w14:textId="77777777" w:rsidR="00411A15" w:rsidRPr="00411A15" w:rsidRDefault="00411A15" w:rsidP="00411A15">
      <w:pPr>
        <w:spacing w:after="0" w:line="276" w:lineRule="auto"/>
        <w:rPr>
          <w:rFonts w:ascii="Times New Roman" w:hAnsi="Times New Roman" w:cs="Times New Roman"/>
          <w:sz w:val="24"/>
          <w:szCs w:val="24"/>
        </w:rPr>
      </w:pPr>
      <w:r w:rsidRPr="00411A15">
        <w:rPr>
          <w:rFonts w:ascii="Times New Roman" w:hAnsi="Times New Roman" w:cs="Times New Roman"/>
          <w:b/>
          <w:bCs/>
          <w:sz w:val="24"/>
          <w:szCs w:val="24"/>
        </w:rPr>
        <w:t xml:space="preserve">Table 2: </w:t>
      </w:r>
      <w:r w:rsidRPr="00411A15">
        <w:rPr>
          <w:rStyle w:val="Strong"/>
          <w:rFonts w:ascii="Times New Roman" w:eastAsia="Times New Roman" w:hAnsi="Times New Roman" w:cs="Times New Roman"/>
          <w:b w:val="0"/>
          <w:bCs w:val="0"/>
          <w:sz w:val="24"/>
          <w:szCs w:val="24"/>
        </w:rPr>
        <w:t>How STEM-focused teacher training impact pupils’ academic achievement in primary schools</w:t>
      </w:r>
      <w:r w:rsidRPr="00411A15">
        <w:rPr>
          <w:rFonts w:ascii="Times New Roman" w:hAnsi="Times New Roman" w:cs="Times New Roman"/>
          <w:sz w:val="24"/>
          <w:szCs w:val="24"/>
        </w:rPr>
        <w:t xml:space="preserve"> </w:t>
      </w:r>
    </w:p>
    <w:tbl>
      <w:tblPr>
        <w:tblStyle w:val="TableGrid"/>
        <w:tblW w:w="92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3773"/>
        <w:gridCol w:w="576"/>
        <w:gridCol w:w="576"/>
        <w:gridCol w:w="576"/>
        <w:gridCol w:w="576"/>
        <w:gridCol w:w="741"/>
        <w:gridCol w:w="636"/>
        <w:gridCol w:w="1165"/>
      </w:tblGrid>
      <w:tr w:rsidR="00411A15" w:rsidRPr="00411A15" w14:paraId="4BE6F31B" w14:textId="77777777" w:rsidTr="00DD1200">
        <w:tc>
          <w:tcPr>
            <w:tcW w:w="0" w:type="auto"/>
            <w:tcBorders>
              <w:bottom w:val="single" w:sz="4" w:space="0" w:color="auto"/>
            </w:tcBorders>
            <w:hideMark/>
          </w:tcPr>
          <w:p w14:paraId="20FF5195"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S/N</w:t>
            </w:r>
          </w:p>
        </w:tc>
        <w:tc>
          <w:tcPr>
            <w:tcW w:w="0" w:type="auto"/>
            <w:tcBorders>
              <w:bottom w:val="single" w:sz="4" w:space="0" w:color="auto"/>
            </w:tcBorders>
            <w:hideMark/>
          </w:tcPr>
          <w:p w14:paraId="7DE98190"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Items</w:t>
            </w:r>
          </w:p>
        </w:tc>
        <w:tc>
          <w:tcPr>
            <w:tcW w:w="0" w:type="auto"/>
            <w:tcBorders>
              <w:bottom w:val="single" w:sz="4" w:space="0" w:color="auto"/>
            </w:tcBorders>
            <w:hideMark/>
          </w:tcPr>
          <w:p w14:paraId="021C799C"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SA</w:t>
            </w:r>
          </w:p>
        </w:tc>
        <w:tc>
          <w:tcPr>
            <w:tcW w:w="0" w:type="auto"/>
            <w:tcBorders>
              <w:bottom w:val="single" w:sz="4" w:space="0" w:color="auto"/>
            </w:tcBorders>
            <w:hideMark/>
          </w:tcPr>
          <w:p w14:paraId="197218BC"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A</w:t>
            </w:r>
          </w:p>
        </w:tc>
        <w:tc>
          <w:tcPr>
            <w:tcW w:w="0" w:type="auto"/>
            <w:tcBorders>
              <w:bottom w:val="single" w:sz="4" w:space="0" w:color="auto"/>
            </w:tcBorders>
            <w:hideMark/>
          </w:tcPr>
          <w:p w14:paraId="492BAD94"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D</w:t>
            </w:r>
          </w:p>
        </w:tc>
        <w:tc>
          <w:tcPr>
            <w:tcW w:w="0" w:type="auto"/>
            <w:tcBorders>
              <w:bottom w:val="single" w:sz="4" w:space="0" w:color="auto"/>
            </w:tcBorders>
            <w:hideMark/>
          </w:tcPr>
          <w:p w14:paraId="2BAEE9F9"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SD</w:t>
            </w:r>
          </w:p>
        </w:tc>
        <w:tc>
          <w:tcPr>
            <w:tcW w:w="0" w:type="auto"/>
            <w:tcBorders>
              <w:bottom w:val="single" w:sz="4" w:space="0" w:color="auto"/>
            </w:tcBorders>
            <w:hideMark/>
          </w:tcPr>
          <w:p w14:paraId="7052BBD0"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Total</w:t>
            </w:r>
          </w:p>
        </w:tc>
        <w:tc>
          <w:tcPr>
            <w:tcW w:w="0" w:type="auto"/>
            <w:tcBorders>
              <w:bottom w:val="single" w:sz="4" w:space="0" w:color="auto"/>
            </w:tcBorders>
            <w:hideMark/>
          </w:tcPr>
          <w:p w14:paraId="30FC09E8"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x̄</w:t>
            </w:r>
          </w:p>
        </w:tc>
        <w:tc>
          <w:tcPr>
            <w:tcW w:w="1165" w:type="dxa"/>
            <w:tcBorders>
              <w:bottom w:val="single" w:sz="4" w:space="0" w:color="auto"/>
            </w:tcBorders>
            <w:hideMark/>
          </w:tcPr>
          <w:p w14:paraId="5014E01F"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 xml:space="preserve">Decision </w:t>
            </w:r>
          </w:p>
        </w:tc>
      </w:tr>
      <w:tr w:rsidR="00411A15" w:rsidRPr="00411A15" w14:paraId="14184F25" w14:textId="77777777" w:rsidTr="00DD1200">
        <w:tc>
          <w:tcPr>
            <w:tcW w:w="0" w:type="auto"/>
            <w:tcBorders>
              <w:top w:val="single" w:sz="4" w:space="0" w:color="auto"/>
              <w:bottom w:val="nil"/>
            </w:tcBorders>
            <w:hideMark/>
          </w:tcPr>
          <w:p w14:paraId="76093796"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6</w:t>
            </w:r>
          </w:p>
        </w:tc>
        <w:tc>
          <w:tcPr>
            <w:tcW w:w="0" w:type="auto"/>
            <w:tcBorders>
              <w:top w:val="single" w:sz="4" w:space="0" w:color="auto"/>
              <w:bottom w:val="nil"/>
            </w:tcBorders>
            <w:vAlign w:val="center"/>
            <w:hideMark/>
          </w:tcPr>
          <w:p w14:paraId="5AA65B18"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My pupils perform better in science and mathematics after I implemented STEM-based methods.</w:t>
            </w:r>
          </w:p>
        </w:tc>
        <w:tc>
          <w:tcPr>
            <w:tcW w:w="0" w:type="auto"/>
            <w:tcBorders>
              <w:top w:val="single" w:sz="4" w:space="0" w:color="auto"/>
              <w:bottom w:val="nil"/>
            </w:tcBorders>
            <w:hideMark/>
          </w:tcPr>
          <w:p w14:paraId="3B018D3F"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190</w:t>
            </w:r>
          </w:p>
        </w:tc>
        <w:tc>
          <w:tcPr>
            <w:tcW w:w="0" w:type="auto"/>
            <w:tcBorders>
              <w:top w:val="single" w:sz="4" w:space="0" w:color="auto"/>
              <w:bottom w:val="nil"/>
            </w:tcBorders>
            <w:hideMark/>
          </w:tcPr>
          <w:p w14:paraId="45948872"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150</w:t>
            </w:r>
          </w:p>
        </w:tc>
        <w:tc>
          <w:tcPr>
            <w:tcW w:w="0" w:type="auto"/>
            <w:tcBorders>
              <w:top w:val="single" w:sz="4" w:space="0" w:color="auto"/>
              <w:bottom w:val="nil"/>
            </w:tcBorders>
            <w:hideMark/>
          </w:tcPr>
          <w:p w14:paraId="6E43601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90</w:t>
            </w:r>
          </w:p>
        </w:tc>
        <w:tc>
          <w:tcPr>
            <w:tcW w:w="0" w:type="auto"/>
            <w:tcBorders>
              <w:top w:val="single" w:sz="4" w:space="0" w:color="auto"/>
              <w:bottom w:val="nil"/>
            </w:tcBorders>
            <w:hideMark/>
          </w:tcPr>
          <w:p w14:paraId="29CA5B07"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70</w:t>
            </w:r>
          </w:p>
        </w:tc>
        <w:tc>
          <w:tcPr>
            <w:tcW w:w="0" w:type="auto"/>
            <w:tcBorders>
              <w:top w:val="single" w:sz="4" w:space="0" w:color="auto"/>
              <w:bottom w:val="nil"/>
            </w:tcBorders>
            <w:hideMark/>
          </w:tcPr>
          <w:p w14:paraId="5312DB02"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1600</w:t>
            </w:r>
          </w:p>
        </w:tc>
        <w:tc>
          <w:tcPr>
            <w:tcW w:w="0" w:type="auto"/>
            <w:tcBorders>
              <w:top w:val="single" w:sz="4" w:space="0" w:color="auto"/>
              <w:bottom w:val="nil"/>
            </w:tcBorders>
            <w:hideMark/>
          </w:tcPr>
          <w:p w14:paraId="1568AFCD"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2.88</w:t>
            </w:r>
          </w:p>
        </w:tc>
        <w:tc>
          <w:tcPr>
            <w:tcW w:w="1165" w:type="dxa"/>
            <w:tcBorders>
              <w:top w:val="single" w:sz="4" w:space="0" w:color="auto"/>
              <w:bottom w:val="nil"/>
            </w:tcBorders>
            <w:hideMark/>
          </w:tcPr>
          <w:p w14:paraId="6C2CF74E"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3FA69F1C" w14:textId="77777777" w:rsidTr="00DD1200">
        <w:tc>
          <w:tcPr>
            <w:tcW w:w="0" w:type="auto"/>
            <w:tcBorders>
              <w:top w:val="nil"/>
            </w:tcBorders>
            <w:hideMark/>
          </w:tcPr>
          <w:p w14:paraId="03A0EFD3"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7</w:t>
            </w:r>
          </w:p>
        </w:tc>
        <w:tc>
          <w:tcPr>
            <w:tcW w:w="0" w:type="auto"/>
            <w:tcBorders>
              <w:top w:val="nil"/>
            </w:tcBorders>
            <w:vAlign w:val="center"/>
            <w:hideMark/>
          </w:tcPr>
          <w:p w14:paraId="501D19AA"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STEM teaching approaches have improved pupils' critical thinking and problem-solving skills.</w:t>
            </w:r>
          </w:p>
        </w:tc>
        <w:tc>
          <w:tcPr>
            <w:tcW w:w="0" w:type="auto"/>
            <w:tcBorders>
              <w:top w:val="nil"/>
            </w:tcBorders>
            <w:hideMark/>
          </w:tcPr>
          <w:p w14:paraId="076E6873"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140</w:t>
            </w:r>
          </w:p>
        </w:tc>
        <w:tc>
          <w:tcPr>
            <w:tcW w:w="0" w:type="auto"/>
            <w:tcBorders>
              <w:top w:val="nil"/>
            </w:tcBorders>
            <w:hideMark/>
          </w:tcPr>
          <w:p w14:paraId="31A9C784"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180</w:t>
            </w:r>
          </w:p>
        </w:tc>
        <w:tc>
          <w:tcPr>
            <w:tcW w:w="0" w:type="auto"/>
            <w:tcBorders>
              <w:top w:val="nil"/>
            </w:tcBorders>
            <w:hideMark/>
          </w:tcPr>
          <w:p w14:paraId="5957CE3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120</w:t>
            </w:r>
          </w:p>
        </w:tc>
        <w:tc>
          <w:tcPr>
            <w:tcW w:w="0" w:type="auto"/>
            <w:tcBorders>
              <w:top w:val="nil"/>
            </w:tcBorders>
            <w:hideMark/>
          </w:tcPr>
          <w:p w14:paraId="188F2E30"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60</w:t>
            </w:r>
          </w:p>
        </w:tc>
        <w:tc>
          <w:tcPr>
            <w:tcW w:w="0" w:type="auto"/>
            <w:tcBorders>
              <w:top w:val="nil"/>
            </w:tcBorders>
            <w:hideMark/>
          </w:tcPr>
          <w:p w14:paraId="47EB93DF"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1500</w:t>
            </w:r>
          </w:p>
        </w:tc>
        <w:tc>
          <w:tcPr>
            <w:tcW w:w="0" w:type="auto"/>
            <w:tcBorders>
              <w:top w:val="nil"/>
            </w:tcBorders>
            <w:hideMark/>
          </w:tcPr>
          <w:p w14:paraId="3394A0D6"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2.70</w:t>
            </w:r>
          </w:p>
        </w:tc>
        <w:tc>
          <w:tcPr>
            <w:tcW w:w="1165" w:type="dxa"/>
            <w:tcBorders>
              <w:top w:val="nil"/>
            </w:tcBorders>
            <w:hideMark/>
          </w:tcPr>
          <w:p w14:paraId="67EB0EE0"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158BA2BE" w14:textId="77777777" w:rsidTr="00DD1200">
        <w:tc>
          <w:tcPr>
            <w:tcW w:w="0" w:type="auto"/>
            <w:hideMark/>
          </w:tcPr>
          <w:p w14:paraId="7632D90C"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8</w:t>
            </w:r>
          </w:p>
        </w:tc>
        <w:tc>
          <w:tcPr>
            <w:tcW w:w="0" w:type="auto"/>
            <w:vAlign w:val="center"/>
            <w:hideMark/>
          </w:tcPr>
          <w:p w14:paraId="17BDA66F"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Pupils show greater interest and participation in STEM-related subjects.</w:t>
            </w:r>
          </w:p>
        </w:tc>
        <w:tc>
          <w:tcPr>
            <w:tcW w:w="0" w:type="auto"/>
            <w:hideMark/>
          </w:tcPr>
          <w:p w14:paraId="61A6BA94"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130</w:t>
            </w:r>
          </w:p>
        </w:tc>
        <w:tc>
          <w:tcPr>
            <w:tcW w:w="0" w:type="auto"/>
            <w:hideMark/>
          </w:tcPr>
          <w:p w14:paraId="545099D4"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170</w:t>
            </w:r>
          </w:p>
        </w:tc>
        <w:tc>
          <w:tcPr>
            <w:tcW w:w="0" w:type="auto"/>
            <w:hideMark/>
          </w:tcPr>
          <w:p w14:paraId="332A409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110</w:t>
            </w:r>
          </w:p>
        </w:tc>
        <w:tc>
          <w:tcPr>
            <w:tcW w:w="0" w:type="auto"/>
            <w:hideMark/>
          </w:tcPr>
          <w:p w14:paraId="76FCD43E"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90</w:t>
            </w:r>
          </w:p>
        </w:tc>
        <w:tc>
          <w:tcPr>
            <w:tcW w:w="0" w:type="auto"/>
            <w:hideMark/>
          </w:tcPr>
          <w:p w14:paraId="5C67443C"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1470</w:t>
            </w:r>
          </w:p>
        </w:tc>
        <w:tc>
          <w:tcPr>
            <w:tcW w:w="0" w:type="auto"/>
            <w:hideMark/>
          </w:tcPr>
          <w:p w14:paraId="00B1996D"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2.64</w:t>
            </w:r>
          </w:p>
        </w:tc>
        <w:tc>
          <w:tcPr>
            <w:tcW w:w="1165" w:type="dxa"/>
            <w:hideMark/>
          </w:tcPr>
          <w:p w14:paraId="3857A617"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604296EF" w14:textId="77777777" w:rsidTr="00DD1200">
        <w:tc>
          <w:tcPr>
            <w:tcW w:w="0" w:type="auto"/>
            <w:hideMark/>
          </w:tcPr>
          <w:p w14:paraId="28EEFE8F"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9</w:t>
            </w:r>
          </w:p>
        </w:tc>
        <w:tc>
          <w:tcPr>
            <w:tcW w:w="0" w:type="auto"/>
            <w:vAlign w:val="center"/>
            <w:hideMark/>
          </w:tcPr>
          <w:p w14:paraId="73A87BE1"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The use of STEM-integrated teaching has led to improved test scores among pupils.</w:t>
            </w:r>
          </w:p>
        </w:tc>
        <w:tc>
          <w:tcPr>
            <w:tcW w:w="0" w:type="auto"/>
            <w:hideMark/>
          </w:tcPr>
          <w:p w14:paraId="21A54EF7"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120</w:t>
            </w:r>
          </w:p>
        </w:tc>
        <w:tc>
          <w:tcPr>
            <w:tcW w:w="0" w:type="auto"/>
            <w:hideMark/>
          </w:tcPr>
          <w:p w14:paraId="5DD326AE"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190</w:t>
            </w:r>
          </w:p>
        </w:tc>
        <w:tc>
          <w:tcPr>
            <w:tcW w:w="0" w:type="auto"/>
            <w:hideMark/>
          </w:tcPr>
          <w:p w14:paraId="087FCFF5"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120</w:t>
            </w:r>
          </w:p>
        </w:tc>
        <w:tc>
          <w:tcPr>
            <w:tcW w:w="0" w:type="auto"/>
            <w:hideMark/>
          </w:tcPr>
          <w:p w14:paraId="2A59AF50"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70</w:t>
            </w:r>
          </w:p>
        </w:tc>
        <w:tc>
          <w:tcPr>
            <w:tcW w:w="0" w:type="auto"/>
            <w:hideMark/>
          </w:tcPr>
          <w:p w14:paraId="4DA76A93"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1500</w:t>
            </w:r>
          </w:p>
        </w:tc>
        <w:tc>
          <w:tcPr>
            <w:tcW w:w="0" w:type="auto"/>
            <w:hideMark/>
          </w:tcPr>
          <w:p w14:paraId="2AB0736D"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2.70</w:t>
            </w:r>
          </w:p>
        </w:tc>
        <w:tc>
          <w:tcPr>
            <w:tcW w:w="1165" w:type="dxa"/>
            <w:hideMark/>
          </w:tcPr>
          <w:p w14:paraId="4E48F743"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73FF8451" w14:textId="77777777" w:rsidTr="00DD1200">
        <w:tc>
          <w:tcPr>
            <w:tcW w:w="0" w:type="auto"/>
            <w:hideMark/>
          </w:tcPr>
          <w:p w14:paraId="75A5479B"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10</w:t>
            </w:r>
          </w:p>
        </w:tc>
        <w:tc>
          <w:tcPr>
            <w:tcW w:w="0" w:type="auto"/>
            <w:vAlign w:val="center"/>
            <w:hideMark/>
          </w:tcPr>
          <w:p w14:paraId="60B8FE04"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STEM training has helped me develop better instructional strategies that support pupils' learning.</w:t>
            </w:r>
          </w:p>
        </w:tc>
        <w:tc>
          <w:tcPr>
            <w:tcW w:w="0" w:type="auto"/>
            <w:hideMark/>
          </w:tcPr>
          <w:p w14:paraId="33F5D145"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160</w:t>
            </w:r>
          </w:p>
        </w:tc>
        <w:tc>
          <w:tcPr>
            <w:tcW w:w="0" w:type="auto"/>
            <w:hideMark/>
          </w:tcPr>
          <w:p w14:paraId="786A1A8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140</w:t>
            </w:r>
          </w:p>
        </w:tc>
        <w:tc>
          <w:tcPr>
            <w:tcW w:w="0" w:type="auto"/>
            <w:hideMark/>
          </w:tcPr>
          <w:p w14:paraId="1988C4C7"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100</w:t>
            </w:r>
          </w:p>
        </w:tc>
        <w:tc>
          <w:tcPr>
            <w:tcW w:w="0" w:type="auto"/>
            <w:hideMark/>
          </w:tcPr>
          <w:p w14:paraId="2EF1B307"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100</w:t>
            </w:r>
          </w:p>
        </w:tc>
        <w:tc>
          <w:tcPr>
            <w:tcW w:w="0" w:type="auto"/>
            <w:hideMark/>
          </w:tcPr>
          <w:p w14:paraId="096DD7E2"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1500</w:t>
            </w:r>
          </w:p>
        </w:tc>
        <w:tc>
          <w:tcPr>
            <w:tcW w:w="0" w:type="auto"/>
            <w:hideMark/>
          </w:tcPr>
          <w:p w14:paraId="55FF9F64"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2.70</w:t>
            </w:r>
          </w:p>
        </w:tc>
        <w:tc>
          <w:tcPr>
            <w:tcW w:w="1165" w:type="dxa"/>
            <w:hideMark/>
          </w:tcPr>
          <w:p w14:paraId="4A929233"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bl>
    <w:p w14:paraId="2C8416CE" w14:textId="77777777" w:rsidR="00411A15" w:rsidRPr="00411A15" w:rsidRDefault="00411A15" w:rsidP="00411A15">
      <w:pPr>
        <w:spacing w:after="0" w:line="480" w:lineRule="auto"/>
        <w:jc w:val="both"/>
        <w:rPr>
          <w:rFonts w:ascii="Times New Roman" w:hAnsi="Times New Roman" w:cs="Times New Roman"/>
          <w:sz w:val="24"/>
          <w:szCs w:val="24"/>
        </w:rPr>
      </w:pPr>
    </w:p>
    <w:p w14:paraId="626BAE95" w14:textId="77777777" w:rsidR="00411A15" w:rsidRPr="00411A15" w:rsidRDefault="00411A15" w:rsidP="00411A15">
      <w:pPr>
        <w:spacing w:after="0" w:line="480" w:lineRule="auto"/>
        <w:jc w:val="both"/>
        <w:rPr>
          <w:rFonts w:ascii="Times New Roman" w:hAnsi="Times New Roman" w:cs="Times New Roman"/>
          <w:sz w:val="24"/>
          <w:szCs w:val="24"/>
        </w:rPr>
      </w:pPr>
      <w:r w:rsidRPr="00411A15">
        <w:rPr>
          <w:rFonts w:ascii="Times New Roman" w:hAnsi="Times New Roman" w:cs="Times New Roman"/>
          <w:sz w:val="24"/>
          <w:szCs w:val="24"/>
        </w:rPr>
        <w:t>The results in Table 2 show that STEM-focused teacher training positively impacts pupils' academic achievement in primary schools. All items recorded mean scores above the acceptance level of 2.50. Teachers observed that their pupils performed better in science and mathematics after implementing STEM-based methods (x̄ = 2.88). Additionally, improvements were noted in pupils’ critical thinking and problem-solving skills (x̄ = 2.70), increased interest and participation in STEM-related subjects (x̄ = 2.64) and improved test scores (x̄ = 2.70). Teachers also acknowledged that STEM training helped them develop better instructional strategies (x̄ = 2.70). These findings imply that STEM-focused training enhances teaching effectiveness and boosts pupils’ learning outcomes in core STEM areas.</w:t>
      </w:r>
    </w:p>
    <w:p w14:paraId="58156A7C" w14:textId="77777777" w:rsidR="00411A15" w:rsidRPr="00411A15" w:rsidRDefault="00411A15" w:rsidP="00411A15">
      <w:pPr>
        <w:spacing w:after="0" w:line="276" w:lineRule="auto"/>
        <w:rPr>
          <w:rStyle w:val="Strong"/>
          <w:rFonts w:ascii="Times New Roman" w:eastAsia="Times New Roman" w:hAnsi="Times New Roman" w:cs="Times New Roman"/>
          <w:b w:val="0"/>
          <w:bCs w:val="0"/>
          <w:sz w:val="24"/>
          <w:szCs w:val="24"/>
        </w:rPr>
      </w:pPr>
      <w:r w:rsidRPr="00411A15">
        <w:rPr>
          <w:rStyle w:val="Strong"/>
          <w:rFonts w:ascii="Times New Roman" w:eastAsia="Times New Roman" w:hAnsi="Times New Roman" w:cs="Times New Roman"/>
          <w:bCs w:val="0"/>
          <w:sz w:val="24"/>
          <w:szCs w:val="24"/>
        </w:rPr>
        <w:t>Research Question 3:</w:t>
      </w:r>
      <w:r w:rsidRPr="00411A15">
        <w:rPr>
          <w:rStyle w:val="Strong"/>
          <w:rFonts w:ascii="Times New Roman" w:eastAsia="Times New Roman" w:hAnsi="Times New Roman" w:cs="Times New Roman"/>
          <w:b w:val="0"/>
          <w:bCs w:val="0"/>
          <w:sz w:val="24"/>
          <w:szCs w:val="24"/>
        </w:rPr>
        <w:t xml:space="preserve"> What challenges do teachers face in implementing STEM integration after undergoing professional development?</w:t>
      </w:r>
    </w:p>
    <w:p w14:paraId="48A30784" w14:textId="77777777" w:rsidR="00411A15" w:rsidRPr="00411A15" w:rsidRDefault="00411A15" w:rsidP="00411A15">
      <w:pPr>
        <w:spacing w:after="0" w:line="276" w:lineRule="auto"/>
        <w:rPr>
          <w:rFonts w:ascii="Times New Roman" w:hAnsi="Times New Roman" w:cs="Times New Roman"/>
          <w:sz w:val="24"/>
          <w:szCs w:val="24"/>
        </w:rPr>
      </w:pPr>
      <w:r w:rsidRPr="00411A15">
        <w:rPr>
          <w:rFonts w:ascii="Times New Roman" w:hAnsi="Times New Roman" w:cs="Times New Roman"/>
          <w:b/>
          <w:bCs/>
          <w:sz w:val="24"/>
          <w:szCs w:val="24"/>
        </w:rPr>
        <w:lastRenderedPageBreak/>
        <w:t xml:space="preserve">Table 3: </w:t>
      </w:r>
      <w:r w:rsidRPr="00411A15">
        <w:rPr>
          <w:rStyle w:val="Strong"/>
          <w:rFonts w:ascii="Times New Roman" w:eastAsia="Times New Roman" w:hAnsi="Times New Roman" w:cs="Times New Roman"/>
          <w:b w:val="0"/>
          <w:bCs w:val="0"/>
          <w:sz w:val="24"/>
          <w:szCs w:val="24"/>
        </w:rPr>
        <w:t>Challenges teachers face in implementing STEM integration after undergoing professional development</w:t>
      </w:r>
    </w:p>
    <w:tbl>
      <w:tblPr>
        <w:tblStyle w:val="TableGrid"/>
        <w:tblW w:w="9356" w:type="dxa"/>
        <w:tblInd w:w="-2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3831"/>
        <w:gridCol w:w="576"/>
        <w:gridCol w:w="576"/>
        <w:gridCol w:w="576"/>
        <w:gridCol w:w="568"/>
        <w:gridCol w:w="741"/>
        <w:gridCol w:w="636"/>
        <w:gridCol w:w="1262"/>
      </w:tblGrid>
      <w:tr w:rsidR="00411A15" w:rsidRPr="00411A15" w14:paraId="5C7D70AB" w14:textId="77777777" w:rsidTr="00DD1200">
        <w:tc>
          <w:tcPr>
            <w:tcW w:w="0" w:type="auto"/>
            <w:tcBorders>
              <w:top w:val="single" w:sz="4" w:space="0" w:color="auto"/>
              <w:bottom w:val="single" w:sz="4" w:space="0" w:color="auto"/>
            </w:tcBorders>
            <w:hideMark/>
          </w:tcPr>
          <w:p w14:paraId="31641F15"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S/N</w:t>
            </w:r>
          </w:p>
        </w:tc>
        <w:tc>
          <w:tcPr>
            <w:tcW w:w="0" w:type="auto"/>
            <w:tcBorders>
              <w:top w:val="single" w:sz="4" w:space="0" w:color="auto"/>
              <w:bottom w:val="single" w:sz="4" w:space="0" w:color="auto"/>
            </w:tcBorders>
            <w:hideMark/>
          </w:tcPr>
          <w:p w14:paraId="69093115"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Items</w:t>
            </w:r>
          </w:p>
        </w:tc>
        <w:tc>
          <w:tcPr>
            <w:tcW w:w="0" w:type="auto"/>
            <w:tcBorders>
              <w:top w:val="single" w:sz="4" w:space="0" w:color="auto"/>
              <w:bottom w:val="single" w:sz="4" w:space="0" w:color="auto"/>
            </w:tcBorders>
            <w:hideMark/>
          </w:tcPr>
          <w:p w14:paraId="20ACE545"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SA</w:t>
            </w:r>
          </w:p>
        </w:tc>
        <w:tc>
          <w:tcPr>
            <w:tcW w:w="0" w:type="auto"/>
            <w:tcBorders>
              <w:top w:val="single" w:sz="4" w:space="0" w:color="auto"/>
              <w:bottom w:val="single" w:sz="4" w:space="0" w:color="auto"/>
            </w:tcBorders>
            <w:hideMark/>
          </w:tcPr>
          <w:p w14:paraId="23E45E76"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A</w:t>
            </w:r>
          </w:p>
        </w:tc>
        <w:tc>
          <w:tcPr>
            <w:tcW w:w="0" w:type="auto"/>
            <w:tcBorders>
              <w:top w:val="single" w:sz="4" w:space="0" w:color="auto"/>
              <w:bottom w:val="single" w:sz="4" w:space="0" w:color="auto"/>
            </w:tcBorders>
            <w:hideMark/>
          </w:tcPr>
          <w:p w14:paraId="0B0898E8"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D</w:t>
            </w:r>
          </w:p>
        </w:tc>
        <w:tc>
          <w:tcPr>
            <w:tcW w:w="0" w:type="auto"/>
            <w:tcBorders>
              <w:top w:val="single" w:sz="4" w:space="0" w:color="auto"/>
              <w:bottom w:val="single" w:sz="4" w:space="0" w:color="auto"/>
            </w:tcBorders>
            <w:hideMark/>
          </w:tcPr>
          <w:p w14:paraId="63DEAD0F"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SD</w:t>
            </w:r>
          </w:p>
        </w:tc>
        <w:tc>
          <w:tcPr>
            <w:tcW w:w="0" w:type="auto"/>
            <w:tcBorders>
              <w:top w:val="single" w:sz="4" w:space="0" w:color="auto"/>
              <w:bottom w:val="single" w:sz="4" w:space="0" w:color="auto"/>
            </w:tcBorders>
            <w:hideMark/>
          </w:tcPr>
          <w:p w14:paraId="70A1FBCD"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Total</w:t>
            </w:r>
          </w:p>
        </w:tc>
        <w:tc>
          <w:tcPr>
            <w:tcW w:w="0" w:type="auto"/>
            <w:tcBorders>
              <w:top w:val="single" w:sz="4" w:space="0" w:color="auto"/>
              <w:bottom w:val="single" w:sz="4" w:space="0" w:color="auto"/>
            </w:tcBorders>
            <w:hideMark/>
          </w:tcPr>
          <w:p w14:paraId="1145E222"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x̄</w:t>
            </w:r>
          </w:p>
        </w:tc>
        <w:tc>
          <w:tcPr>
            <w:tcW w:w="1262" w:type="dxa"/>
            <w:tcBorders>
              <w:top w:val="single" w:sz="4" w:space="0" w:color="auto"/>
              <w:bottom w:val="single" w:sz="4" w:space="0" w:color="auto"/>
            </w:tcBorders>
            <w:hideMark/>
          </w:tcPr>
          <w:p w14:paraId="4100F32A"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 xml:space="preserve">Decision </w:t>
            </w:r>
          </w:p>
        </w:tc>
      </w:tr>
      <w:tr w:rsidR="00411A15" w:rsidRPr="00411A15" w14:paraId="16662567" w14:textId="77777777" w:rsidTr="00DD1200">
        <w:tc>
          <w:tcPr>
            <w:tcW w:w="0" w:type="auto"/>
            <w:tcBorders>
              <w:top w:val="single" w:sz="4" w:space="0" w:color="auto"/>
            </w:tcBorders>
            <w:hideMark/>
          </w:tcPr>
          <w:p w14:paraId="535824DD"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11</w:t>
            </w:r>
          </w:p>
        </w:tc>
        <w:tc>
          <w:tcPr>
            <w:tcW w:w="0" w:type="auto"/>
            <w:tcBorders>
              <w:top w:val="single" w:sz="4" w:space="0" w:color="auto"/>
            </w:tcBorders>
            <w:vAlign w:val="center"/>
            <w:hideMark/>
          </w:tcPr>
          <w:p w14:paraId="778B1CD5"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Lack of instructional materials hinders effective STEM integration.</w:t>
            </w:r>
          </w:p>
        </w:tc>
        <w:tc>
          <w:tcPr>
            <w:tcW w:w="0" w:type="auto"/>
            <w:tcBorders>
              <w:top w:val="single" w:sz="4" w:space="0" w:color="auto"/>
            </w:tcBorders>
            <w:hideMark/>
          </w:tcPr>
          <w:p w14:paraId="2EDDFC75"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170</w:t>
            </w:r>
          </w:p>
        </w:tc>
        <w:tc>
          <w:tcPr>
            <w:tcW w:w="0" w:type="auto"/>
            <w:tcBorders>
              <w:top w:val="single" w:sz="4" w:space="0" w:color="auto"/>
            </w:tcBorders>
            <w:hideMark/>
          </w:tcPr>
          <w:p w14:paraId="152AEFB2"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150</w:t>
            </w:r>
          </w:p>
        </w:tc>
        <w:tc>
          <w:tcPr>
            <w:tcW w:w="0" w:type="auto"/>
            <w:tcBorders>
              <w:top w:val="single" w:sz="4" w:space="0" w:color="auto"/>
            </w:tcBorders>
            <w:hideMark/>
          </w:tcPr>
          <w:p w14:paraId="2B3A3550"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90</w:t>
            </w:r>
          </w:p>
        </w:tc>
        <w:tc>
          <w:tcPr>
            <w:tcW w:w="0" w:type="auto"/>
            <w:tcBorders>
              <w:top w:val="single" w:sz="4" w:space="0" w:color="auto"/>
            </w:tcBorders>
            <w:hideMark/>
          </w:tcPr>
          <w:p w14:paraId="731C19FF"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90</w:t>
            </w:r>
          </w:p>
        </w:tc>
        <w:tc>
          <w:tcPr>
            <w:tcW w:w="0" w:type="auto"/>
            <w:tcBorders>
              <w:top w:val="single" w:sz="4" w:space="0" w:color="auto"/>
            </w:tcBorders>
            <w:hideMark/>
          </w:tcPr>
          <w:p w14:paraId="181E46F9"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1540</w:t>
            </w:r>
          </w:p>
        </w:tc>
        <w:tc>
          <w:tcPr>
            <w:tcW w:w="0" w:type="auto"/>
            <w:tcBorders>
              <w:top w:val="single" w:sz="4" w:space="0" w:color="auto"/>
            </w:tcBorders>
            <w:hideMark/>
          </w:tcPr>
          <w:p w14:paraId="5C957155"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2.78</w:t>
            </w:r>
          </w:p>
        </w:tc>
        <w:tc>
          <w:tcPr>
            <w:tcW w:w="1262" w:type="dxa"/>
            <w:tcBorders>
              <w:top w:val="single" w:sz="4" w:space="0" w:color="auto"/>
            </w:tcBorders>
            <w:hideMark/>
          </w:tcPr>
          <w:p w14:paraId="6C29B087"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7A23AA3E" w14:textId="77777777" w:rsidTr="00DD1200">
        <w:tc>
          <w:tcPr>
            <w:tcW w:w="0" w:type="auto"/>
            <w:hideMark/>
          </w:tcPr>
          <w:p w14:paraId="67B5ABB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12</w:t>
            </w:r>
          </w:p>
        </w:tc>
        <w:tc>
          <w:tcPr>
            <w:tcW w:w="0" w:type="auto"/>
            <w:vAlign w:val="center"/>
            <w:hideMark/>
          </w:tcPr>
          <w:p w14:paraId="3F89A0BD"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Large class sizes make it difficult to implement STEM strategies effectively.</w:t>
            </w:r>
          </w:p>
        </w:tc>
        <w:tc>
          <w:tcPr>
            <w:tcW w:w="0" w:type="auto"/>
            <w:hideMark/>
          </w:tcPr>
          <w:p w14:paraId="1DE845E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140</w:t>
            </w:r>
          </w:p>
        </w:tc>
        <w:tc>
          <w:tcPr>
            <w:tcW w:w="0" w:type="auto"/>
            <w:hideMark/>
          </w:tcPr>
          <w:p w14:paraId="72CEA78D"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130</w:t>
            </w:r>
          </w:p>
        </w:tc>
        <w:tc>
          <w:tcPr>
            <w:tcW w:w="0" w:type="auto"/>
            <w:hideMark/>
          </w:tcPr>
          <w:p w14:paraId="7CFEB6FE"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120</w:t>
            </w:r>
          </w:p>
        </w:tc>
        <w:tc>
          <w:tcPr>
            <w:tcW w:w="0" w:type="auto"/>
            <w:hideMark/>
          </w:tcPr>
          <w:p w14:paraId="52BF2855"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110</w:t>
            </w:r>
          </w:p>
        </w:tc>
        <w:tc>
          <w:tcPr>
            <w:tcW w:w="0" w:type="auto"/>
            <w:hideMark/>
          </w:tcPr>
          <w:p w14:paraId="0A7B1AAD"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1420</w:t>
            </w:r>
          </w:p>
        </w:tc>
        <w:tc>
          <w:tcPr>
            <w:tcW w:w="0" w:type="auto"/>
            <w:hideMark/>
          </w:tcPr>
          <w:p w14:paraId="2FBB1180"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2.56</w:t>
            </w:r>
          </w:p>
        </w:tc>
        <w:tc>
          <w:tcPr>
            <w:tcW w:w="1262" w:type="dxa"/>
            <w:hideMark/>
          </w:tcPr>
          <w:p w14:paraId="369B2D3F"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60EB2575" w14:textId="77777777" w:rsidTr="00DD1200">
        <w:tc>
          <w:tcPr>
            <w:tcW w:w="0" w:type="auto"/>
            <w:hideMark/>
          </w:tcPr>
          <w:p w14:paraId="4546FCFE"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13</w:t>
            </w:r>
          </w:p>
        </w:tc>
        <w:tc>
          <w:tcPr>
            <w:tcW w:w="0" w:type="auto"/>
            <w:vAlign w:val="center"/>
            <w:hideMark/>
          </w:tcPr>
          <w:p w14:paraId="4F64687A"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There is insufficient time allocated for STEM activities in the school timetable.</w:t>
            </w:r>
          </w:p>
        </w:tc>
        <w:tc>
          <w:tcPr>
            <w:tcW w:w="0" w:type="auto"/>
            <w:hideMark/>
          </w:tcPr>
          <w:p w14:paraId="5A08DFBE"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150</w:t>
            </w:r>
          </w:p>
        </w:tc>
        <w:tc>
          <w:tcPr>
            <w:tcW w:w="0" w:type="auto"/>
            <w:hideMark/>
          </w:tcPr>
          <w:p w14:paraId="217C6A8B"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170</w:t>
            </w:r>
          </w:p>
        </w:tc>
        <w:tc>
          <w:tcPr>
            <w:tcW w:w="0" w:type="auto"/>
            <w:hideMark/>
          </w:tcPr>
          <w:p w14:paraId="3D102D43"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110</w:t>
            </w:r>
          </w:p>
        </w:tc>
        <w:tc>
          <w:tcPr>
            <w:tcW w:w="0" w:type="auto"/>
            <w:hideMark/>
          </w:tcPr>
          <w:p w14:paraId="30A54A3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70</w:t>
            </w:r>
          </w:p>
        </w:tc>
        <w:tc>
          <w:tcPr>
            <w:tcW w:w="0" w:type="auto"/>
            <w:hideMark/>
          </w:tcPr>
          <w:p w14:paraId="501D08E1"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1500</w:t>
            </w:r>
          </w:p>
        </w:tc>
        <w:tc>
          <w:tcPr>
            <w:tcW w:w="0" w:type="auto"/>
            <w:hideMark/>
          </w:tcPr>
          <w:p w14:paraId="04EA84F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2.70</w:t>
            </w:r>
          </w:p>
        </w:tc>
        <w:tc>
          <w:tcPr>
            <w:tcW w:w="1262" w:type="dxa"/>
            <w:hideMark/>
          </w:tcPr>
          <w:p w14:paraId="33FBE0C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7D8DEEBA" w14:textId="77777777" w:rsidTr="00DD1200">
        <w:tc>
          <w:tcPr>
            <w:tcW w:w="0" w:type="auto"/>
            <w:hideMark/>
          </w:tcPr>
          <w:p w14:paraId="3808DA50"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14</w:t>
            </w:r>
          </w:p>
        </w:tc>
        <w:tc>
          <w:tcPr>
            <w:tcW w:w="0" w:type="auto"/>
            <w:vAlign w:val="center"/>
            <w:hideMark/>
          </w:tcPr>
          <w:p w14:paraId="46ABFC9D"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The school lacks administrative support for continuous STEM teaching practices.</w:t>
            </w:r>
          </w:p>
        </w:tc>
        <w:tc>
          <w:tcPr>
            <w:tcW w:w="0" w:type="auto"/>
            <w:hideMark/>
          </w:tcPr>
          <w:p w14:paraId="4F06ECCC"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160</w:t>
            </w:r>
          </w:p>
        </w:tc>
        <w:tc>
          <w:tcPr>
            <w:tcW w:w="0" w:type="auto"/>
            <w:hideMark/>
          </w:tcPr>
          <w:p w14:paraId="57B73F2D"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140</w:t>
            </w:r>
          </w:p>
        </w:tc>
        <w:tc>
          <w:tcPr>
            <w:tcW w:w="0" w:type="auto"/>
            <w:hideMark/>
          </w:tcPr>
          <w:p w14:paraId="2BFF7EDC"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110</w:t>
            </w:r>
          </w:p>
        </w:tc>
        <w:tc>
          <w:tcPr>
            <w:tcW w:w="0" w:type="auto"/>
            <w:hideMark/>
          </w:tcPr>
          <w:p w14:paraId="03B28BC7"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90</w:t>
            </w:r>
          </w:p>
        </w:tc>
        <w:tc>
          <w:tcPr>
            <w:tcW w:w="0" w:type="auto"/>
            <w:hideMark/>
          </w:tcPr>
          <w:p w14:paraId="73A8FA33"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1500</w:t>
            </w:r>
          </w:p>
        </w:tc>
        <w:tc>
          <w:tcPr>
            <w:tcW w:w="0" w:type="auto"/>
            <w:hideMark/>
          </w:tcPr>
          <w:p w14:paraId="34937D79"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2.70</w:t>
            </w:r>
          </w:p>
        </w:tc>
        <w:tc>
          <w:tcPr>
            <w:tcW w:w="1262" w:type="dxa"/>
            <w:hideMark/>
          </w:tcPr>
          <w:p w14:paraId="19416A0B"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03772E10" w14:textId="77777777" w:rsidTr="00DD1200">
        <w:tc>
          <w:tcPr>
            <w:tcW w:w="0" w:type="auto"/>
            <w:hideMark/>
          </w:tcPr>
          <w:p w14:paraId="490C4164"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w:t>
            </w:r>
          </w:p>
        </w:tc>
        <w:tc>
          <w:tcPr>
            <w:tcW w:w="0" w:type="auto"/>
            <w:vAlign w:val="center"/>
            <w:hideMark/>
          </w:tcPr>
          <w:p w14:paraId="763581DA"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Teachers are not given follow-up support after the initial STEM training.</w:t>
            </w:r>
          </w:p>
        </w:tc>
        <w:tc>
          <w:tcPr>
            <w:tcW w:w="0" w:type="auto"/>
            <w:hideMark/>
          </w:tcPr>
          <w:p w14:paraId="7DC370F1"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180</w:t>
            </w:r>
          </w:p>
        </w:tc>
        <w:tc>
          <w:tcPr>
            <w:tcW w:w="0" w:type="auto"/>
            <w:hideMark/>
          </w:tcPr>
          <w:p w14:paraId="4DD0CB5B"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140</w:t>
            </w:r>
          </w:p>
        </w:tc>
        <w:tc>
          <w:tcPr>
            <w:tcW w:w="0" w:type="auto"/>
            <w:hideMark/>
          </w:tcPr>
          <w:p w14:paraId="5E163AFF"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100</w:t>
            </w:r>
          </w:p>
        </w:tc>
        <w:tc>
          <w:tcPr>
            <w:tcW w:w="0" w:type="auto"/>
            <w:hideMark/>
          </w:tcPr>
          <w:p w14:paraId="15E239C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80</w:t>
            </w:r>
          </w:p>
        </w:tc>
        <w:tc>
          <w:tcPr>
            <w:tcW w:w="0" w:type="auto"/>
            <w:hideMark/>
          </w:tcPr>
          <w:p w14:paraId="22CF6BC6"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1540</w:t>
            </w:r>
          </w:p>
        </w:tc>
        <w:tc>
          <w:tcPr>
            <w:tcW w:w="0" w:type="auto"/>
            <w:hideMark/>
          </w:tcPr>
          <w:p w14:paraId="0A6654AA"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2.78</w:t>
            </w:r>
          </w:p>
        </w:tc>
        <w:tc>
          <w:tcPr>
            <w:tcW w:w="1262" w:type="dxa"/>
            <w:hideMark/>
          </w:tcPr>
          <w:p w14:paraId="12CAA70C"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bl>
    <w:p w14:paraId="0E2EBFDB" w14:textId="77777777" w:rsidR="00411A15" w:rsidRPr="00411A15" w:rsidRDefault="00411A15" w:rsidP="00411A15">
      <w:pPr>
        <w:spacing w:after="0" w:line="240" w:lineRule="auto"/>
        <w:jc w:val="both"/>
        <w:rPr>
          <w:rFonts w:ascii="Times New Roman" w:hAnsi="Times New Roman" w:cs="Times New Roman"/>
          <w:sz w:val="24"/>
          <w:szCs w:val="24"/>
        </w:rPr>
      </w:pPr>
    </w:p>
    <w:p w14:paraId="3282F632" w14:textId="77777777" w:rsidR="00411A15" w:rsidRPr="00411A15" w:rsidRDefault="00411A15" w:rsidP="00411A15">
      <w:pPr>
        <w:spacing w:after="0" w:line="480" w:lineRule="auto"/>
        <w:jc w:val="both"/>
        <w:rPr>
          <w:rFonts w:ascii="Times New Roman" w:hAnsi="Times New Roman" w:cs="Times New Roman"/>
          <w:sz w:val="24"/>
          <w:szCs w:val="24"/>
        </w:rPr>
      </w:pPr>
      <w:r w:rsidRPr="00411A15">
        <w:rPr>
          <w:rFonts w:ascii="Times New Roman" w:hAnsi="Times New Roman" w:cs="Times New Roman"/>
          <w:sz w:val="24"/>
          <w:szCs w:val="24"/>
        </w:rPr>
        <w:t>Table 3 presents the challenges teachers encounter in implementing STEM integration despite undergoing professional development. All listed challenges had mean scores above the acceptance threshold of 2.50, indicating their significance. Teachers identified the lack of instructional materials (x̄ = 2.78) and large class sizes (x̄ = 2.56) as major obstacles. Insufficient time allocated for STEM activities (x̄ = 2.70) and the absence of administrative support for continuous STEM teaching (x̄ = 2.70) were also noted. Furthermore, the lack of follow-up support after initial training (x̄ = 2.78) further complicates effective implementation. These findings suggest that while professional development exists, systemic and logistical barriers limit its full integration into classroom practice, highlighting the need for policy reforms and resource allocation to address these implementation gaps.</w:t>
      </w:r>
    </w:p>
    <w:p w14:paraId="652BBA7F" w14:textId="77777777" w:rsidR="00411A15" w:rsidRPr="00411A15" w:rsidRDefault="00411A15" w:rsidP="00411A15">
      <w:pPr>
        <w:spacing w:after="0" w:line="480" w:lineRule="auto"/>
        <w:jc w:val="both"/>
        <w:rPr>
          <w:rFonts w:ascii="Times New Roman" w:hAnsi="Times New Roman" w:cs="Times New Roman"/>
          <w:b/>
          <w:sz w:val="24"/>
          <w:szCs w:val="24"/>
        </w:rPr>
      </w:pPr>
    </w:p>
    <w:p w14:paraId="599E8E46" w14:textId="77777777" w:rsidR="00411A15" w:rsidRPr="00411A15" w:rsidRDefault="00411A15" w:rsidP="00411A15">
      <w:pPr>
        <w:spacing w:after="0" w:line="480" w:lineRule="auto"/>
        <w:jc w:val="both"/>
        <w:rPr>
          <w:rFonts w:ascii="Times New Roman" w:hAnsi="Times New Roman" w:cs="Times New Roman"/>
          <w:b/>
          <w:sz w:val="24"/>
          <w:szCs w:val="24"/>
        </w:rPr>
      </w:pPr>
    </w:p>
    <w:p w14:paraId="32C5021A" w14:textId="77777777" w:rsidR="00411A15" w:rsidRPr="00411A15" w:rsidRDefault="00411A15" w:rsidP="00411A15">
      <w:pPr>
        <w:spacing w:after="0" w:line="480" w:lineRule="auto"/>
        <w:jc w:val="both"/>
        <w:rPr>
          <w:rFonts w:ascii="Times New Roman" w:hAnsi="Times New Roman" w:cs="Times New Roman"/>
          <w:b/>
          <w:sz w:val="24"/>
          <w:szCs w:val="24"/>
        </w:rPr>
      </w:pPr>
      <w:r w:rsidRPr="00411A15">
        <w:rPr>
          <w:rFonts w:ascii="Times New Roman" w:hAnsi="Times New Roman" w:cs="Times New Roman"/>
          <w:b/>
          <w:sz w:val="24"/>
          <w:szCs w:val="24"/>
        </w:rPr>
        <w:t>Discussion of Findings</w:t>
      </w:r>
    </w:p>
    <w:p w14:paraId="4AEE5DC9" w14:textId="77777777" w:rsidR="00411A15" w:rsidRPr="00411A15" w:rsidRDefault="00411A15" w:rsidP="00411A15">
      <w:pPr>
        <w:spacing w:after="0" w:line="480" w:lineRule="auto"/>
        <w:ind w:firstLine="709"/>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The findings from Research Question 1 indicate that the extent of teacher professional development in STEM integration in primary schools in Plateau State Central Zone is significantly positive. The high mean scores across all items suggest that most teachers have participated in relevant </w:t>
      </w:r>
      <w:r w:rsidRPr="00411A15">
        <w:rPr>
          <w:rFonts w:ascii="Times New Roman" w:eastAsia="Times New Roman" w:hAnsi="Times New Roman" w:cs="Times New Roman"/>
          <w:sz w:val="24"/>
          <w:szCs w:val="24"/>
        </w:rPr>
        <w:lastRenderedPageBreak/>
        <w:t xml:space="preserve">training, feel well-prepared and demonstrate confidence in teaching STEM subjects. These outcomes reflect a growing institutional effort to equip teachers with the skills needed for STEM instruction. This finding aligns with the work of </w:t>
      </w:r>
      <w:proofErr w:type="spellStart"/>
      <w:r w:rsidRPr="00411A15">
        <w:rPr>
          <w:rFonts w:ascii="Times New Roman" w:eastAsia="Times New Roman" w:hAnsi="Times New Roman" w:cs="Times New Roman"/>
          <w:bCs/>
          <w:sz w:val="24"/>
          <w:szCs w:val="24"/>
        </w:rPr>
        <w:t>Aldahmash</w:t>
      </w:r>
      <w:proofErr w:type="spellEnd"/>
      <w:r w:rsidRPr="00411A15">
        <w:rPr>
          <w:rFonts w:ascii="Times New Roman" w:eastAsia="Times New Roman" w:hAnsi="Times New Roman" w:cs="Times New Roman"/>
          <w:bCs/>
          <w:sz w:val="24"/>
          <w:szCs w:val="24"/>
        </w:rPr>
        <w:t>, Alamri</w:t>
      </w:r>
      <w:r w:rsidR="00997A24">
        <w:rPr>
          <w:rFonts w:ascii="Times New Roman" w:eastAsia="Times New Roman" w:hAnsi="Times New Roman" w:cs="Times New Roman"/>
          <w:bCs/>
          <w:sz w:val="24"/>
          <w:szCs w:val="24"/>
        </w:rPr>
        <w:t xml:space="preserve"> and</w:t>
      </w:r>
      <w:r w:rsidRPr="00411A15">
        <w:rPr>
          <w:rFonts w:ascii="Times New Roman" w:eastAsia="Times New Roman" w:hAnsi="Times New Roman" w:cs="Times New Roman"/>
          <w:bCs/>
          <w:sz w:val="24"/>
          <w:szCs w:val="24"/>
        </w:rPr>
        <w:t xml:space="preserve"> </w:t>
      </w:r>
      <w:proofErr w:type="spellStart"/>
      <w:r w:rsidRPr="00411A15">
        <w:rPr>
          <w:rFonts w:ascii="Times New Roman" w:eastAsia="Times New Roman" w:hAnsi="Times New Roman" w:cs="Times New Roman"/>
          <w:bCs/>
          <w:sz w:val="24"/>
          <w:szCs w:val="24"/>
        </w:rPr>
        <w:t>Aljallal</w:t>
      </w:r>
      <w:proofErr w:type="spellEnd"/>
      <w:r w:rsidRPr="00411A15">
        <w:rPr>
          <w:rFonts w:ascii="Times New Roman" w:eastAsia="Times New Roman" w:hAnsi="Times New Roman" w:cs="Times New Roman"/>
          <w:bCs/>
          <w:sz w:val="24"/>
          <w:szCs w:val="24"/>
        </w:rPr>
        <w:t xml:space="preserve"> (2019)</w:t>
      </w:r>
      <w:r w:rsidRPr="00411A15">
        <w:rPr>
          <w:rFonts w:ascii="Times New Roman" w:eastAsia="Times New Roman" w:hAnsi="Times New Roman" w:cs="Times New Roman"/>
          <w:sz w:val="24"/>
          <w:szCs w:val="24"/>
        </w:rPr>
        <w:t>, who emphasized that sustained and content-focused professional development significantly enhances teachers' instructional practices and pedagogical confidence, particularly in science and mathematics education.</w:t>
      </w:r>
    </w:p>
    <w:p w14:paraId="3590C6A8" w14:textId="77777777" w:rsidR="00411A15" w:rsidRPr="00411A15" w:rsidRDefault="00411A15" w:rsidP="00411A15">
      <w:pPr>
        <w:spacing w:after="0" w:line="480" w:lineRule="auto"/>
        <w:ind w:firstLine="709"/>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In addressing Research Question 2, the results reveal that STEM-focused teacher training positively impacts pupils' academic achievement in primary schools. Teachers reported improvements in students’ performance, critical thinking, interest in STEM subjects and test scores following the adoption of STEM-integrated methods. These outcomes suggest that professional development translates into improved instructional quality, which directly benefits student learning outcomes. This is consistent with the findings of </w:t>
      </w:r>
      <w:r w:rsidRPr="00411A15">
        <w:rPr>
          <w:rFonts w:ascii="Times New Roman" w:eastAsia="Times New Roman" w:hAnsi="Times New Roman" w:cs="Times New Roman"/>
          <w:bCs/>
          <w:sz w:val="24"/>
          <w:szCs w:val="24"/>
        </w:rPr>
        <w:t xml:space="preserve">Egert, </w:t>
      </w:r>
      <w:proofErr w:type="spellStart"/>
      <w:r w:rsidRPr="00411A15">
        <w:rPr>
          <w:rFonts w:ascii="Times New Roman" w:eastAsia="Times New Roman" w:hAnsi="Times New Roman" w:cs="Times New Roman"/>
          <w:bCs/>
          <w:sz w:val="24"/>
          <w:szCs w:val="24"/>
        </w:rPr>
        <w:t>Fukkink</w:t>
      </w:r>
      <w:proofErr w:type="spellEnd"/>
      <w:r w:rsidR="00997A24">
        <w:rPr>
          <w:rFonts w:ascii="Times New Roman" w:eastAsia="Times New Roman" w:hAnsi="Times New Roman" w:cs="Times New Roman"/>
          <w:bCs/>
          <w:sz w:val="24"/>
          <w:szCs w:val="24"/>
        </w:rPr>
        <w:t xml:space="preserve"> and</w:t>
      </w:r>
      <w:r w:rsidRPr="00411A15">
        <w:rPr>
          <w:rFonts w:ascii="Times New Roman" w:eastAsia="Times New Roman" w:hAnsi="Times New Roman" w:cs="Times New Roman"/>
          <w:bCs/>
          <w:sz w:val="24"/>
          <w:szCs w:val="24"/>
        </w:rPr>
        <w:t xml:space="preserve"> Eckhardt (2018)</w:t>
      </w:r>
      <w:r w:rsidRPr="00411A15">
        <w:rPr>
          <w:rFonts w:ascii="Times New Roman" w:eastAsia="Times New Roman" w:hAnsi="Times New Roman" w:cs="Times New Roman"/>
          <w:sz w:val="24"/>
          <w:szCs w:val="24"/>
        </w:rPr>
        <w:t>, who concluded that effective teacher professional development has a measurable impact on student achievement, particularly when it includes active learning and collaborative practices grounded in real classroom experiences.</w:t>
      </w:r>
    </w:p>
    <w:p w14:paraId="0E21DE52" w14:textId="77777777" w:rsidR="00411A15" w:rsidRPr="00411A15" w:rsidRDefault="00411A15" w:rsidP="00411A15">
      <w:pPr>
        <w:spacing w:after="0" w:line="480" w:lineRule="auto"/>
        <w:ind w:firstLine="709"/>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Despite the positive impacts, Research Question 3 highlights that teachers still face significant challenges in implementing STEM integration post-training. Lack of instructional materials, large class sizes, insufficient time, inadequate administrative support and the absence of follow-up mentoring were identified as major barriers. These systemic issues hinder the full realization of STEM goals despite adequate training. Similar concerns were reported by </w:t>
      </w:r>
      <w:r w:rsidRPr="00411A15">
        <w:rPr>
          <w:rFonts w:ascii="Times New Roman" w:eastAsia="Times New Roman" w:hAnsi="Times New Roman" w:cs="Times New Roman"/>
          <w:bCs/>
          <w:sz w:val="24"/>
          <w:szCs w:val="24"/>
        </w:rPr>
        <w:t xml:space="preserve">Dare, </w:t>
      </w:r>
      <w:proofErr w:type="spellStart"/>
      <w:r w:rsidRPr="00411A15">
        <w:rPr>
          <w:rFonts w:ascii="Times New Roman" w:eastAsia="Times New Roman" w:hAnsi="Times New Roman" w:cs="Times New Roman"/>
          <w:bCs/>
          <w:sz w:val="24"/>
          <w:szCs w:val="24"/>
        </w:rPr>
        <w:t>Keratithamkul</w:t>
      </w:r>
      <w:proofErr w:type="spellEnd"/>
      <w:r w:rsidRPr="00411A15">
        <w:rPr>
          <w:rFonts w:ascii="Times New Roman" w:eastAsia="Times New Roman" w:hAnsi="Times New Roman" w:cs="Times New Roman"/>
          <w:bCs/>
          <w:sz w:val="24"/>
          <w:szCs w:val="24"/>
        </w:rPr>
        <w:t>, Hiwatig</w:t>
      </w:r>
      <w:r w:rsidR="00997A24">
        <w:rPr>
          <w:rFonts w:ascii="Times New Roman" w:eastAsia="Times New Roman" w:hAnsi="Times New Roman" w:cs="Times New Roman"/>
          <w:bCs/>
          <w:sz w:val="24"/>
          <w:szCs w:val="24"/>
        </w:rPr>
        <w:t xml:space="preserve"> and</w:t>
      </w:r>
      <w:r w:rsidRPr="00411A15">
        <w:rPr>
          <w:rFonts w:ascii="Times New Roman" w:eastAsia="Times New Roman" w:hAnsi="Times New Roman" w:cs="Times New Roman"/>
          <w:bCs/>
          <w:sz w:val="24"/>
          <w:szCs w:val="24"/>
        </w:rPr>
        <w:t xml:space="preserve"> Li (2021)</w:t>
      </w:r>
      <w:r w:rsidRPr="00411A15">
        <w:rPr>
          <w:rFonts w:ascii="Times New Roman" w:eastAsia="Times New Roman" w:hAnsi="Times New Roman" w:cs="Times New Roman"/>
          <w:sz w:val="24"/>
          <w:szCs w:val="24"/>
        </w:rPr>
        <w:t>, who found that structural constraints, such as resource limitations and time constraints, often prevent teachers from fully implementing STEM pedagogies, even after comprehensive training programs.</w:t>
      </w:r>
    </w:p>
    <w:p w14:paraId="445AA79C" w14:textId="77777777" w:rsidR="00411A15" w:rsidRPr="00411A15" w:rsidRDefault="00411A15" w:rsidP="00411A15">
      <w:pPr>
        <w:spacing w:after="0" w:line="480" w:lineRule="auto"/>
        <w:jc w:val="both"/>
        <w:rPr>
          <w:rStyle w:val="Strong"/>
          <w:rFonts w:ascii="Times New Roman" w:hAnsi="Times New Roman" w:cs="Times New Roman"/>
          <w:sz w:val="24"/>
          <w:szCs w:val="24"/>
        </w:rPr>
      </w:pPr>
      <w:r w:rsidRPr="00411A15">
        <w:rPr>
          <w:rStyle w:val="Strong"/>
          <w:rFonts w:ascii="Times New Roman" w:hAnsi="Times New Roman" w:cs="Times New Roman"/>
          <w:sz w:val="24"/>
          <w:szCs w:val="24"/>
        </w:rPr>
        <w:t>Summary of Findings</w:t>
      </w:r>
    </w:p>
    <w:p w14:paraId="64DCF1DF" w14:textId="77777777" w:rsidR="00411A15" w:rsidRPr="00411A15" w:rsidRDefault="00411A15" w:rsidP="00411A15">
      <w:pPr>
        <w:spacing w:after="0" w:line="480" w:lineRule="auto"/>
        <w:ind w:firstLine="360"/>
        <w:jc w:val="both"/>
        <w:rPr>
          <w:rFonts w:ascii="Times New Roman" w:eastAsiaTheme="minorEastAsia" w:hAnsi="Times New Roman" w:cs="Times New Roman"/>
          <w:sz w:val="24"/>
          <w:szCs w:val="24"/>
        </w:rPr>
      </w:pPr>
      <w:r w:rsidRPr="00411A15">
        <w:rPr>
          <w:rStyle w:val="Strong"/>
          <w:rFonts w:ascii="Times New Roman" w:hAnsi="Times New Roman" w:cs="Times New Roman"/>
          <w:b w:val="0"/>
          <w:sz w:val="24"/>
          <w:szCs w:val="24"/>
        </w:rPr>
        <w:t>The following is a summary of findings for this study</w:t>
      </w:r>
      <w:r w:rsidRPr="00411A15">
        <w:rPr>
          <w:rFonts w:ascii="Times New Roman" w:hAnsi="Times New Roman" w:cs="Times New Roman"/>
          <w:sz w:val="24"/>
          <w:szCs w:val="24"/>
        </w:rPr>
        <w:t>:</w:t>
      </w:r>
    </w:p>
    <w:p w14:paraId="0B37EEED" w14:textId="77777777" w:rsidR="00411A15" w:rsidRPr="00411A15" w:rsidRDefault="00411A15" w:rsidP="00411A15">
      <w:pPr>
        <w:numPr>
          <w:ilvl w:val="0"/>
          <w:numId w:val="6"/>
        </w:numPr>
        <w:spacing w:after="0" w:line="480" w:lineRule="auto"/>
        <w:jc w:val="both"/>
        <w:rPr>
          <w:rFonts w:ascii="Times New Roman" w:hAnsi="Times New Roman" w:cs="Times New Roman"/>
          <w:sz w:val="24"/>
          <w:szCs w:val="24"/>
        </w:rPr>
      </w:pPr>
      <w:r w:rsidRPr="00411A15">
        <w:rPr>
          <w:rFonts w:ascii="Times New Roman" w:hAnsi="Times New Roman" w:cs="Times New Roman"/>
          <w:sz w:val="24"/>
          <w:szCs w:val="24"/>
        </w:rPr>
        <w:lastRenderedPageBreak/>
        <w:t>The study found that teacher professional development in STEM integration across primary schools in Plateau State Central Zone is appreciably implemented. Teachers reported active participation in STEM-related training programs, which they considered practical, relevant and confidence-boosting. The professional development programs were also noted to be fairly regular, with training content applicable to classroom settings.</w:t>
      </w:r>
    </w:p>
    <w:p w14:paraId="7BD5B7AF" w14:textId="77777777" w:rsidR="00411A15" w:rsidRPr="00411A15" w:rsidRDefault="00411A15" w:rsidP="00411A15">
      <w:pPr>
        <w:numPr>
          <w:ilvl w:val="0"/>
          <w:numId w:val="6"/>
        </w:numPr>
        <w:spacing w:after="0" w:line="480" w:lineRule="auto"/>
        <w:jc w:val="both"/>
        <w:rPr>
          <w:rFonts w:ascii="Times New Roman" w:hAnsi="Times New Roman" w:cs="Times New Roman"/>
          <w:sz w:val="24"/>
          <w:szCs w:val="24"/>
        </w:rPr>
      </w:pPr>
      <w:r w:rsidRPr="00411A15">
        <w:rPr>
          <w:rFonts w:ascii="Times New Roman" w:hAnsi="Times New Roman" w:cs="Times New Roman"/>
          <w:sz w:val="24"/>
          <w:szCs w:val="24"/>
        </w:rPr>
        <w:t>The findings revealed a positive impact of STEM-focused teacher training on pupils’ academic performance. Teachers observed improvements in pupils’ understanding of science and mathematics, as well as enhanced critical thinking, problem-solving abilities and increased engagement with STEM subjects. Improved instructional strategies, developed through professional development, contributed to these gains.</w:t>
      </w:r>
    </w:p>
    <w:p w14:paraId="50F4C09D" w14:textId="77777777" w:rsidR="00411A15" w:rsidRPr="00411A15" w:rsidRDefault="00411A15" w:rsidP="00411A15">
      <w:pPr>
        <w:numPr>
          <w:ilvl w:val="0"/>
          <w:numId w:val="6"/>
        </w:numPr>
        <w:spacing w:after="0" w:line="480" w:lineRule="auto"/>
        <w:jc w:val="both"/>
        <w:rPr>
          <w:rFonts w:ascii="Times New Roman" w:hAnsi="Times New Roman" w:cs="Times New Roman"/>
          <w:sz w:val="24"/>
          <w:szCs w:val="24"/>
        </w:rPr>
      </w:pPr>
      <w:r w:rsidRPr="00411A15">
        <w:rPr>
          <w:rFonts w:ascii="Times New Roman" w:hAnsi="Times New Roman" w:cs="Times New Roman"/>
          <w:sz w:val="24"/>
          <w:szCs w:val="24"/>
        </w:rPr>
        <w:t>Despite the benefits of professional development, teachers reported facing significant challenges in effectively implementing STEM integration. These included lack of instructional materials, large class sizes, insufficient time allocation for STEM activities, lack of administrative support and inadequate follow-up support after training. These challenges indicate the presence of systemic barriers that hinder the full utilization of STEM training in classroom instruction.</w:t>
      </w:r>
    </w:p>
    <w:p w14:paraId="588E339B" w14:textId="77777777" w:rsidR="00411A15" w:rsidRPr="00411A15" w:rsidRDefault="00411A15" w:rsidP="00411A15">
      <w:pPr>
        <w:spacing w:after="0" w:line="480" w:lineRule="auto"/>
        <w:jc w:val="both"/>
        <w:rPr>
          <w:rFonts w:ascii="Times New Roman" w:hAnsi="Times New Roman" w:cs="Times New Roman"/>
          <w:b/>
          <w:sz w:val="24"/>
          <w:szCs w:val="24"/>
        </w:rPr>
      </w:pPr>
      <w:r w:rsidRPr="00411A15">
        <w:rPr>
          <w:rFonts w:ascii="Times New Roman" w:hAnsi="Times New Roman" w:cs="Times New Roman"/>
          <w:b/>
          <w:sz w:val="24"/>
          <w:szCs w:val="24"/>
        </w:rPr>
        <w:t xml:space="preserve">Conclusion </w:t>
      </w:r>
    </w:p>
    <w:p w14:paraId="625EA2B7" w14:textId="77777777" w:rsidR="00411A15" w:rsidRPr="00411A15" w:rsidRDefault="00411A15" w:rsidP="00411A15">
      <w:pPr>
        <w:spacing w:after="0" w:line="480" w:lineRule="auto"/>
        <w:ind w:firstLine="720"/>
        <w:jc w:val="both"/>
        <w:rPr>
          <w:rFonts w:ascii="Times New Roman" w:hAnsi="Times New Roman" w:cs="Times New Roman"/>
          <w:sz w:val="24"/>
          <w:szCs w:val="24"/>
        </w:rPr>
      </w:pPr>
      <w:r w:rsidRPr="00411A15">
        <w:rPr>
          <w:rFonts w:ascii="Times New Roman" w:hAnsi="Times New Roman" w:cs="Times New Roman"/>
          <w:sz w:val="24"/>
          <w:szCs w:val="24"/>
        </w:rPr>
        <w:t xml:space="preserve">Based on the findings, it is concluded that teacher professional development in STEM integration significantly enhances teachers’ instructional competence and positively influences pupils’ academic achievement in primary schools in Plateau State Central Zone. However, despite the evident benefits of such training, effective implementation is hindered by several challenges, including lack of instructional resources, large class sizes, insufficient time for STEM activities and limited administrative and follow-up support. </w:t>
      </w:r>
    </w:p>
    <w:p w14:paraId="6395256A" w14:textId="77777777" w:rsidR="00411A15" w:rsidRPr="00411A15" w:rsidRDefault="00411A15" w:rsidP="00411A15">
      <w:pPr>
        <w:spacing w:after="0" w:line="480" w:lineRule="auto"/>
        <w:jc w:val="both"/>
        <w:rPr>
          <w:rFonts w:ascii="Times New Roman" w:eastAsiaTheme="minorEastAsia" w:hAnsi="Times New Roman" w:cs="Times New Roman"/>
          <w:b/>
          <w:sz w:val="24"/>
          <w:szCs w:val="24"/>
        </w:rPr>
      </w:pPr>
      <w:r w:rsidRPr="00411A15">
        <w:rPr>
          <w:rFonts w:ascii="Times New Roman" w:hAnsi="Times New Roman" w:cs="Times New Roman"/>
          <w:b/>
          <w:sz w:val="24"/>
          <w:szCs w:val="24"/>
        </w:rPr>
        <w:t xml:space="preserve">Recommendations </w:t>
      </w:r>
    </w:p>
    <w:p w14:paraId="6BC932AA" w14:textId="77777777" w:rsidR="00411A15" w:rsidRPr="00411A15" w:rsidRDefault="00411A15" w:rsidP="00411A15">
      <w:pPr>
        <w:numPr>
          <w:ilvl w:val="0"/>
          <w:numId w:val="7"/>
        </w:numPr>
        <w:spacing w:after="0" w:line="480" w:lineRule="auto"/>
        <w:jc w:val="both"/>
        <w:rPr>
          <w:rFonts w:ascii="Times New Roman" w:hAnsi="Times New Roman" w:cs="Times New Roman"/>
          <w:sz w:val="24"/>
          <w:szCs w:val="24"/>
        </w:rPr>
      </w:pPr>
      <w:r w:rsidRPr="00411A15">
        <w:rPr>
          <w:rFonts w:ascii="Times New Roman" w:hAnsi="Times New Roman" w:cs="Times New Roman"/>
          <w:sz w:val="24"/>
          <w:szCs w:val="24"/>
        </w:rPr>
        <w:lastRenderedPageBreak/>
        <w:t>Government and school administrators should ensure the adequate supply of STEM-related instructional materials and technological resources to support the effective implementation of STEM integration in classrooms. This will help teachers apply what they have learned during professional development and enhance pupils' learning experiences.</w:t>
      </w:r>
    </w:p>
    <w:p w14:paraId="20A997D3" w14:textId="77777777" w:rsidR="00411A15" w:rsidRPr="00411A15" w:rsidRDefault="00411A15" w:rsidP="00411A15">
      <w:pPr>
        <w:numPr>
          <w:ilvl w:val="0"/>
          <w:numId w:val="7"/>
        </w:numPr>
        <w:spacing w:after="0" w:line="480" w:lineRule="auto"/>
        <w:jc w:val="both"/>
        <w:rPr>
          <w:rFonts w:ascii="Times New Roman" w:hAnsi="Times New Roman" w:cs="Times New Roman"/>
          <w:sz w:val="24"/>
          <w:szCs w:val="24"/>
        </w:rPr>
      </w:pPr>
      <w:r w:rsidRPr="00411A15">
        <w:rPr>
          <w:rFonts w:ascii="Times New Roman" w:hAnsi="Times New Roman" w:cs="Times New Roman"/>
          <w:sz w:val="24"/>
          <w:szCs w:val="24"/>
        </w:rPr>
        <w:t>School authorities should provide continuous administrative support, including regular follow-up training, classroom monitoring and mentorship programs for teachers. This will help sustain the gains of professional development and ensure that teachers are effectively implementing STEM strategies.</w:t>
      </w:r>
    </w:p>
    <w:p w14:paraId="25323B11" w14:textId="77777777" w:rsidR="00411A15" w:rsidRPr="00411A15" w:rsidRDefault="00411A15" w:rsidP="00411A15">
      <w:pPr>
        <w:numPr>
          <w:ilvl w:val="0"/>
          <w:numId w:val="7"/>
        </w:numPr>
        <w:spacing w:after="0" w:line="480" w:lineRule="auto"/>
        <w:jc w:val="both"/>
        <w:rPr>
          <w:rFonts w:ascii="Times New Roman" w:hAnsi="Times New Roman" w:cs="Times New Roman"/>
          <w:sz w:val="24"/>
          <w:szCs w:val="24"/>
        </w:rPr>
      </w:pPr>
      <w:r w:rsidRPr="00411A15">
        <w:rPr>
          <w:rFonts w:ascii="Times New Roman" w:hAnsi="Times New Roman" w:cs="Times New Roman"/>
          <w:sz w:val="24"/>
          <w:szCs w:val="24"/>
        </w:rPr>
        <w:t>Education planners should consider restructuring the school timetable to allocate sufficient time for STEM activities and manage class sizes through teacher recruitment or classroom segmentation. This will enable more effective delivery of STEM instruction and facilitate active student engagement.</w:t>
      </w:r>
    </w:p>
    <w:p w14:paraId="1310C49C" w14:textId="77777777" w:rsidR="00411A15" w:rsidRPr="00411A15" w:rsidRDefault="00411A15" w:rsidP="00411A15">
      <w:pPr>
        <w:spacing w:after="0" w:line="480" w:lineRule="auto"/>
        <w:jc w:val="both"/>
        <w:rPr>
          <w:rFonts w:ascii="Times New Roman" w:eastAsia="Times New Roman" w:hAnsi="Times New Roman" w:cs="Times New Roman"/>
          <w:b/>
          <w:sz w:val="24"/>
          <w:szCs w:val="24"/>
        </w:rPr>
      </w:pPr>
      <w:r w:rsidRPr="00411A15">
        <w:rPr>
          <w:rStyle w:val="overflow-hidden"/>
          <w:rFonts w:ascii="Times New Roman" w:eastAsia="Times New Roman" w:hAnsi="Times New Roman" w:cs="Times New Roman"/>
          <w:b/>
          <w:sz w:val="24"/>
          <w:szCs w:val="24"/>
        </w:rPr>
        <w:t>Contribution to Knowledge</w:t>
      </w:r>
    </w:p>
    <w:p w14:paraId="05534874" w14:textId="77777777" w:rsidR="00411A15" w:rsidRPr="00411A15" w:rsidRDefault="00411A15" w:rsidP="00411A15">
      <w:pPr>
        <w:spacing w:line="480" w:lineRule="auto"/>
        <w:ind w:firstLine="720"/>
        <w:jc w:val="both"/>
        <w:rPr>
          <w:rFonts w:ascii="Times New Roman" w:hAnsi="Times New Roman" w:cs="Times New Roman"/>
          <w:sz w:val="24"/>
          <w:szCs w:val="24"/>
        </w:rPr>
      </w:pPr>
      <w:r w:rsidRPr="00411A15">
        <w:rPr>
          <w:rFonts w:ascii="Times New Roman" w:hAnsi="Times New Roman" w:cs="Times New Roman"/>
          <w:sz w:val="24"/>
          <w:szCs w:val="24"/>
        </w:rPr>
        <w:t xml:space="preserve">This study has contributed to the existing body of knowledge by empirically establishing that professional development in STEM integration significantly enhances primary school teachers’ instructional competence and positively influences pupils’ academic achievement in Plateau State Central Zone. It provides clear evidence that when teachers are adequately trained and supported in STEM methodologies, they adopt more effective teaching strategies, which in turn improve pupils' performance, interest and critical thinking in science and mathematics. </w:t>
      </w:r>
    </w:p>
    <w:p w14:paraId="670F2AF5" w14:textId="77777777" w:rsidR="00411A15" w:rsidRPr="00411A15" w:rsidRDefault="00411A15" w:rsidP="00411A15">
      <w:pPr>
        <w:spacing w:line="480" w:lineRule="auto"/>
        <w:jc w:val="both"/>
        <w:rPr>
          <w:rFonts w:ascii="Times New Roman" w:hAnsi="Times New Roman" w:cs="Times New Roman"/>
          <w:sz w:val="24"/>
          <w:szCs w:val="24"/>
        </w:rPr>
      </w:pPr>
    </w:p>
    <w:p w14:paraId="4BEFE846" w14:textId="77777777" w:rsidR="00411A15" w:rsidRPr="00411A15" w:rsidRDefault="00411A15" w:rsidP="00411A15">
      <w:pPr>
        <w:spacing w:line="480" w:lineRule="auto"/>
        <w:jc w:val="center"/>
        <w:rPr>
          <w:rFonts w:ascii="Times New Roman" w:hAnsi="Times New Roman" w:cs="Times New Roman"/>
          <w:b/>
          <w:color w:val="323232"/>
          <w:sz w:val="24"/>
          <w:szCs w:val="24"/>
          <w:shd w:val="clear" w:color="auto" w:fill="FFFFFF"/>
        </w:rPr>
      </w:pPr>
      <w:r w:rsidRPr="00411A15">
        <w:rPr>
          <w:rFonts w:ascii="Times New Roman" w:hAnsi="Times New Roman" w:cs="Times New Roman"/>
          <w:b/>
          <w:color w:val="323232"/>
          <w:sz w:val="24"/>
          <w:szCs w:val="24"/>
          <w:shd w:val="clear" w:color="auto" w:fill="FFFFFF"/>
        </w:rPr>
        <w:t>References</w:t>
      </w:r>
    </w:p>
    <w:p w14:paraId="4DAE9527" w14:textId="77777777" w:rsidR="00411A15" w:rsidRPr="00411A15" w:rsidRDefault="00411A15" w:rsidP="00411A15">
      <w:pPr>
        <w:spacing w:line="240" w:lineRule="auto"/>
        <w:ind w:left="720" w:hanging="720"/>
        <w:jc w:val="both"/>
        <w:rPr>
          <w:rFonts w:ascii="Times New Roman" w:hAnsi="Times New Roman" w:cs="Times New Roman"/>
          <w:sz w:val="24"/>
          <w:szCs w:val="24"/>
        </w:rPr>
      </w:pPr>
      <w:r w:rsidRPr="00411A15">
        <w:rPr>
          <w:rFonts w:ascii="Times New Roman" w:hAnsi="Times New Roman" w:cs="Times New Roman"/>
          <w:sz w:val="24"/>
          <w:szCs w:val="24"/>
        </w:rPr>
        <w:t xml:space="preserve">Abd Ghani, A., Rosli, R., </w:t>
      </w:r>
      <w:proofErr w:type="spellStart"/>
      <w:r w:rsidRPr="00411A15">
        <w:rPr>
          <w:rFonts w:ascii="Times New Roman" w:hAnsi="Times New Roman" w:cs="Times New Roman"/>
          <w:sz w:val="24"/>
          <w:szCs w:val="24"/>
        </w:rPr>
        <w:t>Iksan</w:t>
      </w:r>
      <w:proofErr w:type="spellEnd"/>
      <w:r w:rsidRPr="00411A15">
        <w:rPr>
          <w:rFonts w:ascii="Times New Roman" w:hAnsi="Times New Roman" w:cs="Times New Roman"/>
          <w:sz w:val="24"/>
          <w:szCs w:val="24"/>
        </w:rPr>
        <w:t xml:space="preserve">, Z., Halim, L., Osman, K., Maat, S. M., Mahmud, S. N. D., Mahmud, M. S., </w:t>
      </w:r>
      <w:proofErr w:type="spellStart"/>
      <w:r w:rsidRPr="00411A15">
        <w:rPr>
          <w:rFonts w:ascii="Times New Roman" w:hAnsi="Times New Roman" w:cs="Times New Roman"/>
          <w:sz w:val="24"/>
          <w:szCs w:val="24"/>
        </w:rPr>
        <w:t>Rambely</w:t>
      </w:r>
      <w:proofErr w:type="spellEnd"/>
      <w:r w:rsidRPr="00411A15">
        <w:rPr>
          <w:rFonts w:ascii="Times New Roman" w:hAnsi="Times New Roman" w:cs="Times New Roman"/>
          <w:sz w:val="24"/>
          <w:szCs w:val="24"/>
        </w:rPr>
        <w:t xml:space="preserve">, A. S., &amp; Lay, A. N. (2023). STEM professional development programs for science and mathematics primary school teachers: A systematic literature review. European </w:t>
      </w:r>
      <w:r w:rsidRPr="00411A15">
        <w:rPr>
          <w:rFonts w:ascii="Times New Roman" w:hAnsi="Times New Roman" w:cs="Times New Roman"/>
          <w:sz w:val="24"/>
          <w:szCs w:val="24"/>
        </w:rPr>
        <w:lastRenderedPageBreak/>
        <w:t>Journal of Science and Mathematics Education, 11(4), 738-753. https://doi.org/10.30935/scimath/13629</w:t>
      </w:r>
    </w:p>
    <w:p w14:paraId="3D9CDD33" w14:textId="77777777" w:rsidR="00411A15" w:rsidRPr="00411A15" w:rsidRDefault="00411A15" w:rsidP="00411A15">
      <w:pPr>
        <w:spacing w:line="240" w:lineRule="auto"/>
        <w:ind w:left="720" w:hanging="720"/>
        <w:jc w:val="both"/>
        <w:rPr>
          <w:rFonts w:ascii="Times New Roman" w:hAnsi="Times New Roman" w:cs="Times New Roman"/>
          <w:sz w:val="24"/>
          <w:szCs w:val="24"/>
        </w:rPr>
      </w:pPr>
      <w:proofErr w:type="spellStart"/>
      <w:r w:rsidRPr="00411A15">
        <w:rPr>
          <w:rFonts w:ascii="Times New Roman" w:hAnsi="Times New Roman" w:cs="Times New Roman"/>
          <w:sz w:val="24"/>
          <w:szCs w:val="24"/>
        </w:rPr>
        <w:t>Akinbola</w:t>
      </w:r>
      <w:proofErr w:type="spellEnd"/>
      <w:r w:rsidRPr="00411A15">
        <w:rPr>
          <w:rFonts w:ascii="Times New Roman" w:hAnsi="Times New Roman" w:cs="Times New Roman"/>
          <w:sz w:val="24"/>
          <w:szCs w:val="24"/>
        </w:rPr>
        <w:t xml:space="preserve">, O. A., &amp; </w:t>
      </w:r>
      <w:proofErr w:type="spellStart"/>
      <w:r w:rsidRPr="00411A15">
        <w:rPr>
          <w:rFonts w:ascii="Times New Roman" w:hAnsi="Times New Roman" w:cs="Times New Roman"/>
          <w:sz w:val="24"/>
          <w:szCs w:val="24"/>
        </w:rPr>
        <w:t>Atayero</w:t>
      </w:r>
      <w:proofErr w:type="spellEnd"/>
      <w:r w:rsidRPr="00411A15">
        <w:rPr>
          <w:rFonts w:ascii="Times New Roman" w:hAnsi="Times New Roman" w:cs="Times New Roman"/>
          <w:sz w:val="24"/>
          <w:szCs w:val="24"/>
        </w:rPr>
        <w:t xml:space="preserve">, A. A. (2017). Digital divide and policy responses in sub-Saharan Africa: An overview of Nigeria. In V. Chang &amp; C. </w:t>
      </w:r>
      <w:proofErr w:type="spellStart"/>
      <w:r w:rsidRPr="00411A15">
        <w:rPr>
          <w:rFonts w:ascii="Times New Roman" w:hAnsi="Times New Roman" w:cs="Times New Roman"/>
          <w:sz w:val="24"/>
          <w:szCs w:val="24"/>
        </w:rPr>
        <w:t>Guetl</w:t>
      </w:r>
      <w:proofErr w:type="spellEnd"/>
      <w:r w:rsidRPr="00411A15">
        <w:rPr>
          <w:rFonts w:ascii="Times New Roman" w:hAnsi="Times New Roman" w:cs="Times New Roman"/>
          <w:sz w:val="24"/>
          <w:szCs w:val="24"/>
        </w:rPr>
        <w:t xml:space="preserve"> (Eds.), Joint proceedings of the Ongoing Research, Practice</w:t>
      </w:r>
      <w:r w:rsidR="00997A24">
        <w:rPr>
          <w:rFonts w:ascii="Times New Roman" w:hAnsi="Times New Roman" w:cs="Times New Roman"/>
          <w:sz w:val="24"/>
          <w:szCs w:val="24"/>
        </w:rPr>
        <w:t xml:space="preserve"> and</w:t>
      </w:r>
      <w:r w:rsidRPr="00411A15">
        <w:rPr>
          <w:rFonts w:ascii="Times New Roman" w:hAnsi="Times New Roman" w:cs="Times New Roman"/>
          <w:sz w:val="24"/>
          <w:szCs w:val="24"/>
        </w:rPr>
        <w:t xml:space="preserve"> Industrial Presentations and the Doctoral Consortium (Vol. 2, pp. 31-43). IADIS Press.</w:t>
      </w:r>
    </w:p>
    <w:p w14:paraId="45DEB3CF" w14:textId="77777777" w:rsidR="00411A15" w:rsidRPr="00411A15" w:rsidRDefault="00411A15" w:rsidP="00411A15">
      <w:pPr>
        <w:spacing w:line="240" w:lineRule="auto"/>
        <w:ind w:left="720" w:hanging="720"/>
        <w:jc w:val="both"/>
        <w:rPr>
          <w:rFonts w:ascii="Times New Roman" w:hAnsi="Times New Roman" w:cs="Times New Roman"/>
          <w:color w:val="0462C1"/>
          <w:sz w:val="24"/>
          <w:szCs w:val="24"/>
        </w:rPr>
      </w:pPr>
      <w:proofErr w:type="spellStart"/>
      <w:r w:rsidRPr="00411A15">
        <w:rPr>
          <w:rFonts w:ascii="Times New Roman" w:hAnsi="Times New Roman" w:cs="Times New Roman"/>
          <w:sz w:val="24"/>
          <w:szCs w:val="24"/>
        </w:rPr>
        <w:t>Aldahmash</w:t>
      </w:r>
      <w:proofErr w:type="spellEnd"/>
      <w:r w:rsidRPr="00411A15">
        <w:rPr>
          <w:rFonts w:ascii="Times New Roman" w:hAnsi="Times New Roman" w:cs="Times New Roman"/>
          <w:sz w:val="24"/>
          <w:szCs w:val="24"/>
        </w:rPr>
        <w:t xml:space="preserve">, A. H., Alamri, N. A., &amp; </w:t>
      </w:r>
      <w:proofErr w:type="spellStart"/>
      <w:r w:rsidRPr="00411A15">
        <w:rPr>
          <w:rFonts w:ascii="Times New Roman" w:hAnsi="Times New Roman" w:cs="Times New Roman"/>
          <w:sz w:val="24"/>
          <w:szCs w:val="24"/>
        </w:rPr>
        <w:t>Aljallal</w:t>
      </w:r>
      <w:proofErr w:type="spellEnd"/>
      <w:r w:rsidRPr="00411A15">
        <w:rPr>
          <w:rFonts w:ascii="Times New Roman" w:hAnsi="Times New Roman" w:cs="Times New Roman"/>
          <w:sz w:val="24"/>
          <w:szCs w:val="24"/>
        </w:rPr>
        <w:t xml:space="preserve">, M. A. (2019). Saudi Arabian science and mathematics teachers’ attitudes toward integrating STEM in teaching before and after participating in a professional development program. </w:t>
      </w:r>
      <w:r w:rsidRPr="00411A15">
        <w:rPr>
          <w:rFonts w:ascii="Times New Roman" w:hAnsi="Times New Roman" w:cs="Times New Roman"/>
          <w:i/>
          <w:iCs/>
          <w:sz w:val="24"/>
          <w:szCs w:val="24"/>
        </w:rPr>
        <w:t>Cogent Education, 6</w:t>
      </w:r>
      <w:r w:rsidRPr="00411A15">
        <w:rPr>
          <w:rFonts w:ascii="Times New Roman" w:hAnsi="Times New Roman" w:cs="Times New Roman"/>
          <w:sz w:val="24"/>
          <w:szCs w:val="24"/>
        </w:rPr>
        <w:t xml:space="preserve">(1), 1580852. </w:t>
      </w:r>
      <w:r w:rsidRPr="00411A15">
        <w:rPr>
          <w:rFonts w:ascii="Times New Roman" w:hAnsi="Times New Roman" w:cs="Times New Roman"/>
          <w:color w:val="0462C1"/>
          <w:sz w:val="24"/>
          <w:szCs w:val="24"/>
        </w:rPr>
        <w:t>https://doi.org/10.1080/2331186X.2019.1580852</w:t>
      </w:r>
    </w:p>
    <w:p w14:paraId="0BA4F494" w14:textId="77777777" w:rsidR="00411A15" w:rsidRPr="00411A15" w:rsidRDefault="00411A15" w:rsidP="00411A15">
      <w:pPr>
        <w:spacing w:line="240" w:lineRule="auto"/>
        <w:ind w:left="720" w:hanging="720"/>
        <w:jc w:val="both"/>
        <w:rPr>
          <w:rFonts w:ascii="Times New Roman" w:hAnsi="Times New Roman" w:cs="Times New Roman"/>
          <w:sz w:val="24"/>
          <w:szCs w:val="24"/>
        </w:rPr>
      </w:pPr>
      <w:proofErr w:type="spellStart"/>
      <w:r w:rsidRPr="00411A15">
        <w:rPr>
          <w:rFonts w:ascii="Times New Roman" w:hAnsi="Times New Roman" w:cs="Times New Roman"/>
          <w:sz w:val="24"/>
          <w:szCs w:val="24"/>
        </w:rPr>
        <w:t>Anagun</w:t>
      </w:r>
      <w:proofErr w:type="spellEnd"/>
      <w:r w:rsidRPr="00411A15">
        <w:rPr>
          <w:rFonts w:ascii="Times New Roman" w:hAnsi="Times New Roman" w:cs="Times New Roman"/>
          <w:sz w:val="24"/>
          <w:szCs w:val="24"/>
        </w:rPr>
        <w:t>, Ş. S., Karahan, E., &amp; Kilic, Z. (2020). Primary school teacher candidates’ experiences regarding problem-based stem applications. Turkish Online Journal of Qualitative Inquiry, 11(4), 571-598. https://doi.org/10.17569/tojqi.793820</w:t>
      </w:r>
    </w:p>
    <w:p w14:paraId="52478637" w14:textId="77777777" w:rsidR="00411A15" w:rsidRPr="00411A15" w:rsidRDefault="00411A15" w:rsidP="00411A15">
      <w:pPr>
        <w:spacing w:line="240" w:lineRule="auto"/>
        <w:ind w:left="720" w:hanging="720"/>
        <w:jc w:val="both"/>
        <w:rPr>
          <w:rFonts w:ascii="Times New Roman" w:eastAsiaTheme="minorEastAsia" w:hAnsi="Times New Roman" w:cs="Times New Roman"/>
          <w:sz w:val="24"/>
          <w:szCs w:val="24"/>
        </w:rPr>
      </w:pPr>
      <w:r w:rsidRPr="00411A15">
        <w:rPr>
          <w:rFonts w:ascii="Times New Roman" w:hAnsi="Times New Roman" w:cs="Times New Roman"/>
          <w:color w:val="323232"/>
          <w:sz w:val="24"/>
          <w:szCs w:val="24"/>
          <w:shd w:val="clear" w:color="auto" w:fill="FFFFFF"/>
        </w:rPr>
        <w:t>Boz, T. (2023). Teacher Professional Development for STEM Integration in Elementary/Primary Schools: A Systematic Review. </w:t>
      </w:r>
      <w:r w:rsidRPr="00411A15">
        <w:rPr>
          <w:rFonts w:ascii="Times New Roman" w:hAnsi="Times New Roman" w:cs="Times New Roman"/>
          <w:i/>
          <w:iCs/>
          <w:color w:val="323232"/>
          <w:sz w:val="24"/>
          <w:szCs w:val="24"/>
          <w:shd w:val="clear" w:color="auto" w:fill="FFFFFF"/>
        </w:rPr>
        <w:t>International Electronic Journal of Elementary Education</w:t>
      </w:r>
      <w:r w:rsidRPr="00411A15">
        <w:rPr>
          <w:rFonts w:ascii="Times New Roman" w:hAnsi="Times New Roman" w:cs="Times New Roman"/>
          <w:color w:val="323232"/>
          <w:sz w:val="24"/>
          <w:szCs w:val="24"/>
          <w:shd w:val="clear" w:color="auto" w:fill="FFFFFF"/>
        </w:rPr>
        <w:t>, </w:t>
      </w:r>
      <w:r w:rsidRPr="00411A15">
        <w:rPr>
          <w:rFonts w:ascii="Times New Roman" w:hAnsi="Times New Roman" w:cs="Times New Roman"/>
          <w:i/>
          <w:iCs/>
          <w:color w:val="323232"/>
          <w:sz w:val="24"/>
          <w:szCs w:val="24"/>
          <w:shd w:val="clear" w:color="auto" w:fill="FFFFFF"/>
        </w:rPr>
        <w:t>15</w:t>
      </w:r>
      <w:r w:rsidRPr="00411A15">
        <w:rPr>
          <w:rFonts w:ascii="Times New Roman" w:hAnsi="Times New Roman" w:cs="Times New Roman"/>
          <w:color w:val="323232"/>
          <w:sz w:val="24"/>
          <w:szCs w:val="24"/>
          <w:shd w:val="clear" w:color="auto" w:fill="FFFFFF"/>
        </w:rPr>
        <w:t>(5), 371–382. Retrieved from https://www.iejee.com/index.php/IEJEE/article/view/1958</w:t>
      </w:r>
    </w:p>
    <w:p w14:paraId="1CF4CB84" w14:textId="77777777" w:rsidR="00411A15" w:rsidRPr="00411A15" w:rsidRDefault="00411A15" w:rsidP="00411A15">
      <w:pPr>
        <w:spacing w:line="240" w:lineRule="auto"/>
        <w:ind w:left="720" w:hanging="720"/>
        <w:jc w:val="both"/>
        <w:rPr>
          <w:rFonts w:ascii="Times New Roman" w:hAnsi="Times New Roman" w:cs="Times New Roman"/>
          <w:sz w:val="24"/>
          <w:szCs w:val="24"/>
        </w:rPr>
      </w:pPr>
      <w:r w:rsidRPr="00411A15">
        <w:rPr>
          <w:rFonts w:ascii="Times New Roman" w:hAnsi="Times New Roman" w:cs="Times New Roman"/>
          <w:sz w:val="24"/>
          <w:szCs w:val="24"/>
        </w:rPr>
        <w:t xml:space="preserve">Chisom, O. N., </w:t>
      </w:r>
      <w:proofErr w:type="spellStart"/>
      <w:r w:rsidRPr="00411A15">
        <w:rPr>
          <w:rFonts w:ascii="Times New Roman" w:hAnsi="Times New Roman" w:cs="Times New Roman"/>
          <w:sz w:val="24"/>
          <w:szCs w:val="24"/>
        </w:rPr>
        <w:t>Unachukwu</w:t>
      </w:r>
      <w:proofErr w:type="spellEnd"/>
      <w:r w:rsidRPr="00411A15">
        <w:rPr>
          <w:rFonts w:ascii="Times New Roman" w:hAnsi="Times New Roman" w:cs="Times New Roman"/>
          <w:sz w:val="24"/>
          <w:szCs w:val="24"/>
        </w:rPr>
        <w:t xml:space="preserve">, C. C., &amp; </w:t>
      </w:r>
      <w:proofErr w:type="spellStart"/>
      <w:r w:rsidRPr="00411A15">
        <w:rPr>
          <w:rFonts w:ascii="Times New Roman" w:hAnsi="Times New Roman" w:cs="Times New Roman"/>
          <w:sz w:val="24"/>
          <w:szCs w:val="24"/>
        </w:rPr>
        <w:t>Osawaru</w:t>
      </w:r>
      <w:proofErr w:type="spellEnd"/>
      <w:r w:rsidRPr="00411A15">
        <w:rPr>
          <w:rFonts w:ascii="Times New Roman" w:hAnsi="Times New Roman" w:cs="Times New Roman"/>
          <w:sz w:val="24"/>
          <w:szCs w:val="24"/>
        </w:rPr>
        <w:t xml:space="preserve">, B. (2023). STEM education advancements in Nigeria: A comprehensive review. </w:t>
      </w:r>
      <w:r w:rsidRPr="00411A15">
        <w:rPr>
          <w:rStyle w:val="Emphasis"/>
          <w:rFonts w:ascii="Times New Roman" w:hAnsi="Times New Roman" w:cs="Times New Roman"/>
          <w:sz w:val="24"/>
          <w:szCs w:val="24"/>
        </w:rPr>
        <w:t>International Journal of Applied Research in Social Sciences</w:t>
      </w:r>
      <w:r w:rsidRPr="00411A15">
        <w:rPr>
          <w:rFonts w:ascii="Times New Roman" w:hAnsi="Times New Roman" w:cs="Times New Roman"/>
          <w:sz w:val="24"/>
          <w:szCs w:val="24"/>
        </w:rPr>
        <w:t xml:space="preserve">, </w:t>
      </w:r>
      <w:r w:rsidRPr="00411A15">
        <w:rPr>
          <w:rStyle w:val="Emphasis"/>
          <w:rFonts w:ascii="Times New Roman" w:hAnsi="Times New Roman" w:cs="Times New Roman"/>
          <w:sz w:val="24"/>
          <w:szCs w:val="24"/>
        </w:rPr>
        <w:t>5</w:t>
      </w:r>
      <w:r w:rsidRPr="00411A15">
        <w:rPr>
          <w:rFonts w:ascii="Times New Roman" w:hAnsi="Times New Roman" w:cs="Times New Roman"/>
          <w:sz w:val="24"/>
          <w:szCs w:val="24"/>
        </w:rPr>
        <w:t>(10), 614–636. https://doi.org/10.51594/ijarss.v5i10.724</w:t>
      </w:r>
    </w:p>
    <w:p w14:paraId="76305121" w14:textId="77777777" w:rsidR="00411A15" w:rsidRPr="00411A15" w:rsidRDefault="00411A15" w:rsidP="00411A15">
      <w:pPr>
        <w:pStyle w:val="Default"/>
        <w:spacing w:after="160"/>
        <w:ind w:left="720" w:hanging="720"/>
        <w:jc w:val="both"/>
        <w:rPr>
          <w:color w:val="0462C1"/>
        </w:rPr>
      </w:pPr>
      <w:r w:rsidRPr="00411A15">
        <w:t xml:space="preserve">Dare, E., </w:t>
      </w:r>
      <w:proofErr w:type="spellStart"/>
      <w:r w:rsidRPr="00411A15">
        <w:t>Keratithamkul</w:t>
      </w:r>
      <w:proofErr w:type="spellEnd"/>
      <w:r w:rsidRPr="00411A15">
        <w:t>, K., Hiwatig, B. M., &amp; Li, F. (2021). Beyond content: the role of STEM disciplines, real-world problems, 21st century skills</w:t>
      </w:r>
      <w:r w:rsidR="00997A24">
        <w:t xml:space="preserve"> and</w:t>
      </w:r>
      <w:r w:rsidRPr="00411A15">
        <w:t xml:space="preserve"> STEM careers within science teachers’ conceptions of integrated STEM education. </w:t>
      </w:r>
      <w:r w:rsidRPr="00411A15">
        <w:rPr>
          <w:i/>
          <w:iCs/>
        </w:rPr>
        <w:t>Education Sciences, 11</w:t>
      </w:r>
      <w:r w:rsidRPr="00411A15">
        <w:t xml:space="preserve">(11), 737. </w:t>
      </w:r>
      <w:r w:rsidRPr="00411A15">
        <w:rPr>
          <w:color w:val="0462C1"/>
        </w:rPr>
        <w:t xml:space="preserve">https://doi.org/10.3390/educsci11110737 </w:t>
      </w:r>
    </w:p>
    <w:p w14:paraId="36A55873" w14:textId="77777777" w:rsidR="00411A15" w:rsidRPr="00411A15" w:rsidRDefault="00411A15" w:rsidP="00411A15">
      <w:pPr>
        <w:spacing w:line="240" w:lineRule="auto"/>
        <w:ind w:left="720" w:hanging="720"/>
        <w:jc w:val="both"/>
        <w:rPr>
          <w:rFonts w:ascii="Times New Roman" w:hAnsi="Times New Roman" w:cs="Times New Roman"/>
          <w:color w:val="333333"/>
          <w:sz w:val="24"/>
          <w:szCs w:val="24"/>
          <w:shd w:val="clear" w:color="auto" w:fill="FCFCFC"/>
        </w:rPr>
      </w:pPr>
      <w:r w:rsidRPr="00411A15">
        <w:rPr>
          <w:rFonts w:ascii="Times New Roman" w:hAnsi="Times New Roman" w:cs="Times New Roman"/>
          <w:color w:val="333333"/>
          <w:sz w:val="24"/>
          <w:szCs w:val="24"/>
          <w:shd w:val="clear" w:color="auto" w:fill="FCFCFC"/>
        </w:rPr>
        <w:t xml:space="preserve">Egert, F., </w:t>
      </w:r>
      <w:proofErr w:type="spellStart"/>
      <w:r w:rsidRPr="00411A15">
        <w:rPr>
          <w:rFonts w:ascii="Times New Roman" w:hAnsi="Times New Roman" w:cs="Times New Roman"/>
          <w:color w:val="333333"/>
          <w:sz w:val="24"/>
          <w:szCs w:val="24"/>
          <w:shd w:val="clear" w:color="auto" w:fill="FCFCFC"/>
        </w:rPr>
        <w:t>Fukkink</w:t>
      </w:r>
      <w:proofErr w:type="spellEnd"/>
      <w:r w:rsidRPr="00411A15">
        <w:rPr>
          <w:rFonts w:ascii="Times New Roman" w:hAnsi="Times New Roman" w:cs="Times New Roman"/>
          <w:color w:val="333333"/>
          <w:sz w:val="24"/>
          <w:szCs w:val="24"/>
          <w:shd w:val="clear" w:color="auto" w:fill="FCFCFC"/>
        </w:rPr>
        <w:t>, R. G., &amp; Eckhardt, A. G. (2018). Impact of in-service professional development programs for early childhood teachers on quality ratings and child outcomes: A meta-analysis. </w:t>
      </w:r>
      <w:r w:rsidRPr="00411A15">
        <w:rPr>
          <w:rFonts w:ascii="Times New Roman" w:hAnsi="Times New Roman" w:cs="Times New Roman"/>
          <w:i/>
          <w:iCs/>
          <w:color w:val="333333"/>
          <w:sz w:val="24"/>
          <w:szCs w:val="24"/>
          <w:shd w:val="clear" w:color="auto" w:fill="FCFCFC"/>
        </w:rPr>
        <w:t>Review of Educational Research, 88</w:t>
      </w:r>
      <w:r w:rsidRPr="00411A15">
        <w:rPr>
          <w:rFonts w:ascii="Times New Roman" w:hAnsi="Times New Roman" w:cs="Times New Roman"/>
          <w:color w:val="333333"/>
          <w:sz w:val="24"/>
          <w:szCs w:val="24"/>
          <w:shd w:val="clear" w:color="auto" w:fill="FCFCFC"/>
        </w:rPr>
        <w:t>(3), 401–433. </w:t>
      </w:r>
      <w:hyperlink r:id="rId7" w:history="1">
        <w:r w:rsidRPr="00411A15">
          <w:rPr>
            <w:rStyle w:val="Hyperlink"/>
            <w:rFonts w:ascii="Times New Roman" w:hAnsi="Times New Roman" w:cs="Times New Roman"/>
            <w:color w:val="004B83"/>
            <w:sz w:val="24"/>
            <w:szCs w:val="24"/>
            <w:shd w:val="clear" w:color="auto" w:fill="FCFCFC"/>
          </w:rPr>
          <w:t>https://doi.org/10.3102/0034654317751918</w:t>
        </w:r>
      </w:hyperlink>
      <w:r w:rsidRPr="00411A15">
        <w:rPr>
          <w:rFonts w:ascii="Times New Roman" w:hAnsi="Times New Roman" w:cs="Times New Roman"/>
          <w:color w:val="333333"/>
          <w:sz w:val="24"/>
          <w:szCs w:val="24"/>
          <w:shd w:val="clear" w:color="auto" w:fill="FCFCFC"/>
        </w:rPr>
        <w:t>.</w:t>
      </w:r>
    </w:p>
    <w:p w14:paraId="003EF831" w14:textId="77777777" w:rsidR="00411A15" w:rsidRPr="00411A15" w:rsidRDefault="00411A15" w:rsidP="00411A15">
      <w:pPr>
        <w:spacing w:line="240" w:lineRule="auto"/>
        <w:ind w:left="720" w:hanging="720"/>
        <w:jc w:val="both"/>
        <w:rPr>
          <w:rFonts w:ascii="Times New Roman" w:hAnsi="Times New Roman" w:cs="Times New Roman"/>
          <w:sz w:val="24"/>
          <w:szCs w:val="24"/>
        </w:rPr>
      </w:pPr>
      <w:proofErr w:type="spellStart"/>
      <w:r w:rsidRPr="00411A15">
        <w:rPr>
          <w:rFonts w:ascii="Times New Roman" w:hAnsi="Times New Roman" w:cs="Times New Roman"/>
          <w:sz w:val="24"/>
          <w:szCs w:val="24"/>
        </w:rPr>
        <w:t>Etikan</w:t>
      </w:r>
      <w:proofErr w:type="spellEnd"/>
      <w:r w:rsidRPr="00411A15">
        <w:rPr>
          <w:rFonts w:ascii="Times New Roman" w:hAnsi="Times New Roman" w:cs="Times New Roman"/>
          <w:sz w:val="24"/>
          <w:szCs w:val="24"/>
        </w:rPr>
        <w:t xml:space="preserve">, I., Musa, S. A., &amp; </w:t>
      </w:r>
      <w:proofErr w:type="spellStart"/>
      <w:r w:rsidRPr="00411A15">
        <w:rPr>
          <w:rFonts w:ascii="Times New Roman" w:hAnsi="Times New Roman" w:cs="Times New Roman"/>
          <w:sz w:val="24"/>
          <w:szCs w:val="24"/>
        </w:rPr>
        <w:t>Alkassim</w:t>
      </w:r>
      <w:proofErr w:type="spellEnd"/>
      <w:r w:rsidRPr="00411A15">
        <w:rPr>
          <w:rFonts w:ascii="Times New Roman" w:hAnsi="Times New Roman" w:cs="Times New Roman"/>
          <w:sz w:val="24"/>
          <w:szCs w:val="24"/>
        </w:rPr>
        <w:t>, R. S. (2016). Comparison of convenience sampling and purposive sampling. American Journal of Theoretical and Applied Statistics, 5(1), 1-4. https://doi.org/10.11648/j.ajtas.20160501.11</w:t>
      </w:r>
    </w:p>
    <w:p w14:paraId="0AC41D10" w14:textId="77777777" w:rsidR="00411A15" w:rsidRPr="00411A15" w:rsidRDefault="00411A15" w:rsidP="00411A15">
      <w:pPr>
        <w:spacing w:line="240" w:lineRule="auto"/>
        <w:ind w:left="720" w:hanging="720"/>
        <w:jc w:val="both"/>
        <w:rPr>
          <w:rFonts w:ascii="Times New Roman" w:hAnsi="Times New Roman" w:cs="Times New Roman"/>
          <w:sz w:val="24"/>
          <w:szCs w:val="24"/>
        </w:rPr>
      </w:pPr>
      <w:r w:rsidRPr="00411A15">
        <w:rPr>
          <w:rFonts w:ascii="Times New Roman" w:hAnsi="Times New Roman" w:cs="Times New Roman"/>
          <w:sz w:val="24"/>
          <w:szCs w:val="24"/>
        </w:rPr>
        <w:t>Gardner, K., Glassmeyer, D., &amp; Worthy, R. (2019). Impacts of STEM professional development on teachers' knowledge, self-efficacy</w:t>
      </w:r>
      <w:r w:rsidR="00997A24">
        <w:rPr>
          <w:rFonts w:ascii="Times New Roman" w:hAnsi="Times New Roman" w:cs="Times New Roman"/>
          <w:sz w:val="24"/>
          <w:szCs w:val="24"/>
        </w:rPr>
        <w:t xml:space="preserve"> and</w:t>
      </w:r>
      <w:r w:rsidRPr="00411A15">
        <w:rPr>
          <w:rFonts w:ascii="Times New Roman" w:hAnsi="Times New Roman" w:cs="Times New Roman"/>
          <w:sz w:val="24"/>
          <w:szCs w:val="24"/>
        </w:rPr>
        <w:t xml:space="preserve"> practice. </w:t>
      </w:r>
      <w:r w:rsidRPr="00411A15">
        <w:rPr>
          <w:rStyle w:val="Emphasis"/>
          <w:rFonts w:ascii="Times New Roman" w:hAnsi="Times New Roman" w:cs="Times New Roman"/>
          <w:sz w:val="24"/>
          <w:szCs w:val="24"/>
        </w:rPr>
        <w:t>Frontiers in Education, 4</w:t>
      </w:r>
      <w:r w:rsidRPr="00411A15">
        <w:rPr>
          <w:rFonts w:ascii="Times New Roman" w:hAnsi="Times New Roman" w:cs="Times New Roman"/>
          <w:sz w:val="24"/>
          <w:szCs w:val="24"/>
        </w:rPr>
        <w:t xml:space="preserve">, Article 26. </w:t>
      </w:r>
      <w:hyperlink r:id="rId8" w:tgtFrame="_new" w:history="1">
        <w:r w:rsidRPr="00411A15">
          <w:rPr>
            <w:rStyle w:val="Hyperlink"/>
            <w:rFonts w:ascii="Times New Roman" w:hAnsi="Times New Roman" w:cs="Times New Roman"/>
            <w:sz w:val="24"/>
            <w:szCs w:val="24"/>
          </w:rPr>
          <w:t>https://doi.org/10.3389/feduc.2019.00026</w:t>
        </w:r>
      </w:hyperlink>
    </w:p>
    <w:p w14:paraId="209B9734" w14:textId="77777777" w:rsidR="00411A15" w:rsidRPr="00411A15" w:rsidRDefault="00411A15" w:rsidP="00411A15">
      <w:pPr>
        <w:spacing w:line="240" w:lineRule="auto"/>
        <w:ind w:left="720" w:hanging="720"/>
        <w:jc w:val="both"/>
        <w:rPr>
          <w:rFonts w:ascii="Times New Roman" w:hAnsi="Times New Roman" w:cs="Times New Roman"/>
          <w:sz w:val="24"/>
          <w:szCs w:val="24"/>
        </w:rPr>
      </w:pPr>
      <w:r w:rsidRPr="00411A15">
        <w:rPr>
          <w:rFonts w:ascii="Times New Roman" w:hAnsi="Times New Roman" w:cs="Times New Roman"/>
          <w:sz w:val="24"/>
          <w:szCs w:val="24"/>
        </w:rPr>
        <w:t xml:space="preserve">Ikechukwu, E.C. (2015). Towards a pragmatic system of education: a comparative study of Nigeria 6-3-3-4 And Chinese 9-3-4 System. </w:t>
      </w:r>
      <w:r w:rsidRPr="00411A15">
        <w:rPr>
          <w:rFonts w:ascii="Times New Roman" w:hAnsi="Times New Roman" w:cs="Times New Roman"/>
          <w:i/>
          <w:iCs/>
          <w:sz w:val="24"/>
          <w:szCs w:val="24"/>
        </w:rPr>
        <w:t>International Journal of Education and Research</w:t>
      </w:r>
      <w:r w:rsidRPr="00411A15">
        <w:rPr>
          <w:rFonts w:ascii="Times New Roman" w:hAnsi="Times New Roman" w:cs="Times New Roman"/>
          <w:sz w:val="24"/>
          <w:szCs w:val="24"/>
        </w:rPr>
        <w:t xml:space="preserve">, </w:t>
      </w:r>
      <w:r w:rsidRPr="00411A15">
        <w:rPr>
          <w:rFonts w:ascii="Times New Roman" w:hAnsi="Times New Roman" w:cs="Times New Roman"/>
          <w:i/>
          <w:iCs/>
          <w:sz w:val="24"/>
          <w:szCs w:val="24"/>
        </w:rPr>
        <w:t>3</w:t>
      </w:r>
      <w:r w:rsidRPr="00411A15">
        <w:rPr>
          <w:rFonts w:ascii="Times New Roman" w:hAnsi="Times New Roman" w:cs="Times New Roman"/>
          <w:sz w:val="24"/>
          <w:szCs w:val="24"/>
        </w:rPr>
        <w:t>(5), 79-88.</w:t>
      </w:r>
    </w:p>
    <w:p w14:paraId="0C046413" w14:textId="77777777" w:rsidR="00411A15" w:rsidRPr="00411A15" w:rsidRDefault="00411A15" w:rsidP="00411A15">
      <w:pPr>
        <w:spacing w:line="240" w:lineRule="auto"/>
        <w:ind w:left="720" w:hanging="720"/>
        <w:jc w:val="both"/>
        <w:rPr>
          <w:rFonts w:ascii="Times New Roman" w:hAnsi="Times New Roman" w:cs="Times New Roman"/>
          <w:sz w:val="24"/>
          <w:szCs w:val="24"/>
        </w:rPr>
      </w:pPr>
      <w:r w:rsidRPr="00411A15">
        <w:rPr>
          <w:rFonts w:ascii="Times New Roman" w:hAnsi="Times New Roman" w:cs="Times New Roman"/>
          <w:sz w:val="24"/>
          <w:szCs w:val="24"/>
        </w:rPr>
        <w:t xml:space="preserve">Joseph, O. B., &amp; Nwankwo, C. U. (2024). Professional development for STEM educators: Enhancing teaching effectiveness through continuous learning. </w:t>
      </w:r>
      <w:r w:rsidRPr="00411A15">
        <w:rPr>
          <w:rStyle w:val="Emphasis"/>
          <w:rFonts w:ascii="Times New Roman" w:hAnsi="Times New Roman" w:cs="Times New Roman"/>
          <w:sz w:val="24"/>
          <w:szCs w:val="24"/>
        </w:rPr>
        <w:t>International Journal of Applied Research in Social Sciences</w:t>
      </w:r>
      <w:r w:rsidRPr="00411A15">
        <w:rPr>
          <w:rFonts w:ascii="Times New Roman" w:hAnsi="Times New Roman" w:cs="Times New Roman"/>
          <w:sz w:val="24"/>
          <w:szCs w:val="24"/>
        </w:rPr>
        <w:t xml:space="preserve">, </w:t>
      </w:r>
      <w:r w:rsidRPr="00411A15">
        <w:rPr>
          <w:rStyle w:val="Emphasis"/>
          <w:rFonts w:ascii="Times New Roman" w:hAnsi="Times New Roman" w:cs="Times New Roman"/>
          <w:sz w:val="24"/>
          <w:szCs w:val="24"/>
        </w:rPr>
        <w:t>6</w:t>
      </w:r>
      <w:r w:rsidRPr="00411A15">
        <w:rPr>
          <w:rFonts w:ascii="Times New Roman" w:hAnsi="Times New Roman" w:cs="Times New Roman"/>
          <w:sz w:val="24"/>
          <w:szCs w:val="24"/>
        </w:rPr>
        <w:t>(8), 1557–1574. https://doi.org/10.51594/ijarss.v6i8.1370</w:t>
      </w:r>
    </w:p>
    <w:p w14:paraId="1F7FEE5B" w14:textId="77777777" w:rsidR="00411A15" w:rsidRPr="00411A15" w:rsidRDefault="00411A15" w:rsidP="00411A15">
      <w:pPr>
        <w:spacing w:line="240" w:lineRule="auto"/>
        <w:ind w:left="720" w:hanging="720"/>
        <w:jc w:val="both"/>
        <w:rPr>
          <w:rFonts w:ascii="Times New Roman" w:hAnsi="Times New Roman" w:cs="Times New Roman"/>
          <w:sz w:val="24"/>
          <w:szCs w:val="24"/>
        </w:rPr>
      </w:pPr>
      <w:proofErr w:type="spellStart"/>
      <w:r w:rsidRPr="00411A15">
        <w:rPr>
          <w:rFonts w:ascii="Times New Roman" w:hAnsi="Times New Roman" w:cs="Times New Roman"/>
          <w:sz w:val="24"/>
          <w:szCs w:val="24"/>
        </w:rPr>
        <w:lastRenderedPageBreak/>
        <w:t>Mohajan</w:t>
      </w:r>
      <w:proofErr w:type="spellEnd"/>
      <w:r w:rsidRPr="00411A15">
        <w:rPr>
          <w:rFonts w:ascii="Times New Roman" w:hAnsi="Times New Roman" w:cs="Times New Roman"/>
          <w:sz w:val="24"/>
          <w:szCs w:val="24"/>
        </w:rPr>
        <w:t xml:space="preserve">, H. K. (2020). Quantitative research: A successful investigation in natural and social sciences. Journal of Economic Development, Environment and People, 9(4), 50–79. https://doi.org/10.26458/jedep.v9i4.679 </w:t>
      </w:r>
    </w:p>
    <w:p w14:paraId="09E7D2CB" w14:textId="77777777" w:rsidR="00411A15" w:rsidRPr="00411A15" w:rsidRDefault="00411A15" w:rsidP="00411A15">
      <w:pPr>
        <w:spacing w:line="240" w:lineRule="auto"/>
        <w:ind w:left="720" w:hanging="720"/>
        <w:jc w:val="both"/>
        <w:rPr>
          <w:rFonts w:ascii="Times New Roman" w:hAnsi="Times New Roman" w:cs="Times New Roman"/>
          <w:sz w:val="24"/>
          <w:szCs w:val="24"/>
        </w:rPr>
      </w:pPr>
      <w:r w:rsidRPr="00411A15">
        <w:rPr>
          <w:rFonts w:ascii="Times New Roman" w:hAnsi="Times New Roman" w:cs="Times New Roman"/>
          <w:sz w:val="24"/>
          <w:szCs w:val="24"/>
        </w:rPr>
        <w:t>Okojie, J. A. (2018). Addressing educational inequality in Nigeria: A case for policy attention. International Journal of Educational Administration and Policy Studies, 10(5), 76-84</w:t>
      </w:r>
    </w:p>
    <w:p w14:paraId="1D8E7AA5" w14:textId="77777777" w:rsidR="00411A15" w:rsidRPr="00411A15" w:rsidRDefault="00411A15" w:rsidP="00411A15">
      <w:pPr>
        <w:spacing w:line="240" w:lineRule="auto"/>
        <w:ind w:left="720" w:hanging="720"/>
        <w:jc w:val="both"/>
        <w:rPr>
          <w:rFonts w:ascii="Times New Roman" w:hAnsi="Times New Roman" w:cs="Times New Roman"/>
          <w:sz w:val="24"/>
          <w:szCs w:val="24"/>
        </w:rPr>
      </w:pPr>
      <w:r w:rsidRPr="00411A15">
        <w:rPr>
          <w:rFonts w:ascii="Times New Roman" w:hAnsi="Times New Roman" w:cs="Times New Roman"/>
          <w:sz w:val="24"/>
          <w:szCs w:val="24"/>
        </w:rPr>
        <w:t xml:space="preserve">Rahman, T. F. A., Zakariah, Z. B., Anuar, N. B., Noh, Z. B., &amp; Abdul Razak, N. B. (2025). The impact of STEM activities on students’ knowledge and project development skills. </w:t>
      </w:r>
      <w:r w:rsidRPr="00411A15">
        <w:rPr>
          <w:rStyle w:val="Emphasis"/>
          <w:rFonts w:ascii="Times New Roman" w:hAnsi="Times New Roman" w:cs="Times New Roman"/>
          <w:sz w:val="24"/>
          <w:szCs w:val="24"/>
        </w:rPr>
        <w:t>International Journal of Research and Innovation in Social Science (IJRISS), 9</w:t>
      </w:r>
      <w:r w:rsidRPr="00411A15">
        <w:rPr>
          <w:rFonts w:ascii="Times New Roman" w:hAnsi="Times New Roman" w:cs="Times New Roman"/>
          <w:sz w:val="24"/>
          <w:szCs w:val="24"/>
        </w:rPr>
        <w:t>(1), 3172. https://doi.org/10.47772/IJRISS</w:t>
      </w:r>
    </w:p>
    <w:p w14:paraId="7E03D34F" w14:textId="77777777" w:rsidR="00411A15" w:rsidRPr="00411A15" w:rsidRDefault="00411A15" w:rsidP="00411A15">
      <w:pPr>
        <w:spacing w:line="240" w:lineRule="auto"/>
        <w:ind w:left="720" w:hanging="720"/>
        <w:jc w:val="both"/>
        <w:rPr>
          <w:rFonts w:ascii="Times New Roman" w:hAnsi="Times New Roman" w:cs="Times New Roman"/>
          <w:sz w:val="24"/>
          <w:szCs w:val="24"/>
        </w:rPr>
      </w:pPr>
      <w:r w:rsidRPr="00411A15">
        <w:rPr>
          <w:rFonts w:ascii="Times New Roman" w:hAnsi="Times New Roman" w:cs="Times New Roman"/>
          <w:sz w:val="24"/>
          <w:szCs w:val="24"/>
        </w:rPr>
        <w:t xml:space="preserve">Taiwo, O.A., </w:t>
      </w:r>
      <w:proofErr w:type="spellStart"/>
      <w:r w:rsidRPr="00411A15">
        <w:rPr>
          <w:rFonts w:ascii="Times New Roman" w:hAnsi="Times New Roman" w:cs="Times New Roman"/>
          <w:sz w:val="24"/>
          <w:szCs w:val="24"/>
        </w:rPr>
        <w:t>Gbemiga</w:t>
      </w:r>
      <w:proofErr w:type="spellEnd"/>
      <w:r w:rsidRPr="00411A15">
        <w:rPr>
          <w:rFonts w:ascii="Times New Roman" w:hAnsi="Times New Roman" w:cs="Times New Roman"/>
          <w:sz w:val="24"/>
          <w:szCs w:val="24"/>
        </w:rPr>
        <w:t xml:space="preserve">, A.J., &amp; Oladimeji, O.G. (2022). Skills acquisition in Science, Technology, Engineering and Mathematics (STEM) education and graduates profitability in Kwara State, Nigeria. </w:t>
      </w:r>
      <w:r w:rsidRPr="00411A15">
        <w:rPr>
          <w:rFonts w:ascii="Times New Roman" w:hAnsi="Times New Roman" w:cs="Times New Roman"/>
          <w:i/>
          <w:iCs/>
          <w:sz w:val="24"/>
          <w:szCs w:val="24"/>
        </w:rPr>
        <w:t>International Journal of Educational Policy Research and Review</w:t>
      </w:r>
      <w:r w:rsidRPr="00411A15">
        <w:rPr>
          <w:rFonts w:ascii="Times New Roman" w:hAnsi="Times New Roman" w:cs="Times New Roman"/>
          <w:sz w:val="24"/>
          <w:szCs w:val="24"/>
        </w:rPr>
        <w:t xml:space="preserve">, </w:t>
      </w:r>
      <w:r w:rsidRPr="00411A15">
        <w:rPr>
          <w:rFonts w:ascii="Times New Roman" w:hAnsi="Times New Roman" w:cs="Times New Roman"/>
          <w:i/>
          <w:iCs/>
          <w:sz w:val="24"/>
          <w:szCs w:val="24"/>
        </w:rPr>
        <w:t>9</w:t>
      </w:r>
      <w:r w:rsidRPr="00411A15">
        <w:rPr>
          <w:rFonts w:ascii="Times New Roman" w:hAnsi="Times New Roman" w:cs="Times New Roman"/>
          <w:sz w:val="24"/>
          <w:szCs w:val="24"/>
        </w:rPr>
        <w:t xml:space="preserve">(2), 41. </w:t>
      </w:r>
      <w:r w:rsidRPr="00411A15">
        <w:rPr>
          <w:rFonts w:ascii="Times New Roman" w:hAnsi="Times New Roman" w:cs="Times New Roman"/>
          <w:color w:val="0462C1"/>
          <w:sz w:val="24"/>
          <w:szCs w:val="24"/>
        </w:rPr>
        <w:t>DOI: 10.15739/ijeprr.22.004</w:t>
      </w:r>
    </w:p>
    <w:p w14:paraId="73CE6B34" w14:textId="77777777" w:rsidR="00411A15" w:rsidRPr="00411A15" w:rsidRDefault="00411A15" w:rsidP="00411A15">
      <w:pPr>
        <w:spacing w:line="240" w:lineRule="auto"/>
        <w:ind w:left="720" w:hanging="720"/>
        <w:jc w:val="both"/>
        <w:rPr>
          <w:rFonts w:ascii="Times New Roman" w:hAnsi="Times New Roman" w:cs="Times New Roman"/>
          <w:b/>
          <w:sz w:val="24"/>
          <w:szCs w:val="24"/>
        </w:rPr>
      </w:pPr>
      <w:proofErr w:type="spellStart"/>
      <w:r w:rsidRPr="00411A15">
        <w:rPr>
          <w:rFonts w:ascii="Times New Roman" w:hAnsi="Times New Roman" w:cs="Times New Roman"/>
          <w:sz w:val="24"/>
          <w:szCs w:val="24"/>
        </w:rPr>
        <w:t>Ubawuike</w:t>
      </w:r>
      <w:proofErr w:type="spellEnd"/>
      <w:r w:rsidRPr="00411A15">
        <w:rPr>
          <w:rFonts w:ascii="Times New Roman" w:hAnsi="Times New Roman" w:cs="Times New Roman"/>
          <w:sz w:val="24"/>
          <w:szCs w:val="24"/>
        </w:rPr>
        <w:t xml:space="preserve">, A. B. (2018). Science, technology, engineering and mathematics (STEM) education: A catalyst for entrepreneurship and economic growth in Nigeria. </w:t>
      </w:r>
      <w:r w:rsidRPr="00411A15">
        <w:rPr>
          <w:rStyle w:val="Emphasis"/>
          <w:rFonts w:ascii="Times New Roman" w:hAnsi="Times New Roman" w:cs="Times New Roman"/>
          <w:sz w:val="24"/>
          <w:szCs w:val="24"/>
        </w:rPr>
        <w:t>International Journal of Education, Learning and Development</w:t>
      </w:r>
      <w:r w:rsidRPr="00411A15">
        <w:rPr>
          <w:rFonts w:ascii="Times New Roman" w:hAnsi="Times New Roman" w:cs="Times New Roman"/>
          <w:sz w:val="24"/>
          <w:szCs w:val="24"/>
        </w:rPr>
        <w:t xml:space="preserve">, </w:t>
      </w:r>
      <w:r w:rsidRPr="00411A15">
        <w:rPr>
          <w:rStyle w:val="Emphasis"/>
          <w:rFonts w:ascii="Times New Roman" w:hAnsi="Times New Roman" w:cs="Times New Roman"/>
          <w:sz w:val="24"/>
          <w:szCs w:val="24"/>
        </w:rPr>
        <w:t>7</w:t>
      </w:r>
      <w:r w:rsidRPr="00411A15">
        <w:rPr>
          <w:rFonts w:ascii="Times New Roman" w:hAnsi="Times New Roman" w:cs="Times New Roman"/>
          <w:sz w:val="24"/>
          <w:szCs w:val="24"/>
        </w:rPr>
        <w:t xml:space="preserve">(1), 1–11. European Centre for Research Training and Development UK. </w:t>
      </w:r>
      <w:hyperlink r:id="rId9" w:tgtFrame="_new" w:history="1">
        <w:r w:rsidRPr="00411A15">
          <w:rPr>
            <w:rStyle w:val="Hyperlink"/>
            <w:rFonts w:ascii="Times New Roman" w:hAnsi="Times New Roman" w:cs="Times New Roman"/>
            <w:sz w:val="24"/>
            <w:szCs w:val="24"/>
          </w:rPr>
          <w:t>https://www.eajournals.org</w:t>
        </w:r>
      </w:hyperlink>
    </w:p>
    <w:p w14:paraId="50F3A8E5" w14:textId="77777777" w:rsidR="00411A15" w:rsidRPr="00411A15" w:rsidRDefault="00411A15" w:rsidP="00411A15">
      <w:pPr>
        <w:spacing w:line="240" w:lineRule="auto"/>
        <w:ind w:left="720" w:hanging="720"/>
        <w:jc w:val="both"/>
        <w:rPr>
          <w:rFonts w:ascii="Times New Roman" w:hAnsi="Times New Roman" w:cs="Times New Roman"/>
          <w:sz w:val="24"/>
          <w:szCs w:val="24"/>
        </w:rPr>
      </w:pPr>
      <w:r w:rsidRPr="00411A15">
        <w:rPr>
          <w:rFonts w:ascii="Times New Roman" w:hAnsi="Times New Roman" w:cs="Times New Roman"/>
          <w:sz w:val="24"/>
          <w:szCs w:val="24"/>
        </w:rPr>
        <w:t xml:space="preserve">Umar, M.O., &amp; </w:t>
      </w:r>
      <w:proofErr w:type="spellStart"/>
      <w:r w:rsidRPr="00411A15">
        <w:rPr>
          <w:rFonts w:ascii="Times New Roman" w:hAnsi="Times New Roman" w:cs="Times New Roman"/>
          <w:sz w:val="24"/>
          <w:szCs w:val="24"/>
        </w:rPr>
        <w:t>Ochigbo</w:t>
      </w:r>
      <w:proofErr w:type="spellEnd"/>
      <w:r w:rsidRPr="00411A15">
        <w:rPr>
          <w:rFonts w:ascii="Times New Roman" w:hAnsi="Times New Roman" w:cs="Times New Roman"/>
          <w:sz w:val="24"/>
          <w:szCs w:val="24"/>
        </w:rPr>
        <w:t xml:space="preserve">, A.D. (2024). Comprehensive approach to claim assessment in construction projects. </w:t>
      </w:r>
      <w:r w:rsidRPr="00411A15">
        <w:rPr>
          <w:rFonts w:ascii="Times New Roman" w:hAnsi="Times New Roman" w:cs="Times New Roman"/>
          <w:i/>
          <w:iCs/>
          <w:sz w:val="24"/>
          <w:szCs w:val="24"/>
        </w:rPr>
        <w:t>International Journal of Management &amp; Entrepreneurship Research, 6</w:t>
      </w:r>
      <w:r w:rsidRPr="00411A15">
        <w:rPr>
          <w:rFonts w:ascii="Times New Roman" w:hAnsi="Times New Roman" w:cs="Times New Roman"/>
          <w:sz w:val="24"/>
          <w:szCs w:val="24"/>
        </w:rPr>
        <w:t>(7), 2201-2225.</w:t>
      </w:r>
    </w:p>
    <w:p w14:paraId="2EA32E89" w14:textId="77777777" w:rsidR="00411A15" w:rsidRPr="00411A15" w:rsidRDefault="00411A15" w:rsidP="00411A15">
      <w:pPr>
        <w:spacing w:beforeAutospacing="1" w:line="240" w:lineRule="auto"/>
        <w:ind w:left="720" w:hanging="720"/>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Uzodinma, U. E., Njoku, O. C., &amp; Ejiofor, J. N. (2024). Assessing the impact of technology integration in enhancing learning outcomes on childhood and primary education in Nigeria: A case study of Hill Crest Preparatory and Primary School, Nsukka. </w:t>
      </w:r>
      <w:r w:rsidRPr="00411A15">
        <w:rPr>
          <w:rFonts w:ascii="Times New Roman" w:eastAsia="Times New Roman" w:hAnsi="Times New Roman" w:cs="Times New Roman"/>
          <w:i/>
          <w:iCs/>
          <w:sz w:val="24"/>
          <w:szCs w:val="24"/>
        </w:rPr>
        <w:t>International Journal of Studies in Education</w:t>
      </w:r>
      <w:r w:rsidRPr="00411A15">
        <w:rPr>
          <w:rFonts w:ascii="Times New Roman" w:eastAsia="Times New Roman" w:hAnsi="Times New Roman" w:cs="Times New Roman"/>
          <w:sz w:val="24"/>
          <w:szCs w:val="24"/>
        </w:rPr>
        <w:t xml:space="preserve">, </w:t>
      </w:r>
      <w:r w:rsidRPr="00411A15">
        <w:rPr>
          <w:rFonts w:ascii="Times New Roman" w:eastAsia="Times New Roman" w:hAnsi="Times New Roman" w:cs="Times New Roman"/>
          <w:i/>
          <w:iCs/>
          <w:sz w:val="24"/>
          <w:szCs w:val="24"/>
        </w:rPr>
        <w:t>20</w:t>
      </w:r>
      <w:r w:rsidRPr="00411A15">
        <w:rPr>
          <w:rFonts w:ascii="Times New Roman" w:eastAsia="Times New Roman" w:hAnsi="Times New Roman" w:cs="Times New Roman"/>
          <w:sz w:val="24"/>
          <w:szCs w:val="24"/>
        </w:rPr>
        <w:t>(2), 31–41.</w:t>
      </w:r>
    </w:p>
    <w:p w14:paraId="453D1356" w14:textId="77777777" w:rsidR="00411A15" w:rsidRPr="00411A15" w:rsidRDefault="00411A15" w:rsidP="007D003C">
      <w:pPr>
        <w:spacing w:after="0" w:line="240" w:lineRule="auto"/>
        <w:jc w:val="both"/>
        <w:rPr>
          <w:rFonts w:ascii="Times New Roman" w:hAnsi="Times New Roman" w:cs="Times New Roman"/>
          <w:sz w:val="24"/>
          <w:szCs w:val="24"/>
        </w:rPr>
      </w:pPr>
    </w:p>
    <w:sectPr w:rsidR="00411A15" w:rsidRPr="00411A15" w:rsidSect="00BD0586">
      <w:headerReference w:type="even" r:id="rId10"/>
      <w:headerReference w:type="default" r:id="rId11"/>
      <w:footerReference w:type="even" r:id="rId12"/>
      <w:footerReference w:type="default" r:id="rId13"/>
      <w:headerReference w:type="first" r:id="rId14"/>
      <w:footerReference w:type="first" r:id="rId15"/>
      <w:pgSz w:w="12240" w:h="15840"/>
      <w:pgMar w:top="1247" w:right="1247"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886EF" w14:textId="77777777" w:rsidR="00AD2E58" w:rsidRDefault="00AD2E58" w:rsidP="00DE48AC">
      <w:pPr>
        <w:spacing w:after="0" w:line="240" w:lineRule="auto"/>
      </w:pPr>
      <w:r>
        <w:separator/>
      </w:r>
    </w:p>
  </w:endnote>
  <w:endnote w:type="continuationSeparator" w:id="0">
    <w:p w14:paraId="1CC19C85" w14:textId="77777777" w:rsidR="00AD2E58" w:rsidRDefault="00AD2E58" w:rsidP="00DE4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DA10" w14:textId="77777777" w:rsidR="00873D46" w:rsidRDefault="00873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33962"/>
      <w:docPartObj>
        <w:docPartGallery w:val="Page Numbers (Bottom of Page)"/>
        <w:docPartUnique/>
      </w:docPartObj>
    </w:sdtPr>
    <w:sdtEndPr>
      <w:rPr>
        <w:noProof/>
      </w:rPr>
    </w:sdtEndPr>
    <w:sdtContent>
      <w:p w14:paraId="1F18C249" w14:textId="77777777" w:rsidR="007D003C" w:rsidRDefault="007D003C">
        <w:pPr>
          <w:pStyle w:val="Footer"/>
          <w:jc w:val="center"/>
        </w:pPr>
        <w:r>
          <w:fldChar w:fldCharType="begin"/>
        </w:r>
        <w:r>
          <w:instrText xml:space="preserve"> PAGE   \* MERGEFORMAT </w:instrText>
        </w:r>
        <w:r>
          <w:fldChar w:fldCharType="separate"/>
        </w:r>
        <w:r w:rsidR="00997A24">
          <w:rPr>
            <w:noProof/>
          </w:rPr>
          <w:t>16</w:t>
        </w:r>
        <w:r>
          <w:rPr>
            <w:noProof/>
          </w:rPr>
          <w:fldChar w:fldCharType="end"/>
        </w:r>
      </w:p>
    </w:sdtContent>
  </w:sdt>
  <w:p w14:paraId="13E23620" w14:textId="77777777" w:rsidR="007D003C" w:rsidRDefault="007D0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3CE5" w14:textId="77777777" w:rsidR="00873D46" w:rsidRDefault="00873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215A3" w14:textId="77777777" w:rsidR="00AD2E58" w:rsidRDefault="00AD2E58" w:rsidP="00DE48AC">
      <w:pPr>
        <w:spacing w:after="0" w:line="240" w:lineRule="auto"/>
      </w:pPr>
      <w:r>
        <w:separator/>
      </w:r>
    </w:p>
  </w:footnote>
  <w:footnote w:type="continuationSeparator" w:id="0">
    <w:p w14:paraId="3EB27814" w14:textId="77777777" w:rsidR="00AD2E58" w:rsidRDefault="00AD2E58" w:rsidP="00DE4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FD4C" w14:textId="2F3005B0" w:rsidR="00873D46" w:rsidRDefault="00873D46">
    <w:pPr>
      <w:pStyle w:val="Header"/>
    </w:pPr>
    <w:r>
      <w:rPr>
        <w:noProof/>
      </w:rPr>
      <w:pict w14:anchorId="7D909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77797" o:spid="_x0000_s1026" type="#_x0000_t136" style="position:absolute;margin-left:0;margin-top:0;width:575.1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876B" w14:textId="39E2CB47" w:rsidR="00873D46" w:rsidRDefault="00873D46">
    <w:pPr>
      <w:pStyle w:val="Header"/>
    </w:pPr>
    <w:r>
      <w:rPr>
        <w:noProof/>
      </w:rPr>
      <w:pict w14:anchorId="0F07D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77798" o:spid="_x0000_s1027" type="#_x0000_t136" style="position:absolute;margin-left:0;margin-top:0;width:575.1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5A7A" w14:textId="6BE358B8" w:rsidR="00873D46" w:rsidRDefault="00873D46">
    <w:pPr>
      <w:pStyle w:val="Header"/>
    </w:pPr>
    <w:r>
      <w:rPr>
        <w:noProof/>
      </w:rPr>
      <w:pict w14:anchorId="6F8F6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77796" o:spid="_x0000_s1025" type="#_x0000_t136" style="position:absolute;margin-left:0;margin-top:0;width:575.1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E9B8C2C2"/>
    <w:lvl w:ilvl="0" w:tplc="B9D47B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CC0124"/>
    <w:multiLevelType w:val="hybridMultilevel"/>
    <w:tmpl w:val="7A5C8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1F02EB"/>
    <w:multiLevelType w:val="hybridMultilevel"/>
    <w:tmpl w:val="5F1C2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3666DC"/>
    <w:multiLevelType w:val="hybridMultilevel"/>
    <w:tmpl w:val="A49EC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53540F"/>
    <w:multiLevelType w:val="hybridMultilevel"/>
    <w:tmpl w:val="AED2386E"/>
    <w:lvl w:ilvl="0" w:tplc="72B89ED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4043A2"/>
    <w:multiLevelType w:val="multilevel"/>
    <w:tmpl w:val="A7969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2E434F"/>
    <w:multiLevelType w:val="multilevel"/>
    <w:tmpl w:val="0472C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2B0A7B"/>
    <w:multiLevelType w:val="hybridMultilevel"/>
    <w:tmpl w:val="7A5C8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781178">
    <w:abstractNumId w:val="4"/>
  </w:num>
  <w:num w:numId="2" w16cid:durableId="651328977">
    <w:abstractNumId w:val="3"/>
  </w:num>
  <w:num w:numId="3" w16cid:durableId="126551274">
    <w:abstractNumId w:val="7"/>
  </w:num>
  <w:num w:numId="4" w16cid:durableId="1905406099">
    <w:abstractNumId w:val="2"/>
  </w:num>
  <w:num w:numId="5" w16cid:durableId="1454713929">
    <w:abstractNumId w:val="1"/>
  </w:num>
  <w:num w:numId="6" w16cid:durableId="1203442044">
    <w:abstractNumId w:val="6"/>
  </w:num>
  <w:num w:numId="7" w16cid:durableId="1661614137">
    <w:abstractNumId w:val="5"/>
  </w:num>
  <w:num w:numId="8" w16cid:durableId="656226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D7E"/>
    <w:rsid w:val="0002349E"/>
    <w:rsid w:val="001248E6"/>
    <w:rsid w:val="00235405"/>
    <w:rsid w:val="002E032D"/>
    <w:rsid w:val="00322C76"/>
    <w:rsid w:val="003E62C3"/>
    <w:rsid w:val="00411A15"/>
    <w:rsid w:val="00446ACF"/>
    <w:rsid w:val="004A7643"/>
    <w:rsid w:val="006651DE"/>
    <w:rsid w:val="0069631E"/>
    <w:rsid w:val="006A469C"/>
    <w:rsid w:val="007D003C"/>
    <w:rsid w:val="008168C7"/>
    <w:rsid w:val="00835D65"/>
    <w:rsid w:val="00873D46"/>
    <w:rsid w:val="00891C75"/>
    <w:rsid w:val="008A7719"/>
    <w:rsid w:val="009747F6"/>
    <w:rsid w:val="00997A24"/>
    <w:rsid w:val="00A83EA0"/>
    <w:rsid w:val="00AC1F36"/>
    <w:rsid w:val="00AD2E58"/>
    <w:rsid w:val="00B82AC0"/>
    <w:rsid w:val="00BD0586"/>
    <w:rsid w:val="00C604D6"/>
    <w:rsid w:val="00CA6FEC"/>
    <w:rsid w:val="00D778AF"/>
    <w:rsid w:val="00DE48AC"/>
    <w:rsid w:val="00DE7ED7"/>
    <w:rsid w:val="00E5328F"/>
    <w:rsid w:val="00EB2D7E"/>
    <w:rsid w:val="00F61CD8"/>
    <w:rsid w:val="00FC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F49D9"/>
  <w15:chartTrackingRefBased/>
  <w15:docId w15:val="{2C7F6358-1378-4D8B-9444-2957C508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168C7"/>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8AF"/>
    <w:pPr>
      <w:ind w:left="720"/>
      <w:contextualSpacing/>
    </w:pPr>
  </w:style>
  <w:style w:type="character" w:styleId="Emphasis">
    <w:name w:val="Emphasis"/>
    <w:basedOn w:val="DefaultParagraphFont"/>
    <w:uiPriority w:val="20"/>
    <w:qFormat/>
    <w:rsid w:val="00D778AF"/>
    <w:rPr>
      <w:i/>
      <w:iCs/>
    </w:rPr>
  </w:style>
  <w:style w:type="character" w:styleId="Strong">
    <w:name w:val="Strong"/>
    <w:basedOn w:val="DefaultParagraphFont"/>
    <w:uiPriority w:val="22"/>
    <w:qFormat/>
    <w:rsid w:val="00D778AF"/>
    <w:rPr>
      <w:b/>
      <w:bCs/>
    </w:rPr>
  </w:style>
  <w:style w:type="paragraph" w:styleId="NormalWeb">
    <w:name w:val="Normal (Web)"/>
    <w:basedOn w:val="Normal"/>
    <w:uiPriority w:val="99"/>
    <w:unhideWhenUsed/>
    <w:rsid w:val="00D778A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E48A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4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8AC"/>
  </w:style>
  <w:style w:type="paragraph" w:styleId="Footer">
    <w:name w:val="footer"/>
    <w:basedOn w:val="Normal"/>
    <w:link w:val="FooterChar"/>
    <w:uiPriority w:val="99"/>
    <w:unhideWhenUsed/>
    <w:rsid w:val="00DE4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8AC"/>
  </w:style>
  <w:style w:type="character" w:customStyle="1" w:styleId="Heading3Char">
    <w:name w:val="Heading 3 Char"/>
    <w:basedOn w:val="DefaultParagraphFont"/>
    <w:link w:val="Heading3"/>
    <w:uiPriority w:val="9"/>
    <w:rsid w:val="008168C7"/>
    <w:rPr>
      <w:rFonts w:ascii="Times New Roman" w:eastAsiaTheme="minorEastAsia" w:hAnsi="Times New Roman" w:cs="Times New Roman"/>
      <w:b/>
      <w:bCs/>
      <w:sz w:val="27"/>
      <w:szCs w:val="27"/>
    </w:rPr>
  </w:style>
  <w:style w:type="character" w:customStyle="1" w:styleId="overflow-hidden">
    <w:name w:val="overflow-hidden"/>
    <w:basedOn w:val="DefaultParagraphFont"/>
    <w:rsid w:val="00C604D6"/>
  </w:style>
  <w:style w:type="character" w:styleId="Hyperlink">
    <w:name w:val="Hyperlink"/>
    <w:basedOn w:val="DefaultParagraphFont"/>
    <w:uiPriority w:val="99"/>
    <w:unhideWhenUsed/>
    <w:rsid w:val="00CA6FEC"/>
    <w:rPr>
      <w:color w:val="0563C1" w:themeColor="hyperlink"/>
      <w:u w:val="single"/>
    </w:rPr>
  </w:style>
  <w:style w:type="paragraph" w:customStyle="1" w:styleId="Default">
    <w:name w:val="Default"/>
    <w:rsid w:val="007D003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C1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96693">
      <w:bodyDiv w:val="1"/>
      <w:marLeft w:val="0"/>
      <w:marRight w:val="0"/>
      <w:marTop w:val="0"/>
      <w:marBottom w:val="0"/>
      <w:divBdr>
        <w:top w:val="none" w:sz="0" w:space="0" w:color="auto"/>
        <w:left w:val="none" w:sz="0" w:space="0" w:color="auto"/>
        <w:bottom w:val="none" w:sz="0" w:space="0" w:color="auto"/>
        <w:right w:val="none" w:sz="0" w:space="0" w:color="auto"/>
      </w:divBdr>
    </w:div>
    <w:div w:id="135495534">
      <w:bodyDiv w:val="1"/>
      <w:marLeft w:val="0"/>
      <w:marRight w:val="0"/>
      <w:marTop w:val="0"/>
      <w:marBottom w:val="0"/>
      <w:divBdr>
        <w:top w:val="none" w:sz="0" w:space="0" w:color="auto"/>
        <w:left w:val="none" w:sz="0" w:space="0" w:color="auto"/>
        <w:bottom w:val="none" w:sz="0" w:space="0" w:color="auto"/>
        <w:right w:val="none" w:sz="0" w:space="0" w:color="auto"/>
      </w:divBdr>
    </w:div>
    <w:div w:id="365637384">
      <w:bodyDiv w:val="1"/>
      <w:marLeft w:val="0"/>
      <w:marRight w:val="0"/>
      <w:marTop w:val="0"/>
      <w:marBottom w:val="0"/>
      <w:divBdr>
        <w:top w:val="none" w:sz="0" w:space="0" w:color="auto"/>
        <w:left w:val="none" w:sz="0" w:space="0" w:color="auto"/>
        <w:bottom w:val="none" w:sz="0" w:space="0" w:color="auto"/>
        <w:right w:val="none" w:sz="0" w:space="0" w:color="auto"/>
      </w:divBdr>
    </w:div>
    <w:div w:id="734548527">
      <w:bodyDiv w:val="1"/>
      <w:marLeft w:val="0"/>
      <w:marRight w:val="0"/>
      <w:marTop w:val="0"/>
      <w:marBottom w:val="0"/>
      <w:divBdr>
        <w:top w:val="none" w:sz="0" w:space="0" w:color="auto"/>
        <w:left w:val="none" w:sz="0" w:space="0" w:color="auto"/>
        <w:bottom w:val="none" w:sz="0" w:space="0" w:color="auto"/>
        <w:right w:val="none" w:sz="0" w:space="0" w:color="auto"/>
      </w:divBdr>
    </w:div>
    <w:div w:id="802389338">
      <w:bodyDiv w:val="1"/>
      <w:marLeft w:val="0"/>
      <w:marRight w:val="0"/>
      <w:marTop w:val="0"/>
      <w:marBottom w:val="0"/>
      <w:divBdr>
        <w:top w:val="none" w:sz="0" w:space="0" w:color="auto"/>
        <w:left w:val="none" w:sz="0" w:space="0" w:color="auto"/>
        <w:bottom w:val="none" w:sz="0" w:space="0" w:color="auto"/>
        <w:right w:val="none" w:sz="0" w:space="0" w:color="auto"/>
      </w:divBdr>
    </w:div>
    <w:div w:id="822967172">
      <w:bodyDiv w:val="1"/>
      <w:marLeft w:val="0"/>
      <w:marRight w:val="0"/>
      <w:marTop w:val="0"/>
      <w:marBottom w:val="0"/>
      <w:divBdr>
        <w:top w:val="none" w:sz="0" w:space="0" w:color="auto"/>
        <w:left w:val="none" w:sz="0" w:space="0" w:color="auto"/>
        <w:bottom w:val="none" w:sz="0" w:space="0" w:color="auto"/>
        <w:right w:val="none" w:sz="0" w:space="0" w:color="auto"/>
      </w:divBdr>
    </w:div>
    <w:div w:id="1011764365">
      <w:bodyDiv w:val="1"/>
      <w:marLeft w:val="0"/>
      <w:marRight w:val="0"/>
      <w:marTop w:val="0"/>
      <w:marBottom w:val="0"/>
      <w:divBdr>
        <w:top w:val="none" w:sz="0" w:space="0" w:color="auto"/>
        <w:left w:val="none" w:sz="0" w:space="0" w:color="auto"/>
        <w:bottom w:val="none" w:sz="0" w:space="0" w:color="auto"/>
        <w:right w:val="none" w:sz="0" w:space="0" w:color="auto"/>
      </w:divBdr>
    </w:div>
    <w:div w:id="1113867158">
      <w:bodyDiv w:val="1"/>
      <w:marLeft w:val="0"/>
      <w:marRight w:val="0"/>
      <w:marTop w:val="0"/>
      <w:marBottom w:val="0"/>
      <w:divBdr>
        <w:top w:val="none" w:sz="0" w:space="0" w:color="auto"/>
        <w:left w:val="none" w:sz="0" w:space="0" w:color="auto"/>
        <w:bottom w:val="none" w:sz="0" w:space="0" w:color="auto"/>
        <w:right w:val="none" w:sz="0" w:space="0" w:color="auto"/>
      </w:divBdr>
    </w:div>
    <w:div w:id="1179386941">
      <w:bodyDiv w:val="1"/>
      <w:marLeft w:val="0"/>
      <w:marRight w:val="0"/>
      <w:marTop w:val="0"/>
      <w:marBottom w:val="0"/>
      <w:divBdr>
        <w:top w:val="none" w:sz="0" w:space="0" w:color="auto"/>
        <w:left w:val="none" w:sz="0" w:space="0" w:color="auto"/>
        <w:bottom w:val="none" w:sz="0" w:space="0" w:color="auto"/>
        <w:right w:val="none" w:sz="0" w:space="0" w:color="auto"/>
      </w:divBdr>
    </w:div>
    <w:div w:id="1333409788">
      <w:bodyDiv w:val="1"/>
      <w:marLeft w:val="0"/>
      <w:marRight w:val="0"/>
      <w:marTop w:val="0"/>
      <w:marBottom w:val="0"/>
      <w:divBdr>
        <w:top w:val="none" w:sz="0" w:space="0" w:color="auto"/>
        <w:left w:val="none" w:sz="0" w:space="0" w:color="auto"/>
        <w:bottom w:val="none" w:sz="0" w:space="0" w:color="auto"/>
        <w:right w:val="none" w:sz="0" w:space="0" w:color="auto"/>
      </w:divBdr>
    </w:div>
    <w:div w:id="1439640723">
      <w:bodyDiv w:val="1"/>
      <w:marLeft w:val="0"/>
      <w:marRight w:val="0"/>
      <w:marTop w:val="0"/>
      <w:marBottom w:val="0"/>
      <w:divBdr>
        <w:top w:val="none" w:sz="0" w:space="0" w:color="auto"/>
        <w:left w:val="none" w:sz="0" w:space="0" w:color="auto"/>
        <w:bottom w:val="none" w:sz="0" w:space="0" w:color="auto"/>
        <w:right w:val="none" w:sz="0" w:space="0" w:color="auto"/>
      </w:divBdr>
    </w:div>
    <w:div w:id="1502308484">
      <w:bodyDiv w:val="1"/>
      <w:marLeft w:val="0"/>
      <w:marRight w:val="0"/>
      <w:marTop w:val="0"/>
      <w:marBottom w:val="0"/>
      <w:divBdr>
        <w:top w:val="none" w:sz="0" w:space="0" w:color="auto"/>
        <w:left w:val="none" w:sz="0" w:space="0" w:color="auto"/>
        <w:bottom w:val="none" w:sz="0" w:space="0" w:color="auto"/>
        <w:right w:val="none" w:sz="0" w:space="0" w:color="auto"/>
      </w:divBdr>
      <w:divsChild>
        <w:div w:id="1464884877">
          <w:marLeft w:val="0"/>
          <w:marRight w:val="0"/>
          <w:marTop w:val="0"/>
          <w:marBottom w:val="0"/>
          <w:divBdr>
            <w:top w:val="none" w:sz="0" w:space="0" w:color="auto"/>
            <w:left w:val="none" w:sz="0" w:space="0" w:color="auto"/>
            <w:bottom w:val="none" w:sz="0" w:space="0" w:color="auto"/>
            <w:right w:val="none" w:sz="0" w:space="0" w:color="auto"/>
          </w:divBdr>
          <w:divsChild>
            <w:div w:id="1752041501">
              <w:marLeft w:val="0"/>
              <w:marRight w:val="0"/>
              <w:marTop w:val="0"/>
              <w:marBottom w:val="0"/>
              <w:divBdr>
                <w:top w:val="none" w:sz="0" w:space="0" w:color="auto"/>
                <w:left w:val="none" w:sz="0" w:space="0" w:color="auto"/>
                <w:bottom w:val="none" w:sz="0" w:space="0" w:color="auto"/>
                <w:right w:val="none" w:sz="0" w:space="0" w:color="auto"/>
              </w:divBdr>
              <w:divsChild>
                <w:div w:id="877594637">
                  <w:marLeft w:val="0"/>
                  <w:marRight w:val="0"/>
                  <w:marTop w:val="0"/>
                  <w:marBottom w:val="0"/>
                  <w:divBdr>
                    <w:top w:val="none" w:sz="0" w:space="0" w:color="auto"/>
                    <w:left w:val="none" w:sz="0" w:space="0" w:color="auto"/>
                    <w:bottom w:val="none" w:sz="0" w:space="0" w:color="auto"/>
                    <w:right w:val="none" w:sz="0" w:space="0" w:color="auto"/>
                  </w:divBdr>
                  <w:divsChild>
                    <w:div w:id="7089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03035">
      <w:bodyDiv w:val="1"/>
      <w:marLeft w:val="0"/>
      <w:marRight w:val="0"/>
      <w:marTop w:val="0"/>
      <w:marBottom w:val="0"/>
      <w:divBdr>
        <w:top w:val="none" w:sz="0" w:space="0" w:color="auto"/>
        <w:left w:val="none" w:sz="0" w:space="0" w:color="auto"/>
        <w:bottom w:val="none" w:sz="0" w:space="0" w:color="auto"/>
        <w:right w:val="none" w:sz="0" w:space="0" w:color="auto"/>
      </w:divBdr>
    </w:div>
    <w:div w:id="1623883308">
      <w:bodyDiv w:val="1"/>
      <w:marLeft w:val="0"/>
      <w:marRight w:val="0"/>
      <w:marTop w:val="0"/>
      <w:marBottom w:val="0"/>
      <w:divBdr>
        <w:top w:val="none" w:sz="0" w:space="0" w:color="auto"/>
        <w:left w:val="none" w:sz="0" w:space="0" w:color="auto"/>
        <w:bottom w:val="none" w:sz="0" w:space="0" w:color="auto"/>
        <w:right w:val="none" w:sz="0" w:space="0" w:color="auto"/>
      </w:divBdr>
    </w:div>
    <w:div w:id="1739816323">
      <w:bodyDiv w:val="1"/>
      <w:marLeft w:val="0"/>
      <w:marRight w:val="0"/>
      <w:marTop w:val="0"/>
      <w:marBottom w:val="0"/>
      <w:divBdr>
        <w:top w:val="none" w:sz="0" w:space="0" w:color="auto"/>
        <w:left w:val="none" w:sz="0" w:space="0" w:color="auto"/>
        <w:bottom w:val="none" w:sz="0" w:space="0" w:color="auto"/>
        <w:right w:val="none" w:sz="0" w:space="0" w:color="auto"/>
      </w:divBdr>
      <w:divsChild>
        <w:div w:id="724718694">
          <w:marLeft w:val="0"/>
          <w:marRight w:val="0"/>
          <w:marTop w:val="0"/>
          <w:marBottom w:val="0"/>
          <w:divBdr>
            <w:top w:val="none" w:sz="0" w:space="0" w:color="auto"/>
            <w:left w:val="none" w:sz="0" w:space="0" w:color="auto"/>
            <w:bottom w:val="none" w:sz="0" w:space="0" w:color="auto"/>
            <w:right w:val="none" w:sz="0" w:space="0" w:color="auto"/>
          </w:divBdr>
          <w:divsChild>
            <w:div w:id="303583242">
              <w:marLeft w:val="0"/>
              <w:marRight w:val="0"/>
              <w:marTop w:val="0"/>
              <w:marBottom w:val="0"/>
              <w:divBdr>
                <w:top w:val="none" w:sz="0" w:space="0" w:color="auto"/>
                <w:left w:val="none" w:sz="0" w:space="0" w:color="auto"/>
                <w:bottom w:val="none" w:sz="0" w:space="0" w:color="auto"/>
                <w:right w:val="none" w:sz="0" w:space="0" w:color="auto"/>
              </w:divBdr>
              <w:divsChild>
                <w:div w:id="2023819442">
                  <w:marLeft w:val="0"/>
                  <w:marRight w:val="0"/>
                  <w:marTop w:val="0"/>
                  <w:marBottom w:val="0"/>
                  <w:divBdr>
                    <w:top w:val="none" w:sz="0" w:space="0" w:color="auto"/>
                    <w:left w:val="none" w:sz="0" w:space="0" w:color="auto"/>
                    <w:bottom w:val="none" w:sz="0" w:space="0" w:color="auto"/>
                    <w:right w:val="none" w:sz="0" w:space="0" w:color="auto"/>
                  </w:divBdr>
                  <w:divsChild>
                    <w:div w:id="1277906205">
                      <w:marLeft w:val="0"/>
                      <w:marRight w:val="0"/>
                      <w:marTop w:val="0"/>
                      <w:marBottom w:val="0"/>
                      <w:divBdr>
                        <w:top w:val="none" w:sz="0" w:space="0" w:color="auto"/>
                        <w:left w:val="none" w:sz="0" w:space="0" w:color="auto"/>
                        <w:bottom w:val="none" w:sz="0" w:space="0" w:color="auto"/>
                        <w:right w:val="none" w:sz="0" w:space="0" w:color="auto"/>
                      </w:divBdr>
                      <w:divsChild>
                        <w:div w:id="2018379682">
                          <w:marLeft w:val="0"/>
                          <w:marRight w:val="0"/>
                          <w:marTop w:val="0"/>
                          <w:marBottom w:val="0"/>
                          <w:divBdr>
                            <w:top w:val="none" w:sz="0" w:space="0" w:color="auto"/>
                            <w:left w:val="none" w:sz="0" w:space="0" w:color="auto"/>
                            <w:bottom w:val="none" w:sz="0" w:space="0" w:color="auto"/>
                            <w:right w:val="none" w:sz="0" w:space="0" w:color="auto"/>
                          </w:divBdr>
                          <w:divsChild>
                            <w:div w:id="1511601469">
                              <w:marLeft w:val="0"/>
                              <w:marRight w:val="0"/>
                              <w:marTop w:val="0"/>
                              <w:marBottom w:val="0"/>
                              <w:divBdr>
                                <w:top w:val="none" w:sz="0" w:space="0" w:color="auto"/>
                                <w:left w:val="none" w:sz="0" w:space="0" w:color="auto"/>
                                <w:bottom w:val="none" w:sz="0" w:space="0" w:color="auto"/>
                                <w:right w:val="none" w:sz="0" w:space="0" w:color="auto"/>
                              </w:divBdr>
                              <w:divsChild>
                                <w:div w:id="1022249328">
                                  <w:marLeft w:val="0"/>
                                  <w:marRight w:val="0"/>
                                  <w:marTop w:val="0"/>
                                  <w:marBottom w:val="0"/>
                                  <w:divBdr>
                                    <w:top w:val="none" w:sz="0" w:space="0" w:color="auto"/>
                                    <w:left w:val="none" w:sz="0" w:space="0" w:color="auto"/>
                                    <w:bottom w:val="none" w:sz="0" w:space="0" w:color="auto"/>
                                    <w:right w:val="none" w:sz="0" w:space="0" w:color="auto"/>
                                  </w:divBdr>
                                  <w:divsChild>
                                    <w:div w:id="201328011">
                                      <w:marLeft w:val="0"/>
                                      <w:marRight w:val="0"/>
                                      <w:marTop w:val="0"/>
                                      <w:marBottom w:val="0"/>
                                      <w:divBdr>
                                        <w:top w:val="none" w:sz="0" w:space="0" w:color="auto"/>
                                        <w:left w:val="none" w:sz="0" w:space="0" w:color="auto"/>
                                        <w:bottom w:val="none" w:sz="0" w:space="0" w:color="auto"/>
                                        <w:right w:val="none" w:sz="0" w:space="0" w:color="auto"/>
                                      </w:divBdr>
                                      <w:divsChild>
                                        <w:div w:id="254676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1386897">
      <w:bodyDiv w:val="1"/>
      <w:marLeft w:val="0"/>
      <w:marRight w:val="0"/>
      <w:marTop w:val="0"/>
      <w:marBottom w:val="0"/>
      <w:divBdr>
        <w:top w:val="none" w:sz="0" w:space="0" w:color="auto"/>
        <w:left w:val="none" w:sz="0" w:space="0" w:color="auto"/>
        <w:bottom w:val="none" w:sz="0" w:space="0" w:color="auto"/>
        <w:right w:val="none" w:sz="0" w:space="0" w:color="auto"/>
      </w:divBdr>
    </w:div>
    <w:div w:id="1849563744">
      <w:bodyDiv w:val="1"/>
      <w:marLeft w:val="0"/>
      <w:marRight w:val="0"/>
      <w:marTop w:val="0"/>
      <w:marBottom w:val="0"/>
      <w:divBdr>
        <w:top w:val="none" w:sz="0" w:space="0" w:color="auto"/>
        <w:left w:val="none" w:sz="0" w:space="0" w:color="auto"/>
        <w:bottom w:val="none" w:sz="0" w:space="0" w:color="auto"/>
        <w:right w:val="none" w:sz="0" w:space="0" w:color="auto"/>
      </w:divBdr>
    </w:div>
    <w:div w:id="2025858399">
      <w:bodyDiv w:val="1"/>
      <w:marLeft w:val="0"/>
      <w:marRight w:val="0"/>
      <w:marTop w:val="0"/>
      <w:marBottom w:val="0"/>
      <w:divBdr>
        <w:top w:val="none" w:sz="0" w:space="0" w:color="auto"/>
        <w:left w:val="none" w:sz="0" w:space="0" w:color="auto"/>
        <w:bottom w:val="none" w:sz="0" w:space="0" w:color="auto"/>
        <w:right w:val="none" w:sz="0" w:space="0" w:color="auto"/>
      </w:divBdr>
    </w:div>
    <w:div w:id="202717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educ.2019.0002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3102/003465431775191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ajournals.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TotalTime>
  <Pages>16</Pages>
  <Words>5003</Words>
  <Characters>28519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Editor-22</cp:lastModifiedBy>
  <cp:revision>21</cp:revision>
  <dcterms:created xsi:type="dcterms:W3CDTF">2025-04-16T15:24:00Z</dcterms:created>
  <dcterms:modified xsi:type="dcterms:W3CDTF">2025-06-23T11:55:00Z</dcterms:modified>
</cp:coreProperties>
</file>