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036FF" w14:textId="77777777" w:rsidR="005C1B2C" w:rsidRDefault="005C1B2C" w:rsidP="000126D4">
      <w:pPr>
        <w:spacing w:line="240" w:lineRule="auto"/>
        <w:jc w:val="center"/>
        <w:rPr>
          <w:rFonts w:ascii="Times New Roman" w:hAnsi="Times New Roman" w:cs="Times New Roman"/>
          <w:b/>
          <w:bCs/>
          <w:sz w:val="24"/>
          <w:szCs w:val="24"/>
        </w:rPr>
      </w:pPr>
      <w:r w:rsidRPr="005C1B2C">
        <w:rPr>
          <w:rFonts w:ascii="Times New Roman" w:hAnsi="Times New Roman" w:cs="Times New Roman"/>
          <w:b/>
          <w:bCs/>
          <w:sz w:val="24"/>
          <w:szCs w:val="24"/>
        </w:rPr>
        <w:t xml:space="preserve">Optimization of Seed Quality, Germination, and Nursery Performance of Butea </w:t>
      </w:r>
      <w:proofErr w:type="spellStart"/>
      <w:r w:rsidRPr="005C1B2C">
        <w:rPr>
          <w:rFonts w:ascii="Times New Roman" w:hAnsi="Times New Roman" w:cs="Times New Roman"/>
          <w:b/>
          <w:bCs/>
          <w:sz w:val="24"/>
          <w:szCs w:val="24"/>
        </w:rPr>
        <w:t>monosperma</w:t>
      </w:r>
      <w:proofErr w:type="spellEnd"/>
      <w:r w:rsidRPr="005C1B2C">
        <w:rPr>
          <w:rFonts w:ascii="Times New Roman" w:hAnsi="Times New Roman" w:cs="Times New Roman"/>
          <w:b/>
          <w:bCs/>
          <w:sz w:val="24"/>
          <w:szCs w:val="24"/>
        </w:rPr>
        <w:t xml:space="preserve"> (</w:t>
      </w:r>
      <w:proofErr w:type="spellStart"/>
      <w:r w:rsidRPr="005C1B2C">
        <w:rPr>
          <w:rFonts w:ascii="Times New Roman" w:hAnsi="Times New Roman" w:cs="Times New Roman"/>
          <w:b/>
          <w:bCs/>
          <w:sz w:val="24"/>
          <w:szCs w:val="24"/>
        </w:rPr>
        <w:t>Lamk</w:t>
      </w:r>
      <w:proofErr w:type="spellEnd"/>
      <w:r w:rsidRPr="005C1B2C">
        <w:rPr>
          <w:rFonts w:ascii="Times New Roman" w:hAnsi="Times New Roman" w:cs="Times New Roman"/>
          <w:b/>
          <w:bCs/>
          <w:sz w:val="24"/>
          <w:szCs w:val="24"/>
        </w:rPr>
        <w:t>.) Taub. for Sustainable Propagation and Conservation</w:t>
      </w:r>
    </w:p>
    <w:p w14:paraId="6A3FA2AF" w14:textId="683E92B2" w:rsidR="000126D4" w:rsidRDefault="000126D4" w:rsidP="00EB096B">
      <w:pPr>
        <w:spacing w:after="160"/>
        <w:rPr>
          <w:rFonts w:ascii="Times New Roman" w:hAnsi="Times New Roman" w:cs="Times New Roman"/>
          <w:b/>
          <w:bCs/>
          <w:sz w:val="24"/>
          <w:szCs w:val="24"/>
          <w:vertAlign w:val="superscript"/>
        </w:rPr>
      </w:pPr>
    </w:p>
    <w:p w14:paraId="438E9F1D" w14:textId="77777777" w:rsidR="00DE1C15" w:rsidRPr="00F95E79" w:rsidRDefault="00DE1C15" w:rsidP="00EB096B">
      <w:pPr>
        <w:spacing w:after="160"/>
        <w:rPr>
          <w:rFonts w:ascii="Times New Roman" w:hAnsi="Times New Roman" w:cs="Times New Roman"/>
          <w:b/>
          <w:bCs/>
          <w:sz w:val="24"/>
          <w:szCs w:val="24"/>
          <w:vertAlign w:val="superscript"/>
        </w:rPr>
      </w:pPr>
    </w:p>
    <w:p w14:paraId="07F516FB" w14:textId="4E3090F1" w:rsidR="00F95E79" w:rsidRDefault="00F95E79" w:rsidP="00F95E79">
      <w:pPr>
        <w:jc w:val="both"/>
        <w:rPr>
          <w:rFonts w:ascii="Times New Roman" w:hAnsi="Times New Roman" w:cs="Times New Roman"/>
          <w:i/>
          <w:iCs/>
          <w:sz w:val="24"/>
          <w:szCs w:val="24"/>
        </w:rPr>
      </w:pPr>
      <w:r w:rsidRPr="00F95E79">
        <w:rPr>
          <w:rFonts w:ascii="Times New Roman" w:hAnsi="Times New Roman" w:cs="Times New Roman"/>
          <w:b/>
          <w:bCs/>
          <w:sz w:val="24"/>
          <w:szCs w:val="24"/>
        </w:rPr>
        <w:t>Abstract</w:t>
      </w:r>
      <w:r w:rsidRPr="00F95E79">
        <w:rPr>
          <w:rFonts w:ascii="Times New Roman" w:hAnsi="Times New Roman" w:cs="Times New Roman"/>
          <w:b/>
          <w:bCs/>
          <w:sz w:val="24"/>
          <w:szCs w:val="24"/>
        </w:rPr>
        <w:br/>
      </w:r>
      <w:r w:rsidRPr="00F95E79">
        <w:rPr>
          <w:rFonts w:ascii="Times New Roman" w:hAnsi="Times New Roman" w:cs="Times New Roman"/>
          <w:i/>
          <w:iCs/>
          <w:sz w:val="24"/>
          <w:szCs w:val="24"/>
        </w:rPr>
        <w:t xml:space="preserve">Butea monosperma </w:t>
      </w:r>
      <w:r w:rsidRPr="00F95E79">
        <w:rPr>
          <w:rFonts w:ascii="Times New Roman" w:hAnsi="Times New Roman" w:cs="Times New Roman"/>
          <w:sz w:val="24"/>
          <w:szCs w:val="24"/>
        </w:rPr>
        <w:t xml:space="preserve">(Lamk.) Taub. is an ecologically and economically significant tree, yet its propagation is often limited by variable seed quality and germination behavior. This study evaluated fruit and seed maturation, germination ecology, nursery propagation, seed source variation, and storage strategies to optimize seed quality and seedling performance. Fruits and seeds were collected at 20-day intervals (20–80 DAA) from superior trees in Jabalpur, India, and assessed for morphological, physiological, and germination traits. Seed water imbibition, desiccation tolerance, and germination responses under factorial combinations of temperature, light, and growing media were examined, alongside nursery trials using six potting mixtures. Seeds from diverse environmental sources were tested for early growth, and storage experiments investigated the effects of moisture content, temperature, and duration on viability and vigor. Results indicated that fruits and seeds reached optimal physiological maturity at 70–80 DAA, with maximum germination (~90%), seedling length (13–18 cm), and vigor indices. Rapid water uptake occurred within the first 7 hours of imbibition, stabilizing thereafter. Germination and seedling growth were strongly influenced by temperature, light, and media, with vermiculite and top </w:t>
      </w:r>
      <w:r>
        <w:rPr>
          <w:rFonts w:ascii="Times New Roman" w:hAnsi="Times New Roman" w:cs="Times New Roman"/>
          <w:sz w:val="24"/>
          <w:szCs w:val="24"/>
        </w:rPr>
        <w:t xml:space="preserve">of </w:t>
      </w:r>
      <w:r w:rsidRPr="00F95E79">
        <w:rPr>
          <w:rFonts w:ascii="Times New Roman" w:hAnsi="Times New Roman" w:cs="Times New Roman"/>
          <w:sz w:val="24"/>
          <w:szCs w:val="24"/>
        </w:rPr>
        <w:t xml:space="preserve">paper promoting higher vigor. Nursery propagation was most effective in </w:t>
      </w:r>
      <w:proofErr w:type="spellStart"/>
      <w:proofErr w:type="gramStart"/>
      <w:r w:rsidRPr="00F95E79">
        <w:rPr>
          <w:rFonts w:ascii="Times New Roman" w:hAnsi="Times New Roman" w:cs="Times New Roman"/>
          <w:sz w:val="24"/>
          <w:szCs w:val="24"/>
        </w:rPr>
        <w:t>Soil:</w:t>
      </w:r>
      <w:r>
        <w:rPr>
          <w:rFonts w:ascii="Times New Roman" w:hAnsi="Times New Roman" w:cs="Times New Roman"/>
          <w:sz w:val="24"/>
          <w:szCs w:val="24"/>
        </w:rPr>
        <w:t>S</w:t>
      </w:r>
      <w:r w:rsidRPr="00F95E79">
        <w:rPr>
          <w:rFonts w:ascii="Times New Roman" w:hAnsi="Times New Roman" w:cs="Times New Roman"/>
          <w:sz w:val="24"/>
          <w:szCs w:val="24"/>
        </w:rPr>
        <w:t>and</w:t>
      </w:r>
      <w:proofErr w:type="gramEnd"/>
      <w:r w:rsidRPr="00F95E79">
        <w:rPr>
          <w:rFonts w:ascii="Times New Roman" w:hAnsi="Times New Roman" w:cs="Times New Roman"/>
          <w:sz w:val="24"/>
          <w:szCs w:val="24"/>
        </w:rPr>
        <w:t>:FYM</w:t>
      </w:r>
      <w:proofErr w:type="spellEnd"/>
      <w:r w:rsidRPr="00F95E79">
        <w:rPr>
          <w:rFonts w:ascii="Times New Roman" w:hAnsi="Times New Roman" w:cs="Times New Roman"/>
          <w:sz w:val="24"/>
          <w:szCs w:val="24"/>
        </w:rPr>
        <w:t xml:space="preserve"> (1:2:1), producing the tallest seedlings (73.35 cm), highest biomass (26.15 g), and superior vigor indices at 365 DAS. Seed source had minimal effect, whereas low seed moisture (~3.73%) and cool storage (5°C) maximized long-term viability and seedling vigor. These findings provide a practical framework for optimizing seed collection, propagation, and conservation of </w:t>
      </w:r>
      <w:r w:rsidRPr="00F95E79">
        <w:rPr>
          <w:rFonts w:ascii="Times New Roman" w:hAnsi="Times New Roman" w:cs="Times New Roman"/>
          <w:i/>
          <w:iCs/>
          <w:sz w:val="24"/>
          <w:szCs w:val="24"/>
        </w:rPr>
        <w:t>B. monosperma</w:t>
      </w:r>
      <w:r w:rsidRPr="00F95E79">
        <w:rPr>
          <w:rFonts w:ascii="Times New Roman" w:hAnsi="Times New Roman" w:cs="Times New Roman"/>
          <w:sz w:val="24"/>
          <w:szCs w:val="24"/>
        </w:rPr>
        <w:t>, supporting large-scale regeneration and sustainable forestry initiatives.</w:t>
      </w:r>
    </w:p>
    <w:p w14:paraId="30A65445" w14:textId="4BE0C6D4" w:rsidR="00F95E79" w:rsidRPr="00F95E79" w:rsidRDefault="00F95E79" w:rsidP="00F95E79">
      <w:pPr>
        <w:jc w:val="both"/>
        <w:rPr>
          <w:rFonts w:ascii="Times New Roman" w:hAnsi="Times New Roman" w:cs="Times New Roman"/>
          <w:b/>
          <w:bCs/>
          <w:sz w:val="24"/>
          <w:szCs w:val="24"/>
        </w:rPr>
      </w:pPr>
      <w:r w:rsidRPr="00F95E79">
        <w:rPr>
          <w:rFonts w:ascii="Times New Roman" w:hAnsi="Times New Roman" w:cs="Times New Roman"/>
          <w:b/>
          <w:bCs/>
          <w:sz w:val="24"/>
          <w:szCs w:val="24"/>
        </w:rPr>
        <w:t xml:space="preserve">Keywords: </w:t>
      </w:r>
      <w:r>
        <w:rPr>
          <w:rFonts w:ascii="Times New Roman" w:hAnsi="Times New Roman" w:cs="Times New Roman"/>
          <w:sz w:val="24"/>
          <w:szCs w:val="24"/>
        </w:rPr>
        <w:t>S</w:t>
      </w:r>
      <w:r w:rsidRPr="00F95E79">
        <w:rPr>
          <w:rFonts w:ascii="Times New Roman" w:hAnsi="Times New Roman" w:cs="Times New Roman"/>
          <w:sz w:val="24"/>
          <w:szCs w:val="24"/>
        </w:rPr>
        <w:t>eed maturation, germination, nursery propagation, seed storage, vigor index, eco-physiology</w:t>
      </w:r>
    </w:p>
    <w:p w14:paraId="7A97D71C" w14:textId="77777777" w:rsidR="001C40E9" w:rsidRDefault="001C40E9" w:rsidP="00F95E79">
      <w:pPr>
        <w:jc w:val="both"/>
        <w:rPr>
          <w:rFonts w:ascii="Times New Roman" w:hAnsi="Times New Roman" w:cs="Times New Roman"/>
          <w:b/>
          <w:bCs/>
          <w:color w:val="EE0000"/>
          <w:sz w:val="24"/>
          <w:szCs w:val="24"/>
        </w:rPr>
      </w:pPr>
      <w:r>
        <w:rPr>
          <w:rFonts w:ascii="Times New Roman" w:hAnsi="Times New Roman" w:cs="Times New Roman"/>
          <w:b/>
          <w:bCs/>
          <w:color w:val="EE0000"/>
          <w:sz w:val="24"/>
          <w:szCs w:val="24"/>
        </w:rPr>
        <w:br w:type="page"/>
      </w:r>
    </w:p>
    <w:p w14:paraId="36E94897" w14:textId="43097E6A" w:rsidR="00846FDC" w:rsidRPr="001C40E9" w:rsidRDefault="00846FDC" w:rsidP="001C40E9">
      <w:pPr>
        <w:pStyle w:val="NormalWeb"/>
        <w:numPr>
          <w:ilvl w:val="0"/>
          <w:numId w:val="14"/>
        </w:numPr>
        <w:ind w:left="426" w:hanging="426"/>
        <w:jc w:val="both"/>
        <w:rPr>
          <w:b/>
          <w:bCs/>
        </w:rPr>
      </w:pPr>
      <w:r w:rsidRPr="001C40E9">
        <w:rPr>
          <w:b/>
          <w:bCs/>
        </w:rPr>
        <w:lastRenderedPageBreak/>
        <w:t>Introduction</w:t>
      </w:r>
    </w:p>
    <w:p w14:paraId="05556ECB" w14:textId="77777777" w:rsidR="006F7405" w:rsidRPr="006F7405" w:rsidRDefault="006F7405" w:rsidP="006F7405">
      <w:pPr>
        <w:pStyle w:val="NormalWeb"/>
        <w:jc w:val="both"/>
      </w:pPr>
      <w:r w:rsidRPr="006F7405">
        <w:rPr>
          <w:i/>
          <w:iCs/>
        </w:rPr>
        <w:t>Butea monosperma</w:t>
      </w:r>
      <w:r w:rsidRPr="006F7405">
        <w:t xml:space="preserve"> (Lamk.) Taub., commonly known as the flame of the forest, is a deciduous, medium-sized tree widely distributed across the Indian subcontinent, Burma, and Sri Lanka (Firdaus &amp; Mazumder, 2012). This multipurpose species holds significant ecological, cultural, and pharmacological importance. Various plant parts—including bark, resin, seeds, and flowers—are traditionally used for treating leucorrhoea, skin disorders, piles, urinary ailments, and intestinal helminth infections (Reddy, Reddy, &amp; Jadhav, 2001; </w:t>
      </w:r>
      <w:proofErr w:type="spellStart"/>
      <w:r w:rsidRPr="006F7405">
        <w:t>Kirtikar</w:t>
      </w:r>
      <w:proofErr w:type="spellEnd"/>
      <w:r w:rsidRPr="006F7405">
        <w:t xml:space="preserve"> &amp; </w:t>
      </w:r>
      <w:proofErr w:type="spellStart"/>
      <w:r w:rsidRPr="006F7405">
        <w:t>Basu</w:t>
      </w:r>
      <w:proofErr w:type="spellEnd"/>
      <w:r w:rsidRPr="006F7405">
        <w:t xml:space="preserve">, 1935; Anonymous, 1988; </w:t>
      </w:r>
      <w:proofErr w:type="spellStart"/>
      <w:r w:rsidRPr="006F7405">
        <w:t>Ambasta</w:t>
      </w:r>
      <w:proofErr w:type="spellEnd"/>
      <w:r w:rsidRPr="006F7405">
        <w:t>, 1994). Pharmacological studies have further demonstrated its anti-inflammatory, antimicrobial, anthelmintic, anticonvulsant, antihepatotoxic, and antiviral activities, attributed to bioactive constituents such as flavonoids, chalcones, and linoleic acid (</w:t>
      </w:r>
      <w:proofErr w:type="spellStart"/>
      <w:r w:rsidRPr="006F7405">
        <w:t>Gunakkunru</w:t>
      </w:r>
      <w:proofErr w:type="spellEnd"/>
      <w:r w:rsidRPr="006F7405">
        <w:t xml:space="preserve"> et al., 2005; Mehta, Dubey, </w:t>
      </w:r>
      <w:proofErr w:type="spellStart"/>
      <w:r w:rsidRPr="006F7405">
        <w:t>Bokadia</w:t>
      </w:r>
      <w:proofErr w:type="spellEnd"/>
      <w:r w:rsidRPr="006F7405">
        <w:t xml:space="preserve">, &amp; Mehta, 1983; Prashanth, Asha, Amit, &amp; Padmaja, 2001; </w:t>
      </w:r>
      <w:proofErr w:type="spellStart"/>
      <w:r w:rsidRPr="006F7405">
        <w:t>Kasture</w:t>
      </w:r>
      <w:proofErr w:type="spellEnd"/>
      <w:r w:rsidRPr="006F7405">
        <w:t xml:space="preserve">, </w:t>
      </w:r>
      <w:proofErr w:type="spellStart"/>
      <w:r w:rsidRPr="006F7405">
        <w:t>Chopde</w:t>
      </w:r>
      <w:proofErr w:type="spellEnd"/>
      <w:r w:rsidRPr="006F7405">
        <w:t xml:space="preserve">, &amp; Deshmukh, 2000; Wagner, Geyer, </w:t>
      </w:r>
      <w:proofErr w:type="spellStart"/>
      <w:r w:rsidRPr="006F7405">
        <w:t>Fiebig</w:t>
      </w:r>
      <w:proofErr w:type="spellEnd"/>
      <w:r w:rsidRPr="006F7405">
        <w:t xml:space="preserve">, Kiso, &amp; </w:t>
      </w:r>
      <w:proofErr w:type="spellStart"/>
      <w:r w:rsidRPr="006F7405">
        <w:t>Hikino</w:t>
      </w:r>
      <w:proofErr w:type="spellEnd"/>
      <w:r w:rsidRPr="006F7405">
        <w:t xml:space="preserve">, 1986; Yadava &amp; Tiwari, 2005; </w:t>
      </w:r>
      <w:proofErr w:type="spellStart"/>
      <w:r w:rsidRPr="006F7405">
        <w:t>Thirupathaiah</w:t>
      </w:r>
      <w:proofErr w:type="spellEnd"/>
      <w:r w:rsidRPr="006F7405">
        <w:t>, 2007).</w:t>
      </w:r>
    </w:p>
    <w:p w14:paraId="39880DA8" w14:textId="77777777" w:rsidR="006F7405" w:rsidRPr="006F7405" w:rsidRDefault="006F7405" w:rsidP="006F7405">
      <w:pPr>
        <w:pStyle w:val="NormalWeb"/>
        <w:jc w:val="both"/>
      </w:pPr>
      <w:r w:rsidRPr="006F7405">
        <w:t xml:space="preserve">Despite its ecological and medicinal significance, </w:t>
      </w:r>
      <w:r w:rsidRPr="006F7405">
        <w:rPr>
          <w:i/>
          <w:iCs/>
        </w:rPr>
        <w:t>B. monosperma</w:t>
      </w:r>
      <w:r w:rsidRPr="006F7405">
        <w:t xml:space="preserve"> faces threats from overharvesting, habitat degradation, and declining natural regeneration, emphasizing the need for targeted conservation and propagation strategies (Mahender, Mahesh, &amp; Murthy, 2014). Propagation is primarily through seeds, which exhibit physical dormancy due to a hard, impermeable seed coat, presenting challenges for seedling establishment (Tandon, </w:t>
      </w:r>
      <w:proofErr w:type="spellStart"/>
      <w:r w:rsidRPr="006F7405">
        <w:t>Shivanna</w:t>
      </w:r>
      <w:proofErr w:type="spellEnd"/>
      <w:r w:rsidRPr="006F7405">
        <w:t xml:space="preserve">, &amp; Ram, 2003). Phenological observations indicate flowering occurs from January to March, with fruit maturation by April–May, and wind-mediated seed dispersal prior to the monsoon season (Patel, </w:t>
      </w:r>
      <w:proofErr w:type="spellStart"/>
      <w:r w:rsidRPr="006F7405">
        <w:t>Dabgar</w:t>
      </w:r>
      <w:proofErr w:type="spellEnd"/>
      <w:r w:rsidRPr="006F7405">
        <w:t xml:space="preserve">, Makwana, &amp; </w:t>
      </w:r>
      <w:proofErr w:type="spellStart"/>
      <w:r w:rsidRPr="006F7405">
        <w:t>Dabgar</w:t>
      </w:r>
      <w:proofErr w:type="spellEnd"/>
      <w:r w:rsidRPr="006F7405">
        <w:t>, 2023; Vijay et al., 2024a), ensuring germination coincides with favorable rainfall.</w:t>
      </w:r>
    </w:p>
    <w:p w14:paraId="3380AA71" w14:textId="77777777" w:rsidR="006F7405" w:rsidRPr="006F7405" w:rsidRDefault="006F7405" w:rsidP="006F7405">
      <w:pPr>
        <w:pStyle w:val="NormalWeb"/>
        <w:jc w:val="both"/>
      </w:pPr>
      <w:r w:rsidRPr="006F7405">
        <w:t xml:space="preserve">Seed pre-treatment has been identified as critical for improving germination. Hot water soaking, scarification, and application of growth regulators such as gibberellic acid (GA₃) and </w:t>
      </w:r>
      <w:proofErr w:type="spellStart"/>
      <w:r w:rsidRPr="006F7405">
        <w:t>benzyladenine</w:t>
      </w:r>
      <w:proofErr w:type="spellEnd"/>
      <w:r w:rsidRPr="006F7405">
        <w:t xml:space="preserve"> (BA) significantly enhance germination rates (Vijay et al., 2024b, 2025a, 2025b, 2025c, 2025d). For example, in </w:t>
      </w:r>
      <w:r w:rsidRPr="006F7405">
        <w:rPr>
          <w:i/>
          <w:iCs/>
        </w:rPr>
        <w:t>B. monosperma</w:t>
      </w:r>
      <w:r w:rsidRPr="006F7405">
        <w:t xml:space="preserve"> var. lutea, germination rates reached up to 65% following hot water and BA (4.4 µM) treatment, while provenance-specific studies in Rajasthan also demonstrated improved germination using GA₃ (Bohra, Giri, Yadav, &amp; Yadav, 2024). Seed morphology—including size and color—is another determinant of germination success, with medium-sized, light reddish-brown seeds showing higher viability compared to small, dark seeds (</w:t>
      </w:r>
      <w:proofErr w:type="spellStart"/>
      <w:r w:rsidRPr="006F7405">
        <w:t>Kasliwal</w:t>
      </w:r>
      <w:proofErr w:type="spellEnd"/>
      <w:r w:rsidRPr="006F7405">
        <w:t xml:space="preserve"> &amp; Singh, 2021; </w:t>
      </w:r>
      <w:proofErr w:type="spellStart"/>
      <w:r w:rsidRPr="006F7405">
        <w:t>Ganeshaiah</w:t>
      </w:r>
      <w:proofErr w:type="spellEnd"/>
      <w:r w:rsidRPr="006F7405">
        <w:t xml:space="preserve"> &amp; </w:t>
      </w:r>
      <w:proofErr w:type="spellStart"/>
      <w:r w:rsidRPr="006F7405">
        <w:t>Shaanker</w:t>
      </w:r>
      <w:proofErr w:type="spellEnd"/>
      <w:r w:rsidRPr="006F7405">
        <w:t>, 1991).</w:t>
      </w:r>
    </w:p>
    <w:p w14:paraId="6A1784AB" w14:textId="77777777" w:rsidR="006F7405" w:rsidRPr="006F7405" w:rsidRDefault="006F7405" w:rsidP="006F7405">
      <w:pPr>
        <w:pStyle w:val="NormalWeb"/>
        <w:jc w:val="both"/>
      </w:pPr>
      <w:r w:rsidRPr="006F7405">
        <w:t xml:space="preserve">Seed viability declines rapidly under ambient storage conditions beyond one year. Tetrazolium testing and excised embryo assays offer rapid, reliable methods for assessing viability, particularly in aged or dormant seeds, with excised embryos outperforming whole seeds during germination trials (Modi &amp; </w:t>
      </w:r>
      <w:proofErr w:type="spellStart"/>
      <w:r w:rsidRPr="006F7405">
        <w:t>Kandya</w:t>
      </w:r>
      <w:proofErr w:type="spellEnd"/>
      <w:r w:rsidRPr="006F7405">
        <w:t xml:space="preserve">, 2024). Seed-borne pathogens, including </w:t>
      </w:r>
      <w:r w:rsidRPr="006F7405">
        <w:rPr>
          <w:i/>
          <w:iCs/>
        </w:rPr>
        <w:t>Aspergillus</w:t>
      </w:r>
      <w:r w:rsidRPr="006F7405">
        <w:t xml:space="preserve">, </w:t>
      </w:r>
      <w:r w:rsidRPr="006F7405">
        <w:rPr>
          <w:i/>
          <w:iCs/>
        </w:rPr>
        <w:t>Fusarium</w:t>
      </w:r>
      <w:r w:rsidRPr="006F7405">
        <w:t xml:space="preserve">, </w:t>
      </w:r>
      <w:r w:rsidRPr="006F7405">
        <w:rPr>
          <w:i/>
          <w:iCs/>
        </w:rPr>
        <w:t>Chaetomium</w:t>
      </w:r>
      <w:r w:rsidRPr="006F7405">
        <w:t xml:space="preserve">, and </w:t>
      </w:r>
      <w:r w:rsidRPr="006F7405">
        <w:rPr>
          <w:i/>
          <w:iCs/>
        </w:rPr>
        <w:t>Rhizopus</w:t>
      </w:r>
      <w:r w:rsidRPr="006F7405">
        <w:t>, further reduce germination potential, highlighting the importance of seed health monitoring (</w:t>
      </w:r>
      <w:proofErr w:type="spellStart"/>
      <w:r w:rsidRPr="006F7405">
        <w:t>Kasliwal</w:t>
      </w:r>
      <w:proofErr w:type="spellEnd"/>
      <w:r w:rsidRPr="006F7405">
        <w:t xml:space="preserve">, </w:t>
      </w:r>
      <w:proofErr w:type="spellStart"/>
      <w:r w:rsidRPr="006F7405">
        <w:t>Sushila</w:t>
      </w:r>
      <w:proofErr w:type="spellEnd"/>
      <w:r w:rsidRPr="006F7405">
        <w:t xml:space="preserve">, &amp; </w:t>
      </w:r>
      <w:proofErr w:type="spellStart"/>
      <w:r w:rsidRPr="006F7405">
        <w:t>Mohil</w:t>
      </w:r>
      <w:proofErr w:type="spellEnd"/>
      <w:r w:rsidRPr="006F7405">
        <w:t>, 2023). Optimal harvest timing is also crucial, with Kundu and Singh (2021) identifying 73 days after anthesis—when seeds reach maximum dry weight and desiccation tolerance and develop a brown seed coat—as ideal for collection.</w:t>
      </w:r>
    </w:p>
    <w:p w14:paraId="22BC4570" w14:textId="7E90112A" w:rsidR="006F7405" w:rsidRDefault="006F7405" w:rsidP="00846FDC">
      <w:pPr>
        <w:pStyle w:val="NormalWeb"/>
        <w:jc w:val="both"/>
      </w:pPr>
      <w:r w:rsidRPr="006F7405">
        <w:t xml:space="preserve">Despite progress in understanding germination biology and propagation techniques, several critical knowledge gaps remain: region-specific optimization of long-term seed storage, field validation of nursery propagation systems, and studies linking seed morphology, dispersal dynamics, and population structure. In summary, </w:t>
      </w:r>
      <w:r w:rsidRPr="006F7405">
        <w:rPr>
          <w:i/>
          <w:iCs/>
        </w:rPr>
        <w:t>Butea monosperma</w:t>
      </w:r>
      <w:r w:rsidRPr="006F7405">
        <w:t xml:space="preserve"> is a keystone forest species of ecological, medicinal, and cultural importance. Its sustainable propagation and </w:t>
      </w:r>
      <w:r w:rsidRPr="006F7405">
        <w:lastRenderedPageBreak/>
        <w:t>conservation require a multidisciplinary approach integrating seed physiology, biotechnology, molecular ecology, and habitat restoration strategies.</w:t>
      </w:r>
    </w:p>
    <w:p w14:paraId="563E8103" w14:textId="77777777" w:rsidR="00BC137D" w:rsidRPr="00BC137D" w:rsidRDefault="00BC137D" w:rsidP="00BC137D">
      <w:pPr>
        <w:pStyle w:val="NormalWeb"/>
        <w:jc w:val="both"/>
        <w:rPr>
          <w:b/>
          <w:bCs/>
        </w:rPr>
      </w:pPr>
      <w:r w:rsidRPr="00BC137D">
        <w:rPr>
          <w:b/>
          <w:bCs/>
        </w:rPr>
        <w:t>2. Materials and Methods</w:t>
      </w:r>
    </w:p>
    <w:p w14:paraId="36E82775" w14:textId="3B0686AA" w:rsidR="00BC137D" w:rsidRPr="00BC137D" w:rsidRDefault="00BC137D" w:rsidP="00BC137D">
      <w:pPr>
        <w:pStyle w:val="NormalWeb"/>
        <w:jc w:val="both"/>
      </w:pPr>
      <w:r w:rsidRPr="00BC137D">
        <w:rPr>
          <w:b/>
          <w:bCs/>
        </w:rPr>
        <w:t>2.1 Study Site and Climatic Conditions</w:t>
      </w:r>
      <w:r>
        <w:t xml:space="preserve">: </w:t>
      </w:r>
      <w:r w:rsidRPr="00BC137D">
        <w:t xml:space="preserve">The study was conducted at the Tropical Forest Research Institute (TFRI), ICFRE, Jabalpur, Madhya Pradesh, India (23.084139°N, 79.987278°E) from January 2022 to November 2024. The region experiences a tropical sub-humid climate with three distinct seasons: winter (Dec–Feb), summer (Mar–May), and monsoon (Jun–Oct), with mean annual temperature ~26°C (range 1–48°C) and annual rainfall of 1160 mm concentrated during June–September. Mature fruits of </w:t>
      </w:r>
      <w:r w:rsidRPr="00BC137D">
        <w:rPr>
          <w:i/>
          <w:iCs/>
        </w:rPr>
        <w:t>Butea monosperma</w:t>
      </w:r>
      <w:r w:rsidRPr="00BC137D">
        <w:t xml:space="preserve"> were collected from phenotypically superior trees in </w:t>
      </w:r>
      <w:proofErr w:type="spellStart"/>
      <w:r w:rsidRPr="00BC137D">
        <w:t>Barha</w:t>
      </w:r>
      <w:proofErr w:type="spellEnd"/>
      <w:r w:rsidRPr="00BC137D">
        <w:t xml:space="preserve"> (</w:t>
      </w:r>
      <w:proofErr w:type="spellStart"/>
      <w:r w:rsidRPr="00BC137D">
        <w:t>Silua</w:t>
      </w:r>
      <w:proofErr w:type="spellEnd"/>
      <w:r w:rsidRPr="00BC137D">
        <w:t>) Beat, Jabalpur Forest Division (ISTA, 2010).</w:t>
      </w:r>
    </w:p>
    <w:p w14:paraId="033E8568" w14:textId="16040423" w:rsidR="00BC137D" w:rsidRPr="00BC137D" w:rsidRDefault="00BC137D" w:rsidP="00BC137D">
      <w:pPr>
        <w:pStyle w:val="NormalWeb"/>
        <w:jc w:val="both"/>
      </w:pPr>
      <w:r w:rsidRPr="00BC137D">
        <w:rPr>
          <w:b/>
          <w:bCs/>
        </w:rPr>
        <w:t>2.2 Seed Maturation and Extraction</w:t>
      </w:r>
      <w:r>
        <w:t xml:space="preserve">: </w:t>
      </w:r>
      <w:r w:rsidRPr="00BC137D">
        <w:t>Fruits were harvested at 20-day intervals (20–80 DAA) across the fruiting season (Feb–Jun). Pods were collected manually, and seeds were extracted via de-winging. Parameters recorded included fruit and seed size (length, diameter), fresh and dry weight, moisture content (oven-dry at 103 ± 2°C for 17 h) (ISTA, 2010), color (RHS Color Chart), germination percentage, seedling vigor indices (Abdul-Baki &amp; Anderson, 1973), and desiccation tolerance. Germination tests used four replicates of 25 seeds under controlled 16/8 h light/dark conditions.</w:t>
      </w:r>
    </w:p>
    <w:p w14:paraId="1090885A" w14:textId="60C84C02" w:rsidR="00BC137D" w:rsidRPr="00BC137D" w:rsidRDefault="00BC137D" w:rsidP="00BC137D">
      <w:pPr>
        <w:pStyle w:val="NormalWeb"/>
        <w:jc w:val="both"/>
      </w:pPr>
      <w:r w:rsidRPr="00BC137D">
        <w:rPr>
          <w:b/>
          <w:bCs/>
        </w:rPr>
        <w:t>2.3 Germination Behavior and Water Imbibition</w:t>
      </w:r>
      <w:r>
        <w:t xml:space="preserve">: </w:t>
      </w:r>
      <w:r w:rsidRPr="00BC137D">
        <w:t xml:space="preserve">Seed water uptake was measured by immersing </w:t>
      </w:r>
      <w:r w:rsidR="00600A29">
        <w:t>10</w:t>
      </w:r>
      <w:r w:rsidRPr="00BC137D">
        <w:t xml:space="preserve"> g of seeds in </w:t>
      </w:r>
      <w:r w:rsidR="00600A29">
        <w:t>10</w:t>
      </w:r>
      <w:r w:rsidRPr="00BC137D">
        <w:t xml:space="preserve">0 mL water, recording mass at regular intervals for 60 h, and calculating imbibition (%) = [(Wi – </w:t>
      </w:r>
      <w:proofErr w:type="spellStart"/>
      <w:r w:rsidRPr="00BC137D">
        <w:t>Wd</w:t>
      </w:r>
      <w:proofErr w:type="spellEnd"/>
      <w:r w:rsidRPr="00BC137D">
        <w:t>)/</w:t>
      </w:r>
      <w:proofErr w:type="spellStart"/>
      <w:r w:rsidRPr="00BC137D">
        <w:t>Wd</w:t>
      </w:r>
      <w:proofErr w:type="spellEnd"/>
      <w:r w:rsidRPr="00BC137D">
        <w:t xml:space="preserve">] × 100 (Bewley &amp; Black, 1982). Initial germination tests employed surface-sterilized seeds (5% </w:t>
      </w:r>
      <w:proofErr w:type="spellStart"/>
      <w:r w:rsidRPr="00BC137D">
        <w:t>Captan</w:t>
      </w:r>
      <w:proofErr w:type="spellEnd"/>
      <w:r w:rsidRPr="00BC137D">
        <w:t>, 5 min) in triplicate under controlled temperature and light, with radicle emergence ≥1 cm scored. Desiccation and storage experiments evaluated viability at 3.73%, 7%, and 9% moisture under room temperature (~25°C), 15°C, and 5°C for up to 36 months to determine Lowest Safe Moisture Content (LSMC) and Lowest Safe Temperature (LST).</w:t>
      </w:r>
    </w:p>
    <w:p w14:paraId="13CBA690" w14:textId="53FBD205" w:rsidR="00BC137D" w:rsidRPr="00BC137D" w:rsidRDefault="00BC137D" w:rsidP="00BC137D">
      <w:pPr>
        <w:pStyle w:val="NormalWeb"/>
        <w:jc w:val="both"/>
      </w:pPr>
      <w:r w:rsidRPr="00BC137D">
        <w:rPr>
          <w:b/>
          <w:bCs/>
        </w:rPr>
        <w:t>2.4 Eco-physiological Germination Study</w:t>
      </w:r>
      <w:r>
        <w:t xml:space="preserve">: </w:t>
      </w:r>
      <w:r w:rsidRPr="00BC137D">
        <w:t>A factorial CRD examined temperature (25°C, 35°C), light (light/dark), and five growing media (top paper, between paper, sand, Soilrite, vermiculite) on final germination, seedling length, and vigor indices I and II (Abdul-Baki &amp; Anderson, 1973). Two-way ANOVA assessed individual and interactive effects.</w:t>
      </w:r>
    </w:p>
    <w:p w14:paraId="06C19FD5" w14:textId="2570C271" w:rsidR="00BC137D" w:rsidRPr="00BC137D" w:rsidRDefault="00BC137D" w:rsidP="00BC137D">
      <w:pPr>
        <w:pStyle w:val="NormalWeb"/>
        <w:jc w:val="both"/>
      </w:pPr>
      <w:r w:rsidRPr="00BC137D">
        <w:rPr>
          <w:b/>
          <w:bCs/>
        </w:rPr>
        <w:t>2.5 Nursery Propagation Trials</w:t>
      </w:r>
      <w:r>
        <w:t xml:space="preserve">: </w:t>
      </w:r>
      <w:r w:rsidRPr="00BC137D">
        <w:t xml:space="preserve">Pre-treated seeds were sown in six potting media: </w:t>
      </w:r>
      <w:proofErr w:type="spellStart"/>
      <w:proofErr w:type="gramStart"/>
      <w:r w:rsidRPr="00BC137D">
        <w:t>Soil:Sand</w:t>
      </w:r>
      <w:proofErr w:type="gramEnd"/>
      <w:r w:rsidRPr="00BC137D">
        <w:t>:FYM</w:t>
      </w:r>
      <w:proofErr w:type="spellEnd"/>
      <w:r w:rsidRPr="00BC137D">
        <w:t xml:space="preserve"> (1:1:1, 2:1:1, 1:2:1, 1:1:2), cocopeat (root trainer), and sand (nursery bed). Parameters recorded at 30 and 365 DAS included germination (%), mean germination time (Rawat &amp; Thapliyal, 2003), germination value (</w:t>
      </w:r>
      <w:proofErr w:type="spellStart"/>
      <w:r w:rsidRPr="00BC137D">
        <w:t>Djavanshir</w:t>
      </w:r>
      <w:proofErr w:type="spellEnd"/>
      <w:r w:rsidRPr="00BC137D">
        <w:t xml:space="preserve"> &amp; </w:t>
      </w:r>
      <w:proofErr w:type="spellStart"/>
      <w:r w:rsidRPr="00BC137D">
        <w:t>Pourbeik</w:t>
      </w:r>
      <w:proofErr w:type="spellEnd"/>
      <w:r w:rsidRPr="00BC137D">
        <w:t xml:space="preserve">, 1976), seedling height, collar diameter, </w:t>
      </w:r>
      <w:proofErr w:type="spellStart"/>
      <w:r w:rsidRPr="00BC137D">
        <w:t>root:shoot</w:t>
      </w:r>
      <w:proofErr w:type="spellEnd"/>
      <w:r w:rsidRPr="00BC137D">
        <w:t xml:space="preserve"> ratio (</w:t>
      </w:r>
      <w:proofErr w:type="spellStart"/>
      <w:r w:rsidRPr="00BC137D">
        <w:t>Racey</w:t>
      </w:r>
      <w:proofErr w:type="spellEnd"/>
      <w:r w:rsidRPr="00BC137D">
        <w:t xml:space="preserve"> et al., 1983), total biomass, sturdiness quotient (Ritchie, 198</w:t>
      </w:r>
      <w:r w:rsidR="004536AB">
        <w:t>4</w:t>
      </w:r>
      <w:r w:rsidRPr="00BC137D">
        <w:t>), volume index, vigor indices I &amp; II (Abdul-Baki &amp; Anderson, 1973), and quality index (Dickson et al., 1960).</w:t>
      </w:r>
    </w:p>
    <w:p w14:paraId="4D1D66B9" w14:textId="5FE9A619" w:rsidR="00BC137D" w:rsidRPr="00BC137D" w:rsidRDefault="00BC137D" w:rsidP="00BC137D">
      <w:pPr>
        <w:pStyle w:val="NormalWeb"/>
        <w:jc w:val="both"/>
      </w:pPr>
      <w:r w:rsidRPr="00BC137D">
        <w:rPr>
          <w:b/>
          <w:bCs/>
        </w:rPr>
        <w:t>2.6 Seed Source Variation</w:t>
      </w:r>
      <w:r>
        <w:t xml:space="preserve">: </w:t>
      </w:r>
      <w:r w:rsidRPr="00BC137D">
        <w:t>Seeds from diverse environmental origins were tested in an RCBD with three replications of 100 seeds per treatment. Germination %, mean germination time, seedling length, and vigor indices were measured under controlled conditions to evaluate the effect of seed source on early growth.</w:t>
      </w:r>
    </w:p>
    <w:p w14:paraId="7BFAB7D2" w14:textId="7EA832BD" w:rsidR="00BC137D" w:rsidRPr="00BC137D" w:rsidRDefault="00BC137D" w:rsidP="00BC137D">
      <w:pPr>
        <w:pStyle w:val="NormalWeb"/>
        <w:jc w:val="both"/>
      </w:pPr>
      <w:r w:rsidRPr="00BC137D">
        <w:rPr>
          <w:b/>
          <w:bCs/>
        </w:rPr>
        <w:lastRenderedPageBreak/>
        <w:t>2.7 Statistical Analysis</w:t>
      </w:r>
      <w:r>
        <w:t xml:space="preserve">: </w:t>
      </w:r>
      <w:r w:rsidRPr="00BC137D">
        <w:t xml:space="preserve">Data were </w:t>
      </w:r>
      <w:r w:rsidR="00600A29" w:rsidRPr="00BC137D">
        <w:t>analysed</w:t>
      </w:r>
      <w:r w:rsidRPr="00BC137D">
        <w:t xml:space="preserve"> using ANOVA (CRD or RCBD), with significance at p ≤ 0.05. Critical Difference (CD), standard error (SE), and coefficient of variation (CV) were calculated to assess treatment effects</w:t>
      </w:r>
      <w:r w:rsidR="00600A29">
        <w:t>.</w:t>
      </w:r>
    </w:p>
    <w:p w14:paraId="6BE5F51A" w14:textId="4D958F1B" w:rsidR="00B84603" w:rsidRPr="00DD0EF0" w:rsidRDefault="00DD0EF0" w:rsidP="00977638">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DD0EF0">
        <w:rPr>
          <w:rFonts w:ascii="Times New Roman" w:eastAsia="Times New Roman" w:hAnsi="Times New Roman" w:cs="Times New Roman"/>
          <w:b/>
          <w:bCs/>
          <w:sz w:val="24"/>
          <w:szCs w:val="24"/>
          <w:lang w:eastAsia="en-IN"/>
        </w:rPr>
        <w:t xml:space="preserve">3. </w:t>
      </w:r>
      <w:r w:rsidR="00B84603" w:rsidRPr="00DD0EF0">
        <w:rPr>
          <w:rFonts w:ascii="Times New Roman" w:eastAsia="Times New Roman" w:hAnsi="Times New Roman" w:cs="Times New Roman"/>
          <w:b/>
          <w:bCs/>
          <w:sz w:val="24"/>
          <w:szCs w:val="24"/>
          <w:lang w:eastAsia="en-IN"/>
        </w:rPr>
        <w:t xml:space="preserve">Result </w:t>
      </w:r>
    </w:p>
    <w:p w14:paraId="3807DF3E" w14:textId="14F14D63" w:rsidR="005444F6" w:rsidRDefault="005444F6" w:rsidP="00977638">
      <w:pPr>
        <w:spacing w:before="100" w:beforeAutospacing="1" w:after="100" w:afterAutospacing="1"/>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3.1 Fruit and seed maturity: </w:t>
      </w:r>
      <w:r w:rsidRPr="005444F6">
        <w:rPr>
          <w:rFonts w:ascii="Times New Roman" w:eastAsia="Times New Roman" w:hAnsi="Times New Roman" w:cs="Times New Roman"/>
          <w:color w:val="000000" w:themeColor="text1"/>
          <w:sz w:val="24"/>
          <w:szCs w:val="24"/>
          <w:lang w:eastAsia="en-IN"/>
        </w:rPr>
        <w:t>The fruit and seed maturation</w:t>
      </w:r>
      <w:r w:rsidR="00DD0EF0">
        <w:rPr>
          <w:rFonts w:ascii="Times New Roman" w:eastAsia="Times New Roman" w:hAnsi="Times New Roman" w:cs="Times New Roman"/>
          <w:color w:val="000000" w:themeColor="text1"/>
          <w:sz w:val="24"/>
          <w:szCs w:val="24"/>
          <w:lang w:eastAsia="en-IN"/>
        </w:rPr>
        <w:t xml:space="preserve"> (Table 1,2 &amp; 3)</w:t>
      </w:r>
      <w:r w:rsidRPr="005444F6">
        <w:rPr>
          <w:rFonts w:ascii="Times New Roman" w:eastAsia="Times New Roman" w:hAnsi="Times New Roman" w:cs="Times New Roman"/>
          <w:color w:val="000000" w:themeColor="text1"/>
          <w:sz w:val="24"/>
          <w:szCs w:val="24"/>
          <w:lang w:eastAsia="en-IN"/>
        </w:rPr>
        <w:t xml:space="preserve"> of </w:t>
      </w:r>
      <w:r w:rsidRPr="005444F6">
        <w:rPr>
          <w:rFonts w:ascii="Times New Roman" w:eastAsia="Times New Roman" w:hAnsi="Times New Roman" w:cs="Times New Roman"/>
          <w:i/>
          <w:iCs/>
          <w:color w:val="000000" w:themeColor="text1"/>
          <w:sz w:val="24"/>
          <w:szCs w:val="24"/>
          <w:lang w:eastAsia="en-IN"/>
        </w:rPr>
        <w:t>Butea monosperma</w:t>
      </w:r>
      <w:r w:rsidRPr="005444F6">
        <w:rPr>
          <w:rFonts w:ascii="Times New Roman" w:eastAsia="Times New Roman" w:hAnsi="Times New Roman" w:cs="Times New Roman"/>
          <w:color w:val="000000" w:themeColor="text1"/>
          <w:sz w:val="24"/>
          <w:szCs w:val="24"/>
          <w:lang w:eastAsia="en-IN"/>
        </w:rPr>
        <w:t xml:space="preserve"> spans approximately 60–80 days after anthesis (DAA). Fruit development progresses through six stages, with length increasing from 6.3 cm at 20 DAA to 11.51 cm at 80 DAA, and width from 1.12 cm to 3.68 cm. The fresh weight of 1000 fruits </w:t>
      </w:r>
      <w:r w:rsidR="00DD0EF0" w:rsidRPr="005444F6">
        <w:rPr>
          <w:rFonts w:ascii="Times New Roman" w:eastAsia="Times New Roman" w:hAnsi="Times New Roman" w:cs="Times New Roman"/>
          <w:color w:val="000000" w:themeColor="text1"/>
          <w:sz w:val="24"/>
          <w:szCs w:val="24"/>
          <w:lang w:eastAsia="en-IN"/>
        </w:rPr>
        <w:t>rise</w:t>
      </w:r>
      <w:r w:rsidRPr="005444F6">
        <w:rPr>
          <w:rFonts w:ascii="Times New Roman" w:eastAsia="Times New Roman" w:hAnsi="Times New Roman" w:cs="Times New Roman"/>
          <w:color w:val="000000" w:themeColor="text1"/>
          <w:sz w:val="24"/>
          <w:szCs w:val="24"/>
          <w:lang w:eastAsia="en-IN"/>
        </w:rPr>
        <w:t xml:space="preserve"> from 742.92 g to 5,385 g, and dry weight from 131.49 g to 4,934.76 g, reflecting dry matter accumulation, while moisture content declines sharply from 82.73% to 7.8%. Fruit color transitions from yellow-green to pale yellow (RHS Greyed Orange Group 165) indicate full maturity and optimal harvest timing. Seed development mirrors fruit maturation, with length increasing from 0.96 cm to 2.94 cm, width from 0.54 cm to 2.37 cm, fresh weight of 100 seeds from 106 g to 2,299 g, and dry weight from 14.68 g to 2,225.37 g. Moisture content decreases from 85.85% to 3.19%, and seed color changes from light pink (Greyed Orange N170) to greyish-reddish orange (Greyed Orange 174), signalling physiological maturity. Germination and seedling vigor improve significantly at later stages: no germination occurs at 20–50 DAA, whereas seeds at 60 DAA show 25% germination (65% after desiccation to 5% moisture), increasing to 90.17% at 70 DAA and 88.33% at 80 DAA, with corresponding seedling lengths of 13.17–18.16 cm and vigour indices of 857.5–1,696.24. These results indicate that optimal germination and seedling performance are achieved at 70–80 DAA. Morphological, physiological, and color parameters together provide reliable indicators for determining the best harvesting period to maximize seed quality and viability, offering critical guidance for propagation and conservation efforts.</w:t>
      </w:r>
    </w:p>
    <w:p w14:paraId="75885829" w14:textId="3F63CED5" w:rsidR="00B84603" w:rsidRPr="009F44DD" w:rsidRDefault="00360CBD" w:rsidP="00EB096B">
      <w:pPr>
        <w:spacing w:before="100" w:beforeAutospacing="1" w:after="100" w:afterAutospacing="1"/>
        <w:jc w:val="center"/>
        <w:rPr>
          <w:rFonts w:ascii="Times New Roman" w:eastAsia="Times New Roman" w:hAnsi="Times New Roman" w:cs="Times New Roman"/>
          <w:b/>
          <w:bCs/>
          <w:color w:val="000000" w:themeColor="text1"/>
          <w:sz w:val="24"/>
          <w:szCs w:val="24"/>
          <w:lang w:eastAsia="en-IN"/>
        </w:rPr>
      </w:pPr>
      <w:r w:rsidRPr="009F44DD">
        <w:rPr>
          <w:rFonts w:ascii="Times New Roman" w:eastAsia="Times New Roman" w:hAnsi="Times New Roman" w:cs="Times New Roman"/>
          <w:b/>
          <w:bCs/>
          <w:color w:val="000000" w:themeColor="text1"/>
          <w:sz w:val="24"/>
          <w:szCs w:val="24"/>
          <w:lang w:eastAsia="en-IN"/>
        </w:rPr>
        <w:t>Table 1</w:t>
      </w:r>
      <w:r w:rsidR="00B84603" w:rsidRPr="009F44DD">
        <w:rPr>
          <w:rFonts w:ascii="Times New Roman" w:eastAsia="Times New Roman" w:hAnsi="Times New Roman" w:cs="Times New Roman"/>
          <w:b/>
          <w:bCs/>
          <w:color w:val="000000" w:themeColor="text1"/>
          <w:sz w:val="24"/>
          <w:szCs w:val="24"/>
          <w:lang w:eastAsia="en-IN"/>
        </w:rPr>
        <w:t xml:space="preserve">: </w:t>
      </w:r>
      <w:r w:rsidR="00DD0EF0">
        <w:rPr>
          <w:rFonts w:ascii="Times New Roman" w:eastAsia="Times New Roman" w:hAnsi="Times New Roman" w:cs="Times New Roman"/>
          <w:color w:val="000000" w:themeColor="text1"/>
          <w:sz w:val="24"/>
          <w:szCs w:val="24"/>
          <w:lang w:eastAsia="en-IN"/>
        </w:rPr>
        <w:t>F</w:t>
      </w:r>
      <w:r w:rsidR="00DD0EF0" w:rsidRPr="00DD0EF0">
        <w:rPr>
          <w:rFonts w:ascii="Times New Roman" w:eastAsia="Times New Roman" w:hAnsi="Times New Roman" w:cs="Times New Roman"/>
          <w:color w:val="000000" w:themeColor="text1"/>
          <w:sz w:val="24"/>
          <w:szCs w:val="24"/>
          <w:lang w:eastAsia="en-IN"/>
        </w:rPr>
        <w:t>ruit morphological and physiological changes at different stages of maturity</w:t>
      </w:r>
    </w:p>
    <w:tbl>
      <w:tblPr>
        <w:tblStyle w:val="ListTable6Colorful"/>
        <w:tblW w:w="5197" w:type="pct"/>
        <w:jc w:val="center"/>
        <w:tblLook w:val="04A0" w:firstRow="1" w:lastRow="0" w:firstColumn="1" w:lastColumn="0" w:noHBand="0" w:noVBand="1"/>
      </w:tblPr>
      <w:tblGrid>
        <w:gridCol w:w="950"/>
        <w:gridCol w:w="1108"/>
        <w:gridCol w:w="1202"/>
        <w:gridCol w:w="1273"/>
        <w:gridCol w:w="406"/>
        <w:gridCol w:w="1284"/>
        <w:gridCol w:w="226"/>
        <w:gridCol w:w="1277"/>
        <w:gridCol w:w="1656"/>
      </w:tblGrid>
      <w:tr w:rsidR="00E45E18" w:rsidRPr="009F44DD" w14:paraId="22ACDD4C" w14:textId="77777777" w:rsidTr="00E45E18">
        <w:trPr>
          <w:cnfStyle w:val="100000000000" w:firstRow="1" w:lastRow="0" w:firstColumn="0" w:lastColumn="0" w:oddVBand="0" w:evenVBand="0" w:oddHBand="0" w:evenHBand="0" w:firstRowFirstColumn="0" w:firstRowLastColumn="0" w:lastRowFirstColumn="0" w:lastRowLastColumn="0"/>
          <w:trHeight w:val="1424"/>
          <w:jc w:val="center"/>
        </w:trPr>
        <w:tc>
          <w:tcPr>
            <w:cnfStyle w:val="001000000000" w:firstRow="0" w:lastRow="0" w:firstColumn="1" w:lastColumn="0" w:oddVBand="0" w:evenVBand="0" w:oddHBand="0" w:evenHBand="0" w:firstRowFirstColumn="0" w:firstRowLastColumn="0" w:lastRowFirstColumn="0" w:lastRowLastColumn="0"/>
            <w:tcW w:w="494" w:type="pct"/>
            <w:hideMark/>
          </w:tcPr>
          <w:p w14:paraId="0AAB0725" w14:textId="77777777" w:rsidR="00B84603" w:rsidRPr="009F44DD" w:rsidRDefault="00B84603" w:rsidP="009F44DD">
            <w:pPr>
              <w:jc w:val="center"/>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Day After Anthesis</w:t>
            </w:r>
          </w:p>
        </w:tc>
        <w:tc>
          <w:tcPr>
            <w:tcW w:w="591" w:type="pct"/>
            <w:hideMark/>
          </w:tcPr>
          <w:p w14:paraId="5E3DDFCB"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Fruit length (cm) Mean±SE</w:t>
            </w:r>
          </w:p>
        </w:tc>
        <w:tc>
          <w:tcPr>
            <w:tcW w:w="642" w:type="pct"/>
            <w:hideMark/>
          </w:tcPr>
          <w:p w14:paraId="06BF6849"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Fruit width (cm) Mean±SE</w:t>
            </w:r>
          </w:p>
        </w:tc>
        <w:tc>
          <w:tcPr>
            <w:tcW w:w="680" w:type="pct"/>
            <w:hideMark/>
          </w:tcPr>
          <w:p w14:paraId="3394B458" w14:textId="77777777" w:rsid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 xml:space="preserve">Fresh Weight of 1000 fruits (g) </w:t>
            </w:r>
          </w:p>
          <w:p w14:paraId="78105D75" w14:textId="7FD899E4"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Mean±SE</w:t>
            </w:r>
          </w:p>
        </w:tc>
        <w:tc>
          <w:tcPr>
            <w:tcW w:w="904" w:type="pct"/>
            <w:gridSpan w:val="2"/>
            <w:hideMark/>
          </w:tcPr>
          <w:p w14:paraId="04421AFB" w14:textId="77777777" w:rsid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Dry Weight of 1000 fruits (g)</w:t>
            </w:r>
          </w:p>
          <w:p w14:paraId="26DE4066" w14:textId="7711C5A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Mean±SE</w:t>
            </w:r>
          </w:p>
        </w:tc>
        <w:tc>
          <w:tcPr>
            <w:tcW w:w="804" w:type="pct"/>
            <w:gridSpan w:val="2"/>
            <w:hideMark/>
          </w:tcPr>
          <w:p w14:paraId="37595C4D"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Initial Moisture Content (%) of Fruits Mean±SE</w:t>
            </w:r>
          </w:p>
        </w:tc>
        <w:tc>
          <w:tcPr>
            <w:tcW w:w="884" w:type="pct"/>
            <w:hideMark/>
          </w:tcPr>
          <w:p w14:paraId="7A36C83E"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Fruit colour (As per RHS colour chart)</w:t>
            </w:r>
          </w:p>
        </w:tc>
      </w:tr>
      <w:tr w:rsidR="00E45E18" w:rsidRPr="009F44DD" w14:paraId="258D4E26" w14:textId="77777777" w:rsidTr="00E45E18">
        <w:trPr>
          <w:cnfStyle w:val="000000100000" w:firstRow="0" w:lastRow="0" w:firstColumn="0" w:lastColumn="0" w:oddVBand="0" w:evenVBand="0" w:oddHBand="1" w:evenHBand="0" w:firstRowFirstColumn="0" w:firstRowLastColumn="0" w:lastRowFirstColumn="0" w:lastRowLastColumn="0"/>
          <w:trHeight w:val="844"/>
          <w:jc w:val="center"/>
        </w:trPr>
        <w:tc>
          <w:tcPr>
            <w:cnfStyle w:val="001000000000" w:firstRow="0" w:lastRow="0" w:firstColumn="1" w:lastColumn="0" w:oddVBand="0" w:evenVBand="0" w:oddHBand="0" w:evenHBand="0" w:firstRowFirstColumn="0" w:firstRowLastColumn="0" w:lastRowFirstColumn="0" w:lastRowLastColumn="0"/>
            <w:tcW w:w="494" w:type="pct"/>
            <w:noWrap/>
            <w:hideMark/>
          </w:tcPr>
          <w:p w14:paraId="5CB2804E"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20 DAA</w:t>
            </w:r>
          </w:p>
        </w:tc>
        <w:tc>
          <w:tcPr>
            <w:tcW w:w="591" w:type="pct"/>
            <w:hideMark/>
          </w:tcPr>
          <w:p w14:paraId="46F1060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6.30 ± 0.24</w:t>
            </w:r>
          </w:p>
        </w:tc>
        <w:tc>
          <w:tcPr>
            <w:tcW w:w="642" w:type="pct"/>
            <w:hideMark/>
          </w:tcPr>
          <w:p w14:paraId="27821922"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1.12 ± 0.06</w:t>
            </w:r>
          </w:p>
        </w:tc>
        <w:tc>
          <w:tcPr>
            <w:tcW w:w="898" w:type="pct"/>
            <w:gridSpan w:val="2"/>
            <w:hideMark/>
          </w:tcPr>
          <w:p w14:paraId="450B0338"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742.92 ± 25.68</w:t>
            </w:r>
          </w:p>
        </w:tc>
        <w:tc>
          <w:tcPr>
            <w:tcW w:w="808" w:type="pct"/>
            <w:gridSpan w:val="2"/>
            <w:hideMark/>
          </w:tcPr>
          <w:p w14:paraId="52875B53"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131.49 ± 5.31</w:t>
            </w:r>
          </w:p>
        </w:tc>
        <w:tc>
          <w:tcPr>
            <w:tcW w:w="681" w:type="pct"/>
            <w:hideMark/>
          </w:tcPr>
          <w:p w14:paraId="2DC77325"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82.73 ± 2.86</w:t>
            </w:r>
          </w:p>
        </w:tc>
        <w:tc>
          <w:tcPr>
            <w:tcW w:w="884" w:type="pct"/>
            <w:hideMark/>
          </w:tcPr>
          <w:p w14:paraId="57990CCF"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Green Group 142 (Strong Yellow Green A)</w:t>
            </w:r>
          </w:p>
        </w:tc>
      </w:tr>
      <w:tr w:rsidR="00E45E18" w:rsidRPr="009F44DD" w14:paraId="36B03C29" w14:textId="77777777" w:rsidTr="00E45E18">
        <w:trPr>
          <w:trHeight w:val="842"/>
          <w:jc w:val="center"/>
        </w:trPr>
        <w:tc>
          <w:tcPr>
            <w:cnfStyle w:val="001000000000" w:firstRow="0" w:lastRow="0" w:firstColumn="1" w:lastColumn="0" w:oddVBand="0" w:evenVBand="0" w:oddHBand="0" w:evenHBand="0" w:firstRowFirstColumn="0" w:firstRowLastColumn="0" w:lastRowFirstColumn="0" w:lastRowLastColumn="0"/>
            <w:tcW w:w="494" w:type="pct"/>
            <w:noWrap/>
            <w:hideMark/>
          </w:tcPr>
          <w:p w14:paraId="38FBBF54"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40 DAA</w:t>
            </w:r>
          </w:p>
        </w:tc>
        <w:tc>
          <w:tcPr>
            <w:tcW w:w="591" w:type="pct"/>
            <w:hideMark/>
          </w:tcPr>
          <w:p w14:paraId="2CE7C3D9"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7.71 ± 0.29</w:t>
            </w:r>
          </w:p>
        </w:tc>
        <w:tc>
          <w:tcPr>
            <w:tcW w:w="642" w:type="pct"/>
            <w:hideMark/>
          </w:tcPr>
          <w:p w14:paraId="52511680"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1.92 ± 0.10</w:t>
            </w:r>
          </w:p>
        </w:tc>
        <w:tc>
          <w:tcPr>
            <w:tcW w:w="898" w:type="pct"/>
            <w:gridSpan w:val="2"/>
            <w:hideMark/>
          </w:tcPr>
          <w:p w14:paraId="0BD90EF6"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1,510.71 ± 52.23</w:t>
            </w:r>
          </w:p>
        </w:tc>
        <w:tc>
          <w:tcPr>
            <w:tcW w:w="808" w:type="pct"/>
            <w:gridSpan w:val="2"/>
            <w:hideMark/>
          </w:tcPr>
          <w:p w14:paraId="211F9A68"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333.56 ± 13.48</w:t>
            </w:r>
          </w:p>
        </w:tc>
        <w:tc>
          <w:tcPr>
            <w:tcW w:w="681" w:type="pct"/>
            <w:hideMark/>
          </w:tcPr>
          <w:p w14:paraId="5473539C"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78.29 ± 2.71</w:t>
            </w:r>
          </w:p>
        </w:tc>
        <w:tc>
          <w:tcPr>
            <w:tcW w:w="884" w:type="pct"/>
            <w:hideMark/>
          </w:tcPr>
          <w:p w14:paraId="675B5A9E"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Green Group 142 (Strong Yellow Green A)</w:t>
            </w:r>
          </w:p>
        </w:tc>
      </w:tr>
      <w:tr w:rsidR="00E45E18" w:rsidRPr="009F44DD" w14:paraId="02863DE8" w14:textId="77777777" w:rsidTr="00E45E18">
        <w:trPr>
          <w:cnfStyle w:val="000000100000" w:firstRow="0" w:lastRow="0" w:firstColumn="0" w:lastColumn="0" w:oddVBand="0" w:evenVBand="0" w:oddHBand="1" w:evenHBand="0" w:firstRowFirstColumn="0" w:firstRowLastColumn="0" w:lastRowFirstColumn="0" w:lastRowLastColumn="0"/>
          <w:trHeight w:val="840"/>
          <w:jc w:val="center"/>
        </w:trPr>
        <w:tc>
          <w:tcPr>
            <w:cnfStyle w:val="001000000000" w:firstRow="0" w:lastRow="0" w:firstColumn="1" w:lastColumn="0" w:oddVBand="0" w:evenVBand="0" w:oddHBand="0" w:evenHBand="0" w:firstRowFirstColumn="0" w:firstRowLastColumn="0" w:lastRowFirstColumn="0" w:lastRowLastColumn="0"/>
            <w:tcW w:w="494" w:type="pct"/>
            <w:noWrap/>
            <w:hideMark/>
          </w:tcPr>
          <w:p w14:paraId="2200C5CA"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50 DAA</w:t>
            </w:r>
          </w:p>
        </w:tc>
        <w:tc>
          <w:tcPr>
            <w:tcW w:w="591" w:type="pct"/>
            <w:hideMark/>
          </w:tcPr>
          <w:p w14:paraId="12B0A882"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8.66 ± 0.32</w:t>
            </w:r>
          </w:p>
        </w:tc>
        <w:tc>
          <w:tcPr>
            <w:tcW w:w="642" w:type="pct"/>
            <w:hideMark/>
          </w:tcPr>
          <w:p w14:paraId="1E3D39B4"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2.99 ± 0.17</w:t>
            </w:r>
          </w:p>
        </w:tc>
        <w:tc>
          <w:tcPr>
            <w:tcW w:w="898" w:type="pct"/>
            <w:gridSpan w:val="2"/>
            <w:hideMark/>
          </w:tcPr>
          <w:p w14:paraId="2DDB63E4"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2,064.67 ± 71.37</w:t>
            </w:r>
          </w:p>
        </w:tc>
        <w:tc>
          <w:tcPr>
            <w:tcW w:w="808" w:type="pct"/>
            <w:gridSpan w:val="2"/>
            <w:hideMark/>
          </w:tcPr>
          <w:p w14:paraId="5493EFD4"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545.77 ± 22.06</w:t>
            </w:r>
          </w:p>
        </w:tc>
        <w:tc>
          <w:tcPr>
            <w:tcW w:w="681" w:type="pct"/>
            <w:hideMark/>
          </w:tcPr>
          <w:p w14:paraId="4A64753A"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73.88 ± 2.56</w:t>
            </w:r>
          </w:p>
        </w:tc>
        <w:tc>
          <w:tcPr>
            <w:tcW w:w="884" w:type="pct"/>
            <w:hideMark/>
          </w:tcPr>
          <w:p w14:paraId="0AF20A6A"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Yellow Green Group 147 (Moderate Yellow Green D)</w:t>
            </w:r>
          </w:p>
        </w:tc>
      </w:tr>
      <w:tr w:rsidR="00E45E18" w:rsidRPr="009F44DD" w14:paraId="5E00031F" w14:textId="77777777" w:rsidTr="00E45E18">
        <w:trPr>
          <w:trHeight w:val="838"/>
          <w:jc w:val="center"/>
        </w:trPr>
        <w:tc>
          <w:tcPr>
            <w:cnfStyle w:val="001000000000" w:firstRow="0" w:lastRow="0" w:firstColumn="1" w:lastColumn="0" w:oddVBand="0" w:evenVBand="0" w:oddHBand="0" w:evenHBand="0" w:firstRowFirstColumn="0" w:firstRowLastColumn="0" w:lastRowFirstColumn="0" w:lastRowLastColumn="0"/>
            <w:tcW w:w="494" w:type="pct"/>
            <w:noWrap/>
            <w:hideMark/>
          </w:tcPr>
          <w:p w14:paraId="7301A600"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60 DAA</w:t>
            </w:r>
          </w:p>
        </w:tc>
        <w:tc>
          <w:tcPr>
            <w:tcW w:w="591" w:type="pct"/>
            <w:hideMark/>
          </w:tcPr>
          <w:p w14:paraId="214A3B1A"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9.97 ± 0.37</w:t>
            </w:r>
          </w:p>
        </w:tc>
        <w:tc>
          <w:tcPr>
            <w:tcW w:w="642" w:type="pct"/>
            <w:hideMark/>
          </w:tcPr>
          <w:p w14:paraId="37CA0A9F"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3.53 ± 0.19</w:t>
            </w:r>
          </w:p>
        </w:tc>
        <w:tc>
          <w:tcPr>
            <w:tcW w:w="898" w:type="pct"/>
            <w:gridSpan w:val="2"/>
            <w:hideMark/>
          </w:tcPr>
          <w:p w14:paraId="5D0635C0"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4,020.63 ± 139.00</w:t>
            </w:r>
          </w:p>
        </w:tc>
        <w:tc>
          <w:tcPr>
            <w:tcW w:w="808" w:type="pct"/>
            <w:gridSpan w:val="2"/>
            <w:hideMark/>
          </w:tcPr>
          <w:p w14:paraId="5248E53C"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1,585.62 ± 64.08</w:t>
            </w:r>
          </w:p>
        </w:tc>
        <w:tc>
          <w:tcPr>
            <w:tcW w:w="681" w:type="pct"/>
            <w:hideMark/>
          </w:tcPr>
          <w:p w14:paraId="518F0A82"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60.70 ± 2.10</w:t>
            </w:r>
          </w:p>
        </w:tc>
        <w:tc>
          <w:tcPr>
            <w:tcW w:w="884" w:type="pct"/>
            <w:hideMark/>
          </w:tcPr>
          <w:p w14:paraId="779303A7"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Yellow Green Group 147 (Moderate Yellow Green D)</w:t>
            </w:r>
          </w:p>
        </w:tc>
      </w:tr>
      <w:tr w:rsidR="00E45E18" w:rsidRPr="009F44DD" w14:paraId="2571596F" w14:textId="77777777" w:rsidTr="00E45E18">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494" w:type="pct"/>
            <w:noWrap/>
            <w:hideMark/>
          </w:tcPr>
          <w:p w14:paraId="41849401"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lastRenderedPageBreak/>
              <w:t>70 DAA</w:t>
            </w:r>
          </w:p>
        </w:tc>
        <w:tc>
          <w:tcPr>
            <w:tcW w:w="591" w:type="pct"/>
            <w:hideMark/>
          </w:tcPr>
          <w:p w14:paraId="162EB8B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10.74 ± 0.40</w:t>
            </w:r>
          </w:p>
        </w:tc>
        <w:tc>
          <w:tcPr>
            <w:tcW w:w="642" w:type="pct"/>
            <w:hideMark/>
          </w:tcPr>
          <w:p w14:paraId="1972045A"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3.63 ± 0.20</w:t>
            </w:r>
          </w:p>
        </w:tc>
        <w:tc>
          <w:tcPr>
            <w:tcW w:w="898" w:type="pct"/>
            <w:gridSpan w:val="2"/>
            <w:hideMark/>
          </w:tcPr>
          <w:p w14:paraId="461DB46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5,174.94 ± 178.90</w:t>
            </w:r>
          </w:p>
        </w:tc>
        <w:tc>
          <w:tcPr>
            <w:tcW w:w="808" w:type="pct"/>
            <w:gridSpan w:val="2"/>
            <w:hideMark/>
          </w:tcPr>
          <w:p w14:paraId="7C9FC197"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2,940.98 ± 118.86</w:t>
            </w:r>
          </w:p>
        </w:tc>
        <w:tc>
          <w:tcPr>
            <w:tcW w:w="681" w:type="pct"/>
            <w:hideMark/>
          </w:tcPr>
          <w:p w14:paraId="17D2B1B3"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43.08 ± 1.49</w:t>
            </w:r>
          </w:p>
        </w:tc>
        <w:tc>
          <w:tcPr>
            <w:tcW w:w="884" w:type="pct"/>
            <w:hideMark/>
          </w:tcPr>
          <w:p w14:paraId="08F7CC9D"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Greyed Orange Group 165 (Pale Yellow D)</w:t>
            </w:r>
          </w:p>
        </w:tc>
      </w:tr>
      <w:tr w:rsidR="00E45E18" w:rsidRPr="009F44DD" w14:paraId="4202B6EE" w14:textId="77777777" w:rsidTr="00E45E18">
        <w:trPr>
          <w:trHeight w:val="834"/>
          <w:jc w:val="center"/>
        </w:trPr>
        <w:tc>
          <w:tcPr>
            <w:cnfStyle w:val="001000000000" w:firstRow="0" w:lastRow="0" w:firstColumn="1" w:lastColumn="0" w:oddVBand="0" w:evenVBand="0" w:oddHBand="0" w:evenHBand="0" w:firstRowFirstColumn="0" w:firstRowLastColumn="0" w:lastRowFirstColumn="0" w:lastRowLastColumn="0"/>
            <w:tcW w:w="494" w:type="pct"/>
            <w:noWrap/>
            <w:hideMark/>
          </w:tcPr>
          <w:p w14:paraId="0880CC39"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80 DAA</w:t>
            </w:r>
          </w:p>
        </w:tc>
        <w:tc>
          <w:tcPr>
            <w:tcW w:w="591" w:type="pct"/>
            <w:hideMark/>
          </w:tcPr>
          <w:p w14:paraId="50275277"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11.51 ± 0.43</w:t>
            </w:r>
          </w:p>
        </w:tc>
        <w:tc>
          <w:tcPr>
            <w:tcW w:w="642" w:type="pct"/>
            <w:hideMark/>
          </w:tcPr>
          <w:p w14:paraId="0F937C12"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3.68 ± 0.20</w:t>
            </w:r>
          </w:p>
        </w:tc>
        <w:tc>
          <w:tcPr>
            <w:tcW w:w="898" w:type="pct"/>
            <w:gridSpan w:val="2"/>
            <w:hideMark/>
          </w:tcPr>
          <w:p w14:paraId="280B740A"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5,385.00 ± 186.17</w:t>
            </w:r>
          </w:p>
        </w:tc>
        <w:tc>
          <w:tcPr>
            <w:tcW w:w="808" w:type="pct"/>
            <w:gridSpan w:val="2"/>
            <w:hideMark/>
          </w:tcPr>
          <w:p w14:paraId="5A6F71A2"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4,934.76 ± 199.44</w:t>
            </w:r>
          </w:p>
        </w:tc>
        <w:tc>
          <w:tcPr>
            <w:tcW w:w="681" w:type="pct"/>
            <w:hideMark/>
          </w:tcPr>
          <w:p w14:paraId="00673111"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7.80 ± 0.27</w:t>
            </w:r>
          </w:p>
        </w:tc>
        <w:tc>
          <w:tcPr>
            <w:tcW w:w="884" w:type="pct"/>
            <w:hideMark/>
          </w:tcPr>
          <w:p w14:paraId="11D20B28"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Greyed Orange Group 165 (Pale Yellow D)</w:t>
            </w:r>
          </w:p>
        </w:tc>
      </w:tr>
      <w:tr w:rsidR="00E45E18" w:rsidRPr="009F44DD" w14:paraId="1F240336" w14:textId="77777777" w:rsidTr="00E45E1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86" w:type="pct"/>
            <w:gridSpan w:val="2"/>
            <w:hideMark/>
          </w:tcPr>
          <w:p w14:paraId="7D308F8C"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C.D.</w:t>
            </w:r>
          </w:p>
        </w:tc>
        <w:tc>
          <w:tcPr>
            <w:tcW w:w="642" w:type="pct"/>
          </w:tcPr>
          <w:p w14:paraId="4AFFDE07"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1.09</w:t>
            </w:r>
          </w:p>
        </w:tc>
        <w:tc>
          <w:tcPr>
            <w:tcW w:w="898" w:type="pct"/>
            <w:gridSpan w:val="2"/>
          </w:tcPr>
          <w:p w14:paraId="54F5893C"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0.51</w:t>
            </w:r>
          </w:p>
        </w:tc>
        <w:tc>
          <w:tcPr>
            <w:tcW w:w="808" w:type="pct"/>
            <w:gridSpan w:val="2"/>
          </w:tcPr>
          <w:p w14:paraId="6A9EA2B4"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390.91</w:t>
            </w:r>
          </w:p>
        </w:tc>
        <w:tc>
          <w:tcPr>
            <w:tcW w:w="681" w:type="pct"/>
          </w:tcPr>
          <w:p w14:paraId="62D4C069"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308.17</w:t>
            </w:r>
          </w:p>
        </w:tc>
        <w:tc>
          <w:tcPr>
            <w:tcW w:w="884" w:type="pct"/>
            <w:hideMark/>
          </w:tcPr>
          <w:p w14:paraId="16E66100"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6.82</w:t>
            </w:r>
          </w:p>
        </w:tc>
      </w:tr>
      <w:tr w:rsidR="00E45E18" w:rsidRPr="009F44DD" w14:paraId="13676C31" w14:textId="77777777" w:rsidTr="00E45E18">
        <w:trPr>
          <w:trHeight w:val="330"/>
          <w:jc w:val="center"/>
        </w:trPr>
        <w:tc>
          <w:tcPr>
            <w:cnfStyle w:val="001000000000" w:firstRow="0" w:lastRow="0" w:firstColumn="1" w:lastColumn="0" w:oddVBand="0" w:evenVBand="0" w:oddHBand="0" w:evenHBand="0" w:firstRowFirstColumn="0" w:firstRowLastColumn="0" w:lastRowFirstColumn="0" w:lastRowLastColumn="0"/>
            <w:tcW w:w="1086" w:type="pct"/>
            <w:gridSpan w:val="2"/>
            <w:hideMark/>
          </w:tcPr>
          <w:p w14:paraId="439BE9A9"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SE(m)</w:t>
            </w:r>
          </w:p>
        </w:tc>
        <w:tc>
          <w:tcPr>
            <w:tcW w:w="642" w:type="pct"/>
          </w:tcPr>
          <w:p w14:paraId="4F5FD754"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0.35</w:t>
            </w:r>
          </w:p>
        </w:tc>
        <w:tc>
          <w:tcPr>
            <w:tcW w:w="898" w:type="pct"/>
            <w:gridSpan w:val="2"/>
          </w:tcPr>
          <w:p w14:paraId="2AD490AD"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0.16</w:t>
            </w:r>
          </w:p>
        </w:tc>
        <w:tc>
          <w:tcPr>
            <w:tcW w:w="808" w:type="pct"/>
            <w:gridSpan w:val="2"/>
          </w:tcPr>
          <w:p w14:paraId="37BF0A8D"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125.48</w:t>
            </w:r>
          </w:p>
        </w:tc>
        <w:tc>
          <w:tcPr>
            <w:tcW w:w="681" w:type="pct"/>
          </w:tcPr>
          <w:p w14:paraId="37048490"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98.92</w:t>
            </w:r>
          </w:p>
        </w:tc>
        <w:tc>
          <w:tcPr>
            <w:tcW w:w="884" w:type="pct"/>
            <w:hideMark/>
          </w:tcPr>
          <w:p w14:paraId="435E4AC6"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2.19</w:t>
            </w:r>
          </w:p>
        </w:tc>
      </w:tr>
      <w:tr w:rsidR="00E45E18" w:rsidRPr="009F44DD" w14:paraId="0B128448" w14:textId="77777777" w:rsidTr="00E45E1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86" w:type="pct"/>
            <w:gridSpan w:val="2"/>
            <w:hideMark/>
          </w:tcPr>
          <w:p w14:paraId="01AE5A9D"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SE(d)</w:t>
            </w:r>
          </w:p>
        </w:tc>
        <w:tc>
          <w:tcPr>
            <w:tcW w:w="642" w:type="pct"/>
          </w:tcPr>
          <w:p w14:paraId="18D6DF1A"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0.49</w:t>
            </w:r>
          </w:p>
        </w:tc>
        <w:tc>
          <w:tcPr>
            <w:tcW w:w="898" w:type="pct"/>
            <w:gridSpan w:val="2"/>
          </w:tcPr>
          <w:p w14:paraId="0639A66B"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0.23</w:t>
            </w:r>
          </w:p>
        </w:tc>
        <w:tc>
          <w:tcPr>
            <w:tcW w:w="808" w:type="pct"/>
            <w:gridSpan w:val="2"/>
          </w:tcPr>
          <w:p w14:paraId="6CB2034D"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177.45</w:t>
            </w:r>
          </w:p>
        </w:tc>
        <w:tc>
          <w:tcPr>
            <w:tcW w:w="681" w:type="pct"/>
          </w:tcPr>
          <w:p w14:paraId="0435962A"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139.89</w:t>
            </w:r>
          </w:p>
        </w:tc>
        <w:tc>
          <w:tcPr>
            <w:tcW w:w="884" w:type="pct"/>
            <w:hideMark/>
          </w:tcPr>
          <w:p w14:paraId="16CE8009"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3.10</w:t>
            </w:r>
          </w:p>
        </w:tc>
      </w:tr>
      <w:tr w:rsidR="00E45E18" w:rsidRPr="009F44DD" w14:paraId="507955C3" w14:textId="77777777" w:rsidTr="00E45E18">
        <w:trPr>
          <w:trHeight w:val="330"/>
          <w:jc w:val="center"/>
        </w:trPr>
        <w:tc>
          <w:tcPr>
            <w:cnfStyle w:val="001000000000" w:firstRow="0" w:lastRow="0" w:firstColumn="1" w:lastColumn="0" w:oddVBand="0" w:evenVBand="0" w:oddHBand="0" w:evenHBand="0" w:firstRowFirstColumn="0" w:firstRowLastColumn="0" w:lastRowFirstColumn="0" w:lastRowLastColumn="0"/>
            <w:tcW w:w="1086" w:type="pct"/>
            <w:gridSpan w:val="2"/>
            <w:hideMark/>
          </w:tcPr>
          <w:p w14:paraId="60697BAC"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C.V.</w:t>
            </w:r>
          </w:p>
        </w:tc>
        <w:tc>
          <w:tcPr>
            <w:tcW w:w="642" w:type="pct"/>
          </w:tcPr>
          <w:p w14:paraId="49BA5432"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6.62</w:t>
            </w:r>
          </w:p>
        </w:tc>
        <w:tc>
          <w:tcPr>
            <w:tcW w:w="898" w:type="pct"/>
            <w:gridSpan w:val="2"/>
          </w:tcPr>
          <w:p w14:paraId="0C3CCC6C"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10.05</w:t>
            </w:r>
          </w:p>
        </w:tc>
        <w:tc>
          <w:tcPr>
            <w:tcW w:w="808" w:type="pct"/>
            <w:gridSpan w:val="2"/>
          </w:tcPr>
          <w:p w14:paraId="137AFEF0"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6.90</w:t>
            </w:r>
          </w:p>
        </w:tc>
        <w:tc>
          <w:tcPr>
            <w:tcW w:w="681" w:type="pct"/>
          </w:tcPr>
          <w:p w14:paraId="7092FD66"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9.82</w:t>
            </w:r>
          </w:p>
        </w:tc>
        <w:tc>
          <w:tcPr>
            <w:tcW w:w="884" w:type="pct"/>
            <w:hideMark/>
          </w:tcPr>
          <w:p w14:paraId="52102572"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6.57</w:t>
            </w:r>
          </w:p>
        </w:tc>
      </w:tr>
      <w:tr w:rsidR="00E45E18" w:rsidRPr="009F44DD" w14:paraId="7662799B" w14:textId="77777777" w:rsidTr="00E45E1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86" w:type="pct"/>
            <w:gridSpan w:val="2"/>
          </w:tcPr>
          <w:p w14:paraId="59DC0164" w14:textId="77777777" w:rsidR="00B84603" w:rsidRPr="009F44DD" w:rsidRDefault="00B84603" w:rsidP="00977638">
            <w:pPr>
              <w:jc w:val="both"/>
              <w:rPr>
                <w:rFonts w:ascii="Times New Roman" w:hAnsi="Times New Roman" w:cs="Times New Roman"/>
                <w:sz w:val="20"/>
              </w:rPr>
            </w:pPr>
            <w:r w:rsidRPr="009F44DD">
              <w:rPr>
                <w:rFonts w:ascii="Times New Roman" w:hAnsi="Times New Roman" w:cs="Times New Roman"/>
                <w:sz w:val="20"/>
              </w:rPr>
              <w:t>F-Calculated</w:t>
            </w:r>
          </w:p>
          <w:p w14:paraId="682E3437" w14:textId="77777777" w:rsidR="00B84603" w:rsidRPr="009F44DD" w:rsidRDefault="00B84603" w:rsidP="00977638">
            <w:pPr>
              <w:jc w:val="both"/>
              <w:rPr>
                <w:rFonts w:ascii="Times New Roman" w:hAnsi="Times New Roman" w:cs="Times New Roman"/>
                <w:sz w:val="20"/>
              </w:rPr>
            </w:pPr>
          </w:p>
        </w:tc>
        <w:tc>
          <w:tcPr>
            <w:tcW w:w="642" w:type="pct"/>
          </w:tcPr>
          <w:p w14:paraId="4F96087B"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31.47*</w:t>
            </w:r>
          </w:p>
        </w:tc>
        <w:tc>
          <w:tcPr>
            <w:tcW w:w="898" w:type="pct"/>
            <w:gridSpan w:val="2"/>
          </w:tcPr>
          <w:p w14:paraId="49D0431B"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42.34*</w:t>
            </w:r>
          </w:p>
        </w:tc>
        <w:tc>
          <w:tcPr>
            <w:tcW w:w="808" w:type="pct"/>
            <w:gridSpan w:val="2"/>
          </w:tcPr>
          <w:p w14:paraId="55AB3647"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247.87*</w:t>
            </w:r>
          </w:p>
        </w:tc>
        <w:tc>
          <w:tcPr>
            <w:tcW w:w="681" w:type="pct"/>
          </w:tcPr>
          <w:p w14:paraId="244E28F9"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361.06*</w:t>
            </w:r>
          </w:p>
        </w:tc>
        <w:tc>
          <w:tcPr>
            <w:tcW w:w="884" w:type="pct"/>
          </w:tcPr>
          <w:p w14:paraId="65869080"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hAnsi="Times New Roman" w:cs="Times New Roman"/>
                <w:sz w:val="20"/>
              </w:rPr>
              <w:t>16*</w:t>
            </w:r>
          </w:p>
        </w:tc>
      </w:tr>
    </w:tbl>
    <w:p w14:paraId="695E4C69" w14:textId="6E4AB9E3" w:rsidR="00B84603" w:rsidRPr="009F44DD" w:rsidRDefault="00360CBD" w:rsidP="008D0A33">
      <w:pPr>
        <w:spacing w:before="100" w:beforeAutospacing="1" w:after="100" w:afterAutospacing="1"/>
        <w:jc w:val="center"/>
        <w:rPr>
          <w:rFonts w:ascii="Times New Roman" w:eastAsia="Times New Roman" w:hAnsi="Times New Roman" w:cs="Times New Roman"/>
          <w:b/>
          <w:bCs/>
          <w:color w:val="000000" w:themeColor="text1"/>
          <w:sz w:val="24"/>
          <w:szCs w:val="24"/>
          <w:lang w:eastAsia="en-IN"/>
        </w:rPr>
      </w:pPr>
      <w:r w:rsidRPr="009F44DD">
        <w:rPr>
          <w:rFonts w:ascii="Times New Roman" w:eastAsia="Times New Roman" w:hAnsi="Times New Roman" w:cs="Times New Roman"/>
          <w:b/>
          <w:bCs/>
          <w:color w:val="000000" w:themeColor="text1"/>
          <w:sz w:val="24"/>
          <w:szCs w:val="24"/>
          <w:lang w:eastAsia="en-IN"/>
        </w:rPr>
        <w:t>Table 2</w:t>
      </w:r>
      <w:r w:rsidR="00B84603" w:rsidRPr="009F44DD">
        <w:rPr>
          <w:rFonts w:ascii="Times New Roman" w:eastAsia="Times New Roman" w:hAnsi="Times New Roman" w:cs="Times New Roman"/>
          <w:b/>
          <w:bCs/>
          <w:color w:val="000000" w:themeColor="text1"/>
          <w:sz w:val="24"/>
          <w:szCs w:val="24"/>
          <w:lang w:eastAsia="en-IN"/>
        </w:rPr>
        <w:t xml:space="preserve">: </w:t>
      </w:r>
      <w:r w:rsidR="00DD0EF0" w:rsidRPr="00DD0EF0">
        <w:rPr>
          <w:rFonts w:ascii="Times New Roman" w:eastAsia="Times New Roman" w:hAnsi="Times New Roman" w:cs="Times New Roman"/>
          <w:color w:val="000000" w:themeColor="text1"/>
          <w:sz w:val="24"/>
          <w:szCs w:val="24"/>
          <w:lang w:eastAsia="en-IN"/>
        </w:rPr>
        <w:t xml:space="preserve">Seed </w:t>
      </w:r>
      <w:r w:rsidR="00DD0EF0">
        <w:rPr>
          <w:rFonts w:ascii="Times New Roman" w:eastAsia="Times New Roman" w:hAnsi="Times New Roman" w:cs="Times New Roman"/>
          <w:bCs/>
          <w:color w:val="000000" w:themeColor="text1"/>
          <w:sz w:val="24"/>
          <w:szCs w:val="24"/>
          <w:lang w:eastAsia="en-IN"/>
        </w:rPr>
        <w:t>m</w:t>
      </w:r>
      <w:r w:rsidR="00DD0EF0" w:rsidRPr="00DD0EF0">
        <w:rPr>
          <w:rFonts w:ascii="Times New Roman" w:eastAsia="Times New Roman" w:hAnsi="Times New Roman" w:cs="Times New Roman"/>
          <w:bCs/>
          <w:color w:val="000000" w:themeColor="text1"/>
          <w:sz w:val="24"/>
          <w:szCs w:val="24"/>
          <w:lang w:eastAsia="en-IN"/>
        </w:rPr>
        <w:t>orphological and physiological changes at different stages of maturity</w:t>
      </w:r>
    </w:p>
    <w:tbl>
      <w:tblPr>
        <w:tblStyle w:val="ListTable6Colorful"/>
        <w:tblW w:w="5000" w:type="pct"/>
        <w:tblLook w:val="04A0" w:firstRow="1" w:lastRow="0" w:firstColumn="1" w:lastColumn="0" w:noHBand="0" w:noVBand="1"/>
      </w:tblPr>
      <w:tblGrid>
        <w:gridCol w:w="950"/>
        <w:gridCol w:w="1060"/>
        <w:gridCol w:w="1060"/>
        <w:gridCol w:w="1579"/>
        <w:gridCol w:w="1579"/>
        <w:gridCol w:w="1129"/>
        <w:gridCol w:w="1669"/>
      </w:tblGrid>
      <w:tr w:rsidR="00B84603" w:rsidRPr="009F44DD" w14:paraId="14A1358E" w14:textId="77777777" w:rsidTr="009F44DD">
        <w:trPr>
          <w:cnfStyle w:val="100000000000" w:firstRow="1" w:lastRow="0" w:firstColumn="0" w:lastColumn="0" w:oddVBand="0" w:evenVBand="0" w:oddHBand="0"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520" w:type="pct"/>
            <w:hideMark/>
          </w:tcPr>
          <w:p w14:paraId="61A64C0F" w14:textId="77777777" w:rsidR="00B84603" w:rsidRPr="009F44DD" w:rsidRDefault="00B84603" w:rsidP="009F44DD">
            <w:pPr>
              <w:jc w:val="center"/>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Day After Anthesis</w:t>
            </w:r>
          </w:p>
        </w:tc>
        <w:tc>
          <w:tcPr>
            <w:tcW w:w="587" w:type="pct"/>
            <w:hideMark/>
          </w:tcPr>
          <w:p w14:paraId="43C0B537"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Seed Length (cm) Mean±SE</w:t>
            </w:r>
          </w:p>
        </w:tc>
        <w:tc>
          <w:tcPr>
            <w:tcW w:w="586" w:type="pct"/>
            <w:hideMark/>
          </w:tcPr>
          <w:p w14:paraId="52F4C9AF"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Seed Width (cm) Mean±SE</w:t>
            </w:r>
          </w:p>
        </w:tc>
        <w:tc>
          <w:tcPr>
            <w:tcW w:w="854" w:type="pct"/>
            <w:hideMark/>
          </w:tcPr>
          <w:p w14:paraId="13EA1C16"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Fresh Weight of 100 Seeds (g) Mean±SE</w:t>
            </w:r>
          </w:p>
        </w:tc>
        <w:tc>
          <w:tcPr>
            <w:tcW w:w="854" w:type="pct"/>
            <w:hideMark/>
          </w:tcPr>
          <w:p w14:paraId="174445D8"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Dry Weight of 100 Dry Seeds (g)</w:t>
            </w:r>
          </w:p>
          <w:p w14:paraId="31383EBE"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Mean±SE</w:t>
            </w:r>
          </w:p>
        </w:tc>
        <w:tc>
          <w:tcPr>
            <w:tcW w:w="645" w:type="pct"/>
            <w:hideMark/>
          </w:tcPr>
          <w:p w14:paraId="55CBDF9B"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Moisture Content (%) Mean±SE</w:t>
            </w:r>
          </w:p>
        </w:tc>
        <w:tc>
          <w:tcPr>
            <w:tcW w:w="954" w:type="pct"/>
            <w:hideMark/>
          </w:tcPr>
          <w:p w14:paraId="094E1C52" w14:textId="77777777" w:rsidR="00B84603" w:rsidRPr="009F44DD" w:rsidRDefault="00B84603" w:rsidP="009F44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eastAsia="en-IN"/>
              </w:rPr>
            </w:pPr>
            <w:r w:rsidRPr="009F44DD">
              <w:rPr>
                <w:rFonts w:ascii="Times New Roman" w:eastAsia="Times New Roman" w:hAnsi="Times New Roman" w:cs="Times New Roman"/>
                <w:sz w:val="20"/>
                <w:lang w:eastAsia="en-IN"/>
              </w:rPr>
              <w:t>Seed Colour (As per RHS colour chart)</w:t>
            </w:r>
          </w:p>
        </w:tc>
      </w:tr>
      <w:tr w:rsidR="00B84603" w:rsidRPr="009F44DD" w14:paraId="15AAB63E" w14:textId="77777777" w:rsidTr="009F44D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20" w:type="pct"/>
            <w:hideMark/>
          </w:tcPr>
          <w:p w14:paraId="0790522B"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20 DAA</w:t>
            </w:r>
          </w:p>
        </w:tc>
        <w:tc>
          <w:tcPr>
            <w:tcW w:w="587" w:type="pct"/>
            <w:hideMark/>
          </w:tcPr>
          <w:p w14:paraId="46ACFD55"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0.96+0.05</w:t>
            </w:r>
          </w:p>
        </w:tc>
        <w:tc>
          <w:tcPr>
            <w:tcW w:w="586" w:type="pct"/>
            <w:hideMark/>
          </w:tcPr>
          <w:p w14:paraId="757F8B2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0.54+0.02</w:t>
            </w:r>
          </w:p>
        </w:tc>
        <w:tc>
          <w:tcPr>
            <w:tcW w:w="854" w:type="pct"/>
            <w:hideMark/>
          </w:tcPr>
          <w:p w14:paraId="390B53BB"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106+5.51</w:t>
            </w:r>
          </w:p>
        </w:tc>
        <w:tc>
          <w:tcPr>
            <w:tcW w:w="854" w:type="pct"/>
            <w:hideMark/>
          </w:tcPr>
          <w:p w14:paraId="0297F5B1"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14.68+2.41</w:t>
            </w:r>
          </w:p>
        </w:tc>
        <w:tc>
          <w:tcPr>
            <w:tcW w:w="645" w:type="pct"/>
            <w:hideMark/>
          </w:tcPr>
          <w:p w14:paraId="1AB94917"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85.85+2.97</w:t>
            </w:r>
          </w:p>
        </w:tc>
        <w:tc>
          <w:tcPr>
            <w:tcW w:w="954" w:type="pct"/>
            <w:hideMark/>
          </w:tcPr>
          <w:p w14:paraId="5135BD44"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Greyed Orange Group N170 (Moderate Pink D)</w:t>
            </w:r>
          </w:p>
        </w:tc>
      </w:tr>
      <w:tr w:rsidR="00B84603" w:rsidRPr="009F44DD" w14:paraId="43464790" w14:textId="77777777" w:rsidTr="009F44DD">
        <w:trPr>
          <w:trHeight w:val="690"/>
        </w:trPr>
        <w:tc>
          <w:tcPr>
            <w:cnfStyle w:val="001000000000" w:firstRow="0" w:lastRow="0" w:firstColumn="1" w:lastColumn="0" w:oddVBand="0" w:evenVBand="0" w:oddHBand="0" w:evenHBand="0" w:firstRowFirstColumn="0" w:firstRowLastColumn="0" w:lastRowFirstColumn="0" w:lastRowLastColumn="0"/>
            <w:tcW w:w="520" w:type="pct"/>
            <w:hideMark/>
          </w:tcPr>
          <w:p w14:paraId="511E2883"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40 DAA</w:t>
            </w:r>
          </w:p>
        </w:tc>
        <w:tc>
          <w:tcPr>
            <w:tcW w:w="587" w:type="pct"/>
            <w:hideMark/>
          </w:tcPr>
          <w:p w14:paraId="0D050814"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2.06+0.11</w:t>
            </w:r>
          </w:p>
        </w:tc>
        <w:tc>
          <w:tcPr>
            <w:tcW w:w="586" w:type="pct"/>
            <w:hideMark/>
          </w:tcPr>
          <w:p w14:paraId="15139C9E"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1.67+0.06</w:t>
            </w:r>
          </w:p>
        </w:tc>
        <w:tc>
          <w:tcPr>
            <w:tcW w:w="854" w:type="pct"/>
            <w:hideMark/>
          </w:tcPr>
          <w:p w14:paraId="2C6C1977"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471+24.47</w:t>
            </w:r>
          </w:p>
        </w:tc>
        <w:tc>
          <w:tcPr>
            <w:tcW w:w="854" w:type="pct"/>
            <w:hideMark/>
          </w:tcPr>
          <w:p w14:paraId="4A19A952"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77.58+9.66</w:t>
            </w:r>
          </w:p>
        </w:tc>
        <w:tc>
          <w:tcPr>
            <w:tcW w:w="645" w:type="pct"/>
            <w:hideMark/>
          </w:tcPr>
          <w:p w14:paraId="55818661"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83.23+2.88</w:t>
            </w:r>
          </w:p>
        </w:tc>
        <w:tc>
          <w:tcPr>
            <w:tcW w:w="954" w:type="pct"/>
            <w:hideMark/>
          </w:tcPr>
          <w:p w14:paraId="650D1E0A"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Greyed Orange Group N170 (Moderate Pink D)</w:t>
            </w:r>
          </w:p>
        </w:tc>
      </w:tr>
      <w:tr w:rsidR="00B84603" w:rsidRPr="009F44DD" w14:paraId="4A6EFC98" w14:textId="77777777" w:rsidTr="009F44DD">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520" w:type="pct"/>
            <w:hideMark/>
          </w:tcPr>
          <w:p w14:paraId="7A3448A9"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50 DAA</w:t>
            </w:r>
          </w:p>
        </w:tc>
        <w:tc>
          <w:tcPr>
            <w:tcW w:w="587" w:type="pct"/>
            <w:hideMark/>
          </w:tcPr>
          <w:p w14:paraId="42D46412"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2.26+0.12</w:t>
            </w:r>
          </w:p>
        </w:tc>
        <w:tc>
          <w:tcPr>
            <w:tcW w:w="586" w:type="pct"/>
            <w:hideMark/>
          </w:tcPr>
          <w:p w14:paraId="690FD6EF"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2.07+0.08</w:t>
            </w:r>
          </w:p>
        </w:tc>
        <w:tc>
          <w:tcPr>
            <w:tcW w:w="854" w:type="pct"/>
            <w:hideMark/>
          </w:tcPr>
          <w:p w14:paraId="1FB58B35"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927+48.17</w:t>
            </w:r>
          </w:p>
        </w:tc>
        <w:tc>
          <w:tcPr>
            <w:tcW w:w="854" w:type="pct"/>
            <w:hideMark/>
          </w:tcPr>
          <w:p w14:paraId="12AA37D0"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213.75+13.82</w:t>
            </w:r>
          </w:p>
        </w:tc>
        <w:tc>
          <w:tcPr>
            <w:tcW w:w="645" w:type="pct"/>
            <w:hideMark/>
          </w:tcPr>
          <w:p w14:paraId="272BEBF3"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76.67+2.65</w:t>
            </w:r>
          </w:p>
        </w:tc>
        <w:tc>
          <w:tcPr>
            <w:tcW w:w="954" w:type="pct"/>
            <w:hideMark/>
          </w:tcPr>
          <w:p w14:paraId="5B078465"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Greyed Orange Group 170 (Moderate Orange B)</w:t>
            </w:r>
          </w:p>
        </w:tc>
      </w:tr>
      <w:tr w:rsidR="00B84603" w:rsidRPr="009F44DD" w14:paraId="42774F68" w14:textId="77777777" w:rsidTr="009F44DD">
        <w:trPr>
          <w:trHeight w:val="756"/>
        </w:trPr>
        <w:tc>
          <w:tcPr>
            <w:cnfStyle w:val="001000000000" w:firstRow="0" w:lastRow="0" w:firstColumn="1" w:lastColumn="0" w:oddVBand="0" w:evenVBand="0" w:oddHBand="0" w:evenHBand="0" w:firstRowFirstColumn="0" w:firstRowLastColumn="0" w:lastRowFirstColumn="0" w:lastRowLastColumn="0"/>
            <w:tcW w:w="520" w:type="pct"/>
            <w:hideMark/>
          </w:tcPr>
          <w:p w14:paraId="1EDD2E42"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60 DAA</w:t>
            </w:r>
          </w:p>
        </w:tc>
        <w:tc>
          <w:tcPr>
            <w:tcW w:w="587" w:type="pct"/>
            <w:hideMark/>
          </w:tcPr>
          <w:p w14:paraId="2644680E"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2.28+0.12</w:t>
            </w:r>
          </w:p>
        </w:tc>
        <w:tc>
          <w:tcPr>
            <w:tcW w:w="586" w:type="pct"/>
            <w:hideMark/>
          </w:tcPr>
          <w:p w14:paraId="29589EE7"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2.27+0.09</w:t>
            </w:r>
          </w:p>
        </w:tc>
        <w:tc>
          <w:tcPr>
            <w:tcW w:w="854" w:type="pct"/>
            <w:hideMark/>
          </w:tcPr>
          <w:p w14:paraId="47D4D823"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1,042.00+54.14</w:t>
            </w:r>
          </w:p>
        </w:tc>
        <w:tc>
          <w:tcPr>
            <w:tcW w:w="854" w:type="pct"/>
            <w:hideMark/>
          </w:tcPr>
          <w:p w14:paraId="4B7496D9"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335.64+7.66</w:t>
            </w:r>
          </w:p>
        </w:tc>
        <w:tc>
          <w:tcPr>
            <w:tcW w:w="645" w:type="pct"/>
            <w:hideMark/>
          </w:tcPr>
          <w:p w14:paraId="52CBDE65"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67.55+2.34</w:t>
            </w:r>
          </w:p>
        </w:tc>
        <w:tc>
          <w:tcPr>
            <w:tcW w:w="954" w:type="pct"/>
            <w:hideMark/>
          </w:tcPr>
          <w:p w14:paraId="721FA12E"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Greyed Orange Group 175 (Dark Reddish Orange C)</w:t>
            </w:r>
          </w:p>
        </w:tc>
      </w:tr>
      <w:tr w:rsidR="00B84603" w:rsidRPr="009F44DD" w14:paraId="65419656" w14:textId="77777777" w:rsidTr="009F44DD">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520" w:type="pct"/>
            <w:hideMark/>
          </w:tcPr>
          <w:p w14:paraId="762E1F9F"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70 DAA</w:t>
            </w:r>
          </w:p>
        </w:tc>
        <w:tc>
          <w:tcPr>
            <w:tcW w:w="587" w:type="pct"/>
            <w:hideMark/>
          </w:tcPr>
          <w:p w14:paraId="6280049B"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2.58+0.13</w:t>
            </w:r>
          </w:p>
        </w:tc>
        <w:tc>
          <w:tcPr>
            <w:tcW w:w="586" w:type="pct"/>
            <w:hideMark/>
          </w:tcPr>
          <w:p w14:paraId="643D933C"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2.35+0.09</w:t>
            </w:r>
          </w:p>
        </w:tc>
        <w:tc>
          <w:tcPr>
            <w:tcW w:w="854" w:type="pct"/>
            <w:hideMark/>
          </w:tcPr>
          <w:p w14:paraId="29465857"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1,525.00+79.24</w:t>
            </w:r>
          </w:p>
        </w:tc>
        <w:tc>
          <w:tcPr>
            <w:tcW w:w="854" w:type="pct"/>
            <w:hideMark/>
          </w:tcPr>
          <w:p w14:paraId="0AB7B888"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1,209.01+52.02</w:t>
            </w:r>
          </w:p>
        </w:tc>
        <w:tc>
          <w:tcPr>
            <w:tcW w:w="645" w:type="pct"/>
            <w:hideMark/>
          </w:tcPr>
          <w:p w14:paraId="452EF25A"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20.65+0.72</w:t>
            </w:r>
          </w:p>
        </w:tc>
        <w:tc>
          <w:tcPr>
            <w:tcW w:w="954" w:type="pct"/>
            <w:hideMark/>
          </w:tcPr>
          <w:p w14:paraId="35144255"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Greyed Orange Group 174 (Greyish Reddish Orange B)</w:t>
            </w:r>
          </w:p>
        </w:tc>
      </w:tr>
      <w:tr w:rsidR="00B84603" w:rsidRPr="009F44DD" w14:paraId="29915AFB" w14:textId="77777777" w:rsidTr="009F44DD">
        <w:trPr>
          <w:trHeight w:val="1040"/>
        </w:trPr>
        <w:tc>
          <w:tcPr>
            <w:cnfStyle w:val="001000000000" w:firstRow="0" w:lastRow="0" w:firstColumn="1" w:lastColumn="0" w:oddVBand="0" w:evenVBand="0" w:oddHBand="0" w:evenHBand="0" w:firstRowFirstColumn="0" w:firstRowLastColumn="0" w:lastRowFirstColumn="0" w:lastRowLastColumn="0"/>
            <w:tcW w:w="520" w:type="pct"/>
            <w:hideMark/>
          </w:tcPr>
          <w:p w14:paraId="20314AD2"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80 DAA</w:t>
            </w:r>
          </w:p>
        </w:tc>
        <w:tc>
          <w:tcPr>
            <w:tcW w:w="587" w:type="pct"/>
            <w:hideMark/>
          </w:tcPr>
          <w:p w14:paraId="1E100B25"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2.94+0.15</w:t>
            </w:r>
          </w:p>
        </w:tc>
        <w:tc>
          <w:tcPr>
            <w:tcW w:w="586" w:type="pct"/>
            <w:hideMark/>
          </w:tcPr>
          <w:p w14:paraId="68884E66"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2.37+0.09</w:t>
            </w:r>
          </w:p>
        </w:tc>
        <w:tc>
          <w:tcPr>
            <w:tcW w:w="854" w:type="pct"/>
            <w:hideMark/>
          </w:tcPr>
          <w:p w14:paraId="50349597"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2,299.00+119.46</w:t>
            </w:r>
          </w:p>
        </w:tc>
        <w:tc>
          <w:tcPr>
            <w:tcW w:w="854" w:type="pct"/>
            <w:hideMark/>
          </w:tcPr>
          <w:p w14:paraId="0C5BA956"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2,225.37+113.11</w:t>
            </w:r>
          </w:p>
        </w:tc>
        <w:tc>
          <w:tcPr>
            <w:tcW w:w="645" w:type="pct"/>
            <w:hideMark/>
          </w:tcPr>
          <w:p w14:paraId="337BF5CD"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3.19+0.11</w:t>
            </w:r>
          </w:p>
        </w:tc>
        <w:tc>
          <w:tcPr>
            <w:tcW w:w="954" w:type="pct"/>
            <w:hideMark/>
          </w:tcPr>
          <w:p w14:paraId="35917DBC"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Greyed Orange Group 174 (Greyish Reddish Orange B)</w:t>
            </w:r>
          </w:p>
        </w:tc>
      </w:tr>
      <w:tr w:rsidR="00B84603" w:rsidRPr="009F44DD" w14:paraId="713163F6" w14:textId="77777777" w:rsidTr="009F44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7" w:type="pct"/>
            <w:gridSpan w:val="2"/>
            <w:hideMark/>
          </w:tcPr>
          <w:p w14:paraId="485C262D"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C.D.</w:t>
            </w:r>
          </w:p>
        </w:tc>
        <w:tc>
          <w:tcPr>
            <w:tcW w:w="586" w:type="pct"/>
          </w:tcPr>
          <w:p w14:paraId="123161C5"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0.37</w:t>
            </w:r>
          </w:p>
        </w:tc>
        <w:tc>
          <w:tcPr>
            <w:tcW w:w="854" w:type="pct"/>
          </w:tcPr>
          <w:p w14:paraId="0B8078B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0.23</w:t>
            </w:r>
          </w:p>
        </w:tc>
        <w:tc>
          <w:tcPr>
            <w:tcW w:w="854" w:type="pct"/>
          </w:tcPr>
          <w:p w14:paraId="5AA4D103"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206.78</w:t>
            </w:r>
          </w:p>
        </w:tc>
        <w:tc>
          <w:tcPr>
            <w:tcW w:w="645" w:type="pct"/>
          </w:tcPr>
          <w:p w14:paraId="7FF33E92"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160.12</w:t>
            </w:r>
          </w:p>
        </w:tc>
        <w:tc>
          <w:tcPr>
            <w:tcW w:w="954" w:type="pct"/>
            <w:hideMark/>
          </w:tcPr>
          <w:p w14:paraId="31B4691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6.98</w:t>
            </w:r>
          </w:p>
        </w:tc>
      </w:tr>
      <w:tr w:rsidR="00B84603" w:rsidRPr="009F44DD" w14:paraId="4008F92D" w14:textId="77777777" w:rsidTr="009F44DD">
        <w:trPr>
          <w:trHeight w:val="275"/>
        </w:trPr>
        <w:tc>
          <w:tcPr>
            <w:cnfStyle w:val="001000000000" w:firstRow="0" w:lastRow="0" w:firstColumn="1" w:lastColumn="0" w:oddVBand="0" w:evenVBand="0" w:oddHBand="0" w:evenHBand="0" w:firstRowFirstColumn="0" w:firstRowLastColumn="0" w:lastRowFirstColumn="0" w:lastRowLastColumn="0"/>
            <w:tcW w:w="1107" w:type="pct"/>
            <w:gridSpan w:val="2"/>
            <w:hideMark/>
          </w:tcPr>
          <w:p w14:paraId="0ED4B9D3"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SE(m)</w:t>
            </w:r>
          </w:p>
        </w:tc>
        <w:tc>
          <w:tcPr>
            <w:tcW w:w="586" w:type="pct"/>
          </w:tcPr>
          <w:p w14:paraId="11E98509"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0.12</w:t>
            </w:r>
          </w:p>
        </w:tc>
        <w:tc>
          <w:tcPr>
            <w:tcW w:w="854" w:type="pct"/>
          </w:tcPr>
          <w:p w14:paraId="46A15248"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0.07</w:t>
            </w:r>
          </w:p>
        </w:tc>
        <w:tc>
          <w:tcPr>
            <w:tcW w:w="854" w:type="pct"/>
          </w:tcPr>
          <w:p w14:paraId="35DE6DD9"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66.37</w:t>
            </w:r>
          </w:p>
        </w:tc>
        <w:tc>
          <w:tcPr>
            <w:tcW w:w="645" w:type="pct"/>
          </w:tcPr>
          <w:p w14:paraId="3128E192"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51.4</w:t>
            </w:r>
          </w:p>
        </w:tc>
        <w:tc>
          <w:tcPr>
            <w:tcW w:w="954" w:type="pct"/>
            <w:hideMark/>
          </w:tcPr>
          <w:p w14:paraId="08625950"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2.24</w:t>
            </w:r>
          </w:p>
        </w:tc>
      </w:tr>
      <w:tr w:rsidR="00B84603" w:rsidRPr="009F44DD" w14:paraId="6148C36A" w14:textId="77777777" w:rsidTr="009F44D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07" w:type="pct"/>
            <w:gridSpan w:val="2"/>
            <w:hideMark/>
          </w:tcPr>
          <w:p w14:paraId="334C0625"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SE(d)</w:t>
            </w:r>
          </w:p>
        </w:tc>
        <w:tc>
          <w:tcPr>
            <w:tcW w:w="586" w:type="pct"/>
          </w:tcPr>
          <w:p w14:paraId="06948845"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0.17</w:t>
            </w:r>
          </w:p>
        </w:tc>
        <w:tc>
          <w:tcPr>
            <w:tcW w:w="854" w:type="pct"/>
          </w:tcPr>
          <w:p w14:paraId="0B3C75D8"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0.11</w:t>
            </w:r>
          </w:p>
        </w:tc>
        <w:tc>
          <w:tcPr>
            <w:tcW w:w="854" w:type="pct"/>
          </w:tcPr>
          <w:p w14:paraId="29818A7B"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93.86</w:t>
            </w:r>
          </w:p>
        </w:tc>
        <w:tc>
          <w:tcPr>
            <w:tcW w:w="645" w:type="pct"/>
          </w:tcPr>
          <w:p w14:paraId="69AA4E33"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72.68</w:t>
            </w:r>
          </w:p>
        </w:tc>
        <w:tc>
          <w:tcPr>
            <w:tcW w:w="954" w:type="pct"/>
            <w:hideMark/>
          </w:tcPr>
          <w:p w14:paraId="4586D93D"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3.17</w:t>
            </w:r>
          </w:p>
        </w:tc>
      </w:tr>
      <w:tr w:rsidR="00B84603" w:rsidRPr="009F44DD" w14:paraId="5149FC79" w14:textId="77777777" w:rsidTr="009F44DD">
        <w:trPr>
          <w:trHeight w:val="269"/>
        </w:trPr>
        <w:tc>
          <w:tcPr>
            <w:cnfStyle w:val="001000000000" w:firstRow="0" w:lastRow="0" w:firstColumn="1" w:lastColumn="0" w:oddVBand="0" w:evenVBand="0" w:oddHBand="0" w:evenHBand="0" w:firstRowFirstColumn="0" w:firstRowLastColumn="0" w:lastRowFirstColumn="0" w:lastRowLastColumn="0"/>
            <w:tcW w:w="1107" w:type="pct"/>
            <w:gridSpan w:val="2"/>
            <w:hideMark/>
          </w:tcPr>
          <w:p w14:paraId="3F7D9392" w14:textId="77777777" w:rsidR="00B84603" w:rsidRPr="009F44DD" w:rsidRDefault="00B84603" w:rsidP="00977638">
            <w:pPr>
              <w:jc w:val="both"/>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C.V.</w:t>
            </w:r>
          </w:p>
        </w:tc>
        <w:tc>
          <w:tcPr>
            <w:tcW w:w="586" w:type="pct"/>
          </w:tcPr>
          <w:p w14:paraId="4F932E9E"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9.35</w:t>
            </w:r>
          </w:p>
        </w:tc>
        <w:tc>
          <w:tcPr>
            <w:tcW w:w="854" w:type="pct"/>
          </w:tcPr>
          <w:p w14:paraId="5C70306C"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6.86</w:t>
            </w:r>
          </w:p>
        </w:tc>
        <w:tc>
          <w:tcPr>
            <w:tcW w:w="854" w:type="pct"/>
          </w:tcPr>
          <w:p w14:paraId="56FE94F2"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10.83</w:t>
            </w:r>
          </w:p>
        </w:tc>
        <w:tc>
          <w:tcPr>
            <w:tcW w:w="645" w:type="pct"/>
          </w:tcPr>
          <w:p w14:paraId="7FA4EF76"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p>
        </w:tc>
        <w:tc>
          <w:tcPr>
            <w:tcW w:w="954" w:type="pct"/>
            <w:hideMark/>
          </w:tcPr>
          <w:p w14:paraId="7583831E" w14:textId="77777777" w:rsidR="00B84603" w:rsidRPr="009F44DD"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IN"/>
              </w:rPr>
            </w:pPr>
            <w:r w:rsidRPr="009F44DD">
              <w:rPr>
                <w:rFonts w:ascii="Times New Roman" w:eastAsia="Times New Roman" w:hAnsi="Times New Roman" w:cs="Times New Roman"/>
                <w:sz w:val="20"/>
                <w:lang w:eastAsia="en-IN"/>
              </w:rPr>
              <w:t>6.9</w:t>
            </w:r>
          </w:p>
        </w:tc>
      </w:tr>
      <w:tr w:rsidR="00B84603" w:rsidRPr="009F44DD" w14:paraId="77F0D643" w14:textId="77777777" w:rsidTr="009F44DD">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107" w:type="pct"/>
            <w:gridSpan w:val="2"/>
          </w:tcPr>
          <w:p w14:paraId="1E67A16D" w14:textId="77777777" w:rsidR="00B84603" w:rsidRPr="009F44DD" w:rsidRDefault="00B84603" w:rsidP="00977638">
            <w:pPr>
              <w:jc w:val="both"/>
              <w:rPr>
                <w:rFonts w:ascii="Times New Roman" w:hAnsi="Times New Roman" w:cs="Times New Roman"/>
                <w:sz w:val="20"/>
              </w:rPr>
            </w:pPr>
            <w:r w:rsidRPr="009F44DD">
              <w:rPr>
                <w:rFonts w:ascii="Times New Roman" w:hAnsi="Times New Roman" w:cs="Times New Roman"/>
                <w:sz w:val="20"/>
              </w:rPr>
              <w:t>F-Calculated</w:t>
            </w:r>
          </w:p>
          <w:p w14:paraId="08A8828E" w14:textId="77777777" w:rsidR="00B84603" w:rsidRPr="009F44DD" w:rsidRDefault="00B84603" w:rsidP="00977638">
            <w:pPr>
              <w:jc w:val="both"/>
              <w:rPr>
                <w:rFonts w:ascii="Times New Roman" w:eastAsia="Times New Roman" w:hAnsi="Times New Roman" w:cs="Times New Roman"/>
                <w:sz w:val="20"/>
                <w:lang w:eastAsia="en-IN"/>
              </w:rPr>
            </w:pPr>
          </w:p>
        </w:tc>
        <w:tc>
          <w:tcPr>
            <w:tcW w:w="586" w:type="pct"/>
          </w:tcPr>
          <w:p w14:paraId="43A53EA7"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32.59*</w:t>
            </w:r>
          </w:p>
          <w:p w14:paraId="356167E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p>
        </w:tc>
        <w:tc>
          <w:tcPr>
            <w:tcW w:w="854" w:type="pct"/>
          </w:tcPr>
          <w:p w14:paraId="74DCF870"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89.91*</w:t>
            </w:r>
          </w:p>
          <w:p w14:paraId="5C33DED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p>
        </w:tc>
        <w:tc>
          <w:tcPr>
            <w:tcW w:w="854" w:type="pct"/>
          </w:tcPr>
          <w:p w14:paraId="4CF9BFFE"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137.40*</w:t>
            </w:r>
          </w:p>
          <w:p w14:paraId="244748D8"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p>
        </w:tc>
        <w:tc>
          <w:tcPr>
            <w:tcW w:w="645" w:type="pct"/>
          </w:tcPr>
          <w:p w14:paraId="5DC24A94"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288.44*</w:t>
            </w:r>
          </w:p>
          <w:p w14:paraId="01B3EDE1"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p>
        </w:tc>
        <w:tc>
          <w:tcPr>
            <w:tcW w:w="954" w:type="pct"/>
          </w:tcPr>
          <w:p w14:paraId="6EB9899B"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44DD">
              <w:rPr>
                <w:rFonts w:ascii="Times New Roman" w:hAnsi="Times New Roman" w:cs="Times New Roman"/>
                <w:sz w:val="20"/>
              </w:rPr>
              <w:t>248.59*</w:t>
            </w:r>
          </w:p>
          <w:p w14:paraId="5EE0FA57" w14:textId="77777777" w:rsidR="00B84603" w:rsidRPr="009F44DD"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eastAsia="en-IN"/>
              </w:rPr>
            </w:pPr>
          </w:p>
        </w:tc>
      </w:tr>
    </w:tbl>
    <w:p w14:paraId="45290FB7" w14:textId="648B890D" w:rsidR="00B84603" w:rsidRPr="009F44DD" w:rsidRDefault="00360CBD" w:rsidP="008D0A33">
      <w:pPr>
        <w:spacing w:before="100" w:beforeAutospacing="1" w:after="100" w:afterAutospacing="1"/>
        <w:jc w:val="center"/>
        <w:rPr>
          <w:rFonts w:ascii="Times New Roman" w:eastAsia="Times New Roman" w:hAnsi="Times New Roman" w:cs="Times New Roman"/>
          <w:b/>
          <w:color w:val="000000" w:themeColor="text1"/>
          <w:sz w:val="24"/>
          <w:szCs w:val="24"/>
          <w:lang w:eastAsia="en-IN"/>
        </w:rPr>
      </w:pPr>
      <w:r w:rsidRPr="009F44DD">
        <w:rPr>
          <w:rFonts w:ascii="Times New Roman" w:eastAsia="Times New Roman" w:hAnsi="Times New Roman" w:cs="Times New Roman"/>
          <w:b/>
          <w:bCs/>
          <w:color w:val="000000" w:themeColor="text1"/>
          <w:sz w:val="24"/>
          <w:szCs w:val="24"/>
          <w:lang w:eastAsia="en-IN"/>
        </w:rPr>
        <w:t>Table 3</w:t>
      </w:r>
      <w:r w:rsidR="00B84603" w:rsidRPr="009F44DD">
        <w:rPr>
          <w:rFonts w:ascii="Times New Roman" w:eastAsia="Times New Roman" w:hAnsi="Times New Roman" w:cs="Times New Roman"/>
          <w:b/>
          <w:bCs/>
          <w:color w:val="000000" w:themeColor="text1"/>
          <w:sz w:val="24"/>
          <w:szCs w:val="24"/>
          <w:lang w:eastAsia="en-IN"/>
        </w:rPr>
        <w:t xml:space="preserve">: </w:t>
      </w:r>
      <w:r w:rsidR="00DD0EF0">
        <w:rPr>
          <w:rFonts w:ascii="Times New Roman" w:eastAsia="Times New Roman" w:hAnsi="Times New Roman" w:cs="Times New Roman"/>
          <w:bCs/>
          <w:color w:val="000000" w:themeColor="text1"/>
          <w:sz w:val="24"/>
          <w:szCs w:val="24"/>
          <w:lang w:eastAsia="en-IN"/>
        </w:rPr>
        <w:t>G</w:t>
      </w:r>
      <w:r w:rsidR="00DD0EF0" w:rsidRPr="00DD0EF0">
        <w:rPr>
          <w:rFonts w:ascii="Times New Roman" w:eastAsia="Times New Roman" w:hAnsi="Times New Roman" w:cs="Times New Roman"/>
          <w:bCs/>
          <w:color w:val="000000" w:themeColor="text1"/>
          <w:sz w:val="24"/>
          <w:szCs w:val="24"/>
          <w:lang w:eastAsia="en-IN"/>
        </w:rPr>
        <w:t xml:space="preserve">ermination, seedling length, and vigour index </w:t>
      </w:r>
      <w:r w:rsidR="00DD0EF0">
        <w:rPr>
          <w:rFonts w:ascii="Times New Roman" w:eastAsia="Times New Roman" w:hAnsi="Times New Roman" w:cs="Times New Roman"/>
          <w:bCs/>
          <w:color w:val="000000" w:themeColor="text1"/>
          <w:sz w:val="24"/>
          <w:szCs w:val="24"/>
          <w:lang w:eastAsia="en-IN"/>
        </w:rPr>
        <w:t xml:space="preserve">I </w:t>
      </w:r>
      <w:r w:rsidR="00DD0EF0" w:rsidRPr="00DD0EF0">
        <w:rPr>
          <w:rFonts w:ascii="Times New Roman" w:eastAsia="Times New Roman" w:hAnsi="Times New Roman" w:cs="Times New Roman"/>
          <w:bCs/>
          <w:color w:val="000000" w:themeColor="text1"/>
          <w:sz w:val="24"/>
          <w:szCs w:val="24"/>
          <w:lang w:eastAsia="en-IN"/>
        </w:rPr>
        <w:t>at various stages of maturity</w:t>
      </w:r>
    </w:p>
    <w:tbl>
      <w:tblPr>
        <w:tblStyle w:val="ListTable2"/>
        <w:tblW w:w="5000" w:type="pct"/>
        <w:tblLook w:val="04A0" w:firstRow="1" w:lastRow="0" w:firstColumn="1" w:lastColumn="0" w:noHBand="0" w:noVBand="1"/>
      </w:tblPr>
      <w:tblGrid>
        <w:gridCol w:w="1324"/>
        <w:gridCol w:w="1775"/>
        <w:gridCol w:w="2033"/>
        <w:gridCol w:w="1775"/>
        <w:gridCol w:w="2119"/>
      </w:tblGrid>
      <w:tr w:rsidR="00B84603" w:rsidRPr="005444F6" w14:paraId="0B5378A2" w14:textId="77777777" w:rsidTr="005444F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734" w:type="pct"/>
            <w:hideMark/>
          </w:tcPr>
          <w:p w14:paraId="534CAA55" w14:textId="77777777" w:rsidR="00B84603" w:rsidRPr="005444F6" w:rsidRDefault="00B84603" w:rsidP="005444F6">
            <w:pPr>
              <w:spacing w:line="276" w:lineRule="auto"/>
              <w:jc w:val="center"/>
              <w:rPr>
                <w:rFonts w:ascii="Times New Roman" w:eastAsia="Times New Roman" w:hAnsi="Times New Roman" w:cs="Times New Roman"/>
                <w:b w:val="0"/>
                <w:bCs w:val="0"/>
                <w:color w:val="000000" w:themeColor="text1"/>
                <w:sz w:val="20"/>
                <w:lang w:eastAsia="en-IN"/>
              </w:rPr>
            </w:pPr>
            <w:r w:rsidRPr="005444F6">
              <w:rPr>
                <w:rFonts w:ascii="Times New Roman" w:eastAsia="Times New Roman" w:hAnsi="Times New Roman" w:cs="Times New Roman"/>
                <w:color w:val="000000" w:themeColor="text1"/>
                <w:sz w:val="20"/>
                <w:lang w:eastAsia="en-IN"/>
              </w:rPr>
              <w:lastRenderedPageBreak/>
              <w:t>Day after Anthesis</w:t>
            </w:r>
          </w:p>
        </w:tc>
        <w:tc>
          <w:tcPr>
            <w:tcW w:w="983" w:type="pct"/>
            <w:hideMark/>
          </w:tcPr>
          <w:p w14:paraId="3F2F6A54" w14:textId="77777777" w:rsidR="00B84603" w:rsidRPr="005444F6" w:rsidRDefault="00B84603" w:rsidP="005444F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lang w:eastAsia="en-IN"/>
              </w:rPr>
            </w:pPr>
            <w:r w:rsidRPr="005444F6">
              <w:rPr>
                <w:rFonts w:ascii="Times New Roman" w:eastAsia="Times New Roman" w:hAnsi="Times New Roman" w:cs="Times New Roman"/>
                <w:color w:val="000000" w:themeColor="text1"/>
                <w:sz w:val="20"/>
                <w:lang w:eastAsia="en-IN"/>
              </w:rPr>
              <w:t>Germination n% Mean±SE</w:t>
            </w:r>
          </w:p>
        </w:tc>
        <w:tc>
          <w:tcPr>
            <w:tcW w:w="1126" w:type="pct"/>
          </w:tcPr>
          <w:p w14:paraId="190EDE20" w14:textId="77777777" w:rsidR="00B84603" w:rsidRPr="005444F6" w:rsidRDefault="00B84603" w:rsidP="005444F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rPr>
            </w:pPr>
            <w:r w:rsidRPr="005444F6">
              <w:rPr>
                <w:rFonts w:ascii="Times New Roman" w:hAnsi="Times New Roman" w:cs="Times New Roman"/>
                <w:color w:val="000000" w:themeColor="text1"/>
                <w:sz w:val="20"/>
              </w:rPr>
              <w:t>Germination% after desiccation to 5% mc</w:t>
            </w:r>
            <w:r w:rsidRPr="005444F6">
              <w:rPr>
                <w:rFonts w:ascii="Times New Roman" w:eastAsia="Times New Roman" w:hAnsi="Times New Roman" w:cs="Times New Roman"/>
                <w:color w:val="000000" w:themeColor="text1"/>
                <w:sz w:val="20"/>
                <w:lang w:eastAsia="en-IN"/>
              </w:rPr>
              <w:t xml:space="preserve"> Mean±SE</w:t>
            </w:r>
          </w:p>
        </w:tc>
        <w:tc>
          <w:tcPr>
            <w:tcW w:w="983" w:type="pct"/>
          </w:tcPr>
          <w:p w14:paraId="6E959790" w14:textId="77777777" w:rsidR="005444F6" w:rsidRDefault="00B84603" w:rsidP="005444F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lang w:eastAsia="en-IN"/>
              </w:rPr>
            </w:pPr>
            <w:r w:rsidRPr="005444F6">
              <w:rPr>
                <w:rFonts w:ascii="Times New Roman" w:hAnsi="Times New Roman" w:cs="Times New Roman"/>
                <w:color w:val="000000" w:themeColor="text1"/>
                <w:sz w:val="20"/>
                <w:lang w:val="en-US"/>
              </w:rPr>
              <w:t>Seedling length (cm)</w:t>
            </w:r>
            <w:r w:rsidRPr="005444F6">
              <w:rPr>
                <w:rFonts w:ascii="Times New Roman" w:eastAsia="Times New Roman" w:hAnsi="Times New Roman" w:cs="Times New Roman"/>
                <w:color w:val="000000" w:themeColor="text1"/>
                <w:sz w:val="20"/>
                <w:lang w:eastAsia="en-IN"/>
              </w:rPr>
              <w:t xml:space="preserve"> </w:t>
            </w:r>
          </w:p>
          <w:p w14:paraId="6A6C41A5" w14:textId="789B082D" w:rsidR="00B84603" w:rsidRPr="005444F6" w:rsidRDefault="00B84603" w:rsidP="005444F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lang w:val="en-US"/>
              </w:rPr>
            </w:pPr>
            <w:r w:rsidRPr="005444F6">
              <w:rPr>
                <w:rFonts w:ascii="Times New Roman" w:eastAsia="Times New Roman" w:hAnsi="Times New Roman" w:cs="Times New Roman"/>
                <w:color w:val="000000" w:themeColor="text1"/>
                <w:sz w:val="20"/>
                <w:lang w:eastAsia="en-IN"/>
              </w:rPr>
              <w:t>Mean±SE</w:t>
            </w:r>
          </w:p>
        </w:tc>
        <w:tc>
          <w:tcPr>
            <w:tcW w:w="1174" w:type="pct"/>
          </w:tcPr>
          <w:p w14:paraId="561F56D8" w14:textId="77777777" w:rsidR="00B84603" w:rsidRPr="005444F6" w:rsidRDefault="00B84603" w:rsidP="005444F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lang w:val="en-US"/>
              </w:rPr>
            </w:pPr>
            <w:r w:rsidRPr="005444F6">
              <w:rPr>
                <w:rFonts w:ascii="Times New Roman" w:hAnsi="Times New Roman" w:cs="Times New Roman"/>
                <w:color w:val="000000" w:themeColor="text1"/>
                <w:sz w:val="20"/>
                <w:lang w:val="en-US"/>
              </w:rPr>
              <w:t>Seed vigour Index I</w:t>
            </w:r>
            <w:r w:rsidRPr="005444F6">
              <w:rPr>
                <w:rFonts w:ascii="Times New Roman" w:eastAsia="Times New Roman" w:hAnsi="Times New Roman" w:cs="Times New Roman"/>
                <w:color w:val="000000" w:themeColor="text1"/>
                <w:sz w:val="20"/>
                <w:lang w:eastAsia="en-IN"/>
              </w:rPr>
              <w:t xml:space="preserve"> Mean±SE</w:t>
            </w:r>
          </w:p>
        </w:tc>
      </w:tr>
      <w:tr w:rsidR="00B84603" w:rsidRPr="005444F6" w14:paraId="6D1A830B" w14:textId="77777777" w:rsidTr="005444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4" w:type="pct"/>
            <w:noWrap/>
            <w:hideMark/>
          </w:tcPr>
          <w:p w14:paraId="1C47A25D"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20 DAA</w:t>
            </w:r>
          </w:p>
        </w:tc>
        <w:tc>
          <w:tcPr>
            <w:tcW w:w="983" w:type="pct"/>
            <w:hideMark/>
          </w:tcPr>
          <w:p w14:paraId="032C9684"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0.00 ± 0.00</w:t>
            </w:r>
          </w:p>
        </w:tc>
        <w:tc>
          <w:tcPr>
            <w:tcW w:w="1126" w:type="pct"/>
          </w:tcPr>
          <w:p w14:paraId="6096F96D"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0.00 ± 0.00</w:t>
            </w:r>
          </w:p>
        </w:tc>
        <w:tc>
          <w:tcPr>
            <w:tcW w:w="983" w:type="pct"/>
          </w:tcPr>
          <w:p w14:paraId="1AEBC2A3"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0.00 ± 0.00</w:t>
            </w:r>
          </w:p>
        </w:tc>
        <w:tc>
          <w:tcPr>
            <w:tcW w:w="1174" w:type="pct"/>
          </w:tcPr>
          <w:p w14:paraId="6196B13E"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0</w:t>
            </w:r>
          </w:p>
        </w:tc>
      </w:tr>
      <w:tr w:rsidR="00B84603" w:rsidRPr="005444F6" w14:paraId="553A5D63" w14:textId="77777777" w:rsidTr="005444F6">
        <w:trPr>
          <w:trHeight w:val="290"/>
        </w:trPr>
        <w:tc>
          <w:tcPr>
            <w:cnfStyle w:val="001000000000" w:firstRow="0" w:lastRow="0" w:firstColumn="1" w:lastColumn="0" w:oddVBand="0" w:evenVBand="0" w:oddHBand="0" w:evenHBand="0" w:firstRowFirstColumn="0" w:firstRowLastColumn="0" w:lastRowFirstColumn="0" w:lastRowLastColumn="0"/>
            <w:tcW w:w="734" w:type="pct"/>
            <w:noWrap/>
            <w:hideMark/>
          </w:tcPr>
          <w:p w14:paraId="2D222FF0"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40 DAA</w:t>
            </w:r>
          </w:p>
        </w:tc>
        <w:tc>
          <w:tcPr>
            <w:tcW w:w="983" w:type="pct"/>
            <w:hideMark/>
          </w:tcPr>
          <w:p w14:paraId="1395D63E"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0.00 ± 0.00</w:t>
            </w:r>
          </w:p>
        </w:tc>
        <w:tc>
          <w:tcPr>
            <w:tcW w:w="1126" w:type="pct"/>
          </w:tcPr>
          <w:p w14:paraId="7648CA02"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0.00 ± 0.00</w:t>
            </w:r>
          </w:p>
        </w:tc>
        <w:tc>
          <w:tcPr>
            <w:tcW w:w="983" w:type="pct"/>
          </w:tcPr>
          <w:p w14:paraId="617AA57C"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0.00 ± 0.00</w:t>
            </w:r>
          </w:p>
        </w:tc>
        <w:tc>
          <w:tcPr>
            <w:tcW w:w="1174" w:type="pct"/>
          </w:tcPr>
          <w:p w14:paraId="392B8281"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0</w:t>
            </w:r>
          </w:p>
        </w:tc>
      </w:tr>
      <w:tr w:rsidR="00B84603" w:rsidRPr="005444F6" w14:paraId="1E297444" w14:textId="77777777" w:rsidTr="005444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4" w:type="pct"/>
            <w:noWrap/>
            <w:hideMark/>
          </w:tcPr>
          <w:p w14:paraId="3B1D8697"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50 DAA</w:t>
            </w:r>
          </w:p>
        </w:tc>
        <w:tc>
          <w:tcPr>
            <w:tcW w:w="983" w:type="pct"/>
            <w:hideMark/>
          </w:tcPr>
          <w:p w14:paraId="76C130B5"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0.00 ± 0.00</w:t>
            </w:r>
          </w:p>
        </w:tc>
        <w:tc>
          <w:tcPr>
            <w:tcW w:w="1126" w:type="pct"/>
          </w:tcPr>
          <w:p w14:paraId="6C76987F"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0.00 ± 0.00</w:t>
            </w:r>
          </w:p>
        </w:tc>
        <w:tc>
          <w:tcPr>
            <w:tcW w:w="983" w:type="pct"/>
          </w:tcPr>
          <w:p w14:paraId="1CC52D03"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0.00 ± 0.00</w:t>
            </w:r>
          </w:p>
        </w:tc>
        <w:tc>
          <w:tcPr>
            <w:tcW w:w="1174" w:type="pct"/>
          </w:tcPr>
          <w:p w14:paraId="535C7CB8"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0</w:t>
            </w:r>
          </w:p>
        </w:tc>
      </w:tr>
      <w:tr w:rsidR="00B84603" w:rsidRPr="005444F6" w14:paraId="1910B83A" w14:textId="77777777" w:rsidTr="005444F6">
        <w:trPr>
          <w:trHeight w:val="290"/>
        </w:trPr>
        <w:tc>
          <w:tcPr>
            <w:cnfStyle w:val="001000000000" w:firstRow="0" w:lastRow="0" w:firstColumn="1" w:lastColumn="0" w:oddVBand="0" w:evenVBand="0" w:oddHBand="0" w:evenHBand="0" w:firstRowFirstColumn="0" w:firstRowLastColumn="0" w:lastRowFirstColumn="0" w:lastRowLastColumn="0"/>
            <w:tcW w:w="734" w:type="pct"/>
            <w:noWrap/>
            <w:hideMark/>
          </w:tcPr>
          <w:p w14:paraId="375E0AE1"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60 DAA</w:t>
            </w:r>
          </w:p>
        </w:tc>
        <w:tc>
          <w:tcPr>
            <w:tcW w:w="983" w:type="pct"/>
            <w:hideMark/>
          </w:tcPr>
          <w:p w14:paraId="2DD419BA"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25.00 ± 2.89</w:t>
            </w:r>
          </w:p>
        </w:tc>
        <w:tc>
          <w:tcPr>
            <w:tcW w:w="1126" w:type="pct"/>
          </w:tcPr>
          <w:p w14:paraId="3CEBD30E"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65.00 ± 2.89</w:t>
            </w:r>
          </w:p>
        </w:tc>
        <w:tc>
          <w:tcPr>
            <w:tcW w:w="983" w:type="pct"/>
          </w:tcPr>
          <w:p w14:paraId="3E0C9BCC"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13.17 ± 0.44</w:t>
            </w:r>
          </w:p>
        </w:tc>
        <w:tc>
          <w:tcPr>
            <w:tcW w:w="1174" w:type="pct"/>
          </w:tcPr>
          <w:p w14:paraId="04C1C78A"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 xml:space="preserve">857.5 ± </w:t>
            </w:r>
            <w:r w:rsidRPr="005444F6">
              <w:rPr>
                <w:rFonts w:ascii="Times New Roman" w:hAnsi="Times New Roman" w:cs="Times New Roman"/>
                <w:color w:val="000000" w:themeColor="text1"/>
                <w:sz w:val="20"/>
                <w:shd w:val="clear" w:color="auto" w:fill="FFFFFF"/>
              </w:rPr>
              <w:t>61.96</w:t>
            </w:r>
          </w:p>
        </w:tc>
      </w:tr>
      <w:tr w:rsidR="00B84603" w:rsidRPr="005444F6" w14:paraId="1B98452F" w14:textId="77777777" w:rsidTr="005444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4" w:type="pct"/>
            <w:noWrap/>
            <w:hideMark/>
          </w:tcPr>
          <w:p w14:paraId="31783A4D"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70 DAA</w:t>
            </w:r>
          </w:p>
        </w:tc>
        <w:tc>
          <w:tcPr>
            <w:tcW w:w="983" w:type="pct"/>
            <w:hideMark/>
          </w:tcPr>
          <w:p w14:paraId="6C615C69"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90.17 ± 2.74</w:t>
            </w:r>
          </w:p>
        </w:tc>
        <w:tc>
          <w:tcPr>
            <w:tcW w:w="1126" w:type="pct"/>
          </w:tcPr>
          <w:p w14:paraId="6E230A13"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90.00 ± 2.89</w:t>
            </w:r>
          </w:p>
        </w:tc>
        <w:tc>
          <w:tcPr>
            <w:tcW w:w="983" w:type="pct"/>
          </w:tcPr>
          <w:p w14:paraId="51466453"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16.69 ± 0.54</w:t>
            </w:r>
          </w:p>
        </w:tc>
        <w:tc>
          <w:tcPr>
            <w:tcW w:w="1174" w:type="pct"/>
          </w:tcPr>
          <w:p w14:paraId="1483B3E0"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1,504.92 ± 97.22</w:t>
            </w:r>
          </w:p>
        </w:tc>
      </w:tr>
      <w:tr w:rsidR="00B84603" w:rsidRPr="005444F6" w14:paraId="5FA80C9F" w14:textId="77777777" w:rsidTr="005444F6">
        <w:trPr>
          <w:trHeight w:val="290"/>
        </w:trPr>
        <w:tc>
          <w:tcPr>
            <w:cnfStyle w:val="001000000000" w:firstRow="0" w:lastRow="0" w:firstColumn="1" w:lastColumn="0" w:oddVBand="0" w:evenVBand="0" w:oddHBand="0" w:evenHBand="0" w:firstRowFirstColumn="0" w:firstRowLastColumn="0" w:lastRowFirstColumn="0" w:lastRowLastColumn="0"/>
            <w:tcW w:w="734" w:type="pct"/>
            <w:noWrap/>
            <w:hideMark/>
          </w:tcPr>
          <w:p w14:paraId="3BA2E761"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80 DAA</w:t>
            </w:r>
          </w:p>
        </w:tc>
        <w:tc>
          <w:tcPr>
            <w:tcW w:w="983" w:type="pct"/>
            <w:hideMark/>
          </w:tcPr>
          <w:p w14:paraId="73933CC4"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88.33 ± 4.41</w:t>
            </w:r>
          </w:p>
        </w:tc>
        <w:tc>
          <w:tcPr>
            <w:tcW w:w="1126" w:type="pct"/>
          </w:tcPr>
          <w:p w14:paraId="728F24CF"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93.33 ± 1.67</w:t>
            </w:r>
          </w:p>
        </w:tc>
        <w:tc>
          <w:tcPr>
            <w:tcW w:w="983" w:type="pct"/>
          </w:tcPr>
          <w:p w14:paraId="788411E8"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18.16 ± 0.61</w:t>
            </w:r>
          </w:p>
        </w:tc>
        <w:tc>
          <w:tcPr>
            <w:tcW w:w="1174" w:type="pct"/>
          </w:tcPr>
          <w:p w14:paraId="7DAFE318"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1,696.24 ± 83.45</w:t>
            </w:r>
          </w:p>
        </w:tc>
      </w:tr>
      <w:tr w:rsidR="00B84603" w:rsidRPr="005444F6" w14:paraId="069D9268" w14:textId="77777777" w:rsidTr="005444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4" w:type="pct"/>
            <w:hideMark/>
          </w:tcPr>
          <w:p w14:paraId="4CF9282C"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eastAsia="Times New Roman" w:hAnsi="Times New Roman" w:cs="Times New Roman"/>
                <w:color w:val="000000" w:themeColor="text1"/>
                <w:sz w:val="20"/>
                <w:lang w:eastAsia="en-IN"/>
              </w:rPr>
              <w:t>C.D.</w:t>
            </w:r>
          </w:p>
        </w:tc>
        <w:tc>
          <w:tcPr>
            <w:tcW w:w="983" w:type="pct"/>
            <w:hideMark/>
          </w:tcPr>
          <w:p w14:paraId="0D86F5DB"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7.56</w:t>
            </w:r>
          </w:p>
        </w:tc>
        <w:tc>
          <w:tcPr>
            <w:tcW w:w="1126" w:type="pct"/>
          </w:tcPr>
          <w:p w14:paraId="0D928C2F"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5.61</w:t>
            </w:r>
          </w:p>
        </w:tc>
        <w:tc>
          <w:tcPr>
            <w:tcW w:w="983" w:type="pct"/>
          </w:tcPr>
          <w:p w14:paraId="4A188E56"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1.18</w:t>
            </w:r>
          </w:p>
        </w:tc>
        <w:tc>
          <w:tcPr>
            <w:tcW w:w="1174" w:type="pct"/>
          </w:tcPr>
          <w:p w14:paraId="2B1959FA"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181.021</w:t>
            </w:r>
          </w:p>
        </w:tc>
      </w:tr>
      <w:tr w:rsidR="00B84603" w:rsidRPr="005444F6" w14:paraId="14C99E0F" w14:textId="77777777" w:rsidTr="005444F6">
        <w:trPr>
          <w:trHeight w:val="290"/>
        </w:trPr>
        <w:tc>
          <w:tcPr>
            <w:cnfStyle w:val="001000000000" w:firstRow="0" w:lastRow="0" w:firstColumn="1" w:lastColumn="0" w:oddVBand="0" w:evenVBand="0" w:oddHBand="0" w:evenHBand="0" w:firstRowFirstColumn="0" w:firstRowLastColumn="0" w:lastRowFirstColumn="0" w:lastRowLastColumn="0"/>
            <w:tcW w:w="734" w:type="pct"/>
            <w:hideMark/>
          </w:tcPr>
          <w:p w14:paraId="6606574D"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eastAsia="Times New Roman" w:hAnsi="Times New Roman" w:cs="Times New Roman"/>
                <w:color w:val="000000" w:themeColor="text1"/>
                <w:sz w:val="20"/>
                <w:lang w:eastAsia="en-IN"/>
              </w:rPr>
              <w:t>SE(m)</w:t>
            </w:r>
          </w:p>
        </w:tc>
        <w:tc>
          <w:tcPr>
            <w:tcW w:w="983" w:type="pct"/>
            <w:hideMark/>
          </w:tcPr>
          <w:p w14:paraId="1C5015AB"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2.43</w:t>
            </w:r>
          </w:p>
        </w:tc>
        <w:tc>
          <w:tcPr>
            <w:tcW w:w="1126" w:type="pct"/>
          </w:tcPr>
          <w:p w14:paraId="475BFBCA"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1.8</w:t>
            </w:r>
          </w:p>
        </w:tc>
        <w:tc>
          <w:tcPr>
            <w:tcW w:w="983" w:type="pct"/>
          </w:tcPr>
          <w:p w14:paraId="2ED756D7"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0.38</w:t>
            </w:r>
          </w:p>
        </w:tc>
        <w:tc>
          <w:tcPr>
            <w:tcW w:w="1174" w:type="pct"/>
          </w:tcPr>
          <w:p w14:paraId="162B4382"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58.105</w:t>
            </w:r>
          </w:p>
        </w:tc>
      </w:tr>
      <w:tr w:rsidR="00B84603" w:rsidRPr="005444F6" w14:paraId="17FF6005" w14:textId="77777777" w:rsidTr="005444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4" w:type="pct"/>
            <w:hideMark/>
          </w:tcPr>
          <w:p w14:paraId="15C15209"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eastAsia="Times New Roman" w:hAnsi="Times New Roman" w:cs="Times New Roman"/>
                <w:color w:val="000000" w:themeColor="text1"/>
                <w:sz w:val="20"/>
                <w:lang w:eastAsia="en-IN"/>
              </w:rPr>
              <w:t>SE(d)</w:t>
            </w:r>
          </w:p>
        </w:tc>
        <w:tc>
          <w:tcPr>
            <w:tcW w:w="983" w:type="pct"/>
            <w:hideMark/>
          </w:tcPr>
          <w:p w14:paraId="3474D9AB"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lang w:eastAsia="en-IN"/>
              </w:rPr>
            </w:pPr>
            <w:r w:rsidRPr="005444F6">
              <w:rPr>
                <w:rFonts w:ascii="Times New Roman" w:hAnsi="Times New Roman" w:cs="Times New Roman"/>
                <w:color w:val="000000" w:themeColor="text1"/>
                <w:sz w:val="20"/>
              </w:rPr>
              <w:t>3.43</w:t>
            </w:r>
          </w:p>
        </w:tc>
        <w:tc>
          <w:tcPr>
            <w:tcW w:w="1126" w:type="pct"/>
          </w:tcPr>
          <w:p w14:paraId="01CF4A05"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2.55</w:t>
            </w:r>
          </w:p>
        </w:tc>
        <w:tc>
          <w:tcPr>
            <w:tcW w:w="983" w:type="pct"/>
          </w:tcPr>
          <w:p w14:paraId="08574D94"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0.54</w:t>
            </w:r>
          </w:p>
        </w:tc>
        <w:tc>
          <w:tcPr>
            <w:tcW w:w="1174" w:type="pct"/>
          </w:tcPr>
          <w:p w14:paraId="1847DD3E" w14:textId="77777777" w:rsidR="00B84603" w:rsidRPr="005444F6" w:rsidRDefault="00B84603" w:rsidP="00977638">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en-US"/>
              </w:rPr>
            </w:pPr>
            <w:r w:rsidRPr="005444F6">
              <w:rPr>
                <w:rFonts w:ascii="Times New Roman" w:hAnsi="Times New Roman" w:cs="Times New Roman"/>
                <w:color w:val="000000" w:themeColor="text1"/>
                <w:sz w:val="20"/>
              </w:rPr>
              <w:t>82.172</w:t>
            </w:r>
          </w:p>
        </w:tc>
      </w:tr>
      <w:tr w:rsidR="00B84603" w:rsidRPr="005444F6" w14:paraId="5A1486DB" w14:textId="77777777" w:rsidTr="005444F6">
        <w:trPr>
          <w:trHeight w:val="290"/>
        </w:trPr>
        <w:tc>
          <w:tcPr>
            <w:cnfStyle w:val="001000000000" w:firstRow="0" w:lastRow="0" w:firstColumn="1" w:lastColumn="0" w:oddVBand="0" w:evenVBand="0" w:oddHBand="0" w:evenHBand="0" w:firstRowFirstColumn="0" w:firstRowLastColumn="0" w:lastRowFirstColumn="0" w:lastRowLastColumn="0"/>
            <w:tcW w:w="734" w:type="pct"/>
          </w:tcPr>
          <w:p w14:paraId="3B135581" w14:textId="77777777" w:rsidR="00B84603" w:rsidRPr="005444F6" w:rsidRDefault="00B84603" w:rsidP="00977638">
            <w:pPr>
              <w:spacing w:line="276" w:lineRule="auto"/>
              <w:jc w:val="both"/>
              <w:rPr>
                <w:rFonts w:ascii="Times New Roman" w:eastAsia="Times New Roman" w:hAnsi="Times New Roman" w:cs="Times New Roman"/>
                <w:color w:val="000000" w:themeColor="text1"/>
                <w:sz w:val="20"/>
                <w:lang w:eastAsia="en-IN"/>
              </w:rPr>
            </w:pPr>
            <w:r w:rsidRPr="005444F6">
              <w:rPr>
                <w:rFonts w:ascii="Times New Roman" w:eastAsia="Times New Roman" w:hAnsi="Times New Roman" w:cs="Times New Roman"/>
                <w:color w:val="000000" w:themeColor="text1"/>
                <w:sz w:val="20"/>
                <w:lang w:eastAsia="en-IN"/>
              </w:rPr>
              <w:t>C.V.</w:t>
            </w:r>
          </w:p>
        </w:tc>
        <w:tc>
          <w:tcPr>
            <w:tcW w:w="983" w:type="pct"/>
          </w:tcPr>
          <w:p w14:paraId="6FC4021A"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12.39</w:t>
            </w:r>
          </w:p>
        </w:tc>
        <w:tc>
          <w:tcPr>
            <w:tcW w:w="1126" w:type="pct"/>
          </w:tcPr>
          <w:p w14:paraId="4D91857F" w14:textId="77777777" w:rsidR="00B84603" w:rsidRPr="005444F6" w:rsidRDefault="00B84603" w:rsidP="009776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7.53</w:t>
            </w:r>
          </w:p>
        </w:tc>
        <w:tc>
          <w:tcPr>
            <w:tcW w:w="983" w:type="pct"/>
          </w:tcPr>
          <w:p w14:paraId="62BB4242"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8.23</w:t>
            </w:r>
          </w:p>
        </w:tc>
        <w:tc>
          <w:tcPr>
            <w:tcW w:w="1174" w:type="pct"/>
          </w:tcPr>
          <w:p w14:paraId="44E9D81C" w14:textId="77777777" w:rsidR="00B84603" w:rsidRPr="005444F6" w:rsidRDefault="00B84603" w:rsidP="00977638">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14.878</w:t>
            </w:r>
          </w:p>
        </w:tc>
      </w:tr>
      <w:tr w:rsidR="00B84603" w:rsidRPr="005444F6" w14:paraId="61B9E268" w14:textId="77777777" w:rsidTr="005444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34" w:type="pct"/>
          </w:tcPr>
          <w:p w14:paraId="608673D8" w14:textId="77777777" w:rsidR="00B84603" w:rsidRPr="005444F6" w:rsidRDefault="00B84603" w:rsidP="00977638">
            <w:pPr>
              <w:spacing w:line="276" w:lineRule="auto"/>
              <w:jc w:val="both"/>
              <w:rPr>
                <w:rFonts w:ascii="Times New Roman" w:hAnsi="Times New Roman" w:cs="Times New Roman"/>
                <w:b w:val="0"/>
                <w:bCs w:val="0"/>
                <w:color w:val="000000" w:themeColor="text1"/>
                <w:sz w:val="20"/>
              </w:rPr>
            </w:pPr>
            <w:r w:rsidRPr="005444F6">
              <w:rPr>
                <w:rFonts w:ascii="Times New Roman" w:hAnsi="Times New Roman" w:cs="Times New Roman"/>
                <w:color w:val="000000" w:themeColor="text1"/>
                <w:sz w:val="20"/>
              </w:rPr>
              <w:t>F-Calculated</w:t>
            </w:r>
          </w:p>
        </w:tc>
        <w:tc>
          <w:tcPr>
            <w:tcW w:w="983" w:type="pct"/>
          </w:tcPr>
          <w:p w14:paraId="21172214"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328.19*</w:t>
            </w:r>
          </w:p>
        </w:tc>
        <w:tc>
          <w:tcPr>
            <w:tcW w:w="1126" w:type="pct"/>
          </w:tcPr>
          <w:p w14:paraId="0F830F5E"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663.91*</w:t>
            </w:r>
          </w:p>
        </w:tc>
        <w:tc>
          <w:tcPr>
            <w:tcW w:w="983" w:type="pct"/>
          </w:tcPr>
          <w:p w14:paraId="31F1422C"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rPr>
              <w:t>549.75*</w:t>
            </w:r>
          </w:p>
        </w:tc>
        <w:tc>
          <w:tcPr>
            <w:tcW w:w="1174" w:type="pct"/>
          </w:tcPr>
          <w:p w14:paraId="0F844E3B" w14:textId="77777777" w:rsidR="00B84603" w:rsidRPr="005444F6" w:rsidRDefault="00B84603" w:rsidP="009776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5444F6">
              <w:rPr>
                <w:rFonts w:ascii="Times New Roman" w:hAnsi="Times New Roman" w:cs="Times New Roman"/>
                <w:color w:val="000000" w:themeColor="text1"/>
                <w:sz w:val="20"/>
                <w:shd w:val="clear" w:color="auto" w:fill="FFFFFF"/>
              </w:rPr>
              <w:t>185.53</w:t>
            </w:r>
            <w:r w:rsidRPr="005444F6">
              <w:rPr>
                <w:rFonts w:ascii="Times New Roman" w:hAnsi="Times New Roman" w:cs="Times New Roman"/>
                <w:color w:val="000000" w:themeColor="text1"/>
                <w:sz w:val="20"/>
              </w:rPr>
              <w:t>*</w:t>
            </w:r>
          </w:p>
        </w:tc>
      </w:tr>
    </w:tbl>
    <w:p w14:paraId="0485EC36" w14:textId="5079BFE7" w:rsidR="00B84603" w:rsidRPr="009F44DD" w:rsidRDefault="00B84603" w:rsidP="00572FD2">
      <w:pPr>
        <w:ind w:firstLine="720"/>
        <w:jc w:val="both"/>
        <w:rPr>
          <w:rFonts w:ascii="Times New Roman" w:hAnsi="Times New Roman" w:cs="Times New Roman"/>
          <w:color w:val="000000" w:themeColor="text1"/>
          <w:sz w:val="24"/>
          <w:szCs w:val="24"/>
        </w:rPr>
      </w:pPr>
      <w:r w:rsidRPr="009F44DD">
        <w:rPr>
          <w:rFonts w:ascii="Times New Roman" w:hAnsi="Times New Roman" w:cs="Times New Roman"/>
          <w:sz w:val="24"/>
          <w:szCs w:val="24"/>
        </w:rPr>
        <w:t>Fruit development progresses over six maturity stages (20–80 DAA), with significant increases in size, weight, and dry matter accumulation, while moisture content declines. Color transitions from green to pale yellow signal full maturity. Similarly, seed development follows a predictable pattern, with increasing size, weight, and declining moisture content, culminating in improved germination and seedling vigor at 70–80 DAA. These findings offer a scientific basis for determining the best harvesting period to maximize seed quality and viability.</w:t>
      </w:r>
    </w:p>
    <w:p w14:paraId="06F782D8" w14:textId="7FAD4E3E" w:rsidR="00B84603" w:rsidRPr="009F44DD" w:rsidRDefault="00572FD2" w:rsidP="00572FD2">
      <w:pPr>
        <w:jc w:val="both"/>
        <w:rPr>
          <w:rFonts w:ascii="Times New Roman" w:hAnsi="Times New Roman" w:cs="Times New Roman"/>
          <w:b/>
          <w:bCs/>
          <w:color w:val="000000" w:themeColor="text1"/>
          <w:sz w:val="24"/>
          <w:szCs w:val="24"/>
        </w:rPr>
      </w:pPr>
      <w:r w:rsidRPr="00572FD2">
        <w:rPr>
          <w:rFonts w:ascii="Times New Roman" w:hAnsi="Times New Roman" w:cs="Times New Roman"/>
          <w:b/>
          <w:bCs/>
          <w:sz w:val="24"/>
          <w:szCs w:val="24"/>
        </w:rPr>
        <w:t xml:space="preserve">3.2 </w:t>
      </w:r>
      <w:r w:rsidR="00B84603" w:rsidRPr="00572FD2">
        <w:rPr>
          <w:rFonts w:ascii="Times New Roman" w:hAnsi="Times New Roman" w:cs="Times New Roman"/>
          <w:b/>
          <w:bCs/>
          <w:sz w:val="24"/>
          <w:szCs w:val="24"/>
        </w:rPr>
        <w:t xml:space="preserve">Water Imbibition: </w:t>
      </w:r>
      <w:r w:rsidRPr="00572FD2">
        <w:rPr>
          <w:rFonts w:ascii="Times New Roman" w:hAnsi="Times New Roman" w:cs="Times New Roman"/>
          <w:sz w:val="24"/>
          <w:szCs w:val="24"/>
        </w:rPr>
        <w:t xml:space="preserve">The seeds of </w:t>
      </w:r>
      <w:r w:rsidRPr="00572FD2">
        <w:rPr>
          <w:rFonts w:ascii="Times New Roman" w:hAnsi="Times New Roman" w:cs="Times New Roman"/>
          <w:i/>
          <w:iCs/>
          <w:sz w:val="24"/>
          <w:szCs w:val="24"/>
        </w:rPr>
        <w:t>Butea monosperma</w:t>
      </w:r>
      <w:r w:rsidRPr="00572FD2">
        <w:rPr>
          <w:rFonts w:ascii="Times New Roman" w:hAnsi="Times New Roman" w:cs="Times New Roman"/>
          <w:sz w:val="24"/>
          <w:szCs w:val="24"/>
        </w:rPr>
        <w:t xml:space="preserve"> exhibited a rapid increase in fresh weight during the initial hours of imbibition</w:t>
      </w:r>
      <w:r w:rsidR="00DD0EF0">
        <w:rPr>
          <w:rFonts w:ascii="Times New Roman" w:hAnsi="Times New Roman" w:cs="Times New Roman"/>
          <w:sz w:val="24"/>
          <w:szCs w:val="24"/>
        </w:rPr>
        <w:t xml:space="preserve"> (Figure 1)</w:t>
      </w:r>
      <w:r w:rsidRPr="00572FD2">
        <w:rPr>
          <w:rFonts w:ascii="Times New Roman" w:hAnsi="Times New Roman" w:cs="Times New Roman"/>
          <w:sz w:val="24"/>
          <w:szCs w:val="24"/>
        </w:rPr>
        <w:t>, rising from 0% at 0 hours to 203.74% by 7 hours. This was followed by a slower increase, reaching 222–227% between 24 and 34 hours, and eventually 234.96% at 49 hours. Standard errors gradually increased from 0.64 at 1 hour to 6.84 at 49 hours, reflecting growing variability in measurements over time. Overall, imbibition is characterized by fast water uptake during the first few hours, a slowdown after 7 hours, and stabilization after 30 hours, indicating the seed coat’s saturation dynamics.</w:t>
      </w:r>
    </w:p>
    <w:p w14:paraId="60635216" w14:textId="77777777" w:rsidR="00B84603" w:rsidRPr="009F44DD" w:rsidRDefault="00B84603" w:rsidP="00DD0EF0">
      <w:pPr>
        <w:spacing w:line="240" w:lineRule="auto"/>
        <w:jc w:val="center"/>
        <w:rPr>
          <w:rFonts w:ascii="Times New Roman" w:hAnsi="Times New Roman" w:cs="Times New Roman"/>
          <w:b/>
          <w:bCs/>
          <w:color w:val="000000" w:themeColor="text1"/>
          <w:sz w:val="24"/>
          <w:szCs w:val="24"/>
        </w:rPr>
      </w:pPr>
      <w:r w:rsidRPr="009F44DD">
        <w:rPr>
          <w:rFonts w:ascii="Times New Roman" w:hAnsi="Times New Roman" w:cs="Times New Roman"/>
          <w:noProof/>
          <w:sz w:val="24"/>
          <w:szCs w:val="24"/>
          <w:lang w:eastAsia="en-IN" w:bidi="ar-SA"/>
        </w:rPr>
        <w:drawing>
          <wp:inline distT="0" distB="0" distL="0" distR="0" wp14:anchorId="6A5C1C08" wp14:editId="486E74C8">
            <wp:extent cx="4587875" cy="2505075"/>
            <wp:effectExtent l="0" t="0" r="3175" b="9525"/>
            <wp:docPr id="5" name="Chart 5">
              <a:extLst xmlns:a="http://schemas.openxmlformats.org/drawingml/2006/main">
                <a:ext uri="{FF2B5EF4-FFF2-40B4-BE49-F238E27FC236}">
                  <a16:creationId xmlns:a16="http://schemas.microsoft.com/office/drawing/2014/main" id="{00000000-0008-0000-00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5109FB" w14:textId="51DC6C30" w:rsidR="00B84603" w:rsidRPr="009F44DD" w:rsidRDefault="00360CBD" w:rsidP="00977638">
      <w:pPr>
        <w:pStyle w:val="ListParagraph"/>
        <w:spacing w:line="360" w:lineRule="auto"/>
        <w:ind w:firstLine="720"/>
        <w:jc w:val="both"/>
        <w:rPr>
          <w:rFonts w:ascii="Times New Roman" w:hAnsi="Times New Roman" w:cs="Times New Roman"/>
          <w:b/>
          <w:bCs/>
          <w:color w:val="000000" w:themeColor="text1"/>
          <w:sz w:val="24"/>
          <w:szCs w:val="24"/>
          <w:lang w:val="en-US"/>
        </w:rPr>
      </w:pPr>
      <w:r w:rsidRPr="009F44DD">
        <w:rPr>
          <w:rFonts w:ascii="Times New Roman" w:hAnsi="Times New Roman" w:cs="Times New Roman"/>
          <w:b/>
          <w:bCs/>
          <w:color w:val="000000" w:themeColor="text1"/>
          <w:sz w:val="24"/>
          <w:szCs w:val="24"/>
          <w:lang w:val="en-US"/>
        </w:rPr>
        <w:t xml:space="preserve">Figure </w:t>
      </w:r>
      <w:r w:rsidR="00DD0EF0">
        <w:rPr>
          <w:rFonts w:ascii="Times New Roman" w:hAnsi="Times New Roman" w:cs="Times New Roman"/>
          <w:b/>
          <w:bCs/>
          <w:color w:val="000000" w:themeColor="text1"/>
          <w:sz w:val="24"/>
          <w:szCs w:val="24"/>
          <w:lang w:val="en-US"/>
        </w:rPr>
        <w:t>1</w:t>
      </w:r>
      <w:r w:rsidR="00B84603" w:rsidRPr="009F44DD">
        <w:rPr>
          <w:rFonts w:ascii="Times New Roman" w:hAnsi="Times New Roman" w:cs="Times New Roman"/>
          <w:b/>
          <w:bCs/>
          <w:color w:val="000000" w:themeColor="text1"/>
          <w:sz w:val="24"/>
          <w:szCs w:val="24"/>
          <w:lang w:val="en-US"/>
        </w:rPr>
        <w:t xml:space="preserve">:  </w:t>
      </w:r>
      <w:r w:rsidR="00B84603" w:rsidRPr="002D6DDC">
        <w:rPr>
          <w:rFonts w:ascii="Times New Roman" w:hAnsi="Times New Roman" w:cs="Times New Roman"/>
          <w:bCs/>
          <w:color w:val="000000" w:themeColor="text1"/>
          <w:sz w:val="24"/>
          <w:szCs w:val="24"/>
          <w:lang w:val="en-US"/>
        </w:rPr>
        <w:t xml:space="preserve">Changes in seed weight (%) over the </w:t>
      </w:r>
      <w:r w:rsidR="00DD0EF0" w:rsidRPr="002D6DDC">
        <w:rPr>
          <w:rFonts w:ascii="Times New Roman" w:hAnsi="Times New Roman" w:cs="Times New Roman"/>
          <w:bCs/>
          <w:color w:val="000000" w:themeColor="text1"/>
          <w:sz w:val="24"/>
          <w:szCs w:val="24"/>
          <w:lang w:val="en-US"/>
        </w:rPr>
        <w:t>i</w:t>
      </w:r>
      <w:r w:rsidR="00B84603" w:rsidRPr="002D6DDC">
        <w:rPr>
          <w:rFonts w:ascii="Times New Roman" w:hAnsi="Times New Roman" w:cs="Times New Roman"/>
          <w:bCs/>
          <w:color w:val="000000" w:themeColor="text1"/>
          <w:sz w:val="24"/>
          <w:szCs w:val="24"/>
          <w:lang w:val="en-US"/>
        </w:rPr>
        <w:t>mbibition time</w:t>
      </w:r>
    </w:p>
    <w:p w14:paraId="08F8C2EB" w14:textId="11BFF352" w:rsidR="00B84603" w:rsidRPr="00572FD2" w:rsidRDefault="00572FD2" w:rsidP="00977638">
      <w:pPr>
        <w:spacing w:after="100" w:afterAutospacing="1"/>
        <w:jc w:val="both"/>
        <w:rPr>
          <w:rFonts w:ascii="Times New Roman" w:hAnsi="Times New Roman" w:cs="Times New Roman"/>
          <w:b/>
          <w:bCs/>
          <w:sz w:val="24"/>
          <w:szCs w:val="24"/>
        </w:rPr>
      </w:pPr>
      <w:r w:rsidRPr="00572FD2">
        <w:rPr>
          <w:rFonts w:ascii="Times New Roman" w:hAnsi="Times New Roman" w:cs="Times New Roman"/>
          <w:b/>
          <w:bCs/>
          <w:sz w:val="24"/>
          <w:szCs w:val="24"/>
        </w:rPr>
        <w:lastRenderedPageBreak/>
        <w:t xml:space="preserve">3.3 </w:t>
      </w:r>
      <w:r w:rsidR="00B84603" w:rsidRPr="00572FD2">
        <w:rPr>
          <w:rFonts w:ascii="Times New Roman" w:hAnsi="Times New Roman" w:cs="Times New Roman"/>
          <w:b/>
          <w:bCs/>
          <w:sz w:val="24"/>
          <w:szCs w:val="24"/>
        </w:rPr>
        <w:t>Seed ecophysiology</w:t>
      </w:r>
      <w:r w:rsidR="00DD0EF0">
        <w:rPr>
          <w:rFonts w:ascii="Times New Roman" w:hAnsi="Times New Roman" w:cs="Times New Roman"/>
          <w:b/>
          <w:bCs/>
          <w:sz w:val="24"/>
          <w:szCs w:val="24"/>
        </w:rPr>
        <w:t xml:space="preserve">: </w:t>
      </w:r>
      <w:r w:rsidR="00DD0EF0" w:rsidRPr="00DD0EF0">
        <w:rPr>
          <w:rFonts w:ascii="Times New Roman" w:hAnsi="Times New Roman" w:cs="Times New Roman"/>
          <w:sz w:val="24"/>
          <w:szCs w:val="24"/>
        </w:rPr>
        <w:t xml:space="preserve">The eco-physiological aspects of </w:t>
      </w:r>
      <w:r w:rsidR="00DD0EF0" w:rsidRPr="00DD0EF0">
        <w:rPr>
          <w:rFonts w:ascii="Times New Roman" w:hAnsi="Times New Roman" w:cs="Times New Roman"/>
          <w:i/>
          <w:iCs/>
          <w:sz w:val="24"/>
          <w:szCs w:val="24"/>
        </w:rPr>
        <w:t>Butea monosperma</w:t>
      </w:r>
      <w:r w:rsidR="00DD0EF0" w:rsidRPr="00DD0EF0">
        <w:rPr>
          <w:rFonts w:ascii="Times New Roman" w:hAnsi="Times New Roman" w:cs="Times New Roman"/>
          <w:sz w:val="24"/>
          <w:szCs w:val="24"/>
        </w:rPr>
        <w:t xml:space="preserve"> seed germination and seedling growth are strongly influenced by environmental factors such as temperature, light, and growing media</w:t>
      </w:r>
      <w:r w:rsidR="00DD0EF0">
        <w:rPr>
          <w:rFonts w:ascii="Times New Roman" w:hAnsi="Times New Roman" w:cs="Times New Roman"/>
          <w:sz w:val="24"/>
          <w:szCs w:val="24"/>
        </w:rPr>
        <w:t xml:space="preserve"> (Table 4,5,6,7 and Figure 2)</w:t>
      </w:r>
      <w:r w:rsidR="00DD0EF0" w:rsidRPr="00DD0EF0">
        <w:rPr>
          <w:rFonts w:ascii="Times New Roman" w:hAnsi="Times New Roman" w:cs="Times New Roman"/>
          <w:sz w:val="24"/>
          <w:szCs w:val="24"/>
        </w:rPr>
        <w:t xml:space="preserve">. Germination success varied across treatments, with TP showing the highest mean germination (60.63%) and Soilrite the lowest (38.33%). Temperature and light significantly affected germination, with 25°C under light </w:t>
      </w:r>
      <w:r w:rsidR="002D6DDC" w:rsidRPr="00DD0EF0">
        <w:rPr>
          <w:rFonts w:ascii="Times New Roman" w:hAnsi="Times New Roman" w:cs="Times New Roman"/>
          <w:sz w:val="24"/>
          <w:szCs w:val="24"/>
        </w:rPr>
        <w:t>favouring</w:t>
      </w:r>
      <w:r w:rsidR="00DD0EF0" w:rsidRPr="00DD0EF0">
        <w:rPr>
          <w:rFonts w:ascii="Times New Roman" w:hAnsi="Times New Roman" w:cs="Times New Roman"/>
          <w:sz w:val="24"/>
          <w:szCs w:val="24"/>
        </w:rPr>
        <w:t xml:space="preserve"> TP (81.67%) and 35°C in the dark </w:t>
      </w:r>
      <w:r w:rsidR="002D6DDC" w:rsidRPr="00DD0EF0">
        <w:rPr>
          <w:rFonts w:ascii="Times New Roman" w:hAnsi="Times New Roman" w:cs="Times New Roman"/>
          <w:sz w:val="24"/>
          <w:szCs w:val="24"/>
        </w:rPr>
        <w:t>favouring</w:t>
      </w:r>
      <w:r w:rsidR="00DD0EF0" w:rsidRPr="00DD0EF0">
        <w:rPr>
          <w:rFonts w:ascii="Times New Roman" w:hAnsi="Times New Roman" w:cs="Times New Roman"/>
          <w:sz w:val="24"/>
          <w:szCs w:val="24"/>
        </w:rPr>
        <w:t xml:space="preserve"> Vermiculite (56.13%). Seedling length also differed, with Vermiculite producing the longest seedlings overall (22.76 cm) and TP the shortest (16.75 cm), while temperature and media interaction had significant effects (p &lt; 0.001). Vigour indices I and II, integrating germination and seedling growth, further highlighted the influence of media and environmental conditions: Vermiculite promoted the highest Vigour Index I under 25°C light (2,961.29), whereas TP generally showed the highest Vigour Index II (125.696). Overall, these results underscore that both environmental factors and media selection are critical for optimizing germination, seedling growth, and vigor in </w:t>
      </w:r>
      <w:r w:rsidR="00DD0EF0" w:rsidRPr="00DD0EF0">
        <w:rPr>
          <w:rFonts w:ascii="Times New Roman" w:hAnsi="Times New Roman" w:cs="Times New Roman"/>
          <w:i/>
          <w:iCs/>
          <w:sz w:val="24"/>
          <w:szCs w:val="24"/>
        </w:rPr>
        <w:t>Butea monosperma</w:t>
      </w:r>
      <w:r w:rsidR="00DD0EF0" w:rsidRPr="00DD0EF0">
        <w:rPr>
          <w:rFonts w:ascii="Times New Roman" w:hAnsi="Times New Roman" w:cs="Times New Roman"/>
          <w:sz w:val="24"/>
          <w:szCs w:val="24"/>
        </w:rPr>
        <w:t>.</w:t>
      </w:r>
    </w:p>
    <w:p w14:paraId="464C6A5F" w14:textId="7224738E" w:rsidR="00B84603" w:rsidRPr="009F44DD" w:rsidRDefault="00360CBD" w:rsidP="008D0A33">
      <w:pPr>
        <w:spacing w:after="100" w:afterAutospacing="1"/>
        <w:jc w:val="center"/>
        <w:rPr>
          <w:rFonts w:ascii="Times New Roman" w:hAnsi="Times New Roman" w:cs="Times New Roman"/>
          <w:b/>
          <w:sz w:val="24"/>
          <w:szCs w:val="24"/>
        </w:rPr>
      </w:pPr>
      <w:r w:rsidRPr="009F44DD">
        <w:rPr>
          <w:rFonts w:ascii="Times New Roman" w:hAnsi="Times New Roman" w:cs="Times New Roman"/>
          <w:b/>
          <w:bCs/>
          <w:sz w:val="24"/>
          <w:szCs w:val="24"/>
        </w:rPr>
        <w:t>Table 4</w:t>
      </w:r>
      <w:r w:rsidR="00DD0EF0">
        <w:rPr>
          <w:rFonts w:ascii="Times New Roman" w:hAnsi="Times New Roman" w:cs="Times New Roman"/>
          <w:b/>
          <w:bCs/>
          <w:sz w:val="24"/>
          <w:szCs w:val="24"/>
        </w:rPr>
        <w:t>:</w:t>
      </w:r>
      <w:r w:rsidR="00B84603" w:rsidRPr="009F44DD">
        <w:rPr>
          <w:rFonts w:ascii="Times New Roman" w:hAnsi="Times New Roman" w:cs="Times New Roman"/>
          <w:b/>
          <w:bCs/>
          <w:sz w:val="24"/>
          <w:szCs w:val="24"/>
        </w:rPr>
        <w:t xml:space="preserve"> </w:t>
      </w:r>
      <w:bookmarkStart w:id="0" w:name="_Hlk186974501"/>
      <w:r w:rsidR="00B84603" w:rsidRPr="00DD0EF0">
        <w:rPr>
          <w:rFonts w:ascii="Times New Roman" w:hAnsi="Times New Roman" w:cs="Times New Roman"/>
          <w:bCs/>
          <w:sz w:val="24"/>
          <w:szCs w:val="24"/>
        </w:rPr>
        <w:t>Interaction of Temperature, Light Conditions, and Media on Germination</w:t>
      </w:r>
      <w:r w:rsidR="00B84603" w:rsidRPr="009F44DD">
        <w:rPr>
          <w:rFonts w:ascii="Times New Roman" w:hAnsi="Times New Roman" w:cs="Times New Roman"/>
          <w:b/>
          <w:sz w:val="24"/>
          <w:szCs w:val="24"/>
        </w:rPr>
        <w:t xml:space="preserve"> </w:t>
      </w:r>
      <w:bookmarkEnd w:id="0"/>
    </w:p>
    <w:tbl>
      <w:tblPr>
        <w:tblStyle w:val="ListTable2"/>
        <w:tblW w:w="4991" w:type="pct"/>
        <w:tblLook w:val="04A0" w:firstRow="1" w:lastRow="0" w:firstColumn="1" w:lastColumn="0" w:noHBand="0" w:noVBand="1"/>
      </w:tblPr>
      <w:tblGrid>
        <w:gridCol w:w="1690"/>
        <w:gridCol w:w="1099"/>
        <w:gridCol w:w="1029"/>
        <w:gridCol w:w="923"/>
        <w:gridCol w:w="1099"/>
        <w:gridCol w:w="1575"/>
        <w:gridCol w:w="1595"/>
      </w:tblGrid>
      <w:tr w:rsidR="00B84603" w:rsidRPr="00B22FB0" w14:paraId="463AD138" w14:textId="77777777" w:rsidTr="00B22FB0">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38" w:type="pct"/>
            <w:hideMark/>
          </w:tcPr>
          <w:p w14:paraId="7C999F8A" w14:textId="77777777" w:rsidR="00B84603" w:rsidRPr="00B22FB0" w:rsidRDefault="00B84603" w:rsidP="00B22FB0">
            <w:pPr>
              <w:jc w:val="center"/>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Germination environment</w:t>
            </w:r>
          </w:p>
        </w:tc>
        <w:tc>
          <w:tcPr>
            <w:tcW w:w="610" w:type="pct"/>
            <w:hideMark/>
          </w:tcPr>
          <w:p w14:paraId="2C8A79F4"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TP</w:t>
            </w:r>
          </w:p>
        </w:tc>
        <w:tc>
          <w:tcPr>
            <w:tcW w:w="571" w:type="pct"/>
            <w:hideMark/>
          </w:tcPr>
          <w:p w14:paraId="57755331"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BP</w:t>
            </w:r>
          </w:p>
        </w:tc>
        <w:tc>
          <w:tcPr>
            <w:tcW w:w="512" w:type="pct"/>
            <w:hideMark/>
          </w:tcPr>
          <w:p w14:paraId="4B055891"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Sand</w:t>
            </w:r>
          </w:p>
        </w:tc>
        <w:tc>
          <w:tcPr>
            <w:tcW w:w="610" w:type="pct"/>
            <w:hideMark/>
          </w:tcPr>
          <w:p w14:paraId="27237D62"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Soilrite</w:t>
            </w:r>
          </w:p>
        </w:tc>
        <w:tc>
          <w:tcPr>
            <w:tcW w:w="874" w:type="pct"/>
            <w:hideMark/>
          </w:tcPr>
          <w:p w14:paraId="178DCFC0"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Vermiculite</w:t>
            </w:r>
          </w:p>
        </w:tc>
        <w:tc>
          <w:tcPr>
            <w:tcW w:w="885" w:type="pct"/>
            <w:hideMark/>
          </w:tcPr>
          <w:p w14:paraId="3667C69A"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Mean A</w:t>
            </w:r>
          </w:p>
        </w:tc>
      </w:tr>
      <w:tr w:rsidR="00B84603" w:rsidRPr="00B22FB0" w14:paraId="1DCFA4D3" w14:textId="77777777" w:rsidTr="00B22FB0">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38" w:type="pct"/>
            <w:hideMark/>
          </w:tcPr>
          <w:p w14:paraId="597931ED"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 °C (Light)</w:t>
            </w:r>
          </w:p>
        </w:tc>
        <w:tc>
          <w:tcPr>
            <w:tcW w:w="610" w:type="pct"/>
            <w:hideMark/>
          </w:tcPr>
          <w:p w14:paraId="197D301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81.67</w:t>
            </w:r>
          </w:p>
        </w:tc>
        <w:tc>
          <w:tcPr>
            <w:tcW w:w="571" w:type="pct"/>
            <w:hideMark/>
          </w:tcPr>
          <w:p w14:paraId="72AB61E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45.00</w:t>
            </w:r>
          </w:p>
        </w:tc>
        <w:tc>
          <w:tcPr>
            <w:tcW w:w="512" w:type="pct"/>
            <w:hideMark/>
          </w:tcPr>
          <w:p w14:paraId="33D8FDC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34.17</w:t>
            </w:r>
          </w:p>
        </w:tc>
        <w:tc>
          <w:tcPr>
            <w:tcW w:w="610" w:type="pct"/>
            <w:hideMark/>
          </w:tcPr>
          <w:p w14:paraId="268C306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40.00</w:t>
            </w:r>
          </w:p>
        </w:tc>
        <w:tc>
          <w:tcPr>
            <w:tcW w:w="874" w:type="pct"/>
            <w:hideMark/>
          </w:tcPr>
          <w:p w14:paraId="6B2AB8D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69.17</w:t>
            </w:r>
          </w:p>
        </w:tc>
        <w:tc>
          <w:tcPr>
            <w:tcW w:w="885" w:type="pct"/>
            <w:hideMark/>
          </w:tcPr>
          <w:p w14:paraId="6101D18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54.00</w:t>
            </w:r>
          </w:p>
        </w:tc>
      </w:tr>
      <w:tr w:rsidR="00B84603" w:rsidRPr="00B22FB0" w14:paraId="0251C2A8" w14:textId="77777777" w:rsidTr="00B22FB0">
        <w:trPr>
          <w:trHeight w:val="296"/>
        </w:trPr>
        <w:tc>
          <w:tcPr>
            <w:cnfStyle w:val="001000000000" w:firstRow="0" w:lastRow="0" w:firstColumn="1" w:lastColumn="0" w:oddVBand="0" w:evenVBand="0" w:oddHBand="0" w:evenHBand="0" w:firstRowFirstColumn="0" w:firstRowLastColumn="0" w:lastRowFirstColumn="0" w:lastRowLastColumn="0"/>
            <w:tcW w:w="938" w:type="pct"/>
            <w:hideMark/>
          </w:tcPr>
          <w:p w14:paraId="41F2ED65"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25°C (Dark)</w:t>
            </w:r>
          </w:p>
        </w:tc>
        <w:tc>
          <w:tcPr>
            <w:tcW w:w="610" w:type="pct"/>
            <w:hideMark/>
          </w:tcPr>
          <w:p w14:paraId="1F8A251E"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55.00</w:t>
            </w:r>
          </w:p>
        </w:tc>
        <w:tc>
          <w:tcPr>
            <w:tcW w:w="571" w:type="pct"/>
            <w:hideMark/>
          </w:tcPr>
          <w:p w14:paraId="11BEB92E"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47.50</w:t>
            </w:r>
          </w:p>
        </w:tc>
        <w:tc>
          <w:tcPr>
            <w:tcW w:w="512" w:type="pct"/>
            <w:hideMark/>
          </w:tcPr>
          <w:p w14:paraId="5CD2E5E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24.17</w:t>
            </w:r>
          </w:p>
        </w:tc>
        <w:tc>
          <w:tcPr>
            <w:tcW w:w="610" w:type="pct"/>
            <w:hideMark/>
          </w:tcPr>
          <w:p w14:paraId="21CB116F"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62.50</w:t>
            </w:r>
          </w:p>
        </w:tc>
        <w:tc>
          <w:tcPr>
            <w:tcW w:w="874" w:type="pct"/>
            <w:hideMark/>
          </w:tcPr>
          <w:p w14:paraId="0668977C"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50.00</w:t>
            </w:r>
          </w:p>
        </w:tc>
        <w:tc>
          <w:tcPr>
            <w:tcW w:w="885" w:type="pct"/>
            <w:hideMark/>
          </w:tcPr>
          <w:p w14:paraId="75882073"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47.83</w:t>
            </w:r>
          </w:p>
        </w:tc>
      </w:tr>
      <w:tr w:rsidR="00B84603" w:rsidRPr="00B22FB0" w14:paraId="4ABBB717" w14:textId="77777777" w:rsidTr="00B22FB0">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38" w:type="pct"/>
            <w:hideMark/>
          </w:tcPr>
          <w:p w14:paraId="15A569A5"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 °C (Light)</w:t>
            </w:r>
          </w:p>
        </w:tc>
        <w:tc>
          <w:tcPr>
            <w:tcW w:w="610" w:type="pct"/>
            <w:hideMark/>
          </w:tcPr>
          <w:p w14:paraId="05D2A4C8"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67.50</w:t>
            </w:r>
          </w:p>
        </w:tc>
        <w:tc>
          <w:tcPr>
            <w:tcW w:w="571" w:type="pct"/>
            <w:hideMark/>
          </w:tcPr>
          <w:p w14:paraId="7D083BD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45.00</w:t>
            </w:r>
          </w:p>
        </w:tc>
        <w:tc>
          <w:tcPr>
            <w:tcW w:w="512" w:type="pct"/>
            <w:hideMark/>
          </w:tcPr>
          <w:p w14:paraId="3FED516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51.67</w:t>
            </w:r>
          </w:p>
        </w:tc>
        <w:tc>
          <w:tcPr>
            <w:tcW w:w="610" w:type="pct"/>
            <w:hideMark/>
          </w:tcPr>
          <w:p w14:paraId="0E586DE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30.83</w:t>
            </w:r>
          </w:p>
        </w:tc>
        <w:tc>
          <w:tcPr>
            <w:tcW w:w="874" w:type="pct"/>
            <w:hideMark/>
          </w:tcPr>
          <w:p w14:paraId="717C109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41.67</w:t>
            </w:r>
          </w:p>
        </w:tc>
        <w:tc>
          <w:tcPr>
            <w:tcW w:w="885" w:type="pct"/>
            <w:hideMark/>
          </w:tcPr>
          <w:p w14:paraId="3F94CE5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47.33</w:t>
            </w:r>
          </w:p>
        </w:tc>
      </w:tr>
      <w:tr w:rsidR="00B84603" w:rsidRPr="00B22FB0" w14:paraId="0D0F91A5" w14:textId="77777777" w:rsidTr="00B22FB0">
        <w:trPr>
          <w:trHeight w:val="296"/>
        </w:trPr>
        <w:tc>
          <w:tcPr>
            <w:cnfStyle w:val="001000000000" w:firstRow="0" w:lastRow="0" w:firstColumn="1" w:lastColumn="0" w:oddVBand="0" w:evenVBand="0" w:oddHBand="0" w:evenHBand="0" w:firstRowFirstColumn="0" w:firstRowLastColumn="0" w:lastRowFirstColumn="0" w:lastRowLastColumn="0"/>
            <w:tcW w:w="938" w:type="pct"/>
            <w:hideMark/>
          </w:tcPr>
          <w:p w14:paraId="1E6BDA01"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 °C (Dark)</w:t>
            </w:r>
          </w:p>
        </w:tc>
        <w:tc>
          <w:tcPr>
            <w:tcW w:w="610" w:type="pct"/>
            <w:hideMark/>
          </w:tcPr>
          <w:p w14:paraId="2A971A60"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38.33</w:t>
            </w:r>
          </w:p>
        </w:tc>
        <w:tc>
          <w:tcPr>
            <w:tcW w:w="571" w:type="pct"/>
            <w:hideMark/>
          </w:tcPr>
          <w:p w14:paraId="01DBAFB1"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52.50</w:t>
            </w:r>
          </w:p>
        </w:tc>
        <w:tc>
          <w:tcPr>
            <w:tcW w:w="512" w:type="pct"/>
            <w:hideMark/>
          </w:tcPr>
          <w:p w14:paraId="63EFD27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30.00</w:t>
            </w:r>
          </w:p>
        </w:tc>
        <w:tc>
          <w:tcPr>
            <w:tcW w:w="610" w:type="pct"/>
            <w:hideMark/>
          </w:tcPr>
          <w:p w14:paraId="026A362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20.00</w:t>
            </w:r>
          </w:p>
        </w:tc>
        <w:tc>
          <w:tcPr>
            <w:tcW w:w="874" w:type="pct"/>
            <w:hideMark/>
          </w:tcPr>
          <w:p w14:paraId="3FABC6D0"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56.13</w:t>
            </w:r>
          </w:p>
        </w:tc>
        <w:tc>
          <w:tcPr>
            <w:tcW w:w="885" w:type="pct"/>
            <w:hideMark/>
          </w:tcPr>
          <w:p w14:paraId="3BF6FB32"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39.39</w:t>
            </w:r>
          </w:p>
        </w:tc>
      </w:tr>
      <w:tr w:rsidR="00B84603" w:rsidRPr="00B22FB0" w14:paraId="5DD9AA15" w14:textId="77777777" w:rsidTr="00B22FB0">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38" w:type="pct"/>
            <w:hideMark/>
          </w:tcPr>
          <w:p w14:paraId="295330AC"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Mean B</w:t>
            </w:r>
          </w:p>
        </w:tc>
        <w:tc>
          <w:tcPr>
            <w:tcW w:w="610" w:type="pct"/>
            <w:hideMark/>
          </w:tcPr>
          <w:p w14:paraId="777F062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60.63</w:t>
            </w:r>
          </w:p>
        </w:tc>
        <w:tc>
          <w:tcPr>
            <w:tcW w:w="571" w:type="pct"/>
            <w:hideMark/>
          </w:tcPr>
          <w:p w14:paraId="5F1B2369"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47.50</w:t>
            </w:r>
          </w:p>
        </w:tc>
        <w:tc>
          <w:tcPr>
            <w:tcW w:w="512" w:type="pct"/>
            <w:hideMark/>
          </w:tcPr>
          <w:p w14:paraId="2F2A641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35.00</w:t>
            </w:r>
          </w:p>
        </w:tc>
        <w:tc>
          <w:tcPr>
            <w:tcW w:w="610" w:type="pct"/>
            <w:hideMark/>
          </w:tcPr>
          <w:p w14:paraId="084D896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38.33</w:t>
            </w:r>
          </w:p>
        </w:tc>
        <w:tc>
          <w:tcPr>
            <w:tcW w:w="874" w:type="pct"/>
            <w:hideMark/>
          </w:tcPr>
          <w:p w14:paraId="219C710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54.24</w:t>
            </w:r>
          </w:p>
        </w:tc>
        <w:tc>
          <w:tcPr>
            <w:tcW w:w="885" w:type="pct"/>
            <w:noWrap/>
            <w:hideMark/>
          </w:tcPr>
          <w:p w14:paraId="09AA1AF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 </w:t>
            </w:r>
          </w:p>
        </w:tc>
      </w:tr>
      <w:tr w:rsidR="00B84603" w:rsidRPr="00B22FB0" w14:paraId="10240314" w14:textId="77777777" w:rsidTr="00B22FB0">
        <w:trPr>
          <w:trHeight w:val="174"/>
        </w:trPr>
        <w:tc>
          <w:tcPr>
            <w:cnfStyle w:val="001000000000" w:firstRow="0" w:lastRow="0" w:firstColumn="1" w:lastColumn="0" w:oddVBand="0" w:evenVBand="0" w:oddHBand="0" w:evenHBand="0" w:firstRowFirstColumn="0" w:firstRowLastColumn="0" w:lastRowFirstColumn="0" w:lastRowLastColumn="0"/>
            <w:tcW w:w="2119" w:type="pct"/>
            <w:gridSpan w:val="3"/>
            <w:noWrap/>
            <w:hideMark/>
          </w:tcPr>
          <w:p w14:paraId="025EC97D"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Factors</w:t>
            </w:r>
          </w:p>
        </w:tc>
        <w:tc>
          <w:tcPr>
            <w:tcW w:w="512" w:type="pct"/>
            <w:hideMark/>
          </w:tcPr>
          <w:p w14:paraId="09647C6E"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C.D.</w:t>
            </w:r>
          </w:p>
        </w:tc>
        <w:tc>
          <w:tcPr>
            <w:tcW w:w="610" w:type="pct"/>
            <w:hideMark/>
          </w:tcPr>
          <w:p w14:paraId="6F064E6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SE(d)</w:t>
            </w:r>
          </w:p>
        </w:tc>
        <w:tc>
          <w:tcPr>
            <w:tcW w:w="874" w:type="pct"/>
            <w:hideMark/>
          </w:tcPr>
          <w:p w14:paraId="5FFA5FA2"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SE(m)</w:t>
            </w:r>
          </w:p>
        </w:tc>
        <w:tc>
          <w:tcPr>
            <w:tcW w:w="885" w:type="pct"/>
            <w:noWrap/>
            <w:hideMark/>
          </w:tcPr>
          <w:p w14:paraId="2333AA96"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F-Calculated</w:t>
            </w:r>
          </w:p>
        </w:tc>
      </w:tr>
      <w:tr w:rsidR="00B84603" w:rsidRPr="00B22FB0" w14:paraId="57D81E97" w14:textId="77777777" w:rsidTr="00B22FB0">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119" w:type="pct"/>
            <w:gridSpan w:val="3"/>
            <w:noWrap/>
            <w:hideMark/>
          </w:tcPr>
          <w:p w14:paraId="5096CDC9"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Temperature &amp; Light (A)</w:t>
            </w:r>
          </w:p>
        </w:tc>
        <w:tc>
          <w:tcPr>
            <w:tcW w:w="512" w:type="pct"/>
            <w:hideMark/>
          </w:tcPr>
          <w:p w14:paraId="446188B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7.00</w:t>
            </w:r>
          </w:p>
        </w:tc>
        <w:tc>
          <w:tcPr>
            <w:tcW w:w="610" w:type="pct"/>
            <w:hideMark/>
          </w:tcPr>
          <w:p w14:paraId="6CC68F2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3.45</w:t>
            </w:r>
          </w:p>
        </w:tc>
        <w:tc>
          <w:tcPr>
            <w:tcW w:w="874" w:type="pct"/>
            <w:hideMark/>
          </w:tcPr>
          <w:p w14:paraId="186E874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2.44</w:t>
            </w:r>
          </w:p>
        </w:tc>
        <w:tc>
          <w:tcPr>
            <w:tcW w:w="885" w:type="pct"/>
            <w:noWrap/>
            <w:hideMark/>
          </w:tcPr>
          <w:p w14:paraId="6347E2E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6.03*</w:t>
            </w:r>
          </w:p>
        </w:tc>
      </w:tr>
      <w:tr w:rsidR="00B84603" w:rsidRPr="00B22FB0" w14:paraId="109B36DE" w14:textId="77777777" w:rsidTr="00B22FB0">
        <w:trPr>
          <w:trHeight w:val="174"/>
        </w:trPr>
        <w:tc>
          <w:tcPr>
            <w:cnfStyle w:val="001000000000" w:firstRow="0" w:lastRow="0" w:firstColumn="1" w:lastColumn="0" w:oddVBand="0" w:evenVBand="0" w:oddHBand="0" w:evenHBand="0" w:firstRowFirstColumn="0" w:firstRowLastColumn="0" w:lastRowFirstColumn="0" w:lastRowLastColumn="0"/>
            <w:tcW w:w="2119" w:type="pct"/>
            <w:gridSpan w:val="3"/>
            <w:noWrap/>
            <w:hideMark/>
          </w:tcPr>
          <w:p w14:paraId="191A77ED"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Media (B)</w:t>
            </w:r>
          </w:p>
        </w:tc>
        <w:tc>
          <w:tcPr>
            <w:tcW w:w="512" w:type="pct"/>
            <w:hideMark/>
          </w:tcPr>
          <w:p w14:paraId="2777763F"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7.83</w:t>
            </w:r>
          </w:p>
        </w:tc>
        <w:tc>
          <w:tcPr>
            <w:tcW w:w="610" w:type="pct"/>
            <w:hideMark/>
          </w:tcPr>
          <w:p w14:paraId="2D001CB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3.86</w:t>
            </w:r>
          </w:p>
        </w:tc>
        <w:tc>
          <w:tcPr>
            <w:tcW w:w="874" w:type="pct"/>
            <w:hideMark/>
          </w:tcPr>
          <w:p w14:paraId="785B4DEE"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2.73</w:t>
            </w:r>
          </w:p>
        </w:tc>
        <w:tc>
          <w:tcPr>
            <w:tcW w:w="885" w:type="pct"/>
            <w:noWrap/>
            <w:hideMark/>
          </w:tcPr>
          <w:p w14:paraId="61C9AA6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15.36*</w:t>
            </w:r>
          </w:p>
        </w:tc>
      </w:tr>
      <w:tr w:rsidR="00B84603" w:rsidRPr="00B22FB0" w14:paraId="06939B97" w14:textId="77777777" w:rsidTr="00B22FB0">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119" w:type="pct"/>
            <w:gridSpan w:val="3"/>
            <w:noWrap/>
            <w:hideMark/>
          </w:tcPr>
          <w:p w14:paraId="2D94A962"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Factor (A X B)</w:t>
            </w:r>
          </w:p>
        </w:tc>
        <w:tc>
          <w:tcPr>
            <w:tcW w:w="512" w:type="pct"/>
            <w:hideMark/>
          </w:tcPr>
          <w:p w14:paraId="3B32DA1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15.65</w:t>
            </w:r>
          </w:p>
        </w:tc>
        <w:tc>
          <w:tcPr>
            <w:tcW w:w="610" w:type="pct"/>
            <w:hideMark/>
          </w:tcPr>
          <w:p w14:paraId="28E459E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7.72</w:t>
            </w:r>
          </w:p>
        </w:tc>
        <w:tc>
          <w:tcPr>
            <w:tcW w:w="874" w:type="pct"/>
            <w:hideMark/>
          </w:tcPr>
          <w:p w14:paraId="5B59AE5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5.46</w:t>
            </w:r>
          </w:p>
        </w:tc>
        <w:tc>
          <w:tcPr>
            <w:tcW w:w="885" w:type="pct"/>
            <w:noWrap/>
            <w:hideMark/>
          </w:tcPr>
          <w:p w14:paraId="1A81F4A8"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6.49*</w:t>
            </w:r>
          </w:p>
        </w:tc>
      </w:tr>
    </w:tbl>
    <w:p w14:paraId="67C49910" w14:textId="77777777" w:rsidR="00B84603" w:rsidRPr="009F44DD" w:rsidRDefault="00B84603" w:rsidP="00977638">
      <w:pPr>
        <w:spacing w:after="100" w:afterAutospacing="1"/>
        <w:jc w:val="both"/>
        <w:rPr>
          <w:rFonts w:ascii="Times New Roman" w:hAnsi="Times New Roman" w:cs="Times New Roman"/>
          <w:sz w:val="24"/>
          <w:szCs w:val="24"/>
        </w:rPr>
      </w:pPr>
    </w:p>
    <w:p w14:paraId="7D8AE096" w14:textId="7B72074B" w:rsidR="00B84603" w:rsidRPr="009F44DD" w:rsidRDefault="00360CBD" w:rsidP="008D0A33">
      <w:pPr>
        <w:spacing w:after="100" w:afterAutospacing="1"/>
        <w:jc w:val="center"/>
        <w:rPr>
          <w:rFonts w:ascii="Times New Roman" w:hAnsi="Times New Roman" w:cs="Times New Roman"/>
          <w:b/>
          <w:sz w:val="24"/>
          <w:szCs w:val="24"/>
        </w:rPr>
      </w:pPr>
      <w:r w:rsidRPr="009F44DD">
        <w:rPr>
          <w:rFonts w:ascii="Times New Roman" w:hAnsi="Times New Roman" w:cs="Times New Roman"/>
          <w:b/>
          <w:bCs/>
          <w:sz w:val="24"/>
          <w:szCs w:val="24"/>
        </w:rPr>
        <w:t xml:space="preserve">Table </w:t>
      </w:r>
      <w:r w:rsidR="00DD0EF0" w:rsidRPr="009F44DD">
        <w:rPr>
          <w:rFonts w:ascii="Times New Roman" w:hAnsi="Times New Roman" w:cs="Times New Roman"/>
          <w:b/>
          <w:bCs/>
          <w:sz w:val="24"/>
          <w:szCs w:val="24"/>
        </w:rPr>
        <w:t>5:</w:t>
      </w:r>
      <w:r w:rsidR="00B84603" w:rsidRPr="009F44DD">
        <w:rPr>
          <w:rFonts w:ascii="Times New Roman" w:hAnsi="Times New Roman" w:cs="Times New Roman"/>
          <w:b/>
          <w:bCs/>
          <w:sz w:val="24"/>
          <w:szCs w:val="24"/>
        </w:rPr>
        <w:t xml:space="preserve"> </w:t>
      </w:r>
      <w:r w:rsidR="00B84603" w:rsidRPr="00DD0EF0">
        <w:rPr>
          <w:rFonts w:ascii="Times New Roman" w:hAnsi="Times New Roman" w:cs="Times New Roman"/>
          <w:bCs/>
          <w:sz w:val="24"/>
          <w:szCs w:val="24"/>
        </w:rPr>
        <w:t>Interaction of Temperature, Light Conditions, and Media on seedling length (cm)</w:t>
      </w:r>
      <w:r w:rsidR="00B84603" w:rsidRPr="009F44DD">
        <w:rPr>
          <w:rFonts w:ascii="Times New Roman" w:hAnsi="Times New Roman" w:cs="Times New Roman"/>
          <w:b/>
          <w:sz w:val="24"/>
          <w:szCs w:val="24"/>
        </w:rPr>
        <w:t xml:space="preserve"> </w:t>
      </w:r>
    </w:p>
    <w:tbl>
      <w:tblPr>
        <w:tblStyle w:val="ListTable2"/>
        <w:tblW w:w="5000" w:type="pct"/>
        <w:tblLook w:val="04A0" w:firstRow="1" w:lastRow="0" w:firstColumn="1" w:lastColumn="0" w:noHBand="0" w:noVBand="1"/>
      </w:tblPr>
      <w:tblGrid>
        <w:gridCol w:w="1786"/>
        <w:gridCol w:w="1244"/>
        <w:gridCol w:w="919"/>
        <w:gridCol w:w="946"/>
        <w:gridCol w:w="1033"/>
        <w:gridCol w:w="1547"/>
        <w:gridCol w:w="1551"/>
      </w:tblGrid>
      <w:tr w:rsidR="00B84603" w:rsidRPr="00B22FB0" w14:paraId="5EA7C4C0" w14:textId="77777777" w:rsidTr="00B22FB0">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990" w:type="pct"/>
            <w:hideMark/>
          </w:tcPr>
          <w:p w14:paraId="53D6E87B" w14:textId="77777777" w:rsidR="00B84603" w:rsidRPr="00B22FB0" w:rsidRDefault="00B84603" w:rsidP="00B22FB0">
            <w:pPr>
              <w:jc w:val="center"/>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Germination environment</w:t>
            </w:r>
          </w:p>
        </w:tc>
        <w:tc>
          <w:tcPr>
            <w:tcW w:w="689" w:type="pct"/>
            <w:hideMark/>
          </w:tcPr>
          <w:p w14:paraId="76A1989D"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TP</w:t>
            </w:r>
          </w:p>
        </w:tc>
        <w:tc>
          <w:tcPr>
            <w:tcW w:w="509" w:type="pct"/>
            <w:hideMark/>
          </w:tcPr>
          <w:p w14:paraId="3068A863"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BP</w:t>
            </w:r>
          </w:p>
        </w:tc>
        <w:tc>
          <w:tcPr>
            <w:tcW w:w="524" w:type="pct"/>
            <w:hideMark/>
          </w:tcPr>
          <w:p w14:paraId="3A10A06D"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Sand</w:t>
            </w:r>
          </w:p>
        </w:tc>
        <w:tc>
          <w:tcPr>
            <w:tcW w:w="572" w:type="pct"/>
            <w:hideMark/>
          </w:tcPr>
          <w:p w14:paraId="2AE753DC"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Soilrite</w:t>
            </w:r>
          </w:p>
        </w:tc>
        <w:tc>
          <w:tcPr>
            <w:tcW w:w="857" w:type="pct"/>
            <w:hideMark/>
          </w:tcPr>
          <w:p w14:paraId="0788E5BC"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Vermiculite</w:t>
            </w:r>
          </w:p>
        </w:tc>
        <w:tc>
          <w:tcPr>
            <w:tcW w:w="859" w:type="pct"/>
            <w:hideMark/>
          </w:tcPr>
          <w:p w14:paraId="29E2035D"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Mean A</w:t>
            </w:r>
          </w:p>
        </w:tc>
      </w:tr>
      <w:tr w:rsidR="00B84603" w:rsidRPr="00B22FB0" w14:paraId="2BC81C42" w14:textId="77777777" w:rsidTr="00B22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0" w:type="pct"/>
            <w:hideMark/>
          </w:tcPr>
          <w:p w14:paraId="6533DBE7"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 °C (Light)</w:t>
            </w:r>
          </w:p>
        </w:tc>
        <w:tc>
          <w:tcPr>
            <w:tcW w:w="689" w:type="pct"/>
            <w:hideMark/>
          </w:tcPr>
          <w:p w14:paraId="11882B2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13.53</w:t>
            </w:r>
          </w:p>
        </w:tc>
        <w:tc>
          <w:tcPr>
            <w:tcW w:w="509" w:type="pct"/>
            <w:hideMark/>
          </w:tcPr>
          <w:p w14:paraId="2FED134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18.51</w:t>
            </w:r>
          </w:p>
        </w:tc>
        <w:tc>
          <w:tcPr>
            <w:tcW w:w="524" w:type="pct"/>
            <w:hideMark/>
          </w:tcPr>
          <w:p w14:paraId="350A1C0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21.51</w:t>
            </w:r>
          </w:p>
        </w:tc>
        <w:tc>
          <w:tcPr>
            <w:tcW w:w="572" w:type="pct"/>
            <w:hideMark/>
          </w:tcPr>
          <w:p w14:paraId="5FE32FE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29.06</w:t>
            </w:r>
          </w:p>
        </w:tc>
        <w:tc>
          <w:tcPr>
            <w:tcW w:w="857" w:type="pct"/>
            <w:hideMark/>
          </w:tcPr>
          <w:p w14:paraId="29B2BE6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42.73</w:t>
            </w:r>
          </w:p>
        </w:tc>
        <w:tc>
          <w:tcPr>
            <w:tcW w:w="859" w:type="pct"/>
            <w:hideMark/>
          </w:tcPr>
          <w:p w14:paraId="493FB32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25.07</w:t>
            </w:r>
          </w:p>
        </w:tc>
      </w:tr>
      <w:tr w:rsidR="00B84603" w:rsidRPr="00B22FB0" w14:paraId="4BEFCD92" w14:textId="77777777" w:rsidTr="00B22FB0">
        <w:trPr>
          <w:trHeight w:val="320"/>
        </w:trPr>
        <w:tc>
          <w:tcPr>
            <w:cnfStyle w:val="001000000000" w:firstRow="0" w:lastRow="0" w:firstColumn="1" w:lastColumn="0" w:oddVBand="0" w:evenVBand="0" w:oddHBand="0" w:evenHBand="0" w:firstRowFirstColumn="0" w:firstRowLastColumn="0" w:lastRowFirstColumn="0" w:lastRowLastColumn="0"/>
            <w:tcW w:w="990" w:type="pct"/>
            <w:hideMark/>
          </w:tcPr>
          <w:p w14:paraId="36F0E1F3"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25°C (Dark)</w:t>
            </w:r>
          </w:p>
        </w:tc>
        <w:tc>
          <w:tcPr>
            <w:tcW w:w="689" w:type="pct"/>
            <w:hideMark/>
          </w:tcPr>
          <w:p w14:paraId="5218F62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26.24</w:t>
            </w:r>
          </w:p>
        </w:tc>
        <w:tc>
          <w:tcPr>
            <w:tcW w:w="509" w:type="pct"/>
            <w:hideMark/>
          </w:tcPr>
          <w:p w14:paraId="22A9007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25.68</w:t>
            </w:r>
          </w:p>
        </w:tc>
        <w:tc>
          <w:tcPr>
            <w:tcW w:w="524" w:type="pct"/>
            <w:hideMark/>
          </w:tcPr>
          <w:p w14:paraId="48832F6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30.06</w:t>
            </w:r>
          </w:p>
        </w:tc>
        <w:tc>
          <w:tcPr>
            <w:tcW w:w="572" w:type="pct"/>
            <w:hideMark/>
          </w:tcPr>
          <w:p w14:paraId="6BBDF39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26.56</w:t>
            </w:r>
          </w:p>
        </w:tc>
        <w:tc>
          <w:tcPr>
            <w:tcW w:w="857" w:type="pct"/>
            <w:hideMark/>
          </w:tcPr>
          <w:p w14:paraId="71367650"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17.55</w:t>
            </w:r>
          </w:p>
        </w:tc>
        <w:tc>
          <w:tcPr>
            <w:tcW w:w="859" w:type="pct"/>
            <w:hideMark/>
          </w:tcPr>
          <w:p w14:paraId="5165DD83"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25.22</w:t>
            </w:r>
          </w:p>
        </w:tc>
      </w:tr>
      <w:tr w:rsidR="00B84603" w:rsidRPr="00B22FB0" w14:paraId="3615A0F1" w14:textId="77777777" w:rsidTr="00B22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0" w:type="pct"/>
            <w:hideMark/>
          </w:tcPr>
          <w:p w14:paraId="49AE31DB"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 °C (Light)</w:t>
            </w:r>
          </w:p>
        </w:tc>
        <w:tc>
          <w:tcPr>
            <w:tcW w:w="689" w:type="pct"/>
            <w:hideMark/>
          </w:tcPr>
          <w:p w14:paraId="3ABB73E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13.15</w:t>
            </w:r>
          </w:p>
        </w:tc>
        <w:tc>
          <w:tcPr>
            <w:tcW w:w="509" w:type="pct"/>
            <w:hideMark/>
          </w:tcPr>
          <w:p w14:paraId="445A3A7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15.58</w:t>
            </w:r>
          </w:p>
        </w:tc>
        <w:tc>
          <w:tcPr>
            <w:tcW w:w="524" w:type="pct"/>
            <w:hideMark/>
          </w:tcPr>
          <w:p w14:paraId="5482918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17.57</w:t>
            </w:r>
          </w:p>
        </w:tc>
        <w:tc>
          <w:tcPr>
            <w:tcW w:w="572" w:type="pct"/>
            <w:hideMark/>
          </w:tcPr>
          <w:p w14:paraId="3015796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19.06</w:t>
            </w:r>
          </w:p>
        </w:tc>
        <w:tc>
          <w:tcPr>
            <w:tcW w:w="857" w:type="pct"/>
            <w:hideMark/>
          </w:tcPr>
          <w:p w14:paraId="42E029D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16.2</w:t>
            </w:r>
          </w:p>
        </w:tc>
        <w:tc>
          <w:tcPr>
            <w:tcW w:w="859" w:type="pct"/>
            <w:hideMark/>
          </w:tcPr>
          <w:p w14:paraId="2CB1A50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16.31</w:t>
            </w:r>
          </w:p>
        </w:tc>
      </w:tr>
      <w:tr w:rsidR="00B84603" w:rsidRPr="00B22FB0" w14:paraId="15187888" w14:textId="77777777" w:rsidTr="00B22FB0">
        <w:trPr>
          <w:trHeight w:val="320"/>
        </w:trPr>
        <w:tc>
          <w:tcPr>
            <w:cnfStyle w:val="001000000000" w:firstRow="0" w:lastRow="0" w:firstColumn="1" w:lastColumn="0" w:oddVBand="0" w:evenVBand="0" w:oddHBand="0" w:evenHBand="0" w:firstRowFirstColumn="0" w:firstRowLastColumn="0" w:lastRowFirstColumn="0" w:lastRowLastColumn="0"/>
            <w:tcW w:w="990" w:type="pct"/>
            <w:hideMark/>
          </w:tcPr>
          <w:p w14:paraId="76CC0062"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 °C (Dark)</w:t>
            </w:r>
          </w:p>
        </w:tc>
        <w:tc>
          <w:tcPr>
            <w:tcW w:w="689" w:type="pct"/>
            <w:hideMark/>
          </w:tcPr>
          <w:p w14:paraId="0B37B0B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14.08</w:t>
            </w:r>
          </w:p>
        </w:tc>
        <w:tc>
          <w:tcPr>
            <w:tcW w:w="509" w:type="pct"/>
            <w:hideMark/>
          </w:tcPr>
          <w:p w14:paraId="7282C20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11.31</w:t>
            </w:r>
          </w:p>
        </w:tc>
        <w:tc>
          <w:tcPr>
            <w:tcW w:w="524" w:type="pct"/>
            <w:hideMark/>
          </w:tcPr>
          <w:p w14:paraId="1D5A822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15.57</w:t>
            </w:r>
          </w:p>
        </w:tc>
        <w:tc>
          <w:tcPr>
            <w:tcW w:w="572" w:type="pct"/>
            <w:hideMark/>
          </w:tcPr>
          <w:p w14:paraId="3440C71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11.57</w:t>
            </w:r>
          </w:p>
        </w:tc>
        <w:tc>
          <w:tcPr>
            <w:tcW w:w="857" w:type="pct"/>
            <w:hideMark/>
          </w:tcPr>
          <w:p w14:paraId="3422E040"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14.56</w:t>
            </w:r>
          </w:p>
        </w:tc>
        <w:tc>
          <w:tcPr>
            <w:tcW w:w="859" w:type="pct"/>
            <w:hideMark/>
          </w:tcPr>
          <w:p w14:paraId="3901CCBE"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13.42</w:t>
            </w:r>
          </w:p>
        </w:tc>
      </w:tr>
      <w:tr w:rsidR="00B84603" w:rsidRPr="00B22FB0" w14:paraId="6497C155" w14:textId="77777777" w:rsidTr="00B22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0" w:type="pct"/>
            <w:hideMark/>
          </w:tcPr>
          <w:p w14:paraId="66D4B546"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Mean B</w:t>
            </w:r>
          </w:p>
        </w:tc>
        <w:tc>
          <w:tcPr>
            <w:tcW w:w="689" w:type="pct"/>
            <w:hideMark/>
          </w:tcPr>
          <w:p w14:paraId="093B1D4B"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16.75</w:t>
            </w:r>
          </w:p>
        </w:tc>
        <w:tc>
          <w:tcPr>
            <w:tcW w:w="509" w:type="pct"/>
            <w:hideMark/>
          </w:tcPr>
          <w:p w14:paraId="3BDF781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17.77</w:t>
            </w:r>
          </w:p>
        </w:tc>
        <w:tc>
          <w:tcPr>
            <w:tcW w:w="524" w:type="pct"/>
            <w:hideMark/>
          </w:tcPr>
          <w:p w14:paraId="070E42B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21.18</w:t>
            </w:r>
          </w:p>
        </w:tc>
        <w:tc>
          <w:tcPr>
            <w:tcW w:w="572" w:type="pct"/>
            <w:hideMark/>
          </w:tcPr>
          <w:p w14:paraId="49229A88"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21.56</w:t>
            </w:r>
          </w:p>
        </w:tc>
        <w:tc>
          <w:tcPr>
            <w:tcW w:w="857" w:type="pct"/>
            <w:hideMark/>
          </w:tcPr>
          <w:p w14:paraId="4F8F3FC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22.76</w:t>
            </w:r>
          </w:p>
        </w:tc>
        <w:tc>
          <w:tcPr>
            <w:tcW w:w="859" w:type="pct"/>
            <w:noWrap/>
            <w:hideMark/>
          </w:tcPr>
          <w:p w14:paraId="458D9B9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r>
      <w:tr w:rsidR="00B84603" w:rsidRPr="00B22FB0" w14:paraId="22CC191C" w14:textId="77777777" w:rsidTr="00B22FB0">
        <w:trPr>
          <w:trHeight w:val="310"/>
        </w:trPr>
        <w:tc>
          <w:tcPr>
            <w:cnfStyle w:val="001000000000" w:firstRow="0" w:lastRow="0" w:firstColumn="1" w:lastColumn="0" w:oddVBand="0" w:evenVBand="0" w:oddHBand="0" w:evenHBand="0" w:firstRowFirstColumn="0" w:firstRowLastColumn="0" w:lastRowFirstColumn="0" w:lastRowLastColumn="0"/>
            <w:tcW w:w="2188" w:type="pct"/>
            <w:gridSpan w:val="3"/>
            <w:noWrap/>
            <w:hideMark/>
          </w:tcPr>
          <w:p w14:paraId="2CE0B7EA"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Factors</w:t>
            </w:r>
          </w:p>
        </w:tc>
        <w:tc>
          <w:tcPr>
            <w:tcW w:w="524" w:type="pct"/>
          </w:tcPr>
          <w:p w14:paraId="43FC6446"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C.D.</w:t>
            </w:r>
          </w:p>
        </w:tc>
        <w:tc>
          <w:tcPr>
            <w:tcW w:w="572" w:type="pct"/>
          </w:tcPr>
          <w:p w14:paraId="449FAA3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SE(d)</w:t>
            </w:r>
          </w:p>
        </w:tc>
        <w:tc>
          <w:tcPr>
            <w:tcW w:w="857" w:type="pct"/>
          </w:tcPr>
          <w:p w14:paraId="3C52098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SE(m)</w:t>
            </w:r>
          </w:p>
        </w:tc>
        <w:tc>
          <w:tcPr>
            <w:tcW w:w="859" w:type="pct"/>
            <w:noWrap/>
            <w:hideMark/>
          </w:tcPr>
          <w:p w14:paraId="32452C9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b/>
                <w:bCs/>
                <w:color w:val="000000"/>
                <w:sz w:val="20"/>
              </w:rPr>
              <w:t>F-Calculated</w:t>
            </w:r>
          </w:p>
        </w:tc>
      </w:tr>
      <w:tr w:rsidR="00B84603" w:rsidRPr="00B22FB0" w14:paraId="3477BEB6" w14:textId="77777777" w:rsidTr="00B22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88" w:type="pct"/>
            <w:gridSpan w:val="3"/>
            <w:noWrap/>
            <w:hideMark/>
          </w:tcPr>
          <w:p w14:paraId="0AEC1DDE"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Temperature &amp; Light (A)</w:t>
            </w:r>
          </w:p>
        </w:tc>
        <w:tc>
          <w:tcPr>
            <w:tcW w:w="524" w:type="pct"/>
          </w:tcPr>
          <w:p w14:paraId="1F42873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1.08</w:t>
            </w:r>
          </w:p>
        </w:tc>
        <w:tc>
          <w:tcPr>
            <w:tcW w:w="572" w:type="pct"/>
          </w:tcPr>
          <w:p w14:paraId="56494FD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0.53</w:t>
            </w:r>
          </w:p>
        </w:tc>
        <w:tc>
          <w:tcPr>
            <w:tcW w:w="857" w:type="pct"/>
          </w:tcPr>
          <w:p w14:paraId="5588102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0.38</w:t>
            </w:r>
          </w:p>
        </w:tc>
        <w:tc>
          <w:tcPr>
            <w:tcW w:w="859" w:type="pct"/>
            <w:noWrap/>
            <w:hideMark/>
          </w:tcPr>
          <w:p w14:paraId="5FE021A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259.69</w:t>
            </w:r>
          </w:p>
        </w:tc>
      </w:tr>
      <w:tr w:rsidR="00B84603" w:rsidRPr="00B22FB0" w14:paraId="48536ADD" w14:textId="77777777" w:rsidTr="00B22FB0">
        <w:trPr>
          <w:trHeight w:val="320"/>
        </w:trPr>
        <w:tc>
          <w:tcPr>
            <w:cnfStyle w:val="001000000000" w:firstRow="0" w:lastRow="0" w:firstColumn="1" w:lastColumn="0" w:oddVBand="0" w:evenVBand="0" w:oddHBand="0" w:evenHBand="0" w:firstRowFirstColumn="0" w:firstRowLastColumn="0" w:lastRowFirstColumn="0" w:lastRowLastColumn="0"/>
            <w:tcW w:w="2188" w:type="pct"/>
            <w:gridSpan w:val="3"/>
            <w:noWrap/>
            <w:hideMark/>
          </w:tcPr>
          <w:p w14:paraId="70DC2B0C"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Media (B)</w:t>
            </w:r>
          </w:p>
        </w:tc>
        <w:tc>
          <w:tcPr>
            <w:tcW w:w="524" w:type="pct"/>
          </w:tcPr>
          <w:p w14:paraId="496C70E2"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1.2</w:t>
            </w:r>
          </w:p>
        </w:tc>
        <w:tc>
          <w:tcPr>
            <w:tcW w:w="572" w:type="pct"/>
          </w:tcPr>
          <w:p w14:paraId="60335BF3"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0.59</w:t>
            </w:r>
          </w:p>
        </w:tc>
        <w:tc>
          <w:tcPr>
            <w:tcW w:w="857" w:type="pct"/>
          </w:tcPr>
          <w:p w14:paraId="2D5B6EEB"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0.42</w:t>
            </w:r>
          </w:p>
        </w:tc>
        <w:tc>
          <w:tcPr>
            <w:tcW w:w="859" w:type="pct"/>
            <w:noWrap/>
            <w:hideMark/>
          </w:tcPr>
          <w:p w14:paraId="27BAE79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38.29</w:t>
            </w:r>
          </w:p>
        </w:tc>
      </w:tr>
      <w:tr w:rsidR="00B84603" w:rsidRPr="00B22FB0" w14:paraId="58AA6149" w14:textId="77777777" w:rsidTr="00B22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88" w:type="pct"/>
            <w:gridSpan w:val="3"/>
            <w:noWrap/>
            <w:hideMark/>
          </w:tcPr>
          <w:p w14:paraId="4337866A"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Factor (A X B)</w:t>
            </w:r>
          </w:p>
        </w:tc>
        <w:tc>
          <w:tcPr>
            <w:tcW w:w="524" w:type="pct"/>
          </w:tcPr>
          <w:p w14:paraId="442C5A1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2.41</w:t>
            </w:r>
          </w:p>
        </w:tc>
        <w:tc>
          <w:tcPr>
            <w:tcW w:w="572" w:type="pct"/>
          </w:tcPr>
          <w:p w14:paraId="7488E61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1.19</w:t>
            </w:r>
          </w:p>
        </w:tc>
        <w:tc>
          <w:tcPr>
            <w:tcW w:w="857" w:type="pct"/>
          </w:tcPr>
          <w:p w14:paraId="42EEFF7B"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0.84</w:t>
            </w:r>
          </w:p>
        </w:tc>
        <w:tc>
          <w:tcPr>
            <w:tcW w:w="859" w:type="pct"/>
            <w:noWrap/>
            <w:hideMark/>
          </w:tcPr>
          <w:p w14:paraId="65CBDB5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62.41</w:t>
            </w:r>
          </w:p>
        </w:tc>
      </w:tr>
    </w:tbl>
    <w:p w14:paraId="1B630EB4" w14:textId="77777777" w:rsidR="00B84603" w:rsidRPr="009F44DD" w:rsidRDefault="00B84603" w:rsidP="00977638">
      <w:pPr>
        <w:jc w:val="both"/>
        <w:rPr>
          <w:rFonts w:ascii="Times New Roman" w:hAnsi="Times New Roman" w:cs="Times New Roman"/>
          <w:b/>
          <w:bCs/>
          <w:i/>
          <w:iCs/>
          <w:sz w:val="24"/>
          <w:szCs w:val="24"/>
        </w:rPr>
      </w:pPr>
    </w:p>
    <w:p w14:paraId="739CC964" w14:textId="72A85024" w:rsidR="00B84603" w:rsidRPr="009F44DD" w:rsidRDefault="00360CBD" w:rsidP="008D0A33">
      <w:pPr>
        <w:pStyle w:val="NormalWeb"/>
        <w:spacing w:before="0" w:beforeAutospacing="0"/>
        <w:jc w:val="center"/>
      </w:pPr>
      <w:r w:rsidRPr="009F44DD">
        <w:rPr>
          <w:b/>
          <w:bCs/>
        </w:rPr>
        <w:lastRenderedPageBreak/>
        <w:t xml:space="preserve">Table </w:t>
      </w:r>
      <w:r w:rsidR="00AF58E8" w:rsidRPr="009F44DD">
        <w:rPr>
          <w:b/>
          <w:bCs/>
        </w:rPr>
        <w:t>6:</w:t>
      </w:r>
      <w:r w:rsidR="00B84603" w:rsidRPr="009F44DD">
        <w:rPr>
          <w:b/>
          <w:bCs/>
        </w:rPr>
        <w:t xml:space="preserve"> </w:t>
      </w:r>
      <w:r w:rsidR="00B84603" w:rsidRPr="00DD0EF0">
        <w:rPr>
          <w:bCs/>
        </w:rPr>
        <w:t xml:space="preserve">Interaction of Temperature, Light Conditions, and Media on the </w:t>
      </w:r>
      <w:r w:rsidR="00B84603" w:rsidRPr="00DD0EF0">
        <w:rPr>
          <w:bCs/>
          <w:color w:val="000000"/>
        </w:rPr>
        <w:t>Vigour index I</w:t>
      </w:r>
      <w:r w:rsidR="00B84603" w:rsidRPr="00DD0EF0">
        <w:rPr>
          <w:bCs/>
        </w:rPr>
        <w:t xml:space="preserve"> of </w:t>
      </w:r>
      <w:r w:rsidR="00B84603" w:rsidRPr="00DD0EF0">
        <w:rPr>
          <w:bCs/>
          <w:i/>
          <w:iCs/>
        </w:rPr>
        <w:t>Butea monosperma.</w:t>
      </w:r>
    </w:p>
    <w:tbl>
      <w:tblPr>
        <w:tblStyle w:val="ListTable2"/>
        <w:tblW w:w="5000" w:type="pct"/>
        <w:tblLook w:val="04A0" w:firstRow="1" w:lastRow="0" w:firstColumn="1" w:lastColumn="0" w:noHBand="0" w:noVBand="1"/>
      </w:tblPr>
      <w:tblGrid>
        <w:gridCol w:w="1665"/>
        <w:gridCol w:w="1139"/>
        <w:gridCol w:w="1107"/>
        <w:gridCol w:w="933"/>
        <w:gridCol w:w="1108"/>
        <w:gridCol w:w="1522"/>
        <w:gridCol w:w="1552"/>
      </w:tblGrid>
      <w:tr w:rsidR="00B84603" w:rsidRPr="00B22FB0" w14:paraId="32AF367C" w14:textId="77777777" w:rsidTr="00B22FB0">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22" w:type="pct"/>
            <w:hideMark/>
          </w:tcPr>
          <w:p w14:paraId="60E6F444" w14:textId="77777777" w:rsidR="00B84603" w:rsidRPr="00B22FB0" w:rsidRDefault="00B84603" w:rsidP="00B22FB0">
            <w:pPr>
              <w:jc w:val="center"/>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Germination environment</w:t>
            </w:r>
          </w:p>
        </w:tc>
        <w:tc>
          <w:tcPr>
            <w:tcW w:w="631" w:type="pct"/>
            <w:hideMark/>
          </w:tcPr>
          <w:p w14:paraId="1735C71F"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TP</w:t>
            </w:r>
          </w:p>
        </w:tc>
        <w:tc>
          <w:tcPr>
            <w:tcW w:w="613" w:type="pct"/>
            <w:hideMark/>
          </w:tcPr>
          <w:p w14:paraId="0524B1C1"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BP</w:t>
            </w:r>
          </w:p>
        </w:tc>
        <w:tc>
          <w:tcPr>
            <w:tcW w:w="517" w:type="pct"/>
            <w:hideMark/>
          </w:tcPr>
          <w:p w14:paraId="6BC3E325"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Sand</w:t>
            </w:r>
          </w:p>
        </w:tc>
        <w:tc>
          <w:tcPr>
            <w:tcW w:w="614" w:type="pct"/>
            <w:hideMark/>
          </w:tcPr>
          <w:p w14:paraId="54EDFED2"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Soilrite</w:t>
            </w:r>
          </w:p>
        </w:tc>
        <w:tc>
          <w:tcPr>
            <w:tcW w:w="843" w:type="pct"/>
            <w:hideMark/>
          </w:tcPr>
          <w:p w14:paraId="4955AC35"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Vermiculite</w:t>
            </w:r>
          </w:p>
        </w:tc>
        <w:tc>
          <w:tcPr>
            <w:tcW w:w="860" w:type="pct"/>
            <w:hideMark/>
          </w:tcPr>
          <w:p w14:paraId="76BC58FF"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Mean A</w:t>
            </w:r>
          </w:p>
        </w:tc>
      </w:tr>
      <w:tr w:rsidR="00B84603" w:rsidRPr="00B22FB0" w14:paraId="6F8EDE03" w14:textId="77777777" w:rsidTr="00B22FB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22" w:type="pct"/>
            <w:hideMark/>
          </w:tcPr>
          <w:p w14:paraId="06C9F2AA"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 °C (Light)</w:t>
            </w:r>
          </w:p>
        </w:tc>
        <w:tc>
          <w:tcPr>
            <w:tcW w:w="631" w:type="pct"/>
            <w:hideMark/>
          </w:tcPr>
          <w:p w14:paraId="0C6F1F6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1,103.23</w:t>
            </w:r>
          </w:p>
        </w:tc>
        <w:tc>
          <w:tcPr>
            <w:tcW w:w="613" w:type="pct"/>
            <w:hideMark/>
          </w:tcPr>
          <w:p w14:paraId="1E147C6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832.81</w:t>
            </w:r>
          </w:p>
        </w:tc>
        <w:tc>
          <w:tcPr>
            <w:tcW w:w="517" w:type="pct"/>
            <w:hideMark/>
          </w:tcPr>
          <w:p w14:paraId="12F42D1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734.89</w:t>
            </w:r>
          </w:p>
        </w:tc>
        <w:tc>
          <w:tcPr>
            <w:tcW w:w="614" w:type="pct"/>
            <w:hideMark/>
          </w:tcPr>
          <w:p w14:paraId="3C71B5E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1,168.23</w:t>
            </w:r>
          </w:p>
        </w:tc>
        <w:tc>
          <w:tcPr>
            <w:tcW w:w="843" w:type="pct"/>
            <w:hideMark/>
          </w:tcPr>
          <w:p w14:paraId="715B1DE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2,961.29</w:t>
            </w:r>
          </w:p>
        </w:tc>
        <w:tc>
          <w:tcPr>
            <w:tcW w:w="860" w:type="pct"/>
            <w:hideMark/>
          </w:tcPr>
          <w:p w14:paraId="4F97045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1,360.09</w:t>
            </w:r>
          </w:p>
        </w:tc>
      </w:tr>
      <w:tr w:rsidR="00B84603" w:rsidRPr="00B22FB0" w14:paraId="46DFB753" w14:textId="77777777" w:rsidTr="00B22FB0">
        <w:trPr>
          <w:trHeight w:val="310"/>
        </w:trPr>
        <w:tc>
          <w:tcPr>
            <w:cnfStyle w:val="001000000000" w:firstRow="0" w:lastRow="0" w:firstColumn="1" w:lastColumn="0" w:oddVBand="0" w:evenVBand="0" w:oddHBand="0" w:evenHBand="0" w:firstRowFirstColumn="0" w:firstRowLastColumn="0" w:lastRowFirstColumn="0" w:lastRowLastColumn="0"/>
            <w:tcW w:w="922" w:type="pct"/>
            <w:hideMark/>
          </w:tcPr>
          <w:p w14:paraId="56E819D1"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25°C (Dark)</w:t>
            </w:r>
          </w:p>
        </w:tc>
        <w:tc>
          <w:tcPr>
            <w:tcW w:w="631" w:type="pct"/>
            <w:hideMark/>
          </w:tcPr>
          <w:p w14:paraId="2133432A"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1,000.48</w:t>
            </w:r>
          </w:p>
        </w:tc>
        <w:tc>
          <w:tcPr>
            <w:tcW w:w="613" w:type="pct"/>
            <w:hideMark/>
          </w:tcPr>
          <w:p w14:paraId="46A46CB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1,344.56</w:t>
            </w:r>
          </w:p>
        </w:tc>
        <w:tc>
          <w:tcPr>
            <w:tcW w:w="517" w:type="pct"/>
            <w:hideMark/>
          </w:tcPr>
          <w:p w14:paraId="2CEC574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899.30</w:t>
            </w:r>
          </w:p>
        </w:tc>
        <w:tc>
          <w:tcPr>
            <w:tcW w:w="614" w:type="pct"/>
            <w:hideMark/>
          </w:tcPr>
          <w:p w14:paraId="01DCA5EC"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544.53</w:t>
            </w:r>
          </w:p>
        </w:tc>
        <w:tc>
          <w:tcPr>
            <w:tcW w:w="843" w:type="pct"/>
            <w:hideMark/>
          </w:tcPr>
          <w:p w14:paraId="08D5F686"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980.87</w:t>
            </w:r>
          </w:p>
        </w:tc>
        <w:tc>
          <w:tcPr>
            <w:tcW w:w="860" w:type="pct"/>
            <w:hideMark/>
          </w:tcPr>
          <w:p w14:paraId="135F377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953.95</w:t>
            </w:r>
          </w:p>
        </w:tc>
      </w:tr>
      <w:tr w:rsidR="00B84603" w:rsidRPr="00B22FB0" w14:paraId="7E156540" w14:textId="77777777" w:rsidTr="00B22FB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22" w:type="pct"/>
            <w:hideMark/>
          </w:tcPr>
          <w:p w14:paraId="0F88B359"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 °C (Light)</w:t>
            </w:r>
          </w:p>
        </w:tc>
        <w:tc>
          <w:tcPr>
            <w:tcW w:w="631" w:type="pct"/>
            <w:hideMark/>
          </w:tcPr>
          <w:p w14:paraId="0A55245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716.75</w:t>
            </w:r>
          </w:p>
        </w:tc>
        <w:tc>
          <w:tcPr>
            <w:tcW w:w="613" w:type="pct"/>
            <w:hideMark/>
          </w:tcPr>
          <w:p w14:paraId="7F60E51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738.12</w:t>
            </w:r>
          </w:p>
        </w:tc>
        <w:tc>
          <w:tcPr>
            <w:tcW w:w="517" w:type="pct"/>
            <w:hideMark/>
          </w:tcPr>
          <w:p w14:paraId="434287D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424.53</w:t>
            </w:r>
          </w:p>
        </w:tc>
        <w:tc>
          <w:tcPr>
            <w:tcW w:w="614" w:type="pct"/>
            <w:hideMark/>
          </w:tcPr>
          <w:p w14:paraId="6A630CB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1,199.58</w:t>
            </w:r>
          </w:p>
        </w:tc>
        <w:tc>
          <w:tcPr>
            <w:tcW w:w="843" w:type="pct"/>
            <w:hideMark/>
          </w:tcPr>
          <w:p w14:paraId="74EBA3B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812.28</w:t>
            </w:r>
          </w:p>
        </w:tc>
        <w:tc>
          <w:tcPr>
            <w:tcW w:w="860" w:type="pct"/>
            <w:hideMark/>
          </w:tcPr>
          <w:p w14:paraId="0EF5930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778.25</w:t>
            </w:r>
          </w:p>
        </w:tc>
      </w:tr>
      <w:tr w:rsidR="00B84603" w:rsidRPr="00B22FB0" w14:paraId="097AE420" w14:textId="77777777" w:rsidTr="00B22FB0">
        <w:trPr>
          <w:trHeight w:val="310"/>
        </w:trPr>
        <w:tc>
          <w:tcPr>
            <w:cnfStyle w:val="001000000000" w:firstRow="0" w:lastRow="0" w:firstColumn="1" w:lastColumn="0" w:oddVBand="0" w:evenVBand="0" w:oddHBand="0" w:evenHBand="0" w:firstRowFirstColumn="0" w:firstRowLastColumn="0" w:lastRowFirstColumn="0" w:lastRowLastColumn="0"/>
            <w:tcW w:w="922" w:type="pct"/>
            <w:hideMark/>
          </w:tcPr>
          <w:p w14:paraId="15DA4AEE"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 °C (Dark)</w:t>
            </w:r>
          </w:p>
        </w:tc>
        <w:tc>
          <w:tcPr>
            <w:tcW w:w="631" w:type="pct"/>
            <w:hideMark/>
          </w:tcPr>
          <w:p w14:paraId="7279378B"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949.20</w:t>
            </w:r>
          </w:p>
        </w:tc>
        <w:tc>
          <w:tcPr>
            <w:tcW w:w="613" w:type="pct"/>
            <w:hideMark/>
          </w:tcPr>
          <w:p w14:paraId="2F54BA5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512.45</w:t>
            </w:r>
          </w:p>
        </w:tc>
        <w:tc>
          <w:tcPr>
            <w:tcW w:w="517" w:type="pct"/>
            <w:hideMark/>
          </w:tcPr>
          <w:p w14:paraId="607D9CB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809.50</w:t>
            </w:r>
          </w:p>
        </w:tc>
        <w:tc>
          <w:tcPr>
            <w:tcW w:w="614" w:type="pct"/>
            <w:hideMark/>
          </w:tcPr>
          <w:p w14:paraId="4DF1A452"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360.95</w:t>
            </w:r>
          </w:p>
        </w:tc>
        <w:tc>
          <w:tcPr>
            <w:tcW w:w="843" w:type="pct"/>
            <w:hideMark/>
          </w:tcPr>
          <w:p w14:paraId="4A39AC1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596.67</w:t>
            </w:r>
          </w:p>
        </w:tc>
        <w:tc>
          <w:tcPr>
            <w:tcW w:w="860" w:type="pct"/>
            <w:hideMark/>
          </w:tcPr>
          <w:p w14:paraId="218BC11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645.75</w:t>
            </w:r>
          </w:p>
        </w:tc>
      </w:tr>
      <w:tr w:rsidR="00B84603" w:rsidRPr="00B22FB0" w14:paraId="7DDEB7DB" w14:textId="77777777" w:rsidTr="00B22FB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22" w:type="pct"/>
            <w:hideMark/>
          </w:tcPr>
          <w:p w14:paraId="4A8E5A85"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Mean B</w:t>
            </w:r>
          </w:p>
        </w:tc>
        <w:tc>
          <w:tcPr>
            <w:tcW w:w="631" w:type="pct"/>
            <w:hideMark/>
          </w:tcPr>
          <w:p w14:paraId="5233715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942.42</w:t>
            </w:r>
          </w:p>
        </w:tc>
        <w:tc>
          <w:tcPr>
            <w:tcW w:w="613" w:type="pct"/>
            <w:hideMark/>
          </w:tcPr>
          <w:p w14:paraId="1A8EF17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856.99</w:t>
            </w:r>
          </w:p>
        </w:tc>
        <w:tc>
          <w:tcPr>
            <w:tcW w:w="517" w:type="pct"/>
            <w:hideMark/>
          </w:tcPr>
          <w:p w14:paraId="78D22F2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717.06</w:t>
            </w:r>
          </w:p>
        </w:tc>
        <w:tc>
          <w:tcPr>
            <w:tcW w:w="614" w:type="pct"/>
            <w:hideMark/>
          </w:tcPr>
          <w:p w14:paraId="3268E67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818.33</w:t>
            </w:r>
          </w:p>
        </w:tc>
        <w:tc>
          <w:tcPr>
            <w:tcW w:w="843" w:type="pct"/>
            <w:hideMark/>
          </w:tcPr>
          <w:p w14:paraId="7D5DDBF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1,337.78</w:t>
            </w:r>
          </w:p>
        </w:tc>
        <w:tc>
          <w:tcPr>
            <w:tcW w:w="860" w:type="pct"/>
            <w:noWrap/>
            <w:hideMark/>
          </w:tcPr>
          <w:p w14:paraId="14CC54D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r>
      <w:tr w:rsidR="00B84603" w:rsidRPr="00B22FB0" w14:paraId="603831CE" w14:textId="77777777" w:rsidTr="00B22FB0">
        <w:trPr>
          <w:trHeight w:val="320"/>
        </w:trPr>
        <w:tc>
          <w:tcPr>
            <w:cnfStyle w:val="001000000000" w:firstRow="0" w:lastRow="0" w:firstColumn="1" w:lastColumn="0" w:oddVBand="0" w:evenVBand="0" w:oddHBand="0" w:evenHBand="0" w:firstRowFirstColumn="0" w:firstRowLastColumn="0" w:lastRowFirstColumn="0" w:lastRowLastColumn="0"/>
            <w:tcW w:w="2166" w:type="pct"/>
            <w:gridSpan w:val="3"/>
            <w:hideMark/>
          </w:tcPr>
          <w:p w14:paraId="644035E8"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Factors</w:t>
            </w:r>
          </w:p>
        </w:tc>
        <w:tc>
          <w:tcPr>
            <w:tcW w:w="517" w:type="pct"/>
          </w:tcPr>
          <w:p w14:paraId="0E60EE1C"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C.D.</w:t>
            </w:r>
          </w:p>
        </w:tc>
        <w:tc>
          <w:tcPr>
            <w:tcW w:w="614" w:type="pct"/>
          </w:tcPr>
          <w:p w14:paraId="379B6012"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SE(d)</w:t>
            </w:r>
          </w:p>
        </w:tc>
        <w:tc>
          <w:tcPr>
            <w:tcW w:w="843" w:type="pct"/>
          </w:tcPr>
          <w:p w14:paraId="5EC1595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SE(m)</w:t>
            </w:r>
          </w:p>
        </w:tc>
        <w:tc>
          <w:tcPr>
            <w:tcW w:w="860" w:type="pct"/>
            <w:noWrap/>
            <w:hideMark/>
          </w:tcPr>
          <w:p w14:paraId="3A8D77C2"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b/>
                <w:bCs/>
                <w:color w:val="000000"/>
                <w:sz w:val="20"/>
              </w:rPr>
              <w:t>F-Calculated</w:t>
            </w:r>
          </w:p>
        </w:tc>
      </w:tr>
      <w:tr w:rsidR="00B84603" w:rsidRPr="00B22FB0" w14:paraId="79AEC4C7" w14:textId="77777777" w:rsidTr="00B22FB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166" w:type="pct"/>
            <w:gridSpan w:val="3"/>
            <w:hideMark/>
          </w:tcPr>
          <w:p w14:paraId="66DB8DFD"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Temperature &amp; Light (A)</w:t>
            </w:r>
          </w:p>
        </w:tc>
        <w:tc>
          <w:tcPr>
            <w:tcW w:w="517" w:type="pct"/>
          </w:tcPr>
          <w:p w14:paraId="0FE3212B"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148.44</w:t>
            </w:r>
          </w:p>
        </w:tc>
        <w:tc>
          <w:tcPr>
            <w:tcW w:w="614" w:type="pct"/>
          </w:tcPr>
          <w:p w14:paraId="177C249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73.18</w:t>
            </w:r>
          </w:p>
        </w:tc>
        <w:tc>
          <w:tcPr>
            <w:tcW w:w="843" w:type="pct"/>
          </w:tcPr>
          <w:p w14:paraId="1093C67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51.74</w:t>
            </w:r>
          </w:p>
        </w:tc>
        <w:tc>
          <w:tcPr>
            <w:tcW w:w="860" w:type="pct"/>
            <w:noWrap/>
            <w:hideMark/>
          </w:tcPr>
          <w:p w14:paraId="10326DE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36.01</w:t>
            </w:r>
          </w:p>
        </w:tc>
      </w:tr>
      <w:tr w:rsidR="00B84603" w:rsidRPr="00B22FB0" w14:paraId="14222E93" w14:textId="77777777" w:rsidTr="00B22FB0">
        <w:trPr>
          <w:trHeight w:val="320"/>
        </w:trPr>
        <w:tc>
          <w:tcPr>
            <w:cnfStyle w:val="001000000000" w:firstRow="0" w:lastRow="0" w:firstColumn="1" w:lastColumn="0" w:oddVBand="0" w:evenVBand="0" w:oddHBand="0" w:evenHBand="0" w:firstRowFirstColumn="0" w:firstRowLastColumn="0" w:lastRowFirstColumn="0" w:lastRowLastColumn="0"/>
            <w:tcW w:w="2166" w:type="pct"/>
            <w:gridSpan w:val="3"/>
            <w:hideMark/>
          </w:tcPr>
          <w:p w14:paraId="40BFF749"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Media (B)</w:t>
            </w:r>
          </w:p>
        </w:tc>
        <w:tc>
          <w:tcPr>
            <w:tcW w:w="517" w:type="pct"/>
          </w:tcPr>
          <w:p w14:paraId="1F7E8210"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165.96</w:t>
            </w:r>
          </w:p>
        </w:tc>
        <w:tc>
          <w:tcPr>
            <w:tcW w:w="614" w:type="pct"/>
          </w:tcPr>
          <w:p w14:paraId="535071C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81.81</w:t>
            </w:r>
          </w:p>
        </w:tc>
        <w:tc>
          <w:tcPr>
            <w:tcW w:w="843" w:type="pct"/>
          </w:tcPr>
          <w:p w14:paraId="5029FAEB"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57.85</w:t>
            </w:r>
          </w:p>
        </w:tc>
        <w:tc>
          <w:tcPr>
            <w:tcW w:w="860" w:type="pct"/>
            <w:noWrap/>
            <w:hideMark/>
          </w:tcPr>
          <w:p w14:paraId="758BED7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17.14</w:t>
            </w:r>
          </w:p>
        </w:tc>
      </w:tr>
      <w:tr w:rsidR="00B84603" w:rsidRPr="00B22FB0" w14:paraId="53333260" w14:textId="77777777" w:rsidTr="00B22FB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166" w:type="pct"/>
            <w:gridSpan w:val="3"/>
            <w:hideMark/>
          </w:tcPr>
          <w:p w14:paraId="7E617B5D"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Factor (A X B)</w:t>
            </w:r>
          </w:p>
        </w:tc>
        <w:tc>
          <w:tcPr>
            <w:tcW w:w="517" w:type="pct"/>
          </w:tcPr>
          <w:p w14:paraId="7CC6A74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331.92</w:t>
            </w:r>
          </w:p>
        </w:tc>
        <w:tc>
          <w:tcPr>
            <w:tcW w:w="614" w:type="pct"/>
          </w:tcPr>
          <w:p w14:paraId="6C0D336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163.63</w:t>
            </w:r>
          </w:p>
        </w:tc>
        <w:tc>
          <w:tcPr>
            <w:tcW w:w="843" w:type="pct"/>
          </w:tcPr>
          <w:p w14:paraId="5178D43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115.7</w:t>
            </w:r>
          </w:p>
        </w:tc>
        <w:tc>
          <w:tcPr>
            <w:tcW w:w="860" w:type="pct"/>
            <w:noWrap/>
            <w:hideMark/>
          </w:tcPr>
          <w:p w14:paraId="237178C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20.37</w:t>
            </w:r>
          </w:p>
        </w:tc>
      </w:tr>
    </w:tbl>
    <w:p w14:paraId="6E205CAC" w14:textId="77777777" w:rsidR="00B84603" w:rsidRPr="009F44DD" w:rsidRDefault="00B84603" w:rsidP="00977638">
      <w:pPr>
        <w:spacing w:after="100" w:afterAutospacing="1"/>
        <w:jc w:val="both"/>
        <w:rPr>
          <w:rFonts w:ascii="Times New Roman" w:hAnsi="Times New Roman" w:cs="Times New Roman"/>
          <w:b/>
          <w:bCs/>
          <w:i/>
          <w:iCs/>
          <w:sz w:val="24"/>
          <w:szCs w:val="24"/>
        </w:rPr>
      </w:pPr>
    </w:p>
    <w:p w14:paraId="35C7E036" w14:textId="5E84CE5A" w:rsidR="00B84603" w:rsidRPr="009F44DD" w:rsidRDefault="00B84603" w:rsidP="008D0A33">
      <w:pPr>
        <w:spacing w:after="100" w:afterAutospacing="1"/>
        <w:jc w:val="center"/>
        <w:rPr>
          <w:rFonts w:ascii="Times New Roman" w:hAnsi="Times New Roman" w:cs="Times New Roman"/>
          <w:b/>
          <w:i/>
          <w:iCs/>
          <w:sz w:val="24"/>
          <w:szCs w:val="24"/>
        </w:rPr>
      </w:pPr>
      <w:r w:rsidRPr="009F44DD">
        <w:rPr>
          <w:rFonts w:ascii="Times New Roman" w:hAnsi="Times New Roman" w:cs="Times New Roman"/>
          <w:b/>
          <w:bCs/>
          <w:sz w:val="24"/>
          <w:szCs w:val="24"/>
        </w:rPr>
        <w:t>T</w:t>
      </w:r>
      <w:r w:rsidR="00360CBD" w:rsidRPr="009F44DD">
        <w:rPr>
          <w:rFonts w:ascii="Times New Roman" w:hAnsi="Times New Roman" w:cs="Times New Roman"/>
          <w:b/>
          <w:bCs/>
          <w:sz w:val="24"/>
          <w:szCs w:val="24"/>
        </w:rPr>
        <w:t xml:space="preserve">able </w:t>
      </w:r>
      <w:r w:rsidR="00DD0EF0" w:rsidRPr="009F44DD">
        <w:rPr>
          <w:rFonts w:ascii="Times New Roman" w:hAnsi="Times New Roman" w:cs="Times New Roman"/>
          <w:b/>
          <w:bCs/>
          <w:sz w:val="24"/>
          <w:szCs w:val="24"/>
        </w:rPr>
        <w:t>7:</w:t>
      </w:r>
      <w:r w:rsidRPr="009F44DD">
        <w:rPr>
          <w:rFonts w:ascii="Times New Roman" w:hAnsi="Times New Roman" w:cs="Times New Roman"/>
          <w:b/>
          <w:bCs/>
          <w:sz w:val="24"/>
          <w:szCs w:val="24"/>
        </w:rPr>
        <w:t xml:space="preserve"> </w:t>
      </w:r>
      <w:r w:rsidRPr="00DD0EF0">
        <w:rPr>
          <w:rFonts w:ascii="Times New Roman" w:hAnsi="Times New Roman" w:cs="Times New Roman"/>
          <w:sz w:val="24"/>
          <w:szCs w:val="24"/>
        </w:rPr>
        <w:t xml:space="preserve">Interaction of Temperature, Light Conditions, and Media on the </w:t>
      </w:r>
      <w:r w:rsidRPr="00DD0EF0">
        <w:rPr>
          <w:rFonts w:ascii="Times New Roman" w:hAnsi="Times New Roman" w:cs="Times New Roman"/>
          <w:color w:val="000000"/>
          <w:sz w:val="24"/>
          <w:szCs w:val="24"/>
        </w:rPr>
        <w:t>Vigour index I</w:t>
      </w:r>
      <w:r w:rsidRPr="00DD0EF0">
        <w:rPr>
          <w:rFonts w:ascii="Times New Roman" w:hAnsi="Times New Roman" w:cs="Times New Roman"/>
          <w:sz w:val="24"/>
          <w:szCs w:val="24"/>
        </w:rPr>
        <w:t>I</w:t>
      </w:r>
      <w:r w:rsidRPr="009F44DD">
        <w:rPr>
          <w:rFonts w:ascii="Times New Roman" w:hAnsi="Times New Roman" w:cs="Times New Roman"/>
          <w:b/>
          <w:bCs/>
          <w:sz w:val="24"/>
          <w:szCs w:val="24"/>
        </w:rPr>
        <w:t xml:space="preserve"> </w:t>
      </w:r>
    </w:p>
    <w:tbl>
      <w:tblPr>
        <w:tblStyle w:val="ListTable2"/>
        <w:tblW w:w="5000" w:type="pct"/>
        <w:tblLook w:val="04A0" w:firstRow="1" w:lastRow="0" w:firstColumn="1" w:lastColumn="0" w:noHBand="0" w:noVBand="1"/>
      </w:tblPr>
      <w:tblGrid>
        <w:gridCol w:w="1766"/>
        <w:gridCol w:w="1246"/>
        <w:gridCol w:w="1018"/>
        <w:gridCol w:w="1018"/>
        <w:gridCol w:w="1018"/>
        <w:gridCol w:w="1408"/>
        <w:gridCol w:w="1552"/>
      </w:tblGrid>
      <w:tr w:rsidR="00B84603" w:rsidRPr="00B22FB0" w14:paraId="1580DA47" w14:textId="77777777" w:rsidTr="00B22FB0">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8" w:type="pct"/>
            <w:hideMark/>
          </w:tcPr>
          <w:p w14:paraId="4FF13A01" w14:textId="77777777" w:rsidR="00B84603" w:rsidRPr="00B22FB0" w:rsidRDefault="00B84603" w:rsidP="00B22FB0">
            <w:pPr>
              <w:jc w:val="center"/>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Germination environment</w:t>
            </w:r>
          </w:p>
        </w:tc>
        <w:tc>
          <w:tcPr>
            <w:tcW w:w="690" w:type="pct"/>
            <w:hideMark/>
          </w:tcPr>
          <w:p w14:paraId="744B0FA7"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hAnsi="Times New Roman" w:cs="Times New Roman"/>
                <w:sz w:val="20"/>
              </w:rPr>
              <w:t>TP</w:t>
            </w:r>
          </w:p>
        </w:tc>
        <w:tc>
          <w:tcPr>
            <w:tcW w:w="564" w:type="pct"/>
            <w:hideMark/>
          </w:tcPr>
          <w:p w14:paraId="7EA46AF5"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hAnsi="Times New Roman" w:cs="Times New Roman"/>
                <w:sz w:val="20"/>
              </w:rPr>
              <w:t>BP</w:t>
            </w:r>
          </w:p>
        </w:tc>
        <w:tc>
          <w:tcPr>
            <w:tcW w:w="564" w:type="pct"/>
            <w:hideMark/>
          </w:tcPr>
          <w:p w14:paraId="04A82B6C"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hAnsi="Times New Roman" w:cs="Times New Roman"/>
                <w:sz w:val="20"/>
              </w:rPr>
              <w:t>Sand</w:t>
            </w:r>
          </w:p>
        </w:tc>
        <w:tc>
          <w:tcPr>
            <w:tcW w:w="564" w:type="pct"/>
            <w:hideMark/>
          </w:tcPr>
          <w:p w14:paraId="42968FCC"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hAnsi="Times New Roman" w:cs="Times New Roman"/>
                <w:sz w:val="20"/>
              </w:rPr>
              <w:t>Soilrite</w:t>
            </w:r>
          </w:p>
        </w:tc>
        <w:tc>
          <w:tcPr>
            <w:tcW w:w="780" w:type="pct"/>
            <w:hideMark/>
          </w:tcPr>
          <w:p w14:paraId="25175C7A"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hAnsi="Times New Roman" w:cs="Times New Roman"/>
                <w:sz w:val="20"/>
              </w:rPr>
              <w:t>Vermiculite</w:t>
            </w:r>
          </w:p>
        </w:tc>
        <w:tc>
          <w:tcPr>
            <w:tcW w:w="860" w:type="pct"/>
            <w:hideMark/>
          </w:tcPr>
          <w:p w14:paraId="0C438638"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Mean A</w:t>
            </w:r>
          </w:p>
        </w:tc>
      </w:tr>
      <w:tr w:rsidR="00B84603" w:rsidRPr="00B22FB0" w14:paraId="4A036C4D" w14:textId="77777777" w:rsidTr="00B22FB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78" w:type="pct"/>
            <w:hideMark/>
          </w:tcPr>
          <w:p w14:paraId="0B4297A9"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 xml:space="preserve"> 25 °C (Light)</w:t>
            </w:r>
          </w:p>
        </w:tc>
        <w:tc>
          <w:tcPr>
            <w:tcW w:w="690" w:type="pct"/>
            <w:hideMark/>
          </w:tcPr>
          <w:p w14:paraId="14C0D4E9"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230.563</w:t>
            </w:r>
          </w:p>
        </w:tc>
        <w:tc>
          <w:tcPr>
            <w:tcW w:w="564" w:type="pct"/>
            <w:hideMark/>
          </w:tcPr>
          <w:p w14:paraId="44B4B00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105.653</w:t>
            </w:r>
          </w:p>
        </w:tc>
        <w:tc>
          <w:tcPr>
            <w:tcW w:w="564" w:type="pct"/>
            <w:hideMark/>
          </w:tcPr>
          <w:p w14:paraId="62D2F8E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83.057</w:t>
            </w:r>
          </w:p>
        </w:tc>
        <w:tc>
          <w:tcPr>
            <w:tcW w:w="564" w:type="pct"/>
            <w:hideMark/>
          </w:tcPr>
          <w:p w14:paraId="52A2A9E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70.63</w:t>
            </w:r>
          </w:p>
        </w:tc>
        <w:tc>
          <w:tcPr>
            <w:tcW w:w="780" w:type="pct"/>
            <w:hideMark/>
          </w:tcPr>
          <w:p w14:paraId="455BE3E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128.23</w:t>
            </w:r>
          </w:p>
        </w:tc>
        <w:tc>
          <w:tcPr>
            <w:tcW w:w="860" w:type="pct"/>
            <w:hideMark/>
          </w:tcPr>
          <w:p w14:paraId="71439DA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123.627</w:t>
            </w:r>
          </w:p>
        </w:tc>
      </w:tr>
      <w:tr w:rsidR="00B84603" w:rsidRPr="00B22FB0" w14:paraId="144047C0" w14:textId="77777777" w:rsidTr="00B22FB0">
        <w:trPr>
          <w:trHeight w:val="310"/>
        </w:trPr>
        <w:tc>
          <w:tcPr>
            <w:cnfStyle w:val="001000000000" w:firstRow="0" w:lastRow="0" w:firstColumn="1" w:lastColumn="0" w:oddVBand="0" w:evenVBand="0" w:oddHBand="0" w:evenHBand="0" w:firstRowFirstColumn="0" w:firstRowLastColumn="0" w:lastRowFirstColumn="0" w:lastRowLastColumn="0"/>
            <w:tcW w:w="978" w:type="pct"/>
            <w:hideMark/>
          </w:tcPr>
          <w:p w14:paraId="005EAA02"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25°C (Dark)</w:t>
            </w:r>
          </w:p>
        </w:tc>
        <w:tc>
          <w:tcPr>
            <w:tcW w:w="690" w:type="pct"/>
            <w:hideMark/>
          </w:tcPr>
          <w:p w14:paraId="4AACAEA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54.393</w:t>
            </w:r>
          </w:p>
        </w:tc>
        <w:tc>
          <w:tcPr>
            <w:tcW w:w="564" w:type="pct"/>
            <w:hideMark/>
          </w:tcPr>
          <w:p w14:paraId="5DB4D851"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108.667</w:t>
            </w:r>
          </w:p>
        </w:tc>
        <w:tc>
          <w:tcPr>
            <w:tcW w:w="564" w:type="pct"/>
            <w:hideMark/>
          </w:tcPr>
          <w:p w14:paraId="7DDB849F"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83.643</w:t>
            </w:r>
          </w:p>
        </w:tc>
        <w:tc>
          <w:tcPr>
            <w:tcW w:w="564" w:type="pct"/>
            <w:hideMark/>
          </w:tcPr>
          <w:p w14:paraId="697BC8DC"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38.893</w:t>
            </w:r>
          </w:p>
        </w:tc>
        <w:tc>
          <w:tcPr>
            <w:tcW w:w="780" w:type="pct"/>
            <w:hideMark/>
          </w:tcPr>
          <w:p w14:paraId="4CD59EE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182.77</w:t>
            </w:r>
          </w:p>
        </w:tc>
        <w:tc>
          <w:tcPr>
            <w:tcW w:w="860" w:type="pct"/>
            <w:hideMark/>
          </w:tcPr>
          <w:p w14:paraId="3A3EBF5E"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93.673</w:t>
            </w:r>
          </w:p>
        </w:tc>
      </w:tr>
      <w:tr w:rsidR="00B84603" w:rsidRPr="00B22FB0" w14:paraId="23CC56B1" w14:textId="77777777" w:rsidTr="00B22FB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78" w:type="pct"/>
            <w:hideMark/>
          </w:tcPr>
          <w:p w14:paraId="010D58FC"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 °C (Light)</w:t>
            </w:r>
          </w:p>
        </w:tc>
        <w:tc>
          <w:tcPr>
            <w:tcW w:w="690" w:type="pct"/>
            <w:hideMark/>
          </w:tcPr>
          <w:p w14:paraId="781B72E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84.463</w:t>
            </w:r>
          </w:p>
        </w:tc>
        <w:tc>
          <w:tcPr>
            <w:tcW w:w="564" w:type="pct"/>
            <w:hideMark/>
          </w:tcPr>
          <w:p w14:paraId="5014842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56.04</w:t>
            </w:r>
          </w:p>
        </w:tc>
        <w:tc>
          <w:tcPr>
            <w:tcW w:w="564" w:type="pct"/>
            <w:hideMark/>
          </w:tcPr>
          <w:p w14:paraId="3E1DB47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43.127</w:t>
            </w:r>
          </w:p>
        </w:tc>
        <w:tc>
          <w:tcPr>
            <w:tcW w:w="564" w:type="pct"/>
            <w:hideMark/>
          </w:tcPr>
          <w:p w14:paraId="14A00D59"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107.643</w:t>
            </w:r>
          </w:p>
        </w:tc>
        <w:tc>
          <w:tcPr>
            <w:tcW w:w="780" w:type="pct"/>
            <w:hideMark/>
          </w:tcPr>
          <w:p w14:paraId="5B2CCEF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85.693</w:t>
            </w:r>
          </w:p>
        </w:tc>
        <w:tc>
          <w:tcPr>
            <w:tcW w:w="860" w:type="pct"/>
            <w:hideMark/>
          </w:tcPr>
          <w:p w14:paraId="610BFBEB"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75.393</w:t>
            </w:r>
          </w:p>
        </w:tc>
      </w:tr>
      <w:tr w:rsidR="00B84603" w:rsidRPr="00B22FB0" w14:paraId="71E9D61A" w14:textId="77777777" w:rsidTr="00B22FB0">
        <w:trPr>
          <w:trHeight w:val="310"/>
        </w:trPr>
        <w:tc>
          <w:tcPr>
            <w:cnfStyle w:val="001000000000" w:firstRow="0" w:lastRow="0" w:firstColumn="1" w:lastColumn="0" w:oddVBand="0" w:evenVBand="0" w:oddHBand="0" w:evenHBand="0" w:firstRowFirstColumn="0" w:firstRowLastColumn="0" w:lastRowFirstColumn="0" w:lastRowLastColumn="0"/>
            <w:tcW w:w="978" w:type="pct"/>
            <w:hideMark/>
          </w:tcPr>
          <w:p w14:paraId="7126827D"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 °C (Dark)</w:t>
            </w:r>
          </w:p>
        </w:tc>
        <w:tc>
          <w:tcPr>
            <w:tcW w:w="690" w:type="pct"/>
            <w:hideMark/>
          </w:tcPr>
          <w:p w14:paraId="6D68EC7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133.363</w:t>
            </w:r>
          </w:p>
        </w:tc>
        <w:tc>
          <w:tcPr>
            <w:tcW w:w="564" w:type="pct"/>
            <w:hideMark/>
          </w:tcPr>
          <w:p w14:paraId="6D44A98F"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92.223</w:t>
            </w:r>
          </w:p>
        </w:tc>
        <w:tc>
          <w:tcPr>
            <w:tcW w:w="564" w:type="pct"/>
            <w:hideMark/>
          </w:tcPr>
          <w:p w14:paraId="7E29B76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109.597</w:t>
            </w:r>
          </w:p>
        </w:tc>
        <w:tc>
          <w:tcPr>
            <w:tcW w:w="564" w:type="pct"/>
            <w:hideMark/>
          </w:tcPr>
          <w:p w14:paraId="216EC0C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42.823</w:t>
            </w:r>
          </w:p>
        </w:tc>
        <w:tc>
          <w:tcPr>
            <w:tcW w:w="780" w:type="pct"/>
            <w:hideMark/>
          </w:tcPr>
          <w:p w14:paraId="30E5F5E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73.01</w:t>
            </w:r>
          </w:p>
        </w:tc>
        <w:tc>
          <w:tcPr>
            <w:tcW w:w="860" w:type="pct"/>
            <w:hideMark/>
          </w:tcPr>
          <w:p w14:paraId="0117321B"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90.203</w:t>
            </w:r>
          </w:p>
        </w:tc>
      </w:tr>
      <w:tr w:rsidR="00B84603" w:rsidRPr="00B22FB0" w14:paraId="0DF2DEE1" w14:textId="77777777" w:rsidTr="00B22FB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78" w:type="pct"/>
            <w:hideMark/>
          </w:tcPr>
          <w:p w14:paraId="32C7884D"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Mean B</w:t>
            </w:r>
          </w:p>
        </w:tc>
        <w:tc>
          <w:tcPr>
            <w:tcW w:w="690" w:type="pct"/>
            <w:hideMark/>
          </w:tcPr>
          <w:p w14:paraId="2BC4C3B9"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125.696</w:t>
            </w:r>
          </w:p>
        </w:tc>
        <w:tc>
          <w:tcPr>
            <w:tcW w:w="564" w:type="pct"/>
            <w:hideMark/>
          </w:tcPr>
          <w:p w14:paraId="36954A3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90.646</w:t>
            </w:r>
          </w:p>
        </w:tc>
        <w:tc>
          <w:tcPr>
            <w:tcW w:w="564" w:type="pct"/>
            <w:hideMark/>
          </w:tcPr>
          <w:p w14:paraId="184C76F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79.856</w:t>
            </w:r>
          </w:p>
        </w:tc>
        <w:tc>
          <w:tcPr>
            <w:tcW w:w="564" w:type="pct"/>
            <w:hideMark/>
          </w:tcPr>
          <w:p w14:paraId="487DE0C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64.998</w:t>
            </w:r>
          </w:p>
        </w:tc>
        <w:tc>
          <w:tcPr>
            <w:tcW w:w="780" w:type="pct"/>
            <w:hideMark/>
          </w:tcPr>
          <w:p w14:paraId="202487A9"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117.426</w:t>
            </w:r>
          </w:p>
        </w:tc>
        <w:tc>
          <w:tcPr>
            <w:tcW w:w="860" w:type="pct"/>
            <w:noWrap/>
            <w:hideMark/>
          </w:tcPr>
          <w:p w14:paraId="34752AA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 </w:t>
            </w:r>
          </w:p>
        </w:tc>
      </w:tr>
      <w:tr w:rsidR="00B84603" w:rsidRPr="00B22FB0" w14:paraId="7BD30B3E" w14:textId="77777777" w:rsidTr="00B22FB0">
        <w:trPr>
          <w:trHeight w:val="300"/>
        </w:trPr>
        <w:tc>
          <w:tcPr>
            <w:cnfStyle w:val="001000000000" w:firstRow="0" w:lastRow="0" w:firstColumn="1" w:lastColumn="0" w:oddVBand="0" w:evenVBand="0" w:oddHBand="0" w:evenHBand="0" w:firstRowFirstColumn="0" w:firstRowLastColumn="0" w:lastRowFirstColumn="0" w:lastRowLastColumn="0"/>
            <w:tcW w:w="2232" w:type="pct"/>
            <w:gridSpan w:val="3"/>
            <w:hideMark/>
          </w:tcPr>
          <w:p w14:paraId="395D21C6" w14:textId="77777777" w:rsidR="00B84603" w:rsidRPr="00B22FB0" w:rsidRDefault="00B84603" w:rsidP="00977638">
            <w:pPr>
              <w:jc w:val="both"/>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Factors</w:t>
            </w:r>
          </w:p>
        </w:tc>
        <w:tc>
          <w:tcPr>
            <w:tcW w:w="564" w:type="pct"/>
          </w:tcPr>
          <w:p w14:paraId="44E58012"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C.D.</w:t>
            </w:r>
          </w:p>
        </w:tc>
        <w:tc>
          <w:tcPr>
            <w:tcW w:w="564" w:type="pct"/>
          </w:tcPr>
          <w:p w14:paraId="336F15E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SE(d)</w:t>
            </w:r>
          </w:p>
        </w:tc>
        <w:tc>
          <w:tcPr>
            <w:tcW w:w="780" w:type="pct"/>
          </w:tcPr>
          <w:p w14:paraId="47A7C67C"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n-IN"/>
              </w:rPr>
            </w:pPr>
            <w:r w:rsidRPr="00B22FB0">
              <w:rPr>
                <w:rFonts w:ascii="Times New Roman" w:eastAsia="Times New Roman" w:hAnsi="Times New Roman" w:cs="Times New Roman"/>
                <w:b/>
                <w:bCs/>
                <w:color w:val="000000"/>
                <w:sz w:val="20"/>
                <w:lang w:eastAsia="en-IN"/>
              </w:rPr>
              <w:t>SE(m)</w:t>
            </w:r>
          </w:p>
        </w:tc>
        <w:tc>
          <w:tcPr>
            <w:tcW w:w="860" w:type="pct"/>
            <w:noWrap/>
            <w:hideMark/>
          </w:tcPr>
          <w:p w14:paraId="0A766A2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b/>
                <w:bCs/>
                <w:color w:val="000000"/>
                <w:sz w:val="20"/>
              </w:rPr>
              <w:t>F-Calculated</w:t>
            </w:r>
          </w:p>
        </w:tc>
      </w:tr>
      <w:tr w:rsidR="00B84603" w:rsidRPr="00B22FB0" w14:paraId="5874EAEF" w14:textId="77777777" w:rsidTr="00B22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2" w:type="pct"/>
            <w:gridSpan w:val="3"/>
            <w:hideMark/>
          </w:tcPr>
          <w:p w14:paraId="6A6348C0"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Temperature</w:t>
            </w:r>
          </w:p>
        </w:tc>
        <w:tc>
          <w:tcPr>
            <w:tcW w:w="564" w:type="pct"/>
          </w:tcPr>
          <w:p w14:paraId="7DEAD81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14.36</w:t>
            </w:r>
          </w:p>
        </w:tc>
        <w:tc>
          <w:tcPr>
            <w:tcW w:w="564" w:type="pct"/>
          </w:tcPr>
          <w:p w14:paraId="3570211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7.08</w:t>
            </w:r>
          </w:p>
        </w:tc>
        <w:tc>
          <w:tcPr>
            <w:tcW w:w="780" w:type="pct"/>
          </w:tcPr>
          <w:p w14:paraId="29B1BD88"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5.01</w:t>
            </w:r>
          </w:p>
        </w:tc>
        <w:tc>
          <w:tcPr>
            <w:tcW w:w="860" w:type="pct"/>
            <w:noWrap/>
            <w:hideMark/>
          </w:tcPr>
          <w:p w14:paraId="22C0C5E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16.32</w:t>
            </w:r>
          </w:p>
        </w:tc>
      </w:tr>
      <w:tr w:rsidR="00B84603" w:rsidRPr="00B22FB0" w14:paraId="30E5C5B8" w14:textId="77777777" w:rsidTr="00B22FB0">
        <w:trPr>
          <w:trHeight w:val="310"/>
        </w:trPr>
        <w:tc>
          <w:tcPr>
            <w:cnfStyle w:val="001000000000" w:firstRow="0" w:lastRow="0" w:firstColumn="1" w:lastColumn="0" w:oddVBand="0" w:evenVBand="0" w:oddHBand="0" w:evenHBand="0" w:firstRowFirstColumn="0" w:firstRowLastColumn="0" w:lastRowFirstColumn="0" w:lastRowLastColumn="0"/>
            <w:tcW w:w="2232" w:type="pct"/>
            <w:gridSpan w:val="3"/>
            <w:hideMark/>
          </w:tcPr>
          <w:p w14:paraId="1865BF9F"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Media</w:t>
            </w:r>
          </w:p>
        </w:tc>
        <w:tc>
          <w:tcPr>
            <w:tcW w:w="564" w:type="pct"/>
          </w:tcPr>
          <w:p w14:paraId="127506B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16.05</w:t>
            </w:r>
          </w:p>
        </w:tc>
        <w:tc>
          <w:tcPr>
            <w:tcW w:w="564" w:type="pct"/>
          </w:tcPr>
          <w:p w14:paraId="2E8F46B1"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7.91</w:t>
            </w:r>
          </w:p>
        </w:tc>
        <w:tc>
          <w:tcPr>
            <w:tcW w:w="780" w:type="pct"/>
          </w:tcPr>
          <w:p w14:paraId="4997AE3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5.60</w:t>
            </w:r>
          </w:p>
        </w:tc>
        <w:tc>
          <w:tcPr>
            <w:tcW w:w="860" w:type="pct"/>
            <w:noWrap/>
            <w:hideMark/>
          </w:tcPr>
          <w:p w14:paraId="5B0383D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20.69</w:t>
            </w:r>
          </w:p>
        </w:tc>
      </w:tr>
      <w:tr w:rsidR="00B84603" w:rsidRPr="00B22FB0" w14:paraId="39F21D49" w14:textId="77777777" w:rsidTr="00B22FB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2" w:type="pct"/>
            <w:gridSpan w:val="3"/>
            <w:hideMark/>
          </w:tcPr>
          <w:p w14:paraId="79DEEBEC"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Factor (A X B)</w:t>
            </w:r>
          </w:p>
        </w:tc>
        <w:tc>
          <w:tcPr>
            <w:tcW w:w="564" w:type="pct"/>
          </w:tcPr>
          <w:p w14:paraId="780DB2E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32.10</w:t>
            </w:r>
          </w:p>
        </w:tc>
        <w:tc>
          <w:tcPr>
            <w:tcW w:w="564" w:type="pct"/>
          </w:tcPr>
          <w:p w14:paraId="4094E64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15.83</w:t>
            </w:r>
          </w:p>
        </w:tc>
        <w:tc>
          <w:tcPr>
            <w:tcW w:w="780" w:type="pct"/>
          </w:tcPr>
          <w:p w14:paraId="2B5287E9"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11.19</w:t>
            </w:r>
          </w:p>
        </w:tc>
        <w:tc>
          <w:tcPr>
            <w:tcW w:w="860" w:type="pct"/>
            <w:noWrap/>
            <w:hideMark/>
          </w:tcPr>
          <w:p w14:paraId="1834BAE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hAnsi="Times New Roman" w:cs="Times New Roman"/>
                <w:color w:val="000000"/>
                <w:sz w:val="20"/>
              </w:rPr>
              <w:t>17.37</w:t>
            </w:r>
          </w:p>
        </w:tc>
      </w:tr>
    </w:tbl>
    <w:p w14:paraId="185A414E" w14:textId="77777777" w:rsidR="00B84603" w:rsidRPr="009F44DD" w:rsidRDefault="00B84603" w:rsidP="00977638">
      <w:pPr>
        <w:spacing w:before="240"/>
        <w:jc w:val="both"/>
        <w:rPr>
          <w:rFonts w:ascii="Times New Roman" w:hAnsi="Times New Roman" w:cs="Times New Roman"/>
          <w:b/>
          <w:bCs/>
          <w:sz w:val="24"/>
          <w:szCs w:val="24"/>
        </w:rPr>
      </w:pPr>
    </w:p>
    <w:p w14:paraId="59880143" w14:textId="77777777" w:rsidR="00B84603" w:rsidRPr="009F44DD" w:rsidRDefault="00B84603" w:rsidP="00EB096B">
      <w:pPr>
        <w:spacing w:before="240"/>
        <w:jc w:val="center"/>
        <w:rPr>
          <w:rFonts w:ascii="Times New Roman" w:hAnsi="Times New Roman" w:cs="Times New Roman"/>
          <w:b/>
          <w:bCs/>
          <w:sz w:val="24"/>
          <w:szCs w:val="24"/>
        </w:rPr>
      </w:pPr>
      <w:r w:rsidRPr="009F44DD">
        <w:rPr>
          <w:rFonts w:ascii="Times New Roman" w:hAnsi="Times New Roman" w:cs="Times New Roman"/>
          <w:b/>
          <w:bCs/>
          <w:noProof/>
          <w:sz w:val="24"/>
          <w:szCs w:val="24"/>
          <w:lang w:eastAsia="en-IN" w:bidi="ar-SA"/>
        </w:rPr>
        <w:drawing>
          <wp:inline distT="0" distB="0" distL="0" distR="0" wp14:anchorId="6F87C0D6" wp14:editId="45FDC1D6">
            <wp:extent cx="4425950" cy="1859280"/>
            <wp:effectExtent l="0" t="0" r="0" b="7620"/>
            <wp:docPr id="6395122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5950" cy="1859280"/>
                    </a:xfrm>
                    <a:prstGeom prst="rect">
                      <a:avLst/>
                    </a:prstGeom>
                    <a:noFill/>
                  </pic:spPr>
                </pic:pic>
              </a:graphicData>
            </a:graphic>
          </wp:inline>
        </w:drawing>
      </w:r>
    </w:p>
    <w:p w14:paraId="51A53C75" w14:textId="608EBA0F" w:rsidR="00B84603" w:rsidRPr="009F44DD" w:rsidRDefault="00360CBD" w:rsidP="00EB096B">
      <w:pPr>
        <w:spacing w:before="240"/>
        <w:jc w:val="center"/>
        <w:rPr>
          <w:rFonts w:ascii="Times New Roman" w:hAnsi="Times New Roman" w:cs="Times New Roman"/>
          <w:sz w:val="24"/>
          <w:szCs w:val="24"/>
        </w:rPr>
      </w:pPr>
      <w:r w:rsidRPr="009F44DD">
        <w:rPr>
          <w:rFonts w:ascii="Times New Roman" w:hAnsi="Times New Roman" w:cs="Times New Roman"/>
          <w:b/>
          <w:bCs/>
          <w:sz w:val="24"/>
          <w:szCs w:val="24"/>
        </w:rPr>
        <w:t xml:space="preserve">Figure </w:t>
      </w:r>
      <w:r w:rsidR="00DD0EF0">
        <w:rPr>
          <w:rFonts w:ascii="Times New Roman" w:hAnsi="Times New Roman" w:cs="Times New Roman"/>
          <w:b/>
          <w:bCs/>
          <w:sz w:val="24"/>
          <w:szCs w:val="24"/>
        </w:rPr>
        <w:t>2</w:t>
      </w:r>
      <w:r w:rsidR="00B84603" w:rsidRPr="009F44DD">
        <w:rPr>
          <w:rFonts w:ascii="Times New Roman" w:hAnsi="Times New Roman" w:cs="Times New Roman"/>
          <w:b/>
          <w:bCs/>
          <w:sz w:val="24"/>
          <w:szCs w:val="24"/>
        </w:rPr>
        <w:t>:</w:t>
      </w:r>
      <w:r w:rsidR="00B84603" w:rsidRPr="009F44DD">
        <w:rPr>
          <w:rFonts w:ascii="Times New Roman" w:hAnsi="Times New Roman" w:cs="Times New Roman"/>
          <w:sz w:val="24"/>
          <w:szCs w:val="24"/>
        </w:rPr>
        <w:t xml:space="preserve"> </w:t>
      </w:r>
      <w:r w:rsidR="00B84603" w:rsidRPr="00DD0EF0">
        <w:rPr>
          <w:rFonts w:ascii="Times New Roman" w:hAnsi="Times New Roman" w:cs="Times New Roman"/>
          <w:bCs/>
          <w:sz w:val="24"/>
          <w:szCs w:val="24"/>
        </w:rPr>
        <w:t xml:space="preserve">Seed Germination </w:t>
      </w:r>
      <w:r w:rsidR="00B84603" w:rsidRPr="00DD0EF0">
        <w:rPr>
          <w:rFonts w:ascii="Times New Roman" w:eastAsia="Times New Roman" w:hAnsi="Times New Roman" w:cs="Times New Roman"/>
          <w:bCs/>
          <w:sz w:val="24"/>
          <w:szCs w:val="24"/>
          <w:lang w:eastAsia="en-IN"/>
        </w:rPr>
        <w:t>in different growing media</w:t>
      </w:r>
    </w:p>
    <w:p w14:paraId="4B0D3B88" w14:textId="1A243050" w:rsidR="00B84603" w:rsidRPr="00DD0EF0" w:rsidRDefault="00DD0EF0" w:rsidP="00977638">
      <w:pPr>
        <w:jc w:val="both"/>
        <w:rPr>
          <w:rFonts w:ascii="Times New Roman" w:hAnsi="Times New Roman" w:cs="Times New Roman"/>
          <w:sz w:val="24"/>
          <w:szCs w:val="24"/>
        </w:rPr>
      </w:pPr>
      <w:r w:rsidRPr="00DD0EF0">
        <w:rPr>
          <w:rFonts w:ascii="Times New Roman" w:hAnsi="Times New Roman" w:cs="Times New Roman"/>
          <w:b/>
          <w:bCs/>
          <w:sz w:val="24"/>
          <w:szCs w:val="24"/>
        </w:rPr>
        <w:lastRenderedPageBreak/>
        <w:t>3.</w:t>
      </w:r>
      <w:r w:rsidR="009B0B2A">
        <w:rPr>
          <w:rFonts w:ascii="Times New Roman" w:hAnsi="Times New Roman" w:cs="Times New Roman"/>
          <w:b/>
          <w:bCs/>
          <w:sz w:val="24"/>
          <w:szCs w:val="24"/>
        </w:rPr>
        <w:t>4</w:t>
      </w:r>
      <w:r w:rsidRPr="00DD0EF0">
        <w:rPr>
          <w:rFonts w:ascii="Times New Roman" w:hAnsi="Times New Roman" w:cs="Times New Roman"/>
          <w:b/>
          <w:bCs/>
          <w:sz w:val="24"/>
          <w:szCs w:val="24"/>
        </w:rPr>
        <w:t xml:space="preserve"> </w:t>
      </w:r>
      <w:r w:rsidR="00B84603" w:rsidRPr="00DD0EF0">
        <w:rPr>
          <w:rFonts w:ascii="Times New Roman" w:hAnsi="Times New Roman" w:cs="Times New Roman"/>
          <w:b/>
          <w:bCs/>
          <w:sz w:val="24"/>
          <w:szCs w:val="24"/>
        </w:rPr>
        <w:t>Nursery Propagation Technique</w:t>
      </w:r>
      <w:r>
        <w:rPr>
          <w:rFonts w:ascii="Times New Roman" w:hAnsi="Times New Roman" w:cs="Times New Roman"/>
          <w:b/>
          <w:bCs/>
          <w:sz w:val="24"/>
          <w:szCs w:val="24"/>
        </w:rPr>
        <w:t xml:space="preserve">: </w:t>
      </w:r>
      <w:r w:rsidRPr="00DD0EF0">
        <w:rPr>
          <w:rFonts w:ascii="Times New Roman" w:hAnsi="Times New Roman" w:cs="Times New Roman"/>
          <w:sz w:val="24"/>
          <w:szCs w:val="24"/>
        </w:rPr>
        <w:t xml:space="preserve">The study evaluated the influence of different potting media on the germination and growth of </w:t>
      </w:r>
      <w:r w:rsidRPr="00DD0EF0">
        <w:rPr>
          <w:rFonts w:ascii="Times New Roman" w:hAnsi="Times New Roman" w:cs="Times New Roman"/>
          <w:i/>
          <w:iCs/>
          <w:sz w:val="24"/>
          <w:szCs w:val="24"/>
        </w:rPr>
        <w:t>Butea monosperma</w:t>
      </w:r>
      <w:r w:rsidRPr="00DD0EF0">
        <w:rPr>
          <w:rFonts w:ascii="Times New Roman" w:hAnsi="Times New Roman" w:cs="Times New Roman"/>
          <w:sz w:val="24"/>
          <w:szCs w:val="24"/>
        </w:rPr>
        <w:t xml:space="preserve"> seedlings at 30 and 365 days after sowing (DAS)</w:t>
      </w:r>
      <w:r w:rsidR="009F4752">
        <w:rPr>
          <w:rFonts w:ascii="Times New Roman" w:hAnsi="Times New Roman" w:cs="Times New Roman"/>
          <w:sz w:val="24"/>
          <w:szCs w:val="24"/>
        </w:rPr>
        <w:t xml:space="preserve"> (Table 8,</w:t>
      </w:r>
      <w:r w:rsidR="000A3AAB">
        <w:rPr>
          <w:rFonts w:ascii="Times New Roman" w:hAnsi="Times New Roman" w:cs="Times New Roman"/>
          <w:sz w:val="24"/>
          <w:szCs w:val="24"/>
        </w:rPr>
        <w:t xml:space="preserve"> </w:t>
      </w:r>
      <w:r w:rsidR="009F4752">
        <w:rPr>
          <w:rFonts w:ascii="Times New Roman" w:hAnsi="Times New Roman" w:cs="Times New Roman"/>
          <w:sz w:val="24"/>
          <w:szCs w:val="24"/>
        </w:rPr>
        <w:t>9)</w:t>
      </w:r>
      <w:r w:rsidRPr="00DD0EF0">
        <w:rPr>
          <w:rFonts w:ascii="Times New Roman" w:hAnsi="Times New Roman" w:cs="Times New Roman"/>
          <w:sz w:val="24"/>
          <w:szCs w:val="24"/>
        </w:rPr>
        <w:t>. At 30 DAS, the Nursery (1:2:1) medium (</w:t>
      </w:r>
      <w:r w:rsidR="009F4752" w:rsidRPr="00DD0EF0">
        <w:rPr>
          <w:rFonts w:ascii="Times New Roman" w:hAnsi="Times New Roman" w:cs="Times New Roman"/>
          <w:sz w:val="24"/>
          <w:szCs w:val="24"/>
        </w:rPr>
        <w:t>soil: sand: organic</w:t>
      </w:r>
      <w:r w:rsidRPr="00DD0EF0">
        <w:rPr>
          <w:rFonts w:ascii="Times New Roman" w:hAnsi="Times New Roman" w:cs="Times New Roman"/>
          <w:sz w:val="24"/>
          <w:szCs w:val="24"/>
        </w:rPr>
        <w:t xml:space="preserve"> matter) recorded the highest germination percentage (70.17 ± 1.09%) and germination vigor (39.50 ± 0.98), while Root Trainer (Cocopeat) showed the shortest mean germination time (14.14 ± 1.58 days), indicating rapid germination. Other media, including Nursery (2:1:1) and Nursery Bed (Sand), demonstrated moderate performance. Statistical analysis showed significant differences in germination percentage (p &lt; 0.05), whereas differences in MGT and GV were not significant, although GV variability (C.V. = 19.78%) suggested media composition strongly affects seedling vigor. At 365 DAS, the Nursery (1:2:1) mix produced the tallest seedlings (73.35 ± 0.13 cm), highest total biomass (26.15 ± 0.78 g), and superior seedling vigor indices (SVI I = 5,146.70 ± 71.92; SVI II = 1,833.64 ± 42.96), reflecting optimal growth performance. In contrast, Nursery (1:1:2) seedlings were shorter (64.64 ± 0.32 cm) with lower biomass but slightly higher quality index (1.38 ± 0.05), suggesting trade-offs between growth and structural quality. Overall, the Nursery (1:2:1) medium emerged as the most effective for enhancing germination, seedling vigor, and long-term growth of </w:t>
      </w:r>
      <w:r w:rsidRPr="00DD0EF0">
        <w:rPr>
          <w:rFonts w:ascii="Times New Roman" w:hAnsi="Times New Roman" w:cs="Times New Roman"/>
          <w:i/>
          <w:iCs/>
          <w:sz w:val="24"/>
          <w:szCs w:val="24"/>
        </w:rPr>
        <w:t>Butea monosperma</w:t>
      </w:r>
      <w:r w:rsidRPr="00DD0EF0">
        <w:rPr>
          <w:rFonts w:ascii="Times New Roman" w:hAnsi="Times New Roman" w:cs="Times New Roman"/>
          <w:sz w:val="24"/>
          <w:szCs w:val="24"/>
        </w:rPr>
        <w:t>.</w:t>
      </w:r>
    </w:p>
    <w:p w14:paraId="1A75B4BA" w14:textId="49240E99" w:rsidR="00B84603" w:rsidRPr="009F44DD" w:rsidRDefault="00360CBD" w:rsidP="008D0A33">
      <w:pPr>
        <w:spacing w:before="240"/>
        <w:jc w:val="center"/>
        <w:outlineLvl w:val="2"/>
        <w:rPr>
          <w:rFonts w:ascii="Times New Roman" w:hAnsi="Times New Roman" w:cs="Times New Roman"/>
          <w:b/>
          <w:color w:val="000000" w:themeColor="text1"/>
          <w:sz w:val="24"/>
          <w:szCs w:val="24"/>
        </w:rPr>
      </w:pPr>
      <w:r w:rsidRPr="009F44DD">
        <w:rPr>
          <w:rFonts w:ascii="Times New Roman" w:hAnsi="Times New Roman" w:cs="Times New Roman"/>
          <w:b/>
          <w:color w:val="000000" w:themeColor="text1"/>
          <w:sz w:val="24"/>
          <w:szCs w:val="24"/>
        </w:rPr>
        <w:t xml:space="preserve">Table </w:t>
      </w:r>
      <w:r w:rsidR="002D6DDC" w:rsidRPr="009F44DD">
        <w:rPr>
          <w:rFonts w:ascii="Times New Roman" w:hAnsi="Times New Roman" w:cs="Times New Roman"/>
          <w:b/>
          <w:color w:val="000000" w:themeColor="text1"/>
          <w:sz w:val="24"/>
          <w:szCs w:val="24"/>
        </w:rPr>
        <w:t>8:</w:t>
      </w:r>
      <w:r w:rsidR="00B84603" w:rsidRPr="009F44DD">
        <w:rPr>
          <w:rFonts w:ascii="Times New Roman" w:hAnsi="Times New Roman" w:cs="Times New Roman"/>
          <w:b/>
          <w:color w:val="000000" w:themeColor="text1"/>
          <w:sz w:val="24"/>
          <w:szCs w:val="24"/>
        </w:rPr>
        <w:t xml:space="preserve"> </w:t>
      </w:r>
      <w:r w:rsidR="00B84603" w:rsidRPr="002D6DDC">
        <w:rPr>
          <w:rFonts w:ascii="Times New Roman" w:hAnsi="Times New Roman" w:cs="Times New Roman"/>
          <w:color w:val="000000" w:themeColor="text1"/>
          <w:sz w:val="24"/>
          <w:szCs w:val="24"/>
        </w:rPr>
        <w:t>Influence of Potting Media on Germination Parameters at 30 Days After Sowing</w:t>
      </w:r>
    </w:p>
    <w:tbl>
      <w:tblPr>
        <w:tblStyle w:val="ListTable2"/>
        <w:tblW w:w="4976" w:type="pct"/>
        <w:tblLook w:val="04A0" w:firstRow="1" w:lastRow="0" w:firstColumn="1" w:lastColumn="0" w:noHBand="0" w:noVBand="1"/>
      </w:tblPr>
      <w:tblGrid>
        <w:gridCol w:w="2848"/>
        <w:gridCol w:w="2046"/>
        <w:gridCol w:w="2046"/>
        <w:gridCol w:w="2043"/>
      </w:tblGrid>
      <w:tr w:rsidR="00B84603" w:rsidRPr="00B22FB0" w14:paraId="721EC4D4" w14:textId="77777777" w:rsidTr="00B22FB0">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585" w:type="pct"/>
            <w:hideMark/>
          </w:tcPr>
          <w:p w14:paraId="30A30702" w14:textId="77777777" w:rsidR="00B84603" w:rsidRPr="00B22FB0" w:rsidRDefault="00B84603" w:rsidP="00B22FB0">
            <w:pPr>
              <w:jc w:val="center"/>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Treatment</w:t>
            </w:r>
          </w:p>
        </w:tc>
        <w:tc>
          <w:tcPr>
            <w:tcW w:w="1139" w:type="pct"/>
            <w:hideMark/>
          </w:tcPr>
          <w:p w14:paraId="79509D7B"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Germination Percentage %% (Mean ± SD)</w:t>
            </w:r>
          </w:p>
        </w:tc>
        <w:tc>
          <w:tcPr>
            <w:tcW w:w="1139" w:type="pct"/>
            <w:hideMark/>
          </w:tcPr>
          <w:p w14:paraId="24B67C02"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MGT (Days) (Mean ± SD)</w:t>
            </w:r>
          </w:p>
        </w:tc>
        <w:tc>
          <w:tcPr>
            <w:tcW w:w="1137" w:type="pct"/>
            <w:hideMark/>
          </w:tcPr>
          <w:p w14:paraId="07C02A2D"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GV (Mean ± SD)</w:t>
            </w:r>
          </w:p>
        </w:tc>
      </w:tr>
      <w:tr w:rsidR="00B84603" w:rsidRPr="00B22FB0" w14:paraId="123B0750" w14:textId="77777777" w:rsidTr="00B22FB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585" w:type="pct"/>
            <w:hideMark/>
          </w:tcPr>
          <w:p w14:paraId="2171F9F8"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Nursery (1:1:1)</w:t>
            </w:r>
          </w:p>
        </w:tc>
        <w:tc>
          <w:tcPr>
            <w:tcW w:w="1139" w:type="pct"/>
            <w:hideMark/>
          </w:tcPr>
          <w:p w14:paraId="2C8F69C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55.00 ± 2.89</w:t>
            </w:r>
          </w:p>
        </w:tc>
        <w:tc>
          <w:tcPr>
            <w:tcW w:w="1139" w:type="pct"/>
            <w:hideMark/>
          </w:tcPr>
          <w:p w14:paraId="14DA949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14.71 ± 1.43</w:t>
            </w:r>
          </w:p>
        </w:tc>
        <w:tc>
          <w:tcPr>
            <w:tcW w:w="1137" w:type="pct"/>
            <w:hideMark/>
          </w:tcPr>
          <w:p w14:paraId="2084659D"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25.47 ± 5.48</w:t>
            </w:r>
          </w:p>
        </w:tc>
      </w:tr>
      <w:tr w:rsidR="00B84603" w:rsidRPr="00B22FB0" w14:paraId="45192792" w14:textId="77777777" w:rsidTr="00B22FB0">
        <w:trPr>
          <w:trHeight w:val="353"/>
        </w:trPr>
        <w:tc>
          <w:tcPr>
            <w:cnfStyle w:val="001000000000" w:firstRow="0" w:lastRow="0" w:firstColumn="1" w:lastColumn="0" w:oddVBand="0" w:evenVBand="0" w:oddHBand="0" w:evenHBand="0" w:firstRowFirstColumn="0" w:firstRowLastColumn="0" w:lastRowFirstColumn="0" w:lastRowLastColumn="0"/>
            <w:tcW w:w="1585" w:type="pct"/>
            <w:hideMark/>
          </w:tcPr>
          <w:p w14:paraId="7D944247"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Nursery (2:1:1)</w:t>
            </w:r>
          </w:p>
        </w:tc>
        <w:tc>
          <w:tcPr>
            <w:tcW w:w="1139" w:type="pct"/>
            <w:hideMark/>
          </w:tcPr>
          <w:p w14:paraId="3BBFA32A"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61.00 ± 3.22</w:t>
            </w:r>
          </w:p>
        </w:tc>
        <w:tc>
          <w:tcPr>
            <w:tcW w:w="1139" w:type="pct"/>
            <w:hideMark/>
          </w:tcPr>
          <w:p w14:paraId="41E36863"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15.03 ± 0.50</w:t>
            </w:r>
          </w:p>
        </w:tc>
        <w:tc>
          <w:tcPr>
            <w:tcW w:w="1137" w:type="pct"/>
            <w:hideMark/>
          </w:tcPr>
          <w:p w14:paraId="4C28678B"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30.07 ± 2.91</w:t>
            </w:r>
          </w:p>
        </w:tc>
      </w:tr>
      <w:tr w:rsidR="00B84603" w:rsidRPr="00B22FB0" w14:paraId="7CD3A3BC" w14:textId="77777777" w:rsidTr="00B22FB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85" w:type="pct"/>
            <w:hideMark/>
          </w:tcPr>
          <w:p w14:paraId="710FF157"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Nursery (1:2:1)</w:t>
            </w:r>
          </w:p>
        </w:tc>
        <w:tc>
          <w:tcPr>
            <w:tcW w:w="1139" w:type="pct"/>
            <w:hideMark/>
          </w:tcPr>
          <w:p w14:paraId="0BAA86A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70.17 ± 1.09</w:t>
            </w:r>
          </w:p>
        </w:tc>
        <w:tc>
          <w:tcPr>
            <w:tcW w:w="1139" w:type="pct"/>
            <w:hideMark/>
          </w:tcPr>
          <w:p w14:paraId="27FB70E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14.83 ± 0.17</w:t>
            </w:r>
          </w:p>
        </w:tc>
        <w:tc>
          <w:tcPr>
            <w:tcW w:w="1137" w:type="pct"/>
            <w:hideMark/>
          </w:tcPr>
          <w:p w14:paraId="74264FE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39.50 ± 0.98</w:t>
            </w:r>
          </w:p>
        </w:tc>
      </w:tr>
      <w:tr w:rsidR="00B84603" w:rsidRPr="00B22FB0" w14:paraId="792434C5" w14:textId="77777777" w:rsidTr="00B22FB0">
        <w:trPr>
          <w:trHeight w:val="353"/>
        </w:trPr>
        <w:tc>
          <w:tcPr>
            <w:cnfStyle w:val="001000000000" w:firstRow="0" w:lastRow="0" w:firstColumn="1" w:lastColumn="0" w:oddVBand="0" w:evenVBand="0" w:oddHBand="0" w:evenHBand="0" w:firstRowFirstColumn="0" w:firstRowLastColumn="0" w:lastRowFirstColumn="0" w:lastRowLastColumn="0"/>
            <w:tcW w:w="1585" w:type="pct"/>
            <w:hideMark/>
          </w:tcPr>
          <w:p w14:paraId="5E3D4F44"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Nursery (1:1:2)</w:t>
            </w:r>
          </w:p>
        </w:tc>
        <w:tc>
          <w:tcPr>
            <w:tcW w:w="1139" w:type="pct"/>
            <w:hideMark/>
          </w:tcPr>
          <w:p w14:paraId="7116DA2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58.00 ± 1.73</w:t>
            </w:r>
          </w:p>
        </w:tc>
        <w:tc>
          <w:tcPr>
            <w:tcW w:w="1139" w:type="pct"/>
            <w:hideMark/>
          </w:tcPr>
          <w:p w14:paraId="14BC5DC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15.15 ± 0.69</w:t>
            </w:r>
          </w:p>
        </w:tc>
        <w:tc>
          <w:tcPr>
            <w:tcW w:w="1137" w:type="pct"/>
            <w:hideMark/>
          </w:tcPr>
          <w:p w14:paraId="1966003F"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26.93 ± 1.61</w:t>
            </w:r>
          </w:p>
        </w:tc>
      </w:tr>
      <w:tr w:rsidR="00B84603" w:rsidRPr="00B22FB0" w14:paraId="43C9E1B5" w14:textId="77777777" w:rsidTr="00B22FB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85" w:type="pct"/>
            <w:hideMark/>
          </w:tcPr>
          <w:p w14:paraId="7D095922"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Root trainer (cocopit)</w:t>
            </w:r>
          </w:p>
        </w:tc>
        <w:tc>
          <w:tcPr>
            <w:tcW w:w="1139" w:type="pct"/>
            <w:hideMark/>
          </w:tcPr>
          <w:p w14:paraId="6AAD590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62.67 ± 3.93</w:t>
            </w:r>
          </w:p>
        </w:tc>
        <w:tc>
          <w:tcPr>
            <w:tcW w:w="1139" w:type="pct"/>
            <w:hideMark/>
          </w:tcPr>
          <w:p w14:paraId="173D15C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14.14 ± 1.58</w:t>
            </w:r>
          </w:p>
        </w:tc>
        <w:tc>
          <w:tcPr>
            <w:tcW w:w="1137" w:type="pct"/>
            <w:hideMark/>
          </w:tcPr>
          <w:p w14:paraId="1D78F13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34.18 ± 3.08</w:t>
            </w:r>
          </w:p>
        </w:tc>
      </w:tr>
      <w:tr w:rsidR="00B84603" w:rsidRPr="00B22FB0" w14:paraId="598C330C" w14:textId="77777777" w:rsidTr="00B22FB0">
        <w:trPr>
          <w:trHeight w:val="353"/>
        </w:trPr>
        <w:tc>
          <w:tcPr>
            <w:cnfStyle w:val="001000000000" w:firstRow="0" w:lastRow="0" w:firstColumn="1" w:lastColumn="0" w:oddVBand="0" w:evenVBand="0" w:oddHBand="0" w:evenHBand="0" w:firstRowFirstColumn="0" w:firstRowLastColumn="0" w:lastRowFirstColumn="0" w:lastRowLastColumn="0"/>
            <w:tcW w:w="1585" w:type="pct"/>
            <w:hideMark/>
          </w:tcPr>
          <w:p w14:paraId="32E4AEBA"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Nursery bed (Sand)</w:t>
            </w:r>
          </w:p>
        </w:tc>
        <w:tc>
          <w:tcPr>
            <w:tcW w:w="1139" w:type="pct"/>
            <w:hideMark/>
          </w:tcPr>
          <w:p w14:paraId="0A0FE47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61.67 ± 3.33</w:t>
            </w:r>
          </w:p>
        </w:tc>
        <w:tc>
          <w:tcPr>
            <w:tcW w:w="1139" w:type="pct"/>
            <w:hideMark/>
          </w:tcPr>
          <w:p w14:paraId="1EBCB3B3"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14.25 ± 0.69</w:t>
            </w:r>
          </w:p>
        </w:tc>
        <w:tc>
          <w:tcPr>
            <w:tcW w:w="1137" w:type="pct"/>
            <w:hideMark/>
          </w:tcPr>
          <w:p w14:paraId="4846A74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32.65 ± 4.71</w:t>
            </w:r>
          </w:p>
        </w:tc>
      </w:tr>
      <w:tr w:rsidR="00B84603" w:rsidRPr="00B22FB0" w14:paraId="4199BEEC" w14:textId="77777777" w:rsidTr="00B22FB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585" w:type="pct"/>
            <w:hideMark/>
          </w:tcPr>
          <w:p w14:paraId="728F2E8B"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C.D.</w:t>
            </w:r>
          </w:p>
        </w:tc>
        <w:tc>
          <w:tcPr>
            <w:tcW w:w="1139" w:type="pct"/>
            <w:hideMark/>
          </w:tcPr>
          <w:p w14:paraId="79F98CD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8.49</w:t>
            </w:r>
          </w:p>
        </w:tc>
        <w:tc>
          <w:tcPr>
            <w:tcW w:w="1139" w:type="pct"/>
            <w:hideMark/>
          </w:tcPr>
          <w:p w14:paraId="759E22F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N/A</w:t>
            </w:r>
          </w:p>
        </w:tc>
        <w:tc>
          <w:tcPr>
            <w:tcW w:w="1137" w:type="pct"/>
            <w:hideMark/>
          </w:tcPr>
          <w:p w14:paraId="4EAF995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N/A</w:t>
            </w:r>
          </w:p>
        </w:tc>
      </w:tr>
      <w:tr w:rsidR="00B84603" w:rsidRPr="00B22FB0" w14:paraId="1C3E1233" w14:textId="77777777" w:rsidTr="00B22FB0">
        <w:trPr>
          <w:trHeight w:val="197"/>
        </w:trPr>
        <w:tc>
          <w:tcPr>
            <w:cnfStyle w:val="001000000000" w:firstRow="0" w:lastRow="0" w:firstColumn="1" w:lastColumn="0" w:oddVBand="0" w:evenVBand="0" w:oddHBand="0" w:evenHBand="0" w:firstRowFirstColumn="0" w:firstRowLastColumn="0" w:lastRowFirstColumn="0" w:lastRowLastColumn="0"/>
            <w:tcW w:w="1585" w:type="pct"/>
            <w:hideMark/>
          </w:tcPr>
          <w:p w14:paraId="423E3F4C"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SE(m)</w:t>
            </w:r>
          </w:p>
        </w:tc>
        <w:tc>
          <w:tcPr>
            <w:tcW w:w="1139" w:type="pct"/>
            <w:hideMark/>
          </w:tcPr>
          <w:p w14:paraId="690F1F1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2.66</w:t>
            </w:r>
          </w:p>
        </w:tc>
        <w:tc>
          <w:tcPr>
            <w:tcW w:w="1139" w:type="pct"/>
            <w:hideMark/>
          </w:tcPr>
          <w:p w14:paraId="0428EFC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0.85</w:t>
            </w:r>
          </w:p>
        </w:tc>
        <w:tc>
          <w:tcPr>
            <w:tcW w:w="1137" w:type="pct"/>
            <w:hideMark/>
          </w:tcPr>
          <w:p w14:paraId="31837C23"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3.59</w:t>
            </w:r>
          </w:p>
        </w:tc>
      </w:tr>
      <w:tr w:rsidR="00B84603" w:rsidRPr="00B22FB0" w14:paraId="42620C63" w14:textId="77777777" w:rsidTr="00B22FB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585" w:type="pct"/>
            <w:hideMark/>
          </w:tcPr>
          <w:p w14:paraId="144CECF2"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SE(d)</w:t>
            </w:r>
          </w:p>
        </w:tc>
        <w:tc>
          <w:tcPr>
            <w:tcW w:w="1139" w:type="pct"/>
            <w:hideMark/>
          </w:tcPr>
          <w:p w14:paraId="662ABF2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3.76</w:t>
            </w:r>
          </w:p>
        </w:tc>
        <w:tc>
          <w:tcPr>
            <w:tcW w:w="1139" w:type="pct"/>
            <w:hideMark/>
          </w:tcPr>
          <w:p w14:paraId="10F420B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1.2</w:t>
            </w:r>
          </w:p>
        </w:tc>
        <w:tc>
          <w:tcPr>
            <w:tcW w:w="1137" w:type="pct"/>
            <w:hideMark/>
          </w:tcPr>
          <w:p w14:paraId="00972B3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5.08</w:t>
            </w:r>
          </w:p>
        </w:tc>
      </w:tr>
      <w:tr w:rsidR="00B84603" w:rsidRPr="00B22FB0" w14:paraId="199AD39A" w14:textId="77777777" w:rsidTr="00B22FB0">
        <w:trPr>
          <w:trHeight w:val="197"/>
        </w:trPr>
        <w:tc>
          <w:tcPr>
            <w:cnfStyle w:val="001000000000" w:firstRow="0" w:lastRow="0" w:firstColumn="1" w:lastColumn="0" w:oddVBand="0" w:evenVBand="0" w:oddHBand="0" w:evenHBand="0" w:firstRowFirstColumn="0" w:firstRowLastColumn="0" w:lastRowFirstColumn="0" w:lastRowLastColumn="0"/>
            <w:tcW w:w="1585" w:type="pct"/>
            <w:hideMark/>
          </w:tcPr>
          <w:p w14:paraId="46821446"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C.V.</w:t>
            </w:r>
          </w:p>
        </w:tc>
        <w:tc>
          <w:tcPr>
            <w:tcW w:w="1139" w:type="pct"/>
            <w:hideMark/>
          </w:tcPr>
          <w:p w14:paraId="07508C5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7.5</w:t>
            </w:r>
          </w:p>
        </w:tc>
        <w:tc>
          <w:tcPr>
            <w:tcW w:w="1139" w:type="pct"/>
            <w:hideMark/>
          </w:tcPr>
          <w:p w14:paraId="3825717A"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10.01</w:t>
            </w:r>
          </w:p>
        </w:tc>
        <w:tc>
          <w:tcPr>
            <w:tcW w:w="1137" w:type="pct"/>
            <w:hideMark/>
          </w:tcPr>
          <w:p w14:paraId="0F7F16D0"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19.78</w:t>
            </w:r>
          </w:p>
        </w:tc>
      </w:tr>
      <w:tr w:rsidR="00B84603" w:rsidRPr="00B22FB0" w14:paraId="7085010C" w14:textId="77777777" w:rsidTr="00B22FB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585" w:type="pct"/>
          </w:tcPr>
          <w:p w14:paraId="63B46A99" w14:textId="77777777" w:rsidR="00B84603" w:rsidRPr="00B22FB0" w:rsidRDefault="00B84603" w:rsidP="00977638">
            <w:pPr>
              <w:jc w:val="both"/>
              <w:rPr>
                <w:rFonts w:ascii="Times New Roman" w:hAnsi="Times New Roman" w:cs="Times New Roman"/>
                <w:color w:val="000000"/>
                <w:sz w:val="20"/>
              </w:rPr>
            </w:pPr>
            <w:r w:rsidRPr="00B22FB0">
              <w:rPr>
                <w:rFonts w:ascii="Times New Roman" w:hAnsi="Times New Roman" w:cs="Times New Roman"/>
                <w:color w:val="000000"/>
                <w:sz w:val="20"/>
              </w:rPr>
              <w:t>F-Calculated</w:t>
            </w:r>
          </w:p>
        </w:tc>
        <w:tc>
          <w:tcPr>
            <w:tcW w:w="1139" w:type="pct"/>
          </w:tcPr>
          <w:p w14:paraId="1B6A5D8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3.706*</w:t>
            </w:r>
          </w:p>
        </w:tc>
        <w:tc>
          <w:tcPr>
            <w:tcW w:w="1139" w:type="pct"/>
          </w:tcPr>
          <w:p w14:paraId="5A91E33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0.236</w:t>
            </w:r>
            <w:r w:rsidRPr="00B22FB0">
              <w:rPr>
                <w:rFonts w:ascii="Times New Roman" w:hAnsi="Times New Roman" w:cs="Times New Roman"/>
                <w:color w:val="000000"/>
                <w:sz w:val="20"/>
                <w:vertAlign w:val="superscript"/>
              </w:rPr>
              <w:t>NS</w:t>
            </w:r>
          </w:p>
        </w:tc>
        <w:tc>
          <w:tcPr>
            <w:tcW w:w="1137" w:type="pct"/>
          </w:tcPr>
          <w:p w14:paraId="29C7C95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2.04</w:t>
            </w:r>
            <w:r w:rsidRPr="00B22FB0">
              <w:rPr>
                <w:rFonts w:ascii="Times New Roman" w:hAnsi="Times New Roman" w:cs="Times New Roman"/>
                <w:color w:val="000000"/>
                <w:sz w:val="20"/>
                <w:vertAlign w:val="superscript"/>
              </w:rPr>
              <w:t>NS</w:t>
            </w:r>
          </w:p>
        </w:tc>
      </w:tr>
    </w:tbl>
    <w:p w14:paraId="6B2348FD" w14:textId="7FD1C342" w:rsidR="00B84603" w:rsidRPr="009F44DD" w:rsidRDefault="0026135F" w:rsidP="008D0A33">
      <w:pPr>
        <w:spacing w:before="100" w:beforeAutospacing="1" w:after="100" w:afterAutospacing="1" w:line="240" w:lineRule="auto"/>
        <w:jc w:val="center"/>
        <w:rPr>
          <w:rFonts w:ascii="Times New Roman" w:hAnsi="Times New Roman" w:cs="Times New Roman"/>
          <w:b/>
          <w:color w:val="000000" w:themeColor="text1"/>
          <w:sz w:val="24"/>
          <w:szCs w:val="24"/>
        </w:rPr>
      </w:pPr>
      <w:r w:rsidRPr="009F44DD">
        <w:rPr>
          <w:rFonts w:ascii="Times New Roman" w:hAnsi="Times New Roman" w:cs="Times New Roman"/>
          <w:b/>
          <w:color w:val="000000" w:themeColor="text1"/>
          <w:sz w:val="24"/>
          <w:szCs w:val="24"/>
        </w:rPr>
        <w:t xml:space="preserve">Table </w:t>
      </w:r>
      <w:r w:rsidR="002D6DDC" w:rsidRPr="009F44DD">
        <w:rPr>
          <w:rFonts w:ascii="Times New Roman" w:hAnsi="Times New Roman" w:cs="Times New Roman"/>
          <w:b/>
          <w:color w:val="000000" w:themeColor="text1"/>
          <w:sz w:val="24"/>
          <w:szCs w:val="24"/>
        </w:rPr>
        <w:t>9:</w:t>
      </w:r>
      <w:r w:rsidR="00B84603" w:rsidRPr="009F44DD">
        <w:rPr>
          <w:rFonts w:ascii="Times New Roman" w:hAnsi="Times New Roman" w:cs="Times New Roman"/>
          <w:b/>
          <w:color w:val="000000" w:themeColor="text1"/>
          <w:sz w:val="24"/>
          <w:szCs w:val="24"/>
        </w:rPr>
        <w:t xml:space="preserve"> </w:t>
      </w:r>
      <w:r w:rsidR="00B84603" w:rsidRPr="002D6DDC">
        <w:rPr>
          <w:rFonts w:ascii="Times New Roman" w:hAnsi="Times New Roman" w:cs="Times New Roman"/>
          <w:color w:val="000000" w:themeColor="text1"/>
          <w:sz w:val="24"/>
          <w:szCs w:val="24"/>
        </w:rPr>
        <w:t>Influence of Potting Media on Seedling Growth Parameters at 365 Days After Sowing</w:t>
      </w:r>
    </w:p>
    <w:tbl>
      <w:tblPr>
        <w:tblStyle w:val="ListTable2"/>
        <w:tblW w:w="8640" w:type="dxa"/>
        <w:tblLook w:val="04A0" w:firstRow="1" w:lastRow="0" w:firstColumn="1" w:lastColumn="0" w:noHBand="0" w:noVBand="1"/>
      </w:tblPr>
      <w:tblGrid>
        <w:gridCol w:w="1140"/>
        <w:gridCol w:w="793"/>
        <w:gridCol w:w="941"/>
        <w:gridCol w:w="1005"/>
        <w:gridCol w:w="1117"/>
        <w:gridCol w:w="891"/>
        <w:gridCol w:w="941"/>
        <w:gridCol w:w="941"/>
        <w:gridCol w:w="871"/>
      </w:tblGrid>
      <w:tr w:rsidR="00B84603" w:rsidRPr="00B22FB0" w14:paraId="0CD1820F" w14:textId="77777777" w:rsidTr="00DD0EF0">
        <w:trPr>
          <w:cnfStyle w:val="100000000000" w:firstRow="1" w:lastRow="0" w:firstColumn="0" w:lastColumn="0" w:oddVBand="0" w:evenVBand="0" w:oddHBand="0"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140" w:type="dxa"/>
            <w:hideMark/>
          </w:tcPr>
          <w:p w14:paraId="43B3FD0F" w14:textId="77777777" w:rsidR="00B84603" w:rsidRPr="00B22FB0" w:rsidRDefault="00B84603" w:rsidP="00B22FB0">
            <w:pPr>
              <w:jc w:val="center"/>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Treatment</w:t>
            </w:r>
          </w:p>
        </w:tc>
        <w:tc>
          <w:tcPr>
            <w:tcW w:w="793" w:type="dxa"/>
            <w:hideMark/>
          </w:tcPr>
          <w:p w14:paraId="6AFFF8B2"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Root Shoot Ratio (365 Days) (Mean ± SD)</w:t>
            </w:r>
          </w:p>
        </w:tc>
        <w:tc>
          <w:tcPr>
            <w:tcW w:w="941" w:type="dxa"/>
            <w:hideMark/>
          </w:tcPr>
          <w:p w14:paraId="78F4B31B"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Seedling Length (365 Days) (Mean ± SD)</w:t>
            </w:r>
          </w:p>
        </w:tc>
        <w:tc>
          <w:tcPr>
            <w:tcW w:w="1005" w:type="dxa"/>
            <w:hideMark/>
          </w:tcPr>
          <w:p w14:paraId="5E88091E"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Total Biomass (g) (Seedling Dry Weight) (365 Days) (Mean ± SD)</w:t>
            </w:r>
          </w:p>
        </w:tc>
        <w:tc>
          <w:tcPr>
            <w:tcW w:w="1117" w:type="dxa"/>
            <w:hideMark/>
          </w:tcPr>
          <w:p w14:paraId="23D2BCE9"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Sturdiness Quotient (SQ) (365 Days) (Mean ± SD)</w:t>
            </w:r>
          </w:p>
        </w:tc>
        <w:tc>
          <w:tcPr>
            <w:tcW w:w="891" w:type="dxa"/>
            <w:hideMark/>
          </w:tcPr>
          <w:p w14:paraId="66A5F788"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Volume Index (365 Days) (Mean ± SD)</w:t>
            </w:r>
          </w:p>
        </w:tc>
        <w:tc>
          <w:tcPr>
            <w:tcW w:w="941" w:type="dxa"/>
            <w:hideMark/>
          </w:tcPr>
          <w:p w14:paraId="081601CA" w14:textId="42FBD763"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 xml:space="preserve">Seedling Vigour </w:t>
            </w:r>
            <w:r w:rsidR="00B22FB0" w:rsidRPr="00B22FB0">
              <w:rPr>
                <w:rFonts w:ascii="Times New Roman" w:eastAsia="Times New Roman" w:hAnsi="Times New Roman" w:cs="Times New Roman"/>
                <w:color w:val="000000"/>
                <w:sz w:val="20"/>
                <w:lang w:eastAsia="en-IN"/>
              </w:rPr>
              <w:t>Index I</w:t>
            </w:r>
            <w:r w:rsidRPr="00B22FB0">
              <w:rPr>
                <w:rFonts w:ascii="Times New Roman" w:eastAsia="Times New Roman" w:hAnsi="Times New Roman" w:cs="Times New Roman"/>
                <w:color w:val="000000"/>
                <w:sz w:val="20"/>
                <w:lang w:eastAsia="en-IN"/>
              </w:rPr>
              <w:t xml:space="preserve"> (365 Days) (Mean ± SD)</w:t>
            </w:r>
          </w:p>
        </w:tc>
        <w:tc>
          <w:tcPr>
            <w:tcW w:w="941" w:type="dxa"/>
            <w:hideMark/>
          </w:tcPr>
          <w:p w14:paraId="4F4F4CA4" w14:textId="00268171"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 xml:space="preserve">Seedling Vigour </w:t>
            </w:r>
            <w:r w:rsidR="00B22FB0" w:rsidRPr="00B22FB0">
              <w:rPr>
                <w:rFonts w:ascii="Times New Roman" w:eastAsia="Times New Roman" w:hAnsi="Times New Roman" w:cs="Times New Roman"/>
                <w:color w:val="000000"/>
                <w:sz w:val="20"/>
                <w:lang w:eastAsia="en-IN"/>
              </w:rPr>
              <w:t>Index II</w:t>
            </w:r>
            <w:r w:rsidRPr="00B22FB0">
              <w:rPr>
                <w:rFonts w:ascii="Times New Roman" w:eastAsia="Times New Roman" w:hAnsi="Times New Roman" w:cs="Times New Roman"/>
                <w:color w:val="000000"/>
                <w:sz w:val="20"/>
                <w:lang w:eastAsia="en-IN"/>
              </w:rPr>
              <w:t xml:space="preserve"> (365 Days) (Mean ± SD)</w:t>
            </w:r>
          </w:p>
        </w:tc>
        <w:tc>
          <w:tcPr>
            <w:tcW w:w="871" w:type="dxa"/>
            <w:hideMark/>
          </w:tcPr>
          <w:p w14:paraId="303C1A81" w14:textId="77777777" w:rsidR="00B84603" w:rsidRPr="00B22FB0" w:rsidRDefault="00B84603" w:rsidP="00B22F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B22FB0">
              <w:rPr>
                <w:rFonts w:ascii="Times New Roman" w:eastAsia="Times New Roman" w:hAnsi="Times New Roman" w:cs="Times New Roman"/>
                <w:color w:val="000000"/>
                <w:sz w:val="20"/>
                <w:lang w:eastAsia="en-IN"/>
              </w:rPr>
              <w:t>Quality Index (365 Days) (Mean ± SD)</w:t>
            </w:r>
          </w:p>
        </w:tc>
      </w:tr>
      <w:tr w:rsidR="00B84603" w:rsidRPr="00B22FB0" w14:paraId="2765035F" w14:textId="77777777" w:rsidTr="00B22FB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40" w:type="dxa"/>
            <w:hideMark/>
          </w:tcPr>
          <w:p w14:paraId="5C773FF5"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lastRenderedPageBreak/>
              <w:t>Nursery (1:1:1)</w:t>
            </w:r>
          </w:p>
        </w:tc>
        <w:tc>
          <w:tcPr>
            <w:tcW w:w="793" w:type="dxa"/>
            <w:hideMark/>
          </w:tcPr>
          <w:p w14:paraId="65DD70EB"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1.10 ± 0.13</w:t>
            </w:r>
          </w:p>
        </w:tc>
        <w:tc>
          <w:tcPr>
            <w:tcW w:w="941" w:type="dxa"/>
            <w:hideMark/>
          </w:tcPr>
          <w:p w14:paraId="7B41DC2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65.97 ± 0.90</w:t>
            </w:r>
          </w:p>
        </w:tc>
        <w:tc>
          <w:tcPr>
            <w:tcW w:w="1005" w:type="dxa"/>
            <w:hideMark/>
          </w:tcPr>
          <w:p w14:paraId="28A8D7B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19.93 ± 0.34</w:t>
            </w:r>
          </w:p>
        </w:tc>
        <w:tc>
          <w:tcPr>
            <w:tcW w:w="1117" w:type="dxa"/>
            <w:hideMark/>
          </w:tcPr>
          <w:p w14:paraId="7069070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61.98 ± 4.48</w:t>
            </w:r>
          </w:p>
        </w:tc>
        <w:tc>
          <w:tcPr>
            <w:tcW w:w="891" w:type="dxa"/>
            <w:hideMark/>
          </w:tcPr>
          <w:p w14:paraId="0840BA6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76.64 ± 9.39</w:t>
            </w:r>
          </w:p>
        </w:tc>
        <w:tc>
          <w:tcPr>
            <w:tcW w:w="941" w:type="dxa"/>
            <w:hideMark/>
          </w:tcPr>
          <w:p w14:paraId="363B768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3,630.83 ± 217.49</w:t>
            </w:r>
          </w:p>
        </w:tc>
        <w:tc>
          <w:tcPr>
            <w:tcW w:w="941" w:type="dxa"/>
            <w:hideMark/>
          </w:tcPr>
          <w:p w14:paraId="223FF27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1,094.41 ± 39.34</w:t>
            </w:r>
          </w:p>
        </w:tc>
        <w:tc>
          <w:tcPr>
            <w:tcW w:w="871" w:type="dxa"/>
            <w:hideMark/>
          </w:tcPr>
          <w:p w14:paraId="0A4580A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1.26 ± 0.08</w:t>
            </w:r>
          </w:p>
        </w:tc>
      </w:tr>
      <w:tr w:rsidR="00B84603" w:rsidRPr="00B22FB0" w14:paraId="266CC79C" w14:textId="77777777" w:rsidTr="00B22FB0">
        <w:trPr>
          <w:trHeight w:val="520"/>
        </w:trPr>
        <w:tc>
          <w:tcPr>
            <w:cnfStyle w:val="001000000000" w:firstRow="0" w:lastRow="0" w:firstColumn="1" w:lastColumn="0" w:oddVBand="0" w:evenVBand="0" w:oddHBand="0" w:evenHBand="0" w:firstRowFirstColumn="0" w:firstRowLastColumn="0" w:lastRowFirstColumn="0" w:lastRowLastColumn="0"/>
            <w:tcW w:w="1140" w:type="dxa"/>
            <w:hideMark/>
          </w:tcPr>
          <w:p w14:paraId="693F2DA6"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Nursery (2:1:1)</w:t>
            </w:r>
          </w:p>
        </w:tc>
        <w:tc>
          <w:tcPr>
            <w:tcW w:w="793" w:type="dxa"/>
            <w:hideMark/>
          </w:tcPr>
          <w:p w14:paraId="37C726DA"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1.35 ± 0.03</w:t>
            </w:r>
          </w:p>
        </w:tc>
        <w:tc>
          <w:tcPr>
            <w:tcW w:w="941" w:type="dxa"/>
            <w:hideMark/>
          </w:tcPr>
          <w:p w14:paraId="6E2A421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68.96 ± 0.94</w:t>
            </w:r>
          </w:p>
        </w:tc>
        <w:tc>
          <w:tcPr>
            <w:tcW w:w="1005" w:type="dxa"/>
            <w:hideMark/>
          </w:tcPr>
          <w:p w14:paraId="6636AF2B"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22.23 ± 1.43</w:t>
            </w:r>
          </w:p>
        </w:tc>
        <w:tc>
          <w:tcPr>
            <w:tcW w:w="1117" w:type="dxa"/>
            <w:hideMark/>
          </w:tcPr>
          <w:p w14:paraId="5AEAE8A6"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55.29 ± 3.87</w:t>
            </w:r>
          </w:p>
        </w:tc>
        <w:tc>
          <w:tcPr>
            <w:tcW w:w="891" w:type="dxa"/>
            <w:hideMark/>
          </w:tcPr>
          <w:p w14:paraId="00EC14F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110.00 ± 13.76</w:t>
            </w:r>
          </w:p>
        </w:tc>
        <w:tc>
          <w:tcPr>
            <w:tcW w:w="941" w:type="dxa"/>
            <w:hideMark/>
          </w:tcPr>
          <w:p w14:paraId="7BEC96A6"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4,209.09 ± 249.86</w:t>
            </w:r>
          </w:p>
        </w:tc>
        <w:tc>
          <w:tcPr>
            <w:tcW w:w="941" w:type="dxa"/>
            <w:hideMark/>
          </w:tcPr>
          <w:p w14:paraId="3E5C5F7C"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1,347.09 ± 21.40</w:t>
            </w:r>
          </w:p>
        </w:tc>
        <w:tc>
          <w:tcPr>
            <w:tcW w:w="871" w:type="dxa"/>
            <w:hideMark/>
          </w:tcPr>
          <w:p w14:paraId="78C7DCC1"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1.15 ± 0.04</w:t>
            </w:r>
          </w:p>
        </w:tc>
      </w:tr>
      <w:tr w:rsidR="00B84603" w:rsidRPr="00B22FB0" w14:paraId="21FA5EB1" w14:textId="77777777" w:rsidTr="00B22FB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40" w:type="dxa"/>
            <w:hideMark/>
          </w:tcPr>
          <w:p w14:paraId="363269F0"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Nursery (1:2:1)</w:t>
            </w:r>
          </w:p>
        </w:tc>
        <w:tc>
          <w:tcPr>
            <w:tcW w:w="793" w:type="dxa"/>
            <w:hideMark/>
          </w:tcPr>
          <w:p w14:paraId="4716F3D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1.32 ± 0.16</w:t>
            </w:r>
          </w:p>
        </w:tc>
        <w:tc>
          <w:tcPr>
            <w:tcW w:w="941" w:type="dxa"/>
            <w:hideMark/>
          </w:tcPr>
          <w:p w14:paraId="5695DFF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73.35 ± 0.13</w:t>
            </w:r>
          </w:p>
        </w:tc>
        <w:tc>
          <w:tcPr>
            <w:tcW w:w="1005" w:type="dxa"/>
            <w:hideMark/>
          </w:tcPr>
          <w:p w14:paraId="4EBDE48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26.15 ± 0.78</w:t>
            </w:r>
          </w:p>
        </w:tc>
        <w:tc>
          <w:tcPr>
            <w:tcW w:w="1117" w:type="dxa"/>
            <w:hideMark/>
          </w:tcPr>
          <w:p w14:paraId="65F56BDB"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53.54 ± 3.36</w:t>
            </w:r>
          </w:p>
        </w:tc>
        <w:tc>
          <w:tcPr>
            <w:tcW w:w="891" w:type="dxa"/>
            <w:hideMark/>
          </w:tcPr>
          <w:p w14:paraId="133795B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141.27 ± 19.00</w:t>
            </w:r>
          </w:p>
        </w:tc>
        <w:tc>
          <w:tcPr>
            <w:tcW w:w="941" w:type="dxa"/>
            <w:hideMark/>
          </w:tcPr>
          <w:p w14:paraId="5677493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5,146.70 ± 71.92</w:t>
            </w:r>
          </w:p>
        </w:tc>
        <w:tc>
          <w:tcPr>
            <w:tcW w:w="941" w:type="dxa"/>
            <w:hideMark/>
          </w:tcPr>
          <w:p w14:paraId="393FFA7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1,833.64 ± 42.96</w:t>
            </w:r>
          </w:p>
        </w:tc>
        <w:tc>
          <w:tcPr>
            <w:tcW w:w="871" w:type="dxa"/>
            <w:hideMark/>
          </w:tcPr>
          <w:p w14:paraId="6677EE3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1.28 ± 0.05</w:t>
            </w:r>
          </w:p>
        </w:tc>
      </w:tr>
      <w:tr w:rsidR="00B84603" w:rsidRPr="00B22FB0" w14:paraId="1DA0DB43" w14:textId="77777777" w:rsidTr="00B22FB0">
        <w:trPr>
          <w:trHeight w:val="520"/>
        </w:trPr>
        <w:tc>
          <w:tcPr>
            <w:cnfStyle w:val="001000000000" w:firstRow="0" w:lastRow="0" w:firstColumn="1" w:lastColumn="0" w:oddVBand="0" w:evenVBand="0" w:oddHBand="0" w:evenHBand="0" w:firstRowFirstColumn="0" w:firstRowLastColumn="0" w:lastRowFirstColumn="0" w:lastRowLastColumn="0"/>
            <w:tcW w:w="1140" w:type="dxa"/>
            <w:hideMark/>
          </w:tcPr>
          <w:p w14:paraId="1D0F744F"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Nursery (1:1:2)</w:t>
            </w:r>
          </w:p>
        </w:tc>
        <w:tc>
          <w:tcPr>
            <w:tcW w:w="793" w:type="dxa"/>
            <w:hideMark/>
          </w:tcPr>
          <w:p w14:paraId="74EDC38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1.04 ± 0.10</w:t>
            </w:r>
          </w:p>
        </w:tc>
        <w:tc>
          <w:tcPr>
            <w:tcW w:w="941" w:type="dxa"/>
            <w:hideMark/>
          </w:tcPr>
          <w:p w14:paraId="6073012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64.64 ± 0.32</w:t>
            </w:r>
          </w:p>
        </w:tc>
        <w:tc>
          <w:tcPr>
            <w:tcW w:w="1005" w:type="dxa"/>
            <w:hideMark/>
          </w:tcPr>
          <w:p w14:paraId="37006A1F"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20.41 ± 0.55</w:t>
            </w:r>
          </w:p>
        </w:tc>
        <w:tc>
          <w:tcPr>
            <w:tcW w:w="1117" w:type="dxa"/>
            <w:hideMark/>
          </w:tcPr>
          <w:p w14:paraId="25F3F424"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50.55 ± 3.16</w:t>
            </w:r>
          </w:p>
        </w:tc>
        <w:tc>
          <w:tcPr>
            <w:tcW w:w="891" w:type="dxa"/>
            <w:hideMark/>
          </w:tcPr>
          <w:p w14:paraId="1AE9CA7E"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108.43 ± 14.48</w:t>
            </w:r>
          </w:p>
        </w:tc>
        <w:tc>
          <w:tcPr>
            <w:tcW w:w="941" w:type="dxa"/>
            <w:hideMark/>
          </w:tcPr>
          <w:p w14:paraId="160A0D3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3,750.02 ± 130.27</w:t>
            </w:r>
          </w:p>
        </w:tc>
        <w:tc>
          <w:tcPr>
            <w:tcW w:w="941" w:type="dxa"/>
            <w:hideMark/>
          </w:tcPr>
          <w:p w14:paraId="1AA95E0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1,185.00 ± 57.86</w:t>
            </w:r>
          </w:p>
        </w:tc>
        <w:tc>
          <w:tcPr>
            <w:tcW w:w="871" w:type="dxa"/>
            <w:hideMark/>
          </w:tcPr>
          <w:p w14:paraId="6E892016"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1.38 ± 0.05</w:t>
            </w:r>
          </w:p>
        </w:tc>
      </w:tr>
      <w:tr w:rsidR="00B84603" w:rsidRPr="00B22FB0" w14:paraId="36554453" w14:textId="77777777" w:rsidTr="00B22FB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0" w:type="dxa"/>
            <w:hideMark/>
          </w:tcPr>
          <w:p w14:paraId="3F086924"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C.D.</w:t>
            </w:r>
          </w:p>
        </w:tc>
        <w:tc>
          <w:tcPr>
            <w:tcW w:w="793" w:type="dxa"/>
            <w:hideMark/>
          </w:tcPr>
          <w:p w14:paraId="40B64EB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0.2</w:t>
            </w:r>
          </w:p>
        </w:tc>
        <w:tc>
          <w:tcPr>
            <w:tcW w:w="941" w:type="dxa"/>
            <w:hideMark/>
          </w:tcPr>
          <w:p w14:paraId="2CF684A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1.89</w:t>
            </w:r>
          </w:p>
        </w:tc>
        <w:tc>
          <w:tcPr>
            <w:tcW w:w="1005" w:type="dxa"/>
            <w:hideMark/>
          </w:tcPr>
          <w:p w14:paraId="084B705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1.8</w:t>
            </w:r>
          </w:p>
        </w:tc>
        <w:tc>
          <w:tcPr>
            <w:tcW w:w="1117" w:type="dxa"/>
            <w:hideMark/>
          </w:tcPr>
          <w:p w14:paraId="51211DC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2.35</w:t>
            </w:r>
          </w:p>
        </w:tc>
        <w:tc>
          <w:tcPr>
            <w:tcW w:w="891" w:type="dxa"/>
            <w:hideMark/>
          </w:tcPr>
          <w:p w14:paraId="7E81592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14.08</w:t>
            </w:r>
          </w:p>
        </w:tc>
        <w:tc>
          <w:tcPr>
            <w:tcW w:w="941" w:type="dxa"/>
            <w:hideMark/>
          </w:tcPr>
          <w:p w14:paraId="4345130A"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510.84</w:t>
            </w:r>
          </w:p>
        </w:tc>
        <w:tc>
          <w:tcPr>
            <w:tcW w:w="941" w:type="dxa"/>
            <w:hideMark/>
          </w:tcPr>
          <w:p w14:paraId="4BF84E8F"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144.17</w:t>
            </w:r>
          </w:p>
        </w:tc>
        <w:tc>
          <w:tcPr>
            <w:tcW w:w="871" w:type="dxa"/>
            <w:hideMark/>
          </w:tcPr>
          <w:p w14:paraId="0FEA9B5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N/A</w:t>
            </w:r>
          </w:p>
        </w:tc>
      </w:tr>
      <w:tr w:rsidR="00B84603" w:rsidRPr="00B22FB0" w14:paraId="4E74C0D3" w14:textId="77777777" w:rsidTr="00B22FB0">
        <w:trPr>
          <w:trHeight w:val="290"/>
        </w:trPr>
        <w:tc>
          <w:tcPr>
            <w:cnfStyle w:val="001000000000" w:firstRow="0" w:lastRow="0" w:firstColumn="1" w:lastColumn="0" w:oddVBand="0" w:evenVBand="0" w:oddHBand="0" w:evenHBand="0" w:firstRowFirstColumn="0" w:firstRowLastColumn="0" w:lastRowFirstColumn="0" w:lastRowLastColumn="0"/>
            <w:tcW w:w="1140" w:type="dxa"/>
            <w:hideMark/>
          </w:tcPr>
          <w:p w14:paraId="002AEC16"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SE(m)</w:t>
            </w:r>
          </w:p>
        </w:tc>
        <w:tc>
          <w:tcPr>
            <w:tcW w:w="793" w:type="dxa"/>
            <w:hideMark/>
          </w:tcPr>
          <w:p w14:paraId="09AFC9DC"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0.06</w:t>
            </w:r>
          </w:p>
        </w:tc>
        <w:tc>
          <w:tcPr>
            <w:tcW w:w="941" w:type="dxa"/>
            <w:hideMark/>
          </w:tcPr>
          <w:p w14:paraId="37DFA370"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0.54</w:t>
            </w:r>
          </w:p>
        </w:tc>
        <w:tc>
          <w:tcPr>
            <w:tcW w:w="1005" w:type="dxa"/>
            <w:hideMark/>
          </w:tcPr>
          <w:p w14:paraId="198DCF7B"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0.51</w:t>
            </w:r>
          </w:p>
        </w:tc>
        <w:tc>
          <w:tcPr>
            <w:tcW w:w="1117" w:type="dxa"/>
            <w:hideMark/>
          </w:tcPr>
          <w:p w14:paraId="705D570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0.67</w:t>
            </w:r>
          </w:p>
        </w:tc>
        <w:tc>
          <w:tcPr>
            <w:tcW w:w="891" w:type="dxa"/>
            <w:hideMark/>
          </w:tcPr>
          <w:p w14:paraId="47E0B45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3.99</w:t>
            </w:r>
          </w:p>
        </w:tc>
        <w:tc>
          <w:tcPr>
            <w:tcW w:w="941" w:type="dxa"/>
            <w:hideMark/>
          </w:tcPr>
          <w:p w14:paraId="12730669"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144.81</w:t>
            </w:r>
          </w:p>
        </w:tc>
        <w:tc>
          <w:tcPr>
            <w:tcW w:w="941" w:type="dxa"/>
            <w:hideMark/>
          </w:tcPr>
          <w:p w14:paraId="61C9A25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40.87</w:t>
            </w:r>
          </w:p>
        </w:tc>
        <w:tc>
          <w:tcPr>
            <w:tcW w:w="871" w:type="dxa"/>
            <w:hideMark/>
          </w:tcPr>
          <w:p w14:paraId="0F65C64A"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0.05</w:t>
            </w:r>
          </w:p>
        </w:tc>
      </w:tr>
      <w:tr w:rsidR="00B84603" w:rsidRPr="00B22FB0" w14:paraId="73EBE01C" w14:textId="77777777" w:rsidTr="00B22FB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0" w:type="dxa"/>
            <w:hideMark/>
          </w:tcPr>
          <w:p w14:paraId="7016447A"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SE(d)</w:t>
            </w:r>
          </w:p>
        </w:tc>
        <w:tc>
          <w:tcPr>
            <w:tcW w:w="793" w:type="dxa"/>
            <w:hideMark/>
          </w:tcPr>
          <w:p w14:paraId="214DF6C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0.08</w:t>
            </w:r>
          </w:p>
        </w:tc>
        <w:tc>
          <w:tcPr>
            <w:tcW w:w="941" w:type="dxa"/>
            <w:hideMark/>
          </w:tcPr>
          <w:p w14:paraId="47001C7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0.76</w:t>
            </w:r>
          </w:p>
        </w:tc>
        <w:tc>
          <w:tcPr>
            <w:tcW w:w="1005" w:type="dxa"/>
            <w:hideMark/>
          </w:tcPr>
          <w:p w14:paraId="6A50A63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0.72</w:t>
            </w:r>
          </w:p>
        </w:tc>
        <w:tc>
          <w:tcPr>
            <w:tcW w:w="1117" w:type="dxa"/>
            <w:hideMark/>
          </w:tcPr>
          <w:p w14:paraId="33068E6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0.94</w:t>
            </w:r>
          </w:p>
        </w:tc>
        <w:tc>
          <w:tcPr>
            <w:tcW w:w="891" w:type="dxa"/>
            <w:hideMark/>
          </w:tcPr>
          <w:p w14:paraId="1D913B1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5.65</w:t>
            </w:r>
          </w:p>
        </w:tc>
        <w:tc>
          <w:tcPr>
            <w:tcW w:w="941" w:type="dxa"/>
            <w:hideMark/>
          </w:tcPr>
          <w:p w14:paraId="6794B40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204.79</w:t>
            </w:r>
          </w:p>
        </w:tc>
        <w:tc>
          <w:tcPr>
            <w:tcW w:w="941" w:type="dxa"/>
            <w:hideMark/>
          </w:tcPr>
          <w:p w14:paraId="4ECA4B4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57.8</w:t>
            </w:r>
          </w:p>
        </w:tc>
        <w:tc>
          <w:tcPr>
            <w:tcW w:w="871" w:type="dxa"/>
            <w:hideMark/>
          </w:tcPr>
          <w:p w14:paraId="41B5BBA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0.08</w:t>
            </w:r>
          </w:p>
        </w:tc>
      </w:tr>
      <w:tr w:rsidR="00B84603" w:rsidRPr="00B22FB0" w14:paraId="2F74BC47" w14:textId="77777777" w:rsidTr="00B22FB0">
        <w:trPr>
          <w:trHeight w:val="290"/>
        </w:trPr>
        <w:tc>
          <w:tcPr>
            <w:cnfStyle w:val="001000000000" w:firstRow="0" w:lastRow="0" w:firstColumn="1" w:lastColumn="0" w:oddVBand="0" w:evenVBand="0" w:oddHBand="0" w:evenHBand="0" w:firstRowFirstColumn="0" w:firstRowLastColumn="0" w:lastRowFirstColumn="0" w:lastRowLastColumn="0"/>
            <w:tcW w:w="1140" w:type="dxa"/>
            <w:hideMark/>
          </w:tcPr>
          <w:p w14:paraId="3B017D18" w14:textId="77777777" w:rsidR="00B84603" w:rsidRPr="00B22FB0" w:rsidRDefault="00B84603" w:rsidP="00977638">
            <w:pPr>
              <w:jc w:val="both"/>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C.V.</w:t>
            </w:r>
          </w:p>
        </w:tc>
        <w:tc>
          <w:tcPr>
            <w:tcW w:w="793" w:type="dxa"/>
            <w:hideMark/>
          </w:tcPr>
          <w:p w14:paraId="4328E35A"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8.36</w:t>
            </w:r>
          </w:p>
        </w:tc>
        <w:tc>
          <w:tcPr>
            <w:tcW w:w="941" w:type="dxa"/>
            <w:hideMark/>
          </w:tcPr>
          <w:p w14:paraId="12A6C12D"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1.36</w:t>
            </w:r>
          </w:p>
        </w:tc>
        <w:tc>
          <w:tcPr>
            <w:tcW w:w="1005" w:type="dxa"/>
            <w:hideMark/>
          </w:tcPr>
          <w:p w14:paraId="224D87C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3.98</w:t>
            </w:r>
          </w:p>
        </w:tc>
        <w:tc>
          <w:tcPr>
            <w:tcW w:w="1117" w:type="dxa"/>
            <w:hideMark/>
          </w:tcPr>
          <w:p w14:paraId="135ED27C"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2.08</w:t>
            </w:r>
          </w:p>
        </w:tc>
        <w:tc>
          <w:tcPr>
            <w:tcW w:w="891" w:type="dxa"/>
            <w:hideMark/>
          </w:tcPr>
          <w:p w14:paraId="37BD95D2"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6.34</w:t>
            </w:r>
          </w:p>
        </w:tc>
        <w:tc>
          <w:tcPr>
            <w:tcW w:w="941" w:type="dxa"/>
            <w:hideMark/>
          </w:tcPr>
          <w:p w14:paraId="7F296AA8"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6</w:t>
            </w:r>
          </w:p>
        </w:tc>
        <w:tc>
          <w:tcPr>
            <w:tcW w:w="941" w:type="dxa"/>
            <w:hideMark/>
          </w:tcPr>
          <w:p w14:paraId="72EDB945"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5.19</w:t>
            </w:r>
          </w:p>
        </w:tc>
        <w:tc>
          <w:tcPr>
            <w:tcW w:w="871" w:type="dxa"/>
            <w:hideMark/>
          </w:tcPr>
          <w:p w14:paraId="24E99137" w14:textId="77777777" w:rsidR="00B84603" w:rsidRPr="00B22FB0"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B22FB0">
              <w:rPr>
                <w:rFonts w:ascii="Times New Roman" w:eastAsia="Times New Roman" w:hAnsi="Times New Roman" w:cs="Times New Roman"/>
                <w:color w:val="000000"/>
                <w:sz w:val="20"/>
                <w:lang w:eastAsia="en-IN"/>
              </w:rPr>
              <w:t>7.4</w:t>
            </w:r>
          </w:p>
        </w:tc>
      </w:tr>
      <w:tr w:rsidR="00B84603" w:rsidRPr="00B22FB0" w14:paraId="219A9C38" w14:textId="77777777" w:rsidTr="00B22FB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0" w:type="dxa"/>
          </w:tcPr>
          <w:p w14:paraId="2C67CCB5" w14:textId="77777777" w:rsidR="00B84603" w:rsidRPr="00B22FB0" w:rsidRDefault="00B84603" w:rsidP="00977638">
            <w:pPr>
              <w:jc w:val="both"/>
              <w:rPr>
                <w:rFonts w:ascii="Times New Roman" w:hAnsi="Times New Roman" w:cs="Times New Roman"/>
                <w:color w:val="000000"/>
                <w:sz w:val="20"/>
              </w:rPr>
            </w:pPr>
            <w:r w:rsidRPr="00B22FB0">
              <w:rPr>
                <w:rFonts w:ascii="Times New Roman" w:hAnsi="Times New Roman" w:cs="Times New Roman"/>
                <w:color w:val="000000"/>
                <w:sz w:val="20"/>
              </w:rPr>
              <w:t>F-Calculated</w:t>
            </w:r>
          </w:p>
          <w:p w14:paraId="2524F839" w14:textId="77777777" w:rsidR="00B84603" w:rsidRPr="00B22FB0" w:rsidRDefault="00B84603" w:rsidP="00977638">
            <w:pPr>
              <w:jc w:val="both"/>
              <w:rPr>
                <w:rFonts w:ascii="Times New Roman" w:eastAsia="Times New Roman" w:hAnsi="Times New Roman" w:cs="Times New Roman"/>
                <w:color w:val="000000"/>
                <w:sz w:val="20"/>
                <w:lang w:eastAsia="en-IN"/>
              </w:rPr>
            </w:pPr>
          </w:p>
        </w:tc>
        <w:tc>
          <w:tcPr>
            <w:tcW w:w="793" w:type="dxa"/>
          </w:tcPr>
          <w:p w14:paraId="16536C9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6.896*</w:t>
            </w:r>
          </w:p>
          <w:p w14:paraId="1979941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c>
          <w:tcPr>
            <w:tcW w:w="941" w:type="dxa"/>
          </w:tcPr>
          <w:p w14:paraId="68329815"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52.203*</w:t>
            </w:r>
          </w:p>
          <w:p w14:paraId="78014F24"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c>
          <w:tcPr>
            <w:tcW w:w="1005" w:type="dxa"/>
          </w:tcPr>
          <w:p w14:paraId="65461F6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30.719*</w:t>
            </w:r>
          </w:p>
          <w:p w14:paraId="4E2F67B1"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c>
          <w:tcPr>
            <w:tcW w:w="1117" w:type="dxa"/>
          </w:tcPr>
          <w:p w14:paraId="0BA9D0C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53.051*</w:t>
            </w:r>
          </w:p>
          <w:p w14:paraId="0CBA8C0E"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c>
          <w:tcPr>
            <w:tcW w:w="891" w:type="dxa"/>
          </w:tcPr>
          <w:p w14:paraId="6B9BA5F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43.721*</w:t>
            </w:r>
          </w:p>
          <w:p w14:paraId="4D39D283"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c>
          <w:tcPr>
            <w:tcW w:w="941" w:type="dxa"/>
          </w:tcPr>
          <w:p w14:paraId="3E4DBBD7"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22.6*</w:t>
            </w:r>
          </w:p>
          <w:p w14:paraId="472BEF30"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c>
          <w:tcPr>
            <w:tcW w:w="941" w:type="dxa"/>
          </w:tcPr>
          <w:p w14:paraId="7B83D43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64.978*</w:t>
            </w:r>
          </w:p>
          <w:p w14:paraId="0B71ECCC"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c>
          <w:tcPr>
            <w:tcW w:w="871" w:type="dxa"/>
          </w:tcPr>
          <w:p w14:paraId="2C961046"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22FB0">
              <w:rPr>
                <w:rFonts w:ascii="Times New Roman" w:hAnsi="Times New Roman" w:cs="Times New Roman"/>
                <w:color w:val="000000"/>
                <w:sz w:val="20"/>
              </w:rPr>
              <w:t>3.023</w:t>
            </w:r>
            <w:r w:rsidRPr="00B22FB0">
              <w:rPr>
                <w:rFonts w:ascii="Times New Roman" w:hAnsi="Times New Roman" w:cs="Times New Roman"/>
                <w:color w:val="000000"/>
                <w:sz w:val="20"/>
                <w:vertAlign w:val="superscript"/>
              </w:rPr>
              <w:t>NS</w:t>
            </w:r>
          </w:p>
          <w:p w14:paraId="13FB0FD2" w14:textId="77777777" w:rsidR="00B84603" w:rsidRPr="00B22FB0"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p>
        </w:tc>
      </w:tr>
    </w:tbl>
    <w:p w14:paraId="72D2ABAD" w14:textId="77777777" w:rsidR="009B0B2A" w:rsidRDefault="009B0B2A" w:rsidP="00977638">
      <w:pPr>
        <w:jc w:val="both"/>
        <w:rPr>
          <w:rFonts w:ascii="Times New Roman" w:hAnsi="Times New Roman" w:cs="Times New Roman"/>
          <w:b/>
          <w:sz w:val="24"/>
          <w:szCs w:val="24"/>
        </w:rPr>
      </w:pPr>
    </w:p>
    <w:p w14:paraId="15BC14A5" w14:textId="0B55BA24" w:rsidR="00B84603" w:rsidRPr="009F4752" w:rsidRDefault="009F4752" w:rsidP="00977638">
      <w:pPr>
        <w:jc w:val="both"/>
        <w:rPr>
          <w:rFonts w:ascii="Times New Roman" w:hAnsi="Times New Roman" w:cs="Times New Roman"/>
          <w:b/>
          <w:sz w:val="24"/>
          <w:szCs w:val="24"/>
        </w:rPr>
      </w:pPr>
      <w:r w:rsidRPr="009F4752">
        <w:rPr>
          <w:rFonts w:ascii="Times New Roman" w:hAnsi="Times New Roman" w:cs="Times New Roman"/>
          <w:b/>
          <w:sz w:val="24"/>
          <w:szCs w:val="24"/>
        </w:rPr>
        <w:t>3.</w:t>
      </w:r>
      <w:r w:rsidR="009B0B2A">
        <w:rPr>
          <w:rFonts w:ascii="Times New Roman" w:hAnsi="Times New Roman" w:cs="Times New Roman"/>
          <w:b/>
          <w:sz w:val="24"/>
          <w:szCs w:val="24"/>
        </w:rPr>
        <w:t>5</w:t>
      </w:r>
      <w:r w:rsidRPr="009F4752">
        <w:rPr>
          <w:rFonts w:ascii="Times New Roman" w:hAnsi="Times New Roman" w:cs="Times New Roman"/>
          <w:b/>
          <w:sz w:val="24"/>
          <w:szCs w:val="24"/>
        </w:rPr>
        <w:t xml:space="preserve"> </w:t>
      </w:r>
      <w:r w:rsidR="00B84603" w:rsidRPr="009F4752">
        <w:rPr>
          <w:rFonts w:ascii="Times New Roman" w:hAnsi="Times New Roman" w:cs="Times New Roman"/>
          <w:b/>
          <w:sz w:val="24"/>
          <w:szCs w:val="24"/>
        </w:rPr>
        <w:t>Seed Source Parameter</w:t>
      </w:r>
      <w:r>
        <w:rPr>
          <w:rFonts w:ascii="Times New Roman" w:hAnsi="Times New Roman" w:cs="Times New Roman"/>
          <w:b/>
          <w:sz w:val="24"/>
          <w:szCs w:val="24"/>
        </w:rPr>
        <w:t xml:space="preserve">: </w:t>
      </w:r>
      <w:r w:rsidR="00B84603" w:rsidRPr="009F44DD">
        <w:rPr>
          <w:rFonts w:ascii="Times New Roman" w:hAnsi="Times New Roman" w:cs="Times New Roman"/>
          <w:sz w:val="24"/>
          <w:szCs w:val="24"/>
        </w:rPr>
        <w:t xml:space="preserve">The study on </w:t>
      </w:r>
      <w:r w:rsidR="00B84603" w:rsidRPr="009F44DD">
        <w:rPr>
          <w:rStyle w:val="Emphasis"/>
          <w:rFonts w:ascii="Times New Roman" w:hAnsi="Times New Roman" w:cs="Times New Roman"/>
          <w:sz w:val="24"/>
          <w:szCs w:val="24"/>
        </w:rPr>
        <w:t>Butea monosperma</w:t>
      </w:r>
      <w:r w:rsidR="00B84603" w:rsidRPr="009F44DD">
        <w:rPr>
          <w:rFonts w:ascii="Times New Roman" w:hAnsi="Times New Roman" w:cs="Times New Roman"/>
          <w:sz w:val="24"/>
          <w:szCs w:val="24"/>
        </w:rPr>
        <w:t xml:space="preserve"> seed quality across different seed sources</w:t>
      </w:r>
      <w:r>
        <w:rPr>
          <w:rFonts w:ascii="Times New Roman" w:hAnsi="Times New Roman" w:cs="Times New Roman"/>
          <w:sz w:val="24"/>
          <w:szCs w:val="24"/>
        </w:rPr>
        <w:t xml:space="preserve"> (Table 10)</w:t>
      </w:r>
      <w:r w:rsidR="00B84603" w:rsidRPr="009F44DD">
        <w:rPr>
          <w:rFonts w:ascii="Times New Roman" w:hAnsi="Times New Roman" w:cs="Times New Roman"/>
          <w:sz w:val="24"/>
          <w:szCs w:val="24"/>
        </w:rPr>
        <w:t xml:space="preserve"> reveals that while variations exist in germination percentage, mean germination time (MGT), seedling length, and seedling vigor index, these differences are not statistically significant. The highest germination percentage (94.31%) was recorded from the Jabalpur seed source, while the lowest (92.78%) was from Chhatarpur. MGT ranged from 7.13 to 8.84 days, with minimal statistical impact. Seedling length and vigor index showed greater variability, particularly in Chhatarpur, which had the highest values. However, high standard errors and coefficients of variation suggest that other factors, beyond seed source, might influence these parameters.</w:t>
      </w:r>
    </w:p>
    <w:p w14:paraId="6B70BC81" w14:textId="620D1861" w:rsidR="00B84603" w:rsidRPr="009F44DD" w:rsidRDefault="0026135F" w:rsidP="008D0A33">
      <w:pPr>
        <w:jc w:val="center"/>
        <w:rPr>
          <w:rFonts w:ascii="Times New Roman" w:hAnsi="Times New Roman" w:cs="Times New Roman"/>
          <w:sz w:val="24"/>
          <w:szCs w:val="24"/>
        </w:rPr>
      </w:pPr>
      <w:r w:rsidRPr="009F44DD">
        <w:rPr>
          <w:rFonts w:ascii="Times New Roman" w:hAnsi="Times New Roman" w:cs="Times New Roman"/>
          <w:b/>
          <w:sz w:val="24"/>
          <w:szCs w:val="24"/>
        </w:rPr>
        <w:t>Table 10</w:t>
      </w:r>
      <w:r w:rsidR="00B84603" w:rsidRPr="009F44DD">
        <w:rPr>
          <w:rFonts w:ascii="Times New Roman" w:hAnsi="Times New Roman" w:cs="Times New Roman"/>
          <w:b/>
          <w:sz w:val="24"/>
          <w:szCs w:val="24"/>
        </w:rPr>
        <w:t xml:space="preserve">: </w:t>
      </w:r>
      <w:r w:rsidR="00B84603" w:rsidRPr="009F44DD">
        <w:rPr>
          <w:rFonts w:ascii="Times New Roman" w:hAnsi="Times New Roman" w:cs="Times New Roman"/>
          <w:b/>
          <w:bCs/>
          <w:sz w:val="24"/>
          <w:szCs w:val="24"/>
        </w:rPr>
        <w:t xml:space="preserve">Impact of seed sources on seed quality parameter </w:t>
      </w:r>
      <w:r w:rsidR="00B84603" w:rsidRPr="009F44DD">
        <w:rPr>
          <w:rStyle w:val="Emphasis"/>
          <w:rFonts w:ascii="Times New Roman" w:hAnsi="Times New Roman" w:cs="Times New Roman"/>
          <w:b/>
          <w:sz w:val="24"/>
          <w:szCs w:val="24"/>
        </w:rPr>
        <w:t>Butea monosperma</w:t>
      </w:r>
    </w:p>
    <w:tbl>
      <w:tblPr>
        <w:tblStyle w:val="ListTable2"/>
        <w:tblW w:w="4992" w:type="pct"/>
        <w:tblLook w:val="04A0" w:firstRow="1" w:lastRow="0" w:firstColumn="1" w:lastColumn="0" w:noHBand="0" w:noVBand="1"/>
      </w:tblPr>
      <w:tblGrid>
        <w:gridCol w:w="2769"/>
        <w:gridCol w:w="1677"/>
        <w:gridCol w:w="1110"/>
        <w:gridCol w:w="1710"/>
        <w:gridCol w:w="1746"/>
      </w:tblGrid>
      <w:tr w:rsidR="00B84603" w:rsidRPr="000A3AAB" w14:paraId="1535E13B" w14:textId="77777777" w:rsidTr="00DD0EF0">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61" w:type="pct"/>
            <w:hideMark/>
          </w:tcPr>
          <w:p w14:paraId="5EFC9467" w14:textId="77777777" w:rsidR="00B84603" w:rsidRPr="000A3AAB" w:rsidRDefault="00B84603" w:rsidP="00AF58E8">
            <w:pPr>
              <w:jc w:val="center"/>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Treatment</w:t>
            </w:r>
          </w:p>
        </w:tc>
        <w:tc>
          <w:tcPr>
            <w:tcW w:w="955" w:type="pct"/>
            <w:hideMark/>
          </w:tcPr>
          <w:p w14:paraId="1AD610DB" w14:textId="77777777" w:rsidR="00B84603" w:rsidRPr="000A3AAB" w:rsidRDefault="00B84603" w:rsidP="00AF58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Germination %</w:t>
            </w:r>
          </w:p>
          <w:p w14:paraId="21516871" w14:textId="77777777" w:rsidR="00B84603" w:rsidRPr="000A3AAB" w:rsidRDefault="00B84603" w:rsidP="00AF58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Mean±SE.</w:t>
            </w:r>
          </w:p>
        </w:tc>
        <w:tc>
          <w:tcPr>
            <w:tcW w:w="518" w:type="pct"/>
            <w:hideMark/>
          </w:tcPr>
          <w:p w14:paraId="4B208A72" w14:textId="77777777" w:rsidR="00B84603" w:rsidRPr="000A3AAB" w:rsidRDefault="00B84603" w:rsidP="00AF58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MGT (Days)</w:t>
            </w:r>
          </w:p>
          <w:p w14:paraId="3A6C179F" w14:textId="77777777" w:rsidR="00B84603" w:rsidRPr="000A3AAB" w:rsidRDefault="00B84603" w:rsidP="00AF58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Mean±SE.</w:t>
            </w:r>
          </w:p>
        </w:tc>
        <w:tc>
          <w:tcPr>
            <w:tcW w:w="973" w:type="pct"/>
            <w:hideMark/>
          </w:tcPr>
          <w:p w14:paraId="5FD3114A" w14:textId="77777777" w:rsidR="00B84603" w:rsidRPr="000A3AAB" w:rsidRDefault="00B84603" w:rsidP="00AF58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Seedling length cm</w:t>
            </w:r>
          </w:p>
          <w:p w14:paraId="3F4B3E9E" w14:textId="77777777" w:rsidR="00B84603" w:rsidRPr="000A3AAB" w:rsidRDefault="00B84603" w:rsidP="00AF58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Mean±SE.</w:t>
            </w:r>
          </w:p>
        </w:tc>
        <w:tc>
          <w:tcPr>
            <w:tcW w:w="993" w:type="pct"/>
            <w:hideMark/>
          </w:tcPr>
          <w:p w14:paraId="44ADFB1B" w14:textId="24D6CD88" w:rsidR="00B84603" w:rsidRPr="000A3AAB" w:rsidRDefault="00B84603" w:rsidP="00AF58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Seedling Vigour Index</w:t>
            </w:r>
          </w:p>
          <w:p w14:paraId="61870E21" w14:textId="77777777" w:rsidR="00B84603" w:rsidRPr="000A3AAB" w:rsidRDefault="00B84603" w:rsidP="00AF58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Mean±SE.</w:t>
            </w:r>
          </w:p>
        </w:tc>
      </w:tr>
      <w:tr w:rsidR="00B84603" w:rsidRPr="000A3AAB" w14:paraId="701054DC" w14:textId="77777777" w:rsidTr="00DD0EF0">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561" w:type="pct"/>
            <w:hideMark/>
          </w:tcPr>
          <w:p w14:paraId="4F0E54B9" w14:textId="77777777" w:rsidR="00B84603" w:rsidRPr="000A3AAB" w:rsidRDefault="00B84603" w:rsidP="00977638">
            <w:pPr>
              <w:jc w:val="both"/>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b w:val="0"/>
                <w:bCs w:val="0"/>
                <w:color w:val="000000"/>
                <w:sz w:val="20"/>
                <w:lang w:eastAsia="en-IN"/>
              </w:rPr>
              <w:t>Forest circle- Chhatarpur, Division- South panna, Range-Pawai, Beat-Chopra</w:t>
            </w:r>
          </w:p>
        </w:tc>
        <w:tc>
          <w:tcPr>
            <w:tcW w:w="955" w:type="pct"/>
            <w:noWrap/>
            <w:hideMark/>
          </w:tcPr>
          <w:p w14:paraId="73D51133"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92.78±1.38</w:t>
            </w:r>
          </w:p>
        </w:tc>
        <w:tc>
          <w:tcPr>
            <w:tcW w:w="518" w:type="pct"/>
            <w:noWrap/>
            <w:hideMark/>
          </w:tcPr>
          <w:p w14:paraId="5001C31E"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7.13±0.47</w:t>
            </w:r>
          </w:p>
        </w:tc>
        <w:tc>
          <w:tcPr>
            <w:tcW w:w="973" w:type="pct"/>
            <w:noWrap/>
            <w:hideMark/>
          </w:tcPr>
          <w:p w14:paraId="6EA73DD2"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44.53±30.25</w:t>
            </w:r>
          </w:p>
        </w:tc>
        <w:tc>
          <w:tcPr>
            <w:tcW w:w="993" w:type="pct"/>
            <w:noWrap/>
            <w:hideMark/>
          </w:tcPr>
          <w:p w14:paraId="20FB9F05"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4056.56±2712.12</w:t>
            </w:r>
          </w:p>
        </w:tc>
      </w:tr>
      <w:tr w:rsidR="00B84603" w:rsidRPr="000A3AAB" w14:paraId="78D03353" w14:textId="77777777" w:rsidTr="00DD0EF0">
        <w:trPr>
          <w:trHeight w:val="525"/>
        </w:trPr>
        <w:tc>
          <w:tcPr>
            <w:cnfStyle w:val="001000000000" w:firstRow="0" w:lastRow="0" w:firstColumn="1" w:lastColumn="0" w:oddVBand="0" w:evenVBand="0" w:oddHBand="0" w:evenHBand="0" w:firstRowFirstColumn="0" w:firstRowLastColumn="0" w:lastRowFirstColumn="0" w:lastRowLastColumn="0"/>
            <w:tcW w:w="1561" w:type="pct"/>
            <w:hideMark/>
          </w:tcPr>
          <w:p w14:paraId="3D947827" w14:textId="4772E24D" w:rsidR="00B84603" w:rsidRPr="000A3AAB" w:rsidRDefault="00B84603" w:rsidP="00977638">
            <w:pPr>
              <w:jc w:val="both"/>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b w:val="0"/>
                <w:bCs w:val="0"/>
                <w:color w:val="000000"/>
                <w:sz w:val="20"/>
                <w:lang w:eastAsia="en-IN"/>
              </w:rPr>
              <w:t>Forest Division- Jabalpur,</w:t>
            </w:r>
            <w:r w:rsidR="00AF58E8" w:rsidRPr="000A3AAB">
              <w:rPr>
                <w:rFonts w:ascii="Times New Roman" w:eastAsia="Times New Roman" w:hAnsi="Times New Roman" w:cs="Times New Roman"/>
                <w:b w:val="0"/>
                <w:bCs w:val="0"/>
                <w:color w:val="000000"/>
                <w:sz w:val="20"/>
                <w:lang w:eastAsia="en-IN"/>
              </w:rPr>
              <w:t xml:space="preserve"> </w:t>
            </w:r>
            <w:r w:rsidRPr="000A3AAB">
              <w:rPr>
                <w:rFonts w:ascii="Times New Roman" w:eastAsia="Times New Roman" w:hAnsi="Times New Roman" w:cs="Times New Roman"/>
                <w:b w:val="0"/>
                <w:bCs w:val="0"/>
                <w:color w:val="000000"/>
                <w:sz w:val="20"/>
                <w:lang w:eastAsia="en-IN"/>
              </w:rPr>
              <w:t>Range-Jabalpur, Beat-</w:t>
            </w:r>
            <w:proofErr w:type="spellStart"/>
            <w:r w:rsidRPr="000A3AAB">
              <w:rPr>
                <w:rFonts w:ascii="Times New Roman" w:eastAsia="Times New Roman" w:hAnsi="Times New Roman" w:cs="Times New Roman"/>
                <w:b w:val="0"/>
                <w:bCs w:val="0"/>
                <w:color w:val="000000"/>
                <w:sz w:val="20"/>
                <w:lang w:eastAsia="en-IN"/>
              </w:rPr>
              <w:t>Barha</w:t>
            </w:r>
            <w:proofErr w:type="spellEnd"/>
            <w:r w:rsidR="000A3AAB">
              <w:rPr>
                <w:rFonts w:ascii="Times New Roman" w:eastAsia="Times New Roman" w:hAnsi="Times New Roman" w:cs="Times New Roman"/>
                <w:b w:val="0"/>
                <w:bCs w:val="0"/>
                <w:color w:val="000000"/>
                <w:sz w:val="20"/>
                <w:lang w:eastAsia="en-IN"/>
              </w:rPr>
              <w:t xml:space="preserve"> </w:t>
            </w:r>
            <w:r w:rsidRPr="000A3AAB">
              <w:rPr>
                <w:rFonts w:ascii="Times New Roman" w:eastAsia="Times New Roman" w:hAnsi="Times New Roman" w:cs="Times New Roman"/>
                <w:b w:val="0"/>
                <w:bCs w:val="0"/>
                <w:color w:val="000000"/>
                <w:sz w:val="20"/>
                <w:lang w:eastAsia="en-IN"/>
              </w:rPr>
              <w:t>(</w:t>
            </w:r>
            <w:proofErr w:type="spellStart"/>
            <w:r w:rsidRPr="000A3AAB">
              <w:rPr>
                <w:rFonts w:ascii="Times New Roman" w:eastAsia="Times New Roman" w:hAnsi="Times New Roman" w:cs="Times New Roman"/>
                <w:b w:val="0"/>
                <w:bCs w:val="0"/>
                <w:color w:val="000000"/>
                <w:sz w:val="20"/>
                <w:lang w:eastAsia="en-IN"/>
              </w:rPr>
              <w:t>Silua</w:t>
            </w:r>
            <w:proofErr w:type="spellEnd"/>
            <w:r w:rsidRPr="000A3AAB">
              <w:rPr>
                <w:rFonts w:ascii="Times New Roman" w:eastAsia="Times New Roman" w:hAnsi="Times New Roman" w:cs="Times New Roman"/>
                <w:b w:val="0"/>
                <w:bCs w:val="0"/>
                <w:color w:val="000000"/>
                <w:sz w:val="20"/>
                <w:lang w:eastAsia="en-IN"/>
              </w:rPr>
              <w:t>)</w:t>
            </w:r>
          </w:p>
        </w:tc>
        <w:tc>
          <w:tcPr>
            <w:tcW w:w="955" w:type="pct"/>
            <w:noWrap/>
            <w:hideMark/>
          </w:tcPr>
          <w:p w14:paraId="03D2504E"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90.00±1.04</w:t>
            </w:r>
          </w:p>
        </w:tc>
        <w:tc>
          <w:tcPr>
            <w:tcW w:w="518" w:type="pct"/>
            <w:noWrap/>
            <w:hideMark/>
          </w:tcPr>
          <w:p w14:paraId="365F7589"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8.84±0.93</w:t>
            </w:r>
          </w:p>
        </w:tc>
        <w:tc>
          <w:tcPr>
            <w:tcW w:w="973" w:type="pct"/>
            <w:noWrap/>
            <w:hideMark/>
          </w:tcPr>
          <w:p w14:paraId="072CE143"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15.83±1.05</w:t>
            </w:r>
          </w:p>
        </w:tc>
        <w:tc>
          <w:tcPr>
            <w:tcW w:w="993" w:type="pct"/>
            <w:noWrap/>
            <w:hideMark/>
          </w:tcPr>
          <w:p w14:paraId="5FCA8EAC"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1424.22±90.76</w:t>
            </w:r>
          </w:p>
        </w:tc>
      </w:tr>
      <w:tr w:rsidR="00B84603" w:rsidRPr="000A3AAB" w14:paraId="536E85EA" w14:textId="77777777" w:rsidTr="00DD0EF0">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561" w:type="pct"/>
            <w:hideMark/>
          </w:tcPr>
          <w:p w14:paraId="664DE4FF" w14:textId="77777777" w:rsidR="00B84603" w:rsidRPr="000A3AAB" w:rsidRDefault="00B84603" w:rsidP="00977638">
            <w:pPr>
              <w:jc w:val="both"/>
              <w:rPr>
                <w:rFonts w:ascii="Times New Roman" w:eastAsia="Times New Roman" w:hAnsi="Times New Roman" w:cs="Times New Roman"/>
                <w:b w:val="0"/>
                <w:bCs w:val="0"/>
                <w:color w:val="000000"/>
                <w:sz w:val="20"/>
                <w:lang w:eastAsia="en-IN"/>
              </w:rPr>
            </w:pPr>
            <w:proofErr w:type="spellStart"/>
            <w:r w:rsidRPr="000A3AAB">
              <w:rPr>
                <w:rFonts w:ascii="Times New Roman" w:eastAsia="Times New Roman" w:hAnsi="Times New Roman" w:cs="Times New Roman"/>
                <w:b w:val="0"/>
                <w:bCs w:val="0"/>
                <w:color w:val="000000"/>
                <w:sz w:val="20"/>
                <w:lang w:eastAsia="en-IN"/>
              </w:rPr>
              <w:t>Chaukhada</w:t>
            </w:r>
            <w:proofErr w:type="spellEnd"/>
            <w:r w:rsidRPr="000A3AAB">
              <w:rPr>
                <w:rFonts w:ascii="Times New Roman" w:eastAsia="Times New Roman" w:hAnsi="Times New Roman" w:cs="Times New Roman"/>
                <w:b w:val="0"/>
                <w:bCs w:val="0"/>
                <w:color w:val="000000"/>
                <w:sz w:val="20"/>
                <w:lang w:eastAsia="en-IN"/>
              </w:rPr>
              <w:t xml:space="preserve"> (MP)</w:t>
            </w:r>
          </w:p>
        </w:tc>
        <w:tc>
          <w:tcPr>
            <w:tcW w:w="955" w:type="pct"/>
            <w:noWrap/>
            <w:hideMark/>
          </w:tcPr>
          <w:p w14:paraId="5556EF90"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92.00±1.59</w:t>
            </w:r>
          </w:p>
        </w:tc>
        <w:tc>
          <w:tcPr>
            <w:tcW w:w="518" w:type="pct"/>
            <w:noWrap/>
            <w:hideMark/>
          </w:tcPr>
          <w:p w14:paraId="03315ADB"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7.61±0.31</w:t>
            </w:r>
          </w:p>
        </w:tc>
        <w:tc>
          <w:tcPr>
            <w:tcW w:w="973" w:type="pct"/>
            <w:noWrap/>
            <w:hideMark/>
          </w:tcPr>
          <w:p w14:paraId="17773A7C"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18.67±2.05</w:t>
            </w:r>
          </w:p>
        </w:tc>
        <w:tc>
          <w:tcPr>
            <w:tcW w:w="993" w:type="pct"/>
            <w:noWrap/>
            <w:hideMark/>
          </w:tcPr>
          <w:p w14:paraId="540B5FFE"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1714.30±179.27</w:t>
            </w:r>
          </w:p>
        </w:tc>
      </w:tr>
      <w:tr w:rsidR="00B84603" w:rsidRPr="000A3AAB" w14:paraId="686F1D17" w14:textId="77777777" w:rsidTr="00DD0EF0">
        <w:trPr>
          <w:trHeight w:val="722"/>
        </w:trPr>
        <w:tc>
          <w:tcPr>
            <w:cnfStyle w:val="001000000000" w:firstRow="0" w:lastRow="0" w:firstColumn="1" w:lastColumn="0" w:oddVBand="0" w:evenVBand="0" w:oddHBand="0" w:evenHBand="0" w:firstRowFirstColumn="0" w:firstRowLastColumn="0" w:lastRowFirstColumn="0" w:lastRowLastColumn="0"/>
            <w:tcW w:w="1561" w:type="pct"/>
            <w:hideMark/>
          </w:tcPr>
          <w:p w14:paraId="52143866" w14:textId="5E73EA8F" w:rsidR="00B84603" w:rsidRPr="000A3AAB" w:rsidRDefault="00B84603" w:rsidP="00977638">
            <w:pPr>
              <w:jc w:val="both"/>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b w:val="0"/>
                <w:bCs w:val="0"/>
                <w:color w:val="000000"/>
                <w:sz w:val="20"/>
                <w:lang w:eastAsia="en-IN"/>
              </w:rPr>
              <w:t>Forest circle-</w:t>
            </w:r>
            <w:r w:rsidR="000A3AAB" w:rsidRPr="000A3AAB">
              <w:rPr>
                <w:rFonts w:ascii="Times New Roman" w:eastAsia="Times New Roman" w:hAnsi="Times New Roman" w:cs="Times New Roman"/>
                <w:b w:val="0"/>
                <w:bCs w:val="0"/>
                <w:color w:val="000000"/>
                <w:sz w:val="20"/>
                <w:lang w:eastAsia="en-IN"/>
              </w:rPr>
              <w:t>Jabalpur, Division</w:t>
            </w:r>
            <w:r w:rsidRPr="000A3AAB">
              <w:rPr>
                <w:rFonts w:ascii="Times New Roman" w:eastAsia="Times New Roman" w:hAnsi="Times New Roman" w:cs="Times New Roman"/>
                <w:b w:val="0"/>
                <w:bCs w:val="0"/>
                <w:color w:val="000000"/>
                <w:sz w:val="20"/>
                <w:lang w:eastAsia="en-IN"/>
              </w:rPr>
              <w:t>-Jabalpur, Range-</w:t>
            </w:r>
            <w:proofErr w:type="spellStart"/>
            <w:r w:rsidRPr="000A3AAB">
              <w:rPr>
                <w:rFonts w:ascii="Times New Roman" w:eastAsia="Times New Roman" w:hAnsi="Times New Roman" w:cs="Times New Roman"/>
                <w:b w:val="0"/>
                <w:bCs w:val="0"/>
                <w:color w:val="000000"/>
                <w:sz w:val="20"/>
                <w:lang w:eastAsia="en-IN"/>
              </w:rPr>
              <w:t>Panager</w:t>
            </w:r>
            <w:proofErr w:type="spellEnd"/>
            <w:r w:rsidRPr="000A3AAB">
              <w:rPr>
                <w:rFonts w:ascii="Times New Roman" w:eastAsia="Times New Roman" w:hAnsi="Times New Roman" w:cs="Times New Roman"/>
                <w:b w:val="0"/>
                <w:bCs w:val="0"/>
                <w:color w:val="000000"/>
                <w:sz w:val="20"/>
                <w:lang w:eastAsia="en-IN"/>
              </w:rPr>
              <w:t xml:space="preserve"> Beat-</w:t>
            </w:r>
            <w:proofErr w:type="spellStart"/>
            <w:r w:rsidRPr="000A3AAB">
              <w:rPr>
                <w:rFonts w:ascii="Times New Roman" w:eastAsia="Times New Roman" w:hAnsi="Times New Roman" w:cs="Times New Roman"/>
                <w:b w:val="0"/>
                <w:bCs w:val="0"/>
                <w:color w:val="000000"/>
                <w:sz w:val="20"/>
                <w:lang w:eastAsia="en-IN"/>
              </w:rPr>
              <w:t>Pariyat</w:t>
            </w:r>
            <w:proofErr w:type="spellEnd"/>
            <w:r w:rsidRPr="000A3AAB">
              <w:rPr>
                <w:rFonts w:ascii="Times New Roman" w:eastAsia="Times New Roman" w:hAnsi="Times New Roman" w:cs="Times New Roman"/>
                <w:b w:val="0"/>
                <w:bCs w:val="0"/>
                <w:color w:val="000000"/>
                <w:sz w:val="20"/>
                <w:lang w:eastAsia="en-IN"/>
              </w:rPr>
              <w:t>, (Khamriya)</w:t>
            </w:r>
          </w:p>
        </w:tc>
        <w:tc>
          <w:tcPr>
            <w:tcW w:w="955" w:type="pct"/>
            <w:noWrap/>
            <w:hideMark/>
          </w:tcPr>
          <w:p w14:paraId="6CC48B73"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94.31±0.83</w:t>
            </w:r>
          </w:p>
        </w:tc>
        <w:tc>
          <w:tcPr>
            <w:tcW w:w="518" w:type="pct"/>
            <w:noWrap/>
            <w:hideMark/>
          </w:tcPr>
          <w:p w14:paraId="4B26B848"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7.36±0.72</w:t>
            </w:r>
          </w:p>
        </w:tc>
        <w:tc>
          <w:tcPr>
            <w:tcW w:w="973" w:type="pct"/>
            <w:noWrap/>
            <w:hideMark/>
          </w:tcPr>
          <w:p w14:paraId="27788597"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20.28±2.78</w:t>
            </w:r>
          </w:p>
        </w:tc>
        <w:tc>
          <w:tcPr>
            <w:tcW w:w="993" w:type="pct"/>
            <w:noWrap/>
            <w:hideMark/>
          </w:tcPr>
          <w:p w14:paraId="55A9A6C1"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1913.64±264.27</w:t>
            </w:r>
          </w:p>
        </w:tc>
      </w:tr>
      <w:tr w:rsidR="00B84603" w:rsidRPr="000A3AAB" w14:paraId="1489CDEC" w14:textId="77777777" w:rsidTr="00DD0EF0">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561" w:type="pct"/>
            <w:hideMark/>
          </w:tcPr>
          <w:p w14:paraId="09BBF98A" w14:textId="2B43146A" w:rsidR="00B84603" w:rsidRPr="000A3AAB" w:rsidRDefault="00B84603" w:rsidP="00977638">
            <w:pPr>
              <w:jc w:val="both"/>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b w:val="0"/>
                <w:bCs w:val="0"/>
                <w:color w:val="000000"/>
                <w:sz w:val="20"/>
                <w:lang w:eastAsia="en-IN"/>
              </w:rPr>
              <w:t>Forest circle-</w:t>
            </w:r>
            <w:r w:rsidR="000A3AAB" w:rsidRPr="000A3AAB">
              <w:rPr>
                <w:rFonts w:ascii="Times New Roman" w:eastAsia="Times New Roman" w:hAnsi="Times New Roman" w:cs="Times New Roman"/>
                <w:b w:val="0"/>
                <w:bCs w:val="0"/>
                <w:color w:val="000000"/>
                <w:sz w:val="20"/>
                <w:lang w:eastAsia="en-IN"/>
              </w:rPr>
              <w:t>Jabalpur, Division</w:t>
            </w:r>
            <w:r w:rsidRPr="000A3AAB">
              <w:rPr>
                <w:rFonts w:ascii="Times New Roman" w:eastAsia="Times New Roman" w:hAnsi="Times New Roman" w:cs="Times New Roman"/>
                <w:b w:val="0"/>
                <w:bCs w:val="0"/>
                <w:color w:val="000000"/>
                <w:sz w:val="20"/>
                <w:lang w:eastAsia="en-IN"/>
              </w:rPr>
              <w:t xml:space="preserve">-West </w:t>
            </w:r>
            <w:r w:rsidR="000A3AAB">
              <w:rPr>
                <w:rFonts w:ascii="Times New Roman" w:eastAsia="Times New Roman" w:hAnsi="Times New Roman" w:cs="Times New Roman"/>
                <w:b w:val="0"/>
                <w:bCs w:val="0"/>
                <w:color w:val="000000"/>
                <w:sz w:val="20"/>
                <w:lang w:eastAsia="en-IN"/>
              </w:rPr>
              <w:t>M</w:t>
            </w:r>
            <w:r w:rsidRPr="000A3AAB">
              <w:rPr>
                <w:rFonts w:ascii="Times New Roman" w:eastAsia="Times New Roman" w:hAnsi="Times New Roman" w:cs="Times New Roman"/>
                <w:b w:val="0"/>
                <w:bCs w:val="0"/>
                <w:color w:val="000000"/>
                <w:sz w:val="20"/>
                <w:lang w:eastAsia="en-IN"/>
              </w:rPr>
              <w:t>andla, Range-</w:t>
            </w:r>
            <w:proofErr w:type="spellStart"/>
            <w:r w:rsidRPr="000A3AAB">
              <w:rPr>
                <w:rFonts w:ascii="Times New Roman" w:eastAsia="Times New Roman" w:hAnsi="Times New Roman" w:cs="Times New Roman"/>
                <w:b w:val="0"/>
                <w:bCs w:val="0"/>
                <w:color w:val="000000"/>
                <w:sz w:val="20"/>
                <w:lang w:eastAsia="en-IN"/>
              </w:rPr>
              <w:t>Beejadandi</w:t>
            </w:r>
            <w:proofErr w:type="spellEnd"/>
            <w:r w:rsidRPr="000A3AAB">
              <w:rPr>
                <w:rFonts w:ascii="Times New Roman" w:eastAsia="Times New Roman" w:hAnsi="Times New Roman" w:cs="Times New Roman"/>
                <w:b w:val="0"/>
                <w:bCs w:val="0"/>
                <w:color w:val="000000"/>
                <w:sz w:val="20"/>
                <w:lang w:eastAsia="en-IN"/>
              </w:rPr>
              <w:t>, Beat-</w:t>
            </w:r>
            <w:proofErr w:type="spellStart"/>
            <w:r w:rsidRPr="000A3AAB">
              <w:rPr>
                <w:rFonts w:ascii="Times New Roman" w:eastAsia="Times New Roman" w:hAnsi="Times New Roman" w:cs="Times New Roman"/>
                <w:b w:val="0"/>
                <w:bCs w:val="0"/>
                <w:color w:val="000000"/>
                <w:sz w:val="20"/>
                <w:lang w:eastAsia="en-IN"/>
              </w:rPr>
              <w:t>Dhanwahi</w:t>
            </w:r>
            <w:proofErr w:type="spellEnd"/>
          </w:p>
        </w:tc>
        <w:tc>
          <w:tcPr>
            <w:tcW w:w="955" w:type="pct"/>
            <w:noWrap/>
            <w:hideMark/>
          </w:tcPr>
          <w:p w14:paraId="0B60D21E"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90.90±3.92</w:t>
            </w:r>
          </w:p>
        </w:tc>
        <w:tc>
          <w:tcPr>
            <w:tcW w:w="518" w:type="pct"/>
            <w:noWrap/>
            <w:hideMark/>
          </w:tcPr>
          <w:p w14:paraId="1C69781B"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8.41±0.51</w:t>
            </w:r>
          </w:p>
        </w:tc>
        <w:tc>
          <w:tcPr>
            <w:tcW w:w="973" w:type="pct"/>
            <w:noWrap/>
            <w:hideMark/>
          </w:tcPr>
          <w:p w14:paraId="153167EC"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23.31±0.84</w:t>
            </w:r>
          </w:p>
        </w:tc>
        <w:tc>
          <w:tcPr>
            <w:tcW w:w="993" w:type="pct"/>
            <w:noWrap/>
            <w:hideMark/>
          </w:tcPr>
          <w:p w14:paraId="236C807C"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2122.95±148.37</w:t>
            </w:r>
          </w:p>
        </w:tc>
      </w:tr>
      <w:tr w:rsidR="00B84603" w:rsidRPr="000A3AAB" w14:paraId="33A88874" w14:textId="77777777" w:rsidTr="00DD0EF0">
        <w:trPr>
          <w:trHeight w:val="68"/>
        </w:trPr>
        <w:tc>
          <w:tcPr>
            <w:cnfStyle w:val="001000000000" w:firstRow="0" w:lastRow="0" w:firstColumn="1" w:lastColumn="0" w:oddVBand="0" w:evenVBand="0" w:oddHBand="0" w:evenHBand="0" w:firstRowFirstColumn="0" w:firstRowLastColumn="0" w:lastRowFirstColumn="0" w:lastRowLastColumn="0"/>
            <w:tcW w:w="1561" w:type="pct"/>
            <w:hideMark/>
          </w:tcPr>
          <w:p w14:paraId="05AD850B" w14:textId="77777777" w:rsidR="00B84603" w:rsidRPr="000A3AAB" w:rsidRDefault="00B84603" w:rsidP="00977638">
            <w:pPr>
              <w:jc w:val="both"/>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C.D.</w:t>
            </w:r>
          </w:p>
        </w:tc>
        <w:tc>
          <w:tcPr>
            <w:tcW w:w="955" w:type="pct"/>
            <w:hideMark/>
          </w:tcPr>
          <w:p w14:paraId="6CD5B436"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N/A</w:t>
            </w:r>
          </w:p>
        </w:tc>
        <w:tc>
          <w:tcPr>
            <w:tcW w:w="518" w:type="pct"/>
            <w:hideMark/>
          </w:tcPr>
          <w:p w14:paraId="5D6F64D1"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N/A</w:t>
            </w:r>
          </w:p>
        </w:tc>
        <w:tc>
          <w:tcPr>
            <w:tcW w:w="973" w:type="pct"/>
            <w:hideMark/>
          </w:tcPr>
          <w:p w14:paraId="157B80AB"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N/A</w:t>
            </w:r>
          </w:p>
        </w:tc>
        <w:tc>
          <w:tcPr>
            <w:tcW w:w="993" w:type="pct"/>
            <w:hideMark/>
          </w:tcPr>
          <w:p w14:paraId="3E03D253"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N/A</w:t>
            </w:r>
          </w:p>
        </w:tc>
      </w:tr>
      <w:tr w:rsidR="00B84603" w:rsidRPr="000A3AAB" w14:paraId="70052435" w14:textId="77777777" w:rsidTr="00DD0EF0">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561" w:type="pct"/>
            <w:hideMark/>
          </w:tcPr>
          <w:p w14:paraId="63879CDC" w14:textId="77777777" w:rsidR="00B84603" w:rsidRPr="000A3AAB" w:rsidRDefault="00B84603" w:rsidP="00977638">
            <w:pPr>
              <w:jc w:val="both"/>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SE(m)</w:t>
            </w:r>
          </w:p>
        </w:tc>
        <w:tc>
          <w:tcPr>
            <w:tcW w:w="955" w:type="pct"/>
            <w:hideMark/>
          </w:tcPr>
          <w:p w14:paraId="64999224"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2.08</w:t>
            </w:r>
          </w:p>
        </w:tc>
        <w:tc>
          <w:tcPr>
            <w:tcW w:w="518" w:type="pct"/>
            <w:hideMark/>
          </w:tcPr>
          <w:p w14:paraId="72885055"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0.63</w:t>
            </w:r>
          </w:p>
        </w:tc>
        <w:tc>
          <w:tcPr>
            <w:tcW w:w="973" w:type="pct"/>
            <w:hideMark/>
          </w:tcPr>
          <w:p w14:paraId="727EC43D"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13.63</w:t>
            </w:r>
          </w:p>
        </w:tc>
        <w:tc>
          <w:tcPr>
            <w:tcW w:w="993" w:type="pct"/>
            <w:hideMark/>
          </w:tcPr>
          <w:p w14:paraId="043B3FA4"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1223.75</w:t>
            </w:r>
          </w:p>
        </w:tc>
      </w:tr>
      <w:tr w:rsidR="00B84603" w:rsidRPr="000A3AAB" w14:paraId="4F72F791" w14:textId="77777777" w:rsidTr="00DD0EF0">
        <w:trPr>
          <w:trHeight w:val="68"/>
        </w:trPr>
        <w:tc>
          <w:tcPr>
            <w:cnfStyle w:val="001000000000" w:firstRow="0" w:lastRow="0" w:firstColumn="1" w:lastColumn="0" w:oddVBand="0" w:evenVBand="0" w:oddHBand="0" w:evenHBand="0" w:firstRowFirstColumn="0" w:firstRowLastColumn="0" w:lastRowFirstColumn="0" w:lastRowLastColumn="0"/>
            <w:tcW w:w="1561" w:type="pct"/>
            <w:hideMark/>
          </w:tcPr>
          <w:p w14:paraId="104AF6D9" w14:textId="77777777" w:rsidR="00B84603" w:rsidRPr="000A3AAB" w:rsidRDefault="00B84603" w:rsidP="00977638">
            <w:pPr>
              <w:jc w:val="both"/>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C.V.</w:t>
            </w:r>
          </w:p>
        </w:tc>
        <w:tc>
          <w:tcPr>
            <w:tcW w:w="955" w:type="pct"/>
            <w:hideMark/>
          </w:tcPr>
          <w:p w14:paraId="26ECA465"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3.91</w:t>
            </w:r>
          </w:p>
        </w:tc>
        <w:tc>
          <w:tcPr>
            <w:tcW w:w="518" w:type="pct"/>
            <w:hideMark/>
          </w:tcPr>
          <w:p w14:paraId="5F6B8E0E"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13.75</w:t>
            </w:r>
          </w:p>
        </w:tc>
        <w:tc>
          <w:tcPr>
            <w:tcW w:w="973" w:type="pct"/>
            <w:hideMark/>
          </w:tcPr>
          <w:p w14:paraId="3C35A759"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96.27</w:t>
            </w:r>
          </w:p>
        </w:tc>
        <w:tc>
          <w:tcPr>
            <w:tcW w:w="993" w:type="pct"/>
            <w:hideMark/>
          </w:tcPr>
          <w:p w14:paraId="7161C943" w14:textId="77777777" w:rsidR="00B84603" w:rsidRPr="000A3AAB" w:rsidRDefault="00B84603" w:rsidP="0097763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94.36</w:t>
            </w:r>
          </w:p>
        </w:tc>
      </w:tr>
      <w:tr w:rsidR="00B84603" w:rsidRPr="000A3AAB" w14:paraId="305D8E4D" w14:textId="77777777" w:rsidTr="00DD0EF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561" w:type="pct"/>
            <w:hideMark/>
          </w:tcPr>
          <w:p w14:paraId="089042A1" w14:textId="77777777" w:rsidR="00B84603" w:rsidRPr="000A3AAB" w:rsidRDefault="00B84603" w:rsidP="00977638">
            <w:pPr>
              <w:jc w:val="both"/>
              <w:rPr>
                <w:rFonts w:ascii="Times New Roman" w:eastAsia="Times New Roman" w:hAnsi="Times New Roman" w:cs="Times New Roman"/>
                <w:b w:val="0"/>
                <w:bCs w:val="0"/>
                <w:color w:val="000000"/>
                <w:sz w:val="20"/>
                <w:lang w:eastAsia="en-IN"/>
              </w:rPr>
            </w:pPr>
            <w:r w:rsidRPr="000A3AAB">
              <w:rPr>
                <w:rFonts w:ascii="Times New Roman" w:eastAsia="Times New Roman" w:hAnsi="Times New Roman" w:cs="Times New Roman"/>
                <w:color w:val="000000"/>
                <w:sz w:val="20"/>
                <w:lang w:eastAsia="en-IN"/>
              </w:rPr>
              <w:t>F-Calculated</w:t>
            </w:r>
          </w:p>
        </w:tc>
        <w:tc>
          <w:tcPr>
            <w:tcW w:w="955" w:type="pct"/>
            <w:hideMark/>
          </w:tcPr>
          <w:p w14:paraId="2158E2DF"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0.647NS</w:t>
            </w:r>
          </w:p>
        </w:tc>
        <w:tc>
          <w:tcPr>
            <w:tcW w:w="518" w:type="pct"/>
            <w:hideMark/>
          </w:tcPr>
          <w:p w14:paraId="6A044A51"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1.345NS</w:t>
            </w:r>
          </w:p>
        </w:tc>
        <w:tc>
          <w:tcPr>
            <w:tcW w:w="973" w:type="pct"/>
            <w:hideMark/>
          </w:tcPr>
          <w:p w14:paraId="41A4064D"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0.713NS</w:t>
            </w:r>
          </w:p>
        </w:tc>
        <w:tc>
          <w:tcPr>
            <w:tcW w:w="993" w:type="pct"/>
            <w:hideMark/>
          </w:tcPr>
          <w:p w14:paraId="4C92A1FF" w14:textId="77777777" w:rsidR="00B84603" w:rsidRPr="000A3AAB" w:rsidRDefault="00B84603" w:rsidP="0097763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n-IN"/>
              </w:rPr>
            </w:pPr>
            <w:r w:rsidRPr="000A3AAB">
              <w:rPr>
                <w:rFonts w:ascii="Times New Roman" w:eastAsia="Times New Roman" w:hAnsi="Times New Roman" w:cs="Times New Roman"/>
                <w:color w:val="000000"/>
                <w:sz w:val="20"/>
                <w:lang w:eastAsia="en-IN"/>
              </w:rPr>
              <w:t>0.728NS</w:t>
            </w:r>
          </w:p>
        </w:tc>
      </w:tr>
    </w:tbl>
    <w:p w14:paraId="172E66EC" w14:textId="5B63B70E" w:rsidR="00B84603" w:rsidRPr="009F44DD" w:rsidRDefault="009B0B2A" w:rsidP="00977638">
      <w:pPr>
        <w:spacing w:before="100" w:beforeAutospacing="1" w:after="100" w:afterAutospacing="1"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3.6 </w:t>
      </w:r>
      <w:r w:rsidR="00B84603" w:rsidRPr="009F44DD">
        <w:rPr>
          <w:rFonts w:ascii="Times New Roman" w:hAnsi="Times New Roman" w:cs="Times New Roman"/>
          <w:b/>
          <w:bCs/>
          <w:color w:val="000000" w:themeColor="text1"/>
          <w:sz w:val="24"/>
          <w:szCs w:val="24"/>
        </w:rPr>
        <w:t>Seed Storage and Conservation Strategies</w:t>
      </w:r>
      <w:r w:rsidR="00DD0EF0">
        <w:rPr>
          <w:rFonts w:ascii="Times New Roman" w:hAnsi="Times New Roman" w:cs="Times New Roman"/>
          <w:b/>
          <w:bCs/>
          <w:color w:val="000000" w:themeColor="text1"/>
          <w:sz w:val="24"/>
          <w:szCs w:val="24"/>
        </w:rPr>
        <w:t xml:space="preserve">: </w:t>
      </w:r>
      <w:r w:rsidR="00DD0EF0" w:rsidRPr="00DD0EF0">
        <w:rPr>
          <w:rFonts w:ascii="Times New Roman" w:hAnsi="Times New Roman" w:cs="Times New Roman"/>
          <w:color w:val="000000" w:themeColor="text1"/>
          <w:sz w:val="24"/>
          <w:szCs w:val="24"/>
        </w:rPr>
        <w:t xml:space="preserve">The storage and conservation of </w:t>
      </w:r>
      <w:r w:rsidR="00DD0EF0" w:rsidRPr="00DD0EF0">
        <w:rPr>
          <w:rFonts w:ascii="Times New Roman" w:hAnsi="Times New Roman" w:cs="Times New Roman"/>
          <w:i/>
          <w:iCs/>
          <w:color w:val="000000" w:themeColor="text1"/>
          <w:sz w:val="24"/>
          <w:szCs w:val="24"/>
        </w:rPr>
        <w:t>Butea monosperma</w:t>
      </w:r>
      <w:r w:rsidR="00DD0EF0" w:rsidRPr="00DD0EF0">
        <w:rPr>
          <w:rFonts w:ascii="Times New Roman" w:hAnsi="Times New Roman" w:cs="Times New Roman"/>
          <w:color w:val="000000" w:themeColor="text1"/>
          <w:sz w:val="24"/>
          <w:szCs w:val="24"/>
        </w:rPr>
        <w:t xml:space="preserve"> seeds are strongly influenced by moisture content, temperature, and storage </w:t>
      </w:r>
      <w:r w:rsidR="00DD0EF0" w:rsidRPr="00DD0EF0">
        <w:rPr>
          <w:rFonts w:ascii="Times New Roman" w:hAnsi="Times New Roman" w:cs="Times New Roman"/>
          <w:color w:val="000000" w:themeColor="text1"/>
          <w:sz w:val="24"/>
          <w:szCs w:val="24"/>
        </w:rPr>
        <w:lastRenderedPageBreak/>
        <w:t>duration, all of which significantly affect germination, seedling growth, and vigour</w:t>
      </w:r>
      <w:r w:rsidR="000A3AAB">
        <w:rPr>
          <w:rFonts w:ascii="Times New Roman" w:hAnsi="Times New Roman" w:cs="Times New Roman"/>
          <w:color w:val="000000" w:themeColor="text1"/>
          <w:sz w:val="24"/>
          <w:szCs w:val="24"/>
        </w:rPr>
        <w:t xml:space="preserve"> (Figure 3,4,5)</w:t>
      </w:r>
      <w:r w:rsidR="00DD0EF0" w:rsidRPr="00DD0EF0">
        <w:rPr>
          <w:rFonts w:ascii="Times New Roman" w:hAnsi="Times New Roman" w:cs="Times New Roman"/>
          <w:color w:val="000000" w:themeColor="text1"/>
          <w:sz w:val="24"/>
          <w:szCs w:val="24"/>
        </w:rPr>
        <w:t xml:space="preserve">. Initial germination was high (93.33–98.33%) across treatments, but prolonged storage led to declines, particularly at higher moisture (9%) and room temperature (RT), where germination dropped to 53.33% after 36 months. Seeds with lower moisture content (3.73%) maintained better viability, with 81.33% germination under RT and 70.67–78.33% under 5°C storage. Seedling length and Seed Vigour Index I (SVI I) followed similar trends, with higher moisture content and RT causing rapid reductions over time, while seeds stored at 3.73% moisture and cooler temperatures (5°C or 15°C) retained greater growth potential and vigour. Statistical analyses confirmed that storage duration had the strongest effect (F &gt; 200, P &lt; 0.001), followed by moisture content, with significant interactions between moisture, temperature, and storage period. Overall, optimal long-term preservation of </w:t>
      </w:r>
      <w:r w:rsidR="00DD0EF0" w:rsidRPr="00DD0EF0">
        <w:rPr>
          <w:rFonts w:ascii="Times New Roman" w:hAnsi="Times New Roman" w:cs="Times New Roman"/>
          <w:i/>
          <w:iCs/>
          <w:color w:val="000000" w:themeColor="text1"/>
          <w:sz w:val="24"/>
          <w:szCs w:val="24"/>
        </w:rPr>
        <w:t>Butea monosperma</w:t>
      </w:r>
      <w:r w:rsidR="00DD0EF0" w:rsidRPr="00DD0EF0">
        <w:rPr>
          <w:rFonts w:ascii="Times New Roman" w:hAnsi="Times New Roman" w:cs="Times New Roman"/>
          <w:color w:val="000000" w:themeColor="text1"/>
          <w:sz w:val="24"/>
          <w:szCs w:val="24"/>
        </w:rPr>
        <w:t xml:space="preserve"> seeds requires low moisture content (≈3.73%) combined with cool storage at 5°C, ensuring sustained germination capacity, seedling growth, and vigour for successful regeneration and propagation.</w:t>
      </w:r>
    </w:p>
    <w:p w14:paraId="58CD5897" w14:textId="77777777" w:rsidR="00B84603" w:rsidRPr="009F44DD" w:rsidRDefault="00B84603" w:rsidP="0026135F">
      <w:pPr>
        <w:spacing w:line="360" w:lineRule="auto"/>
        <w:jc w:val="center"/>
        <w:rPr>
          <w:rFonts w:ascii="Times New Roman" w:hAnsi="Times New Roman" w:cs="Times New Roman"/>
          <w:b/>
          <w:bCs/>
          <w:i/>
          <w:iCs/>
          <w:color w:val="000000" w:themeColor="text1"/>
          <w:sz w:val="24"/>
          <w:szCs w:val="24"/>
        </w:rPr>
      </w:pPr>
      <w:r w:rsidRPr="009F44DD">
        <w:rPr>
          <w:rFonts w:ascii="Times New Roman" w:hAnsi="Times New Roman" w:cs="Times New Roman"/>
          <w:noProof/>
          <w:sz w:val="24"/>
          <w:szCs w:val="24"/>
          <w:lang w:eastAsia="en-IN" w:bidi="ar-SA"/>
        </w:rPr>
        <w:drawing>
          <wp:inline distT="0" distB="0" distL="0" distR="0" wp14:anchorId="1D8609BC" wp14:editId="3A303302">
            <wp:extent cx="4681855" cy="3188473"/>
            <wp:effectExtent l="0" t="0" r="444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CC892C" w14:textId="0D6CCD8C" w:rsidR="00B84603" w:rsidRPr="009F44DD" w:rsidRDefault="0026135F" w:rsidP="008D0A33">
      <w:pPr>
        <w:jc w:val="center"/>
        <w:rPr>
          <w:rFonts w:ascii="Times New Roman" w:hAnsi="Times New Roman" w:cs="Times New Roman"/>
          <w:b/>
          <w:bCs/>
          <w:iCs/>
          <w:color w:val="000000" w:themeColor="text1"/>
          <w:sz w:val="24"/>
          <w:szCs w:val="24"/>
        </w:rPr>
      </w:pPr>
      <w:r w:rsidRPr="009F44DD">
        <w:rPr>
          <w:rFonts w:ascii="Times New Roman" w:hAnsi="Times New Roman" w:cs="Times New Roman"/>
          <w:b/>
          <w:bCs/>
          <w:color w:val="000000" w:themeColor="text1"/>
          <w:sz w:val="24"/>
          <w:szCs w:val="24"/>
        </w:rPr>
        <w:t xml:space="preserve">Figure </w:t>
      </w:r>
      <w:r w:rsidR="000A3AAB">
        <w:rPr>
          <w:rFonts w:ascii="Times New Roman" w:hAnsi="Times New Roman" w:cs="Times New Roman"/>
          <w:b/>
          <w:bCs/>
          <w:color w:val="000000" w:themeColor="text1"/>
          <w:sz w:val="24"/>
          <w:szCs w:val="24"/>
        </w:rPr>
        <w:t>3</w:t>
      </w:r>
      <w:r w:rsidR="00B84603" w:rsidRPr="009F44DD">
        <w:rPr>
          <w:rFonts w:ascii="Times New Roman" w:hAnsi="Times New Roman" w:cs="Times New Roman"/>
          <w:b/>
          <w:bCs/>
          <w:color w:val="000000" w:themeColor="text1"/>
          <w:sz w:val="24"/>
          <w:szCs w:val="24"/>
        </w:rPr>
        <w:t>:</w:t>
      </w:r>
      <w:r w:rsidR="00B84603" w:rsidRPr="009F44DD">
        <w:rPr>
          <w:rFonts w:ascii="Times New Roman" w:hAnsi="Times New Roman" w:cs="Times New Roman"/>
          <w:color w:val="000000" w:themeColor="text1"/>
          <w:sz w:val="24"/>
          <w:szCs w:val="24"/>
        </w:rPr>
        <w:t xml:space="preserve"> </w:t>
      </w:r>
      <w:r w:rsidR="00B84603" w:rsidRPr="000A3AAB">
        <w:rPr>
          <w:rFonts w:ascii="Times New Roman" w:hAnsi="Times New Roman" w:cs="Times New Roman"/>
          <w:bCs/>
          <w:color w:val="000000" w:themeColor="text1"/>
          <w:sz w:val="24"/>
          <w:szCs w:val="24"/>
        </w:rPr>
        <w:t xml:space="preserve">Impact of Moisture Content, Temperature, and Storage Time on Seed </w:t>
      </w:r>
      <w:r w:rsidR="00B84603" w:rsidRPr="000A3AAB">
        <w:rPr>
          <w:rFonts w:ascii="Times New Roman" w:eastAsia="Times New Roman" w:hAnsi="Times New Roman" w:cs="Times New Roman"/>
          <w:bCs/>
          <w:color w:val="000000" w:themeColor="text1"/>
          <w:sz w:val="24"/>
          <w:szCs w:val="24"/>
        </w:rPr>
        <w:t>Germination %</w:t>
      </w:r>
      <w:r w:rsidR="00B84603" w:rsidRPr="009F44DD">
        <w:rPr>
          <w:rFonts w:ascii="Times New Roman" w:eastAsia="Times New Roman" w:hAnsi="Times New Roman" w:cs="Times New Roman"/>
          <w:b/>
          <w:color w:val="000000" w:themeColor="text1"/>
          <w:sz w:val="24"/>
          <w:szCs w:val="24"/>
        </w:rPr>
        <w:t xml:space="preserve"> </w:t>
      </w:r>
    </w:p>
    <w:p w14:paraId="43D23BED" w14:textId="77777777" w:rsidR="00B84603" w:rsidRPr="009F44DD" w:rsidRDefault="00B84603" w:rsidP="0026135F">
      <w:pPr>
        <w:spacing w:before="100" w:beforeAutospacing="1" w:after="100" w:afterAutospacing="1" w:line="240" w:lineRule="auto"/>
        <w:jc w:val="center"/>
        <w:rPr>
          <w:rFonts w:ascii="Times New Roman" w:eastAsia="Times New Roman" w:hAnsi="Times New Roman" w:cs="Times New Roman"/>
          <w:b/>
          <w:bCs/>
          <w:iCs/>
          <w:color w:val="000000" w:themeColor="text1"/>
          <w:sz w:val="24"/>
          <w:szCs w:val="24"/>
        </w:rPr>
      </w:pPr>
      <w:r w:rsidRPr="009F44DD">
        <w:rPr>
          <w:rFonts w:ascii="Times New Roman" w:hAnsi="Times New Roman" w:cs="Times New Roman"/>
          <w:noProof/>
          <w:sz w:val="24"/>
          <w:szCs w:val="24"/>
          <w:lang w:eastAsia="en-IN" w:bidi="ar-SA"/>
        </w:rPr>
        <w:lastRenderedPageBreak/>
        <w:drawing>
          <wp:inline distT="0" distB="0" distL="0" distR="0" wp14:anchorId="6621B907" wp14:editId="3A51AC8E">
            <wp:extent cx="4665842" cy="3005455"/>
            <wp:effectExtent l="0" t="0" r="1905"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51C25E" w14:textId="22161F78" w:rsidR="00B84603" w:rsidRPr="009F44DD" w:rsidRDefault="0026135F" w:rsidP="008D0A33">
      <w:pPr>
        <w:spacing w:before="100" w:beforeAutospacing="1" w:after="100" w:afterAutospacing="1" w:line="240" w:lineRule="auto"/>
        <w:jc w:val="center"/>
        <w:rPr>
          <w:rFonts w:ascii="Times New Roman" w:hAnsi="Times New Roman" w:cs="Times New Roman"/>
          <w:b/>
          <w:color w:val="000000" w:themeColor="text1"/>
          <w:sz w:val="24"/>
          <w:szCs w:val="24"/>
        </w:rPr>
      </w:pPr>
      <w:r w:rsidRPr="009F44DD">
        <w:rPr>
          <w:rStyle w:val="Heading3Char"/>
          <w:rFonts w:ascii="Times New Roman" w:hAnsi="Times New Roman" w:cs="Times New Roman"/>
          <w:b/>
          <w:bCs/>
          <w:color w:val="000000" w:themeColor="text1"/>
          <w:sz w:val="24"/>
          <w:szCs w:val="24"/>
        </w:rPr>
        <w:t xml:space="preserve">Figure </w:t>
      </w:r>
      <w:r w:rsidR="000A3AAB">
        <w:rPr>
          <w:rStyle w:val="Heading3Char"/>
          <w:rFonts w:ascii="Times New Roman" w:hAnsi="Times New Roman" w:cs="Times New Roman"/>
          <w:b/>
          <w:bCs/>
          <w:color w:val="000000" w:themeColor="text1"/>
          <w:sz w:val="24"/>
          <w:szCs w:val="24"/>
        </w:rPr>
        <w:t>4</w:t>
      </w:r>
      <w:r w:rsidR="00B84603" w:rsidRPr="009F44DD">
        <w:rPr>
          <w:rStyle w:val="Heading3Char"/>
          <w:rFonts w:ascii="Times New Roman" w:hAnsi="Times New Roman" w:cs="Times New Roman"/>
          <w:b/>
          <w:bCs/>
          <w:color w:val="000000" w:themeColor="text1"/>
          <w:sz w:val="24"/>
          <w:szCs w:val="24"/>
        </w:rPr>
        <w:t>:</w:t>
      </w:r>
      <w:r w:rsidR="00B84603" w:rsidRPr="009F44DD">
        <w:rPr>
          <w:rFonts w:ascii="Times New Roman" w:hAnsi="Times New Roman" w:cs="Times New Roman"/>
          <w:b/>
          <w:bCs/>
          <w:color w:val="000000" w:themeColor="text1"/>
          <w:sz w:val="24"/>
          <w:szCs w:val="24"/>
          <w:lang w:val="en-US"/>
        </w:rPr>
        <w:t xml:space="preserve"> </w:t>
      </w:r>
      <w:r w:rsidR="00B84603" w:rsidRPr="000A3AAB">
        <w:rPr>
          <w:rFonts w:ascii="Times New Roman" w:hAnsi="Times New Roman" w:cs="Times New Roman"/>
          <w:color w:val="000000" w:themeColor="text1"/>
          <w:sz w:val="24"/>
          <w:szCs w:val="24"/>
        </w:rPr>
        <w:t xml:space="preserve">Impact of Moisture Content, Temperature, and Storage Time on the </w:t>
      </w:r>
      <w:r w:rsidR="00B84603" w:rsidRPr="000A3AAB">
        <w:rPr>
          <w:rFonts w:ascii="Times New Roman" w:eastAsia="Times New Roman" w:hAnsi="Times New Roman" w:cs="Times New Roman"/>
          <w:color w:val="000000" w:themeColor="text1"/>
          <w:sz w:val="24"/>
          <w:szCs w:val="24"/>
        </w:rPr>
        <w:t>Seedling length (cm)</w:t>
      </w:r>
      <w:r w:rsidR="00B84603" w:rsidRPr="009F44DD">
        <w:rPr>
          <w:rFonts w:ascii="Times New Roman" w:hAnsi="Times New Roman" w:cs="Times New Roman"/>
          <w:b/>
          <w:bCs/>
          <w:color w:val="000000" w:themeColor="text1"/>
          <w:sz w:val="24"/>
          <w:szCs w:val="24"/>
        </w:rPr>
        <w:t xml:space="preserve"> </w:t>
      </w:r>
      <w:r w:rsidR="00B84603" w:rsidRPr="009F44DD">
        <w:rPr>
          <w:rFonts w:ascii="Times New Roman" w:eastAsia="Times New Roman" w:hAnsi="Times New Roman" w:cs="Times New Roman"/>
          <w:b/>
          <w:vanish/>
          <w:color w:val="000000" w:themeColor="text1"/>
          <w:sz w:val="24"/>
          <w:szCs w:val="24"/>
        </w:rPr>
        <w:t>Top of Form</w:t>
      </w:r>
    </w:p>
    <w:p w14:paraId="669B2F06" w14:textId="77777777" w:rsidR="00B84603" w:rsidRPr="009F44DD" w:rsidRDefault="00B84603" w:rsidP="0026135F">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9F44DD">
        <w:rPr>
          <w:rFonts w:ascii="Times New Roman" w:hAnsi="Times New Roman" w:cs="Times New Roman"/>
          <w:noProof/>
          <w:sz w:val="24"/>
          <w:szCs w:val="24"/>
          <w:lang w:eastAsia="en-IN" w:bidi="ar-SA"/>
        </w:rPr>
        <w:drawing>
          <wp:inline distT="0" distB="0" distL="0" distR="0" wp14:anchorId="1FAE29FF" wp14:editId="778DD674">
            <wp:extent cx="4507230" cy="2973788"/>
            <wp:effectExtent l="0" t="0" r="7620"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67DFD4" w14:textId="45C20D7E" w:rsidR="00B84603" w:rsidRPr="009F44DD" w:rsidRDefault="0026135F" w:rsidP="008D0A33">
      <w:pPr>
        <w:pStyle w:val="Default"/>
        <w:spacing w:line="276" w:lineRule="auto"/>
        <w:jc w:val="center"/>
        <w:rPr>
          <w:rFonts w:eastAsia="Times New Roman"/>
          <w:b/>
          <w:bCs/>
          <w:i/>
          <w:iCs/>
          <w:color w:val="000000" w:themeColor="text1"/>
        </w:rPr>
      </w:pPr>
      <w:r w:rsidRPr="009F44DD">
        <w:rPr>
          <w:b/>
          <w:bCs/>
          <w:color w:val="auto"/>
        </w:rPr>
        <w:t xml:space="preserve">Figure </w:t>
      </w:r>
      <w:r w:rsidR="000A3AAB">
        <w:rPr>
          <w:b/>
          <w:bCs/>
          <w:color w:val="auto"/>
        </w:rPr>
        <w:t>5</w:t>
      </w:r>
      <w:r w:rsidR="00B84603" w:rsidRPr="009F44DD">
        <w:rPr>
          <w:bCs/>
          <w:color w:val="auto"/>
        </w:rPr>
        <w:t xml:space="preserve">: </w:t>
      </w:r>
      <w:r w:rsidR="00B84603" w:rsidRPr="000A3AAB">
        <w:rPr>
          <w:bCs/>
          <w:color w:val="000000" w:themeColor="text1"/>
        </w:rPr>
        <w:t xml:space="preserve">Impact of moisture content, temperature, and storage duration on the </w:t>
      </w:r>
      <w:r w:rsidR="00B84603" w:rsidRPr="000A3AAB">
        <w:rPr>
          <w:rFonts w:eastAsia="Times New Roman"/>
          <w:bCs/>
          <w:color w:val="000000" w:themeColor="text1"/>
        </w:rPr>
        <w:t>Seed Vigour Index I</w:t>
      </w:r>
      <w:r w:rsidR="00B84603" w:rsidRPr="009F44DD">
        <w:rPr>
          <w:rFonts w:eastAsia="Times New Roman"/>
          <w:b/>
          <w:bCs/>
          <w:color w:val="000000" w:themeColor="text1"/>
        </w:rPr>
        <w:t xml:space="preserve"> </w:t>
      </w:r>
    </w:p>
    <w:p w14:paraId="0F13EBAC" w14:textId="77777777" w:rsidR="008D0A33" w:rsidRPr="009F44DD" w:rsidRDefault="008D0A33" w:rsidP="00977638">
      <w:pPr>
        <w:pStyle w:val="Default"/>
        <w:spacing w:line="276" w:lineRule="auto"/>
        <w:jc w:val="both"/>
        <w:rPr>
          <w:b/>
          <w:bCs/>
          <w:color w:val="auto"/>
        </w:rPr>
      </w:pPr>
    </w:p>
    <w:p w14:paraId="4D72F108" w14:textId="77777777" w:rsidR="009B0B2A" w:rsidRDefault="003F116F" w:rsidP="003F116F">
      <w:pPr>
        <w:spacing w:line="240" w:lineRule="auto"/>
        <w:jc w:val="both"/>
        <w:rPr>
          <w:rFonts w:ascii="Times New Roman" w:hAnsi="Times New Roman" w:cs="Times New Roman"/>
          <w:b/>
          <w:sz w:val="24"/>
          <w:szCs w:val="24"/>
        </w:rPr>
      </w:pPr>
      <w:r w:rsidRPr="003F116F">
        <w:rPr>
          <w:rFonts w:ascii="Times New Roman" w:hAnsi="Times New Roman" w:cs="Times New Roman"/>
          <w:b/>
          <w:sz w:val="24"/>
          <w:szCs w:val="24"/>
        </w:rPr>
        <w:t>4. Discussion</w:t>
      </w:r>
    </w:p>
    <w:p w14:paraId="6544C557" w14:textId="1A627017" w:rsidR="003F116F" w:rsidRPr="003F116F" w:rsidRDefault="003F116F" w:rsidP="003F116F">
      <w:pPr>
        <w:spacing w:line="240" w:lineRule="auto"/>
        <w:jc w:val="both"/>
        <w:rPr>
          <w:rFonts w:ascii="Times New Roman" w:hAnsi="Times New Roman" w:cs="Times New Roman"/>
          <w:bCs/>
          <w:sz w:val="24"/>
          <w:szCs w:val="24"/>
        </w:rPr>
      </w:pPr>
      <w:r w:rsidRPr="003F116F">
        <w:rPr>
          <w:rFonts w:ascii="Times New Roman" w:hAnsi="Times New Roman" w:cs="Times New Roman"/>
          <w:bCs/>
          <w:sz w:val="24"/>
          <w:szCs w:val="24"/>
        </w:rPr>
        <w:t xml:space="preserve">The present study provides a detailed analysis of the fruit and seed biology, nursery propagation, eco-physiology, and storage behavior of </w:t>
      </w:r>
      <w:r w:rsidRPr="003F116F">
        <w:rPr>
          <w:rFonts w:ascii="Times New Roman" w:hAnsi="Times New Roman" w:cs="Times New Roman"/>
          <w:bCs/>
          <w:i/>
          <w:iCs/>
          <w:sz w:val="24"/>
          <w:szCs w:val="24"/>
        </w:rPr>
        <w:t>Butea monosperma</w:t>
      </w:r>
      <w:r w:rsidRPr="003F116F">
        <w:rPr>
          <w:rFonts w:ascii="Times New Roman" w:hAnsi="Times New Roman" w:cs="Times New Roman"/>
          <w:bCs/>
          <w:sz w:val="24"/>
          <w:szCs w:val="24"/>
        </w:rPr>
        <w:t xml:space="preserve">. Fruit and seed maturation occurred over 60–80 DAA, with progressive increases in size, weight, and dry matter accumulation, while moisture content declined sharply. Color changes in fruit (from green to pale yellow) and seeds (from light pink to greyish reddish-orange) closely corresponded with physiological maturity, aligning with previous observations that </w:t>
      </w:r>
      <w:r w:rsidRPr="003F116F">
        <w:rPr>
          <w:rFonts w:ascii="Times New Roman" w:hAnsi="Times New Roman" w:cs="Times New Roman"/>
          <w:bCs/>
          <w:sz w:val="24"/>
          <w:szCs w:val="24"/>
        </w:rPr>
        <w:lastRenderedPageBreak/>
        <w:t>morphological and color cues are reliable indicators for harvest timing in leguminous trees (</w:t>
      </w:r>
      <w:proofErr w:type="spellStart"/>
      <w:r w:rsidRPr="003F116F">
        <w:rPr>
          <w:rFonts w:ascii="Times New Roman" w:hAnsi="Times New Roman" w:cs="Times New Roman"/>
          <w:bCs/>
          <w:sz w:val="24"/>
          <w:szCs w:val="24"/>
        </w:rPr>
        <w:t>Ambasta</w:t>
      </w:r>
      <w:proofErr w:type="spellEnd"/>
      <w:r w:rsidRPr="003F116F">
        <w:rPr>
          <w:rFonts w:ascii="Times New Roman" w:hAnsi="Times New Roman" w:cs="Times New Roman"/>
          <w:bCs/>
          <w:sz w:val="24"/>
          <w:szCs w:val="24"/>
        </w:rPr>
        <w:t xml:space="preserve">, 1994; Kundu &amp; Singh, 2021; Firdaus &amp; Mazumder, 2012). Optimal germination (88–90%) and seedling vigor were observed at 70–80 DAA, indicating that seeds harvested earlier (≤60 DAA) exhibit incomplete physiological development, low germination, and reduced seedling </w:t>
      </w:r>
      <w:proofErr w:type="spellStart"/>
      <w:r w:rsidRPr="003F116F">
        <w:rPr>
          <w:rFonts w:ascii="Times New Roman" w:hAnsi="Times New Roman" w:cs="Times New Roman"/>
          <w:bCs/>
          <w:sz w:val="24"/>
          <w:szCs w:val="24"/>
        </w:rPr>
        <w:t>vigor</w:t>
      </w:r>
      <w:proofErr w:type="spellEnd"/>
      <w:r w:rsidRPr="003F116F">
        <w:rPr>
          <w:rFonts w:ascii="Times New Roman" w:hAnsi="Times New Roman" w:cs="Times New Roman"/>
          <w:bCs/>
          <w:sz w:val="24"/>
          <w:szCs w:val="24"/>
        </w:rPr>
        <w:t xml:space="preserve"> (</w:t>
      </w:r>
      <w:proofErr w:type="spellStart"/>
      <w:r w:rsidRPr="003F116F">
        <w:rPr>
          <w:rFonts w:ascii="Times New Roman" w:hAnsi="Times New Roman" w:cs="Times New Roman"/>
          <w:bCs/>
          <w:sz w:val="24"/>
          <w:szCs w:val="24"/>
        </w:rPr>
        <w:t>Kasliwal</w:t>
      </w:r>
      <w:proofErr w:type="spellEnd"/>
      <w:r w:rsidRPr="003F116F">
        <w:rPr>
          <w:rFonts w:ascii="Times New Roman" w:hAnsi="Times New Roman" w:cs="Times New Roman"/>
          <w:bCs/>
          <w:sz w:val="24"/>
          <w:szCs w:val="24"/>
        </w:rPr>
        <w:t>, Kumar, &amp; Mohil, 2021; Bohra et al., 2024).</w:t>
      </w:r>
    </w:p>
    <w:p w14:paraId="1A537C64" w14:textId="77777777" w:rsidR="003F116F" w:rsidRPr="003F116F" w:rsidRDefault="003F116F" w:rsidP="003F116F">
      <w:pPr>
        <w:spacing w:line="240" w:lineRule="auto"/>
        <w:jc w:val="both"/>
        <w:rPr>
          <w:rFonts w:ascii="Times New Roman" w:hAnsi="Times New Roman" w:cs="Times New Roman"/>
          <w:bCs/>
          <w:sz w:val="24"/>
          <w:szCs w:val="24"/>
        </w:rPr>
      </w:pPr>
      <w:r w:rsidRPr="003F116F">
        <w:rPr>
          <w:rFonts w:ascii="Times New Roman" w:hAnsi="Times New Roman" w:cs="Times New Roman"/>
          <w:bCs/>
          <w:sz w:val="24"/>
          <w:szCs w:val="24"/>
        </w:rPr>
        <w:t xml:space="preserve">Seed imbibition studies showed rapid water uptake during the initial hours, stabilizing after ~30 hours, highlighting the critical role of seed coat permeability and hydration dynamics in early germination (Vijay et al., 2025d; Mahender, Mahesh, &amp; Murthy, 2014). Eco-physiological investigations demonstrated that temperature, light, and growing media significantly influence germination and seedling growth. Vermiculite and TP media under specific temperature-light combinations enhanced seedling vigor indices, suggesting that substrate composition and microenvironmental conditions can optimize early seedling establishment (Bohra et al., 2024; Modi &amp; </w:t>
      </w:r>
      <w:proofErr w:type="spellStart"/>
      <w:r w:rsidRPr="003F116F">
        <w:rPr>
          <w:rFonts w:ascii="Times New Roman" w:hAnsi="Times New Roman" w:cs="Times New Roman"/>
          <w:bCs/>
          <w:sz w:val="24"/>
          <w:szCs w:val="24"/>
        </w:rPr>
        <w:t>Kandya</w:t>
      </w:r>
      <w:proofErr w:type="spellEnd"/>
      <w:r w:rsidRPr="003F116F">
        <w:rPr>
          <w:rFonts w:ascii="Times New Roman" w:hAnsi="Times New Roman" w:cs="Times New Roman"/>
          <w:bCs/>
          <w:sz w:val="24"/>
          <w:szCs w:val="24"/>
        </w:rPr>
        <w:t>, 2024).</w:t>
      </w:r>
    </w:p>
    <w:p w14:paraId="0FD7BD61" w14:textId="77777777" w:rsidR="003F116F" w:rsidRPr="003F116F" w:rsidRDefault="003F116F" w:rsidP="003F116F">
      <w:pPr>
        <w:spacing w:line="240" w:lineRule="auto"/>
        <w:jc w:val="both"/>
        <w:rPr>
          <w:rFonts w:ascii="Times New Roman" w:hAnsi="Times New Roman" w:cs="Times New Roman"/>
          <w:bCs/>
          <w:sz w:val="24"/>
          <w:szCs w:val="24"/>
        </w:rPr>
      </w:pPr>
      <w:r w:rsidRPr="003F116F">
        <w:rPr>
          <w:rFonts w:ascii="Times New Roman" w:hAnsi="Times New Roman" w:cs="Times New Roman"/>
          <w:bCs/>
          <w:sz w:val="24"/>
          <w:szCs w:val="24"/>
        </w:rPr>
        <w:t>Nursery propagation trials revealed that the Nursery (1:2:1) medium (soil: sand: organic matter) provided the best overall performance in terms of germination percentage, mean germination time, seedling vigor, and long-term growth (365 DAS). Other media, such as Nursery (1:1:2) or Cocopeat, showed faster germination or higher quality indices but lower overall biomass, indicating trade-offs between growth rate and structural quality. This emphasizes the importance of selecting species-specific potting media for robust nursery production (Vijay et al., 2024a; Mahender et al., 2014).</w:t>
      </w:r>
    </w:p>
    <w:p w14:paraId="6288FCCA" w14:textId="77777777" w:rsidR="003F116F" w:rsidRPr="003F116F" w:rsidRDefault="003F116F" w:rsidP="003F116F">
      <w:pPr>
        <w:spacing w:line="240" w:lineRule="auto"/>
        <w:jc w:val="both"/>
        <w:rPr>
          <w:rFonts w:ascii="Times New Roman" w:hAnsi="Times New Roman" w:cs="Times New Roman"/>
          <w:bCs/>
          <w:sz w:val="24"/>
          <w:szCs w:val="24"/>
        </w:rPr>
      </w:pPr>
      <w:r w:rsidRPr="003F116F">
        <w:rPr>
          <w:rFonts w:ascii="Times New Roman" w:hAnsi="Times New Roman" w:cs="Times New Roman"/>
          <w:bCs/>
          <w:sz w:val="24"/>
          <w:szCs w:val="24"/>
        </w:rPr>
        <w:t xml:space="preserve">Seed source evaluation revealed minor variability in germination and growth parameters across geographic locations, although maternal and environmental factors could influence seedling vigor. These findings corroborate reports that while local environmental conditions may affect seed quality, post-harvest handling and storage have a stronger impact on viability (Tandon, </w:t>
      </w:r>
      <w:proofErr w:type="spellStart"/>
      <w:r w:rsidRPr="003F116F">
        <w:rPr>
          <w:rFonts w:ascii="Times New Roman" w:hAnsi="Times New Roman" w:cs="Times New Roman"/>
          <w:bCs/>
          <w:sz w:val="24"/>
          <w:szCs w:val="24"/>
        </w:rPr>
        <w:t>Shivanna</w:t>
      </w:r>
      <w:proofErr w:type="spellEnd"/>
      <w:r w:rsidRPr="003F116F">
        <w:rPr>
          <w:rFonts w:ascii="Times New Roman" w:hAnsi="Times New Roman" w:cs="Times New Roman"/>
          <w:bCs/>
          <w:sz w:val="24"/>
          <w:szCs w:val="24"/>
        </w:rPr>
        <w:t xml:space="preserve">, &amp; Ram, 2003; </w:t>
      </w:r>
      <w:proofErr w:type="spellStart"/>
      <w:r w:rsidRPr="003F116F">
        <w:rPr>
          <w:rFonts w:ascii="Times New Roman" w:hAnsi="Times New Roman" w:cs="Times New Roman"/>
          <w:bCs/>
          <w:sz w:val="24"/>
          <w:szCs w:val="24"/>
        </w:rPr>
        <w:t>Kasliwal</w:t>
      </w:r>
      <w:proofErr w:type="spellEnd"/>
      <w:r w:rsidRPr="003F116F">
        <w:rPr>
          <w:rFonts w:ascii="Times New Roman" w:hAnsi="Times New Roman" w:cs="Times New Roman"/>
          <w:bCs/>
          <w:sz w:val="24"/>
          <w:szCs w:val="24"/>
        </w:rPr>
        <w:t xml:space="preserve">, </w:t>
      </w:r>
      <w:proofErr w:type="spellStart"/>
      <w:r w:rsidRPr="003F116F">
        <w:rPr>
          <w:rFonts w:ascii="Times New Roman" w:hAnsi="Times New Roman" w:cs="Times New Roman"/>
          <w:bCs/>
          <w:sz w:val="24"/>
          <w:szCs w:val="24"/>
        </w:rPr>
        <w:t>Sushila</w:t>
      </w:r>
      <w:proofErr w:type="spellEnd"/>
      <w:r w:rsidRPr="003F116F">
        <w:rPr>
          <w:rFonts w:ascii="Times New Roman" w:hAnsi="Times New Roman" w:cs="Times New Roman"/>
          <w:bCs/>
          <w:sz w:val="24"/>
          <w:szCs w:val="24"/>
        </w:rPr>
        <w:t xml:space="preserve">, &amp; </w:t>
      </w:r>
      <w:proofErr w:type="spellStart"/>
      <w:r w:rsidRPr="003F116F">
        <w:rPr>
          <w:rFonts w:ascii="Times New Roman" w:hAnsi="Times New Roman" w:cs="Times New Roman"/>
          <w:bCs/>
          <w:sz w:val="24"/>
          <w:szCs w:val="24"/>
        </w:rPr>
        <w:t>Mohil</w:t>
      </w:r>
      <w:proofErr w:type="spellEnd"/>
      <w:r w:rsidRPr="003F116F">
        <w:rPr>
          <w:rFonts w:ascii="Times New Roman" w:hAnsi="Times New Roman" w:cs="Times New Roman"/>
          <w:bCs/>
          <w:sz w:val="24"/>
          <w:szCs w:val="24"/>
        </w:rPr>
        <w:t>, 2023).</w:t>
      </w:r>
    </w:p>
    <w:p w14:paraId="3C56C752" w14:textId="77777777" w:rsidR="003F116F" w:rsidRPr="003F116F" w:rsidRDefault="003F116F" w:rsidP="003F116F">
      <w:pPr>
        <w:spacing w:line="240" w:lineRule="auto"/>
        <w:jc w:val="both"/>
        <w:rPr>
          <w:rFonts w:ascii="Times New Roman" w:hAnsi="Times New Roman" w:cs="Times New Roman"/>
          <w:bCs/>
          <w:sz w:val="24"/>
          <w:szCs w:val="24"/>
        </w:rPr>
      </w:pPr>
      <w:r w:rsidRPr="003F116F">
        <w:rPr>
          <w:rFonts w:ascii="Times New Roman" w:hAnsi="Times New Roman" w:cs="Times New Roman"/>
          <w:bCs/>
          <w:sz w:val="24"/>
          <w:szCs w:val="24"/>
        </w:rPr>
        <w:t xml:space="preserve">Long-term storage studies confirmed that seed moisture content, temperature, and storage duration profoundly affect germination, seedling growth, and vigor. Seeds with lower moisture (~3.73%) stored at 5°C maintained high viability and vigor even after 36 months, whereas seeds with higher moisture (9%) at room temperature showed rapid declines. Significant interactions among moisture, temperature, and storage duration underscore the necessity of optimizing all factors simultaneously to ensure effective seed conservation (Bohra et al., 2024; Vijay et al., 2025c; </w:t>
      </w:r>
      <w:proofErr w:type="spellStart"/>
      <w:r w:rsidRPr="003F116F">
        <w:rPr>
          <w:rFonts w:ascii="Times New Roman" w:hAnsi="Times New Roman" w:cs="Times New Roman"/>
          <w:bCs/>
          <w:sz w:val="24"/>
          <w:szCs w:val="24"/>
        </w:rPr>
        <w:t>Kasliwal</w:t>
      </w:r>
      <w:proofErr w:type="spellEnd"/>
      <w:r w:rsidRPr="003F116F">
        <w:rPr>
          <w:rFonts w:ascii="Times New Roman" w:hAnsi="Times New Roman" w:cs="Times New Roman"/>
          <w:bCs/>
          <w:sz w:val="24"/>
          <w:szCs w:val="24"/>
        </w:rPr>
        <w:t xml:space="preserve"> et al., 2021).</w:t>
      </w:r>
    </w:p>
    <w:p w14:paraId="68296AE1" w14:textId="77777777" w:rsidR="003F116F" w:rsidRDefault="003F116F" w:rsidP="003F116F">
      <w:pPr>
        <w:spacing w:line="240" w:lineRule="auto"/>
        <w:jc w:val="both"/>
        <w:rPr>
          <w:rFonts w:ascii="Times New Roman" w:hAnsi="Times New Roman" w:cs="Times New Roman"/>
          <w:bCs/>
          <w:sz w:val="24"/>
          <w:szCs w:val="24"/>
        </w:rPr>
      </w:pPr>
      <w:r w:rsidRPr="003F116F">
        <w:rPr>
          <w:rFonts w:ascii="Times New Roman" w:hAnsi="Times New Roman" w:cs="Times New Roman"/>
          <w:bCs/>
          <w:sz w:val="24"/>
          <w:szCs w:val="24"/>
        </w:rPr>
        <w:t xml:space="preserve">Collectively, these results highlight the critical integration of precise harvesting timing, appropriate nursery media, and optimized storage conditions to enhance </w:t>
      </w:r>
      <w:r w:rsidRPr="003F116F">
        <w:rPr>
          <w:rFonts w:ascii="Times New Roman" w:hAnsi="Times New Roman" w:cs="Times New Roman"/>
          <w:bCs/>
          <w:i/>
          <w:iCs/>
          <w:sz w:val="24"/>
          <w:szCs w:val="24"/>
        </w:rPr>
        <w:t>Butea monosperma</w:t>
      </w:r>
      <w:r w:rsidRPr="003F116F">
        <w:rPr>
          <w:rFonts w:ascii="Times New Roman" w:hAnsi="Times New Roman" w:cs="Times New Roman"/>
          <w:bCs/>
          <w:sz w:val="24"/>
          <w:szCs w:val="24"/>
        </w:rPr>
        <w:t xml:space="preserve"> regeneration, propagation, and ex-situ conservation.</w:t>
      </w:r>
    </w:p>
    <w:p w14:paraId="58414F23" w14:textId="783E8A5D" w:rsidR="003F116F" w:rsidRPr="003F116F" w:rsidRDefault="009B0B2A" w:rsidP="003F116F">
      <w:pPr>
        <w:spacing w:line="240" w:lineRule="auto"/>
        <w:jc w:val="both"/>
        <w:rPr>
          <w:rFonts w:ascii="Times New Roman" w:hAnsi="Times New Roman" w:cs="Times New Roman"/>
          <w:bCs/>
          <w:sz w:val="24"/>
          <w:szCs w:val="24"/>
        </w:rPr>
      </w:pPr>
      <w:r>
        <w:rPr>
          <w:rFonts w:ascii="Times New Roman" w:hAnsi="Times New Roman" w:cs="Times New Roman"/>
          <w:b/>
          <w:sz w:val="24"/>
          <w:szCs w:val="24"/>
        </w:rPr>
        <w:t>5</w:t>
      </w:r>
      <w:r w:rsidR="003F116F">
        <w:rPr>
          <w:rFonts w:ascii="Times New Roman" w:hAnsi="Times New Roman" w:cs="Times New Roman"/>
          <w:b/>
          <w:sz w:val="24"/>
          <w:szCs w:val="24"/>
        </w:rPr>
        <w:t xml:space="preserve">. </w:t>
      </w:r>
      <w:r w:rsidR="003F116F" w:rsidRPr="003F116F">
        <w:rPr>
          <w:rFonts w:ascii="Times New Roman" w:hAnsi="Times New Roman" w:cs="Times New Roman"/>
          <w:b/>
          <w:sz w:val="24"/>
          <w:szCs w:val="24"/>
        </w:rPr>
        <w:t>Conclusion:</w:t>
      </w:r>
      <w:r w:rsidR="003F116F">
        <w:rPr>
          <w:rFonts w:ascii="Times New Roman" w:hAnsi="Times New Roman" w:cs="Times New Roman"/>
          <w:bCs/>
          <w:sz w:val="24"/>
          <w:szCs w:val="24"/>
        </w:rPr>
        <w:t xml:space="preserve"> </w:t>
      </w:r>
      <w:r w:rsidR="003F116F" w:rsidRPr="003F116F">
        <w:rPr>
          <w:rFonts w:ascii="Times New Roman" w:hAnsi="Times New Roman" w:cs="Times New Roman"/>
          <w:bCs/>
          <w:sz w:val="24"/>
          <w:szCs w:val="24"/>
        </w:rPr>
        <w:t xml:space="preserve">The study comprehensively evaluated the fruit and seed development, germination, seedling growth, nursery performance, and storage behavior of </w:t>
      </w:r>
      <w:r w:rsidR="003F116F" w:rsidRPr="003F116F">
        <w:rPr>
          <w:rFonts w:ascii="Times New Roman" w:hAnsi="Times New Roman" w:cs="Times New Roman"/>
          <w:bCs/>
          <w:i/>
          <w:iCs/>
          <w:sz w:val="24"/>
          <w:szCs w:val="24"/>
        </w:rPr>
        <w:t>Butea monosperma</w:t>
      </w:r>
      <w:r w:rsidR="003F116F" w:rsidRPr="003F116F">
        <w:rPr>
          <w:rFonts w:ascii="Times New Roman" w:hAnsi="Times New Roman" w:cs="Times New Roman"/>
          <w:bCs/>
          <w:sz w:val="24"/>
          <w:szCs w:val="24"/>
        </w:rPr>
        <w:t>. Fruit and seed maturation occur over 60–80 days after anthesis, with increasing size, weight, and dry matter accumulation, accompanied by declining moisture content and characteristic color changes, which serve as reliable indicators for optimal harvest timing. Seed germination and seedling vigor improved significantly at 70–80 DAA, highlighting the importance of physiological maturity for propagation success. Water imbibition patterns revealed rapid initial uptake followed by stabilization, emphasizing the critical role of hydration in seed germination. Eco-physiological studies demonstrated that germination and seedling growth are strongly influenced by environmental factors such as temperature, light, and growth media, with specific media combinations promoting higher vigor indices.</w:t>
      </w:r>
      <w:r w:rsidR="003F116F" w:rsidRPr="003F116F">
        <w:t xml:space="preserve"> </w:t>
      </w:r>
      <w:r w:rsidR="003F116F" w:rsidRPr="003F116F">
        <w:rPr>
          <w:rFonts w:ascii="Times New Roman" w:hAnsi="Times New Roman" w:cs="Times New Roman"/>
          <w:bCs/>
          <w:sz w:val="24"/>
          <w:szCs w:val="24"/>
        </w:rPr>
        <w:t xml:space="preserve">Optimal </w:t>
      </w:r>
      <w:r w:rsidR="003F116F" w:rsidRPr="003F116F">
        <w:rPr>
          <w:rFonts w:ascii="Times New Roman" w:hAnsi="Times New Roman" w:cs="Times New Roman"/>
          <w:bCs/>
          <w:sz w:val="24"/>
          <w:szCs w:val="24"/>
        </w:rPr>
        <w:lastRenderedPageBreak/>
        <w:t xml:space="preserve">germination and seedling vigor were achieved under specific combinations of these factors, with Vermiculite and TP showing the best performance under favorable conditions.  Nursery trials identified the Nursery (1:2:1) medium as the most effective for enhancing germination, seedling growth, and long-term performance. Seed source showed minimal impact on germination and vigor, suggesting that maternal or site-specific factors play a limited role. Storage experiments confirmed that low seed moisture content (~3.73%) and cool storage (5°C) are essential for maintaining viability, seedling growth, and vigor over time. Collectively, these findings provide a scientific basis for optimizing harvest timing, nursery practices, and seed storage strategies, contributing to effective propagation, conservation, and sustainable utilization of </w:t>
      </w:r>
      <w:r w:rsidR="003F116F" w:rsidRPr="003F116F">
        <w:rPr>
          <w:rFonts w:ascii="Times New Roman" w:hAnsi="Times New Roman" w:cs="Times New Roman"/>
          <w:bCs/>
          <w:i/>
          <w:iCs/>
          <w:sz w:val="24"/>
          <w:szCs w:val="24"/>
        </w:rPr>
        <w:t>Butea monosperma</w:t>
      </w:r>
      <w:r w:rsidR="003F116F" w:rsidRPr="003F116F">
        <w:rPr>
          <w:rFonts w:ascii="Times New Roman" w:hAnsi="Times New Roman" w:cs="Times New Roman"/>
          <w:bCs/>
          <w:sz w:val="24"/>
          <w:szCs w:val="24"/>
        </w:rPr>
        <w:t>.</w:t>
      </w:r>
    </w:p>
    <w:p w14:paraId="7654E7D6" w14:textId="77777777" w:rsidR="00DE1C15" w:rsidRDefault="00DE1C15" w:rsidP="00B13284">
      <w:pPr>
        <w:spacing w:line="240" w:lineRule="auto"/>
        <w:jc w:val="both"/>
        <w:rPr>
          <w:rFonts w:ascii="Times New Roman" w:hAnsi="Times New Roman" w:cs="Times New Roman"/>
          <w:bCs/>
          <w:sz w:val="24"/>
          <w:szCs w:val="24"/>
        </w:rPr>
      </w:pPr>
    </w:p>
    <w:p w14:paraId="2A84F48C" w14:textId="517AFD51" w:rsidR="00B13284" w:rsidRPr="00B13284" w:rsidRDefault="00B13284" w:rsidP="00B13284">
      <w:pPr>
        <w:spacing w:line="240" w:lineRule="auto"/>
        <w:jc w:val="both"/>
        <w:rPr>
          <w:rFonts w:ascii="Times New Roman" w:hAnsi="Times New Roman" w:cs="Times New Roman"/>
          <w:bCs/>
          <w:sz w:val="24"/>
          <w:szCs w:val="24"/>
        </w:rPr>
      </w:pPr>
      <w:bookmarkStart w:id="1" w:name="_GoBack"/>
      <w:bookmarkEnd w:id="1"/>
      <w:r w:rsidRPr="00B13284">
        <w:rPr>
          <w:rFonts w:ascii="Times New Roman" w:hAnsi="Times New Roman" w:cs="Times New Roman"/>
          <w:bCs/>
          <w:sz w:val="24"/>
          <w:szCs w:val="24"/>
        </w:rPr>
        <w:t>COMPETING INTERESTS DISCLAIMER:</w:t>
      </w:r>
    </w:p>
    <w:p w14:paraId="253CA10E" w14:textId="49A65841" w:rsidR="00B13284" w:rsidRPr="001A43E1" w:rsidRDefault="00B13284" w:rsidP="00B13284">
      <w:pPr>
        <w:spacing w:line="240" w:lineRule="auto"/>
        <w:jc w:val="both"/>
        <w:rPr>
          <w:rFonts w:ascii="Times New Roman" w:hAnsi="Times New Roman" w:cs="Times New Roman"/>
          <w:bCs/>
          <w:sz w:val="24"/>
          <w:szCs w:val="24"/>
        </w:rPr>
      </w:pPr>
      <w:r w:rsidRPr="00B13284">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63C1A534" w14:textId="77777777" w:rsidR="00DA2F1E" w:rsidRDefault="00DA2F1E" w:rsidP="00DA2F1E">
      <w:pPr>
        <w:spacing w:line="240" w:lineRule="auto"/>
        <w:jc w:val="both"/>
        <w:rPr>
          <w:rFonts w:ascii="Times New Roman" w:hAnsi="Times New Roman" w:cs="Times New Roman"/>
          <w:b/>
          <w:bCs/>
          <w:sz w:val="24"/>
          <w:szCs w:val="24"/>
        </w:rPr>
      </w:pPr>
      <w:r w:rsidRPr="001A43E1">
        <w:rPr>
          <w:rFonts w:ascii="Times New Roman" w:hAnsi="Times New Roman" w:cs="Times New Roman"/>
          <w:b/>
          <w:bCs/>
          <w:sz w:val="24"/>
          <w:szCs w:val="24"/>
        </w:rPr>
        <w:t>References</w:t>
      </w:r>
    </w:p>
    <w:p w14:paraId="23215CB6" w14:textId="77777777" w:rsidR="004536AB" w:rsidRPr="00BC137D" w:rsidRDefault="004536AB" w:rsidP="004536AB">
      <w:pPr>
        <w:pStyle w:val="ListParagraph"/>
        <w:numPr>
          <w:ilvl w:val="0"/>
          <w:numId w:val="12"/>
        </w:numPr>
        <w:spacing w:line="240" w:lineRule="auto"/>
        <w:jc w:val="both"/>
        <w:rPr>
          <w:rFonts w:ascii="Times New Roman" w:hAnsi="Times New Roman" w:cs="Times New Roman"/>
          <w:sz w:val="24"/>
          <w:szCs w:val="24"/>
        </w:rPr>
      </w:pPr>
      <w:r w:rsidRPr="00EA2BC4">
        <w:rPr>
          <w:rFonts w:ascii="Times New Roman" w:hAnsi="Times New Roman" w:cs="Times New Roman"/>
          <w:sz w:val="24"/>
          <w:szCs w:val="24"/>
        </w:rPr>
        <w:t xml:space="preserve">Abdul-Baki, A. A., &amp; Anderson, J. D. (1973). Vigor determination in soybean seed by multiple criteria. </w:t>
      </w:r>
      <w:r w:rsidRPr="00EA2BC4">
        <w:rPr>
          <w:rFonts w:ascii="Times New Roman" w:hAnsi="Times New Roman" w:cs="Times New Roman"/>
          <w:i/>
          <w:iCs/>
          <w:sz w:val="24"/>
          <w:szCs w:val="24"/>
        </w:rPr>
        <w:t>Crop Science, 13</w:t>
      </w:r>
      <w:r w:rsidRPr="00EA2BC4">
        <w:rPr>
          <w:rFonts w:ascii="Times New Roman" w:hAnsi="Times New Roman" w:cs="Times New Roman"/>
          <w:sz w:val="24"/>
          <w:szCs w:val="24"/>
        </w:rPr>
        <w:t xml:space="preserve">(6), 630–633. </w:t>
      </w:r>
      <w:hyperlink r:id="rId12" w:tgtFrame="_new" w:history="1">
        <w:r w:rsidRPr="00EA2BC4">
          <w:rPr>
            <w:rStyle w:val="Hyperlink"/>
            <w:rFonts w:ascii="Times New Roman" w:hAnsi="Times New Roman" w:cs="Times New Roman"/>
            <w:sz w:val="24"/>
            <w:szCs w:val="24"/>
          </w:rPr>
          <w:t>https://doi.org/10.2135/cropsci1973.0011183X001300060013x</w:t>
        </w:r>
      </w:hyperlink>
    </w:p>
    <w:p w14:paraId="51EE7AA6" w14:textId="77777777" w:rsidR="004536AB" w:rsidRPr="006F7405" w:rsidRDefault="004536AB" w:rsidP="00DA2F1E">
      <w:pPr>
        <w:pStyle w:val="NormalWeb"/>
        <w:numPr>
          <w:ilvl w:val="0"/>
          <w:numId w:val="12"/>
        </w:numPr>
        <w:jc w:val="both"/>
      </w:pPr>
      <w:proofErr w:type="spellStart"/>
      <w:r w:rsidRPr="006F7405">
        <w:t>Ambasta</w:t>
      </w:r>
      <w:proofErr w:type="spellEnd"/>
      <w:r w:rsidRPr="006F7405">
        <w:t xml:space="preserve">, B. P. (1994). </w:t>
      </w:r>
      <w:r w:rsidRPr="006F7405">
        <w:rPr>
          <w:i/>
          <w:iCs/>
        </w:rPr>
        <w:t>The useful plants of India</w:t>
      </w:r>
      <w:r w:rsidRPr="006F7405">
        <w:t>. CSIR.</w:t>
      </w:r>
    </w:p>
    <w:p w14:paraId="44E4110D" w14:textId="77777777" w:rsidR="004536AB" w:rsidRPr="006F7405" w:rsidRDefault="004536AB" w:rsidP="00DA2F1E">
      <w:pPr>
        <w:pStyle w:val="NormalWeb"/>
        <w:numPr>
          <w:ilvl w:val="0"/>
          <w:numId w:val="12"/>
        </w:numPr>
        <w:jc w:val="both"/>
      </w:pPr>
      <w:r w:rsidRPr="006F7405">
        <w:t xml:space="preserve">Anonymous. (1988). </w:t>
      </w:r>
      <w:r w:rsidRPr="006F7405">
        <w:rPr>
          <w:i/>
          <w:iCs/>
        </w:rPr>
        <w:t>Wealth of India—A dictionary of raw materials and industrial products</w:t>
      </w:r>
      <w:r w:rsidRPr="006F7405">
        <w:t xml:space="preserve"> (Vol. 1, pp. 341–346). Raw Materials Publications and Information Directorate.</w:t>
      </w:r>
    </w:p>
    <w:p w14:paraId="7C6F00AD" w14:textId="77777777" w:rsidR="004536AB" w:rsidRDefault="004536AB" w:rsidP="004536AB">
      <w:pPr>
        <w:pStyle w:val="ListParagraph"/>
        <w:numPr>
          <w:ilvl w:val="0"/>
          <w:numId w:val="12"/>
        </w:numPr>
        <w:spacing w:line="240" w:lineRule="auto"/>
        <w:jc w:val="both"/>
        <w:rPr>
          <w:rFonts w:ascii="Times New Roman" w:hAnsi="Times New Roman" w:cs="Times New Roman"/>
          <w:sz w:val="24"/>
          <w:szCs w:val="24"/>
        </w:rPr>
      </w:pPr>
      <w:r w:rsidRPr="00BC137D">
        <w:rPr>
          <w:rFonts w:ascii="Times New Roman" w:hAnsi="Times New Roman" w:cs="Times New Roman"/>
          <w:sz w:val="24"/>
          <w:szCs w:val="24"/>
        </w:rPr>
        <w:t>Bewley, J.D. and Black, M., 1982. Physiology and Biochemistry of Seeds. Vol. 2. Springer-Ver- lag, Berlin, pp. 297-304.</w:t>
      </w:r>
    </w:p>
    <w:p w14:paraId="4979EEB3" w14:textId="77777777" w:rsidR="004536AB" w:rsidRPr="006F7405" w:rsidRDefault="004536AB" w:rsidP="00DA2F1E">
      <w:pPr>
        <w:pStyle w:val="NormalWeb"/>
        <w:numPr>
          <w:ilvl w:val="0"/>
          <w:numId w:val="12"/>
        </w:numPr>
        <w:jc w:val="both"/>
      </w:pPr>
      <w:r w:rsidRPr="006F7405">
        <w:t xml:space="preserve">Bohra, N., Giri, V., Yadav, A., &amp; Yadav, P. (2024). Studies on seed quality and germination parameters using different treatments in </w:t>
      </w:r>
      <w:r w:rsidRPr="006F7405">
        <w:rPr>
          <w:i/>
          <w:iCs/>
        </w:rPr>
        <w:t>Butea monosperma</w:t>
      </w:r>
      <w:r w:rsidRPr="006F7405">
        <w:t xml:space="preserve">. </w:t>
      </w:r>
      <w:r w:rsidRPr="006F7405">
        <w:rPr>
          <w:i/>
          <w:iCs/>
        </w:rPr>
        <w:t>Asian Journal of Basic Science &amp; Research, 6</w:t>
      </w:r>
      <w:r w:rsidRPr="006F7405">
        <w:t>(1), 159–172. https://doi.org/10.38177/AJBSR.2024.6115</w:t>
      </w:r>
    </w:p>
    <w:p w14:paraId="65C71A9F" w14:textId="77777777" w:rsidR="004536AB" w:rsidRPr="00EA2BC4" w:rsidRDefault="004536AB" w:rsidP="004536AB">
      <w:pPr>
        <w:pStyle w:val="ListParagraph"/>
        <w:numPr>
          <w:ilvl w:val="0"/>
          <w:numId w:val="12"/>
        </w:numPr>
        <w:spacing w:line="240" w:lineRule="auto"/>
        <w:jc w:val="both"/>
        <w:rPr>
          <w:rFonts w:ascii="Times New Roman" w:hAnsi="Times New Roman" w:cs="Times New Roman"/>
          <w:sz w:val="24"/>
          <w:szCs w:val="24"/>
        </w:rPr>
      </w:pPr>
      <w:r w:rsidRPr="004536AB">
        <w:rPr>
          <w:rFonts w:ascii="Times New Roman" w:hAnsi="Times New Roman" w:cs="Times New Roman"/>
          <w:sz w:val="24"/>
          <w:szCs w:val="24"/>
        </w:rPr>
        <w:t>Dickson, A., A.L. Leaf and J.F. Hosner. 1960 (b). Seedling quality - soil fertility relationships of white spruce and red and white pine in nurseries. For. Chron. 36:237-241.</w:t>
      </w:r>
    </w:p>
    <w:p w14:paraId="22553E8C" w14:textId="77777777" w:rsidR="004536AB" w:rsidRDefault="004536AB" w:rsidP="004536AB">
      <w:pPr>
        <w:pStyle w:val="ListParagraph"/>
        <w:numPr>
          <w:ilvl w:val="0"/>
          <w:numId w:val="12"/>
        </w:numPr>
        <w:spacing w:line="240" w:lineRule="auto"/>
        <w:jc w:val="both"/>
        <w:rPr>
          <w:rFonts w:ascii="Times New Roman" w:hAnsi="Times New Roman" w:cs="Times New Roman"/>
          <w:sz w:val="24"/>
          <w:szCs w:val="24"/>
        </w:rPr>
      </w:pPr>
      <w:r w:rsidRPr="00BC137D">
        <w:rPr>
          <w:rFonts w:ascii="Times New Roman" w:hAnsi="Times New Roman" w:cs="Times New Roman"/>
          <w:sz w:val="24"/>
          <w:szCs w:val="24"/>
        </w:rPr>
        <w:t xml:space="preserve">Djavanshir, K. and </w:t>
      </w:r>
      <w:proofErr w:type="spellStart"/>
      <w:r w:rsidRPr="00BC137D">
        <w:rPr>
          <w:rFonts w:ascii="Times New Roman" w:hAnsi="Times New Roman" w:cs="Times New Roman"/>
          <w:sz w:val="24"/>
          <w:szCs w:val="24"/>
        </w:rPr>
        <w:t>Pourbeikp</w:t>
      </w:r>
      <w:proofErr w:type="spellEnd"/>
      <w:r w:rsidRPr="00BC137D">
        <w:rPr>
          <w:rFonts w:ascii="Times New Roman" w:hAnsi="Times New Roman" w:cs="Times New Roman"/>
          <w:sz w:val="24"/>
          <w:szCs w:val="24"/>
        </w:rPr>
        <w:t xml:space="preserve">, H. (1976) Germination Value—A New Formula. </w:t>
      </w:r>
      <w:proofErr w:type="spellStart"/>
      <w:r w:rsidRPr="00BC137D">
        <w:rPr>
          <w:rFonts w:ascii="Times New Roman" w:hAnsi="Times New Roman" w:cs="Times New Roman"/>
          <w:sz w:val="24"/>
          <w:szCs w:val="24"/>
        </w:rPr>
        <w:t>Silvae</w:t>
      </w:r>
      <w:proofErr w:type="spellEnd"/>
      <w:r w:rsidRPr="00BC137D">
        <w:rPr>
          <w:rFonts w:ascii="Times New Roman" w:hAnsi="Times New Roman" w:cs="Times New Roman"/>
          <w:sz w:val="24"/>
          <w:szCs w:val="24"/>
        </w:rPr>
        <w:t xml:space="preserve"> </w:t>
      </w:r>
      <w:proofErr w:type="spellStart"/>
      <w:r w:rsidRPr="00BC137D">
        <w:rPr>
          <w:rFonts w:ascii="Times New Roman" w:hAnsi="Times New Roman" w:cs="Times New Roman"/>
          <w:sz w:val="24"/>
          <w:szCs w:val="24"/>
        </w:rPr>
        <w:t>Genetica</w:t>
      </w:r>
      <w:proofErr w:type="spellEnd"/>
      <w:r w:rsidRPr="00BC137D">
        <w:rPr>
          <w:rFonts w:ascii="Times New Roman" w:hAnsi="Times New Roman" w:cs="Times New Roman"/>
          <w:sz w:val="24"/>
          <w:szCs w:val="24"/>
        </w:rPr>
        <w:t>, 25, 79-83.</w:t>
      </w:r>
    </w:p>
    <w:p w14:paraId="3B4D5335" w14:textId="77777777" w:rsidR="004536AB" w:rsidRPr="006F7405" w:rsidRDefault="004536AB" w:rsidP="00DA2F1E">
      <w:pPr>
        <w:pStyle w:val="NormalWeb"/>
        <w:numPr>
          <w:ilvl w:val="0"/>
          <w:numId w:val="12"/>
        </w:numPr>
        <w:jc w:val="both"/>
      </w:pPr>
      <w:r w:rsidRPr="006F7405">
        <w:t xml:space="preserve">Firdaus, R., &amp; Mazumder, A. (2012). Review on </w:t>
      </w:r>
      <w:r w:rsidRPr="006F7405">
        <w:rPr>
          <w:i/>
          <w:iCs/>
        </w:rPr>
        <w:t>Butea monosperma</w:t>
      </w:r>
      <w:r w:rsidRPr="006F7405">
        <w:t xml:space="preserve">. </w:t>
      </w:r>
      <w:r w:rsidRPr="006F7405">
        <w:rPr>
          <w:i/>
          <w:iCs/>
        </w:rPr>
        <w:t>International Journal of Research in Pharmacy and Chemistry, 2</w:t>
      </w:r>
      <w:r w:rsidRPr="006F7405">
        <w:t>(4), 1035–1039.</w:t>
      </w:r>
    </w:p>
    <w:p w14:paraId="207DE3A2" w14:textId="77777777" w:rsidR="004536AB" w:rsidRPr="006F7405" w:rsidRDefault="004536AB" w:rsidP="00DA2F1E">
      <w:pPr>
        <w:pStyle w:val="NormalWeb"/>
        <w:numPr>
          <w:ilvl w:val="0"/>
          <w:numId w:val="12"/>
        </w:numPr>
        <w:jc w:val="both"/>
      </w:pPr>
      <w:r w:rsidRPr="006F7405">
        <w:t xml:space="preserve">Ganeshaiah, K. N., &amp; </w:t>
      </w:r>
      <w:proofErr w:type="spellStart"/>
      <w:r w:rsidRPr="006F7405">
        <w:t>Shaanker</w:t>
      </w:r>
      <w:proofErr w:type="spellEnd"/>
      <w:r w:rsidRPr="006F7405">
        <w:t xml:space="preserve">, R. U. (1991). Seed size optimization in a wind-dispersed tree </w:t>
      </w:r>
      <w:r w:rsidRPr="006F7405">
        <w:rPr>
          <w:i/>
          <w:iCs/>
        </w:rPr>
        <w:t>Butea monosperma</w:t>
      </w:r>
      <w:r w:rsidRPr="006F7405">
        <w:t xml:space="preserve">: A trade-off between seedling establishment and pod dispersal efficiency. </w:t>
      </w:r>
      <w:r w:rsidRPr="006F7405">
        <w:rPr>
          <w:i/>
          <w:iCs/>
        </w:rPr>
        <w:t>Oikos, 60</w:t>
      </w:r>
      <w:r w:rsidRPr="006F7405">
        <w:t xml:space="preserve">(1), 3–6. </w:t>
      </w:r>
      <w:hyperlink r:id="rId13" w:tgtFrame="_new" w:history="1">
        <w:r w:rsidRPr="006F7405">
          <w:rPr>
            <w:rStyle w:val="Hyperlink"/>
          </w:rPr>
          <w:t>https://doi.org/10.2307/3544983</w:t>
        </w:r>
      </w:hyperlink>
    </w:p>
    <w:p w14:paraId="18928D5A" w14:textId="77777777" w:rsidR="004536AB" w:rsidRPr="006F7405" w:rsidRDefault="004536AB" w:rsidP="00DA2F1E">
      <w:pPr>
        <w:pStyle w:val="NormalWeb"/>
        <w:numPr>
          <w:ilvl w:val="0"/>
          <w:numId w:val="12"/>
        </w:numPr>
        <w:jc w:val="both"/>
      </w:pPr>
      <w:proofErr w:type="spellStart"/>
      <w:r w:rsidRPr="006F7405">
        <w:t>Gunakkunru</w:t>
      </w:r>
      <w:proofErr w:type="spellEnd"/>
      <w:r w:rsidRPr="006F7405">
        <w:t xml:space="preserve">, A., Padmanaban, K., Thirumal, P., </w:t>
      </w:r>
      <w:proofErr w:type="spellStart"/>
      <w:r w:rsidRPr="006F7405">
        <w:t>Pritila</w:t>
      </w:r>
      <w:proofErr w:type="spellEnd"/>
      <w:r w:rsidRPr="006F7405">
        <w:t xml:space="preserve">, J., Parimala, G., </w:t>
      </w:r>
      <w:proofErr w:type="spellStart"/>
      <w:r w:rsidRPr="006F7405">
        <w:t>Vengatesan</w:t>
      </w:r>
      <w:proofErr w:type="spellEnd"/>
      <w:r w:rsidRPr="006F7405">
        <w:t xml:space="preserve">, N., Gnanasekar, N., </w:t>
      </w:r>
      <w:proofErr w:type="spellStart"/>
      <w:r w:rsidRPr="006F7405">
        <w:t>Perianayagam</w:t>
      </w:r>
      <w:proofErr w:type="spellEnd"/>
      <w:r w:rsidRPr="006F7405">
        <w:t xml:space="preserve">, J. B., Sharma, S. K., &amp; Pillai, K. K. (2005). Anti-diarrhoeal activity of </w:t>
      </w:r>
      <w:r w:rsidRPr="006F7405">
        <w:rPr>
          <w:i/>
          <w:iCs/>
        </w:rPr>
        <w:t>Butea monosperma</w:t>
      </w:r>
      <w:r w:rsidRPr="006F7405">
        <w:t xml:space="preserve"> in experimental animals. </w:t>
      </w:r>
      <w:r w:rsidRPr="006F7405">
        <w:rPr>
          <w:i/>
          <w:iCs/>
        </w:rPr>
        <w:t>Journal of Ethnopharmacology, 98</w:t>
      </w:r>
      <w:r w:rsidRPr="006F7405">
        <w:t>, 241–244.</w:t>
      </w:r>
    </w:p>
    <w:p w14:paraId="494584D2" w14:textId="77777777" w:rsidR="004536AB" w:rsidRPr="006F7405" w:rsidRDefault="004536AB" w:rsidP="00DA2F1E">
      <w:pPr>
        <w:pStyle w:val="NormalWeb"/>
        <w:numPr>
          <w:ilvl w:val="0"/>
          <w:numId w:val="12"/>
        </w:numPr>
        <w:jc w:val="both"/>
      </w:pPr>
      <w:r w:rsidRPr="006F7405">
        <w:rPr>
          <w:lang w:val="de-DE"/>
        </w:rPr>
        <w:lastRenderedPageBreak/>
        <w:t xml:space="preserve">Kasliwal, S., Kumar, A., &amp; Mohil, P. (2021). </w:t>
      </w:r>
      <w:r w:rsidRPr="006F7405">
        <w:t xml:space="preserve">Studies on seed morphology and germination of </w:t>
      </w:r>
      <w:r w:rsidRPr="006F7405">
        <w:rPr>
          <w:i/>
          <w:iCs/>
        </w:rPr>
        <w:t>Butea monosperma</w:t>
      </w:r>
      <w:r w:rsidRPr="006F7405">
        <w:t xml:space="preserve"> (Lam.) Taub. </w:t>
      </w:r>
      <w:r w:rsidRPr="006F7405">
        <w:rPr>
          <w:i/>
          <w:iCs/>
        </w:rPr>
        <w:t>Journal of Phytological Research, 1</w:t>
      </w:r>
      <w:r w:rsidRPr="006F7405">
        <w:t>(11), 1–6.</w:t>
      </w:r>
    </w:p>
    <w:p w14:paraId="0B053EF0" w14:textId="77777777" w:rsidR="004536AB" w:rsidRPr="006F7405" w:rsidRDefault="004536AB" w:rsidP="00DA2F1E">
      <w:pPr>
        <w:pStyle w:val="NormalWeb"/>
        <w:numPr>
          <w:ilvl w:val="0"/>
          <w:numId w:val="12"/>
        </w:numPr>
        <w:jc w:val="both"/>
      </w:pPr>
      <w:proofErr w:type="spellStart"/>
      <w:r w:rsidRPr="006F7405">
        <w:t>Kasliwal</w:t>
      </w:r>
      <w:proofErr w:type="spellEnd"/>
      <w:r w:rsidRPr="006F7405">
        <w:t xml:space="preserve">, S., Sushila, &amp; Mohil, P. (2023). Observations on seed-borne fungi in </w:t>
      </w:r>
      <w:r w:rsidRPr="006F7405">
        <w:rPr>
          <w:i/>
          <w:iCs/>
        </w:rPr>
        <w:t>Butea monosperma</w:t>
      </w:r>
      <w:r w:rsidRPr="006F7405">
        <w:t xml:space="preserve"> and </w:t>
      </w:r>
      <w:r w:rsidRPr="006F7405">
        <w:rPr>
          <w:i/>
          <w:iCs/>
        </w:rPr>
        <w:t>Pterocarpus marsupium</w:t>
      </w:r>
      <w:r w:rsidRPr="006F7405">
        <w:t xml:space="preserve">. </w:t>
      </w:r>
      <w:r w:rsidRPr="006F7405">
        <w:rPr>
          <w:i/>
          <w:iCs/>
        </w:rPr>
        <w:t>Life Sciences Leaflets, 162</w:t>
      </w:r>
      <w:r w:rsidRPr="006F7405">
        <w:t>, 1–7.</w:t>
      </w:r>
    </w:p>
    <w:p w14:paraId="634C3E13" w14:textId="77777777" w:rsidR="004536AB" w:rsidRPr="006F7405" w:rsidRDefault="004536AB" w:rsidP="00DA2F1E">
      <w:pPr>
        <w:pStyle w:val="NormalWeb"/>
        <w:numPr>
          <w:ilvl w:val="0"/>
          <w:numId w:val="12"/>
        </w:numPr>
        <w:jc w:val="both"/>
      </w:pPr>
      <w:r w:rsidRPr="006F7405">
        <w:rPr>
          <w:lang w:val="de-DE"/>
        </w:rPr>
        <w:t xml:space="preserve">Kasture, V. S., Chopde, C. T., &amp; Deshmukh, V. K. (2000). </w:t>
      </w:r>
      <w:r w:rsidRPr="006F7405">
        <w:t xml:space="preserve">Anticonvulsive activity of </w:t>
      </w:r>
      <w:r w:rsidRPr="006F7405">
        <w:rPr>
          <w:i/>
          <w:iCs/>
        </w:rPr>
        <w:t xml:space="preserve">Albizzia </w:t>
      </w:r>
      <w:proofErr w:type="spellStart"/>
      <w:r w:rsidRPr="006F7405">
        <w:rPr>
          <w:i/>
          <w:iCs/>
        </w:rPr>
        <w:t>lebbeck</w:t>
      </w:r>
      <w:proofErr w:type="spellEnd"/>
      <w:r w:rsidRPr="006F7405">
        <w:t xml:space="preserve">, </w:t>
      </w:r>
      <w:r w:rsidRPr="006F7405">
        <w:rPr>
          <w:i/>
          <w:iCs/>
        </w:rPr>
        <w:t xml:space="preserve">Hibiscus </w:t>
      </w:r>
      <w:proofErr w:type="spellStart"/>
      <w:r w:rsidRPr="006F7405">
        <w:rPr>
          <w:i/>
          <w:iCs/>
        </w:rPr>
        <w:t>rosa-sinensis</w:t>
      </w:r>
      <w:proofErr w:type="spellEnd"/>
      <w:r w:rsidRPr="006F7405">
        <w:t xml:space="preserve">, and </w:t>
      </w:r>
      <w:r w:rsidRPr="006F7405">
        <w:rPr>
          <w:i/>
          <w:iCs/>
        </w:rPr>
        <w:t>Butea monosperma</w:t>
      </w:r>
      <w:r w:rsidRPr="006F7405">
        <w:t xml:space="preserve"> in experimental animals. </w:t>
      </w:r>
      <w:r w:rsidRPr="006F7405">
        <w:rPr>
          <w:i/>
          <w:iCs/>
        </w:rPr>
        <w:t>Journal of Ethnopharmacology, 71</w:t>
      </w:r>
      <w:r w:rsidRPr="006F7405">
        <w:t>, 65–75.</w:t>
      </w:r>
    </w:p>
    <w:p w14:paraId="7EF64447" w14:textId="77777777" w:rsidR="004536AB" w:rsidRPr="006F7405" w:rsidRDefault="004536AB" w:rsidP="00DA2F1E">
      <w:pPr>
        <w:pStyle w:val="NormalWeb"/>
        <w:numPr>
          <w:ilvl w:val="0"/>
          <w:numId w:val="12"/>
        </w:numPr>
        <w:jc w:val="both"/>
      </w:pPr>
      <w:r w:rsidRPr="006F7405">
        <w:rPr>
          <w:lang w:val="de-DE"/>
        </w:rPr>
        <w:t xml:space="preserve">Kirtikar, K. R., &amp; Basu, B. D. (1935). </w:t>
      </w:r>
      <w:r w:rsidRPr="006F7405">
        <w:rPr>
          <w:i/>
          <w:iCs/>
        </w:rPr>
        <w:t>Indian medicinal plants</w:t>
      </w:r>
      <w:r w:rsidRPr="006F7405">
        <w:t xml:space="preserve"> (2nd ed.). Lalit Mohan Basu.</w:t>
      </w:r>
    </w:p>
    <w:p w14:paraId="48A64EC7" w14:textId="77777777" w:rsidR="004536AB" w:rsidRPr="006F7405" w:rsidRDefault="004536AB" w:rsidP="00DA2F1E">
      <w:pPr>
        <w:pStyle w:val="NormalWeb"/>
        <w:numPr>
          <w:ilvl w:val="0"/>
          <w:numId w:val="12"/>
        </w:numPr>
        <w:jc w:val="both"/>
      </w:pPr>
      <w:r w:rsidRPr="006F7405">
        <w:t xml:space="preserve">Kundu, M., &amp; Singh, T. (2021). Studies on seed maturation in </w:t>
      </w:r>
      <w:r w:rsidRPr="006F7405">
        <w:rPr>
          <w:i/>
          <w:iCs/>
        </w:rPr>
        <w:t>Butea monosperma</w:t>
      </w:r>
      <w:r w:rsidRPr="006F7405">
        <w:t xml:space="preserve"> (Lam.) Taub. for identification of best collection time. </w:t>
      </w:r>
      <w:r w:rsidRPr="006F7405">
        <w:rPr>
          <w:i/>
          <w:iCs/>
        </w:rPr>
        <w:t>International Journal of Plant Sciences, 16</w:t>
      </w:r>
      <w:r w:rsidRPr="006F7405">
        <w:t>(1), 19–24. https://doi.org/10.15740/HAS/IJPS/16.1/19-24</w:t>
      </w:r>
    </w:p>
    <w:p w14:paraId="2F291338" w14:textId="77777777" w:rsidR="004536AB" w:rsidRPr="006F7405" w:rsidRDefault="004536AB" w:rsidP="00DA2F1E">
      <w:pPr>
        <w:pStyle w:val="NormalWeb"/>
        <w:numPr>
          <w:ilvl w:val="0"/>
          <w:numId w:val="12"/>
        </w:numPr>
        <w:jc w:val="both"/>
      </w:pPr>
      <w:r w:rsidRPr="006F7405">
        <w:t xml:space="preserve">Mahender, A., Mahesh, D. M., &amp; Murthy, E. N. (2014). In vitro seed germination and development of </w:t>
      </w:r>
      <w:r w:rsidRPr="006F7405">
        <w:rPr>
          <w:i/>
          <w:iCs/>
        </w:rPr>
        <w:t>Butea monosperma</w:t>
      </w:r>
      <w:r w:rsidRPr="006F7405">
        <w:t xml:space="preserve"> (Lam.) Taub var. </w:t>
      </w:r>
      <w:r w:rsidRPr="006F7405">
        <w:rPr>
          <w:i/>
          <w:iCs/>
        </w:rPr>
        <w:t>lutea</w:t>
      </w:r>
      <w:r w:rsidRPr="006F7405">
        <w:t xml:space="preserve"> (</w:t>
      </w:r>
      <w:proofErr w:type="spellStart"/>
      <w:r w:rsidRPr="006F7405">
        <w:t>Willt</w:t>
      </w:r>
      <w:proofErr w:type="spellEnd"/>
      <w:r w:rsidRPr="006F7405">
        <w:t xml:space="preserve">.): A step for rehabilitation. </w:t>
      </w:r>
      <w:r w:rsidRPr="006F7405">
        <w:rPr>
          <w:i/>
          <w:iCs/>
        </w:rPr>
        <w:t>International Journal of Multidisciplinary Current Research, 2</w:t>
      </w:r>
      <w:r w:rsidRPr="006F7405">
        <w:t>, 297–301.</w:t>
      </w:r>
    </w:p>
    <w:p w14:paraId="55D30689" w14:textId="77777777" w:rsidR="004536AB" w:rsidRPr="006F7405" w:rsidRDefault="004536AB" w:rsidP="00DA2F1E">
      <w:pPr>
        <w:pStyle w:val="NormalWeb"/>
        <w:numPr>
          <w:ilvl w:val="0"/>
          <w:numId w:val="12"/>
        </w:numPr>
        <w:jc w:val="both"/>
      </w:pPr>
      <w:r w:rsidRPr="006F7405">
        <w:rPr>
          <w:lang w:val="de-DE"/>
        </w:rPr>
        <w:t xml:space="preserve">Mehta, B. K., Dubey, A., Bokadia, M. M., &amp; Mehta, S. C. (1983). </w:t>
      </w:r>
      <w:r w:rsidRPr="006F7405">
        <w:t xml:space="preserve">Isolation and in vitro antimicrobial efficiency of </w:t>
      </w:r>
      <w:r w:rsidRPr="006F7405">
        <w:rPr>
          <w:i/>
          <w:iCs/>
        </w:rPr>
        <w:t>Butea monosperma</w:t>
      </w:r>
      <w:r w:rsidRPr="006F7405">
        <w:t xml:space="preserve"> seed oil on human pathogenic bacteria and phytopathogenic fungi. </w:t>
      </w:r>
      <w:r w:rsidRPr="006F7405">
        <w:rPr>
          <w:i/>
          <w:iCs/>
        </w:rPr>
        <w:t xml:space="preserve">Acta </w:t>
      </w:r>
      <w:proofErr w:type="spellStart"/>
      <w:r w:rsidRPr="006F7405">
        <w:rPr>
          <w:i/>
          <w:iCs/>
        </w:rPr>
        <w:t>Microbiologica</w:t>
      </w:r>
      <w:proofErr w:type="spellEnd"/>
      <w:r w:rsidRPr="006F7405">
        <w:rPr>
          <w:i/>
          <w:iCs/>
        </w:rPr>
        <w:t xml:space="preserve"> </w:t>
      </w:r>
      <w:proofErr w:type="spellStart"/>
      <w:r w:rsidRPr="006F7405">
        <w:rPr>
          <w:i/>
          <w:iCs/>
        </w:rPr>
        <w:t>Hungarica</w:t>
      </w:r>
      <w:proofErr w:type="spellEnd"/>
      <w:r w:rsidRPr="006F7405">
        <w:rPr>
          <w:i/>
          <w:iCs/>
        </w:rPr>
        <w:t>, 30</w:t>
      </w:r>
      <w:r w:rsidRPr="006F7405">
        <w:t>, 75–77.</w:t>
      </w:r>
    </w:p>
    <w:p w14:paraId="1BAEA2A5" w14:textId="77777777" w:rsidR="004536AB" w:rsidRPr="006F7405" w:rsidRDefault="004536AB" w:rsidP="00DA2F1E">
      <w:pPr>
        <w:pStyle w:val="NormalWeb"/>
        <w:numPr>
          <w:ilvl w:val="0"/>
          <w:numId w:val="12"/>
        </w:numPr>
        <w:jc w:val="both"/>
      </w:pPr>
      <w:r w:rsidRPr="006F7405">
        <w:rPr>
          <w:lang w:val="de-DE"/>
        </w:rPr>
        <w:t xml:space="preserve">Modi, A., &amp; Kandya, A. K. (2024). </w:t>
      </w:r>
      <w:r w:rsidRPr="006F7405">
        <w:t xml:space="preserve">Study of excised embryo test in four leguminous seeds. </w:t>
      </w:r>
      <w:r w:rsidRPr="006F7405">
        <w:rPr>
          <w:i/>
          <w:iCs/>
        </w:rPr>
        <w:t>Global Journal of Engineering Science and Researches, 5</w:t>
      </w:r>
      <w:r w:rsidRPr="006F7405">
        <w:t xml:space="preserve">(2), 491–495. </w:t>
      </w:r>
      <w:hyperlink r:id="rId14" w:tgtFrame="_new" w:history="1">
        <w:r w:rsidRPr="006F7405">
          <w:rPr>
            <w:rStyle w:val="Hyperlink"/>
          </w:rPr>
          <w:t>https://doi.org/10.5281/zenodo.1323555</w:t>
        </w:r>
      </w:hyperlink>
    </w:p>
    <w:p w14:paraId="15A2447F" w14:textId="77777777" w:rsidR="004536AB" w:rsidRPr="006F7405" w:rsidRDefault="004536AB" w:rsidP="00DA2F1E">
      <w:pPr>
        <w:pStyle w:val="NormalWeb"/>
        <w:numPr>
          <w:ilvl w:val="0"/>
          <w:numId w:val="12"/>
        </w:numPr>
        <w:jc w:val="both"/>
        <w:rPr>
          <w:lang w:val="de-DE"/>
        </w:rPr>
      </w:pPr>
      <w:r w:rsidRPr="006F7405">
        <w:rPr>
          <w:lang w:val="de-DE"/>
        </w:rPr>
        <w:t xml:space="preserve">Patel, S., Dabgar, S., Makwana, M., &amp; Dabgar, Y. (2023). </w:t>
      </w:r>
      <w:r w:rsidRPr="006F7405">
        <w:t xml:space="preserve">Phenology and reproductive biology of three species of ‘Butea’, </w:t>
      </w:r>
      <w:proofErr w:type="spellStart"/>
      <w:r w:rsidRPr="006F7405">
        <w:t>Banaskantha</w:t>
      </w:r>
      <w:proofErr w:type="spellEnd"/>
      <w:r w:rsidRPr="006F7405">
        <w:t xml:space="preserve"> (N.G.). </w:t>
      </w:r>
      <w:r w:rsidRPr="006F7405">
        <w:rPr>
          <w:i/>
          <w:iCs/>
          <w:lang w:val="de-DE"/>
        </w:rPr>
        <w:t>Strad, 8</w:t>
      </w:r>
      <w:r w:rsidRPr="006F7405">
        <w:rPr>
          <w:lang w:val="de-DE"/>
        </w:rPr>
        <w:t>, 142–146. https://doi.org/10.37896/sr8.10/014</w:t>
      </w:r>
    </w:p>
    <w:p w14:paraId="0D2A8A97" w14:textId="77777777" w:rsidR="004536AB" w:rsidRPr="006F7405" w:rsidRDefault="004536AB" w:rsidP="00DA2F1E">
      <w:pPr>
        <w:pStyle w:val="NormalWeb"/>
        <w:numPr>
          <w:ilvl w:val="0"/>
          <w:numId w:val="12"/>
        </w:numPr>
        <w:jc w:val="both"/>
      </w:pPr>
      <w:r w:rsidRPr="006F7405">
        <w:t xml:space="preserve">Prashanth, D., Asha, M. K., Amit, A., &amp; Padmaja, R. (2001). Anthelmintic activity of </w:t>
      </w:r>
      <w:r w:rsidRPr="006F7405">
        <w:rPr>
          <w:i/>
          <w:iCs/>
        </w:rPr>
        <w:t>Butea monosperma</w:t>
      </w:r>
      <w:r w:rsidRPr="006F7405">
        <w:t xml:space="preserve">. </w:t>
      </w:r>
      <w:proofErr w:type="spellStart"/>
      <w:r w:rsidRPr="006F7405">
        <w:rPr>
          <w:i/>
          <w:iCs/>
        </w:rPr>
        <w:t>Fitoterapia</w:t>
      </w:r>
      <w:proofErr w:type="spellEnd"/>
      <w:r w:rsidRPr="006F7405">
        <w:rPr>
          <w:i/>
          <w:iCs/>
        </w:rPr>
        <w:t>, 72</w:t>
      </w:r>
      <w:r w:rsidRPr="006F7405">
        <w:t>, 421–422.</w:t>
      </w:r>
    </w:p>
    <w:p w14:paraId="34137D27" w14:textId="77777777" w:rsidR="004536AB" w:rsidRDefault="004536AB" w:rsidP="004536AB">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Pr="00BC137D">
        <w:rPr>
          <w:rFonts w:ascii="Times New Roman" w:hAnsi="Times New Roman" w:cs="Times New Roman"/>
          <w:sz w:val="24"/>
          <w:szCs w:val="24"/>
        </w:rPr>
        <w:t>acey, G.D., C. Glerum and R.E. Hutchison. 1983. The practicality of top-root ratio in nursery stock characterization. For. Chron. 59:240-243.</w:t>
      </w:r>
    </w:p>
    <w:p w14:paraId="6AB500C8" w14:textId="77777777" w:rsidR="004536AB" w:rsidRDefault="004536AB" w:rsidP="004536AB">
      <w:pPr>
        <w:pStyle w:val="ListParagraph"/>
        <w:numPr>
          <w:ilvl w:val="0"/>
          <w:numId w:val="12"/>
        </w:numPr>
        <w:spacing w:line="240" w:lineRule="auto"/>
        <w:jc w:val="both"/>
        <w:rPr>
          <w:rFonts w:ascii="Times New Roman" w:hAnsi="Times New Roman" w:cs="Times New Roman"/>
          <w:sz w:val="24"/>
          <w:szCs w:val="24"/>
        </w:rPr>
      </w:pPr>
      <w:r w:rsidRPr="00BC137D">
        <w:rPr>
          <w:rFonts w:ascii="Times New Roman" w:hAnsi="Times New Roman" w:cs="Times New Roman"/>
          <w:sz w:val="24"/>
          <w:szCs w:val="24"/>
        </w:rPr>
        <w:t xml:space="preserve">Rawat, M.M.S. &amp; Thapliyal, </w:t>
      </w:r>
      <w:proofErr w:type="spellStart"/>
      <w:r w:rsidRPr="00BC137D">
        <w:rPr>
          <w:rFonts w:ascii="Times New Roman" w:hAnsi="Times New Roman" w:cs="Times New Roman"/>
          <w:sz w:val="24"/>
          <w:szCs w:val="24"/>
        </w:rPr>
        <w:t>Rc</w:t>
      </w:r>
      <w:proofErr w:type="spellEnd"/>
      <w:r w:rsidRPr="00BC137D">
        <w:rPr>
          <w:rFonts w:ascii="Times New Roman" w:hAnsi="Times New Roman" w:cs="Times New Roman"/>
          <w:sz w:val="24"/>
          <w:szCs w:val="24"/>
        </w:rPr>
        <w:t xml:space="preserve">. (2003). Endogenous rhythm in seed germination of </w:t>
      </w:r>
      <w:proofErr w:type="spellStart"/>
      <w:r w:rsidRPr="00BC137D">
        <w:rPr>
          <w:rFonts w:ascii="Times New Roman" w:hAnsi="Times New Roman" w:cs="Times New Roman"/>
          <w:sz w:val="24"/>
          <w:szCs w:val="24"/>
        </w:rPr>
        <w:t>Dendrocalamus</w:t>
      </w:r>
      <w:proofErr w:type="spellEnd"/>
      <w:r w:rsidRPr="00BC137D">
        <w:rPr>
          <w:rFonts w:ascii="Times New Roman" w:hAnsi="Times New Roman" w:cs="Times New Roman"/>
          <w:sz w:val="24"/>
          <w:szCs w:val="24"/>
        </w:rPr>
        <w:t xml:space="preserve"> </w:t>
      </w:r>
      <w:proofErr w:type="spellStart"/>
      <w:r w:rsidRPr="00BC137D">
        <w:rPr>
          <w:rFonts w:ascii="Times New Roman" w:hAnsi="Times New Roman" w:cs="Times New Roman"/>
          <w:sz w:val="24"/>
          <w:szCs w:val="24"/>
        </w:rPr>
        <w:t>strictus</w:t>
      </w:r>
      <w:proofErr w:type="spellEnd"/>
      <w:r w:rsidRPr="00BC137D">
        <w:rPr>
          <w:rFonts w:ascii="Times New Roman" w:hAnsi="Times New Roman" w:cs="Times New Roman"/>
          <w:sz w:val="24"/>
          <w:szCs w:val="24"/>
        </w:rPr>
        <w:t>. Seed Science and Technology. 31. 10.15258/sst.2003.31.1.03.</w:t>
      </w:r>
    </w:p>
    <w:p w14:paraId="3CEBDAAA" w14:textId="77777777" w:rsidR="004536AB" w:rsidRPr="006F7405" w:rsidRDefault="004536AB" w:rsidP="00DA2F1E">
      <w:pPr>
        <w:pStyle w:val="NormalWeb"/>
        <w:numPr>
          <w:ilvl w:val="0"/>
          <w:numId w:val="12"/>
        </w:numPr>
        <w:jc w:val="both"/>
      </w:pPr>
      <w:r w:rsidRPr="006F7405">
        <w:t xml:space="preserve">Reddy, C. S., Reddy, K. N., &amp; Jadhav, S. N. (2001). </w:t>
      </w:r>
      <w:r w:rsidRPr="006F7405">
        <w:rPr>
          <w:i/>
          <w:iCs/>
        </w:rPr>
        <w:t>Threatened (medicinal) plants of Andhra Pradesh</w:t>
      </w:r>
      <w:r w:rsidRPr="006F7405">
        <w:t>. Medicinal Plants Conservation Centre, EPTRI.</w:t>
      </w:r>
    </w:p>
    <w:p w14:paraId="3F3075B6" w14:textId="77777777" w:rsidR="004536AB" w:rsidRDefault="004536AB" w:rsidP="004536AB">
      <w:pPr>
        <w:pStyle w:val="ListParagraph"/>
        <w:numPr>
          <w:ilvl w:val="0"/>
          <w:numId w:val="12"/>
        </w:numPr>
        <w:spacing w:line="240" w:lineRule="auto"/>
        <w:jc w:val="both"/>
        <w:rPr>
          <w:rFonts w:ascii="Times New Roman" w:hAnsi="Times New Roman" w:cs="Times New Roman"/>
          <w:sz w:val="24"/>
          <w:szCs w:val="24"/>
        </w:rPr>
      </w:pPr>
      <w:r w:rsidRPr="004536AB">
        <w:rPr>
          <w:rFonts w:ascii="Times New Roman" w:hAnsi="Times New Roman" w:cs="Times New Roman"/>
          <w:sz w:val="24"/>
          <w:szCs w:val="24"/>
        </w:rPr>
        <w:t>Ritchie, G.A. 1984. Assessing seedling quality. pp. 243-259. In Duryea, M. L. and T.D. Landis (eds.). Forest Nursery Manual: Production of Bareroot Seedlings. Martinus Nijhoff/Dr. W. Junk. Publishers. Hague/Boston/Lancaster. 386p.</w:t>
      </w:r>
    </w:p>
    <w:p w14:paraId="4120ABAC" w14:textId="77777777" w:rsidR="004536AB" w:rsidRPr="006F7405" w:rsidRDefault="004536AB" w:rsidP="00DA2F1E">
      <w:pPr>
        <w:pStyle w:val="NormalWeb"/>
        <w:numPr>
          <w:ilvl w:val="0"/>
          <w:numId w:val="12"/>
        </w:numPr>
        <w:jc w:val="both"/>
      </w:pPr>
      <w:r w:rsidRPr="006F7405">
        <w:t xml:space="preserve">Tandon, R., </w:t>
      </w:r>
      <w:proofErr w:type="spellStart"/>
      <w:r w:rsidRPr="006F7405">
        <w:t>Shivanna</w:t>
      </w:r>
      <w:proofErr w:type="spellEnd"/>
      <w:r w:rsidRPr="006F7405">
        <w:t xml:space="preserve">, K. R., &amp; Ram, H. M. (2003). Reproductive biology of </w:t>
      </w:r>
      <w:r w:rsidRPr="006F7405">
        <w:rPr>
          <w:i/>
          <w:iCs/>
        </w:rPr>
        <w:t>Butea monosperma</w:t>
      </w:r>
      <w:r w:rsidRPr="006F7405">
        <w:t xml:space="preserve"> (Fabaceae). </w:t>
      </w:r>
      <w:r w:rsidRPr="006F7405">
        <w:rPr>
          <w:i/>
          <w:iCs/>
        </w:rPr>
        <w:t>Annals of Botany, 92</w:t>
      </w:r>
      <w:r w:rsidRPr="006F7405">
        <w:t>, 715–723.</w:t>
      </w:r>
    </w:p>
    <w:p w14:paraId="1D66B62F" w14:textId="77777777" w:rsidR="004536AB" w:rsidRPr="006F7405" w:rsidRDefault="004536AB" w:rsidP="00DA2F1E">
      <w:pPr>
        <w:pStyle w:val="NormalWeb"/>
        <w:numPr>
          <w:ilvl w:val="0"/>
          <w:numId w:val="12"/>
        </w:numPr>
        <w:jc w:val="both"/>
      </w:pPr>
      <w:proofErr w:type="spellStart"/>
      <w:r w:rsidRPr="006F7405">
        <w:t>Thirupathaiah</w:t>
      </w:r>
      <w:proofErr w:type="spellEnd"/>
      <w:r w:rsidRPr="006F7405">
        <w:t xml:space="preserve">, A. (2007). </w:t>
      </w:r>
      <w:r w:rsidRPr="006F7405">
        <w:rPr>
          <w:i/>
          <w:iCs/>
        </w:rPr>
        <w:t>Isolation of new flavonoids and their antimicrobial activity from medicinal plants of Telangana region</w:t>
      </w:r>
      <w:r w:rsidRPr="006F7405">
        <w:t xml:space="preserve"> (Ph.D. thesis, Kakatiya University, Warangal, India).</w:t>
      </w:r>
    </w:p>
    <w:p w14:paraId="0867F49B" w14:textId="77777777" w:rsidR="004536AB" w:rsidRPr="006F7405" w:rsidRDefault="004536AB" w:rsidP="00DA2F1E">
      <w:pPr>
        <w:pStyle w:val="NormalWeb"/>
        <w:numPr>
          <w:ilvl w:val="0"/>
          <w:numId w:val="12"/>
        </w:numPr>
        <w:jc w:val="both"/>
      </w:pPr>
      <w:r w:rsidRPr="006F7405">
        <w:t xml:space="preserve">Vijay, M. K., Tiwari, S., Kahar, L., Malviya, D., Shirin, F., &amp; Singh, N. (2024a). Formulation of seed collection calendar for selected tree species in Madhya Pradesh. </w:t>
      </w:r>
      <w:r w:rsidRPr="006F7405">
        <w:rPr>
          <w:i/>
          <w:iCs/>
        </w:rPr>
        <w:t>Indian Journal of Tropical Biodiversity, 31</w:t>
      </w:r>
      <w:r w:rsidRPr="006F7405">
        <w:t>(2), 186–192.</w:t>
      </w:r>
    </w:p>
    <w:p w14:paraId="171F9562" w14:textId="77777777" w:rsidR="004536AB" w:rsidRPr="006F7405" w:rsidRDefault="004536AB" w:rsidP="00DA2F1E">
      <w:pPr>
        <w:pStyle w:val="NormalWeb"/>
        <w:numPr>
          <w:ilvl w:val="0"/>
          <w:numId w:val="12"/>
        </w:numPr>
        <w:jc w:val="both"/>
      </w:pPr>
      <w:r w:rsidRPr="006F7405">
        <w:t xml:space="preserve">Vijay, M., Malviya, D., Berry, N., Shirin, F., &amp; Singh, N. (2025c). Assessment of seed physiological parameters in </w:t>
      </w:r>
      <w:r w:rsidRPr="006F7405">
        <w:rPr>
          <w:i/>
          <w:iCs/>
        </w:rPr>
        <w:t>Gymnema sylvestre</w:t>
      </w:r>
      <w:r w:rsidRPr="006F7405">
        <w:t xml:space="preserve"> R.Br. for optimizing propagation and storage strategies. </w:t>
      </w:r>
      <w:r w:rsidRPr="006F7405">
        <w:rPr>
          <w:i/>
          <w:iCs/>
        </w:rPr>
        <w:t>International Journal of Plant &amp; Soil Science, 37</w:t>
      </w:r>
      <w:r w:rsidRPr="006F7405">
        <w:t>(8), 383–393. https://doi.org/10.9734/ijpss/2025/v37i85640</w:t>
      </w:r>
    </w:p>
    <w:p w14:paraId="31B2977C" w14:textId="77777777" w:rsidR="004536AB" w:rsidRPr="006F7405" w:rsidRDefault="004536AB" w:rsidP="00DA2F1E">
      <w:pPr>
        <w:pStyle w:val="NormalWeb"/>
        <w:numPr>
          <w:ilvl w:val="0"/>
          <w:numId w:val="12"/>
        </w:numPr>
        <w:jc w:val="both"/>
      </w:pPr>
      <w:r w:rsidRPr="006F7405">
        <w:lastRenderedPageBreak/>
        <w:t xml:space="preserve">Vijay, M., Malviya, D., Berry, N., Shirin, F., &amp; Singh, N. (2025d). Enhancing germination and storability in </w:t>
      </w:r>
      <w:r w:rsidRPr="006F7405">
        <w:rPr>
          <w:i/>
          <w:iCs/>
        </w:rPr>
        <w:t>Cordia myxa</w:t>
      </w:r>
      <w:r w:rsidRPr="006F7405">
        <w:t xml:space="preserve"> Linn.: Insights from seed carpology, viability, imbibition, pre-treatment and storage behaviour. </w:t>
      </w:r>
      <w:r w:rsidRPr="006F7405">
        <w:rPr>
          <w:i/>
          <w:iCs/>
        </w:rPr>
        <w:t>Asian Research Journal of Agriculture, 18</w:t>
      </w:r>
      <w:r w:rsidRPr="006F7405">
        <w:t>(3), 121–131. https://doi.org/10.9734/arja/2025/v18i3720</w:t>
      </w:r>
    </w:p>
    <w:p w14:paraId="2B6A4372" w14:textId="77777777" w:rsidR="004536AB" w:rsidRPr="006F7405" w:rsidRDefault="004536AB" w:rsidP="00DA2F1E">
      <w:pPr>
        <w:pStyle w:val="NormalWeb"/>
        <w:numPr>
          <w:ilvl w:val="0"/>
          <w:numId w:val="12"/>
        </w:numPr>
        <w:jc w:val="both"/>
      </w:pPr>
      <w:r w:rsidRPr="006F7405">
        <w:t xml:space="preserve">Vijay, M., Rathod, D., Singh, N., Tiwari, S., Kahar, L., Malviya, D., &amp; Aharwar, M. (2025a). Assessment of germination dynamics through maturity and pre-treatment studies in </w:t>
      </w:r>
      <w:proofErr w:type="spellStart"/>
      <w:r w:rsidRPr="006F7405">
        <w:rPr>
          <w:i/>
          <w:iCs/>
        </w:rPr>
        <w:t>Flacourtia</w:t>
      </w:r>
      <w:proofErr w:type="spellEnd"/>
      <w:r w:rsidRPr="006F7405">
        <w:rPr>
          <w:i/>
          <w:iCs/>
        </w:rPr>
        <w:t xml:space="preserve"> </w:t>
      </w:r>
      <w:proofErr w:type="spellStart"/>
      <w:r w:rsidRPr="006F7405">
        <w:rPr>
          <w:i/>
          <w:iCs/>
        </w:rPr>
        <w:t>indica</w:t>
      </w:r>
      <w:proofErr w:type="spellEnd"/>
      <w:r w:rsidRPr="006F7405">
        <w:t xml:space="preserve"> (</w:t>
      </w:r>
      <w:proofErr w:type="spellStart"/>
      <w:r w:rsidRPr="006F7405">
        <w:t>Burm.f</w:t>
      </w:r>
      <w:proofErr w:type="spellEnd"/>
      <w:r w:rsidRPr="006F7405">
        <w:t xml:space="preserve">.) </w:t>
      </w:r>
      <w:proofErr w:type="spellStart"/>
      <w:r w:rsidRPr="006F7405">
        <w:t>Merr</w:t>
      </w:r>
      <w:proofErr w:type="spellEnd"/>
      <w:r w:rsidRPr="006F7405">
        <w:t xml:space="preserve">. </w:t>
      </w:r>
      <w:r w:rsidRPr="006F7405">
        <w:rPr>
          <w:i/>
          <w:iCs/>
        </w:rPr>
        <w:t>International Journal of Research in Agronomy, 8</w:t>
      </w:r>
      <w:r w:rsidRPr="006F7405">
        <w:t>(4), 30–36. https://doi.org/10.33545/2618060X.2025.v8.i4a.2738</w:t>
      </w:r>
    </w:p>
    <w:p w14:paraId="26AA2643" w14:textId="77777777" w:rsidR="004536AB" w:rsidRPr="006F7405" w:rsidRDefault="004536AB" w:rsidP="00DA2F1E">
      <w:pPr>
        <w:pStyle w:val="NormalWeb"/>
        <w:numPr>
          <w:ilvl w:val="0"/>
          <w:numId w:val="12"/>
        </w:numPr>
        <w:jc w:val="both"/>
      </w:pPr>
      <w:r w:rsidRPr="006F7405">
        <w:t xml:space="preserve">Vijay, M., Tiwari, S., Kahar, L., Malviya, D., &amp; Singh, N. (2025b). Fruit and seed development of critically endangered </w:t>
      </w:r>
      <w:r w:rsidRPr="006F7405">
        <w:rPr>
          <w:i/>
          <w:iCs/>
        </w:rPr>
        <w:t>Commiphora wightii</w:t>
      </w:r>
      <w:r w:rsidRPr="006F7405">
        <w:t xml:space="preserve"> (Arn.) Bhandari: Insights into physiological maturation and germination potential. </w:t>
      </w:r>
      <w:r w:rsidRPr="006F7405">
        <w:rPr>
          <w:i/>
          <w:iCs/>
        </w:rPr>
        <w:t>Journal of Scientific Research and Reports, 31</w:t>
      </w:r>
      <w:r w:rsidRPr="006F7405">
        <w:t>(7), 374–384. https://doi.org/10.9734/jsrr/2025/v31i73254</w:t>
      </w:r>
    </w:p>
    <w:p w14:paraId="688A9481" w14:textId="77777777" w:rsidR="004536AB" w:rsidRPr="006F7405" w:rsidRDefault="004536AB" w:rsidP="00DA2F1E">
      <w:pPr>
        <w:pStyle w:val="NormalWeb"/>
        <w:numPr>
          <w:ilvl w:val="0"/>
          <w:numId w:val="12"/>
        </w:numPr>
        <w:jc w:val="both"/>
      </w:pPr>
      <w:r w:rsidRPr="006F7405">
        <w:t xml:space="preserve">Vijay, M., Tiwari, S., Kahar, L., Malviya, D., Aharwar, M., &amp; Singh, N. (2024b). Impact of seed size on germination parameters in </w:t>
      </w:r>
      <w:proofErr w:type="spellStart"/>
      <w:r w:rsidRPr="006F7405">
        <w:rPr>
          <w:i/>
          <w:iCs/>
        </w:rPr>
        <w:t>Flacourtia</w:t>
      </w:r>
      <w:proofErr w:type="spellEnd"/>
      <w:r w:rsidRPr="006F7405">
        <w:rPr>
          <w:i/>
          <w:iCs/>
        </w:rPr>
        <w:t xml:space="preserve"> </w:t>
      </w:r>
      <w:proofErr w:type="spellStart"/>
      <w:r w:rsidRPr="006F7405">
        <w:rPr>
          <w:i/>
          <w:iCs/>
        </w:rPr>
        <w:t>indica</w:t>
      </w:r>
      <w:proofErr w:type="spellEnd"/>
      <w:r w:rsidRPr="006F7405">
        <w:t xml:space="preserve"> (</w:t>
      </w:r>
      <w:proofErr w:type="spellStart"/>
      <w:r w:rsidRPr="006F7405">
        <w:t>Burm.f</w:t>
      </w:r>
      <w:proofErr w:type="spellEnd"/>
      <w:r w:rsidRPr="006F7405">
        <w:t xml:space="preserve">.) </w:t>
      </w:r>
      <w:proofErr w:type="spellStart"/>
      <w:r w:rsidRPr="006F7405">
        <w:t>Merr</w:t>
      </w:r>
      <w:proofErr w:type="spellEnd"/>
      <w:r w:rsidRPr="006F7405">
        <w:t xml:space="preserve">. </w:t>
      </w:r>
      <w:r w:rsidRPr="006F7405">
        <w:rPr>
          <w:i/>
          <w:iCs/>
        </w:rPr>
        <w:t>International Journal of Research in Agronomy, 7</w:t>
      </w:r>
      <w:r w:rsidRPr="006F7405">
        <w:t>(9), 23–29. https://doi.org/10.33545/2618060X.2024.v7.i9a.1432</w:t>
      </w:r>
    </w:p>
    <w:p w14:paraId="27701399" w14:textId="77777777" w:rsidR="004536AB" w:rsidRPr="006F7405" w:rsidRDefault="004536AB" w:rsidP="00DA2F1E">
      <w:pPr>
        <w:pStyle w:val="NormalWeb"/>
        <w:numPr>
          <w:ilvl w:val="0"/>
          <w:numId w:val="12"/>
        </w:numPr>
        <w:jc w:val="both"/>
      </w:pPr>
      <w:r w:rsidRPr="006F7405">
        <w:t xml:space="preserve">Wagner, H., Geyer, B., Fiebig, M., Kiso, Y., &amp; </w:t>
      </w:r>
      <w:proofErr w:type="spellStart"/>
      <w:r w:rsidRPr="006F7405">
        <w:t>Hikino</w:t>
      </w:r>
      <w:proofErr w:type="spellEnd"/>
      <w:r w:rsidRPr="006F7405">
        <w:t xml:space="preserve">, H. (1986). </w:t>
      </w:r>
      <w:proofErr w:type="spellStart"/>
      <w:r w:rsidRPr="006F7405">
        <w:t>Isoputrin</w:t>
      </w:r>
      <w:proofErr w:type="spellEnd"/>
      <w:r w:rsidRPr="006F7405">
        <w:t xml:space="preserve"> and </w:t>
      </w:r>
      <w:proofErr w:type="spellStart"/>
      <w:r w:rsidRPr="006F7405">
        <w:t>butrin</w:t>
      </w:r>
      <w:proofErr w:type="spellEnd"/>
      <w:r w:rsidRPr="006F7405">
        <w:t xml:space="preserve">, the antihepatotoxic principles of </w:t>
      </w:r>
      <w:r w:rsidRPr="006F7405">
        <w:rPr>
          <w:i/>
          <w:iCs/>
        </w:rPr>
        <w:t>Butea monosperma</w:t>
      </w:r>
      <w:r w:rsidRPr="006F7405">
        <w:t xml:space="preserve"> flowers. </w:t>
      </w:r>
      <w:r w:rsidRPr="006F7405">
        <w:rPr>
          <w:i/>
          <w:iCs/>
        </w:rPr>
        <w:t>Planta Medica, 52</w:t>
      </w:r>
      <w:r w:rsidRPr="006F7405">
        <w:t>, 77–79.</w:t>
      </w:r>
    </w:p>
    <w:p w14:paraId="11AC9C4B" w14:textId="77777777" w:rsidR="004536AB" w:rsidRDefault="004536AB" w:rsidP="00DA2F1E">
      <w:pPr>
        <w:pStyle w:val="NormalWeb"/>
        <w:numPr>
          <w:ilvl w:val="0"/>
          <w:numId w:val="12"/>
        </w:numPr>
        <w:jc w:val="both"/>
      </w:pPr>
      <w:r w:rsidRPr="006F7405">
        <w:t xml:space="preserve">Yadava, R. N., &amp; Tiwari, L. (2005). A potential antiviral flavone glycoside from the seeds of </w:t>
      </w:r>
      <w:r w:rsidRPr="006F7405">
        <w:rPr>
          <w:i/>
          <w:iCs/>
        </w:rPr>
        <w:t>Butea monosperma</w:t>
      </w:r>
      <w:r w:rsidRPr="006F7405">
        <w:t xml:space="preserve">. </w:t>
      </w:r>
      <w:r w:rsidRPr="006F7405">
        <w:rPr>
          <w:i/>
          <w:iCs/>
        </w:rPr>
        <w:t>Journal of Asian Natural Products Research, 7</w:t>
      </w:r>
      <w:r w:rsidRPr="006F7405">
        <w:t>, 185–188.</w:t>
      </w:r>
    </w:p>
    <w:p w14:paraId="7AD23DD9" w14:textId="77777777" w:rsidR="00DA2F1E" w:rsidRPr="009F44DD" w:rsidRDefault="00DA2F1E" w:rsidP="00DA2F1E">
      <w:pPr>
        <w:pStyle w:val="NormalWeb"/>
        <w:jc w:val="both"/>
      </w:pPr>
    </w:p>
    <w:p w14:paraId="38C8B069" w14:textId="77777777" w:rsidR="00DA2F1E" w:rsidRDefault="00DA2F1E" w:rsidP="00DA2F1E">
      <w:pPr>
        <w:spacing w:line="240" w:lineRule="auto"/>
        <w:jc w:val="both"/>
        <w:rPr>
          <w:rFonts w:ascii="Times New Roman" w:hAnsi="Times New Roman" w:cs="Times New Roman"/>
          <w:b/>
          <w:bCs/>
          <w:sz w:val="24"/>
          <w:szCs w:val="24"/>
        </w:rPr>
      </w:pPr>
    </w:p>
    <w:sectPr w:rsidR="00DA2F1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040E4" w14:textId="77777777" w:rsidR="00521E81" w:rsidRDefault="00521E81" w:rsidP="00DE1C15">
      <w:pPr>
        <w:spacing w:after="0" w:line="240" w:lineRule="auto"/>
      </w:pPr>
      <w:r>
        <w:separator/>
      </w:r>
    </w:p>
  </w:endnote>
  <w:endnote w:type="continuationSeparator" w:id="0">
    <w:p w14:paraId="3461BF24" w14:textId="77777777" w:rsidR="00521E81" w:rsidRDefault="00521E81" w:rsidP="00DE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164F5" w14:textId="77777777" w:rsidR="00DE1C15" w:rsidRDefault="00DE1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77524" w14:textId="77777777" w:rsidR="00DE1C15" w:rsidRDefault="00DE1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C21F" w14:textId="77777777" w:rsidR="00DE1C15" w:rsidRDefault="00DE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A055" w14:textId="77777777" w:rsidR="00521E81" w:rsidRDefault="00521E81" w:rsidP="00DE1C15">
      <w:pPr>
        <w:spacing w:after="0" w:line="240" w:lineRule="auto"/>
      </w:pPr>
      <w:r>
        <w:separator/>
      </w:r>
    </w:p>
  </w:footnote>
  <w:footnote w:type="continuationSeparator" w:id="0">
    <w:p w14:paraId="35ED6AB8" w14:textId="77777777" w:rsidR="00521E81" w:rsidRDefault="00521E81" w:rsidP="00DE1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97DD" w14:textId="34A041D5" w:rsidR="00DE1C15" w:rsidRDefault="00DE1C15">
    <w:pPr>
      <w:pStyle w:val="Header"/>
    </w:pPr>
    <w:r>
      <w:rPr>
        <w:noProof/>
      </w:rPr>
      <w:pict w14:anchorId="7C71C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97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3E17" w14:textId="6990D675" w:rsidR="00DE1C15" w:rsidRDefault="00DE1C15">
    <w:pPr>
      <w:pStyle w:val="Header"/>
    </w:pPr>
    <w:r>
      <w:rPr>
        <w:noProof/>
      </w:rPr>
      <w:pict w14:anchorId="16B64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97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CB57" w14:textId="6686729A" w:rsidR="00DE1C15" w:rsidRDefault="00DE1C15">
    <w:pPr>
      <w:pStyle w:val="Header"/>
    </w:pPr>
    <w:r>
      <w:rPr>
        <w:noProof/>
      </w:rPr>
      <w:pict w14:anchorId="11A0F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97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4AD"/>
    <w:multiLevelType w:val="multilevel"/>
    <w:tmpl w:val="33DCD9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1F84"/>
    <w:multiLevelType w:val="hybridMultilevel"/>
    <w:tmpl w:val="292E2D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B23023"/>
    <w:multiLevelType w:val="multilevel"/>
    <w:tmpl w:val="C25E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B7867"/>
    <w:multiLevelType w:val="hybridMultilevel"/>
    <w:tmpl w:val="0E4CF6F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4A6A79"/>
    <w:multiLevelType w:val="multilevel"/>
    <w:tmpl w:val="33DCD9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460F7"/>
    <w:multiLevelType w:val="hybridMultilevel"/>
    <w:tmpl w:val="D1949B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B93AE3"/>
    <w:multiLevelType w:val="multilevel"/>
    <w:tmpl w:val="E9420E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0388F"/>
    <w:multiLevelType w:val="multilevel"/>
    <w:tmpl w:val="33DCD9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14743"/>
    <w:multiLevelType w:val="hybridMultilevel"/>
    <w:tmpl w:val="384ABD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13127B"/>
    <w:multiLevelType w:val="multilevel"/>
    <w:tmpl w:val="33DCD9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A1562"/>
    <w:multiLevelType w:val="multilevel"/>
    <w:tmpl w:val="33DCD9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15C16"/>
    <w:multiLevelType w:val="multilevel"/>
    <w:tmpl w:val="33DCD9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653A4"/>
    <w:multiLevelType w:val="multilevel"/>
    <w:tmpl w:val="EE64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B60768"/>
    <w:multiLevelType w:val="hybridMultilevel"/>
    <w:tmpl w:val="ABEC2BB8"/>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6795C09"/>
    <w:multiLevelType w:val="hybridMultilevel"/>
    <w:tmpl w:val="02A24C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0114A3D"/>
    <w:multiLevelType w:val="multilevel"/>
    <w:tmpl w:val="33DCD9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B18A3"/>
    <w:multiLevelType w:val="multilevel"/>
    <w:tmpl w:val="C784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5519B"/>
    <w:multiLevelType w:val="multilevel"/>
    <w:tmpl w:val="EABE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5C3FB5"/>
    <w:multiLevelType w:val="multilevel"/>
    <w:tmpl w:val="9B42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7"/>
  </w:num>
  <w:num w:numId="4">
    <w:abstractNumId w:val="6"/>
  </w:num>
  <w:num w:numId="5">
    <w:abstractNumId w:val="18"/>
  </w:num>
  <w:num w:numId="6">
    <w:abstractNumId w:val="10"/>
  </w:num>
  <w:num w:numId="7">
    <w:abstractNumId w:val="12"/>
  </w:num>
  <w:num w:numId="8">
    <w:abstractNumId w:val="15"/>
  </w:num>
  <w:num w:numId="9">
    <w:abstractNumId w:val="0"/>
  </w:num>
  <w:num w:numId="10">
    <w:abstractNumId w:val="13"/>
  </w:num>
  <w:num w:numId="11">
    <w:abstractNumId w:val="16"/>
  </w:num>
  <w:num w:numId="12">
    <w:abstractNumId w:val="14"/>
  </w:num>
  <w:num w:numId="13">
    <w:abstractNumId w:val="5"/>
  </w:num>
  <w:num w:numId="14">
    <w:abstractNumId w:val="1"/>
  </w:num>
  <w:num w:numId="15">
    <w:abstractNumId w:val="9"/>
  </w:num>
  <w:num w:numId="16">
    <w:abstractNumId w:val="4"/>
  </w:num>
  <w:num w:numId="17">
    <w:abstractNumId w:val="11"/>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4C"/>
    <w:rsid w:val="000126D4"/>
    <w:rsid w:val="000264A7"/>
    <w:rsid w:val="000329CD"/>
    <w:rsid w:val="0009773F"/>
    <w:rsid w:val="000A3AAB"/>
    <w:rsid w:val="00126B42"/>
    <w:rsid w:val="00177594"/>
    <w:rsid w:val="001C40E9"/>
    <w:rsid w:val="0026135F"/>
    <w:rsid w:val="002D27DF"/>
    <w:rsid w:val="002D6DDC"/>
    <w:rsid w:val="002F4E74"/>
    <w:rsid w:val="002F6161"/>
    <w:rsid w:val="00360CBD"/>
    <w:rsid w:val="003632F8"/>
    <w:rsid w:val="003C20B0"/>
    <w:rsid w:val="003E73E1"/>
    <w:rsid w:val="003F116F"/>
    <w:rsid w:val="004536AB"/>
    <w:rsid w:val="004E47E8"/>
    <w:rsid w:val="00507BB4"/>
    <w:rsid w:val="005122C4"/>
    <w:rsid w:val="00521E81"/>
    <w:rsid w:val="005444F6"/>
    <w:rsid w:val="00572FD2"/>
    <w:rsid w:val="005A3235"/>
    <w:rsid w:val="005C1B2C"/>
    <w:rsid w:val="005E4792"/>
    <w:rsid w:val="005F2CA2"/>
    <w:rsid w:val="00600A29"/>
    <w:rsid w:val="00625936"/>
    <w:rsid w:val="00633C6C"/>
    <w:rsid w:val="006D01DC"/>
    <w:rsid w:val="006F7405"/>
    <w:rsid w:val="007C2DAE"/>
    <w:rsid w:val="00846FDC"/>
    <w:rsid w:val="00857249"/>
    <w:rsid w:val="008866AC"/>
    <w:rsid w:val="008B3E70"/>
    <w:rsid w:val="008D0A33"/>
    <w:rsid w:val="00905BD9"/>
    <w:rsid w:val="00947766"/>
    <w:rsid w:val="00961739"/>
    <w:rsid w:val="00977638"/>
    <w:rsid w:val="009B0B2A"/>
    <w:rsid w:val="009F35D4"/>
    <w:rsid w:val="009F44DD"/>
    <w:rsid w:val="009F4752"/>
    <w:rsid w:val="00A70420"/>
    <w:rsid w:val="00AE3217"/>
    <w:rsid w:val="00AE7163"/>
    <w:rsid w:val="00AE7397"/>
    <w:rsid w:val="00AF58E8"/>
    <w:rsid w:val="00B13284"/>
    <w:rsid w:val="00B22FB0"/>
    <w:rsid w:val="00B84603"/>
    <w:rsid w:val="00BC137D"/>
    <w:rsid w:val="00C72376"/>
    <w:rsid w:val="00C73CD8"/>
    <w:rsid w:val="00C950D6"/>
    <w:rsid w:val="00C9799C"/>
    <w:rsid w:val="00CA248F"/>
    <w:rsid w:val="00CA6E76"/>
    <w:rsid w:val="00D756ED"/>
    <w:rsid w:val="00DA2F1E"/>
    <w:rsid w:val="00DD0EF0"/>
    <w:rsid w:val="00DE1C15"/>
    <w:rsid w:val="00E45E18"/>
    <w:rsid w:val="00E64126"/>
    <w:rsid w:val="00EA5F9B"/>
    <w:rsid w:val="00EB096B"/>
    <w:rsid w:val="00EC69C2"/>
    <w:rsid w:val="00EE2C99"/>
    <w:rsid w:val="00F7494C"/>
    <w:rsid w:val="00F95E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0BBE68"/>
  <w15:docId w15:val="{4DCAD6C2-A8CC-47DF-92C2-5B8829FE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3">
    <w:name w:val="heading 3"/>
    <w:basedOn w:val="Normal"/>
    <w:next w:val="Normal"/>
    <w:link w:val="Heading3Char"/>
    <w:uiPriority w:val="9"/>
    <w:unhideWhenUsed/>
    <w:qFormat/>
    <w:rsid w:val="00B84603"/>
    <w:pPr>
      <w:keepNext/>
      <w:keepLines/>
      <w:spacing w:before="160" w:after="80" w:line="259" w:lineRule="auto"/>
      <w:outlineLvl w:val="2"/>
    </w:pPr>
    <w:rPr>
      <w:rFonts w:eastAsiaTheme="majorEastAsia" w:cstheme="majorBidi"/>
      <w:color w:val="365F91" w:themeColor="accent1" w:themeShade="BF"/>
      <w:kern w:val="2"/>
      <w:sz w:val="28"/>
      <w:szCs w:val="28"/>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264A7"/>
    <w:rPr>
      <w:i/>
      <w:iCs/>
    </w:rPr>
  </w:style>
  <w:style w:type="character" w:styleId="HTMLCite">
    <w:name w:val="HTML Cite"/>
    <w:basedOn w:val="DefaultParagraphFont"/>
    <w:uiPriority w:val="99"/>
    <w:semiHidden/>
    <w:unhideWhenUsed/>
    <w:rsid w:val="000264A7"/>
    <w:rPr>
      <w:i/>
      <w:iCs/>
    </w:rPr>
  </w:style>
  <w:style w:type="character" w:styleId="Hyperlink">
    <w:name w:val="Hyperlink"/>
    <w:basedOn w:val="DefaultParagraphFont"/>
    <w:uiPriority w:val="99"/>
    <w:unhideWhenUsed/>
    <w:rsid w:val="000264A7"/>
    <w:rPr>
      <w:color w:val="0000FF"/>
      <w:u w:val="single"/>
    </w:rPr>
  </w:style>
  <w:style w:type="paragraph" w:styleId="ListParagraph">
    <w:name w:val="List Paragraph"/>
    <w:aliases w:val="Report Para,Dot pt,No Spacing1,List Paragraph Char Char Char,Indicator Text,List Paragraph1,Numbered Para 1,List Paragraph12,Bullet Points,MAIN CONTENT,Bullet 1,Colorful List - Accent 11,Citation List"/>
    <w:basedOn w:val="Normal"/>
    <w:link w:val="ListParagraphChar"/>
    <w:uiPriority w:val="34"/>
    <w:qFormat/>
    <w:rsid w:val="00D756ED"/>
    <w:pPr>
      <w:ind w:left="720"/>
      <w:contextualSpacing/>
    </w:pPr>
  </w:style>
  <w:style w:type="character" w:customStyle="1" w:styleId="id-lock-free">
    <w:name w:val="id-lock-free"/>
    <w:basedOn w:val="DefaultParagraphFont"/>
    <w:rsid w:val="00D756ED"/>
  </w:style>
  <w:style w:type="character" w:customStyle="1" w:styleId="reference-accessdate">
    <w:name w:val="reference-accessdate"/>
    <w:basedOn w:val="DefaultParagraphFont"/>
    <w:rsid w:val="00D756ED"/>
  </w:style>
  <w:style w:type="character" w:customStyle="1" w:styleId="nowrap">
    <w:name w:val="nowrap"/>
    <w:basedOn w:val="DefaultParagraphFont"/>
    <w:rsid w:val="00D756ED"/>
  </w:style>
  <w:style w:type="character" w:customStyle="1" w:styleId="cs1-format">
    <w:name w:val="cs1-format"/>
    <w:basedOn w:val="DefaultParagraphFont"/>
    <w:rsid w:val="00D756ED"/>
  </w:style>
  <w:style w:type="paragraph" w:styleId="NormalWeb">
    <w:name w:val="Normal (Web)"/>
    <w:basedOn w:val="Normal"/>
    <w:uiPriority w:val="99"/>
    <w:unhideWhenUsed/>
    <w:rsid w:val="00E6412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632F8"/>
    <w:rPr>
      <w:b/>
      <w:bCs/>
    </w:rPr>
  </w:style>
  <w:style w:type="character" w:customStyle="1" w:styleId="cite-author">
    <w:name w:val="cite-author"/>
    <w:basedOn w:val="DefaultParagraphFont"/>
    <w:rsid w:val="00961739"/>
  </w:style>
  <w:style w:type="character" w:customStyle="1" w:styleId="cite-date">
    <w:name w:val="cite-date"/>
    <w:basedOn w:val="DefaultParagraphFont"/>
    <w:rsid w:val="00961739"/>
  </w:style>
  <w:style w:type="character" w:customStyle="1" w:styleId="cite-info">
    <w:name w:val="cite-info"/>
    <w:basedOn w:val="DefaultParagraphFont"/>
    <w:rsid w:val="00961739"/>
  </w:style>
  <w:style w:type="table" w:styleId="TableGrid">
    <w:name w:val="Table Grid"/>
    <w:basedOn w:val="TableNormal"/>
    <w:uiPriority w:val="59"/>
    <w:rsid w:val="00B84603"/>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Para Char,Dot pt Char,No Spacing1 Char,List Paragraph Char Char Char Char,Indicator Text Char,List Paragraph1 Char,Numbered Para 1 Char,List Paragraph12 Char,Bullet Points Char,MAIN CONTENT Char,Bullet 1 Char"/>
    <w:link w:val="ListParagraph"/>
    <w:uiPriority w:val="34"/>
    <w:qFormat/>
    <w:locked/>
    <w:rsid w:val="00B84603"/>
    <w:rPr>
      <w:rFonts w:cs="Mangal"/>
    </w:rPr>
  </w:style>
  <w:style w:type="paragraph" w:customStyle="1" w:styleId="Default">
    <w:name w:val="Default"/>
    <w:rsid w:val="00B84603"/>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Heading3Char">
    <w:name w:val="Heading 3 Char"/>
    <w:basedOn w:val="DefaultParagraphFont"/>
    <w:link w:val="Heading3"/>
    <w:uiPriority w:val="9"/>
    <w:rsid w:val="00B84603"/>
    <w:rPr>
      <w:rFonts w:eastAsiaTheme="majorEastAsia" w:cstheme="majorBidi"/>
      <w:color w:val="365F91" w:themeColor="accent1" w:themeShade="BF"/>
      <w:kern w:val="2"/>
      <w:sz w:val="28"/>
      <w:szCs w:val="28"/>
      <w:lang w:bidi="ar-SA"/>
      <w14:ligatures w14:val="standardContextual"/>
    </w:rPr>
  </w:style>
  <w:style w:type="paragraph" w:styleId="BalloonText">
    <w:name w:val="Balloon Text"/>
    <w:basedOn w:val="Normal"/>
    <w:link w:val="BalloonTextChar"/>
    <w:uiPriority w:val="99"/>
    <w:semiHidden/>
    <w:unhideWhenUsed/>
    <w:rsid w:val="00B84603"/>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84603"/>
    <w:rPr>
      <w:rFonts w:ascii="Tahoma" w:hAnsi="Tahoma" w:cs="Mangal"/>
      <w:sz w:val="16"/>
      <w:szCs w:val="14"/>
    </w:rPr>
  </w:style>
  <w:style w:type="character" w:customStyle="1" w:styleId="UnresolvedMention1">
    <w:name w:val="Unresolved Mention1"/>
    <w:basedOn w:val="DefaultParagraphFont"/>
    <w:uiPriority w:val="99"/>
    <w:semiHidden/>
    <w:unhideWhenUsed/>
    <w:rsid w:val="00EB096B"/>
    <w:rPr>
      <w:color w:val="605E5C"/>
      <w:shd w:val="clear" w:color="auto" w:fill="E1DFDD"/>
    </w:rPr>
  </w:style>
  <w:style w:type="character" w:styleId="UnresolvedMention">
    <w:name w:val="Unresolved Mention"/>
    <w:basedOn w:val="DefaultParagraphFont"/>
    <w:uiPriority w:val="99"/>
    <w:semiHidden/>
    <w:unhideWhenUsed/>
    <w:rsid w:val="006F7405"/>
    <w:rPr>
      <w:color w:val="605E5C"/>
      <w:shd w:val="clear" w:color="auto" w:fill="E1DFDD"/>
    </w:rPr>
  </w:style>
  <w:style w:type="table" w:styleId="ListTable6Colorful">
    <w:name w:val="List Table 6 Colorful"/>
    <w:basedOn w:val="TableNormal"/>
    <w:uiPriority w:val="51"/>
    <w:rsid w:val="009F44D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5444F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E1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C15"/>
    <w:rPr>
      <w:rFonts w:cs="Mangal"/>
    </w:rPr>
  </w:style>
  <w:style w:type="paragraph" w:styleId="Footer">
    <w:name w:val="footer"/>
    <w:basedOn w:val="Normal"/>
    <w:link w:val="FooterChar"/>
    <w:uiPriority w:val="99"/>
    <w:unhideWhenUsed/>
    <w:rsid w:val="00DE1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C1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7563">
      <w:bodyDiv w:val="1"/>
      <w:marLeft w:val="0"/>
      <w:marRight w:val="0"/>
      <w:marTop w:val="0"/>
      <w:marBottom w:val="0"/>
      <w:divBdr>
        <w:top w:val="none" w:sz="0" w:space="0" w:color="auto"/>
        <w:left w:val="none" w:sz="0" w:space="0" w:color="auto"/>
        <w:bottom w:val="none" w:sz="0" w:space="0" w:color="auto"/>
        <w:right w:val="none" w:sz="0" w:space="0" w:color="auto"/>
      </w:divBdr>
    </w:div>
    <w:div w:id="200482087">
      <w:bodyDiv w:val="1"/>
      <w:marLeft w:val="0"/>
      <w:marRight w:val="0"/>
      <w:marTop w:val="0"/>
      <w:marBottom w:val="0"/>
      <w:divBdr>
        <w:top w:val="none" w:sz="0" w:space="0" w:color="auto"/>
        <w:left w:val="none" w:sz="0" w:space="0" w:color="auto"/>
        <w:bottom w:val="none" w:sz="0" w:space="0" w:color="auto"/>
        <w:right w:val="none" w:sz="0" w:space="0" w:color="auto"/>
      </w:divBdr>
    </w:div>
    <w:div w:id="282854518">
      <w:bodyDiv w:val="1"/>
      <w:marLeft w:val="0"/>
      <w:marRight w:val="0"/>
      <w:marTop w:val="0"/>
      <w:marBottom w:val="0"/>
      <w:divBdr>
        <w:top w:val="none" w:sz="0" w:space="0" w:color="auto"/>
        <w:left w:val="none" w:sz="0" w:space="0" w:color="auto"/>
        <w:bottom w:val="none" w:sz="0" w:space="0" w:color="auto"/>
        <w:right w:val="none" w:sz="0" w:space="0" w:color="auto"/>
      </w:divBdr>
    </w:div>
    <w:div w:id="474834313">
      <w:bodyDiv w:val="1"/>
      <w:marLeft w:val="0"/>
      <w:marRight w:val="0"/>
      <w:marTop w:val="0"/>
      <w:marBottom w:val="0"/>
      <w:divBdr>
        <w:top w:val="none" w:sz="0" w:space="0" w:color="auto"/>
        <w:left w:val="none" w:sz="0" w:space="0" w:color="auto"/>
        <w:bottom w:val="none" w:sz="0" w:space="0" w:color="auto"/>
        <w:right w:val="none" w:sz="0" w:space="0" w:color="auto"/>
      </w:divBdr>
      <w:divsChild>
        <w:div w:id="955021222">
          <w:marLeft w:val="0"/>
          <w:marRight w:val="0"/>
          <w:marTop w:val="0"/>
          <w:marBottom w:val="0"/>
          <w:divBdr>
            <w:top w:val="none" w:sz="0" w:space="0" w:color="auto"/>
            <w:left w:val="none" w:sz="0" w:space="0" w:color="auto"/>
            <w:bottom w:val="none" w:sz="0" w:space="0" w:color="auto"/>
            <w:right w:val="none" w:sz="0" w:space="0" w:color="auto"/>
          </w:divBdr>
        </w:div>
        <w:div w:id="1287852919">
          <w:marLeft w:val="0"/>
          <w:marRight w:val="0"/>
          <w:marTop w:val="0"/>
          <w:marBottom w:val="0"/>
          <w:divBdr>
            <w:top w:val="none" w:sz="0" w:space="0" w:color="auto"/>
            <w:left w:val="none" w:sz="0" w:space="0" w:color="auto"/>
            <w:bottom w:val="none" w:sz="0" w:space="0" w:color="auto"/>
            <w:right w:val="none" w:sz="0" w:space="0" w:color="auto"/>
          </w:divBdr>
        </w:div>
        <w:div w:id="1192912487">
          <w:marLeft w:val="0"/>
          <w:marRight w:val="0"/>
          <w:marTop w:val="0"/>
          <w:marBottom w:val="0"/>
          <w:divBdr>
            <w:top w:val="none" w:sz="0" w:space="0" w:color="auto"/>
            <w:left w:val="none" w:sz="0" w:space="0" w:color="auto"/>
            <w:bottom w:val="none" w:sz="0" w:space="0" w:color="auto"/>
            <w:right w:val="none" w:sz="0" w:space="0" w:color="auto"/>
          </w:divBdr>
        </w:div>
      </w:divsChild>
    </w:div>
    <w:div w:id="989790883">
      <w:bodyDiv w:val="1"/>
      <w:marLeft w:val="0"/>
      <w:marRight w:val="0"/>
      <w:marTop w:val="0"/>
      <w:marBottom w:val="0"/>
      <w:divBdr>
        <w:top w:val="none" w:sz="0" w:space="0" w:color="auto"/>
        <w:left w:val="none" w:sz="0" w:space="0" w:color="auto"/>
        <w:bottom w:val="none" w:sz="0" w:space="0" w:color="auto"/>
        <w:right w:val="none" w:sz="0" w:space="0" w:color="auto"/>
      </w:divBdr>
    </w:div>
    <w:div w:id="1033384392">
      <w:bodyDiv w:val="1"/>
      <w:marLeft w:val="0"/>
      <w:marRight w:val="0"/>
      <w:marTop w:val="0"/>
      <w:marBottom w:val="0"/>
      <w:divBdr>
        <w:top w:val="none" w:sz="0" w:space="0" w:color="auto"/>
        <w:left w:val="none" w:sz="0" w:space="0" w:color="auto"/>
        <w:bottom w:val="none" w:sz="0" w:space="0" w:color="auto"/>
        <w:right w:val="none" w:sz="0" w:space="0" w:color="auto"/>
      </w:divBdr>
    </w:div>
    <w:div w:id="1125077485">
      <w:bodyDiv w:val="1"/>
      <w:marLeft w:val="0"/>
      <w:marRight w:val="0"/>
      <w:marTop w:val="0"/>
      <w:marBottom w:val="0"/>
      <w:divBdr>
        <w:top w:val="none" w:sz="0" w:space="0" w:color="auto"/>
        <w:left w:val="none" w:sz="0" w:space="0" w:color="auto"/>
        <w:bottom w:val="none" w:sz="0" w:space="0" w:color="auto"/>
        <w:right w:val="none" w:sz="0" w:space="0" w:color="auto"/>
      </w:divBdr>
    </w:div>
    <w:div w:id="1179612901">
      <w:bodyDiv w:val="1"/>
      <w:marLeft w:val="0"/>
      <w:marRight w:val="0"/>
      <w:marTop w:val="0"/>
      <w:marBottom w:val="0"/>
      <w:divBdr>
        <w:top w:val="none" w:sz="0" w:space="0" w:color="auto"/>
        <w:left w:val="none" w:sz="0" w:space="0" w:color="auto"/>
        <w:bottom w:val="none" w:sz="0" w:space="0" w:color="auto"/>
        <w:right w:val="none" w:sz="0" w:space="0" w:color="auto"/>
      </w:divBdr>
    </w:div>
    <w:div w:id="1241599074">
      <w:bodyDiv w:val="1"/>
      <w:marLeft w:val="0"/>
      <w:marRight w:val="0"/>
      <w:marTop w:val="0"/>
      <w:marBottom w:val="0"/>
      <w:divBdr>
        <w:top w:val="none" w:sz="0" w:space="0" w:color="auto"/>
        <w:left w:val="none" w:sz="0" w:space="0" w:color="auto"/>
        <w:bottom w:val="none" w:sz="0" w:space="0" w:color="auto"/>
        <w:right w:val="none" w:sz="0" w:space="0" w:color="auto"/>
      </w:divBdr>
    </w:div>
    <w:div w:id="1665664422">
      <w:bodyDiv w:val="1"/>
      <w:marLeft w:val="0"/>
      <w:marRight w:val="0"/>
      <w:marTop w:val="0"/>
      <w:marBottom w:val="0"/>
      <w:divBdr>
        <w:top w:val="none" w:sz="0" w:space="0" w:color="auto"/>
        <w:left w:val="none" w:sz="0" w:space="0" w:color="auto"/>
        <w:bottom w:val="none" w:sz="0" w:space="0" w:color="auto"/>
        <w:right w:val="none" w:sz="0" w:space="0" w:color="auto"/>
      </w:divBdr>
    </w:div>
    <w:div w:id="17313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07/3544983?utm_source=chatgp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2135/cropsci1973.0011183X001300060013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5281/zenodo.1323555?utm_source=chatgpt.co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Imbibition%20curve%2015.01.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Component%20IV\Bute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Component%20IV\But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Component%20IV\But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14634028036025"/>
          <c:y val="0.16632715587357663"/>
          <c:w val="0.63495222234797655"/>
          <c:h val="0.68016286937516846"/>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'FGR imbibition'!$L$893:$L$911</c:f>
                <c:numCache>
                  <c:formatCode>General</c:formatCode>
                  <c:ptCount val="19"/>
                  <c:pt idx="1">
                    <c:v>0.63916977115487217</c:v>
                  </c:pt>
                  <c:pt idx="2">
                    <c:v>2.2594465141032458</c:v>
                  </c:pt>
                  <c:pt idx="3">
                    <c:v>3.4324108568387501</c:v>
                  </c:pt>
                  <c:pt idx="4">
                    <c:v>4.71154869611496</c:v>
                  </c:pt>
                  <c:pt idx="5">
                    <c:v>5.0002660989888312</c:v>
                  </c:pt>
                  <c:pt idx="6">
                    <c:v>5.2778073443321025</c:v>
                  </c:pt>
                  <c:pt idx="7">
                    <c:v>5.934273549760519</c:v>
                  </c:pt>
                  <c:pt idx="8">
                    <c:v>6.4385311335816908</c:v>
                  </c:pt>
                  <c:pt idx="9">
                    <c:v>6.4685896753592393</c:v>
                  </c:pt>
                  <c:pt idx="10">
                    <c:v>6.5579989356040604</c:v>
                  </c:pt>
                  <c:pt idx="11">
                    <c:v>6.6135444385311359</c:v>
                  </c:pt>
                  <c:pt idx="12">
                    <c:v>6.4893560404470625</c:v>
                  </c:pt>
                  <c:pt idx="13">
                    <c:v>6.4917509313464734</c:v>
                  </c:pt>
                  <c:pt idx="14">
                    <c:v>6.512772751463543</c:v>
                  </c:pt>
                  <c:pt idx="15">
                    <c:v>6.512772751463543</c:v>
                  </c:pt>
                  <c:pt idx="16">
                    <c:v>6.6266631186801552</c:v>
                  </c:pt>
                  <c:pt idx="17">
                    <c:v>6.6266631186801552</c:v>
                  </c:pt>
                  <c:pt idx="18">
                    <c:v>6.8435337945715835</c:v>
                  </c:pt>
                </c:numCache>
              </c:numRef>
            </c:plus>
            <c:minus>
              <c:numRef>
                <c:f>'FGR imbibition'!$L$893:$L$911</c:f>
                <c:numCache>
                  <c:formatCode>General</c:formatCode>
                  <c:ptCount val="19"/>
                  <c:pt idx="1">
                    <c:v>0.63916977115487217</c:v>
                  </c:pt>
                  <c:pt idx="2">
                    <c:v>2.2594465141032458</c:v>
                  </c:pt>
                  <c:pt idx="3">
                    <c:v>3.4324108568387501</c:v>
                  </c:pt>
                  <c:pt idx="4">
                    <c:v>4.71154869611496</c:v>
                  </c:pt>
                  <c:pt idx="5">
                    <c:v>5.0002660989888312</c:v>
                  </c:pt>
                  <c:pt idx="6">
                    <c:v>5.2778073443321025</c:v>
                  </c:pt>
                  <c:pt idx="7">
                    <c:v>5.934273549760519</c:v>
                  </c:pt>
                  <c:pt idx="8">
                    <c:v>6.4385311335816908</c:v>
                  </c:pt>
                  <c:pt idx="9">
                    <c:v>6.4685896753592393</c:v>
                  </c:pt>
                  <c:pt idx="10">
                    <c:v>6.5579989356040604</c:v>
                  </c:pt>
                  <c:pt idx="11">
                    <c:v>6.6135444385311359</c:v>
                  </c:pt>
                  <c:pt idx="12">
                    <c:v>6.4893560404470625</c:v>
                  </c:pt>
                  <c:pt idx="13">
                    <c:v>6.4917509313464734</c:v>
                  </c:pt>
                  <c:pt idx="14">
                    <c:v>6.512772751463543</c:v>
                  </c:pt>
                  <c:pt idx="15">
                    <c:v>6.512772751463543</c:v>
                  </c:pt>
                  <c:pt idx="16">
                    <c:v>6.6266631186801552</c:v>
                  </c:pt>
                  <c:pt idx="17">
                    <c:v>6.6266631186801552</c:v>
                  </c:pt>
                  <c:pt idx="18">
                    <c:v>6.8435337945715835</c:v>
                  </c:pt>
                </c:numCache>
              </c:numRef>
            </c:minus>
            <c:spPr>
              <a:noFill/>
              <a:ln w="9525" cap="flat" cmpd="sng" algn="ctr">
                <a:solidFill>
                  <a:schemeClr val="tx1">
                    <a:lumMod val="65000"/>
                    <a:lumOff val="35000"/>
                  </a:schemeClr>
                </a:solidFill>
                <a:round/>
              </a:ln>
              <a:effectLst/>
            </c:spPr>
          </c:errBars>
          <c:xVal>
            <c:numRef>
              <c:f>'FGR imbibition'!$D$892:$D$910</c:f>
              <c:numCache>
                <c:formatCode>General</c:formatCode>
                <c:ptCount val="19"/>
                <c:pt idx="0">
                  <c:v>0</c:v>
                </c:pt>
                <c:pt idx="1">
                  <c:v>1</c:v>
                </c:pt>
                <c:pt idx="2">
                  <c:v>2</c:v>
                </c:pt>
                <c:pt idx="3">
                  <c:v>3</c:v>
                </c:pt>
                <c:pt idx="4">
                  <c:v>4</c:v>
                </c:pt>
                <c:pt idx="5">
                  <c:v>5</c:v>
                </c:pt>
                <c:pt idx="6">
                  <c:v>6</c:v>
                </c:pt>
                <c:pt idx="7">
                  <c:v>7</c:v>
                </c:pt>
                <c:pt idx="8">
                  <c:v>10</c:v>
                </c:pt>
                <c:pt idx="9">
                  <c:v>24</c:v>
                </c:pt>
                <c:pt idx="10">
                  <c:v>25</c:v>
                </c:pt>
                <c:pt idx="11">
                  <c:v>26</c:v>
                </c:pt>
                <c:pt idx="12">
                  <c:v>27</c:v>
                </c:pt>
                <c:pt idx="13">
                  <c:v>28</c:v>
                </c:pt>
                <c:pt idx="14">
                  <c:v>29</c:v>
                </c:pt>
                <c:pt idx="15">
                  <c:v>30</c:v>
                </c:pt>
                <c:pt idx="16">
                  <c:v>31</c:v>
                </c:pt>
                <c:pt idx="17">
                  <c:v>34</c:v>
                </c:pt>
                <c:pt idx="18">
                  <c:v>49</c:v>
                </c:pt>
              </c:numCache>
            </c:numRef>
          </c:xVal>
          <c:yVal>
            <c:numRef>
              <c:f>'FGR imbibition'!$F$892:$F$910</c:f>
              <c:numCache>
                <c:formatCode>0.00</c:formatCode>
                <c:ptCount val="19"/>
                <c:pt idx="0">
                  <c:v>0</c:v>
                </c:pt>
                <c:pt idx="1">
                  <c:v>21.305659038495701</c:v>
                </c:pt>
                <c:pt idx="2">
                  <c:v>75.314883803441575</c:v>
                </c:pt>
                <c:pt idx="3">
                  <c:v>114.41369522795817</c:v>
                </c:pt>
                <c:pt idx="4">
                  <c:v>157.05162320383187</c:v>
                </c:pt>
                <c:pt idx="5">
                  <c:v>166.67553663296084</c:v>
                </c:pt>
                <c:pt idx="6">
                  <c:v>175.92691147773644</c:v>
                </c:pt>
                <c:pt idx="7">
                  <c:v>197.8091183253504</c:v>
                </c:pt>
                <c:pt idx="8">
                  <c:v>214.61770445272305</c:v>
                </c:pt>
                <c:pt idx="9">
                  <c:v>211.61965584530785</c:v>
                </c:pt>
                <c:pt idx="10">
                  <c:v>214.59996452013485</c:v>
                </c:pt>
                <c:pt idx="11">
                  <c:v>215.45148128437114</c:v>
                </c:pt>
                <c:pt idx="12">
                  <c:v>216.31186801490156</c:v>
                </c:pt>
                <c:pt idx="13">
                  <c:v>216.39169771154872</c:v>
                </c:pt>
                <c:pt idx="14">
                  <c:v>217.09242504878478</c:v>
                </c:pt>
                <c:pt idx="15">
                  <c:v>217.09242504878478</c:v>
                </c:pt>
                <c:pt idx="16">
                  <c:v>220.88877062267164</c:v>
                </c:pt>
                <c:pt idx="17">
                  <c:v>220.88877062267164</c:v>
                </c:pt>
                <c:pt idx="18">
                  <c:v>228.11779315238601</c:v>
                </c:pt>
              </c:numCache>
            </c:numRef>
          </c:yVal>
          <c:smooth val="0"/>
          <c:extLst>
            <c:ext xmlns:c16="http://schemas.microsoft.com/office/drawing/2014/chart" uri="{C3380CC4-5D6E-409C-BE32-E72D297353CC}">
              <c16:uniqueId val="{00000000-DA97-419D-A3FA-CC5CA8DCDEF9}"/>
            </c:ext>
          </c:extLst>
        </c:ser>
        <c:dLbls>
          <c:showLegendKey val="0"/>
          <c:showVal val="0"/>
          <c:showCatName val="0"/>
          <c:showSerName val="0"/>
          <c:showPercent val="0"/>
          <c:showBubbleSize val="0"/>
        </c:dLbls>
        <c:axId val="170390272"/>
        <c:axId val="170392192"/>
      </c:scatterChart>
      <c:valAx>
        <c:axId val="170390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Imbition Time (hrs)</a:t>
                </a:r>
              </a:p>
            </c:rich>
          </c:tx>
          <c:layout>
            <c:manualLayout>
              <c:xMode val="edge"/>
              <c:yMode val="edge"/>
              <c:x val="0.45984125681162352"/>
              <c:y val="0.920077043601489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70392192"/>
        <c:crosses val="autoZero"/>
        <c:crossBetween val="midCat"/>
      </c:valAx>
      <c:valAx>
        <c:axId val="170392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Increse in seeed fresh weight (%)</a:t>
                </a:r>
              </a:p>
            </c:rich>
          </c:tx>
          <c:layout>
            <c:manualLayout>
              <c:xMode val="edge"/>
              <c:yMode val="edge"/>
              <c:x val="0.10866040702410193"/>
              <c:y val="0.1156300709559594"/>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703902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t>Impact of Seed Moisture  Content (SMC), Storage Temperature (Degree Celcious) and Storage Duration (Months After Stoarage MAS) on Germination % of </a:t>
            </a:r>
            <a:r>
              <a:rPr lang="en-IN" sz="1000" i="1"/>
              <a:t>Butea monosperma</a:t>
            </a:r>
            <a:endParaRPr lang="en-US" sz="1000" i="1"/>
          </a:p>
          <a:p>
            <a:pPr algn="ctr" rtl="0">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000"/>
          </a:p>
        </c:rich>
      </c:tx>
      <c:layout>
        <c:manualLayout>
          <c:xMode val="edge"/>
          <c:yMode val="edge"/>
          <c:x val="0.14413171080887616"/>
          <c:y val="4.5857224827108085E-2"/>
        </c:manualLayout>
      </c:layout>
      <c:overlay val="0"/>
      <c:spPr>
        <a:noFill/>
        <a:ln>
          <a:noFill/>
        </a:ln>
        <a:effectLst/>
      </c:spPr>
    </c:title>
    <c:autoTitleDeleted val="0"/>
    <c:plotArea>
      <c:layout/>
      <c:barChart>
        <c:barDir val="col"/>
        <c:grouping val="clustered"/>
        <c:varyColors val="0"/>
        <c:ser>
          <c:idx val="0"/>
          <c:order val="0"/>
          <c:tx>
            <c:strRef>
              <c:f>[Butea.xlsx]Sheet2!$AL$96</c:f>
              <c:strCache>
                <c:ptCount val="1"/>
                <c:pt idx="0">
                  <c:v>9%RT</c:v>
                </c:pt>
              </c:strCache>
            </c:strRef>
          </c:tx>
          <c:spPr>
            <a:solidFill>
              <a:schemeClr val="accent1"/>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[Butea.xlsx]Sheet2!$AM$96:$AS$96</c:f>
              <c:numCache>
                <c:formatCode>0.00</c:formatCode>
                <c:ptCount val="7"/>
                <c:pt idx="0">
                  <c:v>98.332999999999998</c:v>
                </c:pt>
                <c:pt idx="1">
                  <c:v>100</c:v>
                </c:pt>
                <c:pt idx="2">
                  <c:v>97.332999999999998</c:v>
                </c:pt>
                <c:pt idx="3">
                  <c:v>96.667000000000002</c:v>
                </c:pt>
                <c:pt idx="4">
                  <c:v>94</c:v>
                </c:pt>
                <c:pt idx="5">
                  <c:v>86.667000000000002</c:v>
                </c:pt>
                <c:pt idx="6">
                  <c:v>53.332999999999998</c:v>
                </c:pt>
              </c:numCache>
            </c:numRef>
          </c:val>
          <c:extLst>
            <c:ext xmlns:c16="http://schemas.microsoft.com/office/drawing/2014/chart" uri="{C3380CC4-5D6E-409C-BE32-E72D297353CC}">
              <c16:uniqueId val="{00000000-00BA-48FB-99EF-B948F4ACBC93}"/>
            </c:ext>
          </c:extLst>
        </c:ser>
        <c:ser>
          <c:idx val="1"/>
          <c:order val="1"/>
          <c:tx>
            <c:strRef>
              <c:f>[Butea.xlsx]Sheet2!$AL$97</c:f>
              <c:strCache>
                <c:ptCount val="1"/>
                <c:pt idx="0">
                  <c:v>9%15°C</c:v>
                </c:pt>
              </c:strCache>
            </c:strRef>
          </c:tx>
          <c:spPr>
            <a:solidFill>
              <a:schemeClr val="accent2"/>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[Butea.xlsx]Sheet2!$AM$97:$AS$97</c:f>
              <c:numCache>
                <c:formatCode>0.00</c:formatCode>
                <c:ptCount val="7"/>
                <c:pt idx="0">
                  <c:v>98.332999999999998</c:v>
                </c:pt>
                <c:pt idx="1">
                  <c:v>100</c:v>
                </c:pt>
                <c:pt idx="2">
                  <c:v>98</c:v>
                </c:pt>
                <c:pt idx="3">
                  <c:v>98.332999999999998</c:v>
                </c:pt>
                <c:pt idx="4">
                  <c:v>98.332999999999998</c:v>
                </c:pt>
                <c:pt idx="5">
                  <c:v>91.667000000000002</c:v>
                </c:pt>
                <c:pt idx="6">
                  <c:v>64</c:v>
                </c:pt>
              </c:numCache>
            </c:numRef>
          </c:val>
          <c:extLst>
            <c:ext xmlns:c16="http://schemas.microsoft.com/office/drawing/2014/chart" uri="{C3380CC4-5D6E-409C-BE32-E72D297353CC}">
              <c16:uniqueId val="{00000001-00BA-48FB-99EF-B948F4ACBC93}"/>
            </c:ext>
          </c:extLst>
        </c:ser>
        <c:ser>
          <c:idx val="2"/>
          <c:order val="2"/>
          <c:tx>
            <c:strRef>
              <c:f>[Butea.xlsx]Sheet2!$AL$98</c:f>
              <c:strCache>
                <c:ptCount val="1"/>
                <c:pt idx="0">
                  <c:v>9%5°C</c:v>
                </c:pt>
              </c:strCache>
            </c:strRef>
          </c:tx>
          <c:spPr>
            <a:solidFill>
              <a:schemeClr val="accent3"/>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[Butea.xlsx]Sheet2!$AM$98:$AS$98</c:f>
              <c:numCache>
                <c:formatCode>0.00</c:formatCode>
                <c:ptCount val="7"/>
                <c:pt idx="0">
                  <c:v>98.332999999999998</c:v>
                </c:pt>
                <c:pt idx="1">
                  <c:v>100</c:v>
                </c:pt>
                <c:pt idx="2">
                  <c:v>99.667000000000002</c:v>
                </c:pt>
                <c:pt idx="3">
                  <c:v>100</c:v>
                </c:pt>
                <c:pt idx="4">
                  <c:v>95.667000000000002</c:v>
                </c:pt>
                <c:pt idx="5">
                  <c:v>91.667000000000002</c:v>
                </c:pt>
                <c:pt idx="6">
                  <c:v>70.667000000000002</c:v>
                </c:pt>
              </c:numCache>
            </c:numRef>
          </c:val>
          <c:extLst>
            <c:ext xmlns:c16="http://schemas.microsoft.com/office/drawing/2014/chart" uri="{C3380CC4-5D6E-409C-BE32-E72D297353CC}">
              <c16:uniqueId val="{00000002-00BA-48FB-99EF-B948F4ACBC93}"/>
            </c:ext>
          </c:extLst>
        </c:ser>
        <c:ser>
          <c:idx val="3"/>
          <c:order val="3"/>
          <c:tx>
            <c:strRef>
              <c:f>[Butea.xlsx]Sheet2!$AL$99</c:f>
              <c:strCache>
                <c:ptCount val="1"/>
                <c:pt idx="0">
                  <c:v>7%RT</c:v>
                </c:pt>
              </c:strCache>
            </c:strRef>
          </c:tx>
          <c:spPr>
            <a:solidFill>
              <a:schemeClr val="accent4"/>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[Butea.xlsx]Sheet2!$AM$99:$AS$99</c:f>
              <c:numCache>
                <c:formatCode>0.00</c:formatCode>
                <c:ptCount val="7"/>
                <c:pt idx="0">
                  <c:v>93.332999999999998</c:v>
                </c:pt>
                <c:pt idx="1">
                  <c:v>93.667000000000002</c:v>
                </c:pt>
                <c:pt idx="2">
                  <c:v>98.332999999999998</c:v>
                </c:pt>
                <c:pt idx="3">
                  <c:v>97</c:v>
                </c:pt>
                <c:pt idx="4">
                  <c:v>97</c:v>
                </c:pt>
                <c:pt idx="5">
                  <c:v>86.332999999999998</c:v>
                </c:pt>
                <c:pt idx="6">
                  <c:v>68.332999999999998</c:v>
                </c:pt>
              </c:numCache>
            </c:numRef>
          </c:val>
          <c:extLst>
            <c:ext xmlns:c16="http://schemas.microsoft.com/office/drawing/2014/chart" uri="{C3380CC4-5D6E-409C-BE32-E72D297353CC}">
              <c16:uniqueId val="{00000003-00BA-48FB-99EF-B948F4ACBC93}"/>
            </c:ext>
          </c:extLst>
        </c:ser>
        <c:ser>
          <c:idx val="4"/>
          <c:order val="4"/>
          <c:tx>
            <c:strRef>
              <c:f>[Butea.xlsx]Sheet2!$AL$100</c:f>
              <c:strCache>
                <c:ptCount val="1"/>
                <c:pt idx="0">
                  <c:v>7%15°C</c:v>
                </c:pt>
              </c:strCache>
            </c:strRef>
          </c:tx>
          <c:spPr>
            <a:solidFill>
              <a:schemeClr val="accent5"/>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[Butea.xlsx]Sheet2!$AM$100:$AS$100</c:f>
              <c:numCache>
                <c:formatCode>0.00</c:formatCode>
                <c:ptCount val="7"/>
                <c:pt idx="0">
                  <c:v>93.332999999999998</c:v>
                </c:pt>
                <c:pt idx="1">
                  <c:v>97</c:v>
                </c:pt>
                <c:pt idx="2">
                  <c:v>97.667000000000002</c:v>
                </c:pt>
                <c:pt idx="3">
                  <c:v>97.332999999999998</c:v>
                </c:pt>
                <c:pt idx="4">
                  <c:v>91.667000000000002</c:v>
                </c:pt>
                <c:pt idx="5">
                  <c:v>89</c:v>
                </c:pt>
                <c:pt idx="6">
                  <c:v>67.332999999999998</c:v>
                </c:pt>
              </c:numCache>
            </c:numRef>
          </c:val>
          <c:extLst>
            <c:ext xmlns:c16="http://schemas.microsoft.com/office/drawing/2014/chart" uri="{C3380CC4-5D6E-409C-BE32-E72D297353CC}">
              <c16:uniqueId val="{00000004-00BA-48FB-99EF-B948F4ACBC93}"/>
            </c:ext>
          </c:extLst>
        </c:ser>
        <c:ser>
          <c:idx val="5"/>
          <c:order val="5"/>
          <c:tx>
            <c:strRef>
              <c:f>[Butea.xlsx]Sheet2!$AL$101</c:f>
              <c:strCache>
                <c:ptCount val="1"/>
                <c:pt idx="0">
                  <c:v>7%5°C</c:v>
                </c:pt>
              </c:strCache>
            </c:strRef>
          </c:tx>
          <c:spPr>
            <a:solidFill>
              <a:schemeClr val="accent6"/>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[Butea.xlsx]Sheet2!$AM$101:$AS$101</c:f>
              <c:numCache>
                <c:formatCode>0.00</c:formatCode>
                <c:ptCount val="7"/>
                <c:pt idx="0">
                  <c:v>93.332999999999998</c:v>
                </c:pt>
                <c:pt idx="1">
                  <c:v>95.332999999999998</c:v>
                </c:pt>
                <c:pt idx="2">
                  <c:v>99.332999999999998</c:v>
                </c:pt>
                <c:pt idx="3">
                  <c:v>99.332999999999998</c:v>
                </c:pt>
                <c:pt idx="4">
                  <c:v>95.667000000000002</c:v>
                </c:pt>
                <c:pt idx="5">
                  <c:v>93.332999999999998</c:v>
                </c:pt>
                <c:pt idx="6">
                  <c:v>69</c:v>
                </c:pt>
              </c:numCache>
            </c:numRef>
          </c:val>
          <c:extLst>
            <c:ext xmlns:c16="http://schemas.microsoft.com/office/drawing/2014/chart" uri="{C3380CC4-5D6E-409C-BE32-E72D297353CC}">
              <c16:uniqueId val="{00000005-00BA-48FB-99EF-B948F4ACBC93}"/>
            </c:ext>
          </c:extLst>
        </c:ser>
        <c:ser>
          <c:idx val="6"/>
          <c:order val="6"/>
          <c:tx>
            <c:strRef>
              <c:f>[Butea.xlsx]Sheet2!$AL$102</c:f>
              <c:strCache>
                <c:ptCount val="1"/>
                <c:pt idx="0">
                  <c:v>3.73%RT</c:v>
                </c:pt>
              </c:strCache>
            </c:strRef>
          </c:tx>
          <c:spPr>
            <a:solidFill>
              <a:schemeClr val="accent1">
                <a:lumMod val="60000"/>
              </a:schemeClr>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[Butea.xlsx]Sheet2!$AM$102:$AS$102</c:f>
              <c:numCache>
                <c:formatCode>0.00</c:formatCode>
                <c:ptCount val="7"/>
                <c:pt idx="0">
                  <c:v>96.667000000000002</c:v>
                </c:pt>
                <c:pt idx="1">
                  <c:v>97.332999999999998</c:v>
                </c:pt>
                <c:pt idx="2">
                  <c:v>99.667000000000002</c:v>
                </c:pt>
                <c:pt idx="3">
                  <c:v>96</c:v>
                </c:pt>
                <c:pt idx="4">
                  <c:v>97.332999999999998</c:v>
                </c:pt>
                <c:pt idx="5">
                  <c:v>96.667000000000002</c:v>
                </c:pt>
                <c:pt idx="6">
                  <c:v>81.332999999999998</c:v>
                </c:pt>
              </c:numCache>
            </c:numRef>
          </c:val>
          <c:extLst>
            <c:ext xmlns:c16="http://schemas.microsoft.com/office/drawing/2014/chart" uri="{C3380CC4-5D6E-409C-BE32-E72D297353CC}">
              <c16:uniqueId val="{00000006-00BA-48FB-99EF-B948F4ACBC93}"/>
            </c:ext>
          </c:extLst>
        </c:ser>
        <c:ser>
          <c:idx val="7"/>
          <c:order val="7"/>
          <c:tx>
            <c:strRef>
              <c:f>[Butea.xlsx]Sheet2!$AL$103</c:f>
              <c:strCache>
                <c:ptCount val="1"/>
                <c:pt idx="0">
                  <c:v>3.73%15°C</c:v>
                </c:pt>
              </c:strCache>
            </c:strRef>
          </c:tx>
          <c:spPr>
            <a:solidFill>
              <a:schemeClr val="accent2">
                <a:lumMod val="60000"/>
              </a:schemeClr>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[Butea.xlsx]Sheet2!$AM$103:$AS$103</c:f>
              <c:numCache>
                <c:formatCode>0.00</c:formatCode>
                <c:ptCount val="7"/>
                <c:pt idx="0">
                  <c:v>96.667000000000002</c:v>
                </c:pt>
                <c:pt idx="1">
                  <c:v>95.667000000000002</c:v>
                </c:pt>
                <c:pt idx="2">
                  <c:v>95.667000000000002</c:v>
                </c:pt>
                <c:pt idx="3">
                  <c:v>99.332999999999998</c:v>
                </c:pt>
                <c:pt idx="4">
                  <c:v>94.667000000000002</c:v>
                </c:pt>
                <c:pt idx="5">
                  <c:v>93</c:v>
                </c:pt>
                <c:pt idx="6">
                  <c:v>78.332999999999998</c:v>
                </c:pt>
              </c:numCache>
            </c:numRef>
          </c:val>
          <c:extLst>
            <c:ext xmlns:c16="http://schemas.microsoft.com/office/drawing/2014/chart" uri="{C3380CC4-5D6E-409C-BE32-E72D297353CC}">
              <c16:uniqueId val="{00000007-00BA-48FB-99EF-B948F4ACBC93}"/>
            </c:ext>
          </c:extLst>
        </c:ser>
        <c:ser>
          <c:idx val="8"/>
          <c:order val="8"/>
          <c:tx>
            <c:strRef>
              <c:f>[Butea.xlsx]Sheet2!$AL$104</c:f>
              <c:strCache>
                <c:ptCount val="1"/>
                <c:pt idx="0">
                  <c:v>3.73%5°C</c:v>
                </c:pt>
              </c:strCache>
            </c:strRef>
          </c:tx>
          <c:spPr>
            <a:solidFill>
              <a:schemeClr val="accent3">
                <a:lumMod val="60000"/>
              </a:schemeClr>
            </a:solidFill>
            <a:ln>
              <a:noFill/>
            </a:ln>
            <a:effectLst/>
          </c:spPr>
          <c:invertIfNegative val="0"/>
          <c:cat>
            <c:strRef>
              <c:f>[Butea.xlsx]Sheet2!$AM$94:$AS$95</c:f>
              <c:strCache>
                <c:ptCount val="7"/>
                <c:pt idx="0">
                  <c:v>0</c:v>
                </c:pt>
                <c:pt idx="1">
                  <c:v>3</c:v>
                </c:pt>
                <c:pt idx="2">
                  <c:v>6</c:v>
                </c:pt>
                <c:pt idx="3">
                  <c:v>9</c:v>
                </c:pt>
                <c:pt idx="4">
                  <c:v>12</c:v>
                </c:pt>
                <c:pt idx="5">
                  <c:v>24</c:v>
                </c:pt>
                <c:pt idx="6">
                  <c:v>36</c:v>
                </c:pt>
              </c:strCache>
            </c:strRef>
          </c:cat>
          <c:val>
            <c:numRef>
              <c:f>[Butea.xlsx]Sheet2!$AM$104:$AS$104</c:f>
              <c:numCache>
                <c:formatCode>0.00</c:formatCode>
                <c:ptCount val="7"/>
                <c:pt idx="0">
                  <c:v>96.667000000000002</c:v>
                </c:pt>
                <c:pt idx="1">
                  <c:v>95.332999999999998</c:v>
                </c:pt>
                <c:pt idx="2">
                  <c:v>96.667000000000002</c:v>
                </c:pt>
                <c:pt idx="3">
                  <c:v>97</c:v>
                </c:pt>
                <c:pt idx="4">
                  <c:v>93</c:v>
                </c:pt>
                <c:pt idx="5">
                  <c:v>91.667000000000002</c:v>
                </c:pt>
                <c:pt idx="6">
                  <c:v>78.332999999999998</c:v>
                </c:pt>
              </c:numCache>
            </c:numRef>
          </c:val>
          <c:extLst>
            <c:ext xmlns:c16="http://schemas.microsoft.com/office/drawing/2014/chart" uri="{C3380CC4-5D6E-409C-BE32-E72D297353CC}">
              <c16:uniqueId val="{00000008-00BA-48FB-99EF-B948F4ACBC93}"/>
            </c:ext>
          </c:extLst>
        </c:ser>
        <c:dLbls>
          <c:showLegendKey val="0"/>
          <c:showVal val="0"/>
          <c:showCatName val="0"/>
          <c:showSerName val="0"/>
          <c:showPercent val="0"/>
          <c:showBubbleSize val="0"/>
        </c:dLbls>
        <c:gapWidth val="219"/>
        <c:overlap val="-27"/>
        <c:axId val="192754432"/>
        <c:axId val="192756352"/>
      </c:barChart>
      <c:catAx>
        <c:axId val="192754432"/>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Storage Duration (Months)</a:t>
                </a:r>
              </a:p>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rich>
          </c:tx>
          <c:layout>
            <c:manualLayout>
              <c:xMode val="edge"/>
              <c:yMode val="edge"/>
              <c:x val="0.3949770197220645"/>
              <c:y val="0.7237147095743466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756352"/>
        <c:crosses val="autoZero"/>
        <c:auto val="1"/>
        <c:lblAlgn val="ctr"/>
        <c:lblOffset val="100"/>
        <c:noMultiLvlLbl val="0"/>
      </c:catAx>
      <c:valAx>
        <c:axId val="192756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Germination %</a:t>
                </a:r>
                <a:endParaRPr lang="en-US"/>
              </a:p>
            </c:rich>
          </c:tx>
          <c:layout>
            <c:manualLayout>
              <c:xMode val="edge"/>
              <c:yMode val="edge"/>
              <c:x val="2.5078369905956112E-2"/>
              <c:y val="0.29585697439993913"/>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75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t>Impact of Seed Moisture  Content (SMC), Storage Temperature (Degree Celcious) and Storage Duration (Months After Stoarage MAS) on Seedling length of </a:t>
            </a:r>
            <a:r>
              <a:rPr lang="en-IN" sz="1000" i="1"/>
              <a:t>Butea monosperma</a:t>
            </a:r>
            <a:endParaRPr lang="en-US" sz="1000" i="1"/>
          </a:p>
          <a:p>
            <a:pPr algn="ctr" rtl="0">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000"/>
          </a:p>
        </c:rich>
      </c:tx>
      <c:overlay val="0"/>
      <c:spPr>
        <a:noFill/>
        <a:ln>
          <a:noFill/>
        </a:ln>
        <a:effectLst/>
      </c:spPr>
    </c:title>
    <c:autoTitleDeleted val="0"/>
    <c:plotArea>
      <c:layout>
        <c:manualLayout>
          <c:layoutTarget val="inner"/>
          <c:xMode val="edge"/>
          <c:yMode val="edge"/>
          <c:x val="0.13451007472142879"/>
          <c:y val="0.21124294302898938"/>
          <c:w val="0.83998268355902161"/>
          <c:h val="0.40116179720235645"/>
        </c:manualLayout>
      </c:layout>
      <c:barChart>
        <c:barDir val="col"/>
        <c:grouping val="clustered"/>
        <c:varyColors val="0"/>
        <c:ser>
          <c:idx val="0"/>
          <c:order val="0"/>
          <c:tx>
            <c:strRef>
              <c:f>Sheet2!$AU$96</c:f>
              <c:strCache>
                <c:ptCount val="1"/>
                <c:pt idx="0">
                  <c:v>9%RT</c:v>
                </c:pt>
              </c:strCache>
            </c:strRef>
          </c:tx>
          <c:spPr>
            <a:solidFill>
              <a:schemeClr val="accent1"/>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Sheet2!$AV$96:$BB$96</c:f>
              <c:numCache>
                <c:formatCode>0.00</c:formatCode>
                <c:ptCount val="7"/>
                <c:pt idx="0">
                  <c:v>24.52</c:v>
                </c:pt>
                <c:pt idx="1">
                  <c:v>21.286999999999999</c:v>
                </c:pt>
                <c:pt idx="2">
                  <c:v>14.776999999999999</c:v>
                </c:pt>
                <c:pt idx="3">
                  <c:v>15.02</c:v>
                </c:pt>
                <c:pt idx="4">
                  <c:v>13.872999999999999</c:v>
                </c:pt>
                <c:pt idx="5">
                  <c:v>15.813000000000001</c:v>
                </c:pt>
                <c:pt idx="6">
                  <c:v>15.72</c:v>
                </c:pt>
              </c:numCache>
            </c:numRef>
          </c:val>
          <c:extLst>
            <c:ext xmlns:c16="http://schemas.microsoft.com/office/drawing/2014/chart" uri="{C3380CC4-5D6E-409C-BE32-E72D297353CC}">
              <c16:uniqueId val="{00000000-EBE2-4E3C-BDCD-64C62F1FB68A}"/>
            </c:ext>
          </c:extLst>
        </c:ser>
        <c:ser>
          <c:idx val="1"/>
          <c:order val="1"/>
          <c:tx>
            <c:strRef>
              <c:f>Sheet2!$AU$97</c:f>
              <c:strCache>
                <c:ptCount val="1"/>
                <c:pt idx="0">
                  <c:v>9%15°C</c:v>
                </c:pt>
              </c:strCache>
            </c:strRef>
          </c:tx>
          <c:spPr>
            <a:solidFill>
              <a:schemeClr val="accent2"/>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Sheet2!$AV$97:$BB$97</c:f>
              <c:numCache>
                <c:formatCode>0.00</c:formatCode>
                <c:ptCount val="7"/>
                <c:pt idx="0">
                  <c:v>24.52</c:v>
                </c:pt>
                <c:pt idx="1">
                  <c:v>18.91</c:v>
                </c:pt>
                <c:pt idx="2">
                  <c:v>22.727</c:v>
                </c:pt>
                <c:pt idx="3">
                  <c:v>15.217000000000001</c:v>
                </c:pt>
                <c:pt idx="4">
                  <c:v>11.413</c:v>
                </c:pt>
                <c:pt idx="5">
                  <c:v>18.8</c:v>
                </c:pt>
                <c:pt idx="6">
                  <c:v>10.367000000000001</c:v>
                </c:pt>
              </c:numCache>
            </c:numRef>
          </c:val>
          <c:extLst>
            <c:ext xmlns:c16="http://schemas.microsoft.com/office/drawing/2014/chart" uri="{C3380CC4-5D6E-409C-BE32-E72D297353CC}">
              <c16:uniqueId val="{00000001-EBE2-4E3C-BDCD-64C62F1FB68A}"/>
            </c:ext>
          </c:extLst>
        </c:ser>
        <c:ser>
          <c:idx val="2"/>
          <c:order val="2"/>
          <c:tx>
            <c:strRef>
              <c:f>Sheet2!$AU$98</c:f>
              <c:strCache>
                <c:ptCount val="1"/>
                <c:pt idx="0">
                  <c:v>9%5°C</c:v>
                </c:pt>
              </c:strCache>
            </c:strRef>
          </c:tx>
          <c:spPr>
            <a:solidFill>
              <a:schemeClr val="accent3"/>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Sheet2!$AV$98:$BB$98</c:f>
              <c:numCache>
                <c:formatCode>0.00</c:formatCode>
                <c:ptCount val="7"/>
                <c:pt idx="0">
                  <c:v>24.52</c:v>
                </c:pt>
                <c:pt idx="1">
                  <c:v>20.273</c:v>
                </c:pt>
                <c:pt idx="2">
                  <c:v>10.067</c:v>
                </c:pt>
                <c:pt idx="3">
                  <c:v>20.687000000000001</c:v>
                </c:pt>
                <c:pt idx="4">
                  <c:v>10.186999999999999</c:v>
                </c:pt>
                <c:pt idx="5">
                  <c:v>16.702999999999999</c:v>
                </c:pt>
                <c:pt idx="6">
                  <c:v>11.957000000000001</c:v>
                </c:pt>
              </c:numCache>
            </c:numRef>
          </c:val>
          <c:extLst>
            <c:ext xmlns:c16="http://schemas.microsoft.com/office/drawing/2014/chart" uri="{C3380CC4-5D6E-409C-BE32-E72D297353CC}">
              <c16:uniqueId val="{00000002-EBE2-4E3C-BDCD-64C62F1FB68A}"/>
            </c:ext>
          </c:extLst>
        </c:ser>
        <c:ser>
          <c:idx val="3"/>
          <c:order val="3"/>
          <c:tx>
            <c:strRef>
              <c:f>Sheet2!$AU$99</c:f>
              <c:strCache>
                <c:ptCount val="1"/>
                <c:pt idx="0">
                  <c:v>7%RT</c:v>
                </c:pt>
              </c:strCache>
            </c:strRef>
          </c:tx>
          <c:spPr>
            <a:solidFill>
              <a:schemeClr val="accent4"/>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Sheet2!$AV$99:$BB$99</c:f>
              <c:numCache>
                <c:formatCode>0.00</c:formatCode>
                <c:ptCount val="7"/>
                <c:pt idx="0">
                  <c:v>18.492999999999999</c:v>
                </c:pt>
                <c:pt idx="1">
                  <c:v>19.753</c:v>
                </c:pt>
                <c:pt idx="2">
                  <c:v>11.516999999999999</c:v>
                </c:pt>
                <c:pt idx="3">
                  <c:v>19.472999999999999</c:v>
                </c:pt>
                <c:pt idx="4">
                  <c:v>10.647</c:v>
                </c:pt>
                <c:pt idx="5">
                  <c:v>16.393000000000001</c:v>
                </c:pt>
                <c:pt idx="6">
                  <c:v>14.457000000000001</c:v>
                </c:pt>
              </c:numCache>
            </c:numRef>
          </c:val>
          <c:extLst>
            <c:ext xmlns:c16="http://schemas.microsoft.com/office/drawing/2014/chart" uri="{C3380CC4-5D6E-409C-BE32-E72D297353CC}">
              <c16:uniqueId val="{00000003-EBE2-4E3C-BDCD-64C62F1FB68A}"/>
            </c:ext>
          </c:extLst>
        </c:ser>
        <c:ser>
          <c:idx val="4"/>
          <c:order val="4"/>
          <c:tx>
            <c:strRef>
              <c:f>Sheet2!$AU$100</c:f>
              <c:strCache>
                <c:ptCount val="1"/>
                <c:pt idx="0">
                  <c:v>7%15°C</c:v>
                </c:pt>
              </c:strCache>
            </c:strRef>
          </c:tx>
          <c:spPr>
            <a:solidFill>
              <a:schemeClr val="accent5"/>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Sheet2!$AV$100:$BB$100</c:f>
              <c:numCache>
                <c:formatCode>0.00</c:formatCode>
                <c:ptCount val="7"/>
                <c:pt idx="0">
                  <c:v>18.492999999999999</c:v>
                </c:pt>
                <c:pt idx="1">
                  <c:v>16.753</c:v>
                </c:pt>
                <c:pt idx="2">
                  <c:v>16.516999999999999</c:v>
                </c:pt>
                <c:pt idx="3">
                  <c:v>14.79</c:v>
                </c:pt>
                <c:pt idx="4">
                  <c:v>10.82</c:v>
                </c:pt>
                <c:pt idx="5">
                  <c:v>11.733000000000001</c:v>
                </c:pt>
                <c:pt idx="6">
                  <c:v>10.403</c:v>
                </c:pt>
              </c:numCache>
            </c:numRef>
          </c:val>
          <c:extLst>
            <c:ext xmlns:c16="http://schemas.microsoft.com/office/drawing/2014/chart" uri="{C3380CC4-5D6E-409C-BE32-E72D297353CC}">
              <c16:uniqueId val="{00000004-EBE2-4E3C-BDCD-64C62F1FB68A}"/>
            </c:ext>
          </c:extLst>
        </c:ser>
        <c:ser>
          <c:idx val="5"/>
          <c:order val="5"/>
          <c:tx>
            <c:strRef>
              <c:f>Sheet2!$AU$101</c:f>
              <c:strCache>
                <c:ptCount val="1"/>
                <c:pt idx="0">
                  <c:v>7%5°C</c:v>
                </c:pt>
              </c:strCache>
            </c:strRef>
          </c:tx>
          <c:spPr>
            <a:solidFill>
              <a:schemeClr val="accent6"/>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Sheet2!$AV$101:$BB$101</c:f>
              <c:numCache>
                <c:formatCode>0.00</c:formatCode>
                <c:ptCount val="7"/>
                <c:pt idx="0">
                  <c:v>18.492999999999999</c:v>
                </c:pt>
                <c:pt idx="1">
                  <c:v>19.940000000000001</c:v>
                </c:pt>
                <c:pt idx="2">
                  <c:v>20.76</c:v>
                </c:pt>
                <c:pt idx="3">
                  <c:v>16.850000000000001</c:v>
                </c:pt>
                <c:pt idx="4">
                  <c:v>14.727</c:v>
                </c:pt>
                <c:pt idx="5">
                  <c:v>13.587</c:v>
                </c:pt>
                <c:pt idx="6">
                  <c:v>14.887</c:v>
                </c:pt>
              </c:numCache>
            </c:numRef>
          </c:val>
          <c:extLst>
            <c:ext xmlns:c16="http://schemas.microsoft.com/office/drawing/2014/chart" uri="{C3380CC4-5D6E-409C-BE32-E72D297353CC}">
              <c16:uniqueId val="{00000005-EBE2-4E3C-BDCD-64C62F1FB68A}"/>
            </c:ext>
          </c:extLst>
        </c:ser>
        <c:ser>
          <c:idx val="6"/>
          <c:order val="6"/>
          <c:tx>
            <c:strRef>
              <c:f>Sheet2!$AU$102</c:f>
              <c:strCache>
                <c:ptCount val="1"/>
                <c:pt idx="0">
                  <c:v>3.73%RT</c:v>
                </c:pt>
              </c:strCache>
            </c:strRef>
          </c:tx>
          <c:spPr>
            <a:solidFill>
              <a:schemeClr val="accent1">
                <a:lumMod val="60000"/>
              </a:schemeClr>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Sheet2!$AV$102:$BB$102</c:f>
              <c:numCache>
                <c:formatCode>0.00</c:formatCode>
                <c:ptCount val="7"/>
                <c:pt idx="0">
                  <c:v>18.579999999999998</c:v>
                </c:pt>
                <c:pt idx="1">
                  <c:v>16.562999999999999</c:v>
                </c:pt>
                <c:pt idx="2">
                  <c:v>15.563000000000001</c:v>
                </c:pt>
                <c:pt idx="3">
                  <c:v>20.427</c:v>
                </c:pt>
                <c:pt idx="4">
                  <c:v>10.69</c:v>
                </c:pt>
                <c:pt idx="5">
                  <c:v>20.527000000000001</c:v>
                </c:pt>
                <c:pt idx="6">
                  <c:v>11.48</c:v>
                </c:pt>
              </c:numCache>
            </c:numRef>
          </c:val>
          <c:extLst>
            <c:ext xmlns:c16="http://schemas.microsoft.com/office/drawing/2014/chart" uri="{C3380CC4-5D6E-409C-BE32-E72D297353CC}">
              <c16:uniqueId val="{00000006-EBE2-4E3C-BDCD-64C62F1FB68A}"/>
            </c:ext>
          </c:extLst>
        </c:ser>
        <c:ser>
          <c:idx val="7"/>
          <c:order val="7"/>
          <c:tx>
            <c:strRef>
              <c:f>Sheet2!$AU$103</c:f>
              <c:strCache>
                <c:ptCount val="1"/>
                <c:pt idx="0">
                  <c:v>3.73%15°C</c:v>
                </c:pt>
              </c:strCache>
            </c:strRef>
          </c:tx>
          <c:spPr>
            <a:solidFill>
              <a:schemeClr val="accent2">
                <a:lumMod val="60000"/>
              </a:schemeClr>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Sheet2!$AV$103:$BB$103</c:f>
              <c:numCache>
                <c:formatCode>0.00</c:formatCode>
                <c:ptCount val="7"/>
                <c:pt idx="0">
                  <c:v>18.579999999999998</c:v>
                </c:pt>
                <c:pt idx="1">
                  <c:v>19.739999999999998</c:v>
                </c:pt>
                <c:pt idx="2">
                  <c:v>22.7</c:v>
                </c:pt>
                <c:pt idx="3">
                  <c:v>19.809999999999999</c:v>
                </c:pt>
                <c:pt idx="4">
                  <c:v>16.632999999999999</c:v>
                </c:pt>
                <c:pt idx="5">
                  <c:v>15.6</c:v>
                </c:pt>
                <c:pt idx="6">
                  <c:v>16.786999999999999</c:v>
                </c:pt>
              </c:numCache>
            </c:numRef>
          </c:val>
          <c:extLst>
            <c:ext xmlns:c16="http://schemas.microsoft.com/office/drawing/2014/chart" uri="{C3380CC4-5D6E-409C-BE32-E72D297353CC}">
              <c16:uniqueId val="{00000007-EBE2-4E3C-BDCD-64C62F1FB68A}"/>
            </c:ext>
          </c:extLst>
        </c:ser>
        <c:ser>
          <c:idx val="8"/>
          <c:order val="8"/>
          <c:tx>
            <c:strRef>
              <c:f>Sheet2!$AU$104</c:f>
              <c:strCache>
                <c:ptCount val="1"/>
                <c:pt idx="0">
                  <c:v>3.73%5°C</c:v>
                </c:pt>
              </c:strCache>
            </c:strRef>
          </c:tx>
          <c:spPr>
            <a:solidFill>
              <a:schemeClr val="accent3">
                <a:lumMod val="60000"/>
              </a:schemeClr>
            </a:solidFill>
            <a:ln>
              <a:noFill/>
            </a:ln>
            <a:effectLst/>
          </c:spPr>
          <c:invertIfNegative val="0"/>
          <c:cat>
            <c:strRef>
              <c:f>Sheet2!$AV$94:$BB$95</c:f>
              <c:strCache>
                <c:ptCount val="7"/>
                <c:pt idx="0">
                  <c:v>0</c:v>
                </c:pt>
                <c:pt idx="1">
                  <c:v>3</c:v>
                </c:pt>
                <c:pt idx="2">
                  <c:v>6</c:v>
                </c:pt>
                <c:pt idx="3">
                  <c:v>9</c:v>
                </c:pt>
                <c:pt idx="4">
                  <c:v>12</c:v>
                </c:pt>
                <c:pt idx="5">
                  <c:v>24</c:v>
                </c:pt>
                <c:pt idx="6">
                  <c:v>36</c:v>
                </c:pt>
              </c:strCache>
            </c:strRef>
          </c:cat>
          <c:val>
            <c:numRef>
              <c:f>Sheet2!$AV$104:$BB$104</c:f>
              <c:numCache>
                <c:formatCode>0.00</c:formatCode>
                <c:ptCount val="7"/>
                <c:pt idx="0">
                  <c:v>18.579999999999998</c:v>
                </c:pt>
                <c:pt idx="1">
                  <c:v>21.623000000000001</c:v>
                </c:pt>
                <c:pt idx="2">
                  <c:v>19.812999999999999</c:v>
                </c:pt>
                <c:pt idx="3">
                  <c:v>15.29</c:v>
                </c:pt>
                <c:pt idx="4">
                  <c:v>13.583</c:v>
                </c:pt>
                <c:pt idx="5">
                  <c:v>16.492999999999999</c:v>
                </c:pt>
                <c:pt idx="6">
                  <c:v>14.202999999999999</c:v>
                </c:pt>
              </c:numCache>
            </c:numRef>
          </c:val>
          <c:extLst>
            <c:ext xmlns:c16="http://schemas.microsoft.com/office/drawing/2014/chart" uri="{C3380CC4-5D6E-409C-BE32-E72D297353CC}">
              <c16:uniqueId val="{00000008-EBE2-4E3C-BDCD-64C62F1FB68A}"/>
            </c:ext>
          </c:extLst>
        </c:ser>
        <c:dLbls>
          <c:showLegendKey val="0"/>
          <c:showVal val="0"/>
          <c:showCatName val="0"/>
          <c:showSerName val="0"/>
          <c:showPercent val="0"/>
          <c:showBubbleSize val="0"/>
        </c:dLbls>
        <c:gapWidth val="219"/>
        <c:overlap val="-27"/>
        <c:axId val="191317504"/>
        <c:axId val="191319424"/>
      </c:barChart>
      <c:catAx>
        <c:axId val="191317504"/>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Storage Duration (Months)</a:t>
                </a:r>
              </a:p>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rich>
          </c:tx>
          <c:layout>
            <c:manualLayout>
              <c:xMode val="edge"/>
              <c:yMode val="edge"/>
              <c:x val="0.37384840807942482"/>
              <c:y val="0.704434986970785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1319424"/>
        <c:crosses val="autoZero"/>
        <c:auto val="1"/>
        <c:lblAlgn val="ctr"/>
        <c:lblOffset val="100"/>
        <c:noMultiLvlLbl val="0"/>
      </c:catAx>
      <c:valAx>
        <c:axId val="19131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Seedling length (cm) </a:t>
                </a:r>
                <a:endParaRPr lang="en-US"/>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1317504"/>
        <c:crosses val="autoZero"/>
        <c:crossBetween val="between"/>
      </c:valAx>
      <c:spPr>
        <a:noFill/>
        <a:ln>
          <a:noFill/>
        </a:ln>
        <a:effectLst/>
      </c:spPr>
    </c:plotArea>
    <c:legend>
      <c:legendPos val="b"/>
      <c:layout>
        <c:manualLayout>
          <c:xMode val="edge"/>
          <c:yMode val="edge"/>
          <c:x val="1.5217434172327434E-2"/>
          <c:y val="0.80007952206903776"/>
          <c:w val="0.89999992696566433"/>
          <c:h val="0.171039659552380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t>Impact of Seed Moisture  Content (SMC), Storage Temperature (Degree Celcious) and Storage Duration (Months After Stoarage MAS) on </a:t>
            </a:r>
            <a:r>
              <a:rPr lang="en-IN"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Seed Vigour Index </a:t>
            </a:r>
            <a:r>
              <a:rPr lang="en-IN" sz="1000"/>
              <a:t>I of </a:t>
            </a:r>
            <a:r>
              <a:rPr lang="en-IN" sz="1000" i="1"/>
              <a:t>Butea monosperma</a:t>
            </a:r>
            <a:endParaRPr lang="en-US" sz="1000" i="1"/>
          </a:p>
          <a:p>
            <a:pPr algn="ctr" rtl="0">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000"/>
          </a:p>
        </c:rich>
      </c:tx>
      <c:overlay val="0"/>
      <c:spPr>
        <a:noFill/>
        <a:ln>
          <a:noFill/>
        </a:ln>
        <a:effectLst/>
      </c:spPr>
    </c:title>
    <c:autoTitleDeleted val="0"/>
    <c:plotArea>
      <c:layout/>
      <c:barChart>
        <c:barDir val="col"/>
        <c:grouping val="clustered"/>
        <c:varyColors val="0"/>
        <c:ser>
          <c:idx val="0"/>
          <c:order val="0"/>
          <c:tx>
            <c:strRef>
              <c:f>Sheet2!$BE$96</c:f>
              <c:strCache>
                <c:ptCount val="1"/>
                <c:pt idx="0">
                  <c:v>9%RT</c:v>
                </c:pt>
              </c:strCache>
            </c:strRef>
          </c:tx>
          <c:spPr>
            <a:solidFill>
              <a:schemeClr val="accent1"/>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Sheet2!$BF$96:$BL$96</c:f>
              <c:numCache>
                <c:formatCode>#,##0.00</c:formatCode>
                <c:ptCount val="7"/>
                <c:pt idx="0">
                  <c:v>2412</c:v>
                </c:pt>
                <c:pt idx="1">
                  <c:v>2128.6669999999999</c:v>
                </c:pt>
                <c:pt idx="2">
                  <c:v>1440.6669999999999</c:v>
                </c:pt>
                <c:pt idx="3">
                  <c:v>1451.7170000000001</c:v>
                </c:pt>
                <c:pt idx="4">
                  <c:v>1304.3800000000001</c:v>
                </c:pt>
                <c:pt idx="5">
                  <c:v>1370.5229999999999</c:v>
                </c:pt>
                <c:pt idx="6">
                  <c:v>840.4</c:v>
                </c:pt>
              </c:numCache>
            </c:numRef>
          </c:val>
          <c:extLst>
            <c:ext xmlns:c16="http://schemas.microsoft.com/office/drawing/2014/chart" uri="{C3380CC4-5D6E-409C-BE32-E72D297353CC}">
              <c16:uniqueId val="{00000000-558D-4BDA-89A6-0A4AE078A144}"/>
            </c:ext>
          </c:extLst>
        </c:ser>
        <c:ser>
          <c:idx val="1"/>
          <c:order val="1"/>
          <c:tx>
            <c:strRef>
              <c:f>Sheet2!$BE$97</c:f>
              <c:strCache>
                <c:ptCount val="1"/>
                <c:pt idx="0">
                  <c:v>9%15°C</c:v>
                </c:pt>
              </c:strCache>
            </c:strRef>
          </c:tx>
          <c:spPr>
            <a:solidFill>
              <a:schemeClr val="accent2"/>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Sheet2!$BF$97:$BL$97</c:f>
              <c:numCache>
                <c:formatCode>#,##0.00</c:formatCode>
                <c:ptCount val="7"/>
                <c:pt idx="0">
                  <c:v>2412</c:v>
                </c:pt>
                <c:pt idx="1">
                  <c:v>1891</c:v>
                </c:pt>
                <c:pt idx="2">
                  <c:v>2224.067</c:v>
                </c:pt>
                <c:pt idx="3">
                  <c:v>1496.2</c:v>
                </c:pt>
                <c:pt idx="4">
                  <c:v>1120.9670000000001</c:v>
                </c:pt>
                <c:pt idx="5">
                  <c:v>1721.2670000000001</c:v>
                </c:pt>
                <c:pt idx="6">
                  <c:v>666.947</c:v>
                </c:pt>
              </c:numCache>
            </c:numRef>
          </c:val>
          <c:extLst>
            <c:ext xmlns:c16="http://schemas.microsoft.com/office/drawing/2014/chart" uri="{C3380CC4-5D6E-409C-BE32-E72D297353CC}">
              <c16:uniqueId val="{00000001-558D-4BDA-89A6-0A4AE078A144}"/>
            </c:ext>
          </c:extLst>
        </c:ser>
        <c:ser>
          <c:idx val="2"/>
          <c:order val="2"/>
          <c:tx>
            <c:strRef>
              <c:f>Sheet2!$BE$98</c:f>
              <c:strCache>
                <c:ptCount val="1"/>
                <c:pt idx="0">
                  <c:v>9%5°C</c:v>
                </c:pt>
              </c:strCache>
            </c:strRef>
          </c:tx>
          <c:spPr>
            <a:solidFill>
              <a:schemeClr val="accent3"/>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Sheet2!$BF$98:$BL$98</c:f>
              <c:numCache>
                <c:formatCode>#,##0.00</c:formatCode>
                <c:ptCount val="7"/>
                <c:pt idx="0">
                  <c:v>2412</c:v>
                </c:pt>
                <c:pt idx="1">
                  <c:v>2027.3330000000001</c:v>
                </c:pt>
                <c:pt idx="2">
                  <c:v>1003.25</c:v>
                </c:pt>
                <c:pt idx="3">
                  <c:v>2068.6669999999999</c:v>
                </c:pt>
                <c:pt idx="4">
                  <c:v>974.78700000000003</c:v>
                </c:pt>
                <c:pt idx="5">
                  <c:v>1534.867</c:v>
                </c:pt>
                <c:pt idx="6">
                  <c:v>844.06700000000001</c:v>
                </c:pt>
              </c:numCache>
            </c:numRef>
          </c:val>
          <c:extLst>
            <c:ext xmlns:c16="http://schemas.microsoft.com/office/drawing/2014/chart" uri="{C3380CC4-5D6E-409C-BE32-E72D297353CC}">
              <c16:uniqueId val="{00000002-558D-4BDA-89A6-0A4AE078A144}"/>
            </c:ext>
          </c:extLst>
        </c:ser>
        <c:ser>
          <c:idx val="3"/>
          <c:order val="3"/>
          <c:tx>
            <c:strRef>
              <c:f>Sheet2!$BE$99</c:f>
              <c:strCache>
                <c:ptCount val="1"/>
                <c:pt idx="0">
                  <c:v>7%RT</c:v>
                </c:pt>
              </c:strCache>
            </c:strRef>
          </c:tx>
          <c:spPr>
            <a:solidFill>
              <a:schemeClr val="accent4"/>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Sheet2!$BF$99:$BL$99</c:f>
              <c:numCache>
                <c:formatCode>#,##0.00</c:formatCode>
                <c:ptCount val="7"/>
                <c:pt idx="0">
                  <c:v>1723.5329999999999</c:v>
                </c:pt>
                <c:pt idx="1">
                  <c:v>1849.17</c:v>
                </c:pt>
                <c:pt idx="2">
                  <c:v>1131</c:v>
                </c:pt>
                <c:pt idx="3">
                  <c:v>1890.0029999999999</c:v>
                </c:pt>
                <c:pt idx="4">
                  <c:v>1032.2570000000001</c:v>
                </c:pt>
                <c:pt idx="5">
                  <c:v>1417.6869999999999</c:v>
                </c:pt>
                <c:pt idx="6">
                  <c:v>983.83299999999997</c:v>
                </c:pt>
              </c:numCache>
            </c:numRef>
          </c:val>
          <c:extLst>
            <c:ext xmlns:c16="http://schemas.microsoft.com/office/drawing/2014/chart" uri="{C3380CC4-5D6E-409C-BE32-E72D297353CC}">
              <c16:uniqueId val="{00000003-558D-4BDA-89A6-0A4AE078A144}"/>
            </c:ext>
          </c:extLst>
        </c:ser>
        <c:ser>
          <c:idx val="4"/>
          <c:order val="4"/>
          <c:tx>
            <c:strRef>
              <c:f>Sheet2!$BE$100</c:f>
              <c:strCache>
                <c:ptCount val="1"/>
                <c:pt idx="0">
                  <c:v>7%15°C</c:v>
                </c:pt>
              </c:strCache>
            </c:strRef>
          </c:tx>
          <c:spPr>
            <a:solidFill>
              <a:schemeClr val="accent5"/>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Sheet2!$BF$100:$BL$100</c:f>
              <c:numCache>
                <c:formatCode>#,##0.00</c:formatCode>
                <c:ptCount val="7"/>
                <c:pt idx="0">
                  <c:v>1723.5329999999999</c:v>
                </c:pt>
                <c:pt idx="1">
                  <c:v>1624.0630000000001</c:v>
                </c:pt>
                <c:pt idx="2">
                  <c:v>1611.05</c:v>
                </c:pt>
                <c:pt idx="3">
                  <c:v>1439.36</c:v>
                </c:pt>
                <c:pt idx="4">
                  <c:v>989.93299999999999</c:v>
                </c:pt>
                <c:pt idx="5">
                  <c:v>1042.5930000000001</c:v>
                </c:pt>
                <c:pt idx="6">
                  <c:v>700.63699999999994</c:v>
                </c:pt>
              </c:numCache>
            </c:numRef>
          </c:val>
          <c:extLst>
            <c:ext xmlns:c16="http://schemas.microsoft.com/office/drawing/2014/chart" uri="{C3380CC4-5D6E-409C-BE32-E72D297353CC}">
              <c16:uniqueId val="{00000004-558D-4BDA-89A6-0A4AE078A144}"/>
            </c:ext>
          </c:extLst>
        </c:ser>
        <c:ser>
          <c:idx val="5"/>
          <c:order val="5"/>
          <c:tx>
            <c:strRef>
              <c:f>Sheet2!$BE$101</c:f>
              <c:strCache>
                <c:ptCount val="1"/>
                <c:pt idx="0">
                  <c:v>7%5°C</c:v>
                </c:pt>
              </c:strCache>
            </c:strRef>
          </c:tx>
          <c:spPr>
            <a:solidFill>
              <a:schemeClr val="accent6"/>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Sheet2!$BF$101:$BL$101</c:f>
              <c:numCache>
                <c:formatCode>#,##0.00</c:formatCode>
                <c:ptCount val="7"/>
                <c:pt idx="0">
                  <c:v>1723.5329999999999</c:v>
                </c:pt>
                <c:pt idx="1">
                  <c:v>1901.933</c:v>
                </c:pt>
                <c:pt idx="2">
                  <c:v>2063.2530000000002</c:v>
                </c:pt>
                <c:pt idx="3">
                  <c:v>1674.1869999999999</c:v>
                </c:pt>
                <c:pt idx="4">
                  <c:v>1408.673</c:v>
                </c:pt>
                <c:pt idx="5">
                  <c:v>1264.2829999999999</c:v>
                </c:pt>
                <c:pt idx="6">
                  <c:v>1027.5</c:v>
                </c:pt>
              </c:numCache>
            </c:numRef>
          </c:val>
          <c:extLst>
            <c:ext xmlns:c16="http://schemas.microsoft.com/office/drawing/2014/chart" uri="{C3380CC4-5D6E-409C-BE32-E72D297353CC}">
              <c16:uniqueId val="{00000005-558D-4BDA-89A6-0A4AE078A144}"/>
            </c:ext>
          </c:extLst>
        </c:ser>
        <c:ser>
          <c:idx val="6"/>
          <c:order val="6"/>
          <c:tx>
            <c:strRef>
              <c:f>Sheet2!$BE$102</c:f>
              <c:strCache>
                <c:ptCount val="1"/>
                <c:pt idx="0">
                  <c:v>3.73%RT</c:v>
                </c:pt>
              </c:strCache>
            </c:strRef>
          </c:tx>
          <c:spPr>
            <a:solidFill>
              <a:schemeClr val="accent1">
                <a:lumMod val="60000"/>
              </a:schemeClr>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Sheet2!$BF$102:$BL$102</c:f>
              <c:numCache>
                <c:formatCode>#,##0.00</c:formatCode>
                <c:ptCount val="7"/>
                <c:pt idx="0">
                  <c:v>1791.7670000000001</c:v>
                </c:pt>
                <c:pt idx="1">
                  <c:v>1614.04</c:v>
                </c:pt>
                <c:pt idx="2">
                  <c:v>1550.92</c:v>
                </c:pt>
                <c:pt idx="3">
                  <c:v>1959.653</c:v>
                </c:pt>
                <c:pt idx="4">
                  <c:v>1041.127</c:v>
                </c:pt>
                <c:pt idx="5">
                  <c:v>1983.15</c:v>
                </c:pt>
                <c:pt idx="6">
                  <c:v>933.61699999999996</c:v>
                </c:pt>
              </c:numCache>
            </c:numRef>
          </c:val>
          <c:extLst>
            <c:ext xmlns:c16="http://schemas.microsoft.com/office/drawing/2014/chart" uri="{C3380CC4-5D6E-409C-BE32-E72D297353CC}">
              <c16:uniqueId val="{00000006-558D-4BDA-89A6-0A4AE078A144}"/>
            </c:ext>
          </c:extLst>
        </c:ser>
        <c:ser>
          <c:idx val="7"/>
          <c:order val="7"/>
          <c:tx>
            <c:strRef>
              <c:f>Sheet2!$BE$103</c:f>
              <c:strCache>
                <c:ptCount val="1"/>
                <c:pt idx="0">
                  <c:v>3.73%15°C</c:v>
                </c:pt>
              </c:strCache>
            </c:strRef>
          </c:tx>
          <c:spPr>
            <a:solidFill>
              <a:schemeClr val="accent2">
                <a:lumMod val="60000"/>
              </a:schemeClr>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Sheet2!$BF$103:$BL$103</c:f>
              <c:numCache>
                <c:formatCode>#,##0.00</c:formatCode>
                <c:ptCount val="7"/>
                <c:pt idx="0">
                  <c:v>1791.7670000000001</c:v>
                </c:pt>
                <c:pt idx="1">
                  <c:v>1891.14</c:v>
                </c:pt>
                <c:pt idx="2">
                  <c:v>2171.2600000000002</c:v>
                </c:pt>
                <c:pt idx="3">
                  <c:v>1969.347</c:v>
                </c:pt>
                <c:pt idx="4">
                  <c:v>1576.7270000000001</c:v>
                </c:pt>
                <c:pt idx="5">
                  <c:v>1452.21</c:v>
                </c:pt>
                <c:pt idx="6">
                  <c:v>1313.633</c:v>
                </c:pt>
              </c:numCache>
            </c:numRef>
          </c:val>
          <c:extLst>
            <c:ext xmlns:c16="http://schemas.microsoft.com/office/drawing/2014/chart" uri="{C3380CC4-5D6E-409C-BE32-E72D297353CC}">
              <c16:uniqueId val="{00000007-558D-4BDA-89A6-0A4AE078A144}"/>
            </c:ext>
          </c:extLst>
        </c:ser>
        <c:ser>
          <c:idx val="8"/>
          <c:order val="8"/>
          <c:tx>
            <c:strRef>
              <c:f>Sheet2!$BE$104</c:f>
              <c:strCache>
                <c:ptCount val="1"/>
                <c:pt idx="0">
                  <c:v>3.73%5°C</c:v>
                </c:pt>
              </c:strCache>
            </c:strRef>
          </c:tx>
          <c:spPr>
            <a:solidFill>
              <a:schemeClr val="accent3">
                <a:lumMod val="60000"/>
              </a:schemeClr>
            </a:solidFill>
            <a:ln>
              <a:noFill/>
            </a:ln>
            <a:effectLst/>
          </c:spPr>
          <c:invertIfNegative val="0"/>
          <c:cat>
            <c:strRef>
              <c:f>Sheet2!$BF$94:$BL$95</c:f>
              <c:strCache>
                <c:ptCount val="7"/>
                <c:pt idx="0">
                  <c:v>0</c:v>
                </c:pt>
                <c:pt idx="1">
                  <c:v>3</c:v>
                </c:pt>
                <c:pt idx="2">
                  <c:v>6</c:v>
                </c:pt>
                <c:pt idx="3">
                  <c:v>9</c:v>
                </c:pt>
                <c:pt idx="4">
                  <c:v>12</c:v>
                </c:pt>
                <c:pt idx="5">
                  <c:v>24</c:v>
                </c:pt>
                <c:pt idx="6">
                  <c:v>36</c:v>
                </c:pt>
              </c:strCache>
            </c:strRef>
          </c:cat>
          <c:val>
            <c:numRef>
              <c:f>Sheet2!$BF$104:$BL$104</c:f>
              <c:numCache>
                <c:formatCode>#,##0.00</c:formatCode>
                <c:ptCount val="7"/>
                <c:pt idx="0">
                  <c:v>1791.7670000000001</c:v>
                </c:pt>
                <c:pt idx="1">
                  <c:v>2058.8330000000001</c:v>
                </c:pt>
                <c:pt idx="2">
                  <c:v>1916.4</c:v>
                </c:pt>
                <c:pt idx="3">
                  <c:v>1490.1869999999999</c:v>
                </c:pt>
                <c:pt idx="4">
                  <c:v>1262.51</c:v>
                </c:pt>
                <c:pt idx="5">
                  <c:v>1514.15</c:v>
                </c:pt>
                <c:pt idx="6">
                  <c:v>1119.367</c:v>
                </c:pt>
              </c:numCache>
            </c:numRef>
          </c:val>
          <c:extLst>
            <c:ext xmlns:c16="http://schemas.microsoft.com/office/drawing/2014/chart" uri="{C3380CC4-5D6E-409C-BE32-E72D297353CC}">
              <c16:uniqueId val="{00000008-558D-4BDA-89A6-0A4AE078A144}"/>
            </c:ext>
          </c:extLst>
        </c:ser>
        <c:dLbls>
          <c:showLegendKey val="0"/>
          <c:showVal val="0"/>
          <c:showCatName val="0"/>
          <c:showSerName val="0"/>
          <c:showPercent val="0"/>
          <c:showBubbleSize val="0"/>
        </c:dLbls>
        <c:gapWidth val="219"/>
        <c:overlap val="-27"/>
        <c:axId val="169752832"/>
        <c:axId val="169775488"/>
      </c:barChart>
      <c:catAx>
        <c:axId val="1697528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Storage Duration (Months)</a:t>
                </a:r>
              </a:p>
            </c:rich>
          </c:tx>
          <c:layout>
            <c:manualLayout>
              <c:xMode val="edge"/>
              <c:yMode val="edge"/>
              <c:x val="0.36361536038764386"/>
              <c:y val="0.7652005821547188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775488"/>
        <c:crosses val="autoZero"/>
        <c:auto val="1"/>
        <c:lblAlgn val="ctr"/>
        <c:lblOffset val="100"/>
        <c:noMultiLvlLbl val="0"/>
      </c:catAx>
      <c:valAx>
        <c:axId val="169775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Seed Vigour Index </a:t>
                </a:r>
                <a:endParaRPr lang="en-US"/>
              </a:p>
            </c:rich>
          </c:tx>
          <c:layout>
            <c:manualLayout>
              <c:xMode val="edge"/>
              <c:yMode val="edge"/>
              <c:x val="2.7076923076923078E-2"/>
              <c:y val="0.33143441430010823"/>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75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5704</Words>
  <Characters>32514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18</cp:revision>
  <dcterms:created xsi:type="dcterms:W3CDTF">2025-09-03T09:52:00Z</dcterms:created>
  <dcterms:modified xsi:type="dcterms:W3CDTF">2025-09-04T08:50:00Z</dcterms:modified>
</cp:coreProperties>
</file>