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88C3D" w14:textId="77777777" w:rsidR="00B00A66" w:rsidRPr="006052D4" w:rsidRDefault="00307619" w:rsidP="006052D4">
      <w:pPr>
        <w:spacing w:line="240" w:lineRule="auto"/>
        <w:jc w:val="right"/>
        <w:rPr>
          <w:rFonts w:ascii="Arial" w:hAnsi="Arial" w:cs="Arial"/>
          <w:b/>
          <w:sz w:val="36"/>
          <w:lang w:val="en-US"/>
        </w:rPr>
      </w:pPr>
      <w:bookmarkStart w:id="0" w:name="_Hlk204937397"/>
      <w:bookmarkStart w:id="1" w:name="_Hlk204325406"/>
      <w:bookmarkEnd w:id="0"/>
      <w:r w:rsidRPr="006052D4">
        <w:rPr>
          <w:rFonts w:ascii="Arial" w:hAnsi="Arial" w:cs="Arial"/>
          <w:b/>
          <w:sz w:val="36"/>
          <w:lang w:val="en-US"/>
        </w:rPr>
        <w:t>Antioxidant system in species assemblages: s</w:t>
      </w:r>
      <w:r w:rsidR="00B00A66" w:rsidRPr="006052D4">
        <w:rPr>
          <w:rFonts w:ascii="Arial" w:hAnsi="Arial" w:cs="Arial"/>
          <w:b/>
          <w:sz w:val="36"/>
          <w:lang w:val="en-US"/>
        </w:rPr>
        <w:t xml:space="preserve">pecies- and stress-specific </w:t>
      </w:r>
      <w:r w:rsidRPr="006052D4">
        <w:rPr>
          <w:rFonts w:ascii="Arial" w:hAnsi="Arial" w:cs="Arial"/>
          <w:b/>
          <w:sz w:val="36"/>
          <w:lang w:val="en-US"/>
        </w:rPr>
        <w:t>effects of</w:t>
      </w:r>
      <w:r w:rsidR="00B00A66" w:rsidRPr="006052D4">
        <w:rPr>
          <w:rFonts w:ascii="Arial" w:hAnsi="Arial" w:cs="Arial"/>
          <w:b/>
          <w:sz w:val="36"/>
          <w:lang w:val="en-US"/>
        </w:rPr>
        <w:t xml:space="preserve"> abiotic stress in secondary meadows of the Caucasus Mountains</w:t>
      </w:r>
      <w:bookmarkEnd w:id="1"/>
    </w:p>
    <w:p w14:paraId="7880E1E5" w14:textId="77777777" w:rsidR="0038552A" w:rsidRPr="006052D4" w:rsidRDefault="0038552A" w:rsidP="006052D4">
      <w:pPr>
        <w:spacing w:after="0" w:line="240" w:lineRule="auto"/>
        <w:jc w:val="right"/>
        <w:rPr>
          <w:rFonts w:ascii="Arial" w:hAnsi="Arial" w:cs="Arial"/>
          <w:i/>
          <w:sz w:val="20"/>
          <w:lang w:val="en-US"/>
        </w:rPr>
      </w:pPr>
    </w:p>
    <w:p w14:paraId="282C5C67" w14:textId="77777777" w:rsidR="00B511C2" w:rsidRDefault="00B511C2" w:rsidP="00E830A3">
      <w:pPr>
        <w:spacing w:line="276" w:lineRule="auto"/>
        <w:rPr>
          <w:rFonts w:ascii="Times New Roman" w:hAnsi="Times New Roman" w:cs="Times New Roman"/>
          <w:b/>
          <w:lang w:val="en-US"/>
        </w:rPr>
      </w:pPr>
    </w:p>
    <w:p w14:paraId="158EDB2D" w14:textId="2AAF3F2D" w:rsidR="00B511C2" w:rsidRDefault="00B511C2" w:rsidP="00E830A3">
      <w:pPr>
        <w:spacing w:line="276" w:lineRule="auto"/>
        <w:rPr>
          <w:rFonts w:ascii="Arial" w:hAnsi="Arial" w:cs="Arial"/>
          <w:b/>
          <w:lang w:val="en-US"/>
        </w:rPr>
      </w:pPr>
      <w:r>
        <w:rPr>
          <w:rFonts w:ascii="Arial" w:hAnsi="Arial" w:cs="Arial"/>
          <w:b/>
          <w:lang w:val="en-US"/>
        </w:rPr>
        <w:t>ABSTRACT</w:t>
      </w:r>
    </w:p>
    <w:p w14:paraId="247B1D86" w14:textId="77777777" w:rsidR="00DC22FA" w:rsidRPr="00B511C2" w:rsidRDefault="00DC22FA" w:rsidP="00E830A3">
      <w:pPr>
        <w:spacing w:line="276" w:lineRule="auto"/>
        <w:rPr>
          <w:rFonts w:ascii="Arial" w:hAnsi="Arial" w:cs="Arial"/>
          <w:b/>
          <w:lang w:val="en-US"/>
        </w:rPr>
      </w:pPr>
    </w:p>
    <w:p w14:paraId="22285ECB" w14:textId="77777777" w:rsidR="00B00A66" w:rsidRPr="00B511C2" w:rsidRDefault="00B00A66" w:rsidP="00B511C2">
      <w:pPr>
        <w:spacing w:line="276" w:lineRule="auto"/>
        <w:jc w:val="both"/>
        <w:rPr>
          <w:rFonts w:ascii="Arial" w:hAnsi="Arial" w:cs="Arial"/>
          <w:color w:val="000000" w:themeColor="text1"/>
          <w:sz w:val="20"/>
          <w:lang w:val="en-US"/>
        </w:rPr>
      </w:pPr>
      <w:r w:rsidRPr="00B511C2">
        <w:rPr>
          <w:rFonts w:ascii="Arial" w:hAnsi="Arial" w:cs="Arial"/>
          <w:color w:val="000000" w:themeColor="text1"/>
          <w:sz w:val="20"/>
          <w:lang w:val="en-US"/>
        </w:rPr>
        <w:t xml:space="preserve">Plant fitness relies on metabolic adaptability to abiotic stress, </w:t>
      </w:r>
      <w:r w:rsidR="002F6298" w:rsidRPr="00B511C2">
        <w:rPr>
          <w:rFonts w:ascii="Arial" w:hAnsi="Arial" w:cs="Arial"/>
          <w:color w:val="000000" w:themeColor="text1"/>
          <w:sz w:val="20"/>
          <w:lang w:val="en-US"/>
        </w:rPr>
        <w:t>in which t</w:t>
      </w:r>
      <w:r w:rsidR="00BC5D7F" w:rsidRPr="00B511C2">
        <w:rPr>
          <w:rFonts w:ascii="Arial" w:hAnsi="Arial" w:cs="Arial"/>
          <w:color w:val="000000" w:themeColor="text1"/>
          <w:sz w:val="20"/>
          <w:lang w:val="en-US"/>
        </w:rPr>
        <w:t xml:space="preserve">he antioxidant </w:t>
      </w:r>
      <w:r w:rsidR="00120E3A" w:rsidRPr="00B511C2">
        <w:rPr>
          <w:rFonts w:ascii="Arial" w:hAnsi="Arial" w:cs="Arial"/>
          <w:color w:val="000000" w:themeColor="text1"/>
          <w:sz w:val="20"/>
          <w:lang w:val="en-US"/>
        </w:rPr>
        <w:t xml:space="preserve">system </w:t>
      </w:r>
      <w:r w:rsidR="002F6298" w:rsidRPr="00B511C2">
        <w:rPr>
          <w:rFonts w:ascii="Arial" w:hAnsi="Arial" w:cs="Arial"/>
          <w:color w:val="000000" w:themeColor="text1"/>
          <w:sz w:val="20"/>
          <w:lang w:val="en-US"/>
        </w:rPr>
        <w:t>plays a crucial role. This system</w:t>
      </w:r>
      <w:r w:rsidR="00120E3A" w:rsidRPr="00B511C2">
        <w:rPr>
          <w:rFonts w:ascii="Arial" w:hAnsi="Arial" w:cs="Arial"/>
          <w:color w:val="000000" w:themeColor="text1"/>
          <w:sz w:val="20"/>
          <w:lang w:val="en-US"/>
        </w:rPr>
        <w:t xml:space="preserve"> is</w:t>
      </w:r>
      <w:r w:rsidR="002F6298" w:rsidRPr="00B511C2">
        <w:rPr>
          <w:rFonts w:ascii="Arial" w:hAnsi="Arial" w:cs="Arial"/>
          <w:color w:val="000000" w:themeColor="text1"/>
          <w:sz w:val="20"/>
          <w:lang w:val="en-US"/>
        </w:rPr>
        <w:t xml:space="preserve"> intensively studied, yet </w:t>
      </w:r>
      <w:r w:rsidR="00D44FA8" w:rsidRPr="00B511C2">
        <w:rPr>
          <w:rFonts w:ascii="Arial" w:hAnsi="Arial" w:cs="Arial"/>
          <w:color w:val="000000" w:themeColor="text1"/>
          <w:sz w:val="20"/>
          <w:lang w:val="en-US"/>
        </w:rPr>
        <w:t>our</w:t>
      </w:r>
      <w:r w:rsidR="002F6298" w:rsidRPr="00B511C2">
        <w:rPr>
          <w:rFonts w:ascii="Arial" w:hAnsi="Arial" w:cs="Arial"/>
          <w:color w:val="000000" w:themeColor="text1"/>
          <w:sz w:val="20"/>
          <w:lang w:val="en-US"/>
        </w:rPr>
        <w:t xml:space="preserve"> </w:t>
      </w:r>
      <w:r w:rsidR="00120E3A" w:rsidRPr="00B511C2">
        <w:rPr>
          <w:rFonts w:ascii="Arial" w:hAnsi="Arial" w:cs="Arial"/>
          <w:color w:val="000000" w:themeColor="text1"/>
          <w:sz w:val="20"/>
          <w:lang w:val="en-US"/>
        </w:rPr>
        <w:t>existing</w:t>
      </w:r>
      <w:r w:rsidR="002F6298" w:rsidRPr="00B511C2">
        <w:rPr>
          <w:rFonts w:ascii="Arial" w:hAnsi="Arial" w:cs="Arial"/>
          <w:color w:val="000000" w:themeColor="text1"/>
          <w:sz w:val="20"/>
          <w:lang w:val="en-US"/>
        </w:rPr>
        <w:t xml:space="preserve"> knowledge </w:t>
      </w:r>
      <w:r w:rsidR="00D44FA8" w:rsidRPr="00B511C2">
        <w:rPr>
          <w:rFonts w:ascii="Arial" w:hAnsi="Arial" w:cs="Arial"/>
          <w:color w:val="000000" w:themeColor="text1"/>
          <w:sz w:val="20"/>
          <w:lang w:val="en-US"/>
        </w:rPr>
        <w:t xml:space="preserve">of the matter </w:t>
      </w:r>
      <w:r w:rsidR="002F6298" w:rsidRPr="00B511C2">
        <w:rPr>
          <w:rFonts w:ascii="Arial" w:hAnsi="Arial" w:cs="Arial"/>
          <w:color w:val="000000" w:themeColor="text1"/>
          <w:sz w:val="20"/>
          <w:lang w:val="en-US"/>
        </w:rPr>
        <w:t xml:space="preserve">almost entirely is derived from experiments at molecular and species levels, whilst studies on multiple species assemblages under a range of abiotic stressors are exceedingly rare. </w:t>
      </w:r>
      <w:r w:rsidR="00120E3A" w:rsidRPr="00B511C2">
        <w:rPr>
          <w:rFonts w:ascii="Arial" w:hAnsi="Arial" w:cs="Arial"/>
          <w:color w:val="000000" w:themeColor="text1"/>
          <w:sz w:val="20"/>
          <w:lang w:val="en-US"/>
        </w:rPr>
        <w:t>Therefore,</w:t>
      </w:r>
      <w:r w:rsidR="002F6298" w:rsidRPr="00B511C2">
        <w:rPr>
          <w:rFonts w:ascii="Arial" w:hAnsi="Arial" w:cs="Arial"/>
          <w:color w:val="000000" w:themeColor="text1"/>
          <w:sz w:val="20"/>
          <w:lang w:val="en-US"/>
        </w:rPr>
        <w:t xml:space="preserve"> </w:t>
      </w:r>
      <w:r w:rsidR="00120E3A" w:rsidRPr="00B511C2">
        <w:rPr>
          <w:rFonts w:ascii="Arial" w:hAnsi="Arial" w:cs="Arial"/>
          <w:color w:val="000000" w:themeColor="text1"/>
          <w:sz w:val="20"/>
          <w:lang w:val="en-US"/>
        </w:rPr>
        <w:t xml:space="preserve">here </w:t>
      </w:r>
      <w:r w:rsidR="002F6298" w:rsidRPr="00B511C2">
        <w:rPr>
          <w:rFonts w:ascii="Arial" w:hAnsi="Arial" w:cs="Arial"/>
          <w:color w:val="000000" w:themeColor="text1"/>
          <w:sz w:val="20"/>
          <w:lang w:val="en-US"/>
        </w:rPr>
        <w:t>we ask</w:t>
      </w:r>
      <w:r w:rsidR="00120E3A" w:rsidRPr="00B511C2">
        <w:rPr>
          <w:rFonts w:ascii="Arial" w:hAnsi="Arial" w:cs="Arial"/>
          <w:color w:val="000000" w:themeColor="text1"/>
          <w:sz w:val="20"/>
          <w:lang w:val="en-US"/>
        </w:rPr>
        <w:t>:</w:t>
      </w:r>
      <w:r w:rsidR="002F6298" w:rsidRPr="00B511C2">
        <w:rPr>
          <w:rFonts w:ascii="Arial" w:hAnsi="Arial" w:cs="Arial"/>
          <w:color w:val="000000" w:themeColor="text1"/>
          <w:sz w:val="20"/>
          <w:lang w:val="en-US"/>
        </w:rPr>
        <w:t xml:space="preserve"> how the plant antioxidant system behaves at the community scale? We know that a</w:t>
      </w:r>
      <w:r w:rsidRPr="00B511C2">
        <w:rPr>
          <w:rFonts w:ascii="Arial" w:hAnsi="Arial" w:cs="Arial"/>
          <w:color w:val="000000" w:themeColor="text1"/>
          <w:sz w:val="20"/>
          <w:lang w:val="en-US"/>
        </w:rPr>
        <w:t>lthough plants experience the same stressor, their metabolic responses can differ substantially, while certain antioxidant metabolites may be associated with specific stress types</w:t>
      </w:r>
      <w:r w:rsidR="00BC5D7F" w:rsidRPr="00B511C2">
        <w:rPr>
          <w:rFonts w:ascii="Arial" w:hAnsi="Arial" w:cs="Arial"/>
          <w:color w:val="000000" w:themeColor="text1"/>
          <w:sz w:val="20"/>
          <w:lang w:val="en-US"/>
        </w:rPr>
        <w:t xml:space="preserve">. </w:t>
      </w:r>
      <w:r w:rsidR="002F6298" w:rsidRPr="00B511C2">
        <w:rPr>
          <w:rFonts w:ascii="Arial" w:hAnsi="Arial" w:cs="Arial"/>
          <w:color w:val="000000" w:themeColor="text1"/>
          <w:sz w:val="20"/>
          <w:lang w:val="en-US"/>
        </w:rPr>
        <w:t xml:space="preserve">We </w:t>
      </w:r>
      <w:r w:rsidR="00A92909" w:rsidRPr="00B511C2">
        <w:rPr>
          <w:rFonts w:ascii="Arial" w:hAnsi="Arial" w:cs="Arial"/>
          <w:color w:val="000000" w:themeColor="text1"/>
          <w:sz w:val="20"/>
          <w:lang w:val="en-US"/>
        </w:rPr>
        <w:t>hypothesized</w:t>
      </w:r>
      <w:r w:rsidR="002F6298" w:rsidRPr="00B511C2">
        <w:rPr>
          <w:rFonts w:ascii="Arial" w:hAnsi="Arial" w:cs="Arial"/>
          <w:color w:val="000000" w:themeColor="text1"/>
          <w:sz w:val="20"/>
          <w:lang w:val="en-US"/>
        </w:rPr>
        <w:t xml:space="preserve"> that the majority of the forb species in a hay meadow assemblage produce similar antioxidant responses specific to a given abiotic stress, while species-specific effects contribute little </w:t>
      </w:r>
      <w:r w:rsidR="00120E3A" w:rsidRPr="00B511C2">
        <w:rPr>
          <w:rFonts w:ascii="Arial" w:hAnsi="Arial" w:cs="Arial"/>
          <w:color w:val="000000" w:themeColor="text1"/>
          <w:sz w:val="20"/>
          <w:lang w:val="en-US"/>
        </w:rPr>
        <w:t xml:space="preserve">to the behavior of antioxidant system </w:t>
      </w:r>
      <w:r w:rsidR="002F6298" w:rsidRPr="00B511C2">
        <w:rPr>
          <w:rFonts w:ascii="Arial" w:hAnsi="Arial" w:cs="Arial"/>
          <w:color w:val="000000" w:themeColor="text1"/>
          <w:sz w:val="20"/>
          <w:lang w:val="en-US"/>
        </w:rPr>
        <w:t xml:space="preserve">at the community scale. </w:t>
      </w:r>
      <w:r w:rsidRPr="00B511C2">
        <w:rPr>
          <w:rFonts w:ascii="Arial" w:hAnsi="Arial" w:cs="Arial"/>
          <w:color w:val="000000" w:themeColor="text1"/>
          <w:sz w:val="20"/>
          <w:lang w:val="en-US"/>
        </w:rPr>
        <w:t xml:space="preserve">We measured 12 key metabolites in 13 </w:t>
      </w:r>
      <w:r w:rsidR="00120E3A" w:rsidRPr="00B511C2">
        <w:rPr>
          <w:rFonts w:ascii="Arial" w:hAnsi="Arial" w:cs="Arial"/>
          <w:color w:val="000000" w:themeColor="text1"/>
          <w:sz w:val="20"/>
          <w:lang w:val="en-US"/>
        </w:rPr>
        <w:t>forb</w:t>
      </w:r>
      <w:r w:rsidRPr="00B511C2">
        <w:rPr>
          <w:rFonts w:ascii="Arial" w:hAnsi="Arial" w:cs="Arial"/>
          <w:color w:val="000000" w:themeColor="text1"/>
          <w:sz w:val="20"/>
          <w:lang w:val="en-US"/>
        </w:rPr>
        <w:t xml:space="preserve"> species co-occurring at three climatically distinct locations. Using ordination and cluster analyses, we evaluated response patterns. </w:t>
      </w:r>
      <w:r w:rsidR="0058640D" w:rsidRPr="00B511C2">
        <w:rPr>
          <w:rFonts w:ascii="Arial" w:hAnsi="Arial" w:cs="Arial"/>
          <w:color w:val="000000" w:themeColor="text1"/>
          <w:sz w:val="20"/>
          <w:lang w:val="en-US"/>
        </w:rPr>
        <w:t>Combining a core set of common forb species with a suite of metabolites across three climatically distinct locations in one study enabled to show that the majority of the forb species produced similar antioxidant responses specific to a given abiotic stress thus overriding the species-specific differences. We conclude</w:t>
      </w:r>
      <w:r w:rsidRPr="00B511C2">
        <w:rPr>
          <w:rFonts w:ascii="Arial" w:hAnsi="Arial" w:cs="Arial"/>
          <w:color w:val="000000" w:themeColor="text1"/>
          <w:sz w:val="20"/>
          <w:lang w:val="en-US"/>
        </w:rPr>
        <w:t xml:space="preserve"> that </w:t>
      </w:r>
      <w:r w:rsidR="002F6298" w:rsidRPr="00B511C2">
        <w:rPr>
          <w:rFonts w:ascii="Arial" w:hAnsi="Arial" w:cs="Arial"/>
          <w:color w:val="000000" w:themeColor="text1"/>
          <w:sz w:val="20"/>
          <w:lang w:val="en-US"/>
        </w:rPr>
        <w:t xml:space="preserve">stress-specific </w:t>
      </w:r>
      <w:r w:rsidR="00120E3A" w:rsidRPr="00B511C2">
        <w:rPr>
          <w:rFonts w:ascii="Arial" w:hAnsi="Arial" w:cs="Arial"/>
          <w:color w:val="000000" w:themeColor="text1"/>
          <w:sz w:val="20"/>
          <w:lang w:val="en-US"/>
        </w:rPr>
        <w:t>pattern</w:t>
      </w:r>
      <w:r w:rsidR="002F6298" w:rsidRPr="00B511C2">
        <w:rPr>
          <w:rFonts w:ascii="Arial" w:hAnsi="Arial" w:cs="Arial"/>
          <w:color w:val="000000" w:themeColor="text1"/>
          <w:sz w:val="20"/>
          <w:lang w:val="en-US"/>
        </w:rPr>
        <w:t xml:space="preserve"> prevailed in the subset o</w:t>
      </w:r>
      <w:r w:rsidR="0003168B" w:rsidRPr="00B511C2">
        <w:rPr>
          <w:rFonts w:ascii="Arial" w:hAnsi="Arial" w:cs="Arial"/>
          <w:color w:val="000000" w:themeColor="text1"/>
          <w:sz w:val="20"/>
          <w:lang w:val="en-US"/>
        </w:rPr>
        <w:t xml:space="preserve">f </w:t>
      </w:r>
      <w:r w:rsidR="002F6298" w:rsidRPr="00B511C2">
        <w:rPr>
          <w:rFonts w:ascii="Arial" w:hAnsi="Arial" w:cs="Arial"/>
          <w:color w:val="000000" w:themeColor="text1"/>
          <w:sz w:val="20"/>
          <w:lang w:val="en-US"/>
        </w:rPr>
        <w:t xml:space="preserve">forb species representing traditionally managed hay meadows, as predicted by our hypothesis. </w:t>
      </w:r>
    </w:p>
    <w:p w14:paraId="01C965AB" w14:textId="77777777" w:rsidR="00B00A66" w:rsidRPr="00B511C2" w:rsidRDefault="00B00A66" w:rsidP="00B511C2">
      <w:pPr>
        <w:spacing w:line="276" w:lineRule="auto"/>
        <w:jc w:val="both"/>
        <w:rPr>
          <w:rFonts w:ascii="Arial" w:hAnsi="Arial" w:cs="Arial"/>
          <w:color w:val="EE0000"/>
          <w:sz w:val="20"/>
          <w:lang w:val="en-US"/>
        </w:rPr>
      </w:pPr>
    </w:p>
    <w:p w14:paraId="264E1562" w14:textId="77777777" w:rsidR="00B00A66" w:rsidRPr="006E6C14" w:rsidRDefault="00B00A66" w:rsidP="00E830A3">
      <w:pPr>
        <w:spacing w:line="276" w:lineRule="auto"/>
        <w:rPr>
          <w:rFonts w:ascii="Arial" w:hAnsi="Arial" w:cs="Arial"/>
          <w:i/>
          <w:sz w:val="20"/>
          <w:lang w:val="en-US"/>
        </w:rPr>
      </w:pPr>
      <w:r w:rsidRPr="006E6C14">
        <w:rPr>
          <w:rFonts w:ascii="Arial" w:hAnsi="Arial" w:cs="Arial"/>
          <w:i/>
          <w:sz w:val="20"/>
          <w:lang w:val="en-US"/>
        </w:rPr>
        <w:t xml:space="preserve">Keywords: </w:t>
      </w:r>
      <w:r w:rsidRPr="006E6C14">
        <w:rPr>
          <w:rFonts w:ascii="Arial" w:hAnsi="Arial" w:cs="Arial"/>
          <w:i/>
          <w:iCs/>
          <w:sz w:val="20"/>
          <w:lang w:val="en-US"/>
        </w:rPr>
        <w:t xml:space="preserve">antioxidants, environmental stress, </w:t>
      </w:r>
      <w:r w:rsidR="0003168B" w:rsidRPr="006E6C14">
        <w:rPr>
          <w:rFonts w:ascii="Arial" w:hAnsi="Arial" w:cs="Arial"/>
          <w:i/>
          <w:iCs/>
          <w:sz w:val="20"/>
          <w:lang w:val="en-US"/>
        </w:rPr>
        <w:t xml:space="preserve">forbs, </w:t>
      </w:r>
      <w:r w:rsidRPr="006E6C14">
        <w:rPr>
          <w:rFonts w:ascii="Arial" w:hAnsi="Arial" w:cs="Arial"/>
          <w:i/>
          <w:iCs/>
          <w:sz w:val="20"/>
          <w:lang w:val="en-US"/>
        </w:rPr>
        <w:t>multivariate analysis</w:t>
      </w:r>
      <w:r w:rsidR="0003168B" w:rsidRPr="006E6C14">
        <w:rPr>
          <w:rFonts w:ascii="Arial" w:hAnsi="Arial" w:cs="Arial"/>
          <w:i/>
          <w:iCs/>
          <w:sz w:val="20"/>
          <w:lang w:val="en-US"/>
        </w:rPr>
        <w:t>,</w:t>
      </w:r>
      <w:r w:rsidRPr="006E6C14">
        <w:rPr>
          <w:rFonts w:ascii="Arial" w:hAnsi="Arial" w:cs="Arial"/>
          <w:i/>
          <w:iCs/>
          <w:sz w:val="20"/>
          <w:lang w:val="en-US"/>
        </w:rPr>
        <w:t xml:space="preserve"> plant community, stress-tolerance</w:t>
      </w:r>
    </w:p>
    <w:p w14:paraId="1C97164A" w14:textId="77777777" w:rsidR="00B00A66" w:rsidRPr="00296B75" w:rsidRDefault="00B00A66" w:rsidP="00E830A3">
      <w:pPr>
        <w:spacing w:line="276" w:lineRule="auto"/>
        <w:rPr>
          <w:rFonts w:ascii="Times New Roman" w:hAnsi="Times New Roman" w:cs="Times New Roman"/>
          <w:b/>
          <w:bCs/>
          <w:lang w:val="en-US"/>
        </w:rPr>
      </w:pPr>
      <w:r w:rsidRPr="00296B75">
        <w:rPr>
          <w:rFonts w:ascii="Times New Roman" w:hAnsi="Times New Roman" w:cs="Times New Roman"/>
          <w:b/>
          <w:bCs/>
          <w:lang w:val="en-US"/>
        </w:rPr>
        <w:br w:type="page"/>
      </w:r>
    </w:p>
    <w:p w14:paraId="6B3EDC83" w14:textId="0DC4567D" w:rsidR="004772F9" w:rsidRDefault="006E6C14" w:rsidP="00E830A3">
      <w:pPr>
        <w:spacing w:line="276" w:lineRule="auto"/>
        <w:rPr>
          <w:rFonts w:ascii="Arial" w:hAnsi="Arial" w:cs="Arial"/>
          <w:b/>
          <w:bCs/>
          <w:lang w:val="en-US"/>
        </w:rPr>
      </w:pPr>
      <w:r w:rsidRPr="006E6C14">
        <w:rPr>
          <w:rFonts w:ascii="Arial" w:hAnsi="Arial" w:cs="Arial"/>
          <w:b/>
          <w:bCs/>
          <w:lang w:val="en-US"/>
        </w:rPr>
        <w:lastRenderedPageBreak/>
        <w:t>1.</w:t>
      </w:r>
      <w:r w:rsidR="006B2469" w:rsidRPr="006E6C14">
        <w:rPr>
          <w:rFonts w:ascii="Arial" w:hAnsi="Arial" w:cs="Arial"/>
          <w:b/>
          <w:bCs/>
          <w:lang w:val="en-US"/>
        </w:rPr>
        <w:t>I</w:t>
      </w:r>
      <w:r w:rsidR="007D3DFE">
        <w:rPr>
          <w:rFonts w:ascii="Arial" w:hAnsi="Arial" w:cs="Arial"/>
          <w:b/>
          <w:bCs/>
          <w:lang w:val="en-US"/>
        </w:rPr>
        <w:t>N</w:t>
      </w:r>
      <w:r w:rsidRPr="006E6C14">
        <w:rPr>
          <w:rFonts w:ascii="Arial" w:hAnsi="Arial" w:cs="Arial"/>
          <w:b/>
          <w:bCs/>
          <w:lang w:val="en-US"/>
        </w:rPr>
        <w:t>TRODUCTION</w:t>
      </w:r>
      <w:bookmarkStart w:id="2" w:name="_GoBack"/>
      <w:bookmarkEnd w:id="2"/>
    </w:p>
    <w:p w14:paraId="659E804E" w14:textId="77777777" w:rsidR="00DC22FA" w:rsidRPr="006E6C14" w:rsidRDefault="00DC22FA" w:rsidP="00E830A3">
      <w:pPr>
        <w:spacing w:line="276" w:lineRule="auto"/>
        <w:rPr>
          <w:rFonts w:ascii="Arial" w:hAnsi="Arial" w:cs="Arial"/>
          <w:b/>
          <w:bCs/>
          <w:lang w:val="en-US"/>
        </w:rPr>
      </w:pPr>
    </w:p>
    <w:p w14:paraId="0CAD0DC6" w14:textId="77777777" w:rsidR="006B2469" w:rsidRPr="006E6C14" w:rsidRDefault="006B2469" w:rsidP="006E6C14">
      <w:pPr>
        <w:spacing w:line="276" w:lineRule="auto"/>
        <w:jc w:val="both"/>
        <w:rPr>
          <w:rFonts w:ascii="Arial" w:hAnsi="Arial" w:cs="Arial"/>
          <w:sz w:val="20"/>
          <w:lang w:val="en-US"/>
        </w:rPr>
      </w:pPr>
      <w:bookmarkStart w:id="3" w:name="_Hlk201049232"/>
      <w:r w:rsidRPr="006E6C14">
        <w:rPr>
          <w:rFonts w:ascii="Arial" w:hAnsi="Arial" w:cs="Arial"/>
          <w:sz w:val="20"/>
          <w:lang w:val="en-US"/>
        </w:rPr>
        <w:t>The ability of a plant to survive, grow, and reproduce largely depends on the capacity of its metabolism to respond to the diverse abiotic stresses characteristic of its environment (</w:t>
      </w:r>
      <w:proofErr w:type="spellStart"/>
      <w:r w:rsidRPr="006E6C14">
        <w:rPr>
          <w:rFonts w:ascii="Arial" w:hAnsi="Arial" w:cs="Arial"/>
          <w:sz w:val="20"/>
          <w:lang w:val="en-US"/>
        </w:rPr>
        <w:t>Lamalakshmi</w:t>
      </w:r>
      <w:proofErr w:type="spellEnd"/>
      <w:r w:rsidRPr="006E6C14">
        <w:rPr>
          <w:rFonts w:ascii="Arial" w:hAnsi="Arial" w:cs="Arial"/>
          <w:sz w:val="20"/>
          <w:lang w:val="en-US"/>
        </w:rPr>
        <w:t xml:space="preserve"> et al. 2017; Du et al. 2024). </w:t>
      </w:r>
      <w:bookmarkEnd w:id="3"/>
      <w:r w:rsidRPr="006E6C14">
        <w:rPr>
          <w:rFonts w:ascii="Arial" w:hAnsi="Arial" w:cs="Arial"/>
          <w:sz w:val="20"/>
          <w:lang w:val="en-US"/>
        </w:rPr>
        <w:t xml:space="preserve">A key protective biochemical mechanism is the antioxidant system, which includes low-molecular-weight organic compounds and enzymes of varied chemical nature. These comprise pigments, amino acids, vitamins, proteins, soluble carbohydrates, catalase, peroxidase, and others (Laxa et al. 2019; Iqbal et al. 2020). Abiotic stress most commonly arises from non-optimal temperatures and their pronounced daily fluctuations, high ultraviolet radiation, and water deficits (Larcher et al. 2010; Fraire-Velázquez and Balderas-Hernández 2013). These stressors trigger the formation of reactive oxygen species in plant tissues, resulting in oxidative stress and metabolic disruption </w:t>
      </w:r>
      <w:r w:rsidRPr="006E6C14">
        <w:rPr>
          <w:rFonts w:ascii="Arial" w:hAnsi="Arial" w:cs="Arial"/>
          <w:iCs/>
          <w:sz w:val="20"/>
          <w:lang w:val="en-US"/>
        </w:rPr>
        <w:t>via</w:t>
      </w:r>
      <w:r w:rsidRPr="006E6C14">
        <w:rPr>
          <w:rFonts w:ascii="Arial" w:hAnsi="Arial" w:cs="Arial"/>
          <w:sz w:val="20"/>
          <w:lang w:val="en-US"/>
        </w:rPr>
        <w:t xml:space="preserve"> free radical production (</w:t>
      </w:r>
      <w:proofErr w:type="spellStart"/>
      <w:r w:rsidRPr="006E6C14">
        <w:rPr>
          <w:rFonts w:ascii="Arial" w:hAnsi="Arial" w:cs="Arial"/>
          <w:sz w:val="20"/>
          <w:lang w:val="en-US"/>
        </w:rPr>
        <w:t>Dumanović</w:t>
      </w:r>
      <w:proofErr w:type="spellEnd"/>
      <w:r w:rsidRPr="006E6C14">
        <w:rPr>
          <w:rFonts w:ascii="Arial" w:hAnsi="Arial" w:cs="Arial"/>
          <w:sz w:val="20"/>
          <w:lang w:val="en-US"/>
        </w:rPr>
        <w:t xml:space="preserve"> et al. 2021). Plants counteract these effects through their antioxidant system (Murai et al. 2015; Rodríguez-Hernández 2019), making its activity a valuable indicator of adaptation to stress (Hashim et al. 2020).</w:t>
      </w:r>
      <w:r w:rsidR="00B55DF2" w:rsidRPr="006E6C14">
        <w:rPr>
          <w:rFonts w:ascii="Arial" w:hAnsi="Arial" w:cs="Arial"/>
          <w:sz w:val="20"/>
          <w:lang w:val="en-US"/>
        </w:rPr>
        <w:t xml:space="preserve"> The antioxidant system has been extensively studied (for reviews see Arora e al. 2002; </w:t>
      </w:r>
      <w:proofErr w:type="spellStart"/>
      <w:r w:rsidR="00B55DF2" w:rsidRPr="006E6C14">
        <w:rPr>
          <w:rFonts w:ascii="Arial" w:hAnsi="Arial" w:cs="Arial"/>
          <w:sz w:val="20"/>
          <w:lang w:val="en-US"/>
        </w:rPr>
        <w:t>Navrot</w:t>
      </w:r>
      <w:proofErr w:type="spellEnd"/>
      <w:r w:rsidR="00B55DF2" w:rsidRPr="006E6C14">
        <w:rPr>
          <w:rFonts w:ascii="Arial" w:hAnsi="Arial" w:cs="Arial"/>
          <w:sz w:val="20"/>
          <w:lang w:val="en-US"/>
        </w:rPr>
        <w:t xml:space="preserve"> et al. 2007; Laxa et al. 2019). The core findings are that ascorbic acid increases under heat stress, carotenoids and soluble sugars under </w:t>
      </w:r>
      <w:r w:rsidR="006B6680" w:rsidRPr="006E6C14">
        <w:rPr>
          <w:rFonts w:ascii="Arial" w:hAnsi="Arial" w:cs="Arial"/>
          <w:sz w:val="20"/>
          <w:lang w:val="en-US"/>
        </w:rPr>
        <w:t>frost</w:t>
      </w:r>
      <w:r w:rsidR="00B55DF2" w:rsidRPr="006E6C14">
        <w:rPr>
          <w:rFonts w:ascii="Arial" w:hAnsi="Arial" w:cs="Arial"/>
          <w:sz w:val="20"/>
          <w:lang w:val="en-US"/>
        </w:rPr>
        <w:t>, and anthocyanins and tocopherols under the stress caused by UV radiation. Yet, many species exhibit also distinct responses to the same abiotic stress: there are species that seemingly activate different parts of antioxidant system in response to the same abiotic stress type (</w:t>
      </w:r>
      <w:proofErr w:type="spellStart"/>
      <w:r w:rsidR="00B55DF2" w:rsidRPr="006E6C14">
        <w:rPr>
          <w:rFonts w:ascii="Arial" w:hAnsi="Arial" w:cs="Arial"/>
          <w:sz w:val="20"/>
          <w:lang w:val="en-US"/>
        </w:rPr>
        <w:t>Badridze</w:t>
      </w:r>
      <w:proofErr w:type="spellEnd"/>
      <w:r w:rsidR="00B55DF2" w:rsidRPr="006E6C14">
        <w:rPr>
          <w:rFonts w:ascii="Arial" w:hAnsi="Arial" w:cs="Arial"/>
          <w:sz w:val="20"/>
          <w:lang w:val="en-US"/>
        </w:rPr>
        <w:t xml:space="preserve"> et al. 2022; 2024)</w:t>
      </w:r>
    </w:p>
    <w:p w14:paraId="65F62BCF" w14:textId="77777777" w:rsidR="00B55DF2" w:rsidRPr="006E6C14" w:rsidRDefault="00C3474A" w:rsidP="006E6C14">
      <w:pPr>
        <w:spacing w:line="276" w:lineRule="auto"/>
        <w:jc w:val="both"/>
        <w:rPr>
          <w:rFonts w:ascii="Arial" w:hAnsi="Arial" w:cs="Arial"/>
          <w:sz w:val="20"/>
          <w:lang w:val="en-US"/>
        </w:rPr>
      </w:pPr>
      <w:r w:rsidRPr="006E6C14">
        <w:rPr>
          <w:rFonts w:ascii="Arial" w:hAnsi="Arial" w:cs="Arial"/>
          <w:sz w:val="20"/>
          <w:lang w:val="en-US"/>
        </w:rPr>
        <w:t xml:space="preserve">However, this </w:t>
      </w:r>
      <w:r w:rsidR="00B55DF2" w:rsidRPr="006E6C14">
        <w:rPr>
          <w:rFonts w:ascii="Arial" w:hAnsi="Arial" w:cs="Arial"/>
          <w:sz w:val="20"/>
          <w:lang w:val="en-US"/>
        </w:rPr>
        <w:t xml:space="preserve">ecophysiological </w:t>
      </w:r>
      <w:r w:rsidRPr="006E6C14">
        <w:rPr>
          <w:rFonts w:ascii="Arial" w:hAnsi="Arial" w:cs="Arial"/>
          <w:sz w:val="20"/>
          <w:lang w:val="en-US"/>
        </w:rPr>
        <w:t xml:space="preserve">knowledge almost entirely is obtained from the works at molecular and species levels, whilst studies at the community scale — on species assemblages under a range of abiotic stressors— are exceedingly rare (to our knowledge, nonexistent). This gap likely reflects the considerable challenges such investigations entail. First, species composition along ecological gradients varies sharply across locations (Becker et al. 2007; Körner 2024), limiting the number of taxa that can be studied under consistent stress regimes. Second, such studies require metabolite-level laboratory analyses for each plant species, resulting in a prohibitive number of assays when many taxa are involved. Third, plant material must be collected from the field with specimens in optimal physiological condition, necessitating multiple site visits and often leading to incomplete datasets when some species or metabolites cannot be sampled consistently. </w:t>
      </w:r>
    </w:p>
    <w:p w14:paraId="2FFB9DF6" w14:textId="77777777" w:rsidR="006B2469" w:rsidRPr="00DC22FA" w:rsidRDefault="00B55DF2" w:rsidP="006E6C14">
      <w:pPr>
        <w:spacing w:line="276" w:lineRule="auto"/>
        <w:jc w:val="both"/>
        <w:rPr>
          <w:rFonts w:ascii="Arial" w:hAnsi="Arial" w:cs="Arial"/>
          <w:sz w:val="20"/>
          <w:lang w:val="en-US"/>
        </w:rPr>
      </w:pPr>
      <w:r w:rsidRPr="006E6C14">
        <w:rPr>
          <w:rFonts w:ascii="Arial" w:hAnsi="Arial" w:cs="Arial"/>
          <w:sz w:val="20"/>
          <w:lang w:val="en-US"/>
        </w:rPr>
        <w:t xml:space="preserve">To sum up, </w:t>
      </w:r>
      <w:r w:rsidR="003C6CA0" w:rsidRPr="006E6C14">
        <w:rPr>
          <w:rFonts w:ascii="Arial" w:hAnsi="Arial" w:cs="Arial"/>
          <w:sz w:val="20"/>
          <w:lang w:val="en-US"/>
        </w:rPr>
        <w:t xml:space="preserve">the existing knowledge suggests that certain metabolic responses may be primarily stress-specific, while others are species-specific. Stress-specific responses can manifest similarly </w:t>
      </w:r>
      <w:r w:rsidR="006B6680" w:rsidRPr="006E6C14">
        <w:rPr>
          <w:rFonts w:ascii="Arial" w:hAnsi="Arial" w:cs="Arial"/>
          <w:sz w:val="20"/>
          <w:lang w:val="en-US"/>
        </w:rPr>
        <w:t>in an assemblage of</w:t>
      </w:r>
      <w:r w:rsidR="003C6CA0" w:rsidRPr="006E6C14">
        <w:rPr>
          <w:rFonts w:ascii="Arial" w:hAnsi="Arial" w:cs="Arial"/>
          <w:sz w:val="20"/>
          <w:lang w:val="en-US"/>
        </w:rPr>
        <w:t xml:space="preserve"> multiple species exposed to the same type of stress, overriding interspecific variation. Species-specific responses could be seen in that different species</w:t>
      </w:r>
      <w:r w:rsidR="006B6680" w:rsidRPr="006E6C14">
        <w:rPr>
          <w:rFonts w:ascii="Arial" w:hAnsi="Arial" w:cs="Arial"/>
          <w:sz w:val="20"/>
          <w:lang w:val="en-US"/>
        </w:rPr>
        <w:t xml:space="preserve"> of an assemblage</w:t>
      </w:r>
      <w:r w:rsidR="003C6CA0" w:rsidRPr="006E6C14">
        <w:rPr>
          <w:rFonts w:ascii="Arial" w:hAnsi="Arial" w:cs="Arial"/>
          <w:sz w:val="20"/>
          <w:lang w:val="en-US"/>
        </w:rPr>
        <w:t xml:space="preserve"> increase different antioxidants in response to the same abiotic stressor. However, these representations remain experimentally untested, and the extent to which metabolic adjustments to abiotic stress are </w:t>
      </w:r>
      <w:r w:rsidR="006B6680" w:rsidRPr="006E6C14">
        <w:rPr>
          <w:rFonts w:ascii="Arial" w:hAnsi="Arial" w:cs="Arial"/>
          <w:sz w:val="20"/>
          <w:lang w:val="en-US"/>
        </w:rPr>
        <w:t xml:space="preserve">mainly </w:t>
      </w:r>
      <w:r w:rsidR="003C6CA0" w:rsidRPr="006E6C14">
        <w:rPr>
          <w:rFonts w:ascii="Arial" w:hAnsi="Arial" w:cs="Arial"/>
          <w:sz w:val="20"/>
          <w:lang w:val="en-US"/>
        </w:rPr>
        <w:t xml:space="preserve">stress- or species-specific within plant communities remains poorly understood. </w:t>
      </w:r>
      <w:r w:rsidR="006B2469" w:rsidRPr="006E6C14">
        <w:rPr>
          <w:rFonts w:ascii="Arial" w:hAnsi="Arial" w:cs="Arial"/>
          <w:sz w:val="20"/>
          <w:lang w:val="en-US"/>
        </w:rPr>
        <w:t xml:space="preserve">To address these challenges, we selected a moderate number of common herbaceous species </w:t>
      </w:r>
      <w:r w:rsidR="006F482E" w:rsidRPr="006E6C14">
        <w:rPr>
          <w:rFonts w:ascii="Arial" w:hAnsi="Arial" w:cs="Arial"/>
          <w:sz w:val="20"/>
          <w:lang w:val="en-US"/>
        </w:rPr>
        <w:t xml:space="preserve">(forbs) </w:t>
      </w:r>
      <w:r w:rsidR="006B2469" w:rsidRPr="006E6C14">
        <w:rPr>
          <w:rFonts w:ascii="Arial" w:hAnsi="Arial" w:cs="Arial"/>
          <w:sz w:val="20"/>
          <w:lang w:val="en-US"/>
        </w:rPr>
        <w:t xml:space="preserve">growing in climatically distinct locations across the Greater and Lesser Caucasus Mountains. All sites represented the same plant community type: semi-natural </w:t>
      </w:r>
      <w:r w:rsidR="0001117B" w:rsidRPr="006E6C14">
        <w:rPr>
          <w:rFonts w:ascii="Arial" w:hAnsi="Arial" w:cs="Arial"/>
          <w:sz w:val="20"/>
          <w:lang w:val="en-US"/>
        </w:rPr>
        <w:t>hey meadows, distinguished with high diversity of forb species</w:t>
      </w:r>
      <w:r w:rsidR="006B2469" w:rsidRPr="006E6C14">
        <w:rPr>
          <w:rFonts w:ascii="Arial" w:hAnsi="Arial" w:cs="Arial"/>
          <w:sz w:val="20"/>
          <w:lang w:val="en-US"/>
        </w:rPr>
        <w:t>. Th</w:t>
      </w:r>
      <w:r w:rsidR="00881084" w:rsidRPr="006E6C14">
        <w:rPr>
          <w:rFonts w:ascii="Arial" w:hAnsi="Arial" w:cs="Arial"/>
          <w:sz w:val="20"/>
          <w:lang w:val="en-US"/>
        </w:rPr>
        <w:t>e</w:t>
      </w:r>
      <w:r w:rsidR="006B2469" w:rsidRPr="006E6C14">
        <w:rPr>
          <w:rFonts w:ascii="Arial" w:hAnsi="Arial" w:cs="Arial"/>
          <w:sz w:val="20"/>
          <w:lang w:val="en-US"/>
        </w:rPr>
        <w:t xml:space="preserve"> consistent land use facilitated the presence of numerous shared species across locations despite climatic differences, enabling the selection of target taxa. Ultimately, we assessed 13 </w:t>
      </w:r>
      <w:r w:rsidR="0001117B" w:rsidRPr="006E6C14">
        <w:rPr>
          <w:rFonts w:ascii="Arial" w:hAnsi="Arial" w:cs="Arial"/>
          <w:sz w:val="20"/>
          <w:lang w:val="en-US"/>
        </w:rPr>
        <w:t>forb</w:t>
      </w:r>
      <w:r w:rsidR="006B2469" w:rsidRPr="006E6C14">
        <w:rPr>
          <w:rFonts w:ascii="Arial" w:hAnsi="Arial" w:cs="Arial"/>
          <w:sz w:val="20"/>
          <w:lang w:val="en-US"/>
        </w:rPr>
        <w:t xml:space="preserve"> species (Table 1) at three distinct sites </w:t>
      </w:r>
      <w:r w:rsidR="001D13E8" w:rsidRPr="006E6C14">
        <w:rPr>
          <w:rFonts w:ascii="Arial" w:hAnsi="Arial" w:cs="Arial"/>
          <w:sz w:val="20"/>
          <w:lang w:val="en-US"/>
        </w:rPr>
        <w:t>–</w:t>
      </w:r>
      <w:r w:rsidR="006B2469" w:rsidRPr="006E6C14">
        <w:rPr>
          <w:rFonts w:ascii="Arial" w:hAnsi="Arial" w:cs="Arial"/>
          <w:sz w:val="20"/>
          <w:lang w:val="en-US"/>
        </w:rPr>
        <w:t xml:space="preserve"> Bakuriani, Sno, and Tskhratskaro (Fig. 1). To examine their metabolic responses to differing abiotic stressors, we focused on 12 widely studied compounds and enzymes with established antioxidative roles (Table 1). </w:t>
      </w:r>
      <w:r w:rsidR="00136651" w:rsidRPr="006E6C14">
        <w:rPr>
          <w:rFonts w:ascii="Arial" w:hAnsi="Arial" w:cs="Arial"/>
          <w:sz w:val="20"/>
          <w:lang w:val="en-US"/>
        </w:rPr>
        <w:t xml:space="preserve">In particular, we </w:t>
      </w:r>
      <w:r w:rsidR="00EB0869" w:rsidRPr="006E6C14">
        <w:rPr>
          <w:rFonts w:ascii="Arial" w:hAnsi="Arial" w:cs="Arial"/>
          <w:sz w:val="20"/>
          <w:lang w:val="en-US"/>
        </w:rPr>
        <w:t xml:space="preserve">tested </w:t>
      </w:r>
      <w:r w:rsidR="006104F3" w:rsidRPr="006E6C14">
        <w:rPr>
          <w:rFonts w:ascii="Arial" w:hAnsi="Arial" w:cs="Arial"/>
          <w:sz w:val="20"/>
          <w:lang w:val="en-US"/>
        </w:rPr>
        <w:t>a</w:t>
      </w:r>
      <w:r w:rsidR="00136651" w:rsidRPr="006E6C14">
        <w:rPr>
          <w:rFonts w:ascii="Arial" w:hAnsi="Arial" w:cs="Arial"/>
          <w:sz w:val="20"/>
          <w:lang w:val="en-US"/>
        </w:rPr>
        <w:t xml:space="preserve"> hypothes</w:t>
      </w:r>
      <w:r w:rsidR="003C10B5" w:rsidRPr="006E6C14">
        <w:rPr>
          <w:rFonts w:ascii="Arial" w:hAnsi="Arial" w:cs="Arial"/>
          <w:sz w:val="20"/>
          <w:lang w:val="en-US"/>
        </w:rPr>
        <w:t>i</w:t>
      </w:r>
      <w:r w:rsidR="00136651" w:rsidRPr="006E6C14">
        <w:rPr>
          <w:rFonts w:ascii="Arial" w:hAnsi="Arial" w:cs="Arial"/>
          <w:sz w:val="20"/>
          <w:lang w:val="en-US"/>
        </w:rPr>
        <w:t>s</w:t>
      </w:r>
      <w:r w:rsidR="006104F3" w:rsidRPr="006E6C14">
        <w:rPr>
          <w:rFonts w:ascii="Arial" w:hAnsi="Arial" w:cs="Arial"/>
          <w:sz w:val="20"/>
          <w:lang w:val="en-US"/>
        </w:rPr>
        <w:t xml:space="preserve"> </w:t>
      </w:r>
      <w:r w:rsidR="00EB0869" w:rsidRPr="006E6C14">
        <w:rPr>
          <w:rFonts w:ascii="Arial" w:hAnsi="Arial" w:cs="Arial"/>
          <w:sz w:val="20"/>
          <w:lang w:val="en-US"/>
        </w:rPr>
        <w:t>that the majority of the forb species in a hay meadow assemblage produce similar antioxidant responses specific to a given abiotic stress</w:t>
      </w:r>
      <w:r w:rsidR="006104F3" w:rsidRPr="006E6C14">
        <w:rPr>
          <w:rFonts w:ascii="Arial" w:hAnsi="Arial" w:cs="Arial"/>
          <w:sz w:val="20"/>
          <w:lang w:val="en-US"/>
        </w:rPr>
        <w:t>. An alternative hypothesis was</w:t>
      </w:r>
      <w:r w:rsidR="00136651" w:rsidRPr="006E6C14">
        <w:rPr>
          <w:rFonts w:ascii="Arial" w:hAnsi="Arial" w:cs="Arial"/>
          <w:sz w:val="20"/>
          <w:lang w:val="en-US"/>
        </w:rPr>
        <w:t xml:space="preserve"> that antioxidant responses are species-specific and </w:t>
      </w:r>
      <w:r w:rsidRPr="006E6C14">
        <w:rPr>
          <w:rFonts w:ascii="Arial" w:hAnsi="Arial" w:cs="Arial"/>
          <w:sz w:val="20"/>
          <w:lang w:val="en-US"/>
        </w:rPr>
        <w:t xml:space="preserve">blur the expected stress-specific responses across the species. </w:t>
      </w:r>
      <w:r w:rsidR="00136651" w:rsidRPr="006E6C14">
        <w:rPr>
          <w:rFonts w:ascii="Arial" w:hAnsi="Arial" w:cs="Arial"/>
          <w:sz w:val="20"/>
          <w:lang w:val="en-US"/>
        </w:rPr>
        <w:t>To test these hypotheses, the</w:t>
      </w:r>
      <w:r w:rsidR="006B2469" w:rsidRPr="006E6C14">
        <w:rPr>
          <w:rFonts w:ascii="Arial" w:hAnsi="Arial" w:cs="Arial"/>
          <w:sz w:val="20"/>
          <w:lang w:val="en-US"/>
        </w:rPr>
        <w:t xml:space="preserve"> </w:t>
      </w:r>
      <w:r w:rsidR="00136651" w:rsidRPr="006E6C14">
        <w:rPr>
          <w:rFonts w:ascii="Arial" w:hAnsi="Arial" w:cs="Arial"/>
          <w:sz w:val="20"/>
          <w:lang w:val="en-US"/>
        </w:rPr>
        <w:t>antioxidants</w:t>
      </w:r>
      <w:r w:rsidR="006B2469" w:rsidRPr="006E6C14">
        <w:rPr>
          <w:rFonts w:ascii="Arial" w:hAnsi="Arial" w:cs="Arial"/>
          <w:sz w:val="20"/>
          <w:lang w:val="en-US"/>
        </w:rPr>
        <w:t xml:space="preserve"> were quantified in each species at all three sites of co-occurrence, and the resulting data were </w:t>
      </w:r>
      <w:r w:rsidR="0057399D" w:rsidRPr="006E6C14">
        <w:rPr>
          <w:rFonts w:ascii="Arial" w:hAnsi="Arial" w:cs="Arial"/>
          <w:sz w:val="20"/>
          <w:lang w:val="en-US"/>
        </w:rPr>
        <w:t>examined</w:t>
      </w:r>
      <w:r w:rsidR="006B2469" w:rsidRPr="006E6C14">
        <w:rPr>
          <w:rFonts w:ascii="Arial" w:hAnsi="Arial" w:cs="Arial"/>
          <w:sz w:val="20"/>
          <w:lang w:val="en-US"/>
        </w:rPr>
        <w:t xml:space="preserve"> using multivariate statistical approaches including ordination</w:t>
      </w:r>
      <w:r w:rsidRPr="006E6C14">
        <w:rPr>
          <w:rFonts w:ascii="Arial" w:hAnsi="Arial" w:cs="Arial"/>
          <w:sz w:val="20"/>
          <w:lang w:val="en-US"/>
        </w:rPr>
        <w:t xml:space="preserve"> and</w:t>
      </w:r>
      <w:r w:rsidR="00136651" w:rsidRPr="006E6C14">
        <w:rPr>
          <w:rFonts w:ascii="Arial" w:hAnsi="Arial" w:cs="Arial"/>
          <w:sz w:val="20"/>
          <w:lang w:val="en-US"/>
        </w:rPr>
        <w:t xml:space="preserve"> </w:t>
      </w:r>
      <w:r w:rsidR="000B4DA2" w:rsidRPr="006E6C14">
        <w:rPr>
          <w:rFonts w:ascii="Arial" w:hAnsi="Arial" w:cs="Arial"/>
          <w:sz w:val="20"/>
          <w:lang w:val="en-US"/>
        </w:rPr>
        <w:t>cluster</w:t>
      </w:r>
      <w:r w:rsidRPr="006E6C14">
        <w:rPr>
          <w:rFonts w:ascii="Arial" w:hAnsi="Arial" w:cs="Arial"/>
          <w:sz w:val="20"/>
          <w:lang w:val="en-US"/>
        </w:rPr>
        <w:t xml:space="preserve"> </w:t>
      </w:r>
      <w:r w:rsidR="000B4DA2" w:rsidRPr="006E6C14">
        <w:rPr>
          <w:rFonts w:ascii="Arial" w:hAnsi="Arial" w:cs="Arial"/>
          <w:sz w:val="20"/>
          <w:lang w:val="en-US"/>
        </w:rPr>
        <w:t>analysis</w:t>
      </w:r>
      <w:r w:rsidR="006B2469" w:rsidRPr="006E6C14">
        <w:rPr>
          <w:rFonts w:ascii="Arial" w:hAnsi="Arial" w:cs="Arial"/>
          <w:sz w:val="20"/>
          <w:lang w:val="en-US"/>
        </w:rPr>
        <w:t>.</w:t>
      </w:r>
      <w:r w:rsidR="00EB0869" w:rsidRPr="006E6C14">
        <w:rPr>
          <w:rFonts w:ascii="Arial" w:hAnsi="Arial" w:cs="Arial"/>
          <w:sz w:val="20"/>
          <w:lang w:val="en-US"/>
        </w:rPr>
        <w:t xml:space="preserve"> </w:t>
      </w:r>
    </w:p>
    <w:p w14:paraId="62E7A036" w14:textId="77777777" w:rsidR="00C57D40" w:rsidRPr="006E6C14" w:rsidRDefault="006E6C14" w:rsidP="00E830A3">
      <w:pPr>
        <w:spacing w:line="276" w:lineRule="auto"/>
        <w:rPr>
          <w:rFonts w:ascii="Arial" w:hAnsi="Arial" w:cs="Arial"/>
          <w:b/>
          <w:bCs/>
          <w:lang w:val="en-US"/>
        </w:rPr>
      </w:pPr>
      <w:r>
        <w:rPr>
          <w:rFonts w:ascii="Arial" w:hAnsi="Arial" w:cs="Arial"/>
          <w:b/>
          <w:bCs/>
          <w:lang w:val="en-US"/>
        </w:rPr>
        <w:lastRenderedPageBreak/>
        <w:t xml:space="preserve">2. </w:t>
      </w:r>
      <w:r w:rsidR="00C57D40" w:rsidRPr="006E6C14">
        <w:rPr>
          <w:rFonts w:ascii="Arial" w:hAnsi="Arial" w:cs="Arial"/>
          <w:b/>
          <w:bCs/>
          <w:lang w:val="en-US"/>
        </w:rPr>
        <w:t>M</w:t>
      </w:r>
      <w:r>
        <w:rPr>
          <w:rFonts w:ascii="Arial" w:hAnsi="Arial" w:cs="Arial"/>
          <w:b/>
          <w:bCs/>
          <w:lang w:val="en-US"/>
        </w:rPr>
        <w:t>ATERIALS AND METHODS</w:t>
      </w:r>
    </w:p>
    <w:p w14:paraId="6AFA1A25" w14:textId="77777777" w:rsidR="00C57D40" w:rsidRDefault="006E6C14" w:rsidP="00E830A3">
      <w:pPr>
        <w:spacing w:line="276" w:lineRule="auto"/>
        <w:rPr>
          <w:rFonts w:ascii="Arial" w:hAnsi="Arial" w:cs="Arial"/>
          <w:b/>
          <w:iCs/>
          <w:lang w:val="en-US"/>
        </w:rPr>
      </w:pPr>
      <w:r w:rsidRPr="00DC22FA">
        <w:rPr>
          <w:rFonts w:ascii="Arial" w:hAnsi="Arial" w:cs="Arial"/>
          <w:b/>
          <w:iCs/>
          <w:lang w:val="en-US"/>
        </w:rPr>
        <w:t xml:space="preserve">2.1 </w:t>
      </w:r>
      <w:r w:rsidR="00C57D40" w:rsidRPr="00DC22FA">
        <w:rPr>
          <w:rFonts w:ascii="Arial" w:hAnsi="Arial" w:cs="Arial"/>
          <w:b/>
          <w:iCs/>
          <w:lang w:val="en-US"/>
        </w:rPr>
        <w:t>Study locations and target species</w:t>
      </w:r>
      <w:r w:rsidR="00296B75" w:rsidRPr="00DC22FA">
        <w:rPr>
          <w:rFonts w:ascii="Arial" w:hAnsi="Arial" w:cs="Arial"/>
          <w:b/>
          <w:iCs/>
          <w:lang w:val="en-US"/>
        </w:rPr>
        <w:t xml:space="preserve"> </w:t>
      </w:r>
    </w:p>
    <w:p w14:paraId="17C9F82D" w14:textId="77777777" w:rsidR="00DC22FA" w:rsidRPr="00DC22FA" w:rsidRDefault="00DC22FA" w:rsidP="00E830A3">
      <w:pPr>
        <w:spacing w:line="276" w:lineRule="auto"/>
        <w:rPr>
          <w:rFonts w:ascii="Arial" w:hAnsi="Arial" w:cs="Arial"/>
          <w:b/>
          <w:iCs/>
          <w:lang w:val="en-US"/>
        </w:rPr>
      </w:pPr>
    </w:p>
    <w:p w14:paraId="3A429E34" w14:textId="77777777" w:rsidR="0018740F" w:rsidRPr="006E6C14" w:rsidRDefault="0018740F" w:rsidP="006E6C14">
      <w:pPr>
        <w:spacing w:before="100" w:beforeAutospacing="1" w:after="100" w:afterAutospacing="1" w:line="276" w:lineRule="auto"/>
        <w:jc w:val="both"/>
        <w:rPr>
          <w:rFonts w:ascii="Arial" w:hAnsi="Arial" w:cs="Arial"/>
          <w:sz w:val="20"/>
          <w:lang w:val="en-US"/>
        </w:rPr>
      </w:pPr>
      <w:r w:rsidRPr="006E6C14">
        <w:rPr>
          <w:rFonts w:ascii="Arial" w:hAnsi="Arial" w:cs="Arial"/>
          <w:sz w:val="20"/>
          <w:lang w:val="en-US"/>
        </w:rPr>
        <w:t xml:space="preserve">Plant material was collected from hay meadow communities widely distributed across the Caucasus region, at three locations (Fig. 1, Table 1). Geographic coordinates and elevation were recorded using a Garmin </w:t>
      </w:r>
      <w:proofErr w:type="spellStart"/>
      <w:r w:rsidRPr="006E6C14">
        <w:rPr>
          <w:rFonts w:ascii="Arial" w:hAnsi="Arial" w:cs="Arial"/>
          <w:sz w:val="20"/>
          <w:lang w:val="en-US"/>
        </w:rPr>
        <w:t>eTrex</w:t>
      </w:r>
      <w:proofErr w:type="spellEnd"/>
      <w:r w:rsidRPr="006E6C14">
        <w:rPr>
          <w:rFonts w:ascii="Arial" w:hAnsi="Arial" w:cs="Arial"/>
          <w:sz w:val="20"/>
          <w:lang w:val="en-US"/>
        </w:rPr>
        <w:t xml:space="preserve"> 22x GPS receiver. Ultraviolet radiation (bands A and B) was measured at 2:00 p.m. local time using a UVX-Radiometer (UVP Inc., USA). Climatic data for the study sites were obtained from the Global Historical Weather and Climate Data repository (</w:t>
      </w:r>
      <w:hyperlink r:id="rId8" w:history="1">
        <w:r w:rsidR="00663398" w:rsidRPr="006E6C14">
          <w:rPr>
            <w:rStyle w:val="Hyperlink"/>
            <w:rFonts w:ascii="Arial" w:hAnsi="Arial" w:cs="Arial"/>
            <w:sz w:val="20"/>
            <w:lang w:val="en-US"/>
          </w:rPr>
          <w:t>https://weatherandclimate.com</w:t>
        </w:r>
      </w:hyperlink>
      <w:r w:rsidRPr="006E6C14">
        <w:rPr>
          <w:rFonts w:ascii="Arial" w:hAnsi="Arial" w:cs="Arial"/>
          <w:sz w:val="20"/>
          <w:lang w:val="en-US"/>
        </w:rPr>
        <w:t>).</w:t>
      </w:r>
      <w:r w:rsidR="00296B75" w:rsidRPr="006E6C14">
        <w:rPr>
          <w:rFonts w:ascii="Arial" w:hAnsi="Arial" w:cs="Arial"/>
          <w:sz w:val="20"/>
          <w:lang w:val="en-US"/>
        </w:rPr>
        <w:t xml:space="preserve"> </w:t>
      </w:r>
    </w:p>
    <w:p w14:paraId="28BC1226" w14:textId="77777777" w:rsidR="0018740F" w:rsidRDefault="00C57D40" w:rsidP="006E6C14">
      <w:pPr>
        <w:spacing w:before="100" w:beforeAutospacing="1" w:after="100" w:afterAutospacing="1" w:line="276" w:lineRule="auto"/>
        <w:jc w:val="both"/>
        <w:rPr>
          <w:rFonts w:ascii="Arial" w:hAnsi="Arial" w:cs="Arial"/>
          <w:sz w:val="20"/>
        </w:rPr>
      </w:pPr>
      <w:r w:rsidRPr="006E6C14">
        <w:rPr>
          <w:rFonts w:ascii="Arial" w:hAnsi="Arial" w:cs="Arial"/>
          <w:sz w:val="20"/>
          <w:lang w:val="en-US"/>
        </w:rPr>
        <w:t>Despite substantial climatic variation among the sites (see Results</w:t>
      </w:r>
      <w:r w:rsidR="008C36EA" w:rsidRPr="006E6C14">
        <w:rPr>
          <w:rFonts w:ascii="Arial" w:hAnsi="Arial" w:cs="Arial"/>
          <w:sz w:val="20"/>
          <w:lang w:val="en-US"/>
        </w:rPr>
        <w:t xml:space="preserve">) </w:t>
      </w:r>
      <w:r w:rsidRPr="006E6C14">
        <w:rPr>
          <w:rFonts w:ascii="Arial" w:hAnsi="Arial" w:cs="Arial"/>
          <w:sz w:val="20"/>
          <w:lang w:val="en-US"/>
        </w:rPr>
        <w:t xml:space="preserve">plant community composition overlapped significantly due to similar land-use histories </w:t>
      </w:r>
      <w:r w:rsidR="001D13E8" w:rsidRPr="006E6C14">
        <w:rPr>
          <w:rFonts w:ascii="Arial" w:hAnsi="Arial" w:cs="Arial"/>
          <w:sz w:val="20"/>
          <w:lang w:val="en-US"/>
        </w:rPr>
        <w:t>–</w:t>
      </w:r>
      <w:r w:rsidRPr="006E6C14">
        <w:rPr>
          <w:rFonts w:ascii="Arial" w:hAnsi="Arial" w:cs="Arial"/>
          <w:sz w:val="20"/>
          <w:lang w:val="en-US"/>
        </w:rPr>
        <w:t xml:space="preserve"> namely, traditional pasturing and haymaking. From the species shared across all three locations, we selected the most representative taxa for this study (Table</w:t>
      </w:r>
      <w:r w:rsidR="00DC1A10" w:rsidRPr="006E6C14">
        <w:rPr>
          <w:rFonts w:ascii="Arial" w:hAnsi="Arial" w:cs="Arial"/>
          <w:sz w:val="20"/>
          <w:lang w:val="en-US"/>
        </w:rPr>
        <w:t>1</w:t>
      </w:r>
      <w:r w:rsidRPr="006E6C14">
        <w:rPr>
          <w:rFonts w:ascii="Arial" w:hAnsi="Arial" w:cs="Arial"/>
          <w:sz w:val="20"/>
          <w:lang w:val="en-US"/>
        </w:rPr>
        <w:t xml:space="preserve">). Full nomenclature is provided in Supplementary Material 1, following Flora of Georgia (2011), </w:t>
      </w:r>
      <w:proofErr w:type="spellStart"/>
      <w:r w:rsidRPr="006E6C14">
        <w:rPr>
          <w:rFonts w:ascii="Arial" w:hAnsi="Arial" w:cs="Arial"/>
          <w:sz w:val="20"/>
          <w:lang w:val="en-US"/>
        </w:rPr>
        <w:t>Davlianidze</w:t>
      </w:r>
      <w:proofErr w:type="spellEnd"/>
      <w:r w:rsidRPr="006E6C14">
        <w:rPr>
          <w:rFonts w:ascii="Arial" w:hAnsi="Arial" w:cs="Arial"/>
          <w:sz w:val="20"/>
          <w:lang w:val="en-US"/>
        </w:rPr>
        <w:t xml:space="preserve"> et al. (2018), and Plants of the World Online </w:t>
      </w:r>
      <w:r w:rsidR="001C0BCE" w:rsidRPr="006E6C14">
        <w:rPr>
          <w:rFonts w:ascii="Arial" w:hAnsi="Arial" w:cs="Arial"/>
          <w:sz w:val="20"/>
          <w:lang w:val="en-US"/>
        </w:rPr>
        <w:t>(</w:t>
      </w:r>
      <w:r w:rsidR="001C0BCE" w:rsidRPr="006E6C14">
        <w:rPr>
          <w:rFonts w:ascii="Arial" w:hAnsi="Arial" w:cs="Arial"/>
          <w:sz w:val="20"/>
        </w:rPr>
        <w:t>Miller and Ulate, 2017).</w:t>
      </w:r>
    </w:p>
    <w:p w14:paraId="52110CCD" w14:textId="77777777" w:rsidR="00DC22FA" w:rsidRPr="006E6C14" w:rsidRDefault="00DC22FA" w:rsidP="006E6C14">
      <w:pPr>
        <w:spacing w:before="100" w:beforeAutospacing="1" w:after="100" w:afterAutospacing="1" w:line="276" w:lineRule="auto"/>
        <w:jc w:val="both"/>
        <w:rPr>
          <w:rFonts w:ascii="Arial" w:hAnsi="Arial" w:cs="Arial"/>
          <w:sz w:val="20"/>
        </w:rPr>
      </w:pPr>
    </w:p>
    <w:p w14:paraId="7324FBDF" w14:textId="77777777" w:rsidR="00C57D40" w:rsidRDefault="006E6C14" w:rsidP="00E830A3">
      <w:pPr>
        <w:spacing w:line="276" w:lineRule="auto"/>
        <w:rPr>
          <w:rFonts w:ascii="Arial" w:hAnsi="Arial" w:cs="Arial"/>
          <w:b/>
          <w:iCs/>
          <w:lang w:val="en-US"/>
        </w:rPr>
      </w:pPr>
      <w:r w:rsidRPr="00DC22FA">
        <w:rPr>
          <w:rFonts w:ascii="Arial" w:hAnsi="Arial" w:cs="Arial"/>
          <w:b/>
          <w:iCs/>
          <w:lang w:val="en-US"/>
        </w:rPr>
        <w:t xml:space="preserve">2.2 </w:t>
      </w:r>
      <w:r w:rsidR="00C57D40" w:rsidRPr="00DC22FA">
        <w:rPr>
          <w:rFonts w:ascii="Arial" w:hAnsi="Arial" w:cs="Arial"/>
          <w:b/>
          <w:iCs/>
          <w:lang w:val="en-US"/>
        </w:rPr>
        <w:t xml:space="preserve">Plant Material Collection </w:t>
      </w:r>
    </w:p>
    <w:p w14:paraId="6CDF8D53" w14:textId="77777777" w:rsidR="00DC22FA" w:rsidRPr="00DC22FA" w:rsidRDefault="00DC22FA" w:rsidP="00E830A3">
      <w:pPr>
        <w:spacing w:line="276" w:lineRule="auto"/>
        <w:rPr>
          <w:rFonts w:ascii="Arial" w:hAnsi="Arial" w:cs="Arial"/>
          <w:b/>
          <w:iCs/>
          <w:lang w:val="en-US"/>
        </w:rPr>
      </w:pPr>
    </w:p>
    <w:p w14:paraId="573D97F8" w14:textId="77777777" w:rsidR="00C57D40" w:rsidRDefault="00C57D40" w:rsidP="006E6C14">
      <w:pPr>
        <w:spacing w:line="276" w:lineRule="auto"/>
        <w:jc w:val="both"/>
        <w:rPr>
          <w:rFonts w:ascii="Times New Roman" w:hAnsi="Times New Roman" w:cs="Times New Roman"/>
          <w:lang w:val="en-US"/>
        </w:rPr>
      </w:pPr>
      <w:r w:rsidRPr="006E6C14">
        <w:rPr>
          <w:rFonts w:ascii="Arial" w:hAnsi="Arial" w:cs="Arial"/>
          <w:sz w:val="20"/>
          <w:lang w:val="en-US"/>
        </w:rPr>
        <w:t>Plant material was collected in 2009–2010, primarily in late July to early August, coinciding with the flowering phase of the target species. Individual plants were randomly sampled, placed in paper bags, and transported to the laboratory in a cool box to prevent desiccation. All biochemical assays were conducted using fresh material, with the exception of anthocyanin analysis, which was performed on tissue dried at 75</w:t>
      </w:r>
      <w:r w:rsidR="00203632" w:rsidRPr="006E6C14">
        <w:rPr>
          <w:rFonts w:ascii="Arial" w:hAnsi="Arial" w:cs="Arial"/>
          <w:sz w:val="20"/>
          <w:lang w:val="en-US"/>
        </w:rPr>
        <w:t>°</w:t>
      </w:r>
      <w:r w:rsidRPr="006E6C14">
        <w:rPr>
          <w:rFonts w:ascii="Arial" w:hAnsi="Arial" w:cs="Arial"/>
          <w:sz w:val="20"/>
          <w:lang w:val="en-US"/>
        </w:rPr>
        <w:t>–</w:t>
      </w:r>
      <w:r w:rsidR="00203632" w:rsidRPr="006E6C14">
        <w:rPr>
          <w:rFonts w:ascii="Arial" w:hAnsi="Arial" w:cs="Arial"/>
          <w:sz w:val="20"/>
          <w:lang w:val="en-US"/>
        </w:rPr>
        <w:t xml:space="preserve"> </w:t>
      </w:r>
      <w:r w:rsidRPr="006E6C14">
        <w:rPr>
          <w:rFonts w:ascii="Arial" w:hAnsi="Arial" w:cs="Arial"/>
          <w:sz w:val="20"/>
          <w:lang w:val="en-US"/>
        </w:rPr>
        <w:t>80 °C in a thermostat and subsequently stored under refrigeration</w:t>
      </w:r>
      <w:r w:rsidRPr="00296B75">
        <w:rPr>
          <w:rFonts w:ascii="Times New Roman" w:hAnsi="Times New Roman" w:cs="Times New Roman"/>
          <w:lang w:val="en-US"/>
        </w:rPr>
        <w:t>.</w:t>
      </w:r>
    </w:p>
    <w:p w14:paraId="70FBF7CE" w14:textId="77777777" w:rsidR="00DC22FA" w:rsidRPr="00296B75" w:rsidRDefault="00DC22FA" w:rsidP="006E6C14">
      <w:pPr>
        <w:spacing w:line="276" w:lineRule="auto"/>
        <w:jc w:val="both"/>
        <w:rPr>
          <w:rFonts w:ascii="Times New Roman" w:hAnsi="Times New Roman" w:cs="Times New Roman"/>
          <w:lang w:val="en-US"/>
        </w:rPr>
      </w:pPr>
    </w:p>
    <w:p w14:paraId="0D5E9D90" w14:textId="77777777" w:rsidR="00C57D40" w:rsidRDefault="006E6C14" w:rsidP="00E830A3">
      <w:pPr>
        <w:spacing w:line="276" w:lineRule="auto"/>
        <w:rPr>
          <w:rFonts w:ascii="Arial" w:hAnsi="Arial" w:cs="Arial"/>
          <w:b/>
          <w:iCs/>
          <w:lang w:val="en-US"/>
        </w:rPr>
      </w:pPr>
      <w:r w:rsidRPr="00DC22FA">
        <w:rPr>
          <w:rFonts w:ascii="Arial" w:hAnsi="Arial" w:cs="Arial"/>
          <w:b/>
          <w:iCs/>
          <w:lang w:val="en-US"/>
        </w:rPr>
        <w:t xml:space="preserve">2.3 </w:t>
      </w:r>
      <w:r w:rsidR="00C57D40" w:rsidRPr="00DC22FA">
        <w:rPr>
          <w:rFonts w:ascii="Arial" w:hAnsi="Arial" w:cs="Arial"/>
          <w:b/>
          <w:iCs/>
          <w:lang w:val="en-US"/>
        </w:rPr>
        <w:t>Metabolite and Enzyme Activity Assays</w:t>
      </w:r>
      <w:r w:rsidR="00296B75" w:rsidRPr="00DC22FA">
        <w:rPr>
          <w:rFonts w:ascii="Arial" w:hAnsi="Arial" w:cs="Arial"/>
          <w:b/>
          <w:iCs/>
          <w:lang w:val="en-US"/>
        </w:rPr>
        <w:t xml:space="preserve"> </w:t>
      </w:r>
    </w:p>
    <w:p w14:paraId="01CF5D61" w14:textId="77777777" w:rsidR="00DC22FA" w:rsidRPr="00DC22FA" w:rsidRDefault="00DC22FA" w:rsidP="00E830A3">
      <w:pPr>
        <w:spacing w:line="276" w:lineRule="auto"/>
        <w:rPr>
          <w:rFonts w:ascii="Arial" w:hAnsi="Arial" w:cs="Arial"/>
          <w:b/>
          <w:iCs/>
          <w:lang w:val="en-US"/>
        </w:rPr>
      </w:pPr>
    </w:p>
    <w:p w14:paraId="0B3E1155"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sz w:val="20"/>
          <w:lang w:val="en-US"/>
        </w:rPr>
        <w:t xml:space="preserve">The analyzed compounds included anthocyanins, ascorbic acid, carotenoids, chlorophylls (a + b), proline, soluble carbohydrates, soluble phenolics, tocopherols, and total proteins. Enzyme activities </w:t>
      </w:r>
      <w:r w:rsidR="001D13E8" w:rsidRPr="006E6C14">
        <w:rPr>
          <w:rFonts w:ascii="Arial" w:hAnsi="Arial" w:cs="Arial"/>
          <w:sz w:val="20"/>
          <w:lang w:val="en-US"/>
        </w:rPr>
        <w:t>–</w:t>
      </w:r>
      <w:r w:rsidRPr="006E6C14">
        <w:rPr>
          <w:rFonts w:ascii="Arial" w:hAnsi="Arial" w:cs="Arial"/>
          <w:sz w:val="20"/>
          <w:lang w:val="en-US"/>
        </w:rPr>
        <w:t xml:space="preserve"> catalase, nitrate reductase, and peroxidase </w:t>
      </w:r>
      <w:r w:rsidR="001D13E8" w:rsidRPr="006E6C14">
        <w:rPr>
          <w:rFonts w:ascii="Arial" w:hAnsi="Arial" w:cs="Arial"/>
          <w:sz w:val="20"/>
          <w:lang w:val="en-US"/>
        </w:rPr>
        <w:t>–</w:t>
      </w:r>
      <w:r w:rsidRPr="006E6C14">
        <w:rPr>
          <w:rFonts w:ascii="Arial" w:hAnsi="Arial" w:cs="Arial"/>
          <w:sz w:val="20"/>
          <w:lang w:val="en-US"/>
        </w:rPr>
        <w:t xml:space="preserve"> were assessed in the same laboratory.</w:t>
      </w:r>
    </w:p>
    <w:p w14:paraId="672B9B1B"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Anthocyanins</w:t>
      </w:r>
      <w:r w:rsidRPr="006E6C14">
        <w:rPr>
          <w:rFonts w:ascii="Arial" w:hAnsi="Arial" w:cs="Arial"/>
          <w:sz w:val="20"/>
          <w:lang w:val="en-US"/>
        </w:rPr>
        <w:t xml:space="preserve"> were extracted using 96% ethanol with 1% HCl and quantified spectrophotometrically at 540 nm (Ermakov, 1987, pp. 113–114).</w:t>
      </w:r>
      <w:r w:rsidR="00296B75" w:rsidRPr="006E6C14">
        <w:rPr>
          <w:rFonts w:ascii="Arial" w:hAnsi="Arial" w:cs="Arial"/>
          <w:sz w:val="20"/>
          <w:lang w:val="en-US"/>
        </w:rPr>
        <w:t xml:space="preserve"> </w:t>
      </w:r>
    </w:p>
    <w:p w14:paraId="0EEA589B"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Ascorbic acid</w:t>
      </w:r>
      <w:r w:rsidRPr="006E6C14">
        <w:rPr>
          <w:rFonts w:ascii="Arial" w:hAnsi="Arial" w:cs="Arial"/>
          <w:sz w:val="20"/>
          <w:lang w:val="en-US"/>
        </w:rPr>
        <w:t xml:space="preserve"> was measured via titration with a 0.001 M solution of 2,6-dichlorophenolindophenol (Ermakov, 1987, pp. 86–91).</w:t>
      </w:r>
      <w:r w:rsidR="00296B75" w:rsidRPr="006E6C14">
        <w:rPr>
          <w:rFonts w:ascii="Arial" w:hAnsi="Arial" w:cs="Arial"/>
          <w:sz w:val="20"/>
          <w:lang w:val="en-US"/>
        </w:rPr>
        <w:t xml:space="preserve"> </w:t>
      </w:r>
    </w:p>
    <w:p w14:paraId="4F55FBE3"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Catalase</w:t>
      </w:r>
      <w:r w:rsidRPr="006E6C14">
        <w:rPr>
          <w:rFonts w:ascii="Arial" w:hAnsi="Arial" w:cs="Arial"/>
          <w:sz w:val="20"/>
          <w:lang w:val="en-US"/>
        </w:rPr>
        <w:t xml:space="preserve"> activity was determined </w:t>
      </w:r>
      <w:proofErr w:type="spellStart"/>
      <w:r w:rsidRPr="006E6C14">
        <w:rPr>
          <w:rFonts w:ascii="Arial" w:hAnsi="Arial" w:cs="Arial"/>
          <w:sz w:val="20"/>
          <w:lang w:val="en-US"/>
        </w:rPr>
        <w:t>gasometrically</w:t>
      </w:r>
      <w:proofErr w:type="spellEnd"/>
      <w:r w:rsidRPr="006E6C14">
        <w:rPr>
          <w:rFonts w:ascii="Arial" w:hAnsi="Arial" w:cs="Arial"/>
          <w:sz w:val="20"/>
          <w:lang w:val="en-US"/>
        </w:rPr>
        <w:t xml:space="preserve"> by measuring the volume of oxygen released during the decomposition of hydrogen peroxide. The reaction vessel was connected to a burette to capture and quantify the evolved gas (</w:t>
      </w:r>
      <w:proofErr w:type="spellStart"/>
      <w:r w:rsidRPr="006E6C14">
        <w:rPr>
          <w:rFonts w:ascii="Arial" w:hAnsi="Arial" w:cs="Arial"/>
          <w:sz w:val="20"/>
          <w:lang w:val="en-US"/>
        </w:rPr>
        <w:t>Pleshkov</w:t>
      </w:r>
      <w:proofErr w:type="spellEnd"/>
      <w:r w:rsidRPr="006E6C14">
        <w:rPr>
          <w:rFonts w:ascii="Arial" w:hAnsi="Arial" w:cs="Arial"/>
          <w:sz w:val="20"/>
          <w:lang w:val="en-US"/>
        </w:rPr>
        <w:t>, 1985, pp. 203–206).</w:t>
      </w:r>
      <w:r w:rsidR="00296B75" w:rsidRPr="006E6C14">
        <w:rPr>
          <w:rFonts w:ascii="Arial" w:hAnsi="Arial" w:cs="Arial"/>
          <w:sz w:val="20"/>
          <w:lang w:val="en-US"/>
        </w:rPr>
        <w:t xml:space="preserve"> </w:t>
      </w:r>
    </w:p>
    <w:p w14:paraId="30AD1B8B"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Nitrate reductase</w:t>
      </w:r>
      <w:r w:rsidRPr="006E6C14">
        <w:rPr>
          <w:rFonts w:ascii="Arial" w:hAnsi="Arial" w:cs="Arial"/>
          <w:sz w:val="20"/>
          <w:lang w:val="en-US"/>
        </w:rPr>
        <w:t xml:space="preserve"> activity was assayed spectrophotometrically at 520 nm by quantifying nitrite accumulation resulting from nitrate reduction (Ermakov, 1987, pp. 51–52).</w:t>
      </w:r>
      <w:r w:rsidR="00296B75" w:rsidRPr="006E6C14">
        <w:rPr>
          <w:rFonts w:ascii="Arial" w:hAnsi="Arial" w:cs="Arial"/>
          <w:sz w:val="20"/>
          <w:lang w:val="en-US"/>
        </w:rPr>
        <w:t xml:space="preserve"> </w:t>
      </w:r>
    </w:p>
    <w:p w14:paraId="7C06626F"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Peroxidase</w:t>
      </w:r>
      <w:r w:rsidRPr="006E6C14">
        <w:rPr>
          <w:rFonts w:ascii="Arial" w:hAnsi="Arial" w:cs="Arial"/>
          <w:sz w:val="20"/>
          <w:lang w:val="en-US"/>
        </w:rPr>
        <w:t xml:space="preserve"> activity was measured spectrophotometrically using guaiacol; the absorbance of oxidized guaiacol products was recorded at 470 nm over 2 minutes (Ermakov, 1987, pp. 41–43).</w:t>
      </w:r>
      <w:r w:rsidR="00296B75" w:rsidRPr="006E6C14">
        <w:rPr>
          <w:rFonts w:ascii="Arial" w:hAnsi="Arial" w:cs="Arial"/>
          <w:sz w:val="20"/>
          <w:lang w:val="en-US"/>
        </w:rPr>
        <w:t xml:space="preserve"> </w:t>
      </w:r>
    </w:p>
    <w:p w14:paraId="1BFB2C58"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lastRenderedPageBreak/>
        <w:t>Plastid pigments</w:t>
      </w:r>
      <w:r w:rsidRPr="006E6C14">
        <w:rPr>
          <w:rFonts w:ascii="Arial" w:hAnsi="Arial" w:cs="Arial"/>
          <w:sz w:val="20"/>
          <w:lang w:val="en-US"/>
        </w:rPr>
        <w:t xml:space="preserve"> (chlorophylls and carotenoids) were extracted from fresh leaves in 96% ethanol and quantified at 560 nm (chlorophylls) and 470 nm (carotenoids) (</w:t>
      </w:r>
      <w:proofErr w:type="spellStart"/>
      <w:r w:rsidRPr="006E6C14">
        <w:rPr>
          <w:rFonts w:ascii="Arial" w:hAnsi="Arial" w:cs="Arial"/>
          <w:sz w:val="20"/>
          <w:lang w:val="en-US"/>
        </w:rPr>
        <w:t>Lichtenthaler</w:t>
      </w:r>
      <w:proofErr w:type="spellEnd"/>
      <w:r w:rsidRPr="006E6C14">
        <w:rPr>
          <w:rFonts w:ascii="Arial" w:hAnsi="Arial" w:cs="Arial"/>
          <w:sz w:val="20"/>
          <w:lang w:val="en-US"/>
        </w:rPr>
        <w:t xml:space="preserve"> &amp; </w:t>
      </w:r>
      <w:proofErr w:type="spellStart"/>
      <w:r w:rsidRPr="006E6C14">
        <w:rPr>
          <w:rFonts w:ascii="Arial" w:hAnsi="Arial" w:cs="Arial"/>
          <w:sz w:val="20"/>
          <w:lang w:val="en-US"/>
        </w:rPr>
        <w:t>Buschmann</w:t>
      </w:r>
      <w:proofErr w:type="spellEnd"/>
      <w:r w:rsidRPr="006E6C14">
        <w:rPr>
          <w:rFonts w:ascii="Arial" w:hAnsi="Arial" w:cs="Arial"/>
          <w:sz w:val="20"/>
          <w:lang w:val="en-US"/>
        </w:rPr>
        <w:t>, 2001).</w:t>
      </w:r>
      <w:r w:rsidR="00296B75" w:rsidRPr="006E6C14">
        <w:rPr>
          <w:rFonts w:ascii="Arial" w:hAnsi="Arial" w:cs="Arial"/>
          <w:sz w:val="20"/>
          <w:lang w:val="en-US"/>
        </w:rPr>
        <w:t xml:space="preserve"> </w:t>
      </w:r>
    </w:p>
    <w:p w14:paraId="0DE0F4BA"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Proline</w:t>
      </w:r>
      <w:r w:rsidRPr="006E6C14">
        <w:rPr>
          <w:rFonts w:ascii="Arial" w:hAnsi="Arial" w:cs="Arial"/>
          <w:sz w:val="20"/>
          <w:lang w:val="en-US"/>
        </w:rPr>
        <w:t xml:space="preserve"> was quantified spectrophotometrically at 520 nm using toluene extracts of ninhydrin-treated samples (Bates et al., 1973).</w:t>
      </w:r>
      <w:r w:rsidR="00296B75" w:rsidRPr="006E6C14">
        <w:rPr>
          <w:rFonts w:ascii="Arial" w:hAnsi="Arial" w:cs="Arial"/>
          <w:sz w:val="20"/>
          <w:lang w:val="en-US"/>
        </w:rPr>
        <w:t xml:space="preserve"> </w:t>
      </w:r>
    </w:p>
    <w:p w14:paraId="0A19455C"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Soluble carbohydrates</w:t>
      </w:r>
      <w:r w:rsidRPr="006E6C14">
        <w:rPr>
          <w:rFonts w:ascii="Arial" w:hAnsi="Arial" w:cs="Arial"/>
          <w:sz w:val="20"/>
          <w:lang w:val="en-US"/>
        </w:rPr>
        <w:t xml:space="preserve"> were measured at 620 nm in </w:t>
      </w:r>
      <w:proofErr w:type="spellStart"/>
      <w:r w:rsidRPr="006E6C14">
        <w:rPr>
          <w:rFonts w:ascii="Arial" w:hAnsi="Arial" w:cs="Arial"/>
          <w:sz w:val="20"/>
          <w:lang w:val="en-US"/>
        </w:rPr>
        <w:t>anthrone</w:t>
      </w:r>
      <w:proofErr w:type="spellEnd"/>
      <w:r w:rsidRPr="006E6C14">
        <w:rPr>
          <w:rFonts w:ascii="Arial" w:hAnsi="Arial" w:cs="Arial"/>
          <w:sz w:val="20"/>
          <w:lang w:val="en-US"/>
        </w:rPr>
        <w:t>-treated samples (</w:t>
      </w:r>
      <w:proofErr w:type="spellStart"/>
      <w:r w:rsidRPr="006E6C14">
        <w:rPr>
          <w:rFonts w:ascii="Arial" w:hAnsi="Arial" w:cs="Arial"/>
          <w:sz w:val="20"/>
          <w:lang w:val="en-US"/>
        </w:rPr>
        <w:t>Turkina</w:t>
      </w:r>
      <w:proofErr w:type="spellEnd"/>
      <w:r w:rsidRPr="006E6C14">
        <w:rPr>
          <w:rFonts w:ascii="Arial" w:hAnsi="Arial" w:cs="Arial"/>
          <w:sz w:val="20"/>
          <w:lang w:val="en-US"/>
        </w:rPr>
        <w:t xml:space="preserve"> &amp; Sokolova, 1971).</w:t>
      </w:r>
      <w:r w:rsidR="00296B75" w:rsidRPr="006E6C14">
        <w:rPr>
          <w:rFonts w:ascii="Arial" w:hAnsi="Arial" w:cs="Arial"/>
          <w:sz w:val="20"/>
          <w:lang w:val="en-US"/>
        </w:rPr>
        <w:t xml:space="preserve"> </w:t>
      </w:r>
    </w:p>
    <w:p w14:paraId="0686A055"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Soluble phenolics</w:t>
      </w:r>
      <w:r w:rsidRPr="006E6C14">
        <w:rPr>
          <w:rFonts w:ascii="Arial" w:hAnsi="Arial" w:cs="Arial"/>
          <w:sz w:val="20"/>
          <w:lang w:val="en-US"/>
        </w:rPr>
        <w:t xml:space="preserve"> were quantified at 765 nm in samples treated with </w:t>
      </w:r>
      <w:proofErr w:type="spellStart"/>
      <w:r w:rsidRPr="006E6C14">
        <w:rPr>
          <w:rFonts w:ascii="Arial" w:hAnsi="Arial" w:cs="Arial"/>
          <w:sz w:val="20"/>
          <w:lang w:val="en-US"/>
        </w:rPr>
        <w:t>Folin</w:t>
      </w:r>
      <w:proofErr w:type="spellEnd"/>
      <w:r w:rsidRPr="006E6C14">
        <w:rPr>
          <w:rFonts w:ascii="Arial" w:hAnsi="Arial" w:cs="Arial"/>
          <w:sz w:val="20"/>
          <w:lang w:val="en-US"/>
        </w:rPr>
        <w:t>–</w:t>
      </w:r>
      <w:proofErr w:type="spellStart"/>
      <w:r w:rsidRPr="006E6C14">
        <w:rPr>
          <w:rFonts w:ascii="Arial" w:hAnsi="Arial" w:cs="Arial"/>
          <w:sz w:val="20"/>
          <w:lang w:val="en-US"/>
        </w:rPr>
        <w:t>Ciocâlteu</w:t>
      </w:r>
      <w:proofErr w:type="spellEnd"/>
      <w:r w:rsidRPr="006E6C14">
        <w:rPr>
          <w:rFonts w:ascii="Arial" w:hAnsi="Arial" w:cs="Arial"/>
          <w:sz w:val="20"/>
          <w:lang w:val="en-US"/>
        </w:rPr>
        <w:t xml:space="preserve"> reagent (Ferraris et al., 1987).</w:t>
      </w:r>
    </w:p>
    <w:p w14:paraId="75C1A269"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Tocopherols</w:t>
      </w:r>
      <w:r w:rsidRPr="006E6C14">
        <w:rPr>
          <w:rFonts w:ascii="Arial" w:hAnsi="Arial" w:cs="Arial"/>
          <w:sz w:val="20"/>
          <w:lang w:val="en-US"/>
        </w:rPr>
        <w:t xml:space="preserve"> were measured spectrophotometrically at 470 nm using 96% ethanol extracts (</w:t>
      </w:r>
      <w:proofErr w:type="spellStart"/>
      <w:r w:rsidRPr="006E6C14">
        <w:rPr>
          <w:rFonts w:ascii="Arial" w:hAnsi="Arial" w:cs="Arial"/>
          <w:sz w:val="20"/>
          <w:lang w:val="en-US"/>
        </w:rPr>
        <w:t>Fillipovich</w:t>
      </w:r>
      <w:proofErr w:type="spellEnd"/>
      <w:r w:rsidRPr="006E6C14">
        <w:rPr>
          <w:rFonts w:ascii="Arial" w:hAnsi="Arial" w:cs="Arial"/>
          <w:sz w:val="20"/>
          <w:lang w:val="en-US"/>
        </w:rPr>
        <w:t xml:space="preserve"> et al., 1982, pp. 40–60).</w:t>
      </w:r>
      <w:r w:rsidR="00296B75" w:rsidRPr="006E6C14">
        <w:rPr>
          <w:rFonts w:ascii="Arial" w:hAnsi="Arial" w:cs="Arial"/>
          <w:sz w:val="20"/>
          <w:lang w:val="en-US"/>
        </w:rPr>
        <w:t xml:space="preserve"> </w:t>
      </w:r>
    </w:p>
    <w:p w14:paraId="20808591" w14:textId="77777777" w:rsidR="00C57D40" w:rsidRPr="006E6C14" w:rsidRDefault="00C57D40" w:rsidP="006E6C14">
      <w:pPr>
        <w:spacing w:line="276" w:lineRule="auto"/>
        <w:jc w:val="both"/>
        <w:rPr>
          <w:rFonts w:ascii="Arial" w:hAnsi="Arial" w:cs="Arial"/>
          <w:sz w:val="20"/>
          <w:lang w:val="en-US"/>
        </w:rPr>
      </w:pPr>
      <w:r w:rsidRPr="006E6C14">
        <w:rPr>
          <w:rFonts w:ascii="Arial" w:hAnsi="Arial" w:cs="Arial"/>
          <w:i/>
          <w:iCs/>
          <w:sz w:val="20"/>
          <w:lang w:val="en-US"/>
        </w:rPr>
        <w:t>Total proteins</w:t>
      </w:r>
      <w:r w:rsidRPr="006E6C14">
        <w:rPr>
          <w:rFonts w:ascii="Arial" w:hAnsi="Arial" w:cs="Arial"/>
          <w:sz w:val="20"/>
          <w:lang w:val="en-US"/>
        </w:rPr>
        <w:t xml:space="preserve"> were quantified following the method of Lowry et al. (1951).</w:t>
      </w:r>
    </w:p>
    <w:p w14:paraId="7D90C30B" w14:textId="77777777" w:rsidR="00C57D40" w:rsidRDefault="00C57D40" w:rsidP="006E6C14">
      <w:pPr>
        <w:spacing w:line="276" w:lineRule="auto"/>
        <w:jc w:val="both"/>
        <w:rPr>
          <w:rFonts w:ascii="Arial" w:hAnsi="Arial" w:cs="Arial"/>
          <w:sz w:val="20"/>
          <w:lang w:val="en-US"/>
        </w:rPr>
      </w:pPr>
      <w:r w:rsidRPr="006E6C14">
        <w:rPr>
          <w:rFonts w:ascii="Arial" w:hAnsi="Arial" w:cs="Arial"/>
          <w:sz w:val="20"/>
          <w:lang w:val="en-US"/>
        </w:rPr>
        <w:t>All spectrophotometric measurements were performed using a SPEKOL 11 spectrophotometer (KARL ZEISS, Germany).</w:t>
      </w:r>
    </w:p>
    <w:p w14:paraId="3597861E" w14:textId="77777777" w:rsidR="00DC22FA" w:rsidRPr="006E6C14" w:rsidRDefault="00DC22FA" w:rsidP="006E6C14">
      <w:pPr>
        <w:spacing w:line="276" w:lineRule="auto"/>
        <w:jc w:val="both"/>
        <w:rPr>
          <w:rFonts w:ascii="Arial" w:hAnsi="Arial" w:cs="Arial"/>
          <w:sz w:val="20"/>
          <w:lang w:val="en-US"/>
        </w:rPr>
      </w:pPr>
    </w:p>
    <w:p w14:paraId="1100EFF6" w14:textId="77777777" w:rsidR="00C57D40" w:rsidRDefault="00DC22FA" w:rsidP="00E830A3">
      <w:pPr>
        <w:spacing w:line="276" w:lineRule="auto"/>
        <w:rPr>
          <w:rFonts w:ascii="Arial" w:hAnsi="Arial" w:cs="Arial"/>
          <w:b/>
          <w:iCs/>
          <w:lang w:val="en-US"/>
        </w:rPr>
      </w:pPr>
      <w:r w:rsidRPr="00DC22FA">
        <w:rPr>
          <w:rFonts w:ascii="Arial" w:hAnsi="Arial" w:cs="Arial"/>
          <w:b/>
          <w:iCs/>
          <w:lang w:val="en-US"/>
        </w:rPr>
        <w:t xml:space="preserve">2.4 </w:t>
      </w:r>
      <w:r w:rsidR="00C57D40" w:rsidRPr="00DC22FA">
        <w:rPr>
          <w:rFonts w:ascii="Arial" w:hAnsi="Arial" w:cs="Arial"/>
          <w:b/>
          <w:iCs/>
          <w:lang w:val="en-US"/>
        </w:rPr>
        <w:t>Statistical Analyses</w:t>
      </w:r>
      <w:r w:rsidR="00296B75" w:rsidRPr="00DC22FA">
        <w:rPr>
          <w:rFonts w:ascii="Arial" w:hAnsi="Arial" w:cs="Arial"/>
          <w:b/>
          <w:iCs/>
          <w:lang w:val="en-US"/>
        </w:rPr>
        <w:t xml:space="preserve"> </w:t>
      </w:r>
    </w:p>
    <w:p w14:paraId="6C0279A5" w14:textId="77777777" w:rsidR="00DC22FA" w:rsidRPr="00DC22FA" w:rsidRDefault="00DC22FA" w:rsidP="00E830A3">
      <w:pPr>
        <w:spacing w:line="276" w:lineRule="auto"/>
        <w:rPr>
          <w:rFonts w:ascii="Arial" w:hAnsi="Arial" w:cs="Arial"/>
          <w:b/>
          <w:iCs/>
          <w:lang w:val="en-US"/>
        </w:rPr>
      </w:pPr>
    </w:p>
    <w:p w14:paraId="3601A182" w14:textId="77777777" w:rsidR="009C7722" w:rsidRPr="00DC22FA" w:rsidRDefault="00C57D40" w:rsidP="00DC22FA">
      <w:pPr>
        <w:spacing w:line="276" w:lineRule="auto"/>
        <w:jc w:val="both"/>
        <w:rPr>
          <w:rFonts w:ascii="Arial" w:hAnsi="Arial" w:cs="Arial"/>
          <w:sz w:val="20"/>
          <w:lang w:val="en-US"/>
        </w:rPr>
      </w:pPr>
      <w:r w:rsidRPr="00DC22FA">
        <w:rPr>
          <w:rFonts w:ascii="Arial" w:hAnsi="Arial" w:cs="Arial"/>
          <w:sz w:val="20"/>
          <w:lang w:val="en-US"/>
        </w:rPr>
        <w:t xml:space="preserve">All chemical assays were performed in triplicate for each species, and mean values were calculated for subsequent multivariate analyses. To examine stress-specific relationships between climatic variables and metabolite levels, </w:t>
      </w:r>
      <w:r w:rsidR="009D0B31" w:rsidRPr="00DC22FA">
        <w:rPr>
          <w:rFonts w:ascii="Arial" w:hAnsi="Arial" w:cs="Arial"/>
          <w:sz w:val="20"/>
          <w:lang w:val="en-US"/>
        </w:rPr>
        <w:t xml:space="preserve">we standardized the data simply by dividing the values of the antioxidant concentrations by their maximum value. Then </w:t>
      </w:r>
      <w:r w:rsidRPr="00DC22FA">
        <w:rPr>
          <w:rFonts w:ascii="Arial" w:hAnsi="Arial" w:cs="Arial"/>
          <w:sz w:val="20"/>
          <w:lang w:val="en-US"/>
        </w:rPr>
        <w:t>we pooled metabolite data across species for each location and calculated mean values, which were used in non-metric multidimensional scaling (nMDS)</w:t>
      </w:r>
      <w:r w:rsidR="009C7722" w:rsidRPr="00DC22FA">
        <w:rPr>
          <w:rFonts w:ascii="Arial" w:hAnsi="Arial" w:cs="Arial"/>
          <w:sz w:val="20"/>
          <w:lang w:val="en-US"/>
        </w:rPr>
        <w:t xml:space="preserve"> using Euclidean distance for the ordination</w:t>
      </w:r>
      <w:r w:rsidRPr="00DC22FA">
        <w:rPr>
          <w:rFonts w:ascii="Arial" w:hAnsi="Arial" w:cs="Arial"/>
          <w:sz w:val="20"/>
          <w:lang w:val="en-US"/>
        </w:rPr>
        <w:t>. Climatic variables (Table</w:t>
      </w:r>
      <w:r w:rsidR="00DC1A10" w:rsidRPr="00DC22FA">
        <w:rPr>
          <w:rFonts w:ascii="Arial" w:hAnsi="Arial" w:cs="Arial"/>
          <w:sz w:val="20"/>
          <w:lang w:val="en-US"/>
        </w:rPr>
        <w:t xml:space="preserve"> 2</w:t>
      </w:r>
      <w:r w:rsidRPr="00DC22FA">
        <w:rPr>
          <w:rFonts w:ascii="Arial" w:hAnsi="Arial" w:cs="Arial"/>
          <w:sz w:val="20"/>
          <w:lang w:val="en-US"/>
        </w:rPr>
        <w:t>) served as the environm</w:t>
      </w:r>
      <w:r w:rsidR="00793183" w:rsidRPr="00DC22FA">
        <w:rPr>
          <w:rFonts w:ascii="Arial" w:hAnsi="Arial" w:cs="Arial"/>
          <w:sz w:val="20"/>
          <w:lang w:val="en-US"/>
        </w:rPr>
        <w:t>ental matrix in these analyses.</w:t>
      </w:r>
      <w:r w:rsidR="009C7722" w:rsidRPr="00DC22FA">
        <w:rPr>
          <w:rFonts w:ascii="Arial" w:hAnsi="Arial" w:cs="Arial"/>
          <w:sz w:val="20"/>
          <w:lang w:val="en-US"/>
        </w:rPr>
        <w:t xml:space="preserve"> To assess interspecific variation in metabolic responses across sites, we applied two-way UPGMA cluster analysis using Euclidean distance.</w:t>
      </w:r>
      <w:r w:rsidR="00296B75" w:rsidRPr="00DC22FA">
        <w:rPr>
          <w:rFonts w:ascii="Arial" w:hAnsi="Arial" w:cs="Arial"/>
          <w:sz w:val="20"/>
          <w:lang w:val="en-US"/>
        </w:rPr>
        <w:t xml:space="preserve"> </w:t>
      </w:r>
    </w:p>
    <w:p w14:paraId="779DC7B9" w14:textId="77777777" w:rsidR="00C57D40" w:rsidRPr="00DC22FA" w:rsidRDefault="00C57D40" w:rsidP="00DC22FA">
      <w:pPr>
        <w:spacing w:line="276" w:lineRule="auto"/>
        <w:jc w:val="both"/>
        <w:rPr>
          <w:rFonts w:ascii="Arial" w:hAnsi="Arial" w:cs="Arial"/>
          <w:b/>
          <w:bCs/>
          <w:sz w:val="20"/>
          <w:lang w:val="en-US"/>
        </w:rPr>
      </w:pPr>
      <w:r w:rsidRPr="00DC22FA">
        <w:rPr>
          <w:rFonts w:ascii="Arial" w:hAnsi="Arial" w:cs="Arial"/>
          <w:sz w:val="20"/>
          <w:lang w:val="en-US"/>
        </w:rPr>
        <w:t>All statistical analyses were conducted using PAST 4 software (Hammer &amp; Harper, 2001).</w:t>
      </w:r>
    </w:p>
    <w:p w14:paraId="7B03F9B1" w14:textId="77777777" w:rsidR="008E1E50" w:rsidRPr="00DC22FA" w:rsidRDefault="00DC22FA" w:rsidP="00E830A3">
      <w:pPr>
        <w:spacing w:line="276" w:lineRule="auto"/>
        <w:rPr>
          <w:rFonts w:ascii="Arial" w:hAnsi="Arial" w:cs="Arial"/>
          <w:b/>
          <w:bCs/>
          <w:lang w:val="en-US"/>
        </w:rPr>
      </w:pPr>
      <w:r w:rsidRPr="00DC22FA">
        <w:rPr>
          <w:rFonts w:ascii="Arial" w:hAnsi="Arial" w:cs="Arial"/>
          <w:b/>
          <w:bCs/>
          <w:lang w:val="en-US"/>
        </w:rPr>
        <w:t xml:space="preserve">3. </w:t>
      </w:r>
      <w:r w:rsidR="008E1E50" w:rsidRPr="00DC22FA">
        <w:rPr>
          <w:rFonts w:ascii="Arial" w:hAnsi="Arial" w:cs="Arial"/>
          <w:b/>
          <w:bCs/>
          <w:lang w:val="en-US"/>
        </w:rPr>
        <w:t>R</w:t>
      </w:r>
      <w:r w:rsidRPr="00DC22FA">
        <w:rPr>
          <w:rFonts w:ascii="Arial" w:hAnsi="Arial" w:cs="Arial"/>
          <w:b/>
          <w:bCs/>
          <w:lang w:val="en-US"/>
        </w:rPr>
        <w:t>ESULTS</w:t>
      </w:r>
    </w:p>
    <w:p w14:paraId="628EF44F" w14:textId="77777777" w:rsidR="00E830A3" w:rsidRDefault="00DC22FA" w:rsidP="00E830A3">
      <w:pPr>
        <w:spacing w:line="276" w:lineRule="auto"/>
        <w:rPr>
          <w:rFonts w:ascii="Arial" w:hAnsi="Arial" w:cs="Arial"/>
          <w:b/>
          <w:iCs/>
          <w:lang w:val="en-US"/>
        </w:rPr>
      </w:pPr>
      <w:r w:rsidRPr="00DC22FA">
        <w:rPr>
          <w:rFonts w:ascii="Arial" w:hAnsi="Arial" w:cs="Arial"/>
          <w:b/>
          <w:iCs/>
          <w:lang w:val="en-US"/>
        </w:rPr>
        <w:t xml:space="preserve">3.1 </w:t>
      </w:r>
      <w:r w:rsidR="00E830A3" w:rsidRPr="00DC22FA">
        <w:rPr>
          <w:rFonts w:ascii="Arial" w:hAnsi="Arial" w:cs="Arial"/>
          <w:b/>
          <w:iCs/>
          <w:lang w:val="en-US"/>
        </w:rPr>
        <w:t>The variation of antioxidants at community scale</w:t>
      </w:r>
    </w:p>
    <w:p w14:paraId="213F6207" w14:textId="77777777" w:rsidR="00DC22FA" w:rsidRPr="00DC22FA" w:rsidRDefault="00DC22FA" w:rsidP="00E830A3">
      <w:pPr>
        <w:spacing w:line="276" w:lineRule="auto"/>
        <w:rPr>
          <w:rFonts w:ascii="Arial" w:hAnsi="Arial" w:cs="Arial"/>
          <w:b/>
          <w:iCs/>
          <w:lang w:val="en-US"/>
        </w:rPr>
      </w:pPr>
    </w:p>
    <w:p w14:paraId="17A06C87" w14:textId="77777777" w:rsidR="00DE1BC7" w:rsidRDefault="000A20EF" w:rsidP="00DC22FA">
      <w:pPr>
        <w:spacing w:line="276" w:lineRule="auto"/>
        <w:jc w:val="both"/>
        <w:rPr>
          <w:rFonts w:ascii="Arial" w:eastAsiaTheme="majorHAnsi" w:hAnsi="Arial" w:cs="Arial"/>
          <w:sz w:val="20"/>
          <w:lang w:val="en-US"/>
        </w:rPr>
      </w:pPr>
      <w:r w:rsidRPr="00DC22FA">
        <w:rPr>
          <w:rFonts w:ascii="Arial" w:eastAsiaTheme="majorHAnsi" w:hAnsi="Arial" w:cs="Arial"/>
          <w:sz w:val="20"/>
          <w:lang w:val="en-US"/>
        </w:rPr>
        <w:t>The climate character at the three study locations were clearly different (Fig. 2). Axis 1 of the nMDS plot explained the bulk of variation in the data (R²= 0.</w:t>
      </w:r>
      <w:r w:rsidR="00E61C0B" w:rsidRPr="00DC22FA">
        <w:rPr>
          <w:rFonts w:ascii="Arial" w:hAnsi="Arial" w:cs="Arial"/>
          <w:sz w:val="20"/>
        </w:rPr>
        <w:t xml:space="preserve"> </w:t>
      </w:r>
      <w:r w:rsidR="00E61C0B" w:rsidRPr="00DC22FA">
        <w:rPr>
          <w:rFonts w:ascii="Arial" w:eastAsiaTheme="majorHAnsi" w:hAnsi="Arial" w:cs="Arial"/>
          <w:sz w:val="20"/>
          <w:lang w:val="en-US"/>
        </w:rPr>
        <w:t>0.998</w:t>
      </w:r>
      <w:r w:rsidRPr="00DC22FA">
        <w:rPr>
          <w:rFonts w:ascii="Arial" w:eastAsiaTheme="majorHAnsi" w:hAnsi="Arial" w:cs="Arial"/>
          <w:sz w:val="20"/>
          <w:lang w:val="en-US"/>
        </w:rPr>
        <w:t>, Stress = 0). Along this axis, temperature increased (Score = 0.9</w:t>
      </w:r>
      <w:r w:rsidR="00E61C0B" w:rsidRPr="00DC22FA">
        <w:rPr>
          <w:rFonts w:ascii="Arial" w:eastAsiaTheme="majorHAnsi" w:hAnsi="Arial" w:cs="Arial"/>
          <w:sz w:val="20"/>
          <w:lang w:val="en-US"/>
        </w:rPr>
        <w:t>59</w:t>
      </w:r>
      <w:r w:rsidRPr="00DC22FA">
        <w:rPr>
          <w:rFonts w:ascii="Arial" w:eastAsiaTheme="majorHAnsi" w:hAnsi="Arial" w:cs="Arial"/>
          <w:sz w:val="20"/>
          <w:lang w:val="en-US"/>
        </w:rPr>
        <w:t>), as did UV radiation (Score = 0.</w:t>
      </w:r>
      <w:r w:rsidR="00E61C0B" w:rsidRPr="00DC22FA">
        <w:rPr>
          <w:rFonts w:ascii="Arial" w:eastAsiaTheme="majorHAnsi" w:hAnsi="Arial" w:cs="Arial"/>
          <w:sz w:val="20"/>
          <w:lang w:val="en-US"/>
        </w:rPr>
        <w:t>738</w:t>
      </w:r>
      <w:r w:rsidRPr="00DC22FA">
        <w:rPr>
          <w:rFonts w:ascii="Arial" w:eastAsiaTheme="majorHAnsi" w:hAnsi="Arial" w:cs="Arial"/>
          <w:sz w:val="20"/>
          <w:lang w:val="en-US"/>
        </w:rPr>
        <w:t>), while precipitation declined (Score = -0.9</w:t>
      </w:r>
      <w:r w:rsidR="00E61C0B" w:rsidRPr="00DC22FA">
        <w:rPr>
          <w:rFonts w:ascii="Arial" w:eastAsiaTheme="majorHAnsi" w:hAnsi="Arial" w:cs="Arial"/>
          <w:sz w:val="20"/>
          <w:lang w:val="en-US"/>
        </w:rPr>
        <w:t>99</w:t>
      </w:r>
      <w:r w:rsidRPr="00DC22FA">
        <w:rPr>
          <w:rFonts w:ascii="Arial" w:eastAsiaTheme="majorHAnsi" w:hAnsi="Arial" w:cs="Arial"/>
          <w:sz w:val="20"/>
          <w:lang w:val="en-US"/>
        </w:rPr>
        <w:t>). Axis 2 associated with continentality (Score = 0.</w:t>
      </w:r>
      <w:r w:rsidR="00E61C0B" w:rsidRPr="00DC22FA">
        <w:rPr>
          <w:rFonts w:ascii="Arial" w:eastAsiaTheme="majorHAnsi" w:hAnsi="Arial" w:cs="Arial"/>
          <w:sz w:val="20"/>
          <w:lang w:val="en-US"/>
        </w:rPr>
        <w:t>799</w:t>
      </w:r>
      <w:r w:rsidRPr="00DC22FA">
        <w:rPr>
          <w:rFonts w:ascii="Arial" w:eastAsiaTheme="majorHAnsi" w:hAnsi="Arial" w:cs="Arial"/>
          <w:sz w:val="20"/>
          <w:lang w:val="en-US"/>
        </w:rPr>
        <w:t>). These results</w:t>
      </w:r>
      <w:r w:rsidR="008C36EA" w:rsidRPr="00DC22FA">
        <w:rPr>
          <w:rFonts w:ascii="Arial" w:eastAsiaTheme="majorHAnsi" w:hAnsi="Arial" w:cs="Arial"/>
          <w:sz w:val="20"/>
          <w:lang w:val="en-US"/>
        </w:rPr>
        <w:t xml:space="preserve"> of the nMDS ordination suggest</w:t>
      </w:r>
      <w:r w:rsidRPr="00DC22FA">
        <w:rPr>
          <w:rFonts w:ascii="Arial" w:eastAsiaTheme="majorHAnsi" w:hAnsi="Arial" w:cs="Arial"/>
          <w:sz w:val="20"/>
          <w:lang w:val="en-US"/>
        </w:rPr>
        <w:t xml:space="preserve"> that abiotic stress in Bakuriani was caused by cold</w:t>
      </w:r>
      <w:r w:rsidR="00206B82" w:rsidRPr="00DC22FA">
        <w:rPr>
          <w:rFonts w:ascii="Arial" w:eastAsiaTheme="majorHAnsi" w:hAnsi="Arial" w:cs="Arial"/>
          <w:sz w:val="20"/>
          <w:lang w:val="en-US"/>
        </w:rPr>
        <w:t xml:space="preserve"> (Score values equal to -0.293 and -0.297 for Axis 1 and Axis 2, respectively)</w:t>
      </w:r>
      <w:r w:rsidRPr="00DC22FA">
        <w:rPr>
          <w:rFonts w:ascii="Arial" w:eastAsiaTheme="majorHAnsi" w:hAnsi="Arial" w:cs="Arial"/>
          <w:sz w:val="20"/>
          <w:lang w:val="en-US"/>
        </w:rPr>
        <w:t>.</w:t>
      </w:r>
      <w:r w:rsidR="008C36EA" w:rsidRPr="00DC22FA">
        <w:rPr>
          <w:rFonts w:ascii="Arial" w:eastAsiaTheme="majorHAnsi" w:hAnsi="Arial" w:cs="Arial"/>
          <w:sz w:val="20"/>
          <w:lang w:val="en-US"/>
        </w:rPr>
        <w:t xml:space="preserve"> </w:t>
      </w:r>
      <w:r w:rsidR="00206B82" w:rsidRPr="00DC22FA">
        <w:rPr>
          <w:rFonts w:ascii="Arial" w:eastAsiaTheme="majorHAnsi" w:hAnsi="Arial" w:cs="Arial"/>
          <w:sz w:val="20"/>
          <w:lang w:val="en-US"/>
        </w:rPr>
        <w:t>Cold</w:t>
      </w:r>
      <w:r w:rsidRPr="00DC22FA">
        <w:rPr>
          <w:rFonts w:ascii="Arial" w:eastAsiaTheme="majorHAnsi" w:hAnsi="Arial" w:cs="Arial"/>
          <w:sz w:val="20"/>
          <w:lang w:val="en-US"/>
        </w:rPr>
        <w:t xml:space="preserve"> was also strongly present in Tskhratskaro, but combined with high daytime temperatures that manifested in contin</w:t>
      </w:r>
      <w:r w:rsidR="00CA66C2" w:rsidRPr="00DC22FA">
        <w:rPr>
          <w:rFonts w:ascii="Arial" w:eastAsiaTheme="majorHAnsi" w:hAnsi="Arial" w:cs="Arial"/>
          <w:sz w:val="20"/>
          <w:lang w:val="en-US"/>
        </w:rPr>
        <w:t>entality</w:t>
      </w:r>
      <w:r w:rsidR="00206B82" w:rsidRPr="00DC22FA">
        <w:rPr>
          <w:rFonts w:ascii="Arial" w:eastAsiaTheme="majorHAnsi" w:hAnsi="Arial" w:cs="Arial"/>
          <w:sz w:val="20"/>
          <w:lang w:val="en-US"/>
        </w:rPr>
        <w:t xml:space="preserve"> (Score values equal to -0.451 and 0.257 for Axis 1 and Axis 2, respectively).</w:t>
      </w:r>
      <w:r w:rsidR="00CA66C2" w:rsidRPr="00DC22FA">
        <w:rPr>
          <w:rFonts w:ascii="Arial" w:eastAsiaTheme="majorHAnsi" w:hAnsi="Arial" w:cs="Arial"/>
          <w:sz w:val="20"/>
          <w:lang w:val="en-US"/>
        </w:rPr>
        <w:t xml:space="preserve"> In Sno</w:t>
      </w:r>
      <w:r w:rsidRPr="00DC22FA">
        <w:rPr>
          <w:rFonts w:ascii="Arial" w:eastAsiaTheme="majorHAnsi" w:hAnsi="Arial" w:cs="Arial"/>
          <w:sz w:val="20"/>
          <w:lang w:val="en-US"/>
        </w:rPr>
        <w:t xml:space="preserve"> abiotic stress had to be caused by heat and UV radiation</w:t>
      </w:r>
      <w:r w:rsidR="00206B82" w:rsidRPr="00DC22FA">
        <w:rPr>
          <w:rFonts w:ascii="Arial" w:eastAsiaTheme="majorHAnsi" w:hAnsi="Arial" w:cs="Arial"/>
          <w:sz w:val="20"/>
          <w:lang w:val="en-US"/>
        </w:rPr>
        <w:t xml:space="preserve"> (Score values equal to 0.744 and 0.039 for Axis 1 and Axis 2, respectively)</w:t>
      </w:r>
      <w:r w:rsidRPr="00DC22FA">
        <w:rPr>
          <w:rFonts w:ascii="Arial" w:eastAsiaTheme="majorHAnsi" w:hAnsi="Arial" w:cs="Arial"/>
          <w:sz w:val="20"/>
          <w:lang w:val="en-US"/>
        </w:rPr>
        <w:t xml:space="preserve">. </w:t>
      </w:r>
      <w:bookmarkStart w:id="4" w:name="_Hlk199932835"/>
      <w:r w:rsidR="001D13E8" w:rsidRPr="00DC22FA">
        <w:rPr>
          <w:rFonts w:ascii="Arial" w:eastAsiaTheme="majorHAnsi" w:hAnsi="Arial" w:cs="Arial"/>
          <w:sz w:val="20"/>
          <w:lang w:val="en-US"/>
        </w:rPr>
        <w:t xml:space="preserve">Ascorbate </w:t>
      </w:r>
      <w:r w:rsidR="00D74118" w:rsidRPr="00DC22FA">
        <w:rPr>
          <w:rFonts w:ascii="Arial" w:eastAsiaTheme="majorHAnsi" w:hAnsi="Arial" w:cs="Arial"/>
          <w:sz w:val="20"/>
          <w:lang w:val="en-US"/>
        </w:rPr>
        <w:t xml:space="preserve">was most strongly associated with Axis 1 (Score = 0.241), followed by </w:t>
      </w:r>
      <w:r w:rsidR="001D13E8" w:rsidRPr="00DC22FA">
        <w:rPr>
          <w:rFonts w:ascii="Arial" w:eastAsiaTheme="majorHAnsi" w:hAnsi="Arial" w:cs="Arial"/>
          <w:sz w:val="20"/>
          <w:lang w:val="en-US"/>
        </w:rPr>
        <w:t>peroxidase activity</w:t>
      </w:r>
      <w:r w:rsidR="00296B75" w:rsidRPr="00DC22FA">
        <w:rPr>
          <w:rFonts w:ascii="Arial" w:eastAsiaTheme="majorHAnsi" w:hAnsi="Arial" w:cs="Arial"/>
          <w:sz w:val="20"/>
          <w:lang w:val="en-US"/>
        </w:rPr>
        <w:t xml:space="preserve"> </w:t>
      </w:r>
      <w:r w:rsidR="00D74118" w:rsidRPr="00DC22FA">
        <w:rPr>
          <w:rFonts w:ascii="Arial" w:eastAsiaTheme="majorHAnsi" w:hAnsi="Arial" w:cs="Arial"/>
          <w:sz w:val="20"/>
          <w:lang w:val="en-US"/>
        </w:rPr>
        <w:t xml:space="preserve">and </w:t>
      </w:r>
      <w:r w:rsidR="001D13E8" w:rsidRPr="00DC22FA">
        <w:rPr>
          <w:rFonts w:ascii="Arial" w:eastAsiaTheme="majorHAnsi" w:hAnsi="Arial" w:cs="Arial"/>
          <w:sz w:val="20"/>
          <w:lang w:val="en-US"/>
        </w:rPr>
        <w:t xml:space="preserve">tocopherols </w:t>
      </w:r>
      <w:r w:rsidR="00D74118" w:rsidRPr="00DC22FA">
        <w:rPr>
          <w:rFonts w:ascii="Arial" w:eastAsiaTheme="majorHAnsi" w:hAnsi="Arial" w:cs="Arial"/>
          <w:sz w:val="20"/>
          <w:lang w:val="en-US"/>
        </w:rPr>
        <w:t xml:space="preserve">(Score values equal to 0.118 and 0.103, respectively). </w:t>
      </w:r>
      <w:r w:rsidR="00296B75" w:rsidRPr="00DC22FA">
        <w:rPr>
          <w:rFonts w:ascii="Arial" w:eastAsiaTheme="majorHAnsi" w:hAnsi="Arial" w:cs="Arial"/>
          <w:sz w:val="20"/>
          <w:lang w:val="en-US"/>
        </w:rPr>
        <w:t>Chlorophylls,</w:t>
      </w:r>
      <w:r w:rsidR="00D74118" w:rsidRPr="00DC22FA">
        <w:rPr>
          <w:rFonts w:ascii="Arial" w:eastAsiaTheme="majorHAnsi" w:hAnsi="Arial" w:cs="Arial"/>
          <w:sz w:val="20"/>
          <w:lang w:val="en-US"/>
        </w:rPr>
        <w:t xml:space="preserve"> </w:t>
      </w:r>
      <w:r w:rsidR="00296B75" w:rsidRPr="00DC22FA">
        <w:rPr>
          <w:rFonts w:ascii="Arial" w:eastAsiaTheme="majorHAnsi" w:hAnsi="Arial" w:cs="Arial"/>
          <w:sz w:val="20"/>
          <w:lang w:val="en-US"/>
        </w:rPr>
        <w:t xml:space="preserve">carotenoids </w:t>
      </w:r>
      <w:r w:rsidR="00D74118" w:rsidRPr="00DC22FA">
        <w:rPr>
          <w:rFonts w:ascii="Arial" w:eastAsiaTheme="majorHAnsi" w:hAnsi="Arial" w:cs="Arial"/>
          <w:sz w:val="20"/>
          <w:lang w:val="en-US"/>
        </w:rPr>
        <w:t xml:space="preserve">and </w:t>
      </w:r>
      <w:r w:rsidR="00296B75" w:rsidRPr="00DC22FA">
        <w:rPr>
          <w:rFonts w:ascii="Arial" w:eastAsiaTheme="majorHAnsi" w:hAnsi="Arial" w:cs="Arial"/>
          <w:sz w:val="20"/>
          <w:lang w:val="en-US"/>
        </w:rPr>
        <w:t xml:space="preserve">catalase activity </w:t>
      </w:r>
      <w:r w:rsidR="00D74118" w:rsidRPr="00DC22FA">
        <w:rPr>
          <w:rFonts w:ascii="Arial" w:eastAsiaTheme="majorHAnsi" w:hAnsi="Arial" w:cs="Arial"/>
          <w:sz w:val="20"/>
          <w:lang w:val="en-US"/>
        </w:rPr>
        <w:t xml:space="preserve">were negatively associated with Axis 1 (Score values equal to -0.117, -0.119 and -0.159, respectively). Associations with Axis 2 were weak (Score values 0.032 to -0.017). </w:t>
      </w:r>
      <w:r w:rsidR="00206B82" w:rsidRPr="00DC22FA">
        <w:rPr>
          <w:rFonts w:ascii="Arial" w:eastAsiaTheme="majorHAnsi" w:hAnsi="Arial" w:cs="Arial"/>
          <w:sz w:val="20"/>
          <w:lang w:val="en-US"/>
        </w:rPr>
        <w:t xml:space="preserve">Thus, the </w:t>
      </w:r>
      <w:r w:rsidR="00D74118" w:rsidRPr="00DC22FA">
        <w:rPr>
          <w:rFonts w:ascii="Arial" w:eastAsiaTheme="majorHAnsi" w:hAnsi="Arial" w:cs="Arial"/>
          <w:sz w:val="20"/>
          <w:lang w:val="en-US"/>
        </w:rPr>
        <w:t>stress-specific responses built a certain pattern: ascorbic acid, peroxidase activit</w:t>
      </w:r>
      <w:r w:rsidR="00206B82" w:rsidRPr="00DC22FA">
        <w:rPr>
          <w:rFonts w:ascii="Arial" w:eastAsiaTheme="majorHAnsi" w:hAnsi="Arial" w:cs="Arial"/>
          <w:sz w:val="20"/>
          <w:lang w:val="en-US"/>
        </w:rPr>
        <w:t>y and tocopherols</w:t>
      </w:r>
      <w:r w:rsidR="00D74118" w:rsidRPr="00DC22FA">
        <w:rPr>
          <w:rFonts w:ascii="Arial" w:eastAsiaTheme="majorHAnsi" w:hAnsi="Arial" w:cs="Arial"/>
          <w:sz w:val="20"/>
          <w:lang w:val="en-US"/>
        </w:rPr>
        <w:t>, also total proteins were associated with heat stress, while carotenoids</w:t>
      </w:r>
      <w:r w:rsidR="00206B82" w:rsidRPr="00DC22FA">
        <w:rPr>
          <w:rFonts w:ascii="Arial" w:eastAsiaTheme="majorHAnsi" w:hAnsi="Arial" w:cs="Arial"/>
          <w:sz w:val="20"/>
          <w:lang w:val="en-US"/>
        </w:rPr>
        <w:t xml:space="preserve">, catalase activity and </w:t>
      </w:r>
      <w:r w:rsidR="00E2650D" w:rsidRPr="00DC22FA">
        <w:rPr>
          <w:rFonts w:ascii="Arial" w:eastAsiaTheme="majorHAnsi" w:hAnsi="Arial" w:cs="Arial"/>
          <w:sz w:val="20"/>
          <w:lang w:val="en-US"/>
        </w:rPr>
        <w:t>chlorophylls</w:t>
      </w:r>
      <w:r w:rsidR="00D74118" w:rsidRPr="00DC22FA">
        <w:rPr>
          <w:rFonts w:ascii="Arial" w:eastAsiaTheme="majorHAnsi" w:hAnsi="Arial" w:cs="Arial"/>
          <w:sz w:val="20"/>
          <w:lang w:val="en-US"/>
        </w:rPr>
        <w:t xml:space="preserve"> </w:t>
      </w:r>
      <w:r w:rsidR="00D74118" w:rsidRPr="00DC22FA">
        <w:rPr>
          <w:rFonts w:ascii="Arial" w:eastAsiaTheme="majorHAnsi" w:hAnsi="Arial" w:cs="Arial"/>
          <w:sz w:val="20"/>
          <w:lang w:val="en-US"/>
        </w:rPr>
        <w:lastRenderedPageBreak/>
        <w:t xml:space="preserve">increased at cold </w:t>
      </w:r>
      <w:bookmarkStart w:id="5" w:name="_Hlk198288961"/>
      <w:r w:rsidR="00D74118" w:rsidRPr="00DC22FA">
        <w:rPr>
          <w:rFonts w:ascii="Arial" w:eastAsiaTheme="majorHAnsi" w:hAnsi="Arial" w:cs="Arial"/>
          <w:sz w:val="20"/>
          <w:lang w:val="en-US"/>
        </w:rPr>
        <w:t>temperatures</w:t>
      </w:r>
      <w:r w:rsidR="00206B82" w:rsidRPr="00DC22FA">
        <w:rPr>
          <w:rFonts w:ascii="Arial" w:eastAsiaTheme="majorHAnsi" w:hAnsi="Arial" w:cs="Arial"/>
          <w:sz w:val="20"/>
          <w:lang w:val="en-US"/>
        </w:rPr>
        <w:t xml:space="preserve">. Other compounds appeared at the centroid of the nMDS chart, thus </w:t>
      </w:r>
      <w:r w:rsidR="00D74118" w:rsidRPr="00DC22FA">
        <w:rPr>
          <w:rFonts w:ascii="Arial" w:eastAsiaTheme="majorHAnsi" w:hAnsi="Arial" w:cs="Arial"/>
          <w:sz w:val="20"/>
          <w:lang w:val="en-US"/>
        </w:rPr>
        <w:t xml:space="preserve">did not vary considerably and showing no clear association with any of these climatic variables. </w:t>
      </w:r>
      <w:bookmarkEnd w:id="5"/>
      <w:r w:rsidR="00D74118" w:rsidRPr="00DC22FA">
        <w:rPr>
          <w:rFonts w:ascii="Arial" w:eastAsiaTheme="majorHAnsi" w:hAnsi="Arial" w:cs="Arial"/>
          <w:sz w:val="20"/>
          <w:lang w:val="en-US"/>
        </w:rPr>
        <w:t xml:space="preserve">The pattern in </w:t>
      </w:r>
      <w:r w:rsidR="00206B82" w:rsidRPr="00DC22FA">
        <w:rPr>
          <w:rFonts w:ascii="Arial" w:eastAsiaTheme="majorHAnsi" w:hAnsi="Arial" w:cs="Arial"/>
          <w:sz w:val="20"/>
          <w:lang w:val="en-US"/>
        </w:rPr>
        <w:t>general</w:t>
      </w:r>
      <w:r w:rsidR="00D74118" w:rsidRPr="00DC22FA">
        <w:rPr>
          <w:rFonts w:ascii="Arial" w:eastAsiaTheme="majorHAnsi" w:hAnsi="Arial" w:cs="Arial"/>
          <w:sz w:val="20"/>
          <w:lang w:val="en-US"/>
        </w:rPr>
        <w:t xml:space="preserve"> aligns well with the existing knowledge on the roles of antioxidants under different types of abiotic stress (the Introduction). </w:t>
      </w:r>
    </w:p>
    <w:p w14:paraId="0070438D" w14:textId="77777777" w:rsidR="00DC22FA" w:rsidRPr="00DC22FA" w:rsidRDefault="00DC22FA" w:rsidP="00DC22FA">
      <w:pPr>
        <w:spacing w:line="276" w:lineRule="auto"/>
        <w:jc w:val="both"/>
        <w:rPr>
          <w:rFonts w:ascii="Arial" w:eastAsiaTheme="majorHAnsi" w:hAnsi="Arial" w:cs="Arial"/>
          <w:sz w:val="20"/>
          <w:lang w:val="en-US"/>
        </w:rPr>
      </w:pPr>
    </w:p>
    <w:p w14:paraId="6DDC16CA" w14:textId="77777777" w:rsidR="000A20EF" w:rsidRDefault="00DC22FA" w:rsidP="00E830A3">
      <w:pPr>
        <w:spacing w:line="276" w:lineRule="auto"/>
        <w:rPr>
          <w:rFonts w:ascii="Arial" w:hAnsi="Arial" w:cs="Arial"/>
          <w:b/>
          <w:iCs/>
          <w:lang w:val="en-US"/>
        </w:rPr>
      </w:pPr>
      <w:r w:rsidRPr="00DC22FA">
        <w:rPr>
          <w:rFonts w:ascii="Arial" w:hAnsi="Arial" w:cs="Arial"/>
          <w:b/>
          <w:iCs/>
          <w:lang w:val="en-US"/>
        </w:rPr>
        <w:t xml:space="preserve">3.2 </w:t>
      </w:r>
      <w:r w:rsidR="000A20EF" w:rsidRPr="00DC22FA">
        <w:rPr>
          <w:rFonts w:ascii="Arial" w:hAnsi="Arial" w:cs="Arial"/>
          <w:b/>
          <w:iCs/>
          <w:lang w:val="en-US"/>
        </w:rPr>
        <w:t>The antioxidant variation at the species scale</w:t>
      </w:r>
    </w:p>
    <w:p w14:paraId="2F6347C9" w14:textId="77777777" w:rsidR="00DC22FA" w:rsidRPr="00DC22FA" w:rsidRDefault="00DC22FA" w:rsidP="00E830A3">
      <w:pPr>
        <w:spacing w:line="276" w:lineRule="auto"/>
        <w:rPr>
          <w:rFonts w:ascii="Arial" w:hAnsi="Arial" w:cs="Arial"/>
          <w:b/>
          <w:iCs/>
          <w:lang w:val="en-US"/>
        </w:rPr>
      </w:pPr>
    </w:p>
    <w:bookmarkEnd w:id="4"/>
    <w:p w14:paraId="0EC5A78A" w14:textId="77777777" w:rsidR="00E946AB" w:rsidRPr="00DC22FA" w:rsidRDefault="00B26594" w:rsidP="00DC22FA">
      <w:pPr>
        <w:spacing w:line="276" w:lineRule="auto"/>
        <w:jc w:val="both"/>
        <w:rPr>
          <w:rFonts w:ascii="Arial" w:hAnsi="Arial" w:cs="Arial"/>
          <w:sz w:val="20"/>
          <w:lang w:val="en-US"/>
        </w:rPr>
      </w:pPr>
      <w:r w:rsidRPr="00DC22FA">
        <w:rPr>
          <w:rFonts w:ascii="Arial" w:hAnsi="Arial" w:cs="Arial"/>
          <w:sz w:val="20"/>
          <w:lang w:val="en-US"/>
        </w:rPr>
        <w:t xml:space="preserve">In addition to stress-specific effects, cluster analysis uncovered species-specific metabolic responses in plants for which the majority of metabolites were assessed (Fig. </w:t>
      </w:r>
      <w:r w:rsidR="00DE1BC7" w:rsidRPr="00DC22FA">
        <w:rPr>
          <w:rFonts w:ascii="Arial" w:hAnsi="Arial" w:cs="Arial"/>
          <w:sz w:val="20"/>
          <w:lang w:val="en-US"/>
        </w:rPr>
        <w:t>3</w:t>
      </w:r>
      <w:r w:rsidRPr="00DC22FA">
        <w:rPr>
          <w:rFonts w:ascii="Arial" w:hAnsi="Arial" w:cs="Arial"/>
          <w:sz w:val="20"/>
          <w:lang w:val="en-US"/>
        </w:rPr>
        <w:t xml:space="preserve">). </w:t>
      </w:r>
      <w:r w:rsidR="00330C88" w:rsidRPr="00DC22FA">
        <w:rPr>
          <w:rFonts w:ascii="Arial" w:hAnsi="Arial" w:cs="Arial"/>
          <w:sz w:val="20"/>
          <w:lang w:val="en-US"/>
        </w:rPr>
        <w:t xml:space="preserve">The division of plant species into </w:t>
      </w:r>
      <w:proofErr w:type="spellStart"/>
      <w:r w:rsidR="00330C88" w:rsidRPr="00DC22FA">
        <w:rPr>
          <w:rFonts w:ascii="Arial" w:hAnsi="Arial" w:cs="Arial"/>
          <w:sz w:val="20"/>
          <w:lang w:val="en-US"/>
        </w:rPr>
        <w:t>clasters</w:t>
      </w:r>
      <w:proofErr w:type="spellEnd"/>
      <w:r w:rsidR="00D56DF9" w:rsidRPr="00DC22FA">
        <w:rPr>
          <w:rFonts w:ascii="Arial" w:hAnsi="Arial" w:cs="Arial"/>
          <w:sz w:val="20"/>
          <w:lang w:val="en-US"/>
        </w:rPr>
        <w:t xml:space="preserve"> </w:t>
      </w:r>
      <w:r w:rsidR="00330C88" w:rsidRPr="00DC22FA">
        <w:rPr>
          <w:rFonts w:ascii="Arial" w:hAnsi="Arial" w:cs="Arial"/>
          <w:sz w:val="20"/>
          <w:lang w:val="en-US"/>
        </w:rPr>
        <w:t xml:space="preserve">at the three locations are not exactly same, although roughly the species can be divided into two groups. The first group </w:t>
      </w:r>
      <w:r w:rsidR="002F24FA" w:rsidRPr="00DC22FA">
        <w:rPr>
          <w:rFonts w:ascii="Arial" w:hAnsi="Arial" w:cs="Arial"/>
          <w:sz w:val="20"/>
          <w:lang w:val="en-US"/>
        </w:rPr>
        <w:t xml:space="preserve">consistently </w:t>
      </w:r>
      <w:r w:rsidR="00330C88" w:rsidRPr="00DC22FA">
        <w:rPr>
          <w:rFonts w:ascii="Arial" w:hAnsi="Arial" w:cs="Arial"/>
          <w:sz w:val="20"/>
          <w:lang w:val="en-US"/>
        </w:rPr>
        <w:t xml:space="preserve">contained </w:t>
      </w:r>
      <w:r w:rsidR="002F24FA" w:rsidRPr="00DC22FA">
        <w:rPr>
          <w:rFonts w:ascii="Arial" w:hAnsi="Arial" w:cs="Arial"/>
          <w:i/>
          <w:iCs/>
          <w:sz w:val="20"/>
          <w:lang w:val="en-US"/>
        </w:rPr>
        <w:t>V</w:t>
      </w:r>
      <w:r w:rsidR="00330C88" w:rsidRPr="00DC22FA">
        <w:rPr>
          <w:rFonts w:ascii="Arial" w:hAnsi="Arial" w:cs="Arial"/>
          <w:i/>
          <w:iCs/>
          <w:sz w:val="20"/>
          <w:lang w:val="en-US"/>
        </w:rPr>
        <w:t>eratrum</w:t>
      </w:r>
      <w:r w:rsidR="00330C88" w:rsidRPr="00DC22FA">
        <w:rPr>
          <w:rFonts w:ascii="Arial" w:hAnsi="Arial" w:cs="Arial"/>
          <w:sz w:val="20"/>
          <w:lang w:val="en-US"/>
        </w:rPr>
        <w:t xml:space="preserve"> and </w:t>
      </w:r>
      <w:proofErr w:type="spellStart"/>
      <w:r w:rsidR="00330C88" w:rsidRPr="00DC22FA">
        <w:rPr>
          <w:rFonts w:ascii="Arial" w:hAnsi="Arial" w:cs="Arial"/>
          <w:i/>
          <w:iCs/>
          <w:sz w:val="20"/>
          <w:lang w:val="en-US"/>
        </w:rPr>
        <w:t>Achilea</w:t>
      </w:r>
      <w:proofErr w:type="spellEnd"/>
      <w:r w:rsidR="002F24FA" w:rsidRPr="00DC22FA">
        <w:rPr>
          <w:rFonts w:ascii="Arial" w:hAnsi="Arial" w:cs="Arial"/>
          <w:i/>
          <w:iCs/>
          <w:sz w:val="20"/>
          <w:lang w:val="en-US"/>
        </w:rPr>
        <w:t>,</w:t>
      </w:r>
      <w:r w:rsidR="00330C88" w:rsidRPr="00DC22FA">
        <w:rPr>
          <w:rFonts w:ascii="Arial" w:hAnsi="Arial" w:cs="Arial"/>
          <w:sz w:val="20"/>
          <w:lang w:val="en-US"/>
        </w:rPr>
        <w:t xml:space="preserve"> while </w:t>
      </w:r>
      <w:proofErr w:type="spellStart"/>
      <w:r w:rsidR="00330C88" w:rsidRPr="00DC22FA">
        <w:rPr>
          <w:rFonts w:ascii="Arial" w:hAnsi="Arial" w:cs="Arial"/>
          <w:i/>
          <w:iCs/>
          <w:sz w:val="20"/>
          <w:lang w:val="en-US"/>
        </w:rPr>
        <w:t>Rumex</w:t>
      </w:r>
      <w:proofErr w:type="spellEnd"/>
      <w:r w:rsidR="00330C88" w:rsidRPr="00DC22FA">
        <w:rPr>
          <w:rFonts w:ascii="Arial" w:hAnsi="Arial" w:cs="Arial"/>
          <w:i/>
          <w:iCs/>
          <w:sz w:val="20"/>
          <w:lang w:val="en-US"/>
        </w:rPr>
        <w:t xml:space="preserve">, </w:t>
      </w:r>
      <w:proofErr w:type="spellStart"/>
      <w:r w:rsidR="00330C88" w:rsidRPr="00DC22FA">
        <w:rPr>
          <w:rFonts w:ascii="Arial" w:hAnsi="Arial" w:cs="Arial"/>
          <w:i/>
          <w:iCs/>
          <w:sz w:val="20"/>
          <w:lang w:val="en-US"/>
        </w:rPr>
        <w:t>Origanum</w:t>
      </w:r>
      <w:proofErr w:type="spellEnd"/>
      <w:r w:rsidR="00330C88" w:rsidRPr="00DC22FA">
        <w:rPr>
          <w:rFonts w:ascii="Arial" w:hAnsi="Arial" w:cs="Arial"/>
          <w:sz w:val="20"/>
          <w:lang w:val="en-US"/>
        </w:rPr>
        <w:t xml:space="preserve"> and </w:t>
      </w:r>
      <w:r w:rsidR="00330C88" w:rsidRPr="00DC22FA">
        <w:rPr>
          <w:rFonts w:ascii="Arial" w:hAnsi="Arial" w:cs="Arial"/>
          <w:i/>
          <w:iCs/>
          <w:sz w:val="20"/>
          <w:lang w:val="en-US"/>
        </w:rPr>
        <w:t>Alchemilla</w:t>
      </w:r>
      <w:r w:rsidR="00330C88" w:rsidRPr="00DC22FA">
        <w:rPr>
          <w:rFonts w:ascii="Arial" w:hAnsi="Arial" w:cs="Arial"/>
          <w:sz w:val="20"/>
          <w:lang w:val="en-US"/>
        </w:rPr>
        <w:t xml:space="preserve"> were </w:t>
      </w:r>
      <w:r w:rsidR="002F24FA" w:rsidRPr="00DC22FA">
        <w:rPr>
          <w:rFonts w:ascii="Arial" w:hAnsi="Arial" w:cs="Arial"/>
          <w:sz w:val="20"/>
          <w:lang w:val="en-US"/>
        </w:rPr>
        <w:t xml:space="preserve">the constant members of the second group </w:t>
      </w:r>
      <w:r w:rsidR="00330C88" w:rsidRPr="00DC22FA">
        <w:rPr>
          <w:rFonts w:ascii="Arial" w:hAnsi="Arial" w:cs="Arial"/>
          <w:sz w:val="20"/>
          <w:lang w:val="en-US"/>
        </w:rPr>
        <w:t>at all three locations</w:t>
      </w:r>
      <w:r w:rsidR="002F24FA" w:rsidRPr="00DC22FA">
        <w:rPr>
          <w:rFonts w:ascii="Arial" w:hAnsi="Arial" w:cs="Arial"/>
          <w:sz w:val="20"/>
          <w:lang w:val="en-US"/>
        </w:rPr>
        <w:t>.</w:t>
      </w:r>
      <w:r w:rsidR="00330C88" w:rsidRPr="00DC22FA">
        <w:rPr>
          <w:rFonts w:ascii="Arial" w:hAnsi="Arial" w:cs="Arial"/>
          <w:sz w:val="20"/>
          <w:lang w:val="en-US"/>
        </w:rPr>
        <w:t xml:space="preserve"> </w:t>
      </w:r>
      <w:r w:rsidR="002F24FA" w:rsidRPr="00DC22FA">
        <w:rPr>
          <w:rFonts w:ascii="Arial" w:hAnsi="Arial" w:cs="Arial"/>
          <w:sz w:val="20"/>
          <w:lang w:val="en-US"/>
        </w:rPr>
        <w:t xml:space="preserve">The other species </w:t>
      </w:r>
      <w:proofErr w:type="spellStart"/>
      <w:r w:rsidR="002F24FA" w:rsidRPr="00DC22FA">
        <w:rPr>
          <w:rFonts w:ascii="Arial" w:hAnsi="Arial" w:cs="Arial"/>
          <w:sz w:val="20"/>
          <w:lang w:val="en-US"/>
        </w:rPr>
        <w:t>chaged</w:t>
      </w:r>
      <w:proofErr w:type="spellEnd"/>
      <w:r w:rsidR="002F24FA" w:rsidRPr="00DC22FA">
        <w:rPr>
          <w:rFonts w:ascii="Arial" w:hAnsi="Arial" w:cs="Arial"/>
          <w:sz w:val="20"/>
          <w:lang w:val="en-US"/>
        </w:rPr>
        <w:t xml:space="preserve"> groups at different locations. The groups are </w:t>
      </w:r>
      <w:r w:rsidR="00E946AB" w:rsidRPr="00DC22FA">
        <w:rPr>
          <w:rFonts w:ascii="Arial" w:hAnsi="Arial" w:cs="Arial"/>
          <w:sz w:val="20"/>
          <w:lang w:val="en-US"/>
        </w:rPr>
        <w:t>better</w:t>
      </w:r>
      <w:r w:rsidR="002F24FA" w:rsidRPr="00DC22FA">
        <w:rPr>
          <w:rFonts w:ascii="Arial" w:hAnsi="Arial" w:cs="Arial"/>
          <w:sz w:val="20"/>
          <w:lang w:val="en-US"/>
        </w:rPr>
        <w:t xml:space="preserve"> seen at </w:t>
      </w:r>
      <w:r w:rsidR="00E946AB" w:rsidRPr="00DC22FA">
        <w:rPr>
          <w:rFonts w:ascii="Arial" w:hAnsi="Arial" w:cs="Arial"/>
          <w:sz w:val="20"/>
          <w:lang w:val="en-US"/>
        </w:rPr>
        <w:t>Bakuriani</w:t>
      </w:r>
      <w:r w:rsidR="002F24FA" w:rsidRPr="00DC22FA">
        <w:rPr>
          <w:rFonts w:ascii="Arial" w:hAnsi="Arial" w:cs="Arial"/>
          <w:sz w:val="20"/>
          <w:lang w:val="en-US"/>
        </w:rPr>
        <w:t xml:space="preserve"> and Tskhratskaro, but these groups </w:t>
      </w:r>
      <w:r w:rsidR="00E946AB" w:rsidRPr="00DC22FA">
        <w:rPr>
          <w:rFonts w:ascii="Arial" w:hAnsi="Arial" w:cs="Arial"/>
          <w:sz w:val="20"/>
          <w:lang w:val="en-US"/>
        </w:rPr>
        <w:t>become</w:t>
      </w:r>
      <w:r w:rsidR="002F24FA" w:rsidRPr="00DC22FA">
        <w:rPr>
          <w:rFonts w:ascii="Arial" w:hAnsi="Arial" w:cs="Arial"/>
          <w:sz w:val="20"/>
          <w:lang w:val="en-US"/>
        </w:rPr>
        <w:t xml:space="preserve"> less clear cut at Sno.</w:t>
      </w:r>
      <w:r w:rsidR="00884876" w:rsidRPr="00DC22FA">
        <w:rPr>
          <w:rFonts w:ascii="Arial" w:hAnsi="Arial" w:cs="Arial"/>
          <w:sz w:val="20"/>
          <w:lang w:val="en-US"/>
        </w:rPr>
        <w:t xml:space="preserve"> </w:t>
      </w:r>
    </w:p>
    <w:p w14:paraId="4FB9117A" w14:textId="77777777" w:rsidR="00E946AB" w:rsidRPr="00DC22FA" w:rsidRDefault="0071234D" w:rsidP="00DC22FA">
      <w:pPr>
        <w:spacing w:line="276" w:lineRule="auto"/>
        <w:jc w:val="both"/>
        <w:rPr>
          <w:rFonts w:ascii="Arial" w:hAnsi="Arial" w:cs="Arial"/>
          <w:sz w:val="20"/>
          <w:lang w:val="en-US"/>
        </w:rPr>
      </w:pPr>
      <w:r w:rsidRPr="00DC22FA">
        <w:rPr>
          <w:rFonts w:ascii="Arial" w:hAnsi="Arial" w:cs="Arial"/>
          <w:sz w:val="20"/>
          <w:lang w:val="en-US"/>
        </w:rPr>
        <w:t>In Bakuriani,</w:t>
      </w:r>
      <w:r w:rsidR="00884876" w:rsidRPr="00DC22FA">
        <w:rPr>
          <w:rFonts w:ascii="Arial" w:hAnsi="Arial" w:cs="Arial"/>
          <w:sz w:val="20"/>
          <w:lang w:val="en-US"/>
        </w:rPr>
        <w:t xml:space="preserve"> </w:t>
      </w:r>
      <w:r w:rsidR="002F24FA" w:rsidRPr="00DC22FA">
        <w:rPr>
          <w:rFonts w:ascii="Arial" w:hAnsi="Arial" w:cs="Arial"/>
          <w:sz w:val="20"/>
          <w:lang w:val="en-US"/>
        </w:rPr>
        <w:t>the plants of</w:t>
      </w:r>
      <w:r w:rsidR="00E946AB" w:rsidRPr="00DC22FA">
        <w:rPr>
          <w:rFonts w:ascii="Arial" w:hAnsi="Arial" w:cs="Arial"/>
          <w:sz w:val="20"/>
          <w:lang w:val="en-US"/>
        </w:rPr>
        <w:t xml:space="preserve"> the</w:t>
      </w:r>
      <w:r w:rsidR="002F24FA" w:rsidRPr="00DC22FA">
        <w:rPr>
          <w:rFonts w:ascii="Arial" w:hAnsi="Arial" w:cs="Arial"/>
          <w:sz w:val="20"/>
          <w:lang w:val="en-US"/>
        </w:rPr>
        <w:t xml:space="preserve"> first group contain</w:t>
      </w:r>
      <w:r w:rsidR="00E946AB" w:rsidRPr="00DC22FA">
        <w:rPr>
          <w:rFonts w:ascii="Arial" w:hAnsi="Arial" w:cs="Arial"/>
          <w:sz w:val="20"/>
          <w:lang w:val="en-US"/>
        </w:rPr>
        <w:t>ed</w:t>
      </w:r>
      <w:r w:rsidR="002F24FA" w:rsidRPr="00DC22FA">
        <w:rPr>
          <w:rFonts w:ascii="Arial" w:hAnsi="Arial" w:cs="Arial"/>
          <w:sz w:val="20"/>
          <w:lang w:val="en-US"/>
        </w:rPr>
        <w:t xml:space="preserve"> relatively less </w:t>
      </w:r>
      <w:r w:rsidR="001D13E8" w:rsidRPr="00DC22FA">
        <w:rPr>
          <w:rFonts w:ascii="Arial" w:hAnsi="Arial" w:cs="Arial"/>
          <w:sz w:val="20"/>
          <w:lang w:val="en-US"/>
        </w:rPr>
        <w:t xml:space="preserve">tocopherols </w:t>
      </w:r>
      <w:r w:rsidRPr="00DC22FA">
        <w:rPr>
          <w:rFonts w:ascii="Arial" w:hAnsi="Arial" w:cs="Arial"/>
          <w:sz w:val="20"/>
          <w:lang w:val="en-US"/>
        </w:rPr>
        <w:t>(</w:t>
      </w:r>
      <w:proofErr w:type="spellStart"/>
      <w:r w:rsidRPr="00DC22FA">
        <w:rPr>
          <w:rFonts w:ascii="Arial" w:hAnsi="Arial" w:cs="Arial"/>
          <w:i/>
          <w:iCs/>
          <w:sz w:val="20"/>
          <w:lang w:val="en-US"/>
        </w:rPr>
        <w:t>Bistorta</w:t>
      </w:r>
      <w:proofErr w:type="spellEnd"/>
      <w:r w:rsidRPr="00DC22FA">
        <w:rPr>
          <w:rFonts w:ascii="Arial" w:hAnsi="Arial" w:cs="Arial"/>
          <w:i/>
          <w:iCs/>
          <w:sz w:val="20"/>
          <w:lang w:val="en-US"/>
        </w:rPr>
        <w:t>, Veratrum</w:t>
      </w:r>
      <w:r w:rsidRPr="00DC22FA">
        <w:rPr>
          <w:rFonts w:ascii="Arial" w:hAnsi="Arial" w:cs="Arial"/>
          <w:sz w:val="20"/>
          <w:lang w:val="en-US"/>
        </w:rPr>
        <w:t>)</w:t>
      </w:r>
      <w:r w:rsidR="00E946AB" w:rsidRPr="00DC22FA">
        <w:rPr>
          <w:rFonts w:ascii="Arial" w:hAnsi="Arial" w:cs="Arial"/>
          <w:sz w:val="20"/>
          <w:lang w:val="en-US"/>
        </w:rPr>
        <w:t>,</w:t>
      </w:r>
      <w:r w:rsidRPr="00DC22FA">
        <w:rPr>
          <w:rFonts w:ascii="Arial" w:hAnsi="Arial" w:cs="Arial"/>
          <w:sz w:val="20"/>
          <w:lang w:val="en-US"/>
        </w:rPr>
        <w:t xml:space="preserve"> </w:t>
      </w:r>
      <w:r w:rsidR="001D13E8" w:rsidRPr="00DC22FA">
        <w:rPr>
          <w:rFonts w:ascii="Arial" w:hAnsi="Arial" w:cs="Arial"/>
          <w:sz w:val="20"/>
          <w:lang w:val="en-US"/>
        </w:rPr>
        <w:t>peroxidase activity</w:t>
      </w:r>
      <w:r w:rsidRPr="00DC22FA">
        <w:rPr>
          <w:rFonts w:ascii="Arial" w:hAnsi="Arial" w:cs="Arial"/>
          <w:sz w:val="20"/>
          <w:lang w:val="en-US"/>
        </w:rPr>
        <w:t xml:space="preserve"> (</w:t>
      </w:r>
      <w:r w:rsidRPr="00DC22FA">
        <w:rPr>
          <w:rFonts w:ascii="Arial" w:hAnsi="Arial" w:cs="Arial"/>
          <w:i/>
          <w:iCs/>
          <w:sz w:val="20"/>
          <w:lang w:val="en-US"/>
        </w:rPr>
        <w:t xml:space="preserve">Plantago, </w:t>
      </w:r>
      <w:proofErr w:type="spellStart"/>
      <w:r w:rsidRPr="00DC22FA">
        <w:rPr>
          <w:rFonts w:ascii="Arial" w:hAnsi="Arial" w:cs="Arial"/>
          <w:i/>
          <w:iCs/>
          <w:sz w:val="20"/>
          <w:lang w:val="en-US"/>
        </w:rPr>
        <w:t>Taraxacum</w:t>
      </w:r>
      <w:proofErr w:type="spellEnd"/>
      <w:r w:rsidRPr="00DC22FA">
        <w:rPr>
          <w:rFonts w:ascii="Arial" w:hAnsi="Arial" w:cs="Arial"/>
          <w:sz w:val="20"/>
          <w:lang w:val="en-US"/>
        </w:rPr>
        <w:t xml:space="preserve">), </w:t>
      </w:r>
      <w:r w:rsidR="001D13E8" w:rsidRPr="00DC22FA">
        <w:rPr>
          <w:rFonts w:ascii="Arial" w:hAnsi="Arial" w:cs="Arial"/>
          <w:sz w:val="20"/>
          <w:lang w:val="en-US"/>
        </w:rPr>
        <w:t xml:space="preserve">proline </w:t>
      </w:r>
      <w:r w:rsidRPr="00DC22FA">
        <w:rPr>
          <w:rFonts w:ascii="Arial" w:hAnsi="Arial" w:cs="Arial"/>
          <w:sz w:val="20"/>
          <w:lang w:val="en-US"/>
        </w:rPr>
        <w:t>(</w:t>
      </w:r>
      <w:proofErr w:type="spellStart"/>
      <w:r w:rsidRPr="00DC22FA">
        <w:rPr>
          <w:rFonts w:ascii="Arial" w:hAnsi="Arial" w:cs="Arial"/>
          <w:i/>
          <w:iCs/>
          <w:sz w:val="20"/>
          <w:lang w:val="en-US"/>
        </w:rPr>
        <w:t>Bistorta</w:t>
      </w:r>
      <w:proofErr w:type="spellEnd"/>
      <w:r w:rsidRPr="00DC22FA">
        <w:rPr>
          <w:rFonts w:ascii="Arial" w:hAnsi="Arial" w:cs="Arial"/>
          <w:sz w:val="20"/>
          <w:lang w:val="en-US"/>
        </w:rPr>
        <w:t xml:space="preserve">), but </w:t>
      </w:r>
      <w:r w:rsidR="00E946AB" w:rsidRPr="00DC22FA">
        <w:rPr>
          <w:rFonts w:ascii="Arial" w:hAnsi="Arial" w:cs="Arial"/>
          <w:sz w:val="20"/>
          <w:lang w:val="en-US"/>
        </w:rPr>
        <w:t>had</w:t>
      </w:r>
      <w:r w:rsidRPr="00DC22FA">
        <w:rPr>
          <w:rFonts w:ascii="Arial" w:hAnsi="Arial" w:cs="Arial"/>
          <w:sz w:val="20"/>
          <w:lang w:val="en-US"/>
        </w:rPr>
        <w:t xml:space="preserve"> high</w:t>
      </w:r>
      <w:r w:rsidR="00884876" w:rsidRPr="00DC22FA">
        <w:rPr>
          <w:rFonts w:ascii="Arial" w:hAnsi="Arial" w:cs="Arial"/>
          <w:sz w:val="20"/>
          <w:lang w:val="en-US"/>
        </w:rPr>
        <w:t xml:space="preserve"> </w:t>
      </w:r>
      <w:r w:rsidR="001D13E8" w:rsidRPr="00DC22FA">
        <w:rPr>
          <w:rFonts w:ascii="Arial" w:hAnsi="Arial" w:cs="Arial"/>
          <w:sz w:val="20"/>
          <w:lang w:val="en-US"/>
        </w:rPr>
        <w:t>ascorbate</w:t>
      </w:r>
      <w:r w:rsidRPr="00DC22FA">
        <w:rPr>
          <w:rFonts w:ascii="Arial" w:hAnsi="Arial" w:cs="Arial"/>
          <w:sz w:val="20"/>
          <w:lang w:val="en-US"/>
        </w:rPr>
        <w:t xml:space="preserve"> (</w:t>
      </w:r>
      <w:proofErr w:type="spellStart"/>
      <w:r w:rsidRPr="00DC22FA">
        <w:rPr>
          <w:rFonts w:ascii="Arial" w:hAnsi="Arial" w:cs="Arial"/>
          <w:i/>
          <w:iCs/>
          <w:sz w:val="20"/>
          <w:lang w:val="en-US"/>
        </w:rPr>
        <w:t>Taraxacum</w:t>
      </w:r>
      <w:proofErr w:type="spellEnd"/>
      <w:r w:rsidRPr="00DC22FA">
        <w:rPr>
          <w:rFonts w:ascii="Arial" w:hAnsi="Arial" w:cs="Arial"/>
          <w:i/>
          <w:iCs/>
          <w:sz w:val="20"/>
          <w:lang w:val="en-US"/>
        </w:rPr>
        <w:t xml:space="preserve">, </w:t>
      </w:r>
      <w:proofErr w:type="spellStart"/>
      <w:r w:rsidRPr="00DC22FA">
        <w:rPr>
          <w:rFonts w:ascii="Arial" w:hAnsi="Arial" w:cs="Arial"/>
          <w:i/>
          <w:iCs/>
          <w:sz w:val="20"/>
          <w:lang w:val="en-US"/>
        </w:rPr>
        <w:t>Achilea</w:t>
      </w:r>
      <w:proofErr w:type="spellEnd"/>
      <w:r w:rsidRPr="00DC22FA">
        <w:rPr>
          <w:rFonts w:ascii="Arial" w:hAnsi="Arial" w:cs="Arial"/>
          <w:sz w:val="20"/>
          <w:lang w:val="en-US"/>
        </w:rPr>
        <w:t xml:space="preserve">), </w:t>
      </w:r>
      <w:r w:rsidR="00296B75" w:rsidRPr="00DC22FA">
        <w:rPr>
          <w:rFonts w:ascii="Arial" w:hAnsi="Arial" w:cs="Arial"/>
          <w:sz w:val="20"/>
          <w:lang w:val="en-US"/>
        </w:rPr>
        <w:t xml:space="preserve">catalase </w:t>
      </w:r>
      <w:r w:rsidRPr="00DC22FA">
        <w:rPr>
          <w:rFonts w:ascii="Arial" w:hAnsi="Arial" w:cs="Arial"/>
          <w:sz w:val="20"/>
          <w:lang w:val="en-US"/>
        </w:rPr>
        <w:t>(</w:t>
      </w:r>
      <w:proofErr w:type="spellStart"/>
      <w:r w:rsidRPr="00DC22FA">
        <w:rPr>
          <w:rFonts w:ascii="Arial" w:hAnsi="Arial" w:cs="Arial"/>
          <w:i/>
          <w:iCs/>
          <w:sz w:val="20"/>
          <w:lang w:val="en-US"/>
        </w:rPr>
        <w:t>Bistorta</w:t>
      </w:r>
      <w:proofErr w:type="spellEnd"/>
      <w:r w:rsidRPr="00DC22FA">
        <w:rPr>
          <w:rFonts w:ascii="Arial" w:hAnsi="Arial" w:cs="Arial"/>
          <w:i/>
          <w:iCs/>
          <w:sz w:val="20"/>
          <w:lang w:val="en-US"/>
        </w:rPr>
        <w:t xml:space="preserve">, Veratrum, </w:t>
      </w:r>
      <w:proofErr w:type="spellStart"/>
      <w:r w:rsidRPr="00DC22FA">
        <w:rPr>
          <w:rFonts w:ascii="Arial" w:hAnsi="Arial" w:cs="Arial"/>
          <w:i/>
          <w:iCs/>
          <w:sz w:val="20"/>
          <w:lang w:val="en-US"/>
        </w:rPr>
        <w:t>Achilea</w:t>
      </w:r>
      <w:proofErr w:type="spellEnd"/>
      <w:r w:rsidRPr="00DC22FA">
        <w:rPr>
          <w:rFonts w:ascii="Arial" w:hAnsi="Arial" w:cs="Arial"/>
          <w:sz w:val="20"/>
          <w:lang w:val="en-US"/>
        </w:rPr>
        <w:t>)</w:t>
      </w:r>
      <w:r w:rsidR="00E946AB" w:rsidRPr="00DC22FA">
        <w:rPr>
          <w:rFonts w:ascii="Arial" w:hAnsi="Arial" w:cs="Arial"/>
          <w:sz w:val="20"/>
          <w:lang w:val="en-US"/>
        </w:rPr>
        <w:t xml:space="preserve"> and</w:t>
      </w:r>
      <w:r w:rsidRPr="00DC22FA">
        <w:rPr>
          <w:rFonts w:ascii="Arial" w:hAnsi="Arial" w:cs="Arial"/>
          <w:sz w:val="20"/>
          <w:lang w:val="en-US"/>
        </w:rPr>
        <w:t xml:space="preserve"> </w:t>
      </w:r>
      <w:r w:rsidR="00296B75" w:rsidRPr="00DC22FA">
        <w:rPr>
          <w:rFonts w:ascii="Arial" w:hAnsi="Arial" w:cs="Arial"/>
          <w:sz w:val="20"/>
          <w:lang w:val="en-US"/>
        </w:rPr>
        <w:t>nitrate reductase activities</w:t>
      </w:r>
      <w:r w:rsidRPr="00DC22FA">
        <w:rPr>
          <w:rFonts w:ascii="Arial" w:hAnsi="Arial" w:cs="Arial"/>
          <w:sz w:val="20"/>
          <w:lang w:val="en-US"/>
        </w:rPr>
        <w:t xml:space="preserve"> (</w:t>
      </w:r>
      <w:proofErr w:type="spellStart"/>
      <w:r w:rsidRPr="00DC22FA">
        <w:rPr>
          <w:rFonts w:ascii="Arial" w:hAnsi="Arial" w:cs="Arial"/>
          <w:i/>
          <w:iCs/>
          <w:sz w:val="20"/>
          <w:lang w:val="en-US"/>
        </w:rPr>
        <w:t>Taraxacum</w:t>
      </w:r>
      <w:proofErr w:type="spellEnd"/>
      <w:r w:rsidRPr="00DC22FA">
        <w:rPr>
          <w:rFonts w:ascii="Arial" w:hAnsi="Arial" w:cs="Arial"/>
          <w:i/>
          <w:iCs/>
          <w:sz w:val="20"/>
          <w:lang w:val="en-US"/>
        </w:rPr>
        <w:t xml:space="preserve">, </w:t>
      </w:r>
      <w:proofErr w:type="spellStart"/>
      <w:r w:rsidRPr="00DC22FA">
        <w:rPr>
          <w:rFonts w:ascii="Arial" w:hAnsi="Arial" w:cs="Arial"/>
          <w:i/>
          <w:iCs/>
          <w:sz w:val="20"/>
          <w:lang w:val="en-US"/>
        </w:rPr>
        <w:t>Achilea</w:t>
      </w:r>
      <w:proofErr w:type="spellEnd"/>
      <w:r w:rsidRPr="00DC22FA">
        <w:rPr>
          <w:rFonts w:ascii="Arial" w:hAnsi="Arial" w:cs="Arial"/>
          <w:sz w:val="20"/>
          <w:lang w:val="en-US"/>
        </w:rPr>
        <w:t xml:space="preserve">); the </w:t>
      </w:r>
      <w:r w:rsidR="00330C88" w:rsidRPr="00DC22FA">
        <w:rPr>
          <w:rFonts w:ascii="Arial" w:hAnsi="Arial" w:cs="Arial"/>
          <w:sz w:val="20"/>
          <w:lang w:val="en-US"/>
        </w:rPr>
        <w:t>second</w:t>
      </w:r>
      <w:r w:rsidRPr="00DC22FA">
        <w:rPr>
          <w:rFonts w:ascii="Arial" w:hAnsi="Arial" w:cs="Arial"/>
          <w:sz w:val="20"/>
          <w:lang w:val="en-US"/>
        </w:rPr>
        <w:t xml:space="preserve"> group was characteri</w:t>
      </w:r>
      <w:r w:rsidR="00E946AB" w:rsidRPr="00DC22FA">
        <w:rPr>
          <w:rFonts w:ascii="Arial" w:hAnsi="Arial" w:cs="Arial"/>
          <w:sz w:val="20"/>
          <w:lang w:val="en-US"/>
        </w:rPr>
        <w:t>z</w:t>
      </w:r>
      <w:r w:rsidRPr="00DC22FA">
        <w:rPr>
          <w:rFonts w:ascii="Arial" w:hAnsi="Arial" w:cs="Arial"/>
          <w:sz w:val="20"/>
          <w:lang w:val="en-US"/>
        </w:rPr>
        <w:t xml:space="preserve">ed with generally low </w:t>
      </w:r>
      <w:r w:rsidR="001D13E8" w:rsidRPr="00DC22FA">
        <w:rPr>
          <w:rFonts w:ascii="Arial" w:hAnsi="Arial" w:cs="Arial"/>
          <w:sz w:val="20"/>
          <w:lang w:val="en-US"/>
        </w:rPr>
        <w:t xml:space="preserve">ascorbate </w:t>
      </w:r>
      <w:r w:rsidR="00E946AB" w:rsidRPr="00DC22FA">
        <w:rPr>
          <w:rFonts w:ascii="Arial" w:hAnsi="Arial" w:cs="Arial"/>
          <w:sz w:val="20"/>
          <w:lang w:val="en-US"/>
        </w:rPr>
        <w:t>but</w:t>
      </w:r>
      <w:r w:rsidRPr="00DC22FA">
        <w:rPr>
          <w:rFonts w:ascii="Arial" w:hAnsi="Arial" w:cs="Arial"/>
          <w:sz w:val="20"/>
          <w:lang w:val="en-US"/>
        </w:rPr>
        <w:t xml:space="preserve"> high </w:t>
      </w:r>
      <w:r w:rsidR="001D13E8" w:rsidRPr="00DC22FA">
        <w:rPr>
          <w:rFonts w:ascii="Arial" w:hAnsi="Arial" w:cs="Arial"/>
          <w:sz w:val="20"/>
          <w:lang w:val="en-US"/>
        </w:rPr>
        <w:t xml:space="preserve">tocopherols </w:t>
      </w:r>
      <w:r w:rsidRPr="00DC22FA">
        <w:rPr>
          <w:rFonts w:ascii="Arial" w:hAnsi="Arial" w:cs="Arial"/>
          <w:sz w:val="20"/>
          <w:lang w:val="en-US"/>
        </w:rPr>
        <w:t xml:space="preserve">in </w:t>
      </w:r>
      <w:r w:rsidRPr="00DC22FA">
        <w:rPr>
          <w:rFonts w:ascii="Arial" w:hAnsi="Arial" w:cs="Arial"/>
          <w:i/>
          <w:iCs/>
          <w:sz w:val="20"/>
          <w:lang w:val="en-US"/>
        </w:rPr>
        <w:t>Arctium</w:t>
      </w:r>
      <w:r w:rsidRPr="00DC22FA">
        <w:rPr>
          <w:rFonts w:ascii="Arial" w:hAnsi="Arial" w:cs="Arial"/>
          <w:sz w:val="20"/>
          <w:lang w:val="en-US"/>
        </w:rPr>
        <w:t xml:space="preserve"> and </w:t>
      </w:r>
      <w:r w:rsidRPr="00DC22FA">
        <w:rPr>
          <w:rFonts w:ascii="Arial" w:hAnsi="Arial" w:cs="Arial"/>
          <w:i/>
          <w:iCs/>
          <w:sz w:val="20"/>
          <w:lang w:val="en-US"/>
        </w:rPr>
        <w:t>Thymus</w:t>
      </w:r>
      <w:r w:rsidRPr="00DC22FA">
        <w:rPr>
          <w:rFonts w:ascii="Arial" w:hAnsi="Arial" w:cs="Arial"/>
          <w:sz w:val="20"/>
          <w:lang w:val="en-US"/>
        </w:rPr>
        <w:t xml:space="preserve">. </w:t>
      </w:r>
    </w:p>
    <w:p w14:paraId="09E065F1" w14:textId="77777777" w:rsidR="00E946AB" w:rsidRPr="00DC22FA" w:rsidRDefault="0071234D" w:rsidP="00DC22FA">
      <w:pPr>
        <w:spacing w:line="276" w:lineRule="auto"/>
        <w:jc w:val="both"/>
        <w:rPr>
          <w:rFonts w:ascii="Arial" w:hAnsi="Arial" w:cs="Arial"/>
          <w:sz w:val="20"/>
          <w:lang w:val="en-US"/>
        </w:rPr>
      </w:pPr>
      <w:r w:rsidRPr="00DC22FA">
        <w:rPr>
          <w:rFonts w:ascii="Arial" w:hAnsi="Arial" w:cs="Arial"/>
          <w:sz w:val="20"/>
          <w:lang w:val="en-US"/>
        </w:rPr>
        <w:t xml:space="preserve">In Tskhratskaro, the first group contained less </w:t>
      </w:r>
      <w:r w:rsidR="00296B75" w:rsidRPr="00DC22FA">
        <w:rPr>
          <w:rFonts w:ascii="Arial" w:hAnsi="Arial" w:cs="Arial"/>
          <w:sz w:val="20"/>
          <w:lang w:val="en-US"/>
        </w:rPr>
        <w:t xml:space="preserve">catalase activity </w:t>
      </w:r>
      <w:r w:rsidRPr="00DC22FA">
        <w:rPr>
          <w:rFonts w:ascii="Arial" w:hAnsi="Arial" w:cs="Arial"/>
          <w:sz w:val="20"/>
          <w:lang w:val="en-US"/>
        </w:rPr>
        <w:t>(</w:t>
      </w:r>
      <w:r w:rsidRPr="00DC22FA">
        <w:rPr>
          <w:rFonts w:ascii="Arial" w:hAnsi="Arial" w:cs="Arial"/>
          <w:i/>
          <w:iCs/>
          <w:sz w:val="20"/>
          <w:lang w:val="en-US"/>
        </w:rPr>
        <w:t>Veratrum</w:t>
      </w:r>
      <w:r w:rsidRPr="00DC22FA">
        <w:rPr>
          <w:rFonts w:ascii="Arial" w:hAnsi="Arial" w:cs="Arial"/>
          <w:sz w:val="20"/>
          <w:lang w:val="en-US"/>
        </w:rPr>
        <w:t xml:space="preserve">), and </w:t>
      </w:r>
      <w:r w:rsidR="001D13E8" w:rsidRPr="00DC22FA">
        <w:rPr>
          <w:rFonts w:ascii="Arial" w:hAnsi="Arial" w:cs="Arial"/>
          <w:sz w:val="20"/>
          <w:lang w:val="en-US"/>
        </w:rPr>
        <w:t xml:space="preserve">tocopherols </w:t>
      </w:r>
      <w:r w:rsidRPr="00DC22FA">
        <w:rPr>
          <w:rFonts w:ascii="Arial" w:hAnsi="Arial" w:cs="Arial"/>
          <w:sz w:val="20"/>
          <w:lang w:val="en-US"/>
        </w:rPr>
        <w:t>(</w:t>
      </w:r>
      <w:proofErr w:type="spellStart"/>
      <w:r w:rsidRPr="00DC22FA">
        <w:rPr>
          <w:rFonts w:ascii="Arial" w:hAnsi="Arial" w:cs="Arial"/>
          <w:i/>
          <w:iCs/>
          <w:sz w:val="20"/>
          <w:lang w:val="en-US"/>
        </w:rPr>
        <w:t>Plantago</w:t>
      </w:r>
      <w:proofErr w:type="spellEnd"/>
      <w:r w:rsidRPr="00DC22FA">
        <w:rPr>
          <w:rFonts w:ascii="Arial" w:hAnsi="Arial" w:cs="Arial"/>
          <w:i/>
          <w:iCs/>
          <w:sz w:val="20"/>
          <w:lang w:val="en-US"/>
        </w:rPr>
        <w:t xml:space="preserve">, </w:t>
      </w:r>
      <w:proofErr w:type="spellStart"/>
      <w:r w:rsidRPr="00DC22FA">
        <w:rPr>
          <w:rFonts w:ascii="Arial" w:hAnsi="Arial" w:cs="Arial"/>
          <w:i/>
          <w:iCs/>
          <w:sz w:val="20"/>
          <w:lang w:val="en-US"/>
        </w:rPr>
        <w:t>Achilea</w:t>
      </w:r>
      <w:proofErr w:type="spellEnd"/>
      <w:r w:rsidRPr="00DC22FA">
        <w:rPr>
          <w:rFonts w:ascii="Arial" w:hAnsi="Arial" w:cs="Arial"/>
          <w:sz w:val="20"/>
          <w:lang w:val="en-US"/>
        </w:rPr>
        <w:t xml:space="preserve">), </w:t>
      </w:r>
      <w:r w:rsidR="00330C88" w:rsidRPr="00DC22FA">
        <w:rPr>
          <w:rFonts w:ascii="Arial" w:hAnsi="Arial" w:cs="Arial"/>
          <w:sz w:val="20"/>
          <w:lang w:val="en-US"/>
        </w:rPr>
        <w:t xml:space="preserve">but high </w:t>
      </w:r>
      <w:r w:rsidR="001D13E8" w:rsidRPr="00DC22FA">
        <w:rPr>
          <w:rFonts w:ascii="Arial" w:hAnsi="Arial" w:cs="Arial"/>
          <w:sz w:val="20"/>
          <w:lang w:val="en-US"/>
        </w:rPr>
        <w:t xml:space="preserve">peroxidase activity </w:t>
      </w:r>
      <w:r w:rsidR="00330C88" w:rsidRPr="00DC22FA">
        <w:rPr>
          <w:rFonts w:ascii="Arial" w:hAnsi="Arial" w:cs="Arial"/>
          <w:sz w:val="20"/>
          <w:lang w:val="en-US"/>
        </w:rPr>
        <w:t>(</w:t>
      </w:r>
      <w:proofErr w:type="spellStart"/>
      <w:r w:rsidR="00330C88" w:rsidRPr="00DC22FA">
        <w:rPr>
          <w:rFonts w:ascii="Arial" w:hAnsi="Arial" w:cs="Arial"/>
          <w:i/>
          <w:iCs/>
          <w:sz w:val="20"/>
          <w:lang w:val="en-US"/>
        </w:rPr>
        <w:t>Bistorta</w:t>
      </w:r>
      <w:proofErr w:type="spellEnd"/>
      <w:r w:rsidR="00330C88" w:rsidRPr="00DC22FA">
        <w:rPr>
          <w:rFonts w:ascii="Arial" w:hAnsi="Arial" w:cs="Arial"/>
          <w:i/>
          <w:iCs/>
          <w:sz w:val="20"/>
          <w:lang w:val="en-US"/>
        </w:rPr>
        <w:t xml:space="preserve">, </w:t>
      </w:r>
      <w:proofErr w:type="spellStart"/>
      <w:r w:rsidR="00330C88" w:rsidRPr="00DC22FA">
        <w:rPr>
          <w:rFonts w:ascii="Arial" w:hAnsi="Arial" w:cs="Arial"/>
          <w:i/>
          <w:iCs/>
          <w:sz w:val="20"/>
          <w:lang w:val="en-US"/>
        </w:rPr>
        <w:t>Arctium</w:t>
      </w:r>
      <w:proofErr w:type="spellEnd"/>
      <w:r w:rsidR="00330C88" w:rsidRPr="00DC22FA">
        <w:rPr>
          <w:rFonts w:ascii="Arial" w:hAnsi="Arial" w:cs="Arial"/>
          <w:i/>
          <w:iCs/>
          <w:sz w:val="20"/>
          <w:lang w:val="en-US"/>
        </w:rPr>
        <w:t>, Veratrum</w:t>
      </w:r>
      <w:r w:rsidR="00330C88" w:rsidRPr="00DC22FA">
        <w:rPr>
          <w:rFonts w:ascii="Arial" w:hAnsi="Arial" w:cs="Arial"/>
          <w:sz w:val="20"/>
          <w:lang w:val="en-US"/>
        </w:rPr>
        <w:t xml:space="preserve">) and </w:t>
      </w:r>
      <w:r w:rsidR="00296B75" w:rsidRPr="00DC22FA">
        <w:rPr>
          <w:rFonts w:ascii="Arial" w:hAnsi="Arial" w:cs="Arial"/>
          <w:sz w:val="20"/>
          <w:lang w:val="en-US"/>
        </w:rPr>
        <w:t xml:space="preserve">phenolics </w:t>
      </w:r>
      <w:r w:rsidR="00330C88" w:rsidRPr="00DC22FA">
        <w:rPr>
          <w:rFonts w:ascii="Arial" w:hAnsi="Arial" w:cs="Arial"/>
          <w:sz w:val="20"/>
          <w:lang w:val="en-US"/>
        </w:rPr>
        <w:t>(</w:t>
      </w:r>
      <w:proofErr w:type="spellStart"/>
      <w:r w:rsidR="00330C88" w:rsidRPr="00DC22FA">
        <w:rPr>
          <w:rFonts w:ascii="Arial" w:hAnsi="Arial" w:cs="Arial"/>
          <w:i/>
          <w:iCs/>
          <w:sz w:val="20"/>
          <w:lang w:val="en-US"/>
        </w:rPr>
        <w:t>Bistorta</w:t>
      </w:r>
      <w:proofErr w:type="spellEnd"/>
      <w:r w:rsidR="00330C88" w:rsidRPr="00DC22FA">
        <w:rPr>
          <w:rFonts w:ascii="Arial" w:hAnsi="Arial" w:cs="Arial"/>
          <w:i/>
          <w:iCs/>
          <w:sz w:val="20"/>
          <w:lang w:val="en-US"/>
        </w:rPr>
        <w:t xml:space="preserve">, Hypericum, </w:t>
      </w:r>
      <w:proofErr w:type="spellStart"/>
      <w:r w:rsidR="00330C88" w:rsidRPr="00DC22FA">
        <w:rPr>
          <w:rFonts w:ascii="Arial" w:hAnsi="Arial" w:cs="Arial"/>
          <w:i/>
          <w:iCs/>
          <w:sz w:val="20"/>
          <w:lang w:val="en-US"/>
        </w:rPr>
        <w:t>Valeriana</w:t>
      </w:r>
      <w:proofErr w:type="spellEnd"/>
      <w:r w:rsidR="00330C88" w:rsidRPr="00DC22FA">
        <w:rPr>
          <w:rFonts w:ascii="Arial" w:hAnsi="Arial" w:cs="Arial"/>
          <w:sz w:val="20"/>
          <w:lang w:val="en-US"/>
        </w:rPr>
        <w:t xml:space="preserve">); the plants of the second group contained less </w:t>
      </w:r>
      <w:r w:rsidR="001D13E8" w:rsidRPr="00DC22FA">
        <w:rPr>
          <w:rFonts w:ascii="Arial" w:hAnsi="Arial" w:cs="Arial"/>
          <w:sz w:val="20"/>
          <w:lang w:val="en-US"/>
        </w:rPr>
        <w:t>peroxidase activity</w:t>
      </w:r>
      <w:r w:rsidR="00296B75" w:rsidRPr="00DC22FA">
        <w:rPr>
          <w:rFonts w:ascii="Arial" w:hAnsi="Arial" w:cs="Arial"/>
          <w:sz w:val="20"/>
          <w:lang w:val="en-US"/>
        </w:rPr>
        <w:t xml:space="preserve"> </w:t>
      </w:r>
      <w:r w:rsidR="00330C88" w:rsidRPr="00DC22FA">
        <w:rPr>
          <w:rFonts w:ascii="Arial" w:hAnsi="Arial" w:cs="Arial"/>
          <w:sz w:val="20"/>
          <w:lang w:val="en-US"/>
        </w:rPr>
        <w:t>(</w:t>
      </w:r>
      <w:r w:rsidR="00330C88" w:rsidRPr="00DC22FA">
        <w:rPr>
          <w:rFonts w:ascii="Arial" w:hAnsi="Arial" w:cs="Arial"/>
          <w:i/>
          <w:iCs/>
          <w:sz w:val="20"/>
          <w:lang w:val="en-US"/>
        </w:rPr>
        <w:t>Origanum, Alchemilla, Rumex</w:t>
      </w:r>
      <w:r w:rsidR="00330C88" w:rsidRPr="00DC22FA">
        <w:rPr>
          <w:rFonts w:ascii="Arial" w:hAnsi="Arial" w:cs="Arial"/>
          <w:sz w:val="20"/>
          <w:lang w:val="en-US"/>
        </w:rPr>
        <w:t xml:space="preserve">) and </w:t>
      </w:r>
      <w:r w:rsidR="00296B75" w:rsidRPr="00DC22FA">
        <w:rPr>
          <w:rFonts w:ascii="Arial" w:hAnsi="Arial" w:cs="Arial"/>
          <w:sz w:val="20"/>
          <w:lang w:val="en-US"/>
        </w:rPr>
        <w:t xml:space="preserve">phenolics </w:t>
      </w:r>
      <w:r w:rsidR="00330C88" w:rsidRPr="00DC22FA">
        <w:rPr>
          <w:rFonts w:ascii="Arial" w:hAnsi="Arial" w:cs="Arial"/>
          <w:sz w:val="20"/>
          <w:lang w:val="en-US"/>
        </w:rPr>
        <w:t>(</w:t>
      </w:r>
      <w:r w:rsidR="00330C88" w:rsidRPr="00DC22FA">
        <w:rPr>
          <w:rFonts w:ascii="Arial" w:hAnsi="Arial" w:cs="Arial"/>
          <w:i/>
          <w:iCs/>
          <w:sz w:val="20"/>
          <w:lang w:val="en-US"/>
        </w:rPr>
        <w:t>Rumex</w:t>
      </w:r>
      <w:r w:rsidR="00330C88" w:rsidRPr="00DC22FA">
        <w:rPr>
          <w:rFonts w:ascii="Arial" w:hAnsi="Arial" w:cs="Arial"/>
          <w:sz w:val="20"/>
          <w:lang w:val="en-US"/>
        </w:rPr>
        <w:t xml:space="preserve">). </w:t>
      </w:r>
    </w:p>
    <w:p w14:paraId="00B38241" w14:textId="77777777" w:rsidR="006F482E" w:rsidRDefault="00330C88" w:rsidP="00DC22FA">
      <w:pPr>
        <w:spacing w:line="276" w:lineRule="auto"/>
        <w:jc w:val="both"/>
        <w:rPr>
          <w:rFonts w:ascii="Arial" w:hAnsi="Arial" w:cs="Arial"/>
          <w:sz w:val="20"/>
          <w:lang w:val="en-US"/>
        </w:rPr>
      </w:pPr>
      <w:r w:rsidRPr="00DC22FA">
        <w:rPr>
          <w:rFonts w:ascii="Arial" w:hAnsi="Arial" w:cs="Arial"/>
          <w:sz w:val="20"/>
          <w:lang w:val="en-US"/>
        </w:rPr>
        <w:t xml:space="preserve">In Sno the species contained generally high levels of antioxidants except </w:t>
      </w:r>
      <w:r w:rsidR="00296B75" w:rsidRPr="00DC22FA">
        <w:rPr>
          <w:rFonts w:ascii="Arial" w:hAnsi="Arial" w:cs="Arial"/>
          <w:sz w:val="20"/>
          <w:lang w:val="en-US"/>
        </w:rPr>
        <w:t xml:space="preserve">carotenoids </w:t>
      </w:r>
      <w:r w:rsidRPr="00DC22FA">
        <w:rPr>
          <w:rFonts w:ascii="Arial" w:hAnsi="Arial" w:cs="Arial"/>
          <w:sz w:val="20"/>
          <w:lang w:val="en-US"/>
        </w:rPr>
        <w:t xml:space="preserve">and </w:t>
      </w:r>
      <w:r w:rsidR="00296B75" w:rsidRPr="00DC22FA">
        <w:rPr>
          <w:rFonts w:ascii="Arial" w:hAnsi="Arial" w:cs="Arial"/>
          <w:sz w:val="20"/>
          <w:lang w:val="en-US"/>
        </w:rPr>
        <w:t>chlorophylls</w:t>
      </w:r>
      <w:r w:rsidRPr="00DC22FA">
        <w:rPr>
          <w:rFonts w:ascii="Arial" w:hAnsi="Arial" w:cs="Arial"/>
          <w:sz w:val="20"/>
          <w:lang w:val="en-US"/>
        </w:rPr>
        <w:t>.</w:t>
      </w:r>
    </w:p>
    <w:p w14:paraId="0198B7D5" w14:textId="77777777" w:rsidR="00DC22FA" w:rsidRPr="00DC22FA" w:rsidRDefault="00DC22FA" w:rsidP="00DC22FA">
      <w:pPr>
        <w:spacing w:line="276" w:lineRule="auto"/>
        <w:jc w:val="both"/>
        <w:rPr>
          <w:rFonts w:ascii="Arial" w:hAnsi="Arial" w:cs="Arial"/>
          <w:sz w:val="20"/>
          <w:lang w:val="en-US"/>
        </w:rPr>
      </w:pPr>
    </w:p>
    <w:p w14:paraId="5AD10D0B" w14:textId="77777777" w:rsidR="006F482E" w:rsidRDefault="00DC22FA" w:rsidP="00E830A3">
      <w:pPr>
        <w:spacing w:line="276" w:lineRule="auto"/>
        <w:rPr>
          <w:rFonts w:ascii="Arial" w:hAnsi="Arial" w:cs="Arial"/>
          <w:b/>
          <w:bCs/>
          <w:lang w:val="en-US"/>
        </w:rPr>
      </w:pPr>
      <w:r w:rsidRPr="00DC22FA">
        <w:rPr>
          <w:rFonts w:ascii="Arial" w:hAnsi="Arial" w:cs="Arial"/>
          <w:b/>
          <w:bCs/>
          <w:lang w:val="en-US"/>
        </w:rPr>
        <w:t xml:space="preserve">4. </w:t>
      </w:r>
      <w:r w:rsidR="006F482E" w:rsidRPr="00DC22FA">
        <w:rPr>
          <w:rFonts w:ascii="Arial" w:hAnsi="Arial" w:cs="Arial"/>
          <w:b/>
          <w:bCs/>
          <w:lang w:val="en-US"/>
        </w:rPr>
        <w:t>D</w:t>
      </w:r>
      <w:r w:rsidRPr="00DC22FA">
        <w:rPr>
          <w:rFonts w:ascii="Arial" w:hAnsi="Arial" w:cs="Arial"/>
          <w:b/>
          <w:bCs/>
          <w:lang w:val="en-US"/>
        </w:rPr>
        <w:t>ISCUSSION</w:t>
      </w:r>
    </w:p>
    <w:p w14:paraId="20EE39D9" w14:textId="77777777" w:rsidR="00DC22FA" w:rsidRPr="00DC22FA" w:rsidRDefault="00DC22FA" w:rsidP="00E830A3">
      <w:pPr>
        <w:spacing w:line="276" w:lineRule="auto"/>
        <w:rPr>
          <w:rFonts w:ascii="Arial" w:hAnsi="Arial" w:cs="Arial"/>
          <w:b/>
          <w:bCs/>
          <w:lang w:val="en-US"/>
        </w:rPr>
      </w:pPr>
    </w:p>
    <w:p w14:paraId="6E2DF2B3" w14:textId="77777777" w:rsidR="00072347" w:rsidRPr="00DC22FA" w:rsidRDefault="00072347" w:rsidP="00DC22FA">
      <w:pPr>
        <w:spacing w:line="276" w:lineRule="auto"/>
        <w:jc w:val="both"/>
        <w:rPr>
          <w:rFonts w:ascii="Arial" w:hAnsi="Arial" w:cs="Arial"/>
          <w:sz w:val="20"/>
          <w:lang w:val="en-US"/>
        </w:rPr>
      </w:pPr>
      <w:r w:rsidRPr="00DC22FA">
        <w:rPr>
          <w:rFonts w:ascii="Arial" w:hAnsi="Arial" w:cs="Arial"/>
          <w:sz w:val="20"/>
          <w:lang w:val="en-US"/>
        </w:rPr>
        <w:t xml:space="preserve">Studies on plant metabolic responses to abiotic stress gradients are not uncommon; however, they typically focus on a single species or taxon and a narrow class of metabolites. A classic example is the well-documented increase in leaf epidermal flavonoids in response to heightened UV radiation (e.g., Tripp et al. 2018; Koski et al. 2024). In contrast, our study simultaneously assessed 13 metabolic responses across 12 forb species exposed to distinct types of abiotic stress. The Caucasus Mountains provided an ideal setting for such a comparative investigation. Here, traditionally managed secondary grasslands occupy extensive portions of the landscape (Nakhutsrishvili 2012). These pastures and hay meadows, established by the end of the Late Bronze Age, have been largely maintained to the present day (Kikvidze 2020a, p. 100). Their persistence over more than four millennia, and widespread distribution, underscore the sustainability of this agricultural system in the region (Kikvidze 2020b, pp. 166–167), which has significantly altered the distribution of potential natural vegetation. As a result, pasture- and meadow-adapted species now occur more broadly than predicted by potential vegetation models, extending into environments characterized by differing abiotic stress regimes, as observed in our study. This enabled us to examine a consistent set of species across climatically diverse sites: Bakuriani, where the potential natural vegetation is mixed montane conifer–beech forest; Sno, located in the subalpine broad-leaved birch forest zone; and </w:t>
      </w:r>
      <w:r w:rsidRPr="00DC22FA">
        <w:rPr>
          <w:rFonts w:ascii="Arial" w:hAnsi="Arial" w:cs="Arial"/>
          <w:sz w:val="20"/>
          <w:lang w:val="en-US"/>
        </w:rPr>
        <w:lastRenderedPageBreak/>
        <w:t>Tskhratskaro, situated at the edge of the Javakheti Plateau, a region typified by steppe vegetation (Giorgi Mikeladze, pers. comm.; Nakhutsrishvili 2012).</w:t>
      </w:r>
    </w:p>
    <w:p w14:paraId="73C4B80F" w14:textId="77777777" w:rsidR="00F75E44" w:rsidRPr="00DC22FA" w:rsidRDefault="00F75E44" w:rsidP="00DC22FA">
      <w:pPr>
        <w:spacing w:line="276" w:lineRule="auto"/>
        <w:jc w:val="both"/>
        <w:rPr>
          <w:rFonts w:ascii="Arial" w:hAnsi="Arial" w:cs="Arial"/>
          <w:color w:val="000000" w:themeColor="text1"/>
          <w:sz w:val="20"/>
          <w:lang w:val="en-US"/>
        </w:rPr>
      </w:pPr>
      <w:r w:rsidRPr="00DC22FA">
        <w:rPr>
          <w:rFonts w:ascii="Arial" w:hAnsi="Arial" w:cs="Arial"/>
          <w:color w:val="000000" w:themeColor="text1"/>
          <w:sz w:val="20"/>
          <w:lang w:val="en-US"/>
        </w:rPr>
        <w:t xml:space="preserve">Our results show that stress-specific responses prevailed in the </w:t>
      </w:r>
      <w:r w:rsidR="008B130A" w:rsidRPr="00DC22FA">
        <w:rPr>
          <w:rFonts w:ascii="Arial" w:hAnsi="Arial" w:cs="Arial"/>
          <w:color w:val="000000" w:themeColor="text1"/>
          <w:sz w:val="20"/>
          <w:lang w:val="en-US"/>
        </w:rPr>
        <w:t xml:space="preserve">tested </w:t>
      </w:r>
      <w:r w:rsidRPr="00DC22FA">
        <w:rPr>
          <w:rFonts w:ascii="Arial" w:hAnsi="Arial" w:cs="Arial"/>
          <w:color w:val="000000" w:themeColor="text1"/>
          <w:sz w:val="20"/>
          <w:lang w:val="en-US"/>
        </w:rPr>
        <w:t xml:space="preserve">subset of forb species representing traditionally managed hay meadows, </w:t>
      </w:r>
      <w:r w:rsidR="006104F3" w:rsidRPr="00DC22FA">
        <w:rPr>
          <w:rFonts w:ascii="Arial" w:hAnsi="Arial" w:cs="Arial"/>
          <w:color w:val="000000" w:themeColor="text1"/>
          <w:sz w:val="20"/>
          <w:lang w:val="en-US"/>
        </w:rPr>
        <w:t>as predicted by our main hypothesis.</w:t>
      </w:r>
      <w:r w:rsidRPr="00DC22FA">
        <w:rPr>
          <w:rFonts w:ascii="Arial" w:hAnsi="Arial" w:cs="Arial"/>
          <w:color w:val="000000" w:themeColor="text1"/>
          <w:sz w:val="20"/>
          <w:lang w:val="en-US"/>
        </w:rPr>
        <w:t xml:space="preserve"> </w:t>
      </w:r>
      <w:r w:rsidR="006104F3" w:rsidRPr="00DC22FA">
        <w:rPr>
          <w:rFonts w:ascii="Arial" w:hAnsi="Arial" w:cs="Arial"/>
          <w:color w:val="000000" w:themeColor="text1"/>
          <w:sz w:val="20"/>
          <w:lang w:val="en-US"/>
        </w:rPr>
        <w:t>T</w:t>
      </w:r>
      <w:r w:rsidRPr="00DC22FA">
        <w:rPr>
          <w:rFonts w:ascii="Arial" w:hAnsi="Arial" w:cs="Arial"/>
          <w:color w:val="000000" w:themeColor="text1"/>
          <w:sz w:val="20"/>
          <w:lang w:val="en-US"/>
        </w:rPr>
        <w:t xml:space="preserve">emperature emerged as the primary climatic driver of this aggregated response. However, metabolic adjustments to cold and heat stress differed markedly as high levels of ascorbic acid, </w:t>
      </w:r>
      <w:r w:rsidR="00E2650D" w:rsidRPr="00DC22FA">
        <w:rPr>
          <w:rFonts w:ascii="Arial" w:hAnsi="Arial" w:cs="Arial"/>
          <w:color w:val="000000" w:themeColor="text1"/>
          <w:sz w:val="20"/>
          <w:lang w:val="en-US"/>
        </w:rPr>
        <w:t>tocopherols</w:t>
      </w:r>
      <w:r w:rsidRPr="00DC22FA">
        <w:rPr>
          <w:rFonts w:ascii="Arial" w:hAnsi="Arial" w:cs="Arial"/>
          <w:color w:val="000000" w:themeColor="text1"/>
          <w:sz w:val="20"/>
          <w:lang w:val="en-US"/>
        </w:rPr>
        <w:t xml:space="preserve"> and peroxidase activit</w:t>
      </w:r>
      <w:r w:rsidR="00E2650D" w:rsidRPr="00DC22FA">
        <w:rPr>
          <w:rFonts w:ascii="Arial" w:hAnsi="Arial" w:cs="Arial"/>
          <w:color w:val="000000" w:themeColor="text1"/>
          <w:sz w:val="20"/>
          <w:lang w:val="en-US"/>
        </w:rPr>
        <w:t>y</w:t>
      </w:r>
      <w:r w:rsidRPr="00DC22FA">
        <w:rPr>
          <w:rFonts w:ascii="Arial" w:hAnsi="Arial" w:cs="Arial"/>
          <w:color w:val="000000" w:themeColor="text1"/>
          <w:sz w:val="20"/>
          <w:lang w:val="en-US"/>
        </w:rPr>
        <w:t xml:space="preserve"> were associated with heat stress. In contrast, carotenoid </w:t>
      </w:r>
      <w:r w:rsidR="00E2650D" w:rsidRPr="00DC22FA">
        <w:rPr>
          <w:rFonts w:ascii="Arial" w:hAnsi="Arial" w:cs="Arial"/>
          <w:color w:val="000000" w:themeColor="text1"/>
          <w:sz w:val="20"/>
          <w:lang w:val="en-US"/>
        </w:rPr>
        <w:t xml:space="preserve">and chlorophyll </w:t>
      </w:r>
      <w:r w:rsidRPr="00DC22FA">
        <w:rPr>
          <w:rFonts w:ascii="Arial" w:hAnsi="Arial" w:cs="Arial"/>
          <w:color w:val="000000" w:themeColor="text1"/>
          <w:sz w:val="20"/>
          <w:lang w:val="en-US"/>
        </w:rPr>
        <w:t>levels</w:t>
      </w:r>
      <w:r w:rsidR="00E2650D" w:rsidRPr="00DC22FA">
        <w:rPr>
          <w:rFonts w:ascii="Arial" w:hAnsi="Arial" w:cs="Arial"/>
          <w:color w:val="000000" w:themeColor="text1"/>
          <w:sz w:val="20"/>
          <w:lang w:val="en-US"/>
        </w:rPr>
        <w:t>,</w:t>
      </w:r>
      <w:r w:rsidRPr="00DC22FA">
        <w:rPr>
          <w:rFonts w:ascii="Arial" w:hAnsi="Arial" w:cs="Arial"/>
          <w:color w:val="000000" w:themeColor="text1"/>
          <w:sz w:val="20"/>
          <w:lang w:val="en-US"/>
        </w:rPr>
        <w:t xml:space="preserve"> </w:t>
      </w:r>
      <w:r w:rsidR="00E2650D" w:rsidRPr="00DC22FA">
        <w:rPr>
          <w:rFonts w:ascii="Arial" w:hAnsi="Arial" w:cs="Arial"/>
          <w:color w:val="000000" w:themeColor="text1"/>
          <w:sz w:val="20"/>
          <w:lang w:val="en-US"/>
        </w:rPr>
        <w:t xml:space="preserve">as well as catalase activity were </w:t>
      </w:r>
      <w:r w:rsidRPr="00DC22FA">
        <w:rPr>
          <w:rFonts w:ascii="Arial" w:hAnsi="Arial" w:cs="Arial"/>
          <w:color w:val="000000" w:themeColor="text1"/>
          <w:sz w:val="20"/>
          <w:lang w:val="en-US"/>
        </w:rPr>
        <w:t>associate</w:t>
      </w:r>
      <w:r w:rsidR="00E2650D" w:rsidRPr="00DC22FA">
        <w:rPr>
          <w:rFonts w:ascii="Arial" w:hAnsi="Arial" w:cs="Arial"/>
          <w:color w:val="000000" w:themeColor="text1"/>
          <w:sz w:val="20"/>
          <w:lang w:val="en-US"/>
        </w:rPr>
        <w:t>d</w:t>
      </w:r>
      <w:r w:rsidRPr="00DC22FA">
        <w:rPr>
          <w:rFonts w:ascii="Arial" w:hAnsi="Arial" w:cs="Arial"/>
          <w:color w:val="000000" w:themeColor="text1"/>
          <w:sz w:val="20"/>
          <w:lang w:val="en-US"/>
        </w:rPr>
        <w:t xml:space="preserve"> with cold conditions. These findings are consistent with the knowledge derived from the experiments conducted at the species level (as discussed in the Introduction above).</w:t>
      </w:r>
    </w:p>
    <w:p w14:paraId="5CD5FB2D" w14:textId="77777777" w:rsidR="006104F3" w:rsidRPr="00DC22FA" w:rsidRDefault="00F75E44" w:rsidP="00DC22FA">
      <w:pPr>
        <w:spacing w:line="276" w:lineRule="auto"/>
        <w:jc w:val="both"/>
        <w:rPr>
          <w:rFonts w:ascii="Arial" w:hAnsi="Arial" w:cs="Arial"/>
          <w:color w:val="000000" w:themeColor="text1"/>
          <w:sz w:val="20"/>
          <w:lang w:val="en-US"/>
        </w:rPr>
      </w:pPr>
      <w:r w:rsidRPr="00DC22FA">
        <w:rPr>
          <w:rFonts w:ascii="Arial" w:hAnsi="Arial" w:cs="Arial"/>
          <w:color w:val="000000" w:themeColor="text1"/>
          <w:sz w:val="20"/>
          <w:lang w:val="en-US"/>
        </w:rPr>
        <w:t xml:space="preserve">Beyond these stress-specific trends, species-specific metabolic profiles also emerged </w:t>
      </w:r>
      <w:r w:rsidR="00E2650D" w:rsidRPr="00DC22FA">
        <w:rPr>
          <w:rFonts w:ascii="Arial" w:hAnsi="Arial" w:cs="Arial"/>
          <w:color w:val="000000" w:themeColor="text1"/>
          <w:sz w:val="20"/>
          <w:lang w:val="en-US"/>
        </w:rPr>
        <w:t xml:space="preserve">which could be roughly divided </w:t>
      </w:r>
      <w:r w:rsidR="00A82B68" w:rsidRPr="00DC22FA">
        <w:rPr>
          <w:rFonts w:ascii="Arial" w:hAnsi="Arial" w:cs="Arial"/>
          <w:color w:val="000000" w:themeColor="text1"/>
          <w:sz w:val="20"/>
          <w:lang w:val="en-US"/>
        </w:rPr>
        <w:t xml:space="preserve">into </w:t>
      </w:r>
      <w:r w:rsidR="00E2650D" w:rsidRPr="00DC22FA">
        <w:rPr>
          <w:rFonts w:ascii="Arial" w:hAnsi="Arial" w:cs="Arial"/>
          <w:color w:val="000000" w:themeColor="text1"/>
          <w:sz w:val="20"/>
          <w:lang w:val="en-US"/>
        </w:rPr>
        <w:t>two</w:t>
      </w:r>
      <w:r w:rsidR="00A82B68" w:rsidRPr="00DC22FA">
        <w:rPr>
          <w:rFonts w:ascii="Arial" w:hAnsi="Arial" w:cs="Arial"/>
          <w:color w:val="000000" w:themeColor="text1"/>
          <w:sz w:val="20"/>
          <w:lang w:val="en-US"/>
        </w:rPr>
        <w:t xml:space="preserve"> groups with different levels of different antioxidants. </w:t>
      </w:r>
      <w:r w:rsidR="00E2650D" w:rsidRPr="00DC22FA">
        <w:rPr>
          <w:rFonts w:ascii="Arial" w:hAnsi="Arial" w:cs="Arial"/>
          <w:color w:val="000000" w:themeColor="text1"/>
          <w:sz w:val="20"/>
          <w:lang w:val="en-US"/>
        </w:rPr>
        <w:t xml:space="preserve">The differences among species largely depended on the type of abiotic stress, however, </w:t>
      </w:r>
      <w:r w:rsidR="006104F3" w:rsidRPr="00DC22FA">
        <w:rPr>
          <w:rFonts w:ascii="Arial" w:hAnsi="Arial" w:cs="Arial"/>
          <w:color w:val="000000" w:themeColor="text1"/>
          <w:sz w:val="20"/>
          <w:lang w:val="en-US"/>
        </w:rPr>
        <w:t xml:space="preserve">the contribution of </w:t>
      </w:r>
      <w:r w:rsidR="008B130A" w:rsidRPr="00DC22FA">
        <w:rPr>
          <w:rFonts w:ascii="Arial" w:hAnsi="Arial" w:cs="Arial"/>
          <w:color w:val="000000" w:themeColor="text1"/>
          <w:sz w:val="20"/>
          <w:lang w:val="en-US"/>
        </w:rPr>
        <w:t xml:space="preserve">such </w:t>
      </w:r>
      <w:r w:rsidR="006104F3" w:rsidRPr="00DC22FA">
        <w:rPr>
          <w:rFonts w:ascii="Arial" w:hAnsi="Arial" w:cs="Arial"/>
          <w:color w:val="000000" w:themeColor="text1"/>
          <w:sz w:val="20"/>
          <w:lang w:val="en-US"/>
        </w:rPr>
        <w:t xml:space="preserve">variation </w:t>
      </w:r>
      <w:r w:rsidR="00E2650D" w:rsidRPr="00DC22FA">
        <w:rPr>
          <w:rFonts w:ascii="Arial" w:hAnsi="Arial" w:cs="Arial"/>
          <w:color w:val="000000" w:themeColor="text1"/>
          <w:sz w:val="20"/>
          <w:lang w:val="en-US"/>
        </w:rPr>
        <w:t>wa</w:t>
      </w:r>
      <w:r w:rsidR="006104F3" w:rsidRPr="00DC22FA">
        <w:rPr>
          <w:rFonts w:ascii="Arial" w:hAnsi="Arial" w:cs="Arial"/>
          <w:color w:val="000000" w:themeColor="text1"/>
          <w:sz w:val="20"/>
          <w:lang w:val="en-US"/>
        </w:rPr>
        <w:t xml:space="preserve">s weak </w:t>
      </w:r>
      <w:r w:rsidR="008B130A" w:rsidRPr="00DC22FA">
        <w:rPr>
          <w:rFonts w:ascii="Arial" w:hAnsi="Arial" w:cs="Arial"/>
          <w:color w:val="000000" w:themeColor="text1"/>
          <w:sz w:val="20"/>
          <w:lang w:val="en-US"/>
        </w:rPr>
        <w:t xml:space="preserve">overall </w:t>
      </w:r>
      <w:r w:rsidR="006104F3" w:rsidRPr="00DC22FA">
        <w:rPr>
          <w:rFonts w:ascii="Arial" w:hAnsi="Arial" w:cs="Arial"/>
          <w:color w:val="000000" w:themeColor="text1"/>
          <w:sz w:val="20"/>
          <w:lang w:val="en-US"/>
        </w:rPr>
        <w:t>and clearly overridden by stress-specific effect.</w:t>
      </w:r>
    </w:p>
    <w:p w14:paraId="1811E490" w14:textId="77777777" w:rsidR="00D5231D" w:rsidRPr="00DC22FA" w:rsidRDefault="009401B4" w:rsidP="00DC22FA">
      <w:pPr>
        <w:spacing w:line="276" w:lineRule="auto"/>
        <w:jc w:val="both"/>
        <w:rPr>
          <w:rFonts w:ascii="Arial" w:hAnsi="Arial" w:cs="Arial"/>
          <w:color w:val="000000" w:themeColor="text1"/>
          <w:sz w:val="20"/>
          <w:lang w:val="en-US"/>
        </w:rPr>
      </w:pPr>
      <w:r w:rsidRPr="00DC22FA">
        <w:rPr>
          <w:rFonts w:ascii="Arial" w:hAnsi="Arial" w:cs="Arial"/>
          <w:color w:val="000000" w:themeColor="text1"/>
          <w:sz w:val="20"/>
          <w:lang w:val="en-US"/>
        </w:rPr>
        <w:t>Some species showed a wide spectrum of responses, apparently showing the strength of their secondary metabolism. For example</w:t>
      </w:r>
      <w:r w:rsidR="00D5231D" w:rsidRPr="00DC22FA">
        <w:rPr>
          <w:rFonts w:ascii="Arial" w:hAnsi="Arial" w:cs="Arial"/>
          <w:color w:val="000000" w:themeColor="text1"/>
          <w:sz w:val="20"/>
          <w:lang w:val="en-US"/>
        </w:rPr>
        <w:t xml:space="preserve">, </w:t>
      </w:r>
      <w:proofErr w:type="spellStart"/>
      <w:r w:rsidR="00D5231D" w:rsidRPr="00DC22FA">
        <w:rPr>
          <w:rFonts w:ascii="Arial" w:hAnsi="Arial" w:cs="Arial"/>
          <w:i/>
          <w:iCs/>
          <w:color w:val="000000" w:themeColor="text1"/>
          <w:sz w:val="20"/>
          <w:lang w:val="en-US"/>
        </w:rPr>
        <w:t>Bistorta</w:t>
      </w:r>
      <w:proofErr w:type="spellEnd"/>
      <w:r w:rsidR="00D5231D" w:rsidRPr="00DC22FA">
        <w:rPr>
          <w:rFonts w:ascii="Arial" w:hAnsi="Arial" w:cs="Arial"/>
          <w:color w:val="000000" w:themeColor="text1"/>
          <w:sz w:val="20"/>
          <w:lang w:val="en-US"/>
        </w:rPr>
        <w:t xml:space="preserve"> has a well-established use in traditional medicine (Bussmann et al. 2024a) benefiting from the rich phytochemistry of this species that must include high contents of antioxidants (Pawłowska et al. 2020, above). </w:t>
      </w:r>
      <w:r w:rsidR="00D5231D" w:rsidRPr="00DC22FA">
        <w:rPr>
          <w:rFonts w:ascii="Arial" w:hAnsi="Arial" w:cs="Arial"/>
          <w:i/>
          <w:iCs/>
          <w:color w:val="000000" w:themeColor="text1"/>
          <w:sz w:val="20"/>
          <w:lang w:val="en-US"/>
        </w:rPr>
        <w:t>Hypericum, Rumex, Valeriana</w:t>
      </w:r>
      <w:r w:rsidR="00D5231D" w:rsidRPr="00DC22FA">
        <w:rPr>
          <w:rFonts w:ascii="Arial" w:hAnsi="Arial" w:cs="Arial"/>
          <w:color w:val="000000" w:themeColor="text1"/>
          <w:sz w:val="20"/>
          <w:lang w:val="en-US"/>
        </w:rPr>
        <w:t xml:space="preserve"> and </w:t>
      </w:r>
      <w:r w:rsidR="00D5231D" w:rsidRPr="00DC22FA">
        <w:rPr>
          <w:rFonts w:ascii="Arial" w:hAnsi="Arial" w:cs="Arial"/>
          <w:i/>
          <w:iCs/>
          <w:color w:val="000000" w:themeColor="text1"/>
          <w:sz w:val="20"/>
          <w:lang w:val="en-US"/>
        </w:rPr>
        <w:t>Veratrum</w:t>
      </w:r>
      <w:r w:rsidR="00D5231D" w:rsidRPr="00DC22FA">
        <w:rPr>
          <w:rFonts w:ascii="Arial" w:hAnsi="Arial" w:cs="Arial"/>
          <w:color w:val="000000" w:themeColor="text1"/>
          <w:sz w:val="20"/>
          <w:lang w:val="en-US"/>
        </w:rPr>
        <w:t xml:space="preserve"> are also distinguished with their phytochemistry (see Bussmann et al. 2024b for </w:t>
      </w:r>
      <w:r w:rsidR="00D5231D" w:rsidRPr="00DC22FA">
        <w:rPr>
          <w:rFonts w:ascii="Arial" w:hAnsi="Arial" w:cs="Arial"/>
          <w:i/>
          <w:iCs/>
          <w:color w:val="000000" w:themeColor="text1"/>
          <w:sz w:val="20"/>
          <w:lang w:val="en-US"/>
        </w:rPr>
        <w:t>Hypericum</w:t>
      </w:r>
      <w:r w:rsidR="00D5231D" w:rsidRPr="00DC22FA">
        <w:rPr>
          <w:rFonts w:ascii="Arial" w:hAnsi="Arial" w:cs="Arial"/>
          <w:color w:val="000000" w:themeColor="text1"/>
          <w:sz w:val="20"/>
          <w:lang w:val="en-US"/>
        </w:rPr>
        <w:t xml:space="preserve">, Bussmann et al. 2024c, </w:t>
      </w:r>
      <w:proofErr w:type="spellStart"/>
      <w:r w:rsidR="00D5231D" w:rsidRPr="00DC22FA">
        <w:rPr>
          <w:rFonts w:ascii="Arial" w:hAnsi="Arial" w:cs="Arial"/>
          <w:color w:val="000000" w:themeColor="text1"/>
          <w:sz w:val="20"/>
          <w:lang w:val="en-US"/>
        </w:rPr>
        <w:t>Batsatsashvili</w:t>
      </w:r>
      <w:proofErr w:type="spellEnd"/>
      <w:r w:rsidR="00D5231D" w:rsidRPr="00DC22FA">
        <w:rPr>
          <w:rFonts w:ascii="Arial" w:hAnsi="Arial" w:cs="Arial"/>
          <w:color w:val="000000" w:themeColor="text1"/>
          <w:sz w:val="20"/>
          <w:lang w:val="en-US"/>
        </w:rPr>
        <w:t xml:space="preserve"> et al. 2017 for </w:t>
      </w:r>
      <w:r w:rsidR="00D5231D" w:rsidRPr="00DC22FA">
        <w:rPr>
          <w:rFonts w:ascii="Arial" w:hAnsi="Arial" w:cs="Arial"/>
          <w:i/>
          <w:iCs/>
          <w:color w:val="000000" w:themeColor="text1"/>
          <w:sz w:val="20"/>
          <w:lang w:val="en-US"/>
        </w:rPr>
        <w:t>Rumex</w:t>
      </w:r>
      <w:r w:rsidR="00D5231D" w:rsidRPr="00DC22FA">
        <w:rPr>
          <w:rFonts w:ascii="Arial" w:hAnsi="Arial" w:cs="Arial"/>
          <w:color w:val="000000" w:themeColor="text1"/>
          <w:sz w:val="20"/>
          <w:lang w:val="en-US"/>
        </w:rPr>
        <w:t xml:space="preserve">, Nandhini, et al. 2018 for </w:t>
      </w:r>
      <w:proofErr w:type="spellStart"/>
      <w:r w:rsidR="00D5231D" w:rsidRPr="00DC22FA">
        <w:rPr>
          <w:rFonts w:ascii="Arial" w:hAnsi="Arial" w:cs="Arial"/>
          <w:i/>
          <w:iCs/>
          <w:color w:val="000000" w:themeColor="text1"/>
          <w:sz w:val="20"/>
          <w:lang w:val="en-US"/>
        </w:rPr>
        <w:t>Valeriana</w:t>
      </w:r>
      <w:proofErr w:type="spellEnd"/>
      <w:r w:rsidR="00D5231D" w:rsidRPr="00DC22FA">
        <w:rPr>
          <w:rFonts w:ascii="Arial" w:hAnsi="Arial" w:cs="Arial"/>
          <w:color w:val="000000" w:themeColor="text1"/>
          <w:sz w:val="20"/>
          <w:lang w:val="en-US"/>
        </w:rPr>
        <w:t xml:space="preserve">, and </w:t>
      </w:r>
      <w:proofErr w:type="spellStart"/>
      <w:r w:rsidR="00D5231D" w:rsidRPr="00DC22FA">
        <w:rPr>
          <w:rFonts w:ascii="Arial" w:hAnsi="Arial" w:cs="Arial"/>
          <w:color w:val="000000" w:themeColor="text1"/>
          <w:sz w:val="20"/>
          <w:lang w:val="en-US"/>
        </w:rPr>
        <w:t>Taldaev</w:t>
      </w:r>
      <w:proofErr w:type="spellEnd"/>
      <w:r w:rsidR="00D5231D" w:rsidRPr="00DC22FA">
        <w:rPr>
          <w:rFonts w:ascii="Arial" w:hAnsi="Arial" w:cs="Arial"/>
          <w:color w:val="000000" w:themeColor="text1"/>
          <w:sz w:val="20"/>
          <w:lang w:val="en-US"/>
        </w:rPr>
        <w:t xml:space="preserve">, et al. 2022 for </w:t>
      </w:r>
      <w:r w:rsidR="00D5231D" w:rsidRPr="00DC22FA">
        <w:rPr>
          <w:rFonts w:ascii="Arial" w:hAnsi="Arial" w:cs="Arial"/>
          <w:i/>
          <w:iCs/>
          <w:color w:val="000000" w:themeColor="text1"/>
          <w:sz w:val="20"/>
          <w:lang w:val="en-US"/>
        </w:rPr>
        <w:t>Veratrum</w:t>
      </w:r>
      <w:r w:rsidR="00D5231D" w:rsidRPr="00DC22FA">
        <w:rPr>
          <w:rFonts w:ascii="Arial" w:hAnsi="Arial" w:cs="Arial"/>
          <w:color w:val="000000" w:themeColor="text1"/>
          <w:sz w:val="20"/>
          <w:lang w:val="en-US"/>
        </w:rPr>
        <w:t xml:space="preserve">). </w:t>
      </w:r>
    </w:p>
    <w:p w14:paraId="017A1B6B" w14:textId="77777777" w:rsidR="00F757D2" w:rsidRPr="00DC22FA" w:rsidRDefault="00446EAD" w:rsidP="00DC22FA">
      <w:pPr>
        <w:spacing w:line="276" w:lineRule="auto"/>
        <w:jc w:val="both"/>
        <w:rPr>
          <w:rFonts w:ascii="Arial" w:hAnsi="Arial" w:cs="Arial"/>
          <w:color w:val="000000" w:themeColor="text1"/>
          <w:sz w:val="20"/>
          <w:lang w:val="en-US"/>
        </w:rPr>
      </w:pPr>
      <w:r w:rsidRPr="00DC22FA">
        <w:rPr>
          <w:rFonts w:ascii="Arial" w:hAnsi="Arial" w:cs="Arial"/>
          <w:color w:val="000000" w:themeColor="text1"/>
          <w:sz w:val="20"/>
          <w:lang w:val="en-US"/>
        </w:rPr>
        <w:t>Plant community ecology benefited greatly from the introduction of the concept of functional diversity (</w:t>
      </w:r>
      <w:proofErr w:type="spellStart"/>
      <w:r w:rsidRPr="00DC22FA">
        <w:rPr>
          <w:rFonts w:ascii="Arial" w:hAnsi="Arial" w:cs="Arial"/>
          <w:color w:val="000000" w:themeColor="text1"/>
          <w:sz w:val="20"/>
          <w:lang w:val="en-US"/>
        </w:rPr>
        <w:t>Bishaya</w:t>
      </w:r>
      <w:proofErr w:type="spellEnd"/>
      <w:r w:rsidRPr="00DC22FA">
        <w:rPr>
          <w:rFonts w:ascii="Arial" w:hAnsi="Arial" w:cs="Arial"/>
          <w:color w:val="000000" w:themeColor="text1"/>
          <w:sz w:val="20"/>
          <w:lang w:val="en-US"/>
        </w:rPr>
        <w:t>, et al., 2024; Palacio, et al., 2025).</w:t>
      </w:r>
      <w:r w:rsidR="00F27B0D" w:rsidRPr="00DC22FA">
        <w:rPr>
          <w:rFonts w:ascii="Arial" w:hAnsi="Arial" w:cs="Arial"/>
          <w:color w:val="000000" w:themeColor="text1"/>
          <w:sz w:val="20"/>
          <w:lang w:val="en-US"/>
        </w:rPr>
        <w:t xml:space="preserve"> It helps linking ecosystem function</w:t>
      </w:r>
      <w:r w:rsidR="00A25783" w:rsidRPr="00DC22FA">
        <w:rPr>
          <w:rFonts w:ascii="Arial" w:hAnsi="Arial" w:cs="Arial"/>
          <w:color w:val="000000" w:themeColor="text1"/>
          <w:sz w:val="20"/>
          <w:lang w:val="en-US"/>
        </w:rPr>
        <w:t>s</w:t>
      </w:r>
      <w:r w:rsidR="00F27B0D" w:rsidRPr="00DC22FA">
        <w:rPr>
          <w:rFonts w:ascii="Arial" w:hAnsi="Arial" w:cs="Arial"/>
          <w:color w:val="000000" w:themeColor="text1"/>
          <w:sz w:val="20"/>
          <w:lang w:val="en-US"/>
        </w:rPr>
        <w:t xml:space="preserve"> with species diversity </w:t>
      </w:r>
      <w:r w:rsidR="00A25783" w:rsidRPr="00DC22FA">
        <w:rPr>
          <w:rFonts w:ascii="Arial" w:hAnsi="Arial" w:cs="Arial"/>
          <w:color w:val="000000" w:themeColor="text1"/>
          <w:sz w:val="20"/>
          <w:lang w:val="en-US"/>
        </w:rPr>
        <w:t xml:space="preserve">and is </w:t>
      </w:r>
      <w:r w:rsidR="00F27B0D" w:rsidRPr="00DC22FA">
        <w:rPr>
          <w:rFonts w:ascii="Arial" w:hAnsi="Arial" w:cs="Arial"/>
          <w:color w:val="000000" w:themeColor="text1"/>
          <w:sz w:val="20"/>
          <w:lang w:val="en-US"/>
        </w:rPr>
        <w:t xml:space="preserve">based on </w:t>
      </w:r>
      <w:r w:rsidR="00A25783" w:rsidRPr="00DC22FA">
        <w:rPr>
          <w:rFonts w:ascii="Arial" w:hAnsi="Arial" w:cs="Arial"/>
          <w:color w:val="000000" w:themeColor="text1"/>
          <w:sz w:val="20"/>
          <w:lang w:val="en-US"/>
        </w:rPr>
        <w:t xml:space="preserve">the </w:t>
      </w:r>
      <w:r w:rsidR="00F27B0D" w:rsidRPr="00DC22FA">
        <w:rPr>
          <w:rFonts w:ascii="Arial" w:hAnsi="Arial" w:cs="Arial"/>
          <w:color w:val="000000" w:themeColor="text1"/>
          <w:sz w:val="20"/>
          <w:lang w:val="en-US"/>
        </w:rPr>
        <w:t xml:space="preserve">quantifying </w:t>
      </w:r>
      <w:r w:rsidR="00A25783" w:rsidRPr="00DC22FA">
        <w:rPr>
          <w:rFonts w:ascii="Arial" w:hAnsi="Arial" w:cs="Arial"/>
          <w:color w:val="000000" w:themeColor="text1"/>
          <w:sz w:val="20"/>
          <w:lang w:val="en-US"/>
        </w:rPr>
        <w:t xml:space="preserve">and analysis of </w:t>
      </w:r>
      <w:r w:rsidR="00F27B0D" w:rsidRPr="00DC22FA">
        <w:rPr>
          <w:rFonts w:ascii="Arial" w:hAnsi="Arial" w:cs="Arial"/>
          <w:color w:val="000000" w:themeColor="text1"/>
          <w:sz w:val="20"/>
          <w:lang w:val="en-US"/>
        </w:rPr>
        <w:t>plant functional traits such as specific leaf area, plant height, seed size, nitrogen contents, photosynthesis rate and others (Díaz, et al., 2007; Rao, et al., 2024)</w:t>
      </w:r>
      <w:r w:rsidR="00A25783" w:rsidRPr="00DC22FA">
        <w:rPr>
          <w:rFonts w:ascii="Arial" w:hAnsi="Arial" w:cs="Arial"/>
          <w:color w:val="000000" w:themeColor="text1"/>
          <w:sz w:val="20"/>
          <w:lang w:val="en-US"/>
        </w:rPr>
        <w:t>. E</w:t>
      </w:r>
      <w:r w:rsidR="00F27B0D" w:rsidRPr="00DC22FA">
        <w:rPr>
          <w:rFonts w:ascii="Arial" w:hAnsi="Arial" w:cs="Arial"/>
          <w:color w:val="000000" w:themeColor="text1"/>
          <w:sz w:val="20"/>
          <w:lang w:val="en-US"/>
        </w:rPr>
        <w:t xml:space="preserve">ffective analytical tools </w:t>
      </w:r>
      <w:r w:rsidR="00A25783" w:rsidRPr="00DC22FA">
        <w:rPr>
          <w:rFonts w:ascii="Arial" w:hAnsi="Arial" w:cs="Arial"/>
          <w:color w:val="000000" w:themeColor="text1"/>
          <w:sz w:val="20"/>
          <w:lang w:val="en-US"/>
        </w:rPr>
        <w:t>appeared to be indices of</w:t>
      </w:r>
      <w:r w:rsidR="00F27B0D" w:rsidRPr="00DC22FA">
        <w:rPr>
          <w:rFonts w:ascii="Arial" w:hAnsi="Arial" w:cs="Arial"/>
          <w:color w:val="000000" w:themeColor="text1"/>
          <w:sz w:val="20"/>
          <w:lang w:val="en-US"/>
        </w:rPr>
        <w:t xml:space="preserve"> functional diversity</w:t>
      </w:r>
      <w:r w:rsidR="00A25783" w:rsidRPr="00DC22FA">
        <w:rPr>
          <w:rFonts w:ascii="Arial" w:hAnsi="Arial" w:cs="Arial"/>
          <w:color w:val="000000" w:themeColor="text1"/>
          <w:sz w:val="20"/>
          <w:lang w:val="en-US"/>
        </w:rPr>
        <w:t xml:space="preserve"> (</w:t>
      </w:r>
      <w:proofErr w:type="spellStart"/>
      <w:r w:rsidR="00F757D2" w:rsidRPr="00DC22FA">
        <w:rPr>
          <w:rFonts w:ascii="Arial" w:hAnsi="Arial" w:cs="Arial"/>
          <w:color w:val="000000" w:themeColor="text1"/>
          <w:sz w:val="20"/>
          <w:lang w:val="en-US"/>
        </w:rPr>
        <w:t>Casanoves</w:t>
      </w:r>
      <w:proofErr w:type="spellEnd"/>
      <w:r w:rsidR="00F27B0D" w:rsidRPr="00DC22FA">
        <w:rPr>
          <w:rFonts w:ascii="Arial" w:hAnsi="Arial" w:cs="Arial"/>
          <w:color w:val="000000" w:themeColor="text1"/>
          <w:sz w:val="20"/>
          <w:lang w:val="en-US"/>
        </w:rPr>
        <w:t>,</w:t>
      </w:r>
      <w:r w:rsidR="005B6595" w:rsidRPr="00DC22FA">
        <w:rPr>
          <w:rFonts w:ascii="Arial" w:hAnsi="Arial" w:cs="Arial"/>
          <w:color w:val="000000" w:themeColor="text1"/>
          <w:sz w:val="20"/>
          <w:lang w:val="en-US"/>
        </w:rPr>
        <w:t xml:space="preserve"> et al.</w:t>
      </w:r>
      <w:r w:rsidR="00F27B0D" w:rsidRPr="00DC22FA">
        <w:rPr>
          <w:rFonts w:ascii="Arial" w:hAnsi="Arial" w:cs="Arial"/>
          <w:color w:val="000000" w:themeColor="text1"/>
          <w:sz w:val="20"/>
          <w:lang w:val="en-US"/>
        </w:rPr>
        <w:t>,</w:t>
      </w:r>
      <w:r w:rsidR="005B6595" w:rsidRPr="00DC22FA">
        <w:rPr>
          <w:rFonts w:ascii="Arial" w:hAnsi="Arial" w:cs="Arial"/>
          <w:color w:val="000000" w:themeColor="text1"/>
          <w:sz w:val="20"/>
          <w:lang w:val="en-US"/>
        </w:rPr>
        <w:t xml:space="preserve"> </w:t>
      </w:r>
      <w:r w:rsidR="00F757D2" w:rsidRPr="00DC22FA">
        <w:rPr>
          <w:rFonts w:ascii="Arial" w:hAnsi="Arial" w:cs="Arial"/>
          <w:color w:val="000000" w:themeColor="text1"/>
          <w:sz w:val="20"/>
          <w:lang w:val="en-US"/>
        </w:rPr>
        <w:t>2011</w:t>
      </w:r>
      <w:r w:rsidR="00F27B0D" w:rsidRPr="00DC22FA">
        <w:rPr>
          <w:rFonts w:ascii="Arial" w:hAnsi="Arial" w:cs="Arial"/>
          <w:color w:val="000000" w:themeColor="text1"/>
          <w:sz w:val="20"/>
          <w:lang w:val="en-US"/>
        </w:rPr>
        <w:t xml:space="preserve">). </w:t>
      </w:r>
      <w:r w:rsidR="00A25783" w:rsidRPr="00DC22FA">
        <w:rPr>
          <w:rFonts w:ascii="Arial" w:hAnsi="Arial" w:cs="Arial"/>
          <w:color w:val="000000" w:themeColor="text1"/>
          <w:sz w:val="20"/>
          <w:lang w:val="en-US"/>
        </w:rPr>
        <w:t>Since</w:t>
      </w:r>
      <w:r w:rsidR="00F27B0D" w:rsidRPr="00DC22FA">
        <w:rPr>
          <w:rFonts w:ascii="Arial" w:hAnsi="Arial" w:cs="Arial"/>
          <w:color w:val="000000" w:themeColor="text1"/>
          <w:sz w:val="20"/>
          <w:lang w:val="en-US"/>
        </w:rPr>
        <w:t xml:space="preserve"> plant </w:t>
      </w:r>
      <w:r w:rsidR="0019458F" w:rsidRPr="00DC22FA">
        <w:rPr>
          <w:rFonts w:ascii="Arial" w:hAnsi="Arial" w:cs="Arial"/>
          <w:color w:val="000000" w:themeColor="text1"/>
          <w:sz w:val="20"/>
          <w:lang w:val="en-US"/>
        </w:rPr>
        <w:t>survival, growth and reproduction</w:t>
      </w:r>
      <w:r w:rsidR="00F27B0D" w:rsidRPr="00DC22FA">
        <w:rPr>
          <w:rFonts w:ascii="Arial" w:hAnsi="Arial" w:cs="Arial"/>
          <w:color w:val="000000" w:themeColor="text1"/>
          <w:sz w:val="20"/>
          <w:lang w:val="en-US"/>
        </w:rPr>
        <w:t xml:space="preserve"> also depend</w:t>
      </w:r>
      <w:r w:rsidR="009401B4" w:rsidRPr="00DC22FA">
        <w:rPr>
          <w:rFonts w:ascii="Arial" w:hAnsi="Arial" w:cs="Arial"/>
          <w:color w:val="000000" w:themeColor="text1"/>
          <w:sz w:val="20"/>
          <w:lang w:val="en-US"/>
        </w:rPr>
        <w:t xml:space="preserve"> </w:t>
      </w:r>
      <w:r w:rsidR="00F27B0D" w:rsidRPr="00DC22FA">
        <w:rPr>
          <w:rFonts w:ascii="Arial" w:hAnsi="Arial" w:cs="Arial"/>
          <w:color w:val="000000" w:themeColor="text1"/>
          <w:sz w:val="20"/>
          <w:lang w:val="en-US"/>
        </w:rPr>
        <w:t>on the defensive compounds such as antioxidants</w:t>
      </w:r>
      <w:r w:rsidR="00A25783" w:rsidRPr="00DC22FA">
        <w:rPr>
          <w:rFonts w:ascii="Arial" w:hAnsi="Arial" w:cs="Arial"/>
          <w:color w:val="000000" w:themeColor="text1"/>
          <w:sz w:val="20"/>
          <w:lang w:val="en-US"/>
        </w:rPr>
        <w:t>,</w:t>
      </w:r>
      <w:r w:rsidR="00F27B0D" w:rsidRPr="00DC22FA">
        <w:rPr>
          <w:rFonts w:ascii="Arial" w:hAnsi="Arial" w:cs="Arial"/>
          <w:color w:val="000000" w:themeColor="text1"/>
          <w:sz w:val="20"/>
          <w:lang w:val="en-US"/>
        </w:rPr>
        <w:t xml:space="preserve"> </w:t>
      </w:r>
      <w:r w:rsidR="00A25783" w:rsidRPr="00DC22FA">
        <w:rPr>
          <w:rFonts w:ascii="Arial" w:hAnsi="Arial" w:cs="Arial"/>
          <w:color w:val="000000" w:themeColor="text1"/>
          <w:sz w:val="20"/>
          <w:lang w:val="en-US"/>
        </w:rPr>
        <w:t xml:space="preserve">the </w:t>
      </w:r>
      <w:r w:rsidR="00F27B0D" w:rsidRPr="00DC22FA">
        <w:rPr>
          <w:rFonts w:ascii="Arial" w:hAnsi="Arial" w:cs="Arial"/>
          <w:color w:val="000000" w:themeColor="text1"/>
          <w:sz w:val="20"/>
          <w:lang w:val="en-US"/>
        </w:rPr>
        <w:t xml:space="preserve">contents </w:t>
      </w:r>
      <w:r w:rsidR="0019458F" w:rsidRPr="00DC22FA">
        <w:rPr>
          <w:rFonts w:ascii="Arial" w:hAnsi="Arial" w:cs="Arial"/>
          <w:color w:val="000000" w:themeColor="text1"/>
          <w:sz w:val="20"/>
          <w:lang w:val="en-US"/>
        </w:rPr>
        <w:t>of such key metabolites</w:t>
      </w:r>
      <w:r w:rsidR="00A25783" w:rsidRPr="00DC22FA">
        <w:rPr>
          <w:rFonts w:ascii="Arial" w:hAnsi="Arial" w:cs="Arial"/>
          <w:color w:val="000000" w:themeColor="text1"/>
          <w:sz w:val="20"/>
          <w:lang w:val="en-US"/>
        </w:rPr>
        <w:t xml:space="preserve"> that</w:t>
      </w:r>
      <w:r w:rsidR="0019458F" w:rsidRPr="00DC22FA">
        <w:rPr>
          <w:rFonts w:ascii="Arial" w:hAnsi="Arial" w:cs="Arial"/>
          <w:color w:val="000000" w:themeColor="text1"/>
          <w:sz w:val="20"/>
          <w:lang w:val="en-US"/>
        </w:rPr>
        <w:t xml:space="preserve"> vary across species </w:t>
      </w:r>
      <w:r w:rsidR="00F27B0D" w:rsidRPr="00DC22FA">
        <w:rPr>
          <w:rFonts w:ascii="Arial" w:hAnsi="Arial" w:cs="Arial"/>
          <w:color w:val="000000" w:themeColor="text1"/>
          <w:sz w:val="20"/>
          <w:lang w:val="en-US"/>
        </w:rPr>
        <w:t xml:space="preserve">can be </w:t>
      </w:r>
      <w:r w:rsidR="0019458F" w:rsidRPr="00DC22FA">
        <w:rPr>
          <w:rFonts w:ascii="Arial" w:hAnsi="Arial" w:cs="Arial"/>
          <w:color w:val="000000" w:themeColor="text1"/>
          <w:sz w:val="20"/>
          <w:lang w:val="en-US"/>
        </w:rPr>
        <w:t xml:space="preserve">understood as important as </w:t>
      </w:r>
      <w:r w:rsidR="00A25783" w:rsidRPr="00DC22FA">
        <w:rPr>
          <w:rFonts w:ascii="Arial" w:hAnsi="Arial" w:cs="Arial"/>
          <w:color w:val="000000" w:themeColor="text1"/>
          <w:sz w:val="20"/>
          <w:lang w:val="en-US"/>
        </w:rPr>
        <w:t xml:space="preserve">the </w:t>
      </w:r>
      <w:r w:rsidR="0019458F" w:rsidRPr="00DC22FA">
        <w:rPr>
          <w:rFonts w:ascii="Arial" w:hAnsi="Arial" w:cs="Arial"/>
          <w:color w:val="000000" w:themeColor="text1"/>
          <w:sz w:val="20"/>
          <w:lang w:val="en-US"/>
        </w:rPr>
        <w:t xml:space="preserve">other functional traits. If we admit this, </w:t>
      </w:r>
      <w:r w:rsidR="004B18A4" w:rsidRPr="00DC22FA">
        <w:rPr>
          <w:rFonts w:ascii="Arial" w:hAnsi="Arial" w:cs="Arial"/>
          <w:color w:val="000000" w:themeColor="text1"/>
          <w:sz w:val="20"/>
          <w:lang w:val="en-US"/>
        </w:rPr>
        <w:t>then</w:t>
      </w:r>
      <w:r w:rsidR="0019458F" w:rsidRPr="00DC22FA">
        <w:rPr>
          <w:rFonts w:ascii="Arial" w:hAnsi="Arial" w:cs="Arial"/>
          <w:color w:val="000000" w:themeColor="text1"/>
          <w:sz w:val="20"/>
          <w:lang w:val="en-US"/>
        </w:rPr>
        <w:t xml:space="preserve"> we shall also admit that we are facing a large gap in our knowledge: we do not know how antioxidant and other defensive metabolic mechanisms operate at community scale and contribute to ecosystem functions. Compared to usual vegetation sampling (e.g., recording species inside sampling plots), sampling for functional traits requires measurements of these traits in field and thus is more complicated and effort-intensive. As we already discussed </w:t>
      </w:r>
      <w:r w:rsidR="00A25783" w:rsidRPr="00DC22FA">
        <w:rPr>
          <w:rFonts w:ascii="Arial" w:hAnsi="Arial" w:cs="Arial"/>
          <w:color w:val="000000" w:themeColor="text1"/>
          <w:sz w:val="20"/>
          <w:lang w:val="en-US"/>
        </w:rPr>
        <w:t xml:space="preserve">it </w:t>
      </w:r>
      <w:r w:rsidR="0019458F" w:rsidRPr="00DC22FA">
        <w:rPr>
          <w:rFonts w:ascii="Arial" w:hAnsi="Arial" w:cs="Arial"/>
          <w:color w:val="000000" w:themeColor="text1"/>
          <w:sz w:val="20"/>
          <w:lang w:val="en-US"/>
        </w:rPr>
        <w:t xml:space="preserve">in the Introduction, sampling for antioxidants </w:t>
      </w:r>
      <w:r w:rsidR="00A25783" w:rsidRPr="00DC22FA">
        <w:rPr>
          <w:rFonts w:ascii="Arial" w:hAnsi="Arial" w:cs="Arial"/>
          <w:color w:val="000000" w:themeColor="text1"/>
          <w:sz w:val="20"/>
          <w:lang w:val="en-US"/>
        </w:rPr>
        <w:t>i</w:t>
      </w:r>
      <w:r w:rsidR="0019458F" w:rsidRPr="00DC22FA">
        <w:rPr>
          <w:rFonts w:ascii="Arial" w:hAnsi="Arial" w:cs="Arial"/>
          <w:color w:val="000000" w:themeColor="text1"/>
          <w:sz w:val="20"/>
          <w:lang w:val="en-US"/>
        </w:rPr>
        <w:t xml:space="preserve">s far more challenging. It becomes particularly challenging in species-rich communities such as secondary meadows, although in our study we </w:t>
      </w:r>
      <w:r w:rsidR="00A25783" w:rsidRPr="00DC22FA">
        <w:rPr>
          <w:rFonts w:ascii="Arial" w:hAnsi="Arial" w:cs="Arial"/>
          <w:color w:val="000000" w:themeColor="text1"/>
          <w:sz w:val="20"/>
          <w:lang w:val="en-US"/>
        </w:rPr>
        <w:t>were able</w:t>
      </w:r>
      <w:r w:rsidR="0019458F" w:rsidRPr="00DC22FA">
        <w:rPr>
          <w:rFonts w:ascii="Arial" w:hAnsi="Arial" w:cs="Arial"/>
          <w:color w:val="000000" w:themeColor="text1"/>
          <w:sz w:val="20"/>
          <w:lang w:val="en-US"/>
        </w:rPr>
        <w:t xml:space="preserve"> to represent an important group of plants such </w:t>
      </w:r>
      <w:r w:rsidR="004B18A4" w:rsidRPr="00DC22FA">
        <w:rPr>
          <w:rFonts w:ascii="Arial" w:hAnsi="Arial" w:cs="Arial"/>
          <w:color w:val="000000" w:themeColor="text1"/>
          <w:sz w:val="20"/>
          <w:lang w:val="en-US"/>
        </w:rPr>
        <w:t>as</w:t>
      </w:r>
      <w:r w:rsidR="0019458F" w:rsidRPr="00DC22FA">
        <w:rPr>
          <w:rFonts w:ascii="Arial" w:hAnsi="Arial" w:cs="Arial"/>
          <w:color w:val="000000" w:themeColor="text1"/>
          <w:sz w:val="20"/>
          <w:lang w:val="en-US"/>
        </w:rPr>
        <w:t xml:space="preserve"> forbs.</w:t>
      </w:r>
      <w:r w:rsidR="004B18A4" w:rsidRPr="00DC22FA">
        <w:rPr>
          <w:rFonts w:ascii="Arial" w:hAnsi="Arial" w:cs="Arial"/>
          <w:color w:val="000000" w:themeColor="text1"/>
          <w:sz w:val="20"/>
          <w:lang w:val="en-US"/>
        </w:rPr>
        <w:t xml:space="preserve"> Apparently, the progress in this </w:t>
      </w:r>
      <w:r w:rsidR="00A25783" w:rsidRPr="00DC22FA">
        <w:rPr>
          <w:rFonts w:ascii="Arial" w:hAnsi="Arial" w:cs="Arial"/>
          <w:color w:val="000000" w:themeColor="text1"/>
          <w:sz w:val="20"/>
          <w:lang w:val="en-US"/>
        </w:rPr>
        <w:t>field</w:t>
      </w:r>
      <w:r w:rsidR="004B18A4" w:rsidRPr="00DC22FA">
        <w:rPr>
          <w:rFonts w:ascii="Arial" w:hAnsi="Arial" w:cs="Arial"/>
          <w:color w:val="000000" w:themeColor="text1"/>
          <w:sz w:val="20"/>
          <w:lang w:val="en-US"/>
        </w:rPr>
        <w:t xml:space="preserve"> will depend on the development novel </w:t>
      </w:r>
      <w:r w:rsidR="00A25783" w:rsidRPr="00DC22FA">
        <w:rPr>
          <w:rFonts w:ascii="Arial" w:hAnsi="Arial" w:cs="Arial"/>
          <w:color w:val="000000" w:themeColor="text1"/>
          <w:sz w:val="20"/>
          <w:lang w:val="en-US"/>
        </w:rPr>
        <w:t>sampling techniques</w:t>
      </w:r>
      <w:r w:rsidR="004B18A4" w:rsidRPr="00DC22FA">
        <w:rPr>
          <w:rFonts w:ascii="Arial" w:hAnsi="Arial" w:cs="Arial"/>
          <w:color w:val="000000" w:themeColor="text1"/>
          <w:sz w:val="20"/>
          <w:lang w:val="en-US"/>
        </w:rPr>
        <w:t xml:space="preserve"> that allow </w:t>
      </w:r>
      <w:r w:rsidR="00A25783" w:rsidRPr="00DC22FA">
        <w:rPr>
          <w:rFonts w:ascii="Arial" w:hAnsi="Arial" w:cs="Arial"/>
          <w:color w:val="000000" w:themeColor="text1"/>
          <w:sz w:val="20"/>
          <w:lang w:val="en-US"/>
        </w:rPr>
        <w:t xml:space="preserve">for </w:t>
      </w:r>
      <w:r w:rsidR="004B18A4" w:rsidRPr="00DC22FA">
        <w:rPr>
          <w:rFonts w:ascii="Arial" w:hAnsi="Arial" w:cs="Arial"/>
          <w:color w:val="000000" w:themeColor="text1"/>
          <w:sz w:val="20"/>
          <w:lang w:val="en-US"/>
        </w:rPr>
        <w:t xml:space="preserve">measuring many metabolites in </w:t>
      </w:r>
      <w:r w:rsidR="00A25783" w:rsidRPr="00DC22FA">
        <w:rPr>
          <w:rFonts w:ascii="Arial" w:hAnsi="Arial" w:cs="Arial"/>
          <w:color w:val="000000" w:themeColor="text1"/>
          <w:sz w:val="20"/>
          <w:lang w:val="en-US"/>
        </w:rPr>
        <w:t xml:space="preserve">many </w:t>
      </w:r>
      <w:r w:rsidR="004B18A4" w:rsidRPr="00DC22FA">
        <w:rPr>
          <w:rFonts w:ascii="Arial" w:hAnsi="Arial" w:cs="Arial"/>
          <w:color w:val="000000" w:themeColor="text1"/>
          <w:sz w:val="20"/>
          <w:lang w:val="en-US"/>
        </w:rPr>
        <w:t>plants in the field. Such development seem</w:t>
      </w:r>
      <w:r w:rsidR="00A25783" w:rsidRPr="00DC22FA">
        <w:rPr>
          <w:rFonts w:ascii="Arial" w:hAnsi="Arial" w:cs="Arial"/>
          <w:color w:val="000000" w:themeColor="text1"/>
          <w:sz w:val="20"/>
          <w:lang w:val="en-US"/>
        </w:rPr>
        <w:t>s</w:t>
      </w:r>
      <w:r w:rsidR="004B18A4" w:rsidRPr="00DC22FA">
        <w:rPr>
          <w:rFonts w:ascii="Arial" w:hAnsi="Arial" w:cs="Arial"/>
          <w:color w:val="000000" w:themeColor="text1"/>
          <w:sz w:val="20"/>
          <w:lang w:val="en-US"/>
        </w:rPr>
        <w:t xml:space="preserve"> to as cr</w:t>
      </w:r>
      <w:r w:rsidR="00A25783" w:rsidRPr="00DC22FA">
        <w:rPr>
          <w:rFonts w:ascii="Arial" w:hAnsi="Arial" w:cs="Arial"/>
          <w:color w:val="000000" w:themeColor="text1"/>
          <w:sz w:val="20"/>
          <w:lang w:val="en-US"/>
        </w:rPr>
        <w:t>u</w:t>
      </w:r>
      <w:r w:rsidR="004B18A4" w:rsidRPr="00DC22FA">
        <w:rPr>
          <w:rFonts w:ascii="Arial" w:hAnsi="Arial" w:cs="Arial"/>
          <w:color w:val="000000" w:themeColor="text1"/>
          <w:sz w:val="20"/>
          <w:lang w:val="en-US"/>
        </w:rPr>
        <w:t>c</w:t>
      </w:r>
      <w:r w:rsidR="00A25783" w:rsidRPr="00DC22FA">
        <w:rPr>
          <w:rFonts w:ascii="Arial" w:hAnsi="Arial" w:cs="Arial"/>
          <w:color w:val="000000" w:themeColor="text1"/>
          <w:sz w:val="20"/>
          <w:lang w:val="en-US"/>
        </w:rPr>
        <w:t>i</w:t>
      </w:r>
      <w:r w:rsidR="004B18A4" w:rsidRPr="00DC22FA">
        <w:rPr>
          <w:rFonts w:ascii="Arial" w:hAnsi="Arial" w:cs="Arial"/>
          <w:color w:val="000000" w:themeColor="text1"/>
          <w:sz w:val="20"/>
          <w:lang w:val="en-US"/>
        </w:rPr>
        <w:t xml:space="preserve">al for better understanding of plant community </w:t>
      </w:r>
      <w:r w:rsidR="00A25783" w:rsidRPr="00DC22FA">
        <w:rPr>
          <w:rFonts w:ascii="Arial" w:hAnsi="Arial" w:cs="Arial"/>
          <w:color w:val="000000" w:themeColor="text1"/>
          <w:sz w:val="20"/>
          <w:lang w:val="en-US"/>
        </w:rPr>
        <w:t>functions</w:t>
      </w:r>
      <w:r w:rsidR="004B18A4" w:rsidRPr="00DC22FA">
        <w:rPr>
          <w:rFonts w:ascii="Arial" w:hAnsi="Arial" w:cs="Arial"/>
          <w:color w:val="000000" w:themeColor="text1"/>
          <w:sz w:val="20"/>
          <w:lang w:val="en-US"/>
        </w:rPr>
        <w:t xml:space="preserve">. </w:t>
      </w:r>
    </w:p>
    <w:p w14:paraId="447A86B4" w14:textId="77777777" w:rsidR="000832EB" w:rsidRPr="00DC22FA" w:rsidRDefault="000832EB" w:rsidP="00DC22FA">
      <w:pPr>
        <w:spacing w:line="276" w:lineRule="auto"/>
        <w:jc w:val="both"/>
        <w:rPr>
          <w:rFonts w:ascii="Arial" w:hAnsi="Arial" w:cs="Arial"/>
          <w:sz w:val="20"/>
          <w:lang w:val="en-US"/>
        </w:rPr>
      </w:pPr>
    </w:p>
    <w:p w14:paraId="2B8E6F06" w14:textId="77777777" w:rsidR="000832EB" w:rsidRDefault="00DC22FA" w:rsidP="00E830A3">
      <w:pPr>
        <w:spacing w:line="276" w:lineRule="auto"/>
        <w:rPr>
          <w:rFonts w:ascii="Arial" w:hAnsi="Arial" w:cs="Arial"/>
          <w:b/>
          <w:bCs/>
          <w:lang w:val="en-US"/>
        </w:rPr>
      </w:pPr>
      <w:r w:rsidRPr="00DC22FA">
        <w:rPr>
          <w:rFonts w:ascii="Arial" w:hAnsi="Arial" w:cs="Arial"/>
          <w:b/>
          <w:bCs/>
          <w:lang w:val="en-US"/>
        </w:rPr>
        <w:t xml:space="preserve">5. </w:t>
      </w:r>
      <w:r w:rsidR="000832EB" w:rsidRPr="00DC22FA">
        <w:rPr>
          <w:rFonts w:ascii="Arial" w:hAnsi="Arial" w:cs="Arial"/>
          <w:b/>
          <w:bCs/>
          <w:lang w:val="en-US"/>
        </w:rPr>
        <w:t>C</w:t>
      </w:r>
      <w:r w:rsidRPr="00DC22FA">
        <w:rPr>
          <w:rFonts w:ascii="Arial" w:hAnsi="Arial" w:cs="Arial"/>
          <w:b/>
          <w:bCs/>
          <w:lang w:val="en-US"/>
        </w:rPr>
        <w:t>ONCLUSIONS</w:t>
      </w:r>
    </w:p>
    <w:p w14:paraId="12461100" w14:textId="77777777" w:rsidR="00DC22FA" w:rsidRPr="00DC22FA" w:rsidRDefault="00DC22FA" w:rsidP="00E830A3">
      <w:pPr>
        <w:spacing w:line="276" w:lineRule="auto"/>
        <w:rPr>
          <w:rFonts w:ascii="Arial" w:hAnsi="Arial" w:cs="Arial"/>
          <w:b/>
          <w:bCs/>
          <w:lang w:val="en-US"/>
        </w:rPr>
      </w:pPr>
    </w:p>
    <w:p w14:paraId="2506DBFB" w14:textId="77777777" w:rsidR="000832EB" w:rsidRDefault="000832EB" w:rsidP="00DC22FA">
      <w:pPr>
        <w:spacing w:line="276" w:lineRule="auto"/>
        <w:jc w:val="both"/>
        <w:rPr>
          <w:rFonts w:ascii="Arial" w:hAnsi="Arial" w:cs="Arial"/>
          <w:color w:val="000000" w:themeColor="text1"/>
          <w:sz w:val="20"/>
          <w:lang w:val="en-US"/>
        </w:rPr>
      </w:pPr>
      <w:r w:rsidRPr="00DC22FA">
        <w:rPr>
          <w:rFonts w:ascii="Arial" w:hAnsi="Arial" w:cs="Arial"/>
          <w:color w:val="000000" w:themeColor="text1"/>
          <w:sz w:val="20"/>
          <w:lang w:val="en-US"/>
        </w:rPr>
        <w:t>By combining a core set of common herbaceous species with a suite of metabolites across three climatically distinct locations, this study enabled a nuanced assessment of the stress- and species-specificity of metabolic responses in secondary grassland communities of the Greater and Lesser Caucasus.</w:t>
      </w:r>
      <w:r w:rsidR="006104F3" w:rsidRPr="00DC22FA">
        <w:rPr>
          <w:rFonts w:ascii="Arial" w:hAnsi="Arial" w:cs="Arial"/>
          <w:color w:val="000000" w:themeColor="text1"/>
          <w:sz w:val="20"/>
          <w:lang w:val="en-US"/>
        </w:rPr>
        <w:t xml:space="preserve"> </w:t>
      </w:r>
      <w:r w:rsidR="003C10B5" w:rsidRPr="00DC22FA">
        <w:rPr>
          <w:rFonts w:ascii="Arial" w:hAnsi="Arial" w:cs="Arial"/>
          <w:color w:val="000000" w:themeColor="text1"/>
          <w:sz w:val="20"/>
          <w:lang w:val="en-US"/>
        </w:rPr>
        <w:t xml:space="preserve">The majority of the forb species in a hay meadow assemblage produced similar antioxidant responses specific to a given abiotic stress overriding the species-specific differences. </w:t>
      </w:r>
      <w:r w:rsidR="003C10B5" w:rsidRPr="00DC22FA">
        <w:rPr>
          <w:rFonts w:ascii="Arial" w:hAnsi="Arial" w:cs="Arial"/>
          <w:color w:val="000000" w:themeColor="text1"/>
          <w:sz w:val="20"/>
          <w:lang w:val="en-US"/>
        </w:rPr>
        <w:lastRenderedPageBreak/>
        <w:t xml:space="preserve">The </w:t>
      </w:r>
      <w:r w:rsidR="008B130A" w:rsidRPr="00DC22FA">
        <w:rPr>
          <w:rFonts w:ascii="Arial" w:hAnsi="Arial" w:cs="Arial"/>
          <w:color w:val="000000" w:themeColor="text1"/>
          <w:sz w:val="20"/>
          <w:lang w:val="en-US"/>
        </w:rPr>
        <w:t xml:space="preserve">previous </w:t>
      </w:r>
      <w:r w:rsidR="003C10B5" w:rsidRPr="00DC22FA">
        <w:rPr>
          <w:rFonts w:ascii="Arial" w:hAnsi="Arial" w:cs="Arial"/>
          <w:color w:val="000000" w:themeColor="text1"/>
          <w:sz w:val="20"/>
          <w:lang w:val="en-US"/>
        </w:rPr>
        <w:t>knowledge gained from the experiments at molecular and species levels matches well with these findings.</w:t>
      </w:r>
    </w:p>
    <w:p w14:paraId="1804F44F" w14:textId="77777777" w:rsidR="000832EB" w:rsidRPr="00296B75" w:rsidRDefault="000832EB" w:rsidP="00E830A3">
      <w:pPr>
        <w:spacing w:line="276" w:lineRule="auto"/>
        <w:rPr>
          <w:rFonts w:ascii="Times New Roman" w:hAnsi="Times New Roman" w:cs="Times New Roman"/>
          <w:lang w:val="en-US"/>
        </w:rPr>
      </w:pPr>
    </w:p>
    <w:p w14:paraId="111D2B2E" w14:textId="77777777" w:rsidR="006A1599" w:rsidRPr="007C27C0" w:rsidRDefault="006A1599" w:rsidP="00296B75">
      <w:pPr>
        <w:spacing w:line="276" w:lineRule="auto"/>
        <w:ind w:left="540" w:hanging="540"/>
        <w:rPr>
          <w:rFonts w:ascii="Arial" w:hAnsi="Arial" w:cs="Arial"/>
          <w:b/>
          <w:bCs/>
          <w:lang w:val="en-US"/>
        </w:rPr>
      </w:pPr>
      <w:r w:rsidRPr="007C27C0">
        <w:rPr>
          <w:rFonts w:ascii="Arial" w:hAnsi="Arial" w:cs="Arial"/>
          <w:b/>
          <w:bCs/>
          <w:lang w:val="en-US"/>
        </w:rPr>
        <w:t>R</w:t>
      </w:r>
      <w:r w:rsidR="007C27C0" w:rsidRPr="007C27C0">
        <w:rPr>
          <w:rFonts w:ascii="Arial" w:hAnsi="Arial" w:cs="Arial"/>
          <w:b/>
          <w:bCs/>
          <w:lang w:val="en-US"/>
        </w:rPr>
        <w:t>EFERENCES</w:t>
      </w:r>
    </w:p>
    <w:p w14:paraId="270E4B32"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Arora, A., Sairam, R.K. and Srivastava, G.C., 2002. Oxidative stress and antioxidative system in plants. </w:t>
      </w:r>
      <w:r w:rsidRPr="007C27C0">
        <w:rPr>
          <w:rFonts w:ascii="Arial" w:hAnsi="Arial" w:cs="Arial"/>
          <w:i/>
          <w:iCs/>
          <w:sz w:val="20"/>
          <w:lang w:val="en-US"/>
        </w:rPr>
        <w:t>Current science</w:t>
      </w:r>
      <w:r w:rsidRPr="007C27C0">
        <w:rPr>
          <w:rFonts w:ascii="Arial" w:hAnsi="Arial" w:cs="Arial"/>
          <w:sz w:val="20"/>
          <w:lang w:val="en-US"/>
        </w:rPr>
        <w:t>, pp.1227-1238.</w:t>
      </w:r>
      <w:r w:rsidR="00562FAB" w:rsidRPr="007C27C0">
        <w:rPr>
          <w:rFonts w:ascii="Arial" w:hAnsi="Arial" w:cs="Arial"/>
          <w:sz w:val="20"/>
          <w:lang w:val="en-US"/>
        </w:rPr>
        <w:t xml:space="preserve"> </w:t>
      </w:r>
      <w:hyperlink r:id="rId9" w:history="1">
        <w:r w:rsidR="00562FAB" w:rsidRPr="007C27C0">
          <w:rPr>
            <w:rStyle w:val="Hyperlink"/>
            <w:rFonts w:ascii="Arial" w:hAnsi="Arial" w:cs="Arial"/>
            <w:sz w:val="20"/>
          </w:rPr>
          <w:t>http://www.jstor.org/stable/24107045</w:t>
        </w:r>
      </w:hyperlink>
      <w:r w:rsidR="00562FAB" w:rsidRPr="007C27C0">
        <w:rPr>
          <w:rFonts w:ascii="Arial" w:hAnsi="Arial" w:cs="Arial"/>
          <w:sz w:val="20"/>
        </w:rPr>
        <w:t xml:space="preserve"> </w:t>
      </w:r>
    </w:p>
    <w:p w14:paraId="6A677B94"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Badridze, G., </w:t>
      </w:r>
      <w:proofErr w:type="spellStart"/>
      <w:r w:rsidRPr="007C27C0">
        <w:rPr>
          <w:rFonts w:ascii="Arial" w:hAnsi="Arial" w:cs="Arial"/>
          <w:sz w:val="20"/>
          <w:lang w:val="en-US"/>
        </w:rPr>
        <w:t>Chkhubianishvili</w:t>
      </w:r>
      <w:proofErr w:type="spellEnd"/>
      <w:r w:rsidRPr="007C27C0">
        <w:rPr>
          <w:rFonts w:ascii="Arial" w:hAnsi="Arial" w:cs="Arial"/>
          <w:sz w:val="20"/>
          <w:lang w:val="en-US"/>
        </w:rPr>
        <w:t xml:space="preserve">, E., Rapava, L., Kikvidze, M., Chigladze, L. and Tsilosani, K., 2023. </w:t>
      </w:r>
      <w:r w:rsidR="00562FAB" w:rsidRPr="007C27C0">
        <w:rPr>
          <w:rFonts w:ascii="Arial" w:hAnsi="Arial" w:cs="Arial"/>
          <w:sz w:val="20"/>
          <w:lang w:val="en-US"/>
        </w:rPr>
        <w:t>Study of antioxidants in leaves of xerophytes of Georgia</w:t>
      </w:r>
      <w:r w:rsidRPr="007C27C0">
        <w:rPr>
          <w:rFonts w:ascii="Arial" w:hAnsi="Arial" w:cs="Arial"/>
          <w:sz w:val="20"/>
          <w:lang w:val="en-US"/>
        </w:rPr>
        <w:t xml:space="preserve">. </w:t>
      </w:r>
      <w:r w:rsidRPr="007C27C0">
        <w:rPr>
          <w:rFonts w:ascii="Arial" w:hAnsi="Arial" w:cs="Arial"/>
          <w:i/>
          <w:iCs/>
          <w:sz w:val="20"/>
          <w:lang w:val="en-US"/>
        </w:rPr>
        <w:t>International Journal of Environmental &amp; Agriculture Research (IJOEAR) 9</w:t>
      </w:r>
      <w:r w:rsidRPr="007C27C0">
        <w:rPr>
          <w:rFonts w:ascii="Arial" w:hAnsi="Arial" w:cs="Arial"/>
          <w:sz w:val="20"/>
          <w:lang w:val="en-US"/>
        </w:rPr>
        <w:t>(2), pp.17-23</w:t>
      </w:r>
      <w:r w:rsidR="00562FAB" w:rsidRPr="007C27C0">
        <w:rPr>
          <w:rFonts w:ascii="Arial" w:hAnsi="Arial" w:cs="Arial"/>
          <w:sz w:val="20"/>
          <w:lang w:val="en-US"/>
        </w:rPr>
        <w:t xml:space="preserve">. </w:t>
      </w:r>
      <w:hyperlink r:id="rId10" w:history="1">
        <w:r w:rsidR="00562FAB" w:rsidRPr="007C27C0">
          <w:rPr>
            <w:rStyle w:val="Hyperlink"/>
            <w:rFonts w:ascii="Arial" w:hAnsi="Arial" w:cs="Arial"/>
            <w:sz w:val="20"/>
            <w:lang w:val="en-US"/>
          </w:rPr>
          <w:t>https://ijoear.com/assets/articles_menuscripts/file/IJOEAR-FEB-2023-18.pdf</w:t>
        </w:r>
      </w:hyperlink>
      <w:r w:rsidR="00562FAB" w:rsidRPr="007C27C0">
        <w:rPr>
          <w:rFonts w:ascii="Arial" w:hAnsi="Arial" w:cs="Arial"/>
          <w:sz w:val="20"/>
          <w:lang w:val="en-US"/>
        </w:rPr>
        <w:t xml:space="preserve"> </w:t>
      </w:r>
    </w:p>
    <w:p w14:paraId="1EFCC25F"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Badridze, G., </w:t>
      </w:r>
      <w:proofErr w:type="spellStart"/>
      <w:r w:rsidRPr="007C27C0">
        <w:rPr>
          <w:rFonts w:ascii="Arial" w:hAnsi="Arial" w:cs="Arial"/>
          <w:sz w:val="20"/>
          <w:lang w:val="en-US"/>
        </w:rPr>
        <w:t>Chkhubianishvili</w:t>
      </w:r>
      <w:proofErr w:type="spellEnd"/>
      <w:r w:rsidRPr="007C27C0">
        <w:rPr>
          <w:rFonts w:ascii="Arial" w:hAnsi="Arial" w:cs="Arial"/>
          <w:sz w:val="20"/>
          <w:lang w:val="en-US"/>
        </w:rPr>
        <w:t xml:space="preserve">, E., Rapava, L., Kikvidze, M., Chigladze, L., Tsiklauri, N. and Tsartsidze, N., 2024. Peculiarities of xerophytes adaptation to drought in </w:t>
      </w:r>
      <w:proofErr w:type="spellStart"/>
      <w:r w:rsidRPr="007C27C0">
        <w:rPr>
          <w:rFonts w:ascii="Arial" w:hAnsi="Arial" w:cs="Arial"/>
          <w:sz w:val="20"/>
          <w:lang w:val="en-US"/>
        </w:rPr>
        <w:t>Chachuna</w:t>
      </w:r>
      <w:proofErr w:type="spellEnd"/>
      <w:r w:rsidRPr="007C27C0">
        <w:rPr>
          <w:rFonts w:ascii="Arial" w:hAnsi="Arial" w:cs="Arial"/>
          <w:sz w:val="20"/>
          <w:lang w:val="en-US"/>
        </w:rPr>
        <w:t xml:space="preserve"> managed territory and </w:t>
      </w:r>
      <w:proofErr w:type="spellStart"/>
      <w:r w:rsidRPr="007C27C0">
        <w:rPr>
          <w:rFonts w:ascii="Arial" w:hAnsi="Arial" w:cs="Arial"/>
          <w:sz w:val="20"/>
          <w:lang w:val="en-US"/>
        </w:rPr>
        <w:t>Vashlovani</w:t>
      </w:r>
      <w:proofErr w:type="spellEnd"/>
      <w:r w:rsidRPr="007C27C0">
        <w:rPr>
          <w:rFonts w:ascii="Arial" w:hAnsi="Arial" w:cs="Arial"/>
          <w:sz w:val="20"/>
          <w:lang w:val="en-US"/>
        </w:rPr>
        <w:t xml:space="preserve"> protected area (Eastern Georgia). </w:t>
      </w:r>
      <w:r w:rsidRPr="007C27C0">
        <w:rPr>
          <w:rFonts w:ascii="Arial" w:hAnsi="Arial" w:cs="Arial"/>
          <w:i/>
          <w:iCs/>
          <w:sz w:val="20"/>
          <w:lang w:val="en-US"/>
        </w:rPr>
        <w:t>Plant Biosystems-An International Journal Dealing with all Aspects of Plant Biology</w:t>
      </w:r>
      <w:r w:rsidRPr="007C27C0">
        <w:rPr>
          <w:rFonts w:ascii="Arial" w:hAnsi="Arial" w:cs="Arial"/>
          <w:sz w:val="20"/>
          <w:lang w:val="en-US"/>
        </w:rPr>
        <w:t>, </w:t>
      </w:r>
      <w:r w:rsidRPr="007C27C0">
        <w:rPr>
          <w:rFonts w:ascii="Arial" w:hAnsi="Arial" w:cs="Arial"/>
          <w:i/>
          <w:iCs/>
          <w:sz w:val="20"/>
          <w:lang w:val="en-US"/>
        </w:rPr>
        <w:t>158</w:t>
      </w:r>
      <w:r w:rsidRPr="007C27C0">
        <w:rPr>
          <w:rFonts w:ascii="Arial" w:hAnsi="Arial" w:cs="Arial"/>
          <w:sz w:val="20"/>
          <w:lang w:val="en-US"/>
        </w:rPr>
        <w:t>(5), pp.1105-1114.</w:t>
      </w:r>
      <w:r w:rsidR="00562FAB" w:rsidRPr="007C27C0">
        <w:rPr>
          <w:rFonts w:ascii="Arial" w:hAnsi="Arial" w:cs="Arial"/>
          <w:sz w:val="20"/>
          <w:lang w:val="en-US"/>
        </w:rPr>
        <w:t xml:space="preserve"> </w:t>
      </w:r>
      <w:hyperlink r:id="rId11" w:history="1">
        <w:r w:rsidR="00562FAB" w:rsidRPr="007C27C0">
          <w:rPr>
            <w:rStyle w:val="Hyperlink"/>
            <w:rFonts w:ascii="Arial" w:hAnsi="Arial" w:cs="Arial"/>
            <w:sz w:val="20"/>
            <w:lang w:val="en-US"/>
          </w:rPr>
          <w:t>https://doi.org/10.1080/11263504.2024.2392549</w:t>
        </w:r>
      </w:hyperlink>
      <w:r w:rsidR="00562FAB" w:rsidRPr="007C27C0">
        <w:rPr>
          <w:rFonts w:ascii="Arial" w:hAnsi="Arial" w:cs="Arial"/>
          <w:sz w:val="20"/>
          <w:lang w:val="en-US"/>
        </w:rPr>
        <w:t xml:space="preserve"> </w:t>
      </w:r>
    </w:p>
    <w:p w14:paraId="61B975AD"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Bates LS, Waldren RP, Teare ID. 1973. Rapid determination of free proline for water-stress studies. Plant Soil 39(Nov): 205–207.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12" w:history="1">
        <w:r w:rsidRPr="007C27C0">
          <w:rPr>
            <w:rStyle w:val="Hyperlink"/>
            <w:rFonts w:ascii="Arial" w:hAnsi="Arial" w:cs="Arial"/>
            <w:sz w:val="20"/>
            <w:lang w:val="en-US"/>
          </w:rPr>
          <w:t>https://doi.org/10.1007/BF00018060</w:t>
        </w:r>
      </w:hyperlink>
      <w:r w:rsidR="00296B75" w:rsidRPr="007C27C0">
        <w:rPr>
          <w:rFonts w:ascii="Arial" w:hAnsi="Arial" w:cs="Arial"/>
          <w:sz w:val="20"/>
          <w:lang w:val="en-US"/>
        </w:rPr>
        <w:t xml:space="preserve"> </w:t>
      </w:r>
    </w:p>
    <w:p w14:paraId="22E44C69" w14:textId="77777777" w:rsidR="00C0443F" w:rsidRPr="007C27C0" w:rsidRDefault="00C0443F" w:rsidP="007C27C0">
      <w:pPr>
        <w:spacing w:line="276" w:lineRule="auto"/>
        <w:ind w:left="540" w:hanging="540"/>
        <w:jc w:val="both"/>
        <w:rPr>
          <w:rFonts w:ascii="Arial" w:hAnsi="Arial" w:cs="Arial"/>
          <w:sz w:val="20"/>
        </w:rPr>
      </w:pPr>
      <w:proofErr w:type="spellStart"/>
      <w:r w:rsidRPr="007C27C0">
        <w:rPr>
          <w:rFonts w:ascii="Arial" w:hAnsi="Arial" w:cs="Arial"/>
          <w:sz w:val="20"/>
        </w:rPr>
        <w:t>Batsatsashvili</w:t>
      </w:r>
      <w:proofErr w:type="spellEnd"/>
      <w:r w:rsidRPr="007C27C0">
        <w:rPr>
          <w:rFonts w:ascii="Arial" w:hAnsi="Arial" w:cs="Arial"/>
          <w:sz w:val="20"/>
        </w:rPr>
        <w:t xml:space="preserve">, K., </w:t>
      </w:r>
      <w:proofErr w:type="spellStart"/>
      <w:r w:rsidRPr="007C27C0">
        <w:rPr>
          <w:rFonts w:ascii="Arial" w:hAnsi="Arial" w:cs="Arial"/>
          <w:sz w:val="20"/>
        </w:rPr>
        <w:t>Mehdiyeva</w:t>
      </w:r>
      <w:proofErr w:type="spellEnd"/>
      <w:r w:rsidRPr="007C27C0">
        <w:rPr>
          <w:rFonts w:ascii="Arial" w:hAnsi="Arial" w:cs="Arial"/>
          <w:sz w:val="20"/>
        </w:rPr>
        <w:t xml:space="preserve">, N.P., </w:t>
      </w:r>
      <w:proofErr w:type="spellStart"/>
      <w:r w:rsidRPr="007C27C0">
        <w:rPr>
          <w:rFonts w:ascii="Arial" w:hAnsi="Arial" w:cs="Arial"/>
          <w:sz w:val="20"/>
        </w:rPr>
        <w:t>Fayvush</w:t>
      </w:r>
      <w:proofErr w:type="spellEnd"/>
      <w:r w:rsidRPr="007C27C0">
        <w:rPr>
          <w:rFonts w:ascii="Arial" w:hAnsi="Arial" w:cs="Arial"/>
          <w:sz w:val="20"/>
        </w:rPr>
        <w:t xml:space="preserve">, G., Kikvidze, Z., Khutsishvili, M., </w:t>
      </w:r>
      <w:proofErr w:type="spellStart"/>
      <w:r w:rsidRPr="007C27C0">
        <w:rPr>
          <w:rFonts w:ascii="Arial" w:hAnsi="Arial" w:cs="Arial"/>
          <w:sz w:val="20"/>
        </w:rPr>
        <w:t>Maisaia</w:t>
      </w:r>
      <w:proofErr w:type="spellEnd"/>
      <w:r w:rsidRPr="007C27C0">
        <w:rPr>
          <w:rFonts w:ascii="Arial" w:hAnsi="Arial" w:cs="Arial"/>
          <w:sz w:val="20"/>
        </w:rPr>
        <w:t xml:space="preserve">, I., Sikharulidze, S., Tchelidze, D., Aleksanyan, A., Alizade, V.M. and Zambrana, N.Y.P., 2017. </w:t>
      </w:r>
      <w:r w:rsidRPr="007C27C0">
        <w:rPr>
          <w:rFonts w:ascii="Arial" w:hAnsi="Arial" w:cs="Arial"/>
          <w:i/>
          <w:iCs/>
          <w:sz w:val="20"/>
          <w:lang w:val="es-ES"/>
        </w:rPr>
        <w:t xml:space="preserve">Rumex acetosa </w:t>
      </w:r>
      <w:r w:rsidRPr="007C27C0">
        <w:rPr>
          <w:rFonts w:ascii="Arial" w:hAnsi="Arial" w:cs="Arial"/>
          <w:sz w:val="20"/>
          <w:lang w:val="es-ES"/>
        </w:rPr>
        <w:t>L.</w:t>
      </w:r>
      <w:r w:rsidRPr="007C27C0">
        <w:rPr>
          <w:rFonts w:ascii="Arial" w:hAnsi="Arial" w:cs="Arial"/>
          <w:i/>
          <w:iCs/>
          <w:sz w:val="20"/>
          <w:lang w:val="es-ES"/>
        </w:rPr>
        <w:t xml:space="preserve"> Rumex acetosella </w:t>
      </w:r>
      <w:r w:rsidRPr="007C27C0">
        <w:rPr>
          <w:rFonts w:ascii="Arial" w:hAnsi="Arial" w:cs="Arial"/>
          <w:sz w:val="20"/>
          <w:lang w:val="es-ES"/>
        </w:rPr>
        <w:t>L</w:t>
      </w:r>
      <w:r w:rsidRPr="007C27C0">
        <w:rPr>
          <w:rFonts w:ascii="Arial" w:hAnsi="Arial" w:cs="Arial"/>
          <w:i/>
          <w:iCs/>
          <w:sz w:val="20"/>
          <w:lang w:val="es-ES"/>
        </w:rPr>
        <w:t xml:space="preserve">. Rumex confertus </w:t>
      </w:r>
      <w:r w:rsidRPr="007C27C0">
        <w:rPr>
          <w:rFonts w:ascii="Arial" w:hAnsi="Arial" w:cs="Arial"/>
          <w:sz w:val="20"/>
          <w:lang w:val="es-ES"/>
        </w:rPr>
        <w:t>Willd</w:t>
      </w:r>
      <w:r w:rsidRPr="007C27C0">
        <w:rPr>
          <w:rFonts w:ascii="Arial" w:hAnsi="Arial" w:cs="Arial"/>
          <w:i/>
          <w:iCs/>
          <w:sz w:val="20"/>
          <w:lang w:val="es-ES"/>
        </w:rPr>
        <w:t xml:space="preserve">. Rumex conglomeratus </w:t>
      </w:r>
      <w:r w:rsidRPr="007C27C0">
        <w:rPr>
          <w:rFonts w:ascii="Arial" w:hAnsi="Arial" w:cs="Arial"/>
          <w:sz w:val="20"/>
          <w:lang w:val="es-ES"/>
        </w:rPr>
        <w:t>Murray</w:t>
      </w:r>
      <w:r w:rsidRPr="007C27C0">
        <w:rPr>
          <w:rFonts w:ascii="Arial" w:hAnsi="Arial" w:cs="Arial"/>
          <w:i/>
          <w:iCs/>
          <w:sz w:val="20"/>
          <w:lang w:val="es-ES"/>
        </w:rPr>
        <w:t xml:space="preserve"> Rumex crispus </w:t>
      </w:r>
      <w:r w:rsidRPr="007C27C0">
        <w:rPr>
          <w:rFonts w:ascii="Arial" w:hAnsi="Arial" w:cs="Arial"/>
          <w:sz w:val="20"/>
          <w:lang w:val="es-ES"/>
        </w:rPr>
        <w:t>L</w:t>
      </w:r>
      <w:r w:rsidRPr="007C27C0">
        <w:rPr>
          <w:rFonts w:ascii="Arial" w:hAnsi="Arial" w:cs="Arial"/>
          <w:i/>
          <w:iCs/>
          <w:sz w:val="20"/>
          <w:lang w:val="es-ES"/>
        </w:rPr>
        <w:t>. Rumex tuberosus</w:t>
      </w:r>
      <w:r w:rsidRPr="007C27C0">
        <w:rPr>
          <w:rFonts w:ascii="Arial" w:hAnsi="Arial" w:cs="Arial"/>
          <w:sz w:val="20"/>
          <w:lang w:val="es-ES"/>
        </w:rPr>
        <w:t xml:space="preserve"> L. Polygonaceae. </w:t>
      </w:r>
      <w:r w:rsidRPr="007C27C0">
        <w:rPr>
          <w:rFonts w:ascii="Arial" w:hAnsi="Arial" w:cs="Arial"/>
          <w:sz w:val="20"/>
        </w:rPr>
        <w:t>In </w:t>
      </w:r>
      <w:r w:rsidRPr="007C27C0">
        <w:rPr>
          <w:rFonts w:ascii="Arial" w:hAnsi="Arial" w:cs="Arial"/>
          <w:i/>
          <w:iCs/>
          <w:sz w:val="20"/>
        </w:rPr>
        <w:t>Ethnobotany of the Caucasus</w:t>
      </w:r>
      <w:r w:rsidRPr="007C27C0">
        <w:rPr>
          <w:rFonts w:ascii="Arial" w:hAnsi="Arial" w:cs="Arial"/>
          <w:sz w:val="20"/>
        </w:rPr>
        <w:t xml:space="preserve"> (pp. 607-617). Springer, Cham. </w:t>
      </w:r>
      <w:hyperlink r:id="rId13" w:history="1">
        <w:r w:rsidRPr="007C27C0">
          <w:rPr>
            <w:rStyle w:val="Hyperlink"/>
            <w:rFonts w:ascii="Arial" w:hAnsi="Arial" w:cs="Arial"/>
            <w:sz w:val="20"/>
          </w:rPr>
          <w:t>https://doi.org/10.1007/978-3-319-49412-8_131</w:t>
        </w:r>
      </w:hyperlink>
      <w:r w:rsidRPr="007C27C0">
        <w:rPr>
          <w:rFonts w:ascii="Arial" w:hAnsi="Arial" w:cs="Arial"/>
          <w:sz w:val="20"/>
        </w:rPr>
        <w:t xml:space="preserve"> </w:t>
      </w:r>
    </w:p>
    <w:p w14:paraId="2B541477"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Becker A, Körner C, Brun JJ, </w:t>
      </w:r>
      <w:proofErr w:type="spellStart"/>
      <w:r w:rsidRPr="007C27C0">
        <w:rPr>
          <w:rFonts w:ascii="Arial" w:hAnsi="Arial" w:cs="Arial"/>
          <w:sz w:val="20"/>
          <w:lang w:val="en-US"/>
        </w:rPr>
        <w:t>Guisan</w:t>
      </w:r>
      <w:proofErr w:type="spellEnd"/>
      <w:r w:rsidRPr="007C27C0">
        <w:rPr>
          <w:rFonts w:ascii="Arial" w:hAnsi="Arial" w:cs="Arial"/>
          <w:sz w:val="20"/>
          <w:lang w:val="en-US"/>
        </w:rPr>
        <w:t xml:space="preserve"> A, </w:t>
      </w:r>
      <w:proofErr w:type="spellStart"/>
      <w:r w:rsidRPr="007C27C0">
        <w:rPr>
          <w:rFonts w:ascii="Arial" w:hAnsi="Arial" w:cs="Arial"/>
          <w:sz w:val="20"/>
          <w:lang w:val="en-US"/>
        </w:rPr>
        <w:t>Tappeiner</w:t>
      </w:r>
      <w:proofErr w:type="spellEnd"/>
      <w:r w:rsidRPr="007C27C0">
        <w:rPr>
          <w:rFonts w:ascii="Arial" w:hAnsi="Arial" w:cs="Arial"/>
          <w:sz w:val="20"/>
          <w:lang w:val="en-US"/>
        </w:rPr>
        <w:t xml:space="preserve"> U. 2007. Ecological and land use studies along elevational gradients. Mt Res Dev. 27(1): 58-65.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14" w:history="1">
        <w:r w:rsidRPr="007C27C0">
          <w:rPr>
            <w:rStyle w:val="Hyperlink"/>
            <w:rFonts w:ascii="Arial" w:hAnsi="Arial" w:cs="Arial"/>
            <w:sz w:val="20"/>
            <w:lang w:val="en-US"/>
          </w:rPr>
          <w:t>https://doi.org/10.1659/0276-4741(2007)27[58:EALUSA]2.0.CO;2</w:t>
        </w:r>
      </w:hyperlink>
      <w:r w:rsidRPr="007C27C0">
        <w:rPr>
          <w:rFonts w:ascii="Arial" w:hAnsi="Arial" w:cs="Arial"/>
          <w:sz w:val="20"/>
          <w:lang w:val="en-US"/>
        </w:rPr>
        <w:t xml:space="preserve"> </w:t>
      </w:r>
    </w:p>
    <w:p w14:paraId="53A1D52C"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lang w:val="en-US"/>
        </w:rPr>
        <w:t>Bishaya</w:t>
      </w:r>
      <w:proofErr w:type="spellEnd"/>
      <w:r w:rsidRPr="007C27C0">
        <w:rPr>
          <w:rFonts w:ascii="Arial" w:hAnsi="Arial" w:cs="Arial"/>
          <w:sz w:val="20"/>
          <w:lang w:val="en-US"/>
        </w:rPr>
        <w:t>, P., Hazarika, V. and Sharma, N., 2024. Functional Diversity: Part 1: Introduction and Background. </w:t>
      </w:r>
      <w:r w:rsidRPr="007C27C0">
        <w:rPr>
          <w:rFonts w:ascii="Arial" w:hAnsi="Arial" w:cs="Arial"/>
          <w:i/>
          <w:iCs/>
          <w:sz w:val="20"/>
          <w:lang w:val="en-US"/>
        </w:rPr>
        <w:t>Resonance</w:t>
      </w:r>
      <w:r w:rsidRPr="007C27C0">
        <w:rPr>
          <w:rFonts w:ascii="Arial" w:hAnsi="Arial" w:cs="Arial"/>
          <w:sz w:val="20"/>
          <w:lang w:val="en-US"/>
        </w:rPr>
        <w:t>, </w:t>
      </w:r>
      <w:r w:rsidRPr="007C27C0">
        <w:rPr>
          <w:rFonts w:ascii="Arial" w:hAnsi="Arial" w:cs="Arial"/>
          <w:i/>
          <w:iCs/>
          <w:sz w:val="20"/>
          <w:lang w:val="en-US"/>
        </w:rPr>
        <w:t>29</w:t>
      </w:r>
      <w:r w:rsidRPr="007C27C0">
        <w:rPr>
          <w:rFonts w:ascii="Arial" w:hAnsi="Arial" w:cs="Arial"/>
          <w:sz w:val="20"/>
          <w:lang w:val="en-US"/>
        </w:rPr>
        <w:t xml:space="preserve">(6), pp.825-838. </w:t>
      </w:r>
      <w:hyperlink r:id="rId15" w:history="1">
        <w:r w:rsidRPr="007C27C0">
          <w:rPr>
            <w:rStyle w:val="Hyperlink"/>
            <w:rFonts w:ascii="Arial" w:hAnsi="Arial" w:cs="Arial"/>
            <w:sz w:val="20"/>
            <w:lang w:val="en-US"/>
          </w:rPr>
          <w:t>https://doi.org/10.1007/s12045-024-0825-7</w:t>
        </w:r>
      </w:hyperlink>
      <w:r w:rsidRPr="007C27C0">
        <w:rPr>
          <w:rFonts w:ascii="Arial" w:hAnsi="Arial" w:cs="Arial"/>
          <w:sz w:val="20"/>
          <w:lang w:val="en-US"/>
        </w:rPr>
        <w:t xml:space="preserve"> </w:t>
      </w:r>
    </w:p>
    <w:p w14:paraId="027BDED1" w14:textId="77777777" w:rsidR="00C0443F" w:rsidRPr="007C27C0" w:rsidRDefault="00C0443F" w:rsidP="007C27C0">
      <w:pPr>
        <w:spacing w:line="276" w:lineRule="auto"/>
        <w:ind w:left="540" w:hanging="540"/>
        <w:jc w:val="both"/>
        <w:rPr>
          <w:rFonts w:ascii="Arial" w:hAnsi="Arial" w:cs="Arial"/>
          <w:sz w:val="20"/>
        </w:rPr>
      </w:pPr>
      <w:r w:rsidRPr="007C27C0">
        <w:rPr>
          <w:rFonts w:ascii="Arial" w:hAnsi="Arial" w:cs="Arial"/>
          <w:sz w:val="20"/>
        </w:rPr>
        <w:t xml:space="preserve">Bussmann, R.W., Paniagua-Zambrana, N.Y., Khutsishvili, M., Kikvidze, Z., Müller, L., </w:t>
      </w:r>
      <w:proofErr w:type="spellStart"/>
      <w:r w:rsidRPr="007C27C0">
        <w:rPr>
          <w:rFonts w:ascii="Arial" w:hAnsi="Arial" w:cs="Arial"/>
          <w:sz w:val="20"/>
        </w:rPr>
        <w:t>Batsatsashvili</w:t>
      </w:r>
      <w:proofErr w:type="spellEnd"/>
      <w:r w:rsidRPr="007C27C0">
        <w:rPr>
          <w:rFonts w:ascii="Arial" w:hAnsi="Arial" w:cs="Arial"/>
          <w:sz w:val="20"/>
        </w:rPr>
        <w:t xml:space="preserve">, K., Sikharulidze, S., Tchelidze, D., </w:t>
      </w:r>
      <w:proofErr w:type="spellStart"/>
      <w:r w:rsidRPr="007C27C0">
        <w:rPr>
          <w:rFonts w:ascii="Arial" w:hAnsi="Arial" w:cs="Arial"/>
          <w:sz w:val="20"/>
        </w:rPr>
        <w:t>Maisaia</w:t>
      </w:r>
      <w:proofErr w:type="spellEnd"/>
      <w:r w:rsidRPr="007C27C0">
        <w:rPr>
          <w:rFonts w:ascii="Arial" w:hAnsi="Arial" w:cs="Arial"/>
          <w:sz w:val="20"/>
        </w:rPr>
        <w:t xml:space="preserve">, I., Nasab, F.K. and </w:t>
      </w:r>
      <w:proofErr w:type="spellStart"/>
      <w:r w:rsidRPr="007C27C0">
        <w:rPr>
          <w:rFonts w:ascii="Arial" w:hAnsi="Arial" w:cs="Arial"/>
          <w:sz w:val="20"/>
        </w:rPr>
        <w:t>Zeraatkar</w:t>
      </w:r>
      <w:proofErr w:type="spellEnd"/>
      <w:r w:rsidRPr="007C27C0">
        <w:rPr>
          <w:rFonts w:ascii="Arial" w:hAnsi="Arial" w:cs="Arial"/>
          <w:sz w:val="20"/>
        </w:rPr>
        <w:t xml:space="preserve">, A., 2024c. </w:t>
      </w:r>
      <w:proofErr w:type="spellStart"/>
      <w:r w:rsidRPr="007C27C0">
        <w:rPr>
          <w:rFonts w:ascii="Arial" w:hAnsi="Arial" w:cs="Arial"/>
          <w:i/>
          <w:iCs/>
          <w:sz w:val="20"/>
        </w:rPr>
        <w:t>Rumex</w:t>
      </w:r>
      <w:proofErr w:type="spellEnd"/>
      <w:r w:rsidRPr="007C27C0">
        <w:rPr>
          <w:rFonts w:ascii="Arial" w:hAnsi="Arial" w:cs="Arial"/>
          <w:i/>
          <w:iCs/>
          <w:sz w:val="20"/>
        </w:rPr>
        <w:t xml:space="preserve"> </w:t>
      </w:r>
      <w:proofErr w:type="spellStart"/>
      <w:r w:rsidRPr="007C27C0">
        <w:rPr>
          <w:rFonts w:ascii="Arial" w:hAnsi="Arial" w:cs="Arial"/>
          <w:i/>
          <w:iCs/>
          <w:sz w:val="20"/>
        </w:rPr>
        <w:t>acetosa</w:t>
      </w:r>
      <w:proofErr w:type="spellEnd"/>
      <w:r w:rsidRPr="007C27C0">
        <w:rPr>
          <w:rFonts w:ascii="Arial" w:hAnsi="Arial" w:cs="Arial"/>
          <w:sz w:val="20"/>
        </w:rPr>
        <w:t xml:space="preserve"> L. </w:t>
      </w:r>
      <w:r w:rsidRPr="007C27C0">
        <w:rPr>
          <w:rFonts w:ascii="Arial" w:hAnsi="Arial" w:cs="Arial"/>
          <w:i/>
          <w:iCs/>
          <w:sz w:val="20"/>
        </w:rPr>
        <w:t>Rumex acetosella</w:t>
      </w:r>
      <w:r w:rsidRPr="007C27C0">
        <w:rPr>
          <w:rFonts w:ascii="Arial" w:hAnsi="Arial" w:cs="Arial"/>
          <w:sz w:val="20"/>
        </w:rPr>
        <w:t xml:space="preserve"> L. </w:t>
      </w:r>
      <w:r w:rsidRPr="007C27C0">
        <w:rPr>
          <w:rFonts w:ascii="Arial" w:hAnsi="Arial" w:cs="Arial"/>
          <w:i/>
          <w:iCs/>
          <w:sz w:val="20"/>
        </w:rPr>
        <w:t>Rumex alpinus</w:t>
      </w:r>
      <w:r w:rsidRPr="007C27C0">
        <w:rPr>
          <w:rFonts w:ascii="Arial" w:hAnsi="Arial" w:cs="Arial"/>
          <w:sz w:val="20"/>
        </w:rPr>
        <w:t xml:space="preserve"> L. </w:t>
      </w:r>
      <w:r w:rsidRPr="007C27C0">
        <w:rPr>
          <w:rFonts w:ascii="Arial" w:hAnsi="Arial" w:cs="Arial"/>
          <w:i/>
          <w:iCs/>
          <w:sz w:val="20"/>
        </w:rPr>
        <w:t>Rumex crispus</w:t>
      </w:r>
      <w:r w:rsidRPr="007C27C0">
        <w:rPr>
          <w:rFonts w:ascii="Arial" w:hAnsi="Arial" w:cs="Arial"/>
          <w:sz w:val="20"/>
        </w:rPr>
        <w:t xml:space="preserve"> L. </w:t>
      </w:r>
      <w:r w:rsidRPr="007C27C0">
        <w:rPr>
          <w:rFonts w:ascii="Arial" w:hAnsi="Arial" w:cs="Arial"/>
          <w:i/>
          <w:iCs/>
          <w:sz w:val="20"/>
        </w:rPr>
        <w:t>Rumex obtusifolius</w:t>
      </w:r>
      <w:r w:rsidRPr="007C27C0">
        <w:rPr>
          <w:rFonts w:ascii="Arial" w:hAnsi="Arial" w:cs="Arial"/>
          <w:sz w:val="20"/>
        </w:rPr>
        <w:t xml:space="preserve"> L. </w:t>
      </w:r>
      <w:proofErr w:type="spellStart"/>
      <w:r w:rsidRPr="007C27C0">
        <w:rPr>
          <w:rFonts w:ascii="Arial" w:hAnsi="Arial" w:cs="Arial"/>
          <w:i/>
          <w:iCs/>
          <w:sz w:val="20"/>
        </w:rPr>
        <w:t>Rumex</w:t>
      </w:r>
      <w:proofErr w:type="spellEnd"/>
      <w:r w:rsidRPr="007C27C0">
        <w:rPr>
          <w:rFonts w:ascii="Arial" w:hAnsi="Arial" w:cs="Arial"/>
          <w:i/>
          <w:iCs/>
          <w:sz w:val="20"/>
        </w:rPr>
        <w:t xml:space="preserve"> </w:t>
      </w:r>
      <w:proofErr w:type="spellStart"/>
      <w:r w:rsidRPr="007C27C0">
        <w:rPr>
          <w:rFonts w:ascii="Arial" w:hAnsi="Arial" w:cs="Arial"/>
          <w:i/>
          <w:iCs/>
          <w:sz w:val="20"/>
        </w:rPr>
        <w:t>patientia</w:t>
      </w:r>
      <w:proofErr w:type="spellEnd"/>
      <w:r w:rsidRPr="007C27C0">
        <w:rPr>
          <w:rFonts w:ascii="Arial" w:hAnsi="Arial" w:cs="Arial"/>
          <w:sz w:val="20"/>
        </w:rPr>
        <w:t xml:space="preserve"> L. </w:t>
      </w:r>
      <w:proofErr w:type="spellStart"/>
      <w:r w:rsidRPr="007C27C0">
        <w:rPr>
          <w:rFonts w:ascii="Arial" w:hAnsi="Arial" w:cs="Arial"/>
          <w:i/>
          <w:iCs/>
          <w:sz w:val="20"/>
        </w:rPr>
        <w:t>Rumex</w:t>
      </w:r>
      <w:proofErr w:type="spellEnd"/>
      <w:r w:rsidRPr="007C27C0">
        <w:rPr>
          <w:rFonts w:ascii="Arial" w:hAnsi="Arial" w:cs="Arial"/>
          <w:i/>
          <w:iCs/>
          <w:sz w:val="20"/>
        </w:rPr>
        <w:t xml:space="preserve"> </w:t>
      </w:r>
      <w:proofErr w:type="spellStart"/>
      <w:r w:rsidRPr="007C27C0">
        <w:rPr>
          <w:rFonts w:ascii="Arial" w:hAnsi="Arial" w:cs="Arial"/>
          <w:i/>
          <w:iCs/>
          <w:sz w:val="20"/>
        </w:rPr>
        <w:t>pulcher</w:t>
      </w:r>
      <w:proofErr w:type="spellEnd"/>
      <w:r w:rsidRPr="007C27C0">
        <w:rPr>
          <w:rFonts w:ascii="Arial" w:hAnsi="Arial" w:cs="Arial"/>
          <w:sz w:val="20"/>
        </w:rPr>
        <w:t xml:space="preserve"> L. </w:t>
      </w:r>
      <w:r w:rsidRPr="007C27C0">
        <w:rPr>
          <w:rFonts w:ascii="Arial" w:hAnsi="Arial" w:cs="Arial"/>
          <w:i/>
          <w:iCs/>
          <w:sz w:val="20"/>
        </w:rPr>
        <w:t>Rumex tuberosus</w:t>
      </w:r>
      <w:r w:rsidRPr="007C27C0">
        <w:rPr>
          <w:rFonts w:ascii="Arial" w:hAnsi="Arial" w:cs="Arial"/>
          <w:sz w:val="20"/>
        </w:rPr>
        <w:t xml:space="preserve"> L. </w:t>
      </w:r>
      <w:proofErr w:type="spellStart"/>
      <w:r w:rsidRPr="007C27C0">
        <w:rPr>
          <w:rFonts w:ascii="Arial" w:hAnsi="Arial" w:cs="Arial"/>
          <w:sz w:val="20"/>
        </w:rPr>
        <w:t>Polygonacae</w:t>
      </w:r>
      <w:proofErr w:type="spellEnd"/>
      <w:r w:rsidRPr="007C27C0">
        <w:rPr>
          <w:rFonts w:ascii="Arial" w:hAnsi="Arial" w:cs="Arial"/>
          <w:sz w:val="20"/>
        </w:rPr>
        <w:t>. In </w:t>
      </w:r>
      <w:r w:rsidRPr="007C27C0">
        <w:rPr>
          <w:rFonts w:ascii="Arial" w:hAnsi="Arial" w:cs="Arial"/>
          <w:i/>
          <w:iCs/>
          <w:sz w:val="20"/>
        </w:rPr>
        <w:t>Ethnobotany of the Caucasus</w:t>
      </w:r>
      <w:r w:rsidRPr="007C27C0">
        <w:rPr>
          <w:rFonts w:ascii="Arial" w:hAnsi="Arial" w:cs="Arial"/>
          <w:sz w:val="20"/>
        </w:rPr>
        <w:t> (pp. 1-32). Springer, Cham.</w:t>
      </w:r>
      <w:r w:rsidRPr="007C27C0">
        <w:rPr>
          <w:rFonts w:ascii="Arial" w:hAnsi="Arial" w:cs="Arial"/>
          <w:color w:val="222222"/>
          <w:sz w:val="20"/>
          <w:shd w:val="clear" w:color="auto" w:fill="FFFFFF"/>
        </w:rPr>
        <w:t xml:space="preserve"> </w:t>
      </w:r>
      <w:hyperlink r:id="rId16" w:history="1">
        <w:r w:rsidRPr="007C27C0">
          <w:rPr>
            <w:rStyle w:val="Hyperlink"/>
            <w:rFonts w:ascii="Arial" w:hAnsi="Arial" w:cs="Arial"/>
            <w:sz w:val="20"/>
          </w:rPr>
          <w:t>https://doi.org/10.1007/978-3-319-50009-6_131-2</w:t>
        </w:r>
      </w:hyperlink>
      <w:r w:rsidRPr="007C27C0">
        <w:rPr>
          <w:rFonts w:ascii="Arial" w:hAnsi="Arial" w:cs="Arial"/>
          <w:sz w:val="20"/>
        </w:rPr>
        <w:t xml:space="preserve"> </w:t>
      </w:r>
    </w:p>
    <w:p w14:paraId="651FA5A1"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rPr>
        <w:t xml:space="preserve">Bussmann, R.W., Paniagua-Zambrana, N.Y., Kikvidze, Z., </w:t>
      </w:r>
      <w:proofErr w:type="spellStart"/>
      <w:r w:rsidRPr="007C27C0">
        <w:rPr>
          <w:rFonts w:ascii="Arial" w:hAnsi="Arial" w:cs="Arial"/>
          <w:sz w:val="20"/>
        </w:rPr>
        <w:t>Batsatsashvili</w:t>
      </w:r>
      <w:proofErr w:type="spellEnd"/>
      <w:r w:rsidRPr="007C27C0">
        <w:rPr>
          <w:rFonts w:ascii="Arial" w:hAnsi="Arial" w:cs="Arial"/>
          <w:sz w:val="20"/>
        </w:rPr>
        <w:t xml:space="preserve">, K., Khutsishvili, M., Müller, L., Mehdiyeva, N.P., Mursal, N., Salimov, R., </w:t>
      </w:r>
      <w:proofErr w:type="spellStart"/>
      <w:r w:rsidRPr="007C27C0">
        <w:rPr>
          <w:rFonts w:ascii="Arial" w:hAnsi="Arial" w:cs="Arial"/>
          <w:sz w:val="20"/>
        </w:rPr>
        <w:t>Fayvush</w:t>
      </w:r>
      <w:proofErr w:type="spellEnd"/>
      <w:r w:rsidRPr="007C27C0">
        <w:rPr>
          <w:rFonts w:ascii="Arial" w:hAnsi="Arial" w:cs="Arial"/>
          <w:sz w:val="20"/>
        </w:rPr>
        <w:t xml:space="preserve">, G. and Aleksanyan, A., 2024b. </w:t>
      </w:r>
      <w:r w:rsidRPr="007C27C0">
        <w:rPr>
          <w:rFonts w:ascii="Arial" w:hAnsi="Arial" w:cs="Arial"/>
          <w:i/>
          <w:iCs/>
          <w:sz w:val="20"/>
        </w:rPr>
        <w:t xml:space="preserve">Hypericum </w:t>
      </w:r>
      <w:proofErr w:type="spellStart"/>
      <w:r w:rsidRPr="007C27C0">
        <w:rPr>
          <w:rFonts w:ascii="Arial" w:hAnsi="Arial" w:cs="Arial"/>
          <w:i/>
          <w:iCs/>
          <w:sz w:val="20"/>
        </w:rPr>
        <w:t>androsaemum</w:t>
      </w:r>
      <w:proofErr w:type="spellEnd"/>
      <w:r w:rsidRPr="007C27C0">
        <w:rPr>
          <w:rFonts w:ascii="Arial" w:hAnsi="Arial" w:cs="Arial"/>
          <w:sz w:val="20"/>
        </w:rPr>
        <w:t xml:space="preserve"> L. </w:t>
      </w:r>
      <w:r w:rsidRPr="007C27C0">
        <w:rPr>
          <w:rFonts w:ascii="Arial" w:hAnsi="Arial" w:cs="Arial"/>
          <w:i/>
          <w:iCs/>
          <w:sz w:val="20"/>
        </w:rPr>
        <w:t xml:space="preserve">Hypericum </w:t>
      </w:r>
      <w:proofErr w:type="spellStart"/>
      <w:r w:rsidRPr="007C27C0">
        <w:rPr>
          <w:rFonts w:ascii="Arial" w:hAnsi="Arial" w:cs="Arial"/>
          <w:i/>
          <w:iCs/>
          <w:sz w:val="20"/>
        </w:rPr>
        <w:t>bithynicum</w:t>
      </w:r>
      <w:proofErr w:type="spellEnd"/>
      <w:r w:rsidRPr="007C27C0">
        <w:rPr>
          <w:rFonts w:ascii="Arial" w:hAnsi="Arial" w:cs="Arial"/>
          <w:sz w:val="20"/>
        </w:rPr>
        <w:t xml:space="preserve"> </w:t>
      </w:r>
      <w:proofErr w:type="spellStart"/>
      <w:r w:rsidRPr="007C27C0">
        <w:rPr>
          <w:rFonts w:ascii="Arial" w:hAnsi="Arial" w:cs="Arial"/>
          <w:sz w:val="20"/>
        </w:rPr>
        <w:t>Boiss</w:t>
      </w:r>
      <w:proofErr w:type="spellEnd"/>
      <w:r w:rsidRPr="007C27C0">
        <w:rPr>
          <w:rFonts w:ascii="Arial" w:hAnsi="Arial" w:cs="Arial"/>
          <w:sz w:val="20"/>
        </w:rPr>
        <w:t xml:space="preserve"> </w:t>
      </w:r>
      <w:r w:rsidRPr="007C27C0">
        <w:rPr>
          <w:rFonts w:ascii="Arial" w:hAnsi="Arial" w:cs="Arial"/>
          <w:i/>
          <w:iCs/>
          <w:sz w:val="20"/>
        </w:rPr>
        <w:t xml:space="preserve">Hypericum </w:t>
      </w:r>
      <w:proofErr w:type="spellStart"/>
      <w:r w:rsidRPr="007C27C0">
        <w:rPr>
          <w:rFonts w:ascii="Arial" w:hAnsi="Arial" w:cs="Arial"/>
          <w:i/>
          <w:iCs/>
          <w:sz w:val="20"/>
        </w:rPr>
        <w:t>perforatum</w:t>
      </w:r>
      <w:proofErr w:type="spellEnd"/>
      <w:r w:rsidRPr="007C27C0">
        <w:rPr>
          <w:rFonts w:ascii="Arial" w:hAnsi="Arial" w:cs="Arial"/>
          <w:sz w:val="20"/>
        </w:rPr>
        <w:t xml:space="preserve"> L. </w:t>
      </w:r>
      <w:proofErr w:type="spellStart"/>
      <w:r w:rsidRPr="007C27C0">
        <w:rPr>
          <w:rFonts w:ascii="Arial" w:hAnsi="Arial" w:cs="Arial"/>
          <w:sz w:val="20"/>
        </w:rPr>
        <w:t>Hypericaceae</w:t>
      </w:r>
      <w:proofErr w:type="spellEnd"/>
      <w:r w:rsidRPr="007C27C0">
        <w:rPr>
          <w:rFonts w:ascii="Arial" w:hAnsi="Arial" w:cs="Arial"/>
          <w:sz w:val="20"/>
        </w:rPr>
        <w:t>. In </w:t>
      </w:r>
      <w:r w:rsidRPr="007C27C0">
        <w:rPr>
          <w:rFonts w:ascii="Arial" w:hAnsi="Arial" w:cs="Arial"/>
          <w:i/>
          <w:iCs/>
          <w:sz w:val="20"/>
        </w:rPr>
        <w:t>Ethnobotany of the Caucasus</w:t>
      </w:r>
      <w:r w:rsidRPr="007C27C0">
        <w:rPr>
          <w:rFonts w:ascii="Arial" w:hAnsi="Arial" w:cs="Arial"/>
          <w:sz w:val="20"/>
        </w:rPr>
        <w:t xml:space="preserve"> (pp. 1-24). Springer, Cham. </w:t>
      </w:r>
      <w:hyperlink r:id="rId17" w:history="1">
        <w:r w:rsidRPr="007C27C0">
          <w:rPr>
            <w:rStyle w:val="Hyperlink"/>
            <w:rFonts w:ascii="Arial" w:hAnsi="Arial" w:cs="Arial"/>
            <w:sz w:val="20"/>
          </w:rPr>
          <w:t>https://doi.org/10.1007/978-3-319-50009-6_349-1</w:t>
        </w:r>
      </w:hyperlink>
      <w:r w:rsidRPr="007C27C0">
        <w:rPr>
          <w:rFonts w:ascii="Arial" w:hAnsi="Arial" w:cs="Arial"/>
          <w:sz w:val="20"/>
        </w:rPr>
        <w:t xml:space="preserve"> </w:t>
      </w:r>
    </w:p>
    <w:p w14:paraId="0A220A0E" w14:textId="77777777" w:rsidR="00C0443F" w:rsidRPr="007C27C0" w:rsidRDefault="00C0443F" w:rsidP="007C27C0">
      <w:pPr>
        <w:spacing w:line="276" w:lineRule="auto"/>
        <w:ind w:left="540" w:hanging="540"/>
        <w:jc w:val="both"/>
        <w:rPr>
          <w:rFonts w:ascii="Arial" w:hAnsi="Arial" w:cs="Arial"/>
          <w:sz w:val="20"/>
          <w:lang w:val="es-ES"/>
        </w:rPr>
      </w:pPr>
      <w:r w:rsidRPr="007C27C0">
        <w:rPr>
          <w:rFonts w:ascii="Arial" w:hAnsi="Arial" w:cs="Arial"/>
          <w:sz w:val="20"/>
        </w:rPr>
        <w:t xml:space="preserve">Bussmann, R.W., Paniagua-Zambrana, N.Y., Mehdiyeva, N.P., Alizade, V.M., Fayvush, G., Aleksanyan, A., Khutsishvili, M., Kikvidze, Z., </w:t>
      </w:r>
      <w:proofErr w:type="spellStart"/>
      <w:r w:rsidRPr="007C27C0">
        <w:rPr>
          <w:rFonts w:ascii="Arial" w:hAnsi="Arial" w:cs="Arial"/>
          <w:sz w:val="20"/>
        </w:rPr>
        <w:t>Batsatsashvili</w:t>
      </w:r>
      <w:proofErr w:type="spellEnd"/>
      <w:r w:rsidRPr="007C27C0">
        <w:rPr>
          <w:rFonts w:ascii="Arial" w:hAnsi="Arial" w:cs="Arial"/>
          <w:sz w:val="20"/>
        </w:rPr>
        <w:t xml:space="preserve">, K., Sikharulidze, S. and Tchelidze, D., 2024a. </w:t>
      </w:r>
      <w:proofErr w:type="spellStart"/>
      <w:r w:rsidRPr="007C27C0">
        <w:rPr>
          <w:rFonts w:ascii="Arial" w:hAnsi="Arial" w:cs="Arial"/>
          <w:i/>
          <w:iCs/>
          <w:sz w:val="20"/>
        </w:rPr>
        <w:t>Bistorta</w:t>
      </w:r>
      <w:proofErr w:type="spellEnd"/>
      <w:r w:rsidRPr="007C27C0">
        <w:rPr>
          <w:rFonts w:ascii="Arial" w:hAnsi="Arial" w:cs="Arial"/>
          <w:i/>
          <w:iCs/>
          <w:sz w:val="20"/>
        </w:rPr>
        <w:t xml:space="preserve"> </w:t>
      </w:r>
      <w:proofErr w:type="spellStart"/>
      <w:r w:rsidRPr="007C27C0">
        <w:rPr>
          <w:rFonts w:ascii="Arial" w:hAnsi="Arial" w:cs="Arial"/>
          <w:i/>
          <w:iCs/>
          <w:sz w:val="20"/>
        </w:rPr>
        <w:t>carnea</w:t>
      </w:r>
      <w:proofErr w:type="spellEnd"/>
      <w:r w:rsidRPr="007C27C0">
        <w:rPr>
          <w:rFonts w:ascii="Arial" w:hAnsi="Arial" w:cs="Arial"/>
          <w:sz w:val="20"/>
        </w:rPr>
        <w:t xml:space="preserve"> (C. Koch) Kom. </w:t>
      </w:r>
      <w:proofErr w:type="spellStart"/>
      <w:r w:rsidRPr="007C27C0">
        <w:rPr>
          <w:rFonts w:ascii="Arial" w:hAnsi="Arial" w:cs="Arial"/>
          <w:i/>
          <w:iCs/>
          <w:sz w:val="20"/>
        </w:rPr>
        <w:t>Bistorta</w:t>
      </w:r>
      <w:proofErr w:type="spellEnd"/>
      <w:r w:rsidRPr="007C27C0">
        <w:rPr>
          <w:rFonts w:ascii="Arial" w:hAnsi="Arial" w:cs="Arial"/>
          <w:i/>
          <w:iCs/>
          <w:sz w:val="20"/>
        </w:rPr>
        <w:t xml:space="preserve"> officinalis</w:t>
      </w:r>
      <w:r w:rsidRPr="007C27C0">
        <w:rPr>
          <w:rFonts w:ascii="Arial" w:hAnsi="Arial" w:cs="Arial"/>
          <w:sz w:val="20"/>
        </w:rPr>
        <w:t xml:space="preserve"> </w:t>
      </w:r>
      <w:proofErr w:type="spellStart"/>
      <w:r w:rsidRPr="007C27C0">
        <w:rPr>
          <w:rFonts w:ascii="Arial" w:hAnsi="Arial" w:cs="Arial"/>
          <w:sz w:val="20"/>
        </w:rPr>
        <w:t>Delarbre</w:t>
      </w:r>
      <w:proofErr w:type="spellEnd"/>
      <w:r w:rsidRPr="007C27C0">
        <w:rPr>
          <w:rFonts w:ascii="Arial" w:hAnsi="Arial" w:cs="Arial"/>
          <w:sz w:val="20"/>
        </w:rPr>
        <w:t xml:space="preserve"> </w:t>
      </w:r>
      <w:proofErr w:type="spellStart"/>
      <w:r w:rsidRPr="007C27C0">
        <w:rPr>
          <w:rFonts w:ascii="Arial" w:hAnsi="Arial" w:cs="Arial"/>
          <w:sz w:val="20"/>
        </w:rPr>
        <w:t>Polygonaceae</w:t>
      </w:r>
      <w:proofErr w:type="spellEnd"/>
      <w:r w:rsidRPr="007C27C0">
        <w:rPr>
          <w:rFonts w:ascii="Arial" w:hAnsi="Arial" w:cs="Arial"/>
          <w:sz w:val="20"/>
        </w:rPr>
        <w:t>. In </w:t>
      </w:r>
      <w:r w:rsidRPr="007C27C0">
        <w:rPr>
          <w:rFonts w:ascii="Arial" w:hAnsi="Arial" w:cs="Arial"/>
          <w:i/>
          <w:iCs/>
          <w:sz w:val="20"/>
        </w:rPr>
        <w:t>Ethnobotany of the Caucasus</w:t>
      </w:r>
      <w:r w:rsidRPr="007C27C0">
        <w:rPr>
          <w:rFonts w:ascii="Arial" w:hAnsi="Arial" w:cs="Arial"/>
          <w:sz w:val="20"/>
        </w:rPr>
        <w:t xml:space="preserve"> (pp. 1-10). Springer, Cham. </w:t>
      </w:r>
      <w:hyperlink r:id="rId18" w:history="1">
        <w:r w:rsidRPr="007C27C0">
          <w:rPr>
            <w:rStyle w:val="Hyperlink"/>
            <w:rFonts w:ascii="Arial" w:hAnsi="Arial" w:cs="Arial"/>
            <w:sz w:val="20"/>
            <w:lang w:val="es-ES"/>
          </w:rPr>
          <w:t>https://doi.org/10.1007/978-3-319-50009-6_207-1</w:t>
        </w:r>
      </w:hyperlink>
      <w:r w:rsidRPr="007C27C0">
        <w:rPr>
          <w:rFonts w:ascii="Arial" w:hAnsi="Arial" w:cs="Arial"/>
          <w:sz w:val="20"/>
          <w:lang w:val="es-ES"/>
        </w:rPr>
        <w:t xml:space="preserve"> </w:t>
      </w:r>
    </w:p>
    <w:p w14:paraId="56E8692A"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s-ES"/>
        </w:rPr>
        <w:lastRenderedPageBreak/>
        <w:t xml:space="preserve">Casanoves, F., Pla, L.E. and Di Rienzo, J.A., 2011. </w:t>
      </w:r>
      <w:proofErr w:type="spellStart"/>
      <w:r w:rsidRPr="007C27C0">
        <w:rPr>
          <w:rFonts w:ascii="Arial" w:hAnsi="Arial" w:cs="Arial"/>
          <w:sz w:val="20"/>
          <w:lang w:val="en-US"/>
        </w:rPr>
        <w:t>FDiversity</w:t>
      </w:r>
      <w:proofErr w:type="spellEnd"/>
      <w:r w:rsidRPr="007C27C0">
        <w:rPr>
          <w:rFonts w:ascii="Arial" w:hAnsi="Arial" w:cs="Arial"/>
          <w:sz w:val="20"/>
          <w:lang w:val="en-US"/>
        </w:rPr>
        <w:t>: An integrated tool to estimate and analyze functional diversity. </w:t>
      </w:r>
      <w:r w:rsidRPr="007C27C0">
        <w:rPr>
          <w:rFonts w:ascii="Arial" w:hAnsi="Arial" w:cs="Arial"/>
          <w:i/>
          <w:iCs/>
          <w:sz w:val="20"/>
          <w:lang w:val="en-US"/>
        </w:rPr>
        <w:t>The Bulletin of the Ecological Society of America</w:t>
      </w:r>
      <w:r w:rsidRPr="007C27C0">
        <w:rPr>
          <w:rFonts w:ascii="Arial" w:hAnsi="Arial" w:cs="Arial"/>
          <w:sz w:val="20"/>
          <w:lang w:val="en-US"/>
        </w:rPr>
        <w:t>, </w:t>
      </w:r>
      <w:r w:rsidRPr="007C27C0">
        <w:rPr>
          <w:rFonts w:ascii="Arial" w:hAnsi="Arial" w:cs="Arial"/>
          <w:i/>
          <w:iCs/>
          <w:sz w:val="20"/>
          <w:lang w:val="en-US"/>
        </w:rPr>
        <w:t>92</w:t>
      </w:r>
      <w:r w:rsidRPr="007C27C0">
        <w:rPr>
          <w:rFonts w:ascii="Arial" w:hAnsi="Arial" w:cs="Arial"/>
          <w:sz w:val="20"/>
          <w:lang w:val="en-US"/>
        </w:rPr>
        <w:t xml:space="preserve">(2), pp.147-152. </w:t>
      </w:r>
      <w:hyperlink r:id="rId19" w:history="1">
        <w:r w:rsidRPr="007C27C0">
          <w:rPr>
            <w:rStyle w:val="Hyperlink"/>
            <w:rFonts w:ascii="Arial" w:hAnsi="Arial" w:cs="Arial"/>
            <w:sz w:val="20"/>
            <w:lang w:val="en-US"/>
          </w:rPr>
          <w:t>https://doi.org/10.1890/0012-9623-92.2.147</w:t>
        </w:r>
      </w:hyperlink>
      <w:r w:rsidRPr="007C27C0">
        <w:rPr>
          <w:rFonts w:ascii="Arial" w:hAnsi="Arial" w:cs="Arial"/>
          <w:sz w:val="20"/>
          <w:lang w:val="en-US"/>
        </w:rPr>
        <w:t xml:space="preserve"> </w:t>
      </w:r>
    </w:p>
    <w:p w14:paraId="2D17654C"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lang w:val="en-US"/>
        </w:rPr>
        <w:t>Davlianidze</w:t>
      </w:r>
      <w:proofErr w:type="spellEnd"/>
      <w:r w:rsidRPr="007C27C0">
        <w:rPr>
          <w:rFonts w:ascii="Arial" w:hAnsi="Arial" w:cs="Arial"/>
          <w:sz w:val="20"/>
          <w:lang w:val="en-US"/>
        </w:rPr>
        <w:t xml:space="preserve"> M, </w:t>
      </w:r>
      <w:proofErr w:type="spellStart"/>
      <w:r w:rsidRPr="007C27C0">
        <w:rPr>
          <w:rFonts w:ascii="Arial" w:hAnsi="Arial" w:cs="Arial"/>
          <w:sz w:val="20"/>
          <w:lang w:val="en-US"/>
        </w:rPr>
        <w:t>Gviniashvili</w:t>
      </w:r>
      <w:proofErr w:type="spellEnd"/>
      <w:r w:rsidRPr="007C27C0">
        <w:rPr>
          <w:rFonts w:ascii="Arial" w:hAnsi="Arial" w:cs="Arial"/>
          <w:sz w:val="20"/>
          <w:lang w:val="en-US"/>
        </w:rPr>
        <w:t xml:space="preserve"> T, </w:t>
      </w:r>
      <w:proofErr w:type="spellStart"/>
      <w:r w:rsidRPr="007C27C0">
        <w:rPr>
          <w:rFonts w:ascii="Arial" w:hAnsi="Arial" w:cs="Arial"/>
          <w:sz w:val="20"/>
          <w:lang w:val="en-US"/>
        </w:rPr>
        <w:t>Mukbaniani</w:t>
      </w:r>
      <w:proofErr w:type="spellEnd"/>
      <w:r w:rsidRPr="007C27C0">
        <w:rPr>
          <w:rFonts w:ascii="Arial" w:hAnsi="Arial" w:cs="Arial"/>
          <w:sz w:val="20"/>
          <w:lang w:val="en-US"/>
        </w:rPr>
        <w:t xml:space="preserve"> M, </w:t>
      </w:r>
      <w:proofErr w:type="spellStart"/>
      <w:r w:rsidRPr="007C27C0">
        <w:rPr>
          <w:rFonts w:ascii="Arial" w:hAnsi="Arial" w:cs="Arial"/>
          <w:sz w:val="20"/>
          <w:lang w:val="en-US"/>
        </w:rPr>
        <w:t>Jinjolia-Imnadze</w:t>
      </w:r>
      <w:proofErr w:type="spellEnd"/>
      <w:r w:rsidRPr="007C27C0">
        <w:rPr>
          <w:rFonts w:ascii="Arial" w:hAnsi="Arial" w:cs="Arial"/>
          <w:sz w:val="20"/>
          <w:lang w:val="en-US"/>
        </w:rPr>
        <w:t xml:space="preserve"> L, </w:t>
      </w:r>
      <w:proofErr w:type="spellStart"/>
      <w:r w:rsidRPr="007C27C0">
        <w:rPr>
          <w:rFonts w:ascii="Arial" w:hAnsi="Arial" w:cs="Arial"/>
          <w:sz w:val="20"/>
          <w:lang w:val="en-US"/>
        </w:rPr>
        <w:t>Jugheli</w:t>
      </w:r>
      <w:proofErr w:type="spellEnd"/>
      <w:r w:rsidRPr="007C27C0">
        <w:rPr>
          <w:rFonts w:ascii="Arial" w:hAnsi="Arial" w:cs="Arial"/>
          <w:sz w:val="20"/>
          <w:lang w:val="en-US"/>
        </w:rPr>
        <w:t xml:space="preserve"> T. 2018. Nomenclatural checklist of flora of Georgia. Tbilisi, Ilia State University Institute of Botany.</w:t>
      </w:r>
    </w:p>
    <w:p w14:paraId="7595E3CE" w14:textId="77777777" w:rsidR="00C0443F" w:rsidRPr="007C27C0" w:rsidRDefault="00C0443F" w:rsidP="007C27C0">
      <w:pPr>
        <w:spacing w:line="276" w:lineRule="auto"/>
        <w:ind w:left="540" w:hanging="540"/>
        <w:jc w:val="both"/>
        <w:rPr>
          <w:rFonts w:ascii="Arial" w:hAnsi="Arial" w:cs="Arial"/>
          <w:sz w:val="20"/>
          <w:lang w:val="de-AT"/>
        </w:rPr>
      </w:pPr>
      <w:r w:rsidRPr="007C27C0">
        <w:rPr>
          <w:rFonts w:ascii="Arial" w:hAnsi="Arial" w:cs="Arial"/>
          <w:sz w:val="20"/>
          <w:lang w:val="es-ES"/>
        </w:rPr>
        <w:t xml:space="preserve">Díaz, S., Lavorel, S., de Bello, F., Quétier, F., Grigulis, K. and Robson, T.M., 2007. </w:t>
      </w:r>
      <w:r w:rsidRPr="007C27C0">
        <w:rPr>
          <w:rFonts w:ascii="Arial" w:hAnsi="Arial" w:cs="Arial"/>
          <w:sz w:val="20"/>
          <w:lang w:val="en-US"/>
        </w:rPr>
        <w:t>Incorporating plant functional diversity effects in ecosystem service assessments. </w:t>
      </w:r>
      <w:r w:rsidRPr="007C27C0">
        <w:rPr>
          <w:rFonts w:ascii="Arial" w:hAnsi="Arial" w:cs="Arial"/>
          <w:i/>
          <w:iCs/>
          <w:sz w:val="20"/>
          <w:lang w:val="en-US"/>
        </w:rPr>
        <w:t>Proceedings of the National Academy of Sciences</w:t>
      </w:r>
      <w:r w:rsidRPr="007C27C0">
        <w:rPr>
          <w:rFonts w:ascii="Arial" w:hAnsi="Arial" w:cs="Arial"/>
          <w:sz w:val="20"/>
          <w:lang w:val="en-US"/>
        </w:rPr>
        <w:t>, </w:t>
      </w:r>
      <w:r w:rsidRPr="007C27C0">
        <w:rPr>
          <w:rFonts w:ascii="Arial" w:hAnsi="Arial" w:cs="Arial"/>
          <w:i/>
          <w:iCs/>
          <w:sz w:val="20"/>
          <w:lang w:val="en-US"/>
        </w:rPr>
        <w:t>104</w:t>
      </w:r>
      <w:r w:rsidRPr="007C27C0">
        <w:rPr>
          <w:rFonts w:ascii="Arial" w:hAnsi="Arial" w:cs="Arial"/>
          <w:sz w:val="20"/>
          <w:lang w:val="en-US"/>
        </w:rPr>
        <w:t xml:space="preserve">(52), pp.20684-20689. </w:t>
      </w:r>
      <w:hyperlink r:id="rId20" w:history="1">
        <w:r w:rsidRPr="007C27C0">
          <w:rPr>
            <w:rStyle w:val="Hyperlink"/>
            <w:rFonts w:ascii="Arial" w:hAnsi="Arial" w:cs="Arial"/>
            <w:sz w:val="20"/>
            <w:lang w:val="de-AT"/>
          </w:rPr>
          <w:t>https://doi.org/10.1073/pnas.0704716104</w:t>
        </w:r>
      </w:hyperlink>
      <w:r w:rsidR="00296B75" w:rsidRPr="007C27C0">
        <w:rPr>
          <w:rFonts w:ascii="Arial" w:hAnsi="Arial" w:cs="Arial"/>
          <w:sz w:val="20"/>
          <w:lang w:val="de-AT"/>
        </w:rPr>
        <w:t xml:space="preserve"> </w:t>
      </w:r>
    </w:p>
    <w:p w14:paraId="125155D1"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de-AT"/>
        </w:rPr>
        <w:t xml:space="preserve">Du B, Haensch R, Alfarraj S, Rennenberg H. 2024. </w:t>
      </w:r>
      <w:r w:rsidRPr="007C27C0">
        <w:rPr>
          <w:rFonts w:ascii="Arial" w:hAnsi="Arial" w:cs="Arial"/>
          <w:sz w:val="20"/>
          <w:lang w:val="en-US"/>
        </w:rPr>
        <w:t xml:space="preserve">Strategies of plants to overcome abiotic and biotic stresses. Biol Rev. 99(4): 1524-1536.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21" w:history="1">
        <w:r w:rsidRPr="007C27C0">
          <w:rPr>
            <w:rStyle w:val="Hyperlink"/>
            <w:rFonts w:ascii="Arial" w:hAnsi="Arial" w:cs="Arial"/>
            <w:sz w:val="20"/>
            <w:lang w:val="en-US"/>
          </w:rPr>
          <w:t>https://doi.org/10.1111/brv.13079</w:t>
        </w:r>
      </w:hyperlink>
      <w:r w:rsidRPr="007C27C0">
        <w:rPr>
          <w:rFonts w:ascii="Arial" w:hAnsi="Arial" w:cs="Arial"/>
          <w:sz w:val="20"/>
          <w:lang w:val="en-US"/>
        </w:rPr>
        <w:t xml:space="preserve"> </w:t>
      </w:r>
    </w:p>
    <w:p w14:paraId="5555EFB1"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lang w:val="en-US"/>
        </w:rPr>
        <w:t>Dumanović</w:t>
      </w:r>
      <w:proofErr w:type="spellEnd"/>
      <w:r w:rsidRPr="007C27C0">
        <w:rPr>
          <w:rFonts w:ascii="Arial" w:hAnsi="Arial" w:cs="Arial"/>
          <w:sz w:val="20"/>
          <w:lang w:val="en-US"/>
        </w:rPr>
        <w:t xml:space="preserve"> J, </w:t>
      </w:r>
      <w:proofErr w:type="spellStart"/>
      <w:r w:rsidRPr="007C27C0">
        <w:rPr>
          <w:rFonts w:ascii="Arial" w:hAnsi="Arial" w:cs="Arial"/>
          <w:sz w:val="20"/>
          <w:lang w:val="en-US"/>
        </w:rPr>
        <w:t>Nepovimova</w:t>
      </w:r>
      <w:proofErr w:type="spellEnd"/>
      <w:r w:rsidRPr="007C27C0">
        <w:rPr>
          <w:rFonts w:ascii="Arial" w:hAnsi="Arial" w:cs="Arial"/>
          <w:sz w:val="20"/>
          <w:lang w:val="en-US"/>
        </w:rPr>
        <w:t xml:space="preserve"> E, </w:t>
      </w:r>
      <w:proofErr w:type="spellStart"/>
      <w:r w:rsidRPr="007C27C0">
        <w:rPr>
          <w:rFonts w:ascii="Arial" w:hAnsi="Arial" w:cs="Arial"/>
          <w:sz w:val="20"/>
          <w:lang w:val="en-US"/>
        </w:rPr>
        <w:t>Natić</w:t>
      </w:r>
      <w:proofErr w:type="spellEnd"/>
      <w:r w:rsidRPr="007C27C0">
        <w:rPr>
          <w:rFonts w:ascii="Arial" w:hAnsi="Arial" w:cs="Arial"/>
          <w:sz w:val="20"/>
          <w:lang w:val="en-US"/>
        </w:rPr>
        <w:t xml:space="preserve"> M, </w:t>
      </w:r>
      <w:proofErr w:type="spellStart"/>
      <w:r w:rsidRPr="007C27C0">
        <w:rPr>
          <w:rFonts w:ascii="Arial" w:hAnsi="Arial" w:cs="Arial"/>
          <w:sz w:val="20"/>
          <w:lang w:val="en-US"/>
        </w:rPr>
        <w:t>Kuča</w:t>
      </w:r>
      <w:proofErr w:type="spellEnd"/>
      <w:r w:rsidRPr="007C27C0">
        <w:rPr>
          <w:rFonts w:ascii="Arial" w:hAnsi="Arial" w:cs="Arial"/>
          <w:sz w:val="20"/>
          <w:lang w:val="en-US"/>
        </w:rPr>
        <w:t xml:space="preserve"> K, </w:t>
      </w:r>
      <w:proofErr w:type="spellStart"/>
      <w:r w:rsidRPr="007C27C0">
        <w:rPr>
          <w:rFonts w:ascii="Arial" w:hAnsi="Arial" w:cs="Arial"/>
          <w:sz w:val="20"/>
          <w:lang w:val="en-US"/>
        </w:rPr>
        <w:t>Jaćević</w:t>
      </w:r>
      <w:proofErr w:type="spellEnd"/>
      <w:r w:rsidRPr="007C27C0">
        <w:rPr>
          <w:rFonts w:ascii="Arial" w:hAnsi="Arial" w:cs="Arial"/>
          <w:sz w:val="20"/>
          <w:lang w:val="en-US"/>
        </w:rPr>
        <w:t xml:space="preserve"> V. 2021. The significance of reactive oxygen species and antioxidant defense system in plants: A concise overview. Front Plant Sci. 11: 552969.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22" w:history="1">
        <w:r w:rsidRPr="007C27C0">
          <w:rPr>
            <w:rStyle w:val="Hyperlink"/>
            <w:rFonts w:ascii="Arial" w:hAnsi="Arial" w:cs="Arial"/>
            <w:sz w:val="20"/>
            <w:lang w:val="en-US"/>
          </w:rPr>
          <w:t>https://doi.org/10.3389/fpls.2020.552969</w:t>
        </w:r>
      </w:hyperlink>
      <w:r w:rsidRPr="007C27C0">
        <w:rPr>
          <w:rFonts w:ascii="Arial" w:hAnsi="Arial" w:cs="Arial"/>
          <w:sz w:val="20"/>
          <w:lang w:val="en-US"/>
        </w:rPr>
        <w:t xml:space="preserve"> </w:t>
      </w:r>
    </w:p>
    <w:p w14:paraId="5CD93F0D"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Ermakov AI. 1987. Methods of plants biochemical study. Leningrad: </w:t>
      </w:r>
      <w:proofErr w:type="spellStart"/>
      <w:r w:rsidRPr="007C27C0">
        <w:rPr>
          <w:rFonts w:ascii="Arial" w:hAnsi="Arial" w:cs="Arial"/>
          <w:sz w:val="20"/>
          <w:lang w:val="en-US"/>
        </w:rPr>
        <w:t>Agropromizdat</w:t>
      </w:r>
      <w:proofErr w:type="spellEnd"/>
      <w:r w:rsidRPr="007C27C0">
        <w:rPr>
          <w:rFonts w:ascii="Arial" w:hAnsi="Arial" w:cs="Arial"/>
          <w:sz w:val="20"/>
          <w:lang w:val="en-US"/>
        </w:rPr>
        <w:t>.</w:t>
      </w:r>
    </w:p>
    <w:p w14:paraId="1554C931"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bCs/>
          <w:sz w:val="20"/>
          <w:lang w:val="en-US"/>
        </w:rPr>
        <w:t>Ferraris L, Gentile IA, Matta A. 1987. Variations of phenols concentration as a consequence of stresses that induce resistance to Fusarium wilt of tomato. J Plant Dis Prot. 96(6):624-629.</w:t>
      </w:r>
      <w:r w:rsidRPr="007C27C0">
        <w:rPr>
          <w:rFonts w:ascii="Arial" w:hAnsi="Arial" w:cs="Arial"/>
          <w:sz w:val="20"/>
          <w:lang w:val="en-US"/>
        </w:rPr>
        <w:t xml:space="preserve">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23" w:history="1">
        <w:r w:rsidRPr="007C27C0">
          <w:rPr>
            <w:rStyle w:val="Hyperlink"/>
            <w:rFonts w:ascii="Arial" w:hAnsi="Arial" w:cs="Arial"/>
            <w:sz w:val="20"/>
            <w:lang w:val="en-US"/>
          </w:rPr>
          <w:t>http://www.jstor.org/stable/43385627</w:t>
        </w:r>
      </w:hyperlink>
      <w:r w:rsidRPr="007C27C0">
        <w:rPr>
          <w:rFonts w:ascii="Arial" w:hAnsi="Arial" w:cs="Arial"/>
          <w:sz w:val="20"/>
          <w:lang w:val="en-US"/>
        </w:rPr>
        <w:t xml:space="preserve"> </w:t>
      </w:r>
    </w:p>
    <w:p w14:paraId="70B70CC1"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lang w:val="en-US"/>
        </w:rPr>
        <w:t>Fillipovich</w:t>
      </w:r>
      <w:proofErr w:type="spellEnd"/>
      <w:r w:rsidRPr="007C27C0">
        <w:rPr>
          <w:rFonts w:ascii="Arial" w:hAnsi="Arial" w:cs="Arial"/>
          <w:sz w:val="20"/>
          <w:lang w:val="en-US"/>
        </w:rPr>
        <w:t xml:space="preserve">, I.M., </w:t>
      </w:r>
      <w:proofErr w:type="spellStart"/>
      <w:r w:rsidRPr="007C27C0">
        <w:rPr>
          <w:rFonts w:ascii="Arial" w:hAnsi="Arial" w:cs="Arial"/>
          <w:sz w:val="20"/>
          <w:lang w:val="en-US"/>
        </w:rPr>
        <w:t>Egorova</w:t>
      </w:r>
      <w:proofErr w:type="spellEnd"/>
      <w:r w:rsidRPr="007C27C0">
        <w:rPr>
          <w:rFonts w:ascii="Arial" w:hAnsi="Arial" w:cs="Arial"/>
          <w:sz w:val="20"/>
          <w:lang w:val="en-US"/>
        </w:rPr>
        <w:t xml:space="preserve">, T.A., </w:t>
      </w:r>
      <w:proofErr w:type="spellStart"/>
      <w:r w:rsidRPr="007C27C0">
        <w:rPr>
          <w:rFonts w:ascii="Arial" w:hAnsi="Arial" w:cs="Arial"/>
          <w:sz w:val="20"/>
          <w:lang w:val="en-US"/>
        </w:rPr>
        <w:t>Sevastianova</w:t>
      </w:r>
      <w:proofErr w:type="spellEnd"/>
      <w:r w:rsidRPr="007C27C0">
        <w:rPr>
          <w:rFonts w:ascii="Arial" w:hAnsi="Arial" w:cs="Arial"/>
          <w:sz w:val="20"/>
          <w:lang w:val="en-US"/>
        </w:rPr>
        <w:t xml:space="preserve">, G.A. 1982. Practical handbook in biochemistry. Moscow: </w:t>
      </w:r>
      <w:proofErr w:type="spellStart"/>
      <w:r w:rsidRPr="007C27C0">
        <w:rPr>
          <w:rFonts w:ascii="Arial" w:hAnsi="Arial" w:cs="Arial"/>
          <w:sz w:val="20"/>
          <w:lang w:val="en-US"/>
        </w:rPr>
        <w:t>Prosveshchenie</w:t>
      </w:r>
      <w:proofErr w:type="spellEnd"/>
      <w:r w:rsidRPr="007C27C0">
        <w:rPr>
          <w:rFonts w:ascii="Arial" w:hAnsi="Arial" w:cs="Arial"/>
          <w:sz w:val="20"/>
          <w:lang w:val="en-US"/>
        </w:rPr>
        <w:t xml:space="preserve"> (Russian). </w:t>
      </w:r>
    </w:p>
    <w:p w14:paraId="39712B8B"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Flora of Georgia. 2011. Vol. I-XI, 2</w:t>
      </w:r>
      <w:r w:rsidRPr="007C27C0">
        <w:rPr>
          <w:rFonts w:ascii="Arial" w:hAnsi="Arial" w:cs="Arial"/>
          <w:sz w:val="20"/>
          <w:vertAlign w:val="superscript"/>
          <w:lang w:val="en-US"/>
        </w:rPr>
        <w:t>nd</w:t>
      </w:r>
      <w:r w:rsidRPr="007C27C0">
        <w:rPr>
          <w:rFonts w:ascii="Arial" w:hAnsi="Arial" w:cs="Arial"/>
          <w:sz w:val="20"/>
          <w:lang w:val="en-US"/>
        </w:rPr>
        <w:t xml:space="preserve"> edition. Tbilisi: Ilia State University Institute of Botany.</w:t>
      </w:r>
    </w:p>
    <w:p w14:paraId="45A04ED5" w14:textId="77777777" w:rsidR="00C0443F" w:rsidRPr="007C27C0" w:rsidRDefault="00C0443F" w:rsidP="007C27C0">
      <w:pPr>
        <w:spacing w:line="276" w:lineRule="auto"/>
        <w:ind w:left="540" w:hanging="540"/>
        <w:jc w:val="both"/>
        <w:rPr>
          <w:rFonts w:ascii="Arial" w:hAnsi="Arial" w:cs="Arial"/>
          <w:sz w:val="20"/>
          <w:lang w:val="en-US"/>
        </w:rPr>
      </w:pPr>
      <w:bookmarkStart w:id="6" w:name="_Hlk199843675"/>
      <w:r w:rsidRPr="007C27C0">
        <w:rPr>
          <w:rFonts w:ascii="Arial" w:hAnsi="Arial" w:cs="Arial"/>
          <w:sz w:val="20"/>
          <w:lang w:val="es-ES"/>
        </w:rPr>
        <w:t>Fraire-Velázquez S, Balderas-Hernández VE. 2013</w:t>
      </w:r>
      <w:bookmarkEnd w:id="6"/>
      <w:r w:rsidRPr="007C27C0">
        <w:rPr>
          <w:rFonts w:ascii="Arial" w:hAnsi="Arial" w:cs="Arial"/>
          <w:sz w:val="20"/>
          <w:lang w:val="es-ES"/>
        </w:rPr>
        <w:t xml:space="preserve">. </w:t>
      </w:r>
      <w:r w:rsidRPr="007C27C0">
        <w:rPr>
          <w:rFonts w:ascii="Arial" w:hAnsi="Arial" w:cs="Arial"/>
          <w:sz w:val="20"/>
          <w:lang w:val="en-US"/>
        </w:rPr>
        <w:t xml:space="preserve">Abiotic stress in plants and metabolic responses. In: </w:t>
      </w:r>
      <w:proofErr w:type="spellStart"/>
      <w:r w:rsidRPr="007C27C0">
        <w:rPr>
          <w:rFonts w:ascii="Arial" w:hAnsi="Arial" w:cs="Arial"/>
          <w:sz w:val="20"/>
          <w:lang w:val="en-US"/>
        </w:rPr>
        <w:t>Vahdati</w:t>
      </w:r>
      <w:proofErr w:type="spellEnd"/>
      <w:r w:rsidRPr="007C27C0">
        <w:rPr>
          <w:rFonts w:ascii="Arial" w:hAnsi="Arial" w:cs="Arial"/>
          <w:sz w:val="20"/>
          <w:lang w:val="en-US"/>
        </w:rPr>
        <w:t xml:space="preserve"> K, Lesley C, editors. Abiotic stress – plant responses and applications in agriculture. 10: 25-48. Vienna: </w:t>
      </w:r>
      <w:proofErr w:type="spellStart"/>
      <w:r w:rsidRPr="007C27C0">
        <w:rPr>
          <w:rFonts w:ascii="Arial" w:hAnsi="Arial" w:cs="Arial"/>
          <w:sz w:val="20"/>
          <w:lang w:val="en-US"/>
        </w:rPr>
        <w:t>IntechOpen</w:t>
      </w:r>
      <w:proofErr w:type="spellEnd"/>
      <w:r w:rsidRPr="007C27C0">
        <w:rPr>
          <w:rFonts w:ascii="Arial" w:hAnsi="Arial" w:cs="Arial"/>
          <w:sz w:val="20"/>
          <w:lang w:val="en-US"/>
        </w:rPr>
        <w:t xml:space="preserve">.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24" w:history="1">
        <w:r w:rsidRPr="007C27C0">
          <w:rPr>
            <w:rStyle w:val="Hyperlink"/>
            <w:rFonts w:ascii="Arial" w:hAnsi="Arial" w:cs="Arial"/>
            <w:sz w:val="20"/>
            <w:lang w:val="en-US"/>
          </w:rPr>
          <w:t>https://doi.org/10.5772/54859</w:t>
        </w:r>
      </w:hyperlink>
      <w:r w:rsidRPr="007C27C0">
        <w:rPr>
          <w:rFonts w:ascii="Arial" w:hAnsi="Arial" w:cs="Arial"/>
          <w:sz w:val="20"/>
          <w:lang w:val="en-US"/>
        </w:rPr>
        <w:t xml:space="preserve"> </w:t>
      </w:r>
    </w:p>
    <w:p w14:paraId="31FD2B54"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Hammer Ø, Harper DA. 2001. PAST: paleontological statistics software package for education and data analysis. PE, 4(1):1. </w:t>
      </w:r>
      <w:hyperlink r:id="rId25" w:history="1">
        <w:r w:rsidRPr="007C27C0">
          <w:rPr>
            <w:rStyle w:val="Hyperlink"/>
            <w:rFonts w:ascii="Arial" w:hAnsi="Arial" w:cs="Arial"/>
            <w:sz w:val="20"/>
            <w:lang w:val="en-US"/>
          </w:rPr>
          <w:t>http://palaeo-electronica.org/2001_1/past/issue1_01.htm</w:t>
        </w:r>
      </w:hyperlink>
      <w:r w:rsidRPr="007C27C0">
        <w:rPr>
          <w:rFonts w:ascii="Arial" w:hAnsi="Arial" w:cs="Arial"/>
          <w:sz w:val="20"/>
          <w:lang w:val="en-US"/>
        </w:rPr>
        <w:t xml:space="preserve">. </w:t>
      </w:r>
    </w:p>
    <w:p w14:paraId="58740936"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Hashim AM, Alharbi BM, </w:t>
      </w:r>
      <w:proofErr w:type="spellStart"/>
      <w:r w:rsidRPr="007C27C0">
        <w:rPr>
          <w:rFonts w:ascii="Arial" w:hAnsi="Arial" w:cs="Arial"/>
          <w:sz w:val="20"/>
          <w:lang w:val="en-US"/>
        </w:rPr>
        <w:t>Abdulmajeed</w:t>
      </w:r>
      <w:proofErr w:type="spellEnd"/>
      <w:r w:rsidRPr="007C27C0">
        <w:rPr>
          <w:rFonts w:ascii="Arial" w:hAnsi="Arial" w:cs="Arial"/>
          <w:sz w:val="20"/>
          <w:lang w:val="en-US"/>
        </w:rPr>
        <w:t xml:space="preserve"> AM, </w:t>
      </w:r>
      <w:proofErr w:type="spellStart"/>
      <w:r w:rsidRPr="007C27C0">
        <w:rPr>
          <w:rFonts w:ascii="Arial" w:hAnsi="Arial" w:cs="Arial"/>
          <w:sz w:val="20"/>
          <w:lang w:val="en-US"/>
        </w:rPr>
        <w:t>Elkelish</w:t>
      </w:r>
      <w:proofErr w:type="spellEnd"/>
      <w:r w:rsidRPr="007C27C0">
        <w:rPr>
          <w:rFonts w:ascii="Arial" w:hAnsi="Arial" w:cs="Arial"/>
          <w:sz w:val="20"/>
          <w:lang w:val="en-US"/>
        </w:rPr>
        <w:t xml:space="preserve"> A, </w:t>
      </w:r>
      <w:proofErr w:type="spellStart"/>
      <w:r w:rsidRPr="007C27C0">
        <w:rPr>
          <w:rFonts w:ascii="Arial" w:hAnsi="Arial" w:cs="Arial"/>
          <w:sz w:val="20"/>
          <w:lang w:val="en-US"/>
        </w:rPr>
        <w:t>Hozzein</w:t>
      </w:r>
      <w:proofErr w:type="spellEnd"/>
      <w:r w:rsidRPr="007C27C0">
        <w:rPr>
          <w:rFonts w:ascii="Arial" w:hAnsi="Arial" w:cs="Arial"/>
          <w:sz w:val="20"/>
          <w:lang w:val="en-US"/>
        </w:rPr>
        <w:t xml:space="preserve"> WN, Hassan HM. 2020. Oxidative Stress Responses of Some Endemic Plants to High Altitudes by Intensifying Antioxidants and Secondary Metabolites Content. </w:t>
      </w:r>
      <w:r w:rsidRPr="007C27C0">
        <w:rPr>
          <w:rFonts w:ascii="Arial" w:hAnsi="Arial" w:cs="Arial"/>
          <w:i/>
          <w:iCs/>
          <w:sz w:val="20"/>
          <w:lang w:val="en-US"/>
        </w:rPr>
        <w:t>Plants</w:t>
      </w:r>
      <w:r w:rsidRPr="007C27C0">
        <w:rPr>
          <w:rFonts w:ascii="Arial" w:hAnsi="Arial" w:cs="Arial"/>
          <w:sz w:val="20"/>
          <w:lang w:val="en-US"/>
        </w:rPr>
        <w:t xml:space="preserve"> </w:t>
      </w:r>
      <w:r w:rsidRPr="007C27C0">
        <w:rPr>
          <w:rFonts w:ascii="Arial" w:hAnsi="Arial" w:cs="Arial"/>
          <w:i/>
          <w:iCs/>
          <w:sz w:val="20"/>
          <w:lang w:val="en-US"/>
        </w:rPr>
        <w:t>9(7)</w:t>
      </w:r>
      <w:r w:rsidRPr="007C27C0">
        <w:rPr>
          <w:rFonts w:ascii="Arial" w:hAnsi="Arial" w:cs="Arial"/>
          <w:sz w:val="20"/>
          <w:lang w:val="en-US"/>
        </w:rPr>
        <w:t xml:space="preserve">:869.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26" w:history="1">
        <w:r w:rsidRPr="007C27C0">
          <w:rPr>
            <w:rStyle w:val="Hyperlink"/>
            <w:rFonts w:ascii="Arial" w:hAnsi="Arial" w:cs="Arial"/>
            <w:sz w:val="20"/>
            <w:lang w:val="en-US"/>
          </w:rPr>
          <w:t>https://doi.org/10.3390/plants9070869</w:t>
        </w:r>
      </w:hyperlink>
    </w:p>
    <w:p w14:paraId="76923255"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bCs/>
          <w:sz w:val="20"/>
          <w:lang w:val="en-US"/>
        </w:rPr>
        <w:t>Iqbal A, Don Q, Wang X, Gui H, Zhang H, Zhang X, Song M. 2020. High Nitrogen Enhance Drought Tolerance in Cotton through Antioxidant Enzymatic Activities, Nitrogen Metabolism and Osmotic Adjustment.</w:t>
      </w:r>
      <w:r w:rsidRPr="007C27C0">
        <w:rPr>
          <w:rFonts w:ascii="Arial" w:hAnsi="Arial" w:cs="Arial"/>
          <w:sz w:val="20"/>
          <w:lang w:val="en-US"/>
        </w:rPr>
        <w:t xml:space="preserve"> Plants 9(2):178;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27" w:history="1">
        <w:r w:rsidRPr="007C27C0">
          <w:rPr>
            <w:rStyle w:val="Hyperlink"/>
            <w:rFonts w:ascii="Arial" w:hAnsi="Arial" w:cs="Arial"/>
            <w:sz w:val="20"/>
            <w:lang w:val="en-US"/>
          </w:rPr>
          <w:t>https://doi.org/10.3390/plants9020178</w:t>
        </w:r>
      </w:hyperlink>
      <w:r w:rsidRPr="007C27C0">
        <w:rPr>
          <w:rFonts w:ascii="Arial" w:hAnsi="Arial" w:cs="Arial"/>
          <w:sz w:val="20"/>
          <w:lang w:val="en-US"/>
        </w:rPr>
        <w:t xml:space="preserve"> </w:t>
      </w:r>
    </w:p>
    <w:p w14:paraId="61A1DF49"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Kikvidze, Z., 2020a. Traditional Ecological Knowledge in Georgia: A Short History of the Caucasus. London: Routledge.</w:t>
      </w:r>
    </w:p>
    <w:p w14:paraId="19FFEFD4"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Kikvidze, Z., 2020b. Ethnobiology of Georgia. Tbilisi: Ilia State University.</w:t>
      </w:r>
    </w:p>
    <w:p w14:paraId="0AA0589B" w14:textId="77777777" w:rsidR="00C0443F" w:rsidRPr="007C27C0" w:rsidRDefault="00C0443F" w:rsidP="007C27C0">
      <w:pPr>
        <w:spacing w:line="276" w:lineRule="auto"/>
        <w:ind w:left="540" w:hanging="540"/>
        <w:jc w:val="both"/>
        <w:rPr>
          <w:rFonts w:ascii="Arial" w:hAnsi="Arial" w:cs="Arial"/>
          <w:sz w:val="20"/>
          <w:lang w:val="es-ES"/>
        </w:rPr>
      </w:pPr>
      <w:r w:rsidRPr="007C27C0">
        <w:rPr>
          <w:rFonts w:ascii="Arial" w:hAnsi="Arial" w:cs="Arial"/>
          <w:sz w:val="20"/>
          <w:lang w:val="en-US"/>
        </w:rPr>
        <w:t>Körner C. 2004. Mountain biodiversity, its causes and function. </w:t>
      </w:r>
      <w:r w:rsidRPr="007C27C0">
        <w:rPr>
          <w:rFonts w:ascii="Arial" w:hAnsi="Arial" w:cs="Arial"/>
          <w:sz w:val="20"/>
          <w:lang w:val="es-ES"/>
        </w:rPr>
        <w:t>AMBIO 33(sp13):11-17. doi: </w:t>
      </w:r>
      <w:hyperlink r:id="rId28" w:tgtFrame="_blank" w:history="1">
        <w:r w:rsidRPr="007C27C0">
          <w:rPr>
            <w:rStyle w:val="Hyperlink"/>
            <w:rFonts w:ascii="Arial" w:hAnsi="Arial" w:cs="Arial"/>
            <w:sz w:val="20"/>
            <w:lang w:val="es-ES"/>
          </w:rPr>
          <w:t>https://doi.org/10.1007/0044-7447-33.sp13.11</w:t>
        </w:r>
      </w:hyperlink>
    </w:p>
    <w:p w14:paraId="4473FBD0"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de-AT"/>
        </w:rPr>
        <w:t xml:space="preserve">Koski MH, Leonard E, Tharayil N. 2024. </w:t>
      </w:r>
      <w:r w:rsidRPr="007C27C0">
        <w:rPr>
          <w:rFonts w:ascii="Arial" w:hAnsi="Arial" w:cs="Arial"/>
          <w:sz w:val="20"/>
          <w:lang w:val="en-US"/>
        </w:rPr>
        <w:t xml:space="preserve">Foliar flavonoids across an elevation gradient: Plasticity in response to UV, and links with floral pigmentation patterning. Environ Exp Bot. 228:106036.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29" w:history="1">
        <w:r w:rsidRPr="007C27C0">
          <w:rPr>
            <w:rStyle w:val="Hyperlink"/>
            <w:rFonts w:ascii="Arial" w:hAnsi="Arial" w:cs="Arial"/>
            <w:sz w:val="20"/>
            <w:lang w:val="en-US"/>
          </w:rPr>
          <w:t>https://doi.org/10.1016/j.envexpbot.2024.106036</w:t>
        </w:r>
      </w:hyperlink>
      <w:r w:rsidRPr="007C27C0">
        <w:rPr>
          <w:rFonts w:ascii="Arial" w:hAnsi="Arial" w:cs="Arial"/>
          <w:sz w:val="20"/>
          <w:lang w:val="en-US"/>
        </w:rPr>
        <w:t xml:space="preserve"> </w:t>
      </w:r>
    </w:p>
    <w:p w14:paraId="30903BAC"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iCs/>
          <w:sz w:val="20"/>
          <w:lang w:val="en-US"/>
        </w:rPr>
        <w:t>Larcher</w:t>
      </w:r>
      <w:proofErr w:type="spellEnd"/>
      <w:r w:rsidRPr="007C27C0">
        <w:rPr>
          <w:rFonts w:ascii="Arial" w:hAnsi="Arial" w:cs="Arial"/>
          <w:iCs/>
          <w:sz w:val="20"/>
          <w:lang w:val="en-US"/>
        </w:rPr>
        <w:t xml:space="preserve"> W, </w:t>
      </w:r>
      <w:proofErr w:type="spellStart"/>
      <w:r w:rsidRPr="007C27C0">
        <w:rPr>
          <w:rFonts w:ascii="Arial" w:hAnsi="Arial" w:cs="Arial"/>
          <w:iCs/>
          <w:sz w:val="20"/>
          <w:lang w:val="en-US"/>
        </w:rPr>
        <w:t>Kainmüller</w:t>
      </w:r>
      <w:proofErr w:type="spellEnd"/>
      <w:r w:rsidRPr="007C27C0">
        <w:rPr>
          <w:rFonts w:ascii="Arial" w:hAnsi="Arial" w:cs="Arial"/>
          <w:iCs/>
          <w:sz w:val="20"/>
          <w:lang w:val="en-US"/>
        </w:rPr>
        <w:t xml:space="preserve"> C, Wagner J. 2010. Survival types of high mountain plants under extreme temperatures.</w:t>
      </w:r>
      <w:r w:rsidR="00296B75" w:rsidRPr="007C27C0">
        <w:rPr>
          <w:rFonts w:ascii="Arial" w:hAnsi="Arial" w:cs="Arial"/>
          <w:iCs/>
          <w:sz w:val="20"/>
          <w:lang w:val="en-US"/>
        </w:rPr>
        <w:t xml:space="preserve"> </w:t>
      </w:r>
      <w:r w:rsidRPr="007C27C0">
        <w:rPr>
          <w:rFonts w:ascii="Arial" w:hAnsi="Arial" w:cs="Arial"/>
          <w:iCs/>
          <w:sz w:val="20"/>
          <w:lang w:val="en-US"/>
        </w:rPr>
        <w:t xml:space="preserve">Flora 205(1):3-18. </w:t>
      </w:r>
      <w:proofErr w:type="spellStart"/>
      <w:r w:rsidRPr="007C27C0">
        <w:rPr>
          <w:rFonts w:ascii="Arial" w:hAnsi="Arial" w:cs="Arial"/>
          <w:iCs/>
          <w:sz w:val="20"/>
          <w:lang w:val="en-US"/>
        </w:rPr>
        <w:t>doi</w:t>
      </w:r>
      <w:proofErr w:type="spellEnd"/>
      <w:r w:rsidRPr="007C27C0">
        <w:rPr>
          <w:rFonts w:ascii="Arial" w:hAnsi="Arial" w:cs="Arial"/>
          <w:iCs/>
          <w:sz w:val="20"/>
          <w:lang w:val="en-US"/>
        </w:rPr>
        <w:t>:</w:t>
      </w:r>
      <w:r w:rsidRPr="007C27C0">
        <w:rPr>
          <w:rFonts w:ascii="Arial" w:hAnsi="Arial" w:cs="Arial"/>
          <w:i/>
          <w:iCs/>
          <w:sz w:val="20"/>
          <w:lang w:val="en-US"/>
        </w:rPr>
        <w:t xml:space="preserve"> </w:t>
      </w:r>
      <w:hyperlink r:id="rId30" w:history="1">
        <w:r w:rsidRPr="007C27C0">
          <w:rPr>
            <w:rStyle w:val="Hyperlink"/>
            <w:rFonts w:ascii="Arial" w:hAnsi="Arial" w:cs="Arial"/>
            <w:sz w:val="20"/>
            <w:lang w:val="en-US"/>
          </w:rPr>
          <w:t>https://doi.org/10.1016/j.flora.2008.12.005</w:t>
        </w:r>
      </w:hyperlink>
      <w:r w:rsidRPr="007C27C0">
        <w:rPr>
          <w:rFonts w:ascii="Arial" w:hAnsi="Arial" w:cs="Arial"/>
          <w:i/>
          <w:iCs/>
          <w:sz w:val="20"/>
          <w:lang w:val="en-US"/>
        </w:rPr>
        <w:t xml:space="preserve"> </w:t>
      </w:r>
    </w:p>
    <w:p w14:paraId="284DF88C"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lang w:val="en-US"/>
        </w:rPr>
        <w:lastRenderedPageBreak/>
        <w:t>Laxa</w:t>
      </w:r>
      <w:proofErr w:type="spellEnd"/>
      <w:r w:rsidRPr="007C27C0">
        <w:rPr>
          <w:rFonts w:ascii="Arial" w:hAnsi="Arial" w:cs="Arial"/>
          <w:sz w:val="20"/>
          <w:lang w:val="en-US"/>
        </w:rPr>
        <w:t xml:space="preserve"> M, </w:t>
      </w:r>
      <w:proofErr w:type="spellStart"/>
      <w:r w:rsidRPr="007C27C0">
        <w:rPr>
          <w:rFonts w:ascii="Arial" w:hAnsi="Arial" w:cs="Arial"/>
          <w:sz w:val="20"/>
          <w:lang w:val="en-US"/>
        </w:rPr>
        <w:t>Liebthal</w:t>
      </w:r>
      <w:proofErr w:type="spellEnd"/>
      <w:r w:rsidRPr="007C27C0">
        <w:rPr>
          <w:rFonts w:ascii="Arial" w:hAnsi="Arial" w:cs="Arial"/>
          <w:sz w:val="20"/>
          <w:lang w:val="en-US"/>
        </w:rPr>
        <w:t xml:space="preserve"> M, </w:t>
      </w:r>
      <w:proofErr w:type="spellStart"/>
      <w:r w:rsidRPr="007C27C0">
        <w:rPr>
          <w:rFonts w:ascii="Arial" w:hAnsi="Arial" w:cs="Arial"/>
          <w:sz w:val="20"/>
          <w:lang w:val="en-US"/>
        </w:rPr>
        <w:t>Telman</w:t>
      </w:r>
      <w:proofErr w:type="spellEnd"/>
      <w:r w:rsidRPr="007C27C0">
        <w:rPr>
          <w:rFonts w:ascii="Arial" w:hAnsi="Arial" w:cs="Arial"/>
          <w:sz w:val="20"/>
          <w:lang w:val="en-US"/>
        </w:rPr>
        <w:t xml:space="preserve"> W, Chibani K, Dietz KJ. 2019. The role of the plant antioxidant system in drought tolerance. </w:t>
      </w:r>
      <w:r w:rsidRPr="007C27C0">
        <w:rPr>
          <w:rFonts w:ascii="Arial" w:hAnsi="Arial" w:cs="Arial"/>
          <w:i/>
          <w:iCs/>
          <w:sz w:val="20"/>
          <w:lang w:val="en-US"/>
        </w:rPr>
        <w:t>Antioxidants 8</w:t>
      </w:r>
      <w:r w:rsidRPr="007C27C0">
        <w:rPr>
          <w:rFonts w:ascii="Arial" w:hAnsi="Arial" w:cs="Arial"/>
          <w:sz w:val="20"/>
          <w:lang w:val="en-US"/>
        </w:rPr>
        <w:t xml:space="preserve">(4):1-31.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31" w:history="1">
        <w:r w:rsidRPr="007C27C0">
          <w:rPr>
            <w:rStyle w:val="Hyperlink"/>
            <w:rFonts w:ascii="Arial" w:hAnsi="Arial" w:cs="Arial"/>
            <w:sz w:val="20"/>
            <w:lang w:val="en-US"/>
          </w:rPr>
          <w:t>https://doi.org/10.3390/antiox8040094</w:t>
        </w:r>
      </w:hyperlink>
    </w:p>
    <w:p w14:paraId="5244DC23"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lang w:val="en-US"/>
        </w:rPr>
        <w:t>Lichtenthaler</w:t>
      </w:r>
      <w:proofErr w:type="spellEnd"/>
      <w:r w:rsidRPr="007C27C0">
        <w:rPr>
          <w:rFonts w:ascii="Arial" w:hAnsi="Arial" w:cs="Arial"/>
          <w:sz w:val="20"/>
          <w:lang w:val="en-US"/>
        </w:rPr>
        <w:t xml:space="preserve"> HK, </w:t>
      </w:r>
      <w:proofErr w:type="spellStart"/>
      <w:r w:rsidRPr="007C27C0">
        <w:rPr>
          <w:rFonts w:ascii="Arial" w:hAnsi="Arial" w:cs="Arial"/>
          <w:sz w:val="20"/>
          <w:lang w:val="en-US"/>
        </w:rPr>
        <w:t>Buschmann</w:t>
      </w:r>
      <w:proofErr w:type="spellEnd"/>
      <w:r w:rsidRPr="007C27C0">
        <w:rPr>
          <w:rFonts w:ascii="Arial" w:hAnsi="Arial" w:cs="Arial"/>
          <w:sz w:val="20"/>
          <w:lang w:val="en-US"/>
        </w:rPr>
        <w:t xml:space="preserve"> C. 2001. Chlorophylls and </w:t>
      </w:r>
      <w:proofErr w:type="spellStart"/>
      <w:r w:rsidRPr="007C27C0">
        <w:rPr>
          <w:rFonts w:ascii="Arial" w:hAnsi="Arial" w:cs="Arial"/>
          <w:sz w:val="20"/>
          <w:lang w:val="en-US"/>
        </w:rPr>
        <w:t>Carotenoides</w:t>
      </w:r>
      <w:proofErr w:type="spellEnd"/>
      <w:r w:rsidRPr="007C27C0">
        <w:rPr>
          <w:rFonts w:ascii="Arial" w:hAnsi="Arial" w:cs="Arial"/>
          <w:sz w:val="20"/>
          <w:lang w:val="en-US"/>
        </w:rPr>
        <w:t xml:space="preserve">: Measurement and Characterization by UV-VIS Spectroscopy. Current Protocols in Food Analytical Chemistry 1 (1):F4.3.1-F4.3.8.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32" w:history="1">
        <w:r w:rsidRPr="007C27C0">
          <w:rPr>
            <w:rStyle w:val="Hyperlink"/>
            <w:rFonts w:ascii="Arial" w:hAnsi="Arial" w:cs="Arial"/>
            <w:sz w:val="20"/>
            <w:lang w:val="en-US"/>
          </w:rPr>
          <w:t>https://doi.org/10.1002/0471142913.faf0403s01</w:t>
        </w:r>
      </w:hyperlink>
      <w:r w:rsidRPr="007C27C0">
        <w:rPr>
          <w:rFonts w:ascii="Arial" w:hAnsi="Arial" w:cs="Arial"/>
          <w:sz w:val="20"/>
          <w:lang w:val="en-US"/>
        </w:rPr>
        <w:t xml:space="preserve"> </w:t>
      </w:r>
    </w:p>
    <w:p w14:paraId="36BE1D48"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Lowry OH, Rosebrough NJ, Farr AL, Randall RJ. (1951) Protein measurement with the Folin phenol reagent. J Biol Chem. 193(1):265–275. </w:t>
      </w:r>
      <w:hyperlink r:id="rId33" w:history="1">
        <w:r w:rsidRPr="007C27C0">
          <w:rPr>
            <w:rStyle w:val="Hyperlink"/>
            <w:rFonts w:ascii="Arial" w:hAnsi="Arial" w:cs="Arial"/>
            <w:sz w:val="20"/>
            <w:lang w:val="en-US"/>
          </w:rPr>
          <w:t>https://www.jbc.org/article/S0021-9258(19)52451-6/fulltext</w:t>
        </w:r>
      </w:hyperlink>
      <w:r w:rsidRPr="007C27C0">
        <w:rPr>
          <w:rFonts w:ascii="Arial" w:hAnsi="Arial" w:cs="Arial"/>
          <w:sz w:val="20"/>
          <w:lang w:val="en-US"/>
        </w:rPr>
        <w:t xml:space="preserve"> </w:t>
      </w:r>
    </w:p>
    <w:p w14:paraId="36762295" w14:textId="77777777" w:rsidR="00C0443F" w:rsidRPr="007C27C0" w:rsidRDefault="00C0443F" w:rsidP="007C27C0">
      <w:pPr>
        <w:spacing w:line="276" w:lineRule="auto"/>
        <w:ind w:left="540" w:hanging="540"/>
        <w:jc w:val="both"/>
        <w:rPr>
          <w:rFonts w:ascii="Arial" w:hAnsi="Arial" w:cs="Arial"/>
          <w:sz w:val="20"/>
        </w:rPr>
      </w:pPr>
      <w:r w:rsidRPr="007C27C0">
        <w:rPr>
          <w:rFonts w:ascii="Arial" w:hAnsi="Arial" w:cs="Arial"/>
          <w:sz w:val="20"/>
        </w:rPr>
        <w:t>Miller, C. and Ulate, W., 2017. World Flora Online Project: An online flora of all known plants. </w:t>
      </w:r>
      <w:r w:rsidRPr="007C27C0">
        <w:rPr>
          <w:rFonts w:ascii="Arial" w:hAnsi="Arial" w:cs="Arial"/>
          <w:i/>
          <w:iCs/>
          <w:sz w:val="20"/>
        </w:rPr>
        <w:t>Biodiversity Information Science and Standards</w:t>
      </w:r>
      <w:r w:rsidRPr="007C27C0">
        <w:rPr>
          <w:rFonts w:ascii="Arial" w:hAnsi="Arial" w:cs="Arial"/>
          <w:sz w:val="20"/>
        </w:rPr>
        <w:t xml:space="preserve">. </w:t>
      </w:r>
      <w:hyperlink r:id="rId34" w:history="1">
        <w:r w:rsidRPr="007C27C0">
          <w:rPr>
            <w:rStyle w:val="Hyperlink"/>
            <w:rFonts w:ascii="Arial" w:hAnsi="Arial" w:cs="Arial"/>
            <w:sz w:val="20"/>
          </w:rPr>
          <w:t>https://powo.science.kew.org</w:t>
        </w:r>
      </w:hyperlink>
      <w:r w:rsidRPr="007C27C0">
        <w:rPr>
          <w:rFonts w:ascii="Arial" w:hAnsi="Arial" w:cs="Arial"/>
          <w:sz w:val="20"/>
        </w:rPr>
        <w:t xml:space="preserve"> </w:t>
      </w:r>
    </w:p>
    <w:p w14:paraId="6D197648"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Murai Y, Setoguchi H, Kitajima J, </w:t>
      </w:r>
      <w:proofErr w:type="spellStart"/>
      <w:r w:rsidRPr="007C27C0">
        <w:rPr>
          <w:rFonts w:ascii="Arial" w:hAnsi="Arial" w:cs="Arial"/>
          <w:sz w:val="20"/>
          <w:lang w:val="en-US"/>
        </w:rPr>
        <w:t>Iwashina</w:t>
      </w:r>
      <w:proofErr w:type="spellEnd"/>
      <w:r w:rsidRPr="007C27C0">
        <w:rPr>
          <w:rFonts w:ascii="Arial" w:hAnsi="Arial" w:cs="Arial"/>
          <w:sz w:val="20"/>
          <w:lang w:val="en-US"/>
        </w:rPr>
        <w:t xml:space="preserve"> T. 2015. Altitudinal variation of flavonoid content in the leaves of </w:t>
      </w:r>
      <w:proofErr w:type="spellStart"/>
      <w:r w:rsidRPr="007C27C0">
        <w:rPr>
          <w:rFonts w:ascii="Arial" w:hAnsi="Arial" w:cs="Arial"/>
          <w:i/>
          <w:iCs/>
          <w:sz w:val="20"/>
          <w:lang w:val="en-US"/>
        </w:rPr>
        <w:t>Fallopia</w:t>
      </w:r>
      <w:proofErr w:type="spellEnd"/>
      <w:r w:rsidRPr="007C27C0">
        <w:rPr>
          <w:rFonts w:ascii="Arial" w:hAnsi="Arial" w:cs="Arial"/>
          <w:i/>
          <w:iCs/>
          <w:sz w:val="20"/>
          <w:lang w:val="en-US"/>
        </w:rPr>
        <w:t xml:space="preserve"> japonica</w:t>
      </w:r>
      <w:r w:rsidRPr="007C27C0">
        <w:rPr>
          <w:rFonts w:ascii="Arial" w:hAnsi="Arial" w:cs="Arial"/>
          <w:sz w:val="20"/>
          <w:lang w:val="en-US"/>
        </w:rPr>
        <w:t xml:space="preserve"> and the needles of </w:t>
      </w:r>
      <w:proofErr w:type="spellStart"/>
      <w:r w:rsidRPr="007C27C0">
        <w:rPr>
          <w:rFonts w:ascii="Arial" w:hAnsi="Arial" w:cs="Arial"/>
          <w:i/>
          <w:iCs/>
          <w:sz w:val="20"/>
          <w:lang w:val="en-US"/>
        </w:rPr>
        <w:t>Larix</w:t>
      </w:r>
      <w:proofErr w:type="spellEnd"/>
      <w:r w:rsidRPr="007C27C0">
        <w:rPr>
          <w:rFonts w:ascii="Arial" w:hAnsi="Arial" w:cs="Arial"/>
          <w:i/>
          <w:iCs/>
          <w:sz w:val="20"/>
          <w:lang w:val="en-US"/>
        </w:rPr>
        <w:t xml:space="preserve"> </w:t>
      </w:r>
      <w:proofErr w:type="spellStart"/>
      <w:r w:rsidRPr="007C27C0">
        <w:rPr>
          <w:rFonts w:ascii="Arial" w:hAnsi="Arial" w:cs="Arial"/>
          <w:i/>
          <w:iCs/>
          <w:sz w:val="20"/>
          <w:lang w:val="en-US"/>
        </w:rPr>
        <w:t>kaempferi</w:t>
      </w:r>
      <w:proofErr w:type="spellEnd"/>
      <w:r w:rsidRPr="007C27C0">
        <w:rPr>
          <w:rFonts w:ascii="Arial" w:hAnsi="Arial" w:cs="Arial"/>
          <w:sz w:val="20"/>
          <w:lang w:val="en-US"/>
        </w:rPr>
        <w:t xml:space="preserve"> on Mt. Fuji. Nat Prod Commun. 10(3):1934578X1501000308.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35" w:history="1">
        <w:r w:rsidRPr="007C27C0">
          <w:rPr>
            <w:rStyle w:val="Hyperlink"/>
            <w:rFonts w:ascii="Arial" w:hAnsi="Arial" w:cs="Arial"/>
            <w:sz w:val="20"/>
            <w:lang w:val="en-US"/>
          </w:rPr>
          <w:t>https://doi.org/10.1177/1934578X1501000308</w:t>
        </w:r>
      </w:hyperlink>
      <w:r w:rsidRPr="007C27C0">
        <w:rPr>
          <w:rFonts w:ascii="Arial" w:hAnsi="Arial" w:cs="Arial"/>
          <w:sz w:val="20"/>
          <w:lang w:val="en-US"/>
        </w:rPr>
        <w:t xml:space="preserve"> </w:t>
      </w:r>
    </w:p>
    <w:p w14:paraId="04DBA54A"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Nakhutsrishvili G. 2012. The vegetation of Georgia (South Caucasus). Springer.</w:t>
      </w:r>
    </w:p>
    <w:p w14:paraId="7960C88B" w14:textId="77777777" w:rsidR="00C0443F" w:rsidRPr="007C27C0" w:rsidRDefault="00C0443F" w:rsidP="007C27C0">
      <w:pPr>
        <w:spacing w:line="276" w:lineRule="auto"/>
        <w:ind w:left="540" w:hanging="540"/>
        <w:jc w:val="both"/>
        <w:rPr>
          <w:rFonts w:ascii="Arial" w:hAnsi="Arial" w:cs="Arial"/>
          <w:sz w:val="20"/>
        </w:rPr>
      </w:pPr>
      <w:r w:rsidRPr="007C27C0">
        <w:rPr>
          <w:rFonts w:ascii="Arial" w:hAnsi="Arial" w:cs="Arial"/>
          <w:sz w:val="20"/>
        </w:rPr>
        <w:t xml:space="preserve">Nandhini, S., Narayanan, K.B. and Ilango, K., 2018. </w:t>
      </w:r>
      <w:r w:rsidRPr="007C27C0">
        <w:rPr>
          <w:rFonts w:ascii="Arial" w:hAnsi="Arial" w:cs="Arial"/>
          <w:i/>
          <w:iCs/>
          <w:sz w:val="20"/>
        </w:rPr>
        <w:t>Valeriana officinalis</w:t>
      </w:r>
      <w:r w:rsidRPr="007C27C0">
        <w:rPr>
          <w:rFonts w:ascii="Arial" w:hAnsi="Arial" w:cs="Arial"/>
          <w:sz w:val="20"/>
        </w:rPr>
        <w:t>: A review of its traditional uses, phytochemistry and pharmacology. </w:t>
      </w:r>
      <w:r w:rsidRPr="007C27C0">
        <w:rPr>
          <w:rFonts w:ascii="Arial" w:hAnsi="Arial" w:cs="Arial"/>
          <w:i/>
          <w:iCs/>
          <w:sz w:val="20"/>
        </w:rPr>
        <w:t>Asian J Pharm Clin Res</w:t>
      </w:r>
      <w:r w:rsidRPr="007C27C0">
        <w:rPr>
          <w:rFonts w:ascii="Arial" w:hAnsi="Arial" w:cs="Arial"/>
          <w:sz w:val="20"/>
        </w:rPr>
        <w:t>, </w:t>
      </w:r>
      <w:r w:rsidRPr="007C27C0">
        <w:rPr>
          <w:rFonts w:ascii="Arial" w:hAnsi="Arial" w:cs="Arial"/>
          <w:i/>
          <w:iCs/>
          <w:sz w:val="20"/>
        </w:rPr>
        <w:t>11</w:t>
      </w:r>
      <w:r w:rsidRPr="007C27C0">
        <w:rPr>
          <w:rFonts w:ascii="Arial" w:hAnsi="Arial" w:cs="Arial"/>
          <w:sz w:val="20"/>
        </w:rPr>
        <w:t xml:space="preserve">(1), pp.36-41. </w:t>
      </w:r>
      <w:hyperlink r:id="rId36" w:history="1">
        <w:r w:rsidRPr="007C27C0">
          <w:rPr>
            <w:rStyle w:val="Hyperlink"/>
            <w:rFonts w:ascii="Arial" w:hAnsi="Arial" w:cs="Arial"/>
            <w:sz w:val="20"/>
          </w:rPr>
          <w:t>http://dx.doi.org/10.22159/ajpcr.2018.v11i1.22588</w:t>
        </w:r>
      </w:hyperlink>
      <w:r w:rsidRPr="007C27C0">
        <w:rPr>
          <w:rFonts w:ascii="Arial" w:hAnsi="Arial" w:cs="Arial"/>
          <w:sz w:val="20"/>
        </w:rPr>
        <w:t xml:space="preserve"> </w:t>
      </w:r>
    </w:p>
    <w:p w14:paraId="10FA7356" w14:textId="77777777" w:rsidR="00C0443F" w:rsidRPr="007C27C0" w:rsidRDefault="00C0443F" w:rsidP="007C27C0">
      <w:pPr>
        <w:spacing w:line="276" w:lineRule="auto"/>
        <w:ind w:left="540" w:hanging="540"/>
        <w:jc w:val="both"/>
        <w:rPr>
          <w:rFonts w:ascii="Arial" w:hAnsi="Arial" w:cs="Arial"/>
          <w:sz w:val="20"/>
          <w:lang w:val="es-ES"/>
        </w:rPr>
      </w:pPr>
      <w:proofErr w:type="spellStart"/>
      <w:r w:rsidRPr="007C27C0">
        <w:rPr>
          <w:rFonts w:ascii="Arial" w:hAnsi="Arial" w:cs="Arial"/>
          <w:sz w:val="20"/>
          <w:lang w:val="en-US"/>
        </w:rPr>
        <w:t>Navrot</w:t>
      </w:r>
      <w:proofErr w:type="spellEnd"/>
      <w:r w:rsidRPr="007C27C0">
        <w:rPr>
          <w:rFonts w:ascii="Arial" w:hAnsi="Arial" w:cs="Arial"/>
          <w:sz w:val="20"/>
          <w:lang w:val="en-US"/>
        </w:rPr>
        <w:t xml:space="preserve">, N., Rouhier, N., </w:t>
      </w:r>
      <w:proofErr w:type="spellStart"/>
      <w:r w:rsidRPr="007C27C0">
        <w:rPr>
          <w:rFonts w:ascii="Arial" w:hAnsi="Arial" w:cs="Arial"/>
          <w:sz w:val="20"/>
          <w:lang w:val="en-US"/>
        </w:rPr>
        <w:t>Gelhaye</w:t>
      </w:r>
      <w:proofErr w:type="spellEnd"/>
      <w:r w:rsidRPr="007C27C0">
        <w:rPr>
          <w:rFonts w:ascii="Arial" w:hAnsi="Arial" w:cs="Arial"/>
          <w:sz w:val="20"/>
          <w:lang w:val="en-US"/>
        </w:rPr>
        <w:t>, E. and Jacquot, J.P., 2007. Reactive oxygen species generation and antioxidant systems in plant mitochondria. </w:t>
      </w:r>
      <w:r w:rsidRPr="007C27C0">
        <w:rPr>
          <w:rFonts w:ascii="Arial" w:hAnsi="Arial" w:cs="Arial"/>
          <w:i/>
          <w:iCs/>
          <w:sz w:val="20"/>
          <w:lang w:val="es-ES"/>
        </w:rPr>
        <w:t>Physiologia Plantarum</w:t>
      </w:r>
      <w:r w:rsidRPr="007C27C0">
        <w:rPr>
          <w:rFonts w:ascii="Arial" w:hAnsi="Arial" w:cs="Arial"/>
          <w:sz w:val="20"/>
          <w:lang w:val="es-ES"/>
        </w:rPr>
        <w:t>, </w:t>
      </w:r>
      <w:r w:rsidRPr="007C27C0">
        <w:rPr>
          <w:rFonts w:ascii="Arial" w:hAnsi="Arial" w:cs="Arial"/>
          <w:i/>
          <w:iCs/>
          <w:sz w:val="20"/>
          <w:lang w:val="es-ES"/>
        </w:rPr>
        <w:t>129</w:t>
      </w:r>
      <w:r w:rsidRPr="007C27C0">
        <w:rPr>
          <w:rFonts w:ascii="Arial" w:hAnsi="Arial" w:cs="Arial"/>
          <w:sz w:val="20"/>
          <w:lang w:val="es-ES"/>
        </w:rPr>
        <w:t>(1), pp.185-195.</w:t>
      </w:r>
      <w:r w:rsidR="00EF3574" w:rsidRPr="007C27C0">
        <w:rPr>
          <w:rFonts w:ascii="Arial" w:hAnsi="Arial" w:cs="Arial"/>
          <w:sz w:val="20"/>
          <w:lang w:val="es-ES"/>
        </w:rPr>
        <w:t xml:space="preserve"> </w:t>
      </w:r>
      <w:hyperlink r:id="rId37" w:history="1">
        <w:r w:rsidR="00EF3574" w:rsidRPr="007C27C0">
          <w:rPr>
            <w:rStyle w:val="Hyperlink"/>
            <w:rFonts w:ascii="Arial" w:hAnsi="Arial" w:cs="Arial"/>
            <w:sz w:val="20"/>
            <w:lang w:val="es-ES"/>
          </w:rPr>
          <w:t>https://doi.org/10.1111/j.1399-3054.2006.00777.x</w:t>
        </w:r>
      </w:hyperlink>
      <w:r w:rsidR="00EF3574" w:rsidRPr="007C27C0">
        <w:rPr>
          <w:rFonts w:ascii="Arial" w:hAnsi="Arial" w:cs="Arial"/>
          <w:sz w:val="20"/>
          <w:lang w:val="es-ES"/>
        </w:rPr>
        <w:t xml:space="preserve"> </w:t>
      </w:r>
    </w:p>
    <w:p w14:paraId="73276103"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s-ES"/>
        </w:rPr>
        <w:t>Palacio, F.X., Ottaviani, G., Mammola, S., Graco</w:t>
      </w:r>
      <w:r w:rsidRPr="007C27C0">
        <w:rPr>
          <w:rFonts w:ascii="Times New Roman" w:hAnsi="Times New Roman" w:cs="Arial"/>
          <w:sz w:val="20"/>
          <w:lang w:val="es-ES"/>
        </w:rPr>
        <w:t>‐</w:t>
      </w:r>
      <w:r w:rsidRPr="007C27C0">
        <w:rPr>
          <w:rFonts w:ascii="Arial" w:hAnsi="Arial" w:cs="Arial"/>
          <w:sz w:val="20"/>
          <w:lang w:val="es-ES"/>
        </w:rPr>
        <w:t xml:space="preserve">Roza, C., de Bello, F. and Carmona, C.P., 2025. </w:t>
      </w:r>
      <w:r w:rsidRPr="007C27C0">
        <w:rPr>
          <w:rFonts w:ascii="Arial" w:hAnsi="Arial" w:cs="Arial"/>
          <w:sz w:val="20"/>
          <w:lang w:val="en-US"/>
        </w:rPr>
        <w:t>Integrating intraspecific trait variability in functional diversity: An overview of methods and a guide for ecologists. </w:t>
      </w:r>
      <w:r w:rsidRPr="007C27C0">
        <w:rPr>
          <w:rFonts w:ascii="Arial" w:hAnsi="Arial" w:cs="Arial"/>
          <w:i/>
          <w:iCs/>
          <w:sz w:val="20"/>
          <w:lang w:val="en-US"/>
        </w:rPr>
        <w:t>Ecological Monographs</w:t>
      </w:r>
      <w:r w:rsidRPr="007C27C0">
        <w:rPr>
          <w:rFonts w:ascii="Arial" w:hAnsi="Arial" w:cs="Arial"/>
          <w:sz w:val="20"/>
          <w:lang w:val="en-US"/>
        </w:rPr>
        <w:t>, </w:t>
      </w:r>
      <w:r w:rsidRPr="007C27C0">
        <w:rPr>
          <w:rFonts w:ascii="Arial" w:hAnsi="Arial" w:cs="Arial"/>
          <w:i/>
          <w:iCs/>
          <w:sz w:val="20"/>
          <w:lang w:val="en-US"/>
        </w:rPr>
        <w:t>95</w:t>
      </w:r>
      <w:r w:rsidRPr="007C27C0">
        <w:rPr>
          <w:rFonts w:ascii="Arial" w:hAnsi="Arial" w:cs="Arial"/>
          <w:sz w:val="20"/>
          <w:lang w:val="en-US"/>
        </w:rPr>
        <w:t xml:space="preserve">(2), p.e70024. </w:t>
      </w:r>
      <w:hyperlink r:id="rId38" w:history="1">
        <w:r w:rsidRPr="007C27C0">
          <w:rPr>
            <w:rStyle w:val="Hyperlink"/>
            <w:rFonts w:ascii="Arial" w:hAnsi="Arial" w:cs="Arial"/>
            <w:sz w:val="20"/>
            <w:lang w:val="en-US"/>
          </w:rPr>
          <w:t>https://doi.org/10.1002/ecm.70024</w:t>
        </w:r>
      </w:hyperlink>
      <w:r w:rsidRPr="007C27C0">
        <w:rPr>
          <w:rFonts w:ascii="Arial" w:hAnsi="Arial" w:cs="Arial"/>
          <w:sz w:val="20"/>
          <w:lang w:val="en-US"/>
        </w:rPr>
        <w:t xml:space="preserve"> </w:t>
      </w:r>
    </w:p>
    <w:p w14:paraId="48C1A7D3"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rPr>
        <w:t>Pawłowska</w:t>
      </w:r>
      <w:proofErr w:type="spellEnd"/>
      <w:r w:rsidRPr="007C27C0">
        <w:rPr>
          <w:rFonts w:ascii="Arial" w:hAnsi="Arial" w:cs="Arial"/>
          <w:sz w:val="20"/>
        </w:rPr>
        <w:t xml:space="preserve">, K.A., </w:t>
      </w:r>
      <w:proofErr w:type="spellStart"/>
      <w:r w:rsidRPr="007C27C0">
        <w:rPr>
          <w:rFonts w:ascii="Arial" w:hAnsi="Arial" w:cs="Arial"/>
          <w:sz w:val="20"/>
        </w:rPr>
        <w:t>Hałasa</w:t>
      </w:r>
      <w:proofErr w:type="spellEnd"/>
      <w:r w:rsidRPr="007C27C0">
        <w:rPr>
          <w:rFonts w:ascii="Arial" w:hAnsi="Arial" w:cs="Arial"/>
          <w:sz w:val="20"/>
        </w:rPr>
        <w:t xml:space="preserve">, R., Dudek, M.K., </w:t>
      </w:r>
      <w:proofErr w:type="spellStart"/>
      <w:r w:rsidRPr="007C27C0">
        <w:rPr>
          <w:rFonts w:ascii="Arial" w:hAnsi="Arial" w:cs="Arial"/>
          <w:sz w:val="20"/>
        </w:rPr>
        <w:t>Majdan</w:t>
      </w:r>
      <w:proofErr w:type="spellEnd"/>
      <w:r w:rsidRPr="007C27C0">
        <w:rPr>
          <w:rFonts w:ascii="Arial" w:hAnsi="Arial" w:cs="Arial"/>
          <w:sz w:val="20"/>
        </w:rPr>
        <w:t>, M., Jankowska, K. and Granica, S., 2020. Antibacterial and anti-inflammatory activity of bistort (</w:t>
      </w:r>
      <w:proofErr w:type="spellStart"/>
      <w:r w:rsidRPr="007C27C0">
        <w:rPr>
          <w:rFonts w:ascii="Arial" w:hAnsi="Arial" w:cs="Arial"/>
          <w:sz w:val="20"/>
        </w:rPr>
        <w:t>Bistorta</w:t>
      </w:r>
      <w:proofErr w:type="spellEnd"/>
      <w:r w:rsidRPr="007C27C0">
        <w:rPr>
          <w:rFonts w:ascii="Arial" w:hAnsi="Arial" w:cs="Arial"/>
          <w:sz w:val="20"/>
        </w:rPr>
        <w:t xml:space="preserve"> officinalis) aqueous extract and its major components. Justification of the usage of the medicinal plant material as a traditional topical agent. </w:t>
      </w:r>
      <w:r w:rsidRPr="007C27C0">
        <w:rPr>
          <w:rFonts w:ascii="Arial" w:hAnsi="Arial" w:cs="Arial"/>
          <w:i/>
          <w:iCs/>
          <w:sz w:val="20"/>
        </w:rPr>
        <w:t>Journal of Ethnopharmacology</w:t>
      </w:r>
      <w:r w:rsidRPr="007C27C0">
        <w:rPr>
          <w:rFonts w:ascii="Arial" w:hAnsi="Arial" w:cs="Arial"/>
          <w:sz w:val="20"/>
        </w:rPr>
        <w:t>, </w:t>
      </w:r>
      <w:r w:rsidRPr="007C27C0">
        <w:rPr>
          <w:rFonts w:ascii="Arial" w:hAnsi="Arial" w:cs="Arial"/>
          <w:i/>
          <w:iCs/>
          <w:sz w:val="20"/>
        </w:rPr>
        <w:t>260</w:t>
      </w:r>
      <w:r w:rsidRPr="007C27C0">
        <w:rPr>
          <w:rFonts w:ascii="Arial" w:hAnsi="Arial" w:cs="Arial"/>
          <w:sz w:val="20"/>
        </w:rPr>
        <w:t xml:space="preserve">, p.113077. </w:t>
      </w:r>
      <w:hyperlink r:id="rId39" w:history="1">
        <w:r w:rsidRPr="007C27C0">
          <w:rPr>
            <w:rStyle w:val="Hyperlink"/>
            <w:rFonts w:ascii="Arial" w:hAnsi="Arial" w:cs="Arial"/>
            <w:sz w:val="20"/>
          </w:rPr>
          <w:t>https://doi.org/10.1016/j.jep.2020.113077</w:t>
        </w:r>
      </w:hyperlink>
      <w:r w:rsidRPr="007C27C0">
        <w:rPr>
          <w:rFonts w:ascii="Arial" w:hAnsi="Arial" w:cs="Arial"/>
          <w:sz w:val="20"/>
        </w:rPr>
        <w:t xml:space="preserve"> </w:t>
      </w:r>
    </w:p>
    <w:p w14:paraId="48502DAE"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Pleshkov, BP, 1985. Practical handbook in plant biochemistry. Moscow, Kolos (Russian).</w:t>
      </w:r>
    </w:p>
    <w:p w14:paraId="46F558DB"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Rao, A.S., </w:t>
      </w:r>
      <w:proofErr w:type="spellStart"/>
      <w:r w:rsidRPr="007C27C0">
        <w:rPr>
          <w:rFonts w:ascii="Arial" w:hAnsi="Arial" w:cs="Arial"/>
          <w:sz w:val="20"/>
          <w:lang w:val="en-US"/>
        </w:rPr>
        <w:t>Chhawri</w:t>
      </w:r>
      <w:proofErr w:type="spellEnd"/>
      <w:r w:rsidRPr="007C27C0">
        <w:rPr>
          <w:rFonts w:ascii="Arial" w:hAnsi="Arial" w:cs="Arial"/>
          <w:sz w:val="20"/>
          <w:lang w:val="en-US"/>
        </w:rPr>
        <w:t>, R., Chauhan, A., Yadav, S.S., Meena, K.C. and Bansal, P., 2024. Plant Functional Traits: A Key Framework for Understanding and Managing Ecosystem Responses to Global Environmental Challenges. In </w:t>
      </w:r>
      <w:r w:rsidRPr="007C27C0">
        <w:rPr>
          <w:rFonts w:ascii="Arial" w:hAnsi="Arial" w:cs="Arial"/>
          <w:i/>
          <w:iCs/>
          <w:sz w:val="20"/>
          <w:lang w:val="en-US"/>
        </w:rPr>
        <w:t>Plant Functional Traits for Improving Productivity</w:t>
      </w:r>
      <w:r w:rsidRPr="007C27C0">
        <w:rPr>
          <w:rFonts w:ascii="Arial" w:hAnsi="Arial" w:cs="Arial"/>
          <w:sz w:val="20"/>
          <w:lang w:val="en-US"/>
        </w:rPr>
        <w:t xml:space="preserve"> (pp. 287-299). Singapore: Springer Nature Singapore. </w:t>
      </w:r>
      <w:hyperlink r:id="rId40" w:history="1">
        <w:r w:rsidRPr="007C27C0">
          <w:rPr>
            <w:rStyle w:val="Hyperlink"/>
            <w:rFonts w:ascii="Arial" w:hAnsi="Arial" w:cs="Arial"/>
            <w:sz w:val="20"/>
            <w:lang w:val="en-US"/>
          </w:rPr>
          <w:t>https://doi.org/10.1007/978-981-97-1510-7_15</w:t>
        </w:r>
      </w:hyperlink>
      <w:r w:rsidRPr="007C27C0">
        <w:rPr>
          <w:rFonts w:ascii="Arial" w:hAnsi="Arial" w:cs="Arial"/>
          <w:sz w:val="20"/>
          <w:lang w:val="en-US"/>
        </w:rPr>
        <w:t xml:space="preserve"> </w:t>
      </w:r>
    </w:p>
    <w:p w14:paraId="4D5EB1EF"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Rodríguez-Hernández D. 2019. Secondary metabolites as a survival strategy in plants of high mountain habitats. </w:t>
      </w:r>
      <w:proofErr w:type="spellStart"/>
      <w:r w:rsidRPr="007C27C0">
        <w:rPr>
          <w:rFonts w:ascii="Arial" w:hAnsi="Arial" w:cs="Arial"/>
          <w:sz w:val="20"/>
          <w:lang w:val="en-US"/>
        </w:rPr>
        <w:t>Bol</w:t>
      </w:r>
      <w:proofErr w:type="spellEnd"/>
      <w:r w:rsidRPr="007C27C0">
        <w:rPr>
          <w:rFonts w:ascii="Arial" w:hAnsi="Arial" w:cs="Arial"/>
          <w:sz w:val="20"/>
          <w:lang w:val="en-US"/>
        </w:rPr>
        <w:t xml:space="preserve"> </w:t>
      </w:r>
      <w:proofErr w:type="spellStart"/>
      <w:r w:rsidRPr="007C27C0">
        <w:rPr>
          <w:rFonts w:ascii="Arial" w:hAnsi="Arial" w:cs="Arial"/>
          <w:sz w:val="20"/>
          <w:lang w:val="en-US"/>
        </w:rPr>
        <w:t>Latinoam</w:t>
      </w:r>
      <w:proofErr w:type="spellEnd"/>
      <w:r w:rsidRPr="007C27C0">
        <w:rPr>
          <w:rFonts w:ascii="Arial" w:hAnsi="Arial" w:cs="Arial"/>
          <w:sz w:val="20"/>
          <w:lang w:val="en-US"/>
        </w:rPr>
        <w:t xml:space="preserve"> Caribe Plant Med </w:t>
      </w:r>
      <w:proofErr w:type="spellStart"/>
      <w:r w:rsidRPr="007C27C0">
        <w:rPr>
          <w:rFonts w:ascii="Arial" w:hAnsi="Arial" w:cs="Arial"/>
          <w:sz w:val="20"/>
          <w:lang w:val="en-US"/>
        </w:rPr>
        <w:t>Aromat</w:t>
      </w:r>
      <w:proofErr w:type="spellEnd"/>
      <w:r w:rsidRPr="007C27C0">
        <w:rPr>
          <w:rFonts w:ascii="Arial" w:hAnsi="Arial" w:cs="Arial"/>
          <w:sz w:val="20"/>
          <w:lang w:val="en-US"/>
        </w:rPr>
        <w:t>. 18(5):</w:t>
      </w:r>
      <w:r w:rsidRPr="007C27C0">
        <w:rPr>
          <w:rFonts w:ascii="Arial" w:hAnsi="Arial" w:cs="Arial"/>
          <w:i/>
          <w:iCs/>
          <w:sz w:val="20"/>
          <w:lang w:val="en-US"/>
        </w:rPr>
        <w:t xml:space="preserve">444 – 458. </w:t>
      </w:r>
      <w:proofErr w:type="spellStart"/>
      <w:r w:rsidRPr="007C27C0">
        <w:rPr>
          <w:rFonts w:ascii="Arial" w:hAnsi="Arial" w:cs="Arial"/>
          <w:i/>
          <w:iCs/>
          <w:sz w:val="20"/>
          <w:lang w:val="en-US"/>
        </w:rPr>
        <w:t>doi</w:t>
      </w:r>
      <w:proofErr w:type="spellEnd"/>
      <w:r w:rsidRPr="007C27C0">
        <w:rPr>
          <w:rFonts w:ascii="Arial" w:hAnsi="Arial" w:cs="Arial"/>
          <w:i/>
          <w:iCs/>
          <w:sz w:val="20"/>
          <w:lang w:val="en-US"/>
        </w:rPr>
        <w:t xml:space="preserve">: </w:t>
      </w:r>
      <w:hyperlink r:id="rId41" w:history="1">
        <w:r w:rsidRPr="007C27C0">
          <w:rPr>
            <w:rStyle w:val="Hyperlink"/>
            <w:rFonts w:ascii="Arial" w:hAnsi="Arial" w:cs="Arial"/>
            <w:sz w:val="20"/>
            <w:lang w:val="en-US"/>
          </w:rPr>
          <w:t>https://doi.org/10.35588/blacpma.19.18.5.29</w:t>
        </w:r>
      </w:hyperlink>
      <w:r w:rsidRPr="007C27C0">
        <w:rPr>
          <w:rFonts w:ascii="Arial" w:hAnsi="Arial" w:cs="Arial"/>
          <w:i/>
          <w:iCs/>
          <w:sz w:val="20"/>
          <w:lang w:val="en-US"/>
        </w:rPr>
        <w:t xml:space="preserve"> </w:t>
      </w:r>
    </w:p>
    <w:p w14:paraId="44DCF8A3" w14:textId="77777777" w:rsidR="00C0443F" w:rsidRPr="007C27C0" w:rsidRDefault="00C0443F" w:rsidP="007C27C0">
      <w:pPr>
        <w:spacing w:line="276" w:lineRule="auto"/>
        <w:ind w:left="540" w:hanging="540"/>
        <w:jc w:val="both"/>
        <w:rPr>
          <w:rFonts w:ascii="Arial" w:hAnsi="Arial" w:cs="Arial"/>
          <w:sz w:val="20"/>
        </w:rPr>
      </w:pPr>
      <w:proofErr w:type="spellStart"/>
      <w:r w:rsidRPr="007C27C0">
        <w:rPr>
          <w:rFonts w:ascii="Arial" w:hAnsi="Arial" w:cs="Arial"/>
          <w:sz w:val="20"/>
        </w:rPr>
        <w:t>Taldaev</w:t>
      </w:r>
      <w:proofErr w:type="spellEnd"/>
      <w:r w:rsidRPr="007C27C0">
        <w:rPr>
          <w:rFonts w:ascii="Arial" w:hAnsi="Arial" w:cs="Arial"/>
          <w:sz w:val="20"/>
        </w:rPr>
        <w:t xml:space="preserve">, A., Terekhov, R.P., Melnik, E.V., Belova, M.V., </w:t>
      </w:r>
      <w:proofErr w:type="spellStart"/>
      <w:r w:rsidRPr="007C27C0">
        <w:rPr>
          <w:rFonts w:ascii="Arial" w:hAnsi="Arial" w:cs="Arial"/>
          <w:sz w:val="20"/>
        </w:rPr>
        <w:t>Kozin</w:t>
      </w:r>
      <w:proofErr w:type="spellEnd"/>
      <w:r w:rsidRPr="007C27C0">
        <w:rPr>
          <w:rFonts w:ascii="Arial" w:hAnsi="Arial" w:cs="Arial"/>
          <w:sz w:val="20"/>
        </w:rPr>
        <w:t xml:space="preserve">, S.V., </w:t>
      </w:r>
      <w:proofErr w:type="spellStart"/>
      <w:r w:rsidRPr="007C27C0">
        <w:rPr>
          <w:rFonts w:ascii="Arial" w:hAnsi="Arial" w:cs="Arial"/>
          <w:sz w:val="20"/>
        </w:rPr>
        <w:t>Nedorubov</w:t>
      </w:r>
      <w:proofErr w:type="spellEnd"/>
      <w:r w:rsidRPr="007C27C0">
        <w:rPr>
          <w:rFonts w:ascii="Arial" w:hAnsi="Arial" w:cs="Arial"/>
          <w:sz w:val="20"/>
        </w:rPr>
        <w:t xml:space="preserve">, A.A., </w:t>
      </w:r>
      <w:proofErr w:type="spellStart"/>
      <w:r w:rsidRPr="007C27C0">
        <w:rPr>
          <w:rFonts w:ascii="Arial" w:hAnsi="Arial" w:cs="Arial"/>
          <w:sz w:val="20"/>
        </w:rPr>
        <w:t>Pomerantseva</w:t>
      </w:r>
      <w:proofErr w:type="spellEnd"/>
      <w:r w:rsidRPr="007C27C0">
        <w:rPr>
          <w:rFonts w:ascii="Arial" w:hAnsi="Arial" w:cs="Arial"/>
          <w:sz w:val="20"/>
        </w:rPr>
        <w:t xml:space="preserve">, T.Y. and </w:t>
      </w:r>
      <w:proofErr w:type="spellStart"/>
      <w:r w:rsidRPr="007C27C0">
        <w:rPr>
          <w:rFonts w:ascii="Arial" w:hAnsi="Arial" w:cs="Arial"/>
          <w:sz w:val="20"/>
        </w:rPr>
        <w:t>Ramenskaya</w:t>
      </w:r>
      <w:proofErr w:type="spellEnd"/>
      <w:r w:rsidRPr="007C27C0">
        <w:rPr>
          <w:rFonts w:ascii="Arial" w:hAnsi="Arial" w:cs="Arial"/>
          <w:sz w:val="20"/>
        </w:rPr>
        <w:t xml:space="preserve">, G.V., 2022. Insights into the cardiotoxic effects of </w:t>
      </w:r>
      <w:r w:rsidRPr="007C27C0">
        <w:rPr>
          <w:rFonts w:ascii="Arial" w:hAnsi="Arial" w:cs="Arial"/>
          <w:i/>
          <w:iCs/>
          <w:sz w:val="20"/>
        </w:rPr>
        <w:t xml:space="preserve">Veratrum </w:t>
      </w:r>
      <w:proofErr w:type="spellStart"/>
      <w:r w:rsidRPr="007C27C0">
        <w:rPr>
          <w:rFonts w:ascii="Arial" w:hAnsi="Arial" w:cs="Arial"/>
          <w:i/>
          <w:iCs/>
          <w:sz w:val="20"/>
        </w:rPr>
        <w:t>lobelianum</w:t>
      </w:r>
      <w:proofErr w:type="spellEnd"/>
      <w:r w:rsidRPr="007C27C0">
        <w:rPr>
          <w:rFonts w:ascii="Arial" w:hAnsi="Arial" w:cs="Arial"/>
          <w:sz w:val="20"/>
        </w:rPr>
        <w:t xml:space="preserve"> alkaloids: pilot study. </w:t>
      </w:r>
      <w:r w:rsidRPr="007C27C0">
        <w:rPr>
          <w:rFonts w:ascii="Arial" w:hAnsi="Arial" w:cs="Arial"/>
          <w:i/>
          <w:iCs/>
          <w:sz w:val="20"/>
        </w:rPr>
        <w:t>Toxins</w:t>
      </w:r>
      <w:r w:rsidRPr="007C27C0">
        <w:rPr>
          <w:rFonts w:ascii="Arial" w:hAnsi="Arial" w:cs="Arial"/>
          <w:sz w:val="20"/>
        </w:rPr>
        <w:t>, </w:t>
      </w:r>
      <w:r w:rsidRPr="007C27C0">
        <w:rPr>
          <w:rFonts w:ascii="Arial" w:hAnsi="Arial" w:cs="Arial"/>
          <w:i/>
          <w:iCs/>
          <w:sz w:val="20"/>
        </w:rPr>
        <w:t>14</w:t>
      </w:r>
      <w:r w:rsidRPr="007C27C0">
        <w:rPr>
          <w:rFonts w:ascii="Arial" w:hAnsi="Arial" w:cs="Arial"/>
          <w:sz w:val="20"/>
        </w:rPr>
        <w:t xml:space="preserve">(7), p.490. </w:t>
      </w:r>
      <w:hyperlink r:id="rId42" w:history="1">
        <w:r w:rsidRPr="007C27C0">
          <w:rPr>
            <w:rStyle w:val="Hyperlink"/>
            <w:rFonts w:ascii="Arial" w:hAnsi="Arial" w:cs="Arial"/>
            <w:sz w:val="20"/>
          </w:rPr>
          <w:t>https://doi.org/10.3390/toxins14070490</w:t>
        </w:r>
      </w:hyperlink>
      <w:r w:rsidRPr="007C27C0">
        <w:rPr>
          <w:rFonts w:ascii="Arial" w:hAnsi="Arial" w:cs="Arial"/>
          <w:sz w:val="20"/>
        </w:rPr>
        <w:t xml:space="preserve"> </w:t>
      </w:r>
    </w:p>
    <w:p w14:paraId="6C3B64BF" w14:textId="77777777" w:rsidR="00C0443F" w:rsidRPr="007C27C0" w:rsidRDefault="00C0443F" w:rsidP="007C27C0">
      <w:pPr>
        <w:spacing w:line="276" w:lineRule="auto"/>
        <w:ind w:left="540" w:hanging="540"/>
        <w:jc w:val="both"/>
        <w:rPr>
          <w:rFonts w:ascii="Arial" w:hAnsi="Arial" w:cs="Arial"/>
          <w:sz w:val="20"/>
          <w:lang w:val="en-US"/>
        </w:rPr>
      </w:pPr>
      <w:r w:rsidRPr="007C27C0">
        <w:rPr>
          <w:rFonts w:ascii="Arial" w:hAnsi="Arial" w:cs="Arial"/>
          <w:sz w:val="20"/>
          <w:lang w:val="en-US"/>
        </w:rPr>
        <w:t xml:space="preserve">Tripp EA, Zhuang Y, Schreiber M, Stone H, Berardi AE. 2018. Evolutionary and ecological drivers of plant flavonoids across a large latitudinal gradient. Mol </w:t>
      </w:r>
      <w:proofErr w:type="spellStart"/>
      <w:r w:rsidRPr="007C27C0">
        <w:rPr>
          <w:rFonts w:ascii="Arial" w:hAnsi="Arial" w:cs="Arial"/>
          <w:sz w:val="20"/>
          <w:lang w:val="en-US"/>
        </w:rPr>
        <w:t>Phylogenet</w:t>
      </w:r>
      <w:proofErr w:type="spellEnd"/>
      <w:r w:rsidRPr="007C27C0">
        <w:rPr>
          <w:rFonts w:ascii="Arial" w:hAnsi="Arial" w:cs="Arial"/>
          <w:sz w:val="20"/>
          <w:lang w:val="en-US"/>
        </w:rPr>
        <w:t xml:space="preserve"> </w:t>
      </w:r>
      <w:proofErr w:type="spellStart"/>
      <w:r w:rsidRPr="007C27C0">
        <w:rPr>
          <w:rFonts w:ascii="Arial" w:hAnsi="Arial" w:cs="Arial"/>
          <w:sz w:val="20"/>
          <w:lang w:val="en-US"/>
        </w:rPr>
        <w:t>Evol</w:t>
      </w:r>
      <w:proofErr w:type="spellEnd"/>
      <w:r w:rsidRPr="007C27C0">
        <w:rPr>
          <w:rFonts w:ascii="Arial" w:hAnsi="Arial" w:cs="Arial"/>
          <w:sz w:val="20"/>
          <w:lang w:val="en-US"/>
        </w:rPr>
        <w:t xml:space="preserve">. 128: 147-161. </w:t>
      </w:r>
      <w:proofErr w:type="spellStart"/>
      <w:r w:rsidRPr="007C27C0">
        <w:rPr>
          <w:rFonts w:ascii="Arial" w:hAnsi="Arial" w:cs="Arial"/>
          <w:sz w:val="20"/>
          <w:lang w:val="en-US"/>
        </w:rPr>
        <w:t>doi</w:t>
      </w:r>
      <w:proofErr w:type="spellEnd"/>
      <w:r w:rsidRPr="007C27C0">
        <w:rPr>
          <w:rFonts w:ascii="Arial" w:hAnsi="Arial" w:cs="Arial"/>
          <w:sz w:val="20"/>
          <w:lang w:val="en-US"/>
        </w:rPr>
        <w:t xml:space="preserve">: </w:t>
      </w:r>
      <w:hyperlink r:id="rId43" w:history="1">
        <w:r w:rsidRPr="007C27C0">
          <w:rPr>
            <w:rStyle w:val="Hyperlink"/>
            <w:rFonts w:ascii="Arial" w:hAnsi="Arial" w:cs="Arial"/>
            <w:sz w:val="20"/>
            <w:lang w:val="en-US"/>
          </w:rPr>
          <w:t>https://doi.org/10.1016/j.ympev.2018.07.004</w:t>
        </w:r>
      </w:hyperlink>
      <w:r w:rsidRPr="007C27C0">
        <w:rPr>
          <w:rFonts w:ascii="Arial" w:hAnsi="Arial" w:cs="Arial"/>
          <w:sz w:val="20"/>
          <w:lang w:val="en-US"/>
        </w:rPr>
        <w:t>.</w:t>
      </w:r>
    </w:p>
    <w:p w14:paraId="3D94E3EE" w14:textId="77777777" w:rsidR="00C0443F" w:rsidRPr="007C27C0" w:rsidRDefault="00C0443F" w:rsidP="007C27C0">
      <w:pPr>
        <w:spacing w:line="276" w:lineRule="auto"/>
        <w:ind w:left="540" w:hanging="540"/>
        <w:jc w:val="both"/>
        <w:rPr>
          <w:rFonts w:ascii="Arial" w:hAnsi="Arial" w:cs="Arial"/>
          <w:sz w:val="20"/>
          <w:lang w:val="en-US"/>
        </w:rPr>
      </w:pPr>
      <w:proofErr w:type="spellStart"/>
      <w:r w:rsidRPr="007C27C0">
        <w:rPr>
          <w:rFonts w:ascii="Arial" w:hAnsi="Arial" w:cs="Arial"/>
          <w:sz w:val="20"/>
          <w:lang w:val="en-US"/>
        </w:rPr>
        <w:lastRenderedPageBreak/>
        <w:t>Turkina</w:t>
      </w:r>
      <w:proofErr w:type="spellEnd"/>
      <w:r w:rsidRPr="007C27C0">
        <w:rPr>
          <w:rFonts w:ascii="Arial" w:hAnsi="Arial" w:cs="Arial"/>
          <w:sz w:val="20"/>
          <w:lang w:val="en-US"/>
        </w:rPr>
        <w:t xml:space="preserve"> MV, </w:t>
      </w:r>
      <w:proofErr w:type="spellStart"/>
      <w:r w:rsidRPr="007C27C0">
        <w:rPr>
          <w:rFonts w:ascii="Arial" w:hAnsi="Arial" w:cs="Arial"/>
          <w:sz w:val="20"/>
          <w:lang w:val="en-US"/>
        </w:rPr>
        <w:t>Sokolova</w:t>
      </w:r>
      <w:proofErr w:type="spellEnd"/>
      <w:r w:rsidRPr="007C27C0">
        <w:rPr>
          <w:rFonts w:ascii="Arial" w:hAnsi="Arial" w:cs="Arial"/>
          <w:sz w:val="20"/>
          <w:lang w:val="en-US"/>
        </w:rPr>
        <w:t xml:space="preserve"> SV. 1971. Methods for Determination of Mono-and Oligosaccharides. In: </w:t>
      </w:r>
      <w:proofErr w:type="spellStart"/>
      <w:r w:rsidRPr="007C27C0">
        <w:rPr>
          <w:rFonts w:ascii="Arial" w:hAnsi="Arial" w:cs="Arial"/>
          <w:sz w:val="20"/>
          <w:lang w:val="en-US"/>
        </w:rPr>
        <w:t>Pavlinova</w:t>
      </w:r>
      <w:proofErr w:type="spellEnd"/>
      <w:r w:rsidRPr="007C27C0">
        <w:rPr>
          <w:rFonts w:ascii="Arial" w:hAnsi="Arial" w:cs="Arial"/>
          <w:sz w:val="20"/>
          <w:lang w:val="en-US"/>
        </w:rPr>
        <w:t xml:space="preserve"> OA, editor. </w:t>
      </w:r>
      <w:proofErr w:type="spellStart"/>
      <w:r w:rsidRPr="007C27C0">
        <w:rPr>
          <w:rFonts w:ascii="Arial" w:hAnsi="Arial" w:cs="Arial"/>
          <w:sz w:val="20"/>
          <w:lang w:val="en-US"/>
        </w:rPr>
        <w:t>Biokhimicheskie</w:t>
      </w:r>
      <w:proofErr w:type="spellEnd"/>
      <w:r w:rsidRPr="007C27C0">
        <w:rPr>
          <w:rFonts w:ascii="Arial" w:hAnsi="Arial" w:cs="Arial"/>
          <w:sz w:val="20"/>
          <w:lang w:val="en-US"/>
        </w:rPr>
        <w:t xml:space="preserve"> </w:t>
      </w:r>
      <w:proofErr w:type="spellStart"/>
      <w:r w:rsidRPr="007C27C0">
        <w:rPr>
          <w:rFonts w:ascii="Arial" w:hAnsi="Arial" w:cs="Arial"/>
          <w:sz w:val="20"/>
          <w:lang w:val="en-US"/>
        </w:rPr>
        <w:t>metody</w:t>
      </w:r>
      <w:proofErr w:type="spellEnd"/>
      <w:r w:rsidRPr="007C27C0">
        <w:rPr>
          <w:rFonts w:ascii="Arial" w:hAnsi="Arial" w:cs="Arial"/>
          <w:sz w:val="20"/>
          <w:lang w:val="en-US"/>
        </w:rPr>
        <w:t xml:space="preserve"> v </w:t>
      </w:r>
      <w:proofErr w:type="spellStart"/>
      <w:r w:rsidRPr="007C27C0">
        <w:rPr>
          <w:rFonts w:ascii="Arial" w:hAnsi="Arial" w:cs="Arial"/>
          <w:sz w:val="20"/>
          <w:lang w:val="en-US"/>
        </w:rPr>
        <w:t>fiziologii</w:t>
      </w:r>
      <w:proofErr w:type="spellEnd"/>
      <w:r w:rsidRPr="007C27C0">
        <w:rPr>
          <w:rFonts w:ascii="Arial" w:hAnsi="Arial" w:cs="Arial"/>
          <w:sz w:val="20"/>
          <w:lang w:val="en-US"/>
        </w:rPr>
        <w:t xml:space="preserve"> </w:t>
      </w:r>
      <w:proofErr w:type="spellStart"/>
      <w:r w:rsidRPr="007C27C0">
        <w:rPr>
          <w:rFonts w:ascii="Arial" w:hAnsi="Arial" w:cs="Arial"/>
          <w:sz w:val="20"/>
          <w:lang w:val="en-US"/>
        </w:rPr>
        <w:t>rastenii</w:t>
      </w:r>
      <w:proofErr w:type="spellEnd"/>
      <w:r w:rsidRPr="007C27C0">
        <w:rPr>
          <w:rFonts w:ascii="Arial" w:hAnsi="Arial" w:cs="Arial"/>
          <w:sz w:val="20"/>
          <w:lang w:val="en-US"/>
        </w:rPr>
        <w:t xml:space="preserve"> (Biochemical Methods in Plant Physiology). Nauka: Moscow p. 7-12.</w:t>
      </w:r>
    </w:p>
    <w:p w14:paraId="13F8F4B6" w14:textId="77777777" w:rsidR="006A1599" w:rsidRPr="007C27C0" w:rsidRDefault="006A1599" w:rsidP="007C27C0">
      <w:pPr>
        <w:spacing w:line="276" w:lineRule="auto"/>
        <w:jc w:val="both"/>
        <w:rPr>
          <w:rFonts w:ascii="Arial" w:hAnsi="Arial" w:cs="Arial"/>
          <w:sz w:val="20"/>
          <w:lang w:val="en-US"/>
        </w:rPr>
      </w:pPr>
    </w:p>
    <w:p w14:paraId="50D09606" w14:textId="77777777" w:rsidR="00FC5834" w:rsidRPr="00296B75" w:rsidRDefault="00FC5834">
      <w:pPr>
        <w:spacing w:after="0" w:line="240" w:lineRule="auto"/>
        <w:rPr>
          <w:rFonts w:ascii="Times New Roman" w:hAnsi="Times New Roman" w:cs="Times New Roman"/>
          <w:lang w:val="en-US"/>
        </w:rPr>
      </w:pPr>
      <w:r w:rsidRPr="00296B75">
        <w:rPr>
          <w:rFonts w:ascii="Times New Roman" w:hAnsi="Times New Roman" w:cs="Times New Roman"/>
          <w:lang w:val="en-US"/>
        </w:rPr>
        <w:br w:type="page"/>
      </w:r>
    </w:p>
    <w:p w14:paraId="5899BA42" w14:textId="77777777" w:rsidR="00FC5834" w:rsidRPr="007C27C0" w:rsidRDefault="00FC5834" w:rsidP="008E1E50">
      <w:pPr>
        <w:spacing w:line="276" w:lineRule="auto"/>
        <w:rPr>
          <w:rFonts w:ascii="Arial" w:hAnsi="Arial" w:cs="Arial"/>
          <w:lang w:val="en-US"/>
        </w:rPr>
      </w:pPr>
      <w:r w:rsidRPr="007C27C0">
        <w:rPr>
          <w:rFonts w:ascii="Arial" w:hAnsi="Arial" w:cs="Arial"/>
          <w:b/>
          <w:bCs/>
          <w:lang w:val="en-US"/>
        </w:rPr>
        <w:lastRenderedPageBreak/>
        <w:t>Table 1</w:t>
      </w:r>
      <w:r w:rsidRPr="007C27C0">
        <w:rPr>
          <w:rFonts w:ascii="Arial" w:hAnsi="Arial" w:cs="Arial"/>
          <w:lang w:val="en-US"/>
        </w:rPr>
        <w:t>. Left: Studied forb species and their names used in the text; right: measured substances and their code used in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704"/>
        <w:gridCol w:w="1659"/>
        <w:gridCol w:w="1200"/>
      </w:tblGrid>
      <w:tr w:rsidR="00FC5834" w:rsidRPr="007C27C0" w14:paraId="627FC9A4" w14:textId="77777777" w:rsidTr="00B51D89">
        <w:trPr>
          <w:trHeight w:val="290"/>
        </w:trPr>
        <w:tc>
          <w:tcPr>
            <w:tcW w:w="0" w:type="auto"/>
            <w:tcBorders>
              <w:top w:val="single" w:sz="4" w:space="0" w:color="auto"/>
              <w:bottom w:val="single" w:sz="4" w:space="0" w:color="auto"/>
            </w:tcBorders>
            <w:noWrap/>
          </w:tcPr>
          <w:p w14:paraId="1C8B6B18" w14:textId="77777777" w:rsidR="00FC5834" w:rsidRPr="007C27C0" w:rsidRDefault="00FC5834" w:rsidP="008E1E50">
            <w:pPr>
              <w:spacing w:after="0" w:line="276" w:lineRule="auto"/>
              <w:rPr>
                <w:rFonts w:ascii="Arial" w:hAnsi="Arial" w:cs="Arial"/>
              </w:rPr>
            </w:pPr>
            <w:r w:rsidRPr="007C27C0">
              <w:rPr>
                <w:rFonts w:ascii="Arial" w:hAnsi="Arial" w:cs="Arial"/>
              </w:rPr>
              <w:t>Species</w:t>
            </w:r>
          </w:p>
        </w:tc>
        <w:tc>
          <w:tcPr>
            <w:tcW w:w="0" w:type="auto"/>
            <w:tcBorders>
              <w:top w:val="single" w:sz="4" w:space="0" w:color="auto"/>
              <w:bottom w:val="single" w:sz="4" w:space="0" w:color="auto"/>
              <w:right w:val="single" w:sz="4" w:space="0" w:color="auto"/>
            </w:tcBorders>
          </w:tcPr>
          <w:p w14:paraId="2B982786" w14:textId="77777777" w:rsidR="00FC5834" w:rsidRPr="007C27C0" w:rsidRDefault="00FC5834" w:rsidP="008E1E50">
            <w:pPr>
              <w:spacing w:after="0" w:line="276" w:lineRule="auto"/>
              <w:jc w:val="center"/>
              <w:rPr>
                <w:rFonts w:ascii="Arial" w:hAnsi="Arial" w:cs="Arial"/>
              </w:rPr>
            </w:pPr>
            <w:r w:rsidRPr="007C27C0">
              <w:rPr>
                <w:rFonts w:ascii="Arial" w:hAnsi="Arial" w:cs="Arial"/>
              </w:rPr>
              <w:t>Name as used in the text</w:t>
            </w:r>
          </w:p>
        </w:tc>
        <w:tc>
          <w:tcPr>
            <w:tcW w:w="0" w:type="auto"/>
            <w:tcBorders>
              <w:top w:val="single" w:sz="4" w:space="0" w:color="auto"/>
              <w:left w:val="single" w:sz="4" w:space="0" w:color="auto"/>
              <w:bottom w:val="single" w:sz="4" w:space="0" w:color="auto"/>
            </w:tcBorders>
          </w:tcPr>
          <w:p w14:paraId="0731152D" w14:textId="77777777" w:rsidR="00FC5834" w:rsidRPr="007C27C0" w:rsidRDefault="00FC5834" w:rsidP="008E1E50">
            <w:pPr>
              <w:spacing w:after="0" w:line="276" w:lineRule="auto"/>
              <w:jc w:val="center"/>
              <w:rPr>
                <w:rFonts w:ascii="Arial" w:hAnsi="Arial" w:cs="Arial"/>
              </w:rPr>
            </w:pPr>
            <w:r w:rsidRPr="007C27C0">
              <w:rPr>
                <w:rFonts w:ascii="Arial" w:hAnsi="Arial" w:cs="Arial"/>
              </w:rPr>
              <w:t>Substance</w:t>
            </w:r>
          </w:p>
        </w:tc>
        <w:tc>
          <w:tcPr>
            <w:tcW w:w="0" w:type="auto"/>
            <w:tcBorders>
              <w:top w:val="single" w:sz="4" w:space="0" w:color="auto"/>
              <w:bottom w:val="single" w:sz="4" w:space="0" w:color="auto"/>
            </w:tcBorders>
          </w:tcPr>
          <w:p w14:paraId="01061C7E" w14:textId="77777777" w:rsidR="00FC5834" w:rsidRPr="007C27C0" w:rsidRDefault="00FC5834" w:rsidP="008E1E50">
            <w:pPr>
              <w:spacing w:after="0" w:line="276" w:lineRule="auto"/>
              <w:jc w:val="center"/>
              <w:rPr>
                <w:rFonts w:ascii="Arial" w:hAnsi="Arial" w:cs="Arial"/>
              </w:rPr>
            </w:pPr>
            <w:r w:rsidRPr="007C27C0">
              <w:rPr>
                <w:rFonts w:ascii="Arial" w:hAnsi="Arial" w:cs="Arial"/>
              </w:rPr>
              <w:t xml:space="preserve">Code used in Fig. 2-3 </w:t>
            </w:r>
          </w:p>
        </w:tc>
      </w:tr>
      <w:tr w:rsidR="00FC5834" w:rsidRPr="007C27C0" w14:paraId="1E6611CD" w14:textId="77777777" w:rsidTr="00B51D89">
        <w:trPr>
          <w:trHeight w:val="290"/>
        </w:trPr>
        <w:tc>
          <w:tcPr>
            <w:tcW w:w="0" w:type="auto"/>
            <w:tcBorders>
              <w:top w:val="single" w:sz="4" w:space="0" w:color="auto"/>
            </w:tcBorders>
            <w:noWrap/>
          </w:tcPr>
          <w:p w14:paraId="5B677770" w14:textId="77777777" w:rsidR="00FC5834" w:rsidRPr="007C27C0" w:rsidRDefault="00FC5834" w:rsidP="008E1E50">
            <w:pPr>
              <w:spacing w:after="0" w:line="276" w:lineRule="auto"/>
              <w:rPr>
                <w:rFonts w:ascii="Arial" w:hAnsi="Arial" w:cs="Arial"/>
                <w:i/>
                <w:iCs/>
              </w:rPr>
            </w:pPr>
            <w:bookmarkStart w:id="7" w:name="_Hlk198282536"/>
            <w:bookmarkStart w:id="8" w:name="_Hlk199835722"/>
            <w:r w:rsidRPr="007C27C0">
              <w:rPr>
                <w:rFonts w:ascii="Arial" w:hAnsi="Arial" w:cs="Arial"/>
                <w:i/>
                <w:iCs/>
                <w:lang w:val="es-ES"/>
              </w:rPr>
              <w:t>Achillea millefolium</w:t>
            </w:r>
            <w:r w:rsidRPr="007C27C0">
              <w:rPr>
                <w:rFonts w:ascii="Arial" w:hAnsi="Arial" w:cs="Arial"/>
                <w:lang w:val="es-ES"/>
              </w:rPr>
              <w:t xml:space="preserve"> L. </w:t>
            </w:r>
          </w:p>
        </w:tc>
        <w:tc>
          <w:tcPr>
            <w:tcW w:w="0" w:type="auto"/>
            <w:tcBorders>
              <w:top w:val="single" w:sz="4" w:space="0" w:color="auto"/>
              <w:right w:val="single" w:sz="4" w:space="0" w:color="auto"/>
            </w:tcBorders>
          </w:tcPr>
          <w:p w14:paraId="2B5DE758"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Achillea </w:t>
            </w:r>
          </w:p>
        </w:tc>
        <w:tc>
          <w:tcPr>
            <w:tcW w:w="0" w:type="auto"/>
            <w:tcBorders>
              <w:top w:val="single" w:sz="4" w:space="0" w:color="auto"/>
              <w:left w:val="single" w:sz="4" w:space="0" w:color="auto"/>
            </w:tcBorders>
          </w:tcPr>
          <w:p w14:paraId="4C80E4C6" w14:textId="77777777" w:rsidR="00FC5834" w:rsidRPr="007C27C0" w:rsidRDefault="00FC5834" w:rsidP="008E1E50">
            <w:pPr>
              <w:spacing w:after="0" w:line="276" w:lineRule="auto"/>
              <w:rPr>
                <w:rFonts w:ascii="Arial" w:hAnsi="Arial" w:cs="Arial"/>
                <w:i/>
                <w:iCs/>
              </w:rPr>
            </w:pPr>
            <w:r w:rsidRPr="007C27C0">
              <w:rPr>
                <w:rFonts w:ascii="Arial" w:hAnsi="Arial" w:cs="Arial"/>
              </w:rPr>
              <w:t>Anthocyanins</w:t>
            </w:r>
          </w:p>
        </w:tc>
        <w:tc>
          <w:tcPr>
            <w:tcW w:w="0" w:type="auto"/>
            <w:tcBorders>
              <w:top w:val="single" w:sz="4" w:space="0" w:color="auto"/>
            </w:tcBorders>
          </w:tcPr>
          <w:p w14:paraId="07D5568D"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ANT</w:t>
            </w:r>
          </w:p>
        </w:tc>
      </w:tr>
      <w:tr w:rsidR="00FC5834" w:rsidRPr="007C27C0" w14:paraId="3B7595D8" w14:textId="77777777" w:rsidTr="00B51D89">
        <w:trPr>
          <w:trHeight w:val="290"/>
        </w:trPr>
        <w:tc>
          <w:tcPr>
            <w:tcW w:w="0" w:type="auto"/>
            <w:noWrap/>
          </w:tcPr>
          <w:p w14:paraId="4CC5B040" w14:textId="77777777" w:rsidR="00FC5834" w:rsidRPr="007C27C0" w:rsidRDefault="00FC5834" w:rsidP="008E1E50">
            <w:pPr>
              <w:spacing w:after="0" w:line="276" w:lineRule="auto"/>
              <w:rPr>
                <w:rFonts w:ascii="Arial" w:hAnsi="Arial" w:cs="Arial"/>
                <w:i/>
                <w:iCs/>
                <w:lang w:val="es-ES"/>
              </w:rPr>
            </w:pPr>
            <w:r w:rsidRPr="007C27C0">
              <w:rPr>
                <w:rFonts w:ascii="Arial" w:hAnsi="Arial" w:cs="Arial"/>
                <w:i/>
                <w:iCs/>
                <w:lang w:val="es-ES"/>
              </w:rPr>
              <w:t>Alchemilla sericata</w:t>
            </w:r>
            <w:r w:rsidRPr="007C27C0">
              <w:rPr>
                <w:rFonts w:ascii="Arial" w:hAnsi="Arial" w:cs="Arial"/>
                <w:lang w:val="es-ES"/>
              </w:rPr>
              <w:t xml:space="preserve"> Rchb. ex Buser</w:t>
            </w:r>
          </w:p>
        </w:tc>
        <w:tc>
          <w:tcPr>
            <w:tcW w:w="0" w:type="auto"/>
            <w:tcBorders>
              <w:right w:val="single" w:sz="4" w:space="0" w:color="auto"/>
            </w:tcBorders>
          </w:tcPr>
          <w:p w14:paraId="57076BBA"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Alchemilla </w:t>
            </w:r>
          </w:p>
        </w:tc>
        <w:tc>
          <w:tcPr>
            <w:tcW w:w="0" w:type="auto"/>
            <w:tcBorders>
              <w:left w:val="single" w:sz="4" w:space="0" w:color="auto"/>
            </w:tcBorders>
          </w:tcPr>
          <w:p w14:paraId="52BCAEAA" w14:textId="77777777" w:rsidR="00FC5834" w:rsidRPr="007C27C0" w:rsidRDefault="00FC5834" w:rsidP="008E1E50">
            <w:pPr>
              <w:spacing w:after="0" w:line="276" w:lineRule="auto"/>
              <w:rPr>
                <w:rFonts w:ascii="Arial" w:hAnsi="Arial" w:cs="Arial"/>
                <w:i/>
                <w:iCs/>
              </w:rPr>
            </w:pPr>
            <w:r w:rsidRPr="007C27C0">
              <w:rPr>
                <w:rFonts w:ascii="Arial" w:hAnsi="Arial" w:cs="Arial"/>
              </w:rPr>
              <w:t>Ascorbate</w:t>
            </w:r>
          </w:p>
        </w:tc>
        <w:tc>
          <w:tcPr>
            <w:tcW w:w="0" w:type="auto"/>
          </w:tcPr>
          <w:p w14:paraId="2B857F68"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ASC</w:t>
            </w:r>
          </w:p>
        </w:tc>
      </w:tr>
      <w:tr w:rsidR="00FC5834" w:rsidRPr="007C27C0" w14:paraId="7120B32E" w14:textId="77777777" w:rsidTr="00B51D89">
        <w:trPr>
          <w:trHeight w:val="290"/>
        </w:trPr>
        <w:tc>
          <w:tcPr>
            <w:tcW w:w="0" w:type="auto"/>
            <w:noWrap/>
          </w:tcPr>
          <w:p w14:paraId="290249E0" w14:textId="77777777" w:rsidR="00FC5834" w:rsidRPr="007C27C0" w:rsidRDefault="00FC5834" w:rsidP="008E1E50">
            <w:pPr>
              <w:spacing w:after="0" w:line="276" w:lineRule="auto"/>
              <w:rPr>
                <w:rFonts w:ascii="Arial" w:hAnsi="Arial" w:cs="Arial"/>
                <w:i/>
                <w:iCs/>
              </w:rPr>
            </w:pPr>
            <w:proofErr w:type="spellStart"/>
            <w:r w:rsidRPr="007C27C0">
              <w:rPr>
                <w:rFonts w:ascii="Arial" w:hAnsi="Arial" w:cs="Arial"/>
                <w:i/>
                <w:iCs/>
              </w:rPr>
              <w:t>Arctium</w:t>
            </w:r>
            <w:proofErr w:type="spellEnd"/>
            <w:r w:rsidRPr="007C27C0">
              <w:rPr>
                <w:rFonts w:ascii="Arial" w:hAnsi="Arial" w:cs="Arial"/>
                <w:i/>
                <w:iCs/>
              </w:rPr>
              <w:t xml:space="preserve"> </w:t>
            </w:r>
            <w:proofErr w:type="spellStart"/>
            <w:r w:rsidRPr="007C27C0">
              <w:rPr>
                <w:rFonts w:ascii="Arial" w:hAnsi="Arial" w:cs="Arial"/>
                <w:i/>
                <w:iCs/>
              </w:rPr>
              <w:t>lappa</w:t>
            </w:r>
            <w:proofErr w:type="spellEnd"/>
            <w:r w:rsidRPr="007C27C0">
              <w:rPr>
                <w:rFonts w:ascii="Arial" w:hAnsi="Arial" w:cs="Arial"/>
              </w:rPr>
              <w:t xml:space="preserve"> L. </w:t>
            </w:r>
          </w:p>
        </w:tc>
        <w:tc>
          <w:tcPr>
            <w:tcW w:w="0" w:type="auto"/>
            <w:tcBorders>
              <w:right w:val="single" w:sz="4" w:space="0" w:color="auto"/>
            </w:tcBorders>
          </w:tcPr>
          <w:p w14:paraId="57D8D803"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Arctium </w:t>
            </w:r>
          </w:p>
        </w:tc>
        <w:tc>
          <w:tcPr>
            <w:tcW w:w="0" w:type="auto"/>
            <w:tcBorders>
              <w:left w:val="single" w:sz="4" w:space="0" w:color="auto"/>
            </w:tcBorders>
          </w:tcPr>
          <w:p w14:paraId="34E3C96D" w14:textId="77777777" w:rsidR="00FC5834" w:rsidRPr="007C27C0" w:rsidRDefault="00FC5834" w:rsidP="008E1E50">
            <w:pPr>
              <w:spacing w:after="0" w:line="276" w:lineRule="auto"/>
              <w:rPr>
                <w:rFonts w:ascii="Arial" w:hAnsi="Arial" w:cs="Arial"/>
                <w:i/>
                <w:iCs/>
              </w:rPr>
            </w:pPr>
            <w:r w:rsidRPr="007C27C0">
              <w:rPr>
                <w:rFonts w:ascii="Arial" w:hAnsi="Arial" w:cs="Arial"/>
              </w:rPr>
              <w:t>Carotenoids</w:t>
            </w:r>
          </w:p>
        </w:tc>
        <w:tc>
          <w:tcPr>
            <w:tcW w:w="0" w:type="auto"/>
          </w:tcPr>
          <w:p w14:paraId="21B32860"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CRT</w:t>
            </w:r>
          </w:p>
        </w:tc>
      </w:tr>
      <w:tr w:rsidR="00FC5834" w:rsidRPr="007C27C0" w14:paraId="27114E51" w14:textId="77777777" w:rsidTr="00B51D89">
        <w:trPr>
          <w:trHeight w:val="290"/>
        </w:trPr>
        <w:tc>
          <w:tcPr>
            <w:tcW w:w="0" w:type="auto"/>
            <w:noWrap/>
          </w:tcPr>
          <w:p w14:paraId="0E86D06B" w14:textId="77777777" w:rsidR="00FC5834" w:rsidRPr="007C27C0" w:rsidRDefault="00FC5834" w:rsidP="008E1E50">
            <w:pPr>
              <w:spacing w:after="0" w:line="276" w:lineRule="auto"/>
              <w:rPr>
                <w:rFonts w:ascii="Arial" w:hAnsi="Arial" w:cs="Arial"/>
                <w:i/>
                <w:iCs/>
              </w:rPr>
            </w:pPr>
            <w:proofErr w:type="spellStart"/>
            <w:r w:rsidRPr="007C27C0">
              <w:rPr>
                <w:rFonts w:ascii="Arial" w:hAnsi="Arial" w:cs="Arial"/>
                <w:i/>
                <w:iCs/>
              </w:rPr>
              <w:t>Bistorta</w:t>
            </w:r>
            <w:proofErr w:type="spellEnd"/>
            <w:r w:rsidRPr="007C27C0">
              <w:rPr>
                <w:rFonts w:ascii="Arial" w:hAnsi="Arial" w:cs="Arial"/>
                <w:i/>
                <w:iCs/>
              </w:rPr>
              <w:t xml:space="preserve"> officinalis subsp. officinalis</w:t>
            </w:r>
          </w:p>
        </w:tc>
        <w:tc>
          <w:tcPr>
            <w:tcW w:w="0" w:type="auto"/>
            <w:tcBorders>
              <w:right w:val="single" w:sz="4" w:space="0" w:color="auto"/>
            </w:tcBorders>
          </w:tcPr>
          <w:p w14:paraId="64F65124"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Hypericum </w:t>
            </w:r>
          </w:p>
        </w:tc>
        <w:tc>
          <w:tcPr>
            <w:tcW w:w="0" w:type="auto"/>
            <w:tcBorders>
              <w:left w:val="single" w:sz="4" w:space="0" w:color="auto"/>
            </w:tcBorders>
          </w:tcPr>
          <w:p w14:paraId="5893BBBA" w14:textId="77777777" w:rsidR="00FC5834" w:rsidRPr="007C27C0" w:rsidRDefault="00FC5834" w:rsidP="008E1E50">
            <w:pPr>
              <w:spacing w:after="0" w:line="276" w:lineRule="auto"/>
              <w:rPr>
                <w:rFonts w:ascii="Arial" w:hAnsi="Arial" w:cs="Arial"/>
                <w:i/>
                <w:iCs/>
              </w:rPr>
            </w:pPr>
            <w:r w:rsidRPr="007C27C0">
              <w:rPr>
                <w:rFonts w:ascii="Arial" w:hAnsi="Arial" w:cs="Arial"/>
              </w:rPr>
              <w:t>Carbohydrates</w:t>
            </w:r>
          </w:p>
        </w:tc>
        <w:tc>
          <w:tcPr>
            <w:tcW w:w="0" w:type="auto"/>
          </w:tcPr>
          <w:p w14:paraId="3695ACC2"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CRB</w:t>
            </w:r>
          </w:p>
        </w:tc>
      </w:tr>
      <w:bookmarkEnd w:id="7"/>
      <w:bookmarkEnd w:id="8"/>
      <w:tr w:rsidR="00FC5834" w:rsidRPr="007C27C0" w14:paraId="26865376" w14:textId="77777777" w:rsidTr="00B51D89">
        <w:trPr>
          <w:trHeight w:val="290"/>
        </w:trPr>
        <w:tc>
          <w:tcPr>
            <w:tcW w:w="0" w:type="auto"/>
            <w:noWrap/>
          </w:tcPr>
          <w:p w14:paraId="5DF649F9" w14:textId="77777777" w:rsidR="00FC5834" w:rsidRPr="007C27C0" w:rsidRDefault="00FC5834" w:rsidP="008E1E50">
            <w:pPr>
              <w:spacing w:after="0" w:line="276" w:lineRule="auto"/>
              <w:rPr>
                <w:rFonts w:ascii="Arial" w:hAnsi="Arial" w:cs="Arial"/>
                <w:i/>
                <w:iCs/>
              </w:rPr>
            </w:pPr>
            <w:r w:rsidRPr="007C27C0">
              <w:rPr>
                <w:rFonts w:ascii="Arial" w:hAnsi="Arial" w:cs="Arial"/>
                <w:i/>
                <w:iCs/>
                <w:lang w:val="de-AT"/>
              </w:rPr>
              <w:t>Hypericum perforatum</w:t>
            </w:r>
            <w:r w:rsidRPr="007C27C0">
              <w:rPr>
                <w:rFonts w:ascii="Arial" w:hAnsi="Arial" w:cs="Arial"/>
                <w:lang w:val="de-AT"/>
              </w:rPr>
              <w:t xml:space="preserve"> L. </w:t>
            </w:r>
          </w:p>
        </w:tc>
        <w:tc>
          <w:tcPr>
            <w:tcW w:w="0" w:type="auto"/>
            <w:tcBorders>
              <w:right w:val="single" w:sz="4" w:space="0" w:color="auto"/>
            </w:tcBorders>
          </w:tcPr>
          <w:p w14:paraId="4C80B969" w14:textId="77777777" w:rsidR="00FC5834" w:rsidRPr="007C27C0" w:rsidRDefault="00FC5834" w:rsidP="008E1E50">
            <w:pPr>
              <w:spacing w:after="0" w:line="276" w:lineRule="auto"/>
              <w:rPr>
                <w:rFonts w:ascii="Arial" w:hAnsi="Arial" w:cs="Arial"/>
                <w:i/>
                <w:iCs/>
              </w:rPr>
            </w:pPr>
            <w:proofErr w:type="spellStart"/>
            <w:r w:rsidRPr="007C27C0">
              <w:rPr>
                <w:rFonts w:ascii="Arial" w:hAnsi="Arial" w:cs="Arial"/>
                <w:i/>
                <w:iCs/>
              </w:rPr>
              <w:t>Bistorta</w:t>
            </w:r>
            <w:proofErr w:type="spellEnd"/>
            <w:r w:rsidRPr="007C27C0">
              <w:rPr>
                <w:rFonts w:ascii="Arial" w:hAnsi="Arial" w:cs="Arial"/>
                <w:i/>
                <w:iCs/>
              </w:rPr>
              <w:t xml:space="preserve"> </w:t>
            </w:r>
          </w:p>
        </w:tc>
        <w:tc>
          <w:tcPr>
            <w:tcW w:w="0" w:type="auto"/>
            <w:tcBorders>
              <w:left w:val="single" w:sz="4" w:space="0" w:color="auto"/>
            </w:tcBorders>
          </w:tcPr>
          <w:p w14:paraId="0155D6D4" w14:textId="77777777" w:rsidR="00FC5834" w:rsidRPr="007C27C0" w:rsidRDefault="00FC5834" w:rsidP="008E1E50">
            <w:pPr>
              <w:spacing w:after="0" w:line="276" w:lineRule="auto"/>
              <w:rPr>
                <w:rFonts w:ascii="Arial" w:hAnsi="Arial" w:cs="Arial"/>
                <w:i/>
                <w:iCs/>
              </w:rPr>
            </w:pPr>
            <w:r w:rsidRPr="007C27C0">
              <w:rPr>
                <w:rFonts w:ascii="Arial" w:hAnsi="Arial" w:cs="Arial"/>
              </w:rPr>
              <w:t>Catalase</w:t>
            </w:r>
          </w:p>
        </w:tc>
        <w:tc>
          <w:tcPr>
            <w:tcW w:w="0" w:type="auto"/>
          </w:tcPr>
          <w:p w14:paraId="551F22C9"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CAT</w:t>
            </w:r>
          </w:p>
        </w:tc>
      </w:tr>
      <w:tr w:rsidR="00FC5834" w:rsidRPr="007C27C0" w14:paraId="136B0963" w14:textId="77777777" w:rsidTr="00B51D89">
        <w:trPr>
          <w:trHeight w:val="290"/>
        </w:trPr>
        <w:tc>
          <w:tcPr>
            <w:tcW w:w="0" w:type="auto"/>
            <w:noWrap/>
          </w:tcPr>
          <w:p w14:paraId="0A3C9E07" w14:textId="77777777" w:rsidR="00FC5834" w:rsidRPr="007C27C0" w:rsidRDefault="00FC5834" w:rsidP="008E1E50">
            <w:pPr>
              <w:spacing w:after="0" w:line="276" w:lineRule="auto"/>
              <w:rPr>
                <w:rFonts w:ascii="Arial" w:hAnsi="Arial" w:cs="Arial"/>
                <w:i/>
                <w:iCs/>
              </w:rPr>
            </w:pPr>
            <w:r w:rsidRPr="007C27C0">
              <w:rPr>
                <w:rFonts w:ascii="Arial" w:hAnsi="Arial" w:cs="Arial"/>
                <w:i/>
                <w:iCs/>
                <w:lang w:val="de-AT"/>
              </w:rPr>
              <w:t>Origanum vulgare</w:t>
            </w:r>
            <w:r w:rsidRPr="007C27C0">
              <w:rPr>
                <w:rFonts w:ascii="Arial" w:hAnsi="Arial" w:cs="Arial"/>
                <w:lang w:val="de-AT"/>
              </w:rPr>
              <w:t xml:space="preserve"> L. </w:t>
            </w:r>
          </w:p>
        </w:tc>
        <w:tc>
          <w:tcPr>
            <w:tcW w:w="0" w:type="auto"/>
            <w:tcBorders>
              <w:right w:val="single" w:sz="4" w:space="0" w:color="auto"/>
            </w:tcBorders>
          </w:tcPr>
          <w:p w14:paraId="528722F2"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Origanum </w:t>
            </w:r>
          </w:p>
        </w:tc>
        <w:tc>
          <w:tcPr>
            <w:tcW w:w="0" w:type="auto"/>
            <w:tcBorders>
              <w:left w:val="single" w:sz="4" w:space="0" w:color="auto"/>
            </w:tcBorders>
          </w:tcPr>
          <w:p w14:paraId="255484CB" w14:textId="77777777" w:rsidR="00FC5834" w:rsidRPr="007C27C0" w:rsidRDefault="00FC5834" w:rsidP="008E1E50">
            <w:pPr>
              <w:spacing w:after="0" w:line="276" w:lineRule="auto"/>
              <w:rPr>
                <w:rFonts w:ascii="Arial" w:hAnsi="Arial" w:cs="Arial"/>
                <w:i/>
                <w:iCs/>
              </w:rPr>
            </w:pPr>
            <w:r w:rsidRPr="007C27C0">
              <w:rPr>
                <w:rFonts w:ascii="Arial" w:hAnsi="Arial" w:cs="Arial"/>
              </w:rPr>
              <w:t>Chlorophylls</w:t>
            </w:r>
          </w:p>
        </w:tc>
        <w:tc>
          <w:tcPr>
            <w:tcW w:w="0" w:type="auto"/>
          </w:tcPr>
          <w:p w14:paraId="36772249"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CHL</w:t>
            </w:r>
          </w:p>
        </w:tc>
      </w:tr>
      <w:tr w:rsidR="00FC5834" w:rsidRPr="007C27C0" w14:paraId="48FA17DC" w14:textId="77777777" w:rsidTr="00B51D89">
        <w:trPr>
          <w:trHeight w:val="290"/>
        </w:trPr>
        <w:tc>
          <w:tcPr>
            <w:tcW w:w="0" w:type="auto"/>
            <w:noWrap/>
          </w:tcPr>
          <w:p w14:paraId="0C53DDA8" w14:textId="77777777" w:rsidR="00FC5834" w:rsidRPr="007C27C0" w:rsidRDefault="00FC5834" w:rsidP="008E1E50">
            <w:pPr>
              <w:spacing w:after="0" w:line="276" w:lineRule="auto"/>
              <w:rPr>
                <w:rFonts w:ascii="Arial" w:hAnsi="Arial" w:cs="Arial"/>
                <w:i/>
                <w:iCs/>
              </w:rPr>
            </w:pPr>
            <w:r w:rsidRPr="007C27C0">
              <w:rPr>
                <w:rFonts w:ascii="Arial" w:hAnsi="Arial" w:cs="Arial"/>
                <w:i/>
                <w:iCs/>
              </w:rPr>
              <w:t>Plantago major</w:t>
            </w:r>
            <w:r w:rsidRPr="007C27C0">
              <w:rPr>
                <w:rFonts w:ascii="Arial" w:hAnsi="Arial" w:cs="Arial"/>
              </w:rPr>
              <w:t xml:space="preserve"> L. </w:t>
            </w:r>
          </w:p>
        </w:tc>
        <w:tc>
          <w:tcPr>
            <w:tcW w:w="0" w:type="auto"/>
            <w:tcBorders>
              <w:right w:val="single" w:sz="4" w:space="0" w:color="auto"/>
            </w:tcBorders>
          </w:tcPr>
          <w:p w14:paraId="086B1C79"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Plantago </w:t>
            </w:r>
          </w:p>
        </w:tc>
        <w:tc>
          <w:tcPr>
            <w:tcW w:w="0" w:type="auto"/>
            <w:tcBorders>
              <w:left w:val="single" w:sz="4" w:space="0" w:color="auto"/>
            </w:tcBorders>
          </w:tcPr>
          <w:p w14:paraId="10300868" w14:textId="77777777" w:rsidR="00FC5834" w:rsidRPr="007C27C0" w:rsidRDefault="00FC5834" w:rsidP="008E1E50">
            <w:pPr>
              <w:spacing w:after="0" w:line="276" w:lineRule="auto"/>
              <w:rPr>
                <w:rFonts w:ascii="Arial" w:hAnsi="Arial" w:cs="Arial"/>
                <w:i/>
                <w:iCs/>
              </w:rPr>
            </w:pPr>
            <w:r w:rsidRPr="007C27C0">
              <w:rPr>
                <w:rFonts w:ascii="Arial" w:hAnsi="Arial" w:cs="Arial"/>
              </w:rPr>
              <w:t>N-reductase</w:t>
            </w:r>
          </w:p>
        </w:tc>
        <w:tc>
          <w:tcPr>
            <w:tcW w:w="0" w:type="auto"/>
          </w:tcPr>
          <w:p w14:paraId="1DBF24F9"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NRD</w:t>
            </w:r>
          </w:p>
        </w:tc>
      </w:tr>
      <w:tr w:rsidR="00FC5834" w:rsidRPr="007C27C0" w14:paraId="41835E5C" w14:textId="77777777" w:rsidTr="00B51D89">
        <w:trPr>
          <w:trHeight w:val="290"/>
        </w:trPr>
        <w:tc>
          <w:tcPr>
            <w:tcW w:w="0" w:type="auto"/>
            <w:noWrap/>
          </w:tcPr>
          <w:p w14:paraId="3D721DA0" w14:textId="77777777" w:rsidR="00FC5834" w:rsidRPr="007C27C0" w:rsidRDefault="00FC5834" w:rsidP="008E1E50">
            <w:pPr>
              <w:spacing w:after="0" w:line="276" w:lineRule="auto"/>
              <w:rPr>
                <w:rFonts w:ascii="Arial" w:hAnsi="Arial" w:cs="Arial"/>
                <w:i/>
                <w:iCs/>
              </w:rPr>
            </w:pPr>
            <w:r w:rsidRPr="007C27C0">
              <w:rPr>
                <w:rFonts w:ascii="Arial" w:hAnsi="Arial" w:cs="Arial"/>
                <w:i/>
                <w:iCs/>
              </w:rPr>
              <w:t>Rumex alpinus</w:t>
            </w:r>
            <w:r w:rsidRPr="007C27C0">
              <w:rPr>
                <w:rFonts w:ascii="Arial" w:hAnsi="Arial" w:cs="Arial"/>
              </w:rPr>
              <w:t xml:space="preserve"> L. </w:t>
            </w:r>
          </w:p>
        </w:tc>
        <w:tc>
          <w:tcPr>
            <w:tcW w:w="0" w:type="auto"/>
            <w:tcBorders>
              <w:right w:val="single" w:sz="4" w:space="0" w:color="auto"/>
            </w:tcBorders>
          </w:tcPr>
          <w:p w14:paraId="5DE760A2"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Rumex </w:t>
            </w:r>
          </w:p>
        </w:tc>
        <w:tc>
          <w:tcPr>
            <w:tcW w:w="0" w:type="auto"/>
            <w:tcBorders>
              <w:left w:val="single" w:sz="4" w:space="0" w:color="auto"/>
            </w:tcBorders>
          </w:tcPr>
          <w:p w14:paraId="10731B12" w14:textId="77777777" w:rsidR="00FC5834" w:rsidRPr="007C27C0" w:rsidRDefault="00FC5834" w:rsidP="008E1E50">
            <w:pPr>
              <w:spacing w:after="0" w:line="276" w:lineRule="auto"/>
              <w:rPr>
                <w:rFonts w:ascii="Arial" w:hAnsi="Arial" w:cs="Arial"/>
                <w:i/>
                <w:iCs/>
              </w:rPr>
            </w:pPr>
            <w:r w:rsidRPr="007C27C0">
              <w:rPr>
                <w:rFonts w:ascii="Arial" w:hAnsi="Arial" w:cs="Arial"/>
              </w:rPr>
              <w:t>Peroxidase</w:t>
            </w:r>
          </w:p>
        </w:tc>
        <w:tc>
          <w:tcPr>
            <w:tcW w:w="0" w:type="auto"/>
          </w:tcPr>
          <w:p w14:paraId="2AE22A74"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PRX</w:t>
            </w:r>
          </w:p>
        </w:tc>
      </w:tr>
      <w:tr w:rsidR="00FC5834" w:rsidRPr="007C27C0" w14:paraId="17A95F9B" w14:textId="77777777" w:rsidTr="00B51D89">
        <w:trPr>
          <w:trHeight w:val="290"/>
        </w:trPr>
        <w:tc>
          <w:tcPr>
            <w:tcW w:w="0" w:type="auto"/>
            <w:noWrap/>
          </w:tcPr>
          <w:p w14:paraId="67C7CE6E" w14:textId="77777777" w:rsidR="00FC5834" w:rsidRPr="007C27C0" w:rsidRDefault="00FC5834" w:rsidP="008E1E50">
            <w:pPr>
              <w:spacing w:after="0" w:line="276" w:lineRule="auto"/>
              <w:rPr>
                <w:rFonts w:ascii="Arial" w:hAnsi="Arial" w:cs="Arial"/>
                <w:i/>
                <w:iCs/>
              </w:rPr>
            </w:pPr>
            <w:r w:rsidRPr="007C27C0">
              <w:rPr>
                <w:rFonts w:ascii="Arial" w:hAnsi="Arial" w:cs="Arial"/>
                <w:i/>
                <w:iCs/>
              </w:rPr>
              <w:t>Taraxacum officinale</w:t>
            </w:r>
            <w:r w:rsidRPr="007C27C0">
              <w:rPr>
                <w:rFonts w:ascii="Arial" w:hAnsi="Arial" w:cs="Arial"/>
              </w:rPr>
              <w:t xml:space="preserve"> (L.) Weber ex </w:t>
            </w:r>
            <w:proofErr w:type="spellStart"/>
            <w:r w:rsidRPr="007C27C0">
              <w:rPr>
                <w:rFonts w:ascii="Arial" w:hAnsi="Arial" w:cs="Arial"/>
              </w:rPr>
              <w:t>F.H.Wigg</w:t>
            </w:r>
            <w:proofErr w:type="spellEnd"/>
            <w:r w:rsidRPr="007C27C0">
              <w:rPr>
                <w:rFonts w:ascii="Arial" w:hAnsi="Arial" w:cs="Arial"/>
              </w:rPr>
              <w:t>.</w:t>
            </w:r>
          </w:p>
        </w:tc>
        <w:tc>
          <w:tcPr>
            <w:tcW w:w="0" w:type="auto"/>
            <w:tcBorders>
              <w:right w:val="single" w:sz="4" w:space="0" w:color="auto"/>
            </w:tcBorders>
          </w:tcPr>
          <w:p w14:paraId="77473816"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Taraxacum </w:t>
            </w:r>
          </w:p>
        </w:tc>
        <w:tc>
          <w:tcPr>
            <w:tcW w:w="0" w:type="auto"/>
            <w:tcBorders>
              <w:left w:val="single" w:sz="4" w:space="0" w:color="auto"/>
            </w:tcBorders>
          </w:tcPr>
          <w:p w14:paraId="023F93F0" w14:textId="77777777" w:rsidR="00FC5834" w:rsidRPr="007C27C0" w:rsidRDefault="00FC5834" w:rsidP="008E1E50">
            <w:pPr>
              <w:spacing w:after="0" w:line="276" w:lineRule="auto"/>
              <w:rPr>
                <w:rFonts w:ascii="Arial" w:hAnsi="Arial" w:cs="Arial"/>
                <w:i/>
                <w:iCs/>
              </w:rPr>
            </w:pPr>
            <w:r w:rsidRPr="007C27C0">
              <w:rPr>
                <w:rFonts w:ascii="Arial" w:hAnsi="Arial" w:cs="Arial"/>
              </w:rPr>
              <w:t>Phenolics</w:t>
            </w:r>
          </w:p>
        </w:tc>
        <w:tc>
          <w:tcPr>
            <w:tcW w:w="0" w:type="auto"/>
          </w:tcPr>
          <w:p w14:paraId="5C1B200C"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PHN</w:t>
            </w:r>
          </w:p>
        </w:tc>
      </w:tr>
      <w:tr w:rsidR="00FC5834" w:rsidRPr="007C27C0" w14:paraId="109645CA" w14:textId="77777777" w:rsidTr="00B51D89">
        <w:trPr>
          <w:trHeight w:val="290"/>
        </w:trPr>
        <w:tc>
          <w:tcPr>
            <w:tcW w:w="0" w:type="auto"/>
            <w:noWrap/>
          </w:tcPr>
          <w:p w14:paraId="57C56F5C"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Thymus </w:t>
            </w:r>
            <w:proofErr w:type="spellStart"/>
            <w:r w:rsidRPr="007C27C0">
              <w:rPr>
                <w:rFonts w:ascii="Arial" w:hAnsi="Arial" w:cs="Arial"/>
                <w:i/>
                <w:iCs/>
              </w:rPr>
              <w:t>collinus</w:t>
            </w:r>
            <w:proofErr w:type="spellEnd"/>
            <w:r w:rsidRPr="007C27C0">
              <w:rPr>
                <w:rFonts w:ascii="Arial" w:hAnsi="Arial" w:cs="Arial"/>
              </w:rPr>
              <w:t xml:space="preserve"> </w:t>
            </w:r>
            <w:proofErr w:type="spellStart"/>
            <w:r w:rsidRPr="007C27C0">
              <w:rPr>
                <w:rFonts w:ascii="Arial" w:hAnsi="Arial" w:cs="Arial"/>
              </w:rPr>
              <w:t>M.Bieb</w:t>
            </w:r>
            <w:proofErr w:type="spellEnd"/>
            <w:r w:rsidRPr="007C27C0">
              <w:rPr>
                <w:rFonts w:ascii="Arial" w:hAnsi="Arial" w:cs="Arial"/>
              </w:rPr>
              <w:t xml:space="preserve">. </w:t>
            </w:r>
          </w:p>
        </w:tc>
        <w:tc>
          <w:tcPr>
            <w:tcW w:w="0" w:type="auto"/>
            <w:tcBorders>
              <w:right w:val="single" w:sz="4" w:space="0" w:color="auto"/>
            </w:tcBorders>
          </w:tcPr>
          <w:p w14:paraId="4C4E0326"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Thymus </w:t>
            </w:r>
          </w:p>
        </w:tc>
        <w:tc>
          <w:tcPr>
            <w:tcW w:w="0" w:type="auto"/>
            <w:tcBorders>
              <w:left w:val="single" w:sz="4" w:space="0" w:color="auto"/>
            </w:tcBorders>
          </w:tcPr>
          <w:p w14:paraId="67DBA3C4" w14:textId="77777777" w:rsidR="00FC5834" w:rsidRPr="007C27C0" w:rsidRDefault="00FC5834" w:rsidP="008E1E50">
            <w:pPr>
              <w:spacing w:after="0" w:line="276" w:lineRule="auto"/>
              <w:rPr>
                <w:rFonts w:ascii="Arial" w:hAnsi="Arial" w:cs="Arial"/>
                <w:i/>
                <w:iCs/>
              </w:rPr>
            </w:pPr>
            <w:r w:rsidRPr="007C27C0">
              <w:rPr>
                <w:rFonts w:ascii="Arial" w:hAnsi="Arial" w:cs="Arial"/>
              </w:rPr>
              <w:t>Proline</w:t>
            </w:r>
          </w:p>
        </w:tc>
        <w:tc>
          <w:tcPr>
            <w:tcW w:w="0" w:type="auto"/>
          </w:tcPr>
          <w:p w14:paraId="702683AC"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PRL</w:t>
            </w:r>
          </w:p>
        </w:tc>
      </w:tr>
      <w:tr w:rsidR="00FC5834" w:rsidRPr="007C27C0" w14:paraId="281D65B8" w14:textId="77777777" w:rsidTr="00B51D89">
        <w:trPr>
          <w:trHeight w:val="290"/>
        </w:trPr>
        <w:tc>
          <w:tcPr>
            <w:tcW w:w="0" w:type="auto"/>
            <w:noWrap/>
          </w:tcPr>
          <w:p w14:paraId="700003DD" w14:textId="77777777" w:rsidR="00FC5834" w:rsidRPr="007C27C0" w:rsidRDefault="00FC5834" w:rsidP="008E1E50">
            <w:pPr>
              <w:spacing w:after="0" w:line="276" w:lineRule="auto"/>
              <w:rPr>
                <w:rFonts w:ascii="Arial" w:hAnsi="Arial" w:cs="Arial"/>
                <w:i/>
                <w:iCs/>
              </w:rPr>
            </w:pPr>
            <w:r w:rsidRPr="007C27C0">
              <w:rPr>
                <w:rFonts w:ascii="Arial" w:hAnsi="Arial" w:cs="Arial"/>
                <w:i/>
                <w:iCs/>
              </w:rPr>
              <w:t>Trifolium pratense</w:t>
            </w:r>
            <w:r w:rsidRPr="007C27C0">
              <w:rPr>
                <w:rFonts w:ascii="Arial" w:hAnsi="Arial" w:cs="Arial"/>
              </w:rPr>
              <w:t xml:space="preserve"> L. </w:t>
            </w:r>
          </w:p>
        </w:tc>
        <w:tc>
          <w:tcPr>
            <w:tcW w:w="0" w:type="auto"/>
            <w:tcBorders>
              <w:right w:val="single" w:sz="4" w:space="0" w:color="auto"/>
            </w:tcBorders>
          </w:tcPr>
          <w:p w14:paraId="4BA118F0"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Trifolium </w:t>
            </w:r>
          </w:p>
        </w:tc>
        <w:tc>
          <w:tcPr>
            <w:tcW w:w="0" w:type="auto"/>
            <w:tcBorders>
              <w:left w:val="single" w:sz="4" w:space="0" w:color="auto"/>
            </w:tcBorders>
          </w:tcPr>
          <w:p w14:paraId="7E469F80" w14:textId="77777777" w:rsidR="00FC5834" w:rsidRPr="007C27C0" w:rsidRDefault="00FC5834" w:rsidP="008E1E50">
            <w:pPr>
              <w:spacing w:after="0" w:line="276" w:lineRule="auto"/>
              <w:rPr>
                <w:rFonts w:ascii="Arial" w:hAnsi="Arial" w:cs="Arial"/>
                <w:i/>
                <w:iCs/>
              </w:rPr>
            </w:pPr>
            <w:r w:rsidRPr="007C27C0">
              <w:rPr>
                <w:rFonts w:ascii="Arial" w:hAnsi="Arial" w:cs="Arial"/>
              </w:rPr>
              <w:t>Proteins</w:t>
            </w:r>
          </w:p>
        </w:tc>
        <w:tc>
          <w:tcPr>
            <w:tcW w:w="0" w:type="auto"/>
          </w:tcPr>
          <w:p w14:paraId="7661FC6A"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PRT</w:t>
            </w:r>
          </w:p>
        </w:tc>
      </w:tr>
      <w:tr w:rsidR="00FC5834" w:rsidRPr="007C27C0" w14:paraId="2A4E9618" w14:textId="77777777" w:rsidTr="00B51D89">
        <w:trPr>
          <w:trHeight w:val="290"/>
        </w:trPr>
        <w:tc>
          <w:tcPr>
            <w:tcW w:w="0" w:type="auto"/>
            <w:noWrap/>
          </w:tcPr>
          <w:p w14:paraId="0AD41D63" w14:textId="77777777" w:rsidR="00FC5834" w:rsidRPr="007C27C0" w:rsidRDefault="00FC5834" w:rsidP="008E1E50">
            <w:pPr>
              <w:spacing w:after="0" w:line="276" w:lineRule="auto"/>
              <w:rPr>
                <w:rFonts w:ascii="Arial" w:hAnsi="Arial" w:cs="Arial"/>
                <w:i/>
                <w:iCs/>
              </w:rPr>
            </w:pPr>
            <w:proofErr w:type="spellStart"/>
            <w:r w:rsidRPr="007C27C0">
              <w:rPr>
                <w:rFonts w:ascii="Arial" w:hAnsi="Arial" w:cs="Arial"/>
                <w:i/>
                <w:iCs/>
              </w:rPr>
              <w:t>Valeriana</w:t>
            </w:r>
            <w:proofErr w:type="spellEnd"/>
            <w:r w:rsidRPr="007C27C0">
              <w:rPr>
                <w:rFonts w:ascii="Arial" w:hAnsi="Arial" w:cs="Arial"/>
                <w:i/>
                <w:iCs/>
              </w:rPr>
              <w:t xml:space="preserve"> </w:t>
            </w:r>
            <w:proofErr w:type="spellStart"/>
            <w:r w:rsidRPr="007C27C0">
              <w:rPr>
                <w:rFonts w:ascii="Arial" w:hAnsi="Arial" w:cs="Arial"/>
                <w:i/>
                <w:iCs/>
              </w:rPr>
              <w:t>tiliifolia</w:t>
            </w:r>
            <w:proofErr w:type="spellEnd"/>
            <w:r w:rsidRPr="007C27C0">
              <w:rPr>
                <w:rFonts w:ascii="Arial" w:hAnsi="Arial" w:cs="Arial"/>
              </w:rPr>
              <w:t xml:space="preserve"> </w:t>
            </w:r>
            <w:proofErr w:type="spellStart"/>
            <w:r w:rsidRPr="007C27C0">
              <w:rPr>
                <w:rFonts w:ascii="Arial" w:hAnsi="Arial" w:cs="Arial"/>
              </w:rPr>
              <w:t>Troickij</w:t>
            </w:r>
            <w:proofErr w:type="spellEnd"/>
          </w:p>
        </w:tc>
        <w:tc>
          <w:tcPr>
            <w:tcW w:w="0" w:type="auto"/>
            <w:tcBorders>
              <w:right w:val="single" w:sz="4" w:space="0" w:color="auto"/>
            </w:tcBorders>
          </w:tcPr>
          <w:p w14:paraId="067814C4"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Valeriana </w:t>
            </w:r>
          </w:p>
        </w:tc>
        <w:tc>
          <w:tcPr>
            <w:tcW w:w="0" w:type="auto"/>
            <w:tcBorders>
              <w:left w:val="single" w:sz="4" w:space="0" w:color="auto"/>
            </w:tcBorders>
          </w:tcPr>
          <w:p w14:paraId="47C166B7" w14:textId="77777777" w:rsidR="00FC5834" w:rsidRPr="007C27C0" w:rsidRDefault="00FC5834" w:rsidP="008E1E50">
            <w:pPr>
              <w:spacing w:after="0" w:line="276" w:lineRule="auto"/>
              <w:rPr>
                <w:rFonts w:ascii="Arial" w:hAnsi="Arial" w:cs="Arial"/>
                <w:i/>
                <w:iCs/>
              </w:rPr>
            </w:pPr>
            <w:r w:rsidRPr="007C27C0">
              <w:rPr>
                <w:rFonts w:ascii="Arial" w:hAnsi="Arial" w:cs="Arial"/>
              </w:rPr>
              <w:t>Tocopherols</w:t>
            </w:r>
          </w:p>
        </w:tc>
        <w:tc>
          <w:tcPr>
            <w:tcW w:w="0" w:type="auto"/>
          </w:tcPr>
          <w:p w14:paraId="618E4735" w14:textId="77777777" w:rsidR="00FC5834" w:rsidRPr="007C27C0" w:rsidRDefault="00FC5834" w:rsidP="008E1E50">
            <w:pPr>
              <w:spacing w:after="0" w:line="276" w:lineRule="auto"/>
              <w:jc w:val="center"/>
              <w:rPr>
                <w:rFonts w:ascii="Arial" w:hAnsi="Arial" w:cs="Arial"/>
                <w:i/>
                <w:iCs/>
              </w:rPr>
            </w:pPr>
            <w:r w:rsidRPr="007C27C0">
              <w:rPr>
                <w:rFonts w:ascii="Arial" w:hAnsi="Arial" w:cs="Arial"/>
              </w:rPr>
              <w:t>TOC</w:t>
            </w:r>
          </w:p>
        </w:tc>
      </w:tr>
      <w:tr w:rsidR="00FC5834" w:rsidRPr="007C27C0" w14:paraId="5AA68939" w14:textId="77777777" w:rsidTr="00B51D89">
        <w:trPr>
          <w:trHeight w:val="290"/>
        </w:trPr>
        <w:tc>
          <w:tcPr>
            <w:tcW w:w="0" w:type="auto"/>
            <w:tcBorders>
              <w:bottom w:val="single" w:sz="4" w:space="0" w:color="auto"/>
            </w:tcBorders>
            <w:noWrap/>
          </w:tcPr>
          <w:p w14:paraId="23E0E865"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Veratrum </w:t>
            </w:r>
            <w:proofErr w:type="spellStart"/>
            <w:r w:rsidRPr="007C27C0">
              <w:rPr>
                <w:rFonts w:ascii="Arial" w:hAnsi="Arial" w:cs="Arial"/>
                <w:i/>
                <w:iCs/>
              </w:rPr>
              <w:t>lobelianum</w:t>
            </w:r>
            <w:proofErr w:type="spellEnd"/>
            <w:r w:rsidRPr="007C27C0">
              <w:rPr>
                <w:rFonts w:ascii="Arial" w:hAnsi="Arial" w:cs="Arial"/>
              </w:rPr>
              <w:t xml:space="preserve"> </w:t>
            </w:r>
            <w:proofErr w:type="spellStart"/>
            <w:r w:rsidRPr="007C27C0">
              <w:rPr>
                <w:rFonts w:ascii="Arial" w:hAnsi="Arial" w:cs="Arial"/>
              </w:rPr>
              <w:t>Bernh</w:t>
            </w:r>
            <w:proofErr w:type="spellEnd"/>
            <w:r w:rsidRPr="007C27C0">
              <w:rPr>
                <w:rFonts w:ascii="Arial" w:hAnsi="Arial" w:cs="Arial"/>
              </w:rPr>
              <w:t>.</w:t>
            </w:r>
          </w:p>
        </w:tc>
        <w:tc>
          <w:tcPr>
            <w:tcW w:w="0" w:type="auto"/>
            <w:tcBorders>
              <w:bottom w:val="single" w:sz="4" w:space="0" w:color="auto"/>
              <w:right w:val="single" w:sz="4" w:space="0" w:color="auto"/>
            </w:tcBorders>
          </w:tcPr>
          <w:p w14:paraId="06401DB9" w14:textId="77777777" w:rsidR="00FC5834" w:rsidRPr="007C27C0" w:rsidRDefault="00FC5834" w:rsidP="008E1E50">
            <w:pPr>
              <w:spacing w:after="0" w:line="276" w:lineRule="auto"/>
              <w:rPr>
                <w:rFonts w:ascii="Arial" w:hAnsi="Arial" w:cs="Arial"/>
                <w:i/>
                <w:iCs/>
              </w:rPr>
            </w:pPr>
            <w:r w:rsidRPr="007C27C0">
              <w:rPr>
                <w:rFonts w:ascii="Arial" w:hAnsi="Arial" w:cs="Arial"/>
                <w:i/>
                <w:iCs/>
              </w:rPr>
              <w:t xml:space="preserve">Veratrum </w:t>
            </w:r>
          </w:p>
        </w:tc>
        <w:tc>
          <w:tcPr>
            <w:tcW w:w="0" w:type="auto"/>
            <w:tcBorders>
              <w:left w:val="single" w:sz="4" w:space="0" w:color="auto"/>
              <w:bottom w:val="single" w:sz="4" w:space="0" w:color="auto"/>
            </w:tcBorders>
          </w:tcPr>
          <w:p w14:paraId="64C0EA11" w14:textId="77777777" w:rsidR="00FC5834" w:rsidRPr="007C27C0" w:rsidRDefault="00FC5834" w:rsidP="008E1E50">
            <w:pPr>
              <w:spacing w:after="0" w:line="276" w:lineRule="auto"/>
              <w:rPr>
                <w:rFonts w:ascii="Arial" w:hAnsi="Arial" w:cs="Arial"/>
                <w:i/>
                <w:iCs/>
              </w:rPr>
            </w:pPr>
          </w:p>
        </w:tc>
        <w:tc>
          <w:tcPr>
            <w:tcW w:w="0" w:type="auto"/>
            <w:tcBorders>
              <w:bottom w:val="single" w:sz="4" w:space="0" w:color="auto"/>
            </w:tcBorders>
          </w:tcPr>
          <w:p w14:paraId="57E0804A" w14:textId="77777777" w:rsidR="00FC5834" w:rsidRPr="007C27C0" w:rsidRDefault="00FC5834" w:rsidP="008E1E50">
            <w:pPr>
              <w:spacing w:after="0" w:line="276" w:lineRule="auto"/>
              <w:rPr>
                <w:rFonts w:ascii="Arial" w:hAnsi="Arial" w:cs="Arial"/>
                <w:i/>
                <w:iCs/>
              </w:rPr>
            </w:pPr>
          </w:p>
        </w:tc>
      </w:tr>
    </w:tbl>
    <w:p w14:paraId="41EB3097" w14:textId="77777777" w:rsidR="00FC5834" w:rsidRPr="007C27C0" w:rsidRDefault="00FC5834" w:rsidP="008E1E50">
      <w:pPr>
        <w:spacing w:line="276" w:lineRule="auto"/>
        <w:rPr>
          <w:rFonts w:ascii="Arial" w:hAnsi="Arial" w:cs="Arial"/>
          <w:lang w:val="en-US"/>
        </w:rPr>
      </w:pPr>
    </w:p>
    <w:p w14:paraId="76B3E55F" w14:textId="77777777" w:rsidR="00FC5834" w:rsidRPr="007C27C0" w:rsidRDefault="00FC5834" w:rsidP="008E1E50">
      <w:pPr>
        <w:spacing w:line="276" w:lineRule="auto"/>
        <w:rPr>
          <w:rFonts w:ascii="Arial" w:hAnsi="Arial" w:cs="Arial"/>
        </w:rPr>
      </w:pPr>
    </w:p>
    <w:p w14:paraId="6E736984" w14:textId="77777777" w:rsidR="00FC5834" w:rsidRPr="007C27C0" w:rsidRDefault="00FC5834" w:rsidP="008E1E50">
      <w:pPr>
        <w:spacing w:after="0" w:line="276" w:lineRule="auto"/>
        <w:rPr>
          <w:rFonts w:ascii="Arial" w:hAnsi="Arial" w:cs="Arial"/>
          <w:b/>
          <w:bCs/>
        </w:rPr>
      </w:pPr>
      <w:r w:rsidRPr="007C27C0">
        <w:rPr>
          <w:rFonts w:ascii="Arial" w:hAnsi="Arial" w:cs="Arial"/>
          <w:b/>
          <w:bCs/>
        </w:rPr>
        <w:br w:type="page"/>
      </w:r>
    </w:p>
    <w:p w14:paraId="5CA3DE78" w14:textId="77777777" w:rsidR="00FC5834" w:rsidRPr="007C27C0" w:rsidRDefault="00FC5834" w:rsidP="008E1E50">
      <w:pPr>
        <w:spacing w:line="276" w:lineRule="auto"/>
        <w:rPr>
          <w:rFonts w:ascii="Arial" w:hAnsi="Arial" w:cs="Arial"/>
        </w:rPr>
      </w:pPr>
      <w:r w:rsidRPr="007C27C0">
        <w:rPr>
          <w:rFonts w:ascii="Arial" w:hAnsi="Arial" w:cs="Arial"/>
          <w:b/>
          <w:bCs/>
        </w:rPr>
        <w:lastRenderedPageBreak/>
        <w:t>Table 2</w:t>
      </w:r>
      <w:r w:rsidRPr="007C27C0">
        <w:rPr>
          <w:rFonts w:ascii="Arial" w:hAnsi="Arial" w:cs="Arial"/>
        </w:rPr>
        <w:t>. Climatic character at study locations and their code used in Fig.2.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1324"/>
        <w:gridCol w:w="1488"/>
        <w:gridCol w:w="1325"/>
        <w:gridCol w:w="1768"/>
      </w:tblGrid>
      <w:tr w:rsidR="00FC5834" w:rsidRPr="007C27C0" w14:paraId="0AD0D5CA" w14:textId="77777777" w:rsidTr="00BF449F">
        <w:trPr>
          <w:trHeight w:val="290"/>
        </w:trPr>
        <w:tc>
          <w:tcPr>
            <w:tcW w:w="0" w:type="auto"/>
            <w:tcBorders>
              <w:top w:val="single" w:sz="4" w:space="0" w:color="auto"/>
              <w:bottom w:val="single" w:sz="4" w:space="0" w:color="auto"/>
            </w:tcBorders>
            <w:noWrap/>
          </w:tcPr>
          <w:p w14:paraId="159A82A1" w14:textId="77777777" w:rsidR="00FC5834" w:rsidRPr="007C27C0" w:rsidRDefault="00FC5834" w:rsidP="008E1E50">
            <w:pPr>
              <w:spacing w:after="0" w:line="276" w:lineRule="auto"/>
              <w:rPr>
                <w:rFonts w:ascii="Arial" w:hAnsi="Arial" w:cs="Arial"/>
              </w:rPr>
            </w:pPr>
            <w:r w:rsidRPr="007C27C0">
              <w:rPr>
                <w:rFonts w:ascii="Arial" w:hAnsi="Arial" w:cs="Arial"/>
              </w:rPr>
              <w:t>Location</w:t>
            </w:r>
          </w:p>
        </w:tc>
        <w:tc>
          <w:tcPr>
            <w:tcW w:w="0" w:type="auto"/>
            <w:tcBorders>
              <w:top w:val="single" w:sz="4" w:space="0" w:color="auto"/>
              <w:bottom w:val="single" w:sz="4" w:space="0" w:color="auto"/>
            </w:tcBorders>
          </w:tcPr>
          <w:p w14:paraId="63921694" w14:textId="77777777" w:rsidR="00FC5834" w:rsidRPr="007C27C0" w:rsidRDefault="00FC5834" w:rsidP="008E1E50">
            <w:pPr>
              <w:spacing w:after="0" w:line="276" w:lineRule="auto"/>
              <w:jc w:val="center"/>
              <w:rPr>
                <w:rFonts w:ascii="Arial" w:hAnsi="Arial" w:cs="Arial"/>
              </w:rPr>
            </w:pPr>
            <w:r w:rsidRPr="007C27C0">
              <w:rPr>
                <w:rFonts w:ascii="Arial" w:hAnsi="Arial" w:cs="Arial"/>
              </w:rPr>
              <w:t>Bakuriani</w:t>
            </w:r>
          </w:p>
        </w:tc>
        <w:tc>
          <w:tcPr>
            <w:tcW w:w="0" w:type="auto"/>
            <w:tcBorders>
              <w:top w:val="single" w:sz="4" w:space="0" w:color="auto"/>
              <w:bottom w:val="single" w:sz="4" w:space="0" w:color="auto"/>
            </w:tcBorders>
          </w:tcPr>
          <w:p w14:paraId="76791F87" w14:textId="77777777" w:rsidR="00FC5834" w:rsidRPr="007C27C0" w:rsidRDefault="00FC5834" w:rsidP="008E1E50">
            <w:pPr>
              <w:spacing w:after="0" w:line="276" w:lineRule="auto"/>
              <w:jc w:val="center"/>
              <w:rPr>
                <w:rFonts w:ascii="Arial" w:hAnsi="Arial" w:cs="Arial"/>
              </w:rPr>
            </w:pPr>
            <w:r w:rsidRPr="007C27C0">
              <w:rPr>
                <w:rFonts w:ascii="Arial" w:hAnsi="Arial" w:cs="Arial"/>
              </w:rPr>
              <w:t>Tskhratskaro</w:t>
            </w:r>
          </w:p>
        </w:tc>
        <w:tc>
          <w:tcPr>
            <w:tcW w:w="0" w:type="auto"/>
            <w:tcBorders>
              <w:top w:val="single" w:sz="4" w:space="0" w:color="auto"/>
              <w:bottom w:val="single" w:sz="4" w:space="0" w:color="auto"/>
            </w:tcBorders>
          </w:tcPr>
          <w:p w14:paraId="1FBB703C" w14:textId="77777777" w:rsidR="00FC5834" w:rsidRPr="007C27C0" w:rsidRDefault="00FC5834" w:rsidP="008E1E50">
            <w:pPr>
              <w:spacing w:after="0" w:line="276" w:lineRule="auto"/>
              <w:jc w:val="center"/>
              <w:rPr>
                <w:rFonts w:ascii="Arial" w:hAnsi="Arial" w:cs="Arial"/>
              </w:rPr>
            </w:pPr>
            <w:r w:rsidRPr="007C27C0">
              <w:rPr>
                <w:rFonts w:ascii="Arial" w:hAnsi="Arial" w:cs="Arial"/>
              </w:rPr>
              <w:t>Sno</w:t>
            </w:r>
          </w:p>
        </w:tc>
        <w:tc>
          <w:tcPr>
            <w:tcW w:w="0" w:type="auto"/>
            <w:tcBorders>
              <w:top w:val="single" w:sz="4" w:space="0" w:color="auto"/>
              <w:bottom w:val="single" w:sz="4" w:space="0" w:color="auto"/>
            </w:tcBorders>
          </w:tcPr>
          <w:p w14:paraId="74CD80BD" w14:textId="77777777" w:rsidR="00FC5834" w:rsidRPr="007C27C0" w:rsidRDefault="00FC5834" w:rsidP="008E1E50">
            <w:pPr>
              <w:spacing w:after="0" w:line="276" w:lineRule="auto"/>
              <w:jc w:val="center"/>
              <w:rPr>
                <w:rFonts w:ascii="Arial" w:hAnsi="Arial" w:cs="Arial"/>
              </w:rPr>
            </w:pPr>
            <w:r w:rsidRPr="007C27C0">
              <w:rPr>
                <w:rFonts w:ascii="Arial" w:hAnsi="Arial" w:cs="Arial"/>
              </w:rPr>
              <w:t xml:space="preserve">Code used in Fig. 2 </w:t>
            </w:r>
          </w:p>
        </w:tc>
      </w:tr>
      <w:tr w:rsidR="00FC5834" w:rsidRPr="007C27C0" w14:paraId="4D98658E" w14:textId="77777777" w:rsidTr="00BF449F">
        <w:trPr>
          <w:trHeight w:val="290"/>
        </w:trPr>
        <w:tc>
          <w:tcPr>
            <w:tcW w:w="0" w:type="auto"/>
            <w:tcBorders>
              <w:top w:val="single" w:sz="4" w:space="0" w:color="auto"/>
            </w:tcBorders>
            <w:noWrap/>
          </w:tcPr>
          <w:p w14:paraId="08A65511" w14:textId="77777777" w:rsidR="00FC5834" w:rsidRPr="007C27C0" w:rsidRDefault="00FC5834" w:rsidP="008E1E50">
            <w:pPr>
              <w:spacing w:after="0" w:line="276" w:lineRule="auto"/>
              <w:rPr>
                <w:rFonts w:ascii="Arial" w:hAnsi="Arial" w:cs="Arial"/>
              </w:rPr>
            </w:pPr>
            <w:r w:rsidRPr="007C27C0">
              <w:rPr>
                <w:rFonts w:ascii="Arial" w:hAnsi="Arial" w:cs="Arial"/>
              </w:rPr>
              <w:t>Latitude°</w:t>
            </w:r>
          </w:p>
        </w:tc>
        <w:tc>
          <w:tcPr>
            <w:tcW w:w="0" w:type="auto"/>
            <w:tcBorders>
              <w:top w:val="single" w:sz="4" w:space="0" w:color="auto"/>
            </w:tcBorders>
          </w:tcPr>
          <w:p w14:paraId="701A26DE" w14:textId="77777777" w:rsidR="00FC5834" w:rsidRPr="007C27C0" w:rsidRDefault="00FC5834" w:rsidP="008E1E50">
            <w:pPr>
              <w:spacing w:after="0" w:line="276" w:lineRule="auto"/>
              <w:jc w:val="center"/>
              <w:rPr>
                <w:rFonts w:ascii="Arial" w:hAnsi="Arial" w:cs="Arial"/>
              </w:rPr>
            </w:pPr>
            <w:r w:rsidRPr="007C27C0">
              <w:rPr>
                <w:rFonts w:ascii="Arial" w:hAnsi="Arial" w:cs="Arial"/>
              </w:rPr>
              <w:t>41.75768</w:t>
            </w:r>
          </w:p>
        </w:tc>
        <w:tc>
          <w:tcPr>
            <w:tcW w:w="0" w:type="auto"/>
            <w:tcBorders>
              <w:top w:val="single" w:sz="4" w:space="0" w:color="auto"/>
            </w:tcBorders>
          </w:tcPr>
          <w:p w14:paraId="36520D9B" w14:textId="77777777" w:rsidR="00FC5834" w:rsidRPr="007C27C0" w:rsidRDefault="00FC5834" w:rsidP="008E1E50">
            <w:pPr>
              <w:spacing w:after="0" w:line="276" w:lineRule="auto"/>
              <w:jc w:val="center"/>
              <w:rPr>
                <w:rFonts w:ascii="Arial" w:hAnsi="Arial" w:cs="Arial"/>
              </w:rPr>
            </w:pPr>
            <w:r w:rsidRPr="007C27C0">
              <w:rPr>
                <w:rFonts w:ascii="Arial" w:hAnsi="Arial" w:cs="Arial"/>
              </w:rPr>
              <w:t>41.68583</w:t>
            </w:r>
          </w:p>
        </w:tc>
        <w:tc>
          <w:tcPr>
            <w:tcW w:w="0" w:type="auto"/>
            <w:tcBorders>
              <w:top w:val="single" w:sz="4" w:space="0" w:color="auto"/>
            </w:tcBorders>
          </w:tcPr>
          <w:p w14:paraId="04E0D000" w14:textId="77777777" w:rsidR="00FC5834" w:rsidRPr="007C27C0" w:rsidRDefault="00FC5834" w:rsidP="008E1E50">
            <w:pPr>
              <w:spacing w:after="0" w:line="276" w:lineRule="auto"/>
              <w:jc w:val="center"/>
              <w:rPr>
                <w:rFonts w:ascii="Arial" w:hAnsi="Arial" w:cs="Arial"/>
              </w:rPr>
            </w:pPr>
            <w:r w:rsidRPr="007C27C0">
              <w:rPr>
                <w:rFonts w:ascii="Arial" w:hAnsi="Arial" w:cs="Arial"/>
              </w:rPr>
              <w:t xml:space="preserve">42. 60808 </w:t>
            </w:r>
          </w:p>
        </w:tc>
        <w:tc>
          <w:tcPr>
            <w:tcW w:w="0" w:type="auto"/>
            <w:tcBorders>
              <w:top w:val="single" w:sz="4" w:space="0" w:color="auto"/>
            </w:tcBorders>
          </w:tcPr>
          <w:p w14:paraId="3F983790" w14:textId="77777777" w:rsidR="00FC5834" w:rsidRPr="007C27C0" w:rsidRDefault="00FC5834" w:rsidP="008E1E50">
            <w:pPr>
              <w:spacing w:after="0" w:line="276" w:lineRule="auto"/>
              <w:jc w:val="center"/>
              <w:rPr>
                <w:rFonts w:ascii="Arial" w:hAnsi="Arial" w:cs="Arial"/>
              </w:rPr>
            </w:pPr>
          </w:p>
        </w:tc>
      </w:tr>
      <w:tr w:rsidR="00FC5834" w:rsidRPr="007C27C0" w14:paraId="3683F5CA" w14:textId="77777777" w:rsidTr="00BF449F">
        <w:trPr>
          <w:trHeight w:val="290"/>
        </w:trPr>
        <w:tc>
          <w:tcPr>
            <w:tcW w:w="0" w:type="auto"/>
            <w:noWrap/>
          </w:tcPr>
          <w:p w14:paraId="6A7CD50C" w14:textId="77777777" w:rsidR="00FC5834" w:rsidRPr="007C27C0" w:rsidRDefault="00FC5834" w:rsidP="008E1E50">
            <w:pPr>
              <w:spacing w:after="0" w:line="276" w:lineRule="auto"/>
              <w:rPr>
                <w:rFonts w:ascii="Arial" w:hAnsi="Arial" w:cs="Arial"/>
              </w:rPr>
            </w:pPr>
            <w:r w:rsidRPr="007C27C0">
              <w:rPr>
                <w:rFonts w:ascii="Arial" w:hAnsi="Arial" w:cs="Arial"/>
              </w:rPr>
              <w:t>Longitude°</w:t>
            </w:r>
          </w:p>
        </w:tc>
        <w:tc>
          <w:tcPr>
            <w:tcW w:w="0" w:type="auto"/>
          </w:tcPr>
          <w:p w14:paraId="52060CBE" w14:textId="77777777" w:rsidR="00FC5834" w:rsidRPr="007C27C0" w:rsidRDefault="00FC5834" w:rsidP="008E1E50">
            <w:pPr>
              <w:spacing w:after="0" w:line="276" w:lineRule="auto"/>
              <w:jc w:val="center"/>
              <w:rPr>
                <w:rFonts w:ascii="Arial" w:hAnsi="Arial" w:cs="Arial"/>
              </w:rPr>
            </w:pPr>
            <w:r w:rsidRPr="007C27C0">
              <w:rPr>
                <w:rFonts w:ascii="Arial" w:hAnsi="Arial" w:cs="Arial"/>
              </w:rPr>
              <w:t>43.52210</w:t>
            </w:r>
          </w:p>
        </w:tc>
        <w:tc>
          <w:tcPr>
            <w:tcW w:w="0" w:type="auto"/>
          </w:tcPr>
          <w:p w14:paraId="4D23B7A1" w14:textId="77777777" w:rsidR="00FC5834" w:rsidRPr="007C27C0" w:rsidRDefault="00FC5834" w:rsidP="008E1E50">
            <w:pPr>
              <w:spacing w:after="0" w:line="276" w:lineRule="auto"/>
              <w:jc w:val="center"/>
              <w:rPr>
                <w:rFonts w:ascii="Arial" w:hAnsi="Arial" w:cs="Arial"/>
              </w:rPr>
            </w:pPr>
            <w:r w:rsidRPr="007C27C0">
              <w:rPr>
                <w:rFonts w:ascii="Arial" w:hAnsi="Arial" w:cs="Arial"/>
              </w:rPr>
              <w:t>43.51763</w:t>
            </w:r>
          </w:p>
        </w:tc>
        <w:tc>
          <w:tcPr>
            <w:tcW w:w="0" w:type="auto"/>
          </w:tcPr>
          <w:p w14:paraId="6E4876D3" w14:textId="77777777" w:rsidR="00FC5834" w:rsidRPr="007C27C0" w:rsidRDefault="00FC5834" w:rsidP="008E1E50">
            <w:pPr>
              <w:spacing w:after="0" w:line="276" w:lineRule="auto"/>
              <w:jc w:val="center"/>
              <w:rPr>
                <w:rFonts w:ascii="Arial" w:hAnsi="Arial" w:cs="Arial"/>
              </w:rPr>
            </w:pPr>
            <w:r w:rsidRPr="007C27C0">
              <w:rPr>
                <w:rFonts w:ascii="Arial" w:hAnsi="Arial" w:cs="Arial"/>
              </w:rPr>
              <w:t>44.63827</w:t>
            </w:r>
          </w:p>
        </w:tc>
        <w:tc>
          <w:tcPr>
            <w:tcW w:w="0" w:type="auto"/>
          </w:tcPr>
          <w:p w14:paraId="6D036699" w14:textId="77777777" w:rsidR="00FC5834" w:rsidRPr="007C27C0" w:rsidRDefault="00FC5834" w:rsidP="008E1E50">
            <w:pPr>
              <w:spacing w:after="0" w:line="276" w:lineRule="auto"/>
              <w:jc w:val="center"/>
              <w:rPr>
                <w:rFonts w:ascii="Arial" w:hAnsi="Arial" w:cs="Arial"/>
              </w:rPr>
            </w:pPr>
          </w:p>
        </w:tc>
      </w:tr>
      <w:tr w:rsidR="00FC5834" w:rsidRPr="007C27C0" w14:paraId="0F39C5D5" w14:textId="77777777" w:rsidTr="00BF449F">
        <w:trPr>
          <w:trHeight w:val="290"/>
        </w:trPr>
        <w:tc>
          <w:tcPr>
            <w:tcW w:w="0" w:type="auto"/>
            <w:noWrap/>
          </w:tcPr>
          <w:p w14:paraId="7F792A1C" w14:textId="77777777" w:rsidR="00FC5834" w:rsidRPr="007C27C0" w:rsidRDefault="00FC5834" w:rsidP="008E1E50">
            <w:pPr>
              <w:spacing w:after="0" w:line="276" w:lineRule="auto"/>
              <w:rPr>
                <w:rFonts w:ascii="Arial" w:hAnsi="Arial" w:cs="Arial"/>
              </w:rPr>
            </w:pPr>
            <w:r w:rsidRPr="007C27C0">
              <w:rPr>
                <w:rFonts w:ascii="Arial" w:hAnsi="Arial" w:cs="Arial"/>
              </w:rPr>
              <w:t>Altitude, m above sea level</w:t>
            </w:r>
          </w:p>
        </w:tc>
        <w:tc>
          <w:tcPr>
            <w:tcW w:w="0" w:type="auto"/>
          </w:tcPr>
          <w:p w14:paraId="66516B4E" w14:textId="77777777" w:rsidR="00FC5834" w:rsidRPr="007C27C0" w:rsidRDefault="00FC5834" w:rsidP="008E1E50">
            <w:pPr>
              <w:spacing w:after="0" w:line="276" w:lineRule="auto"/>
              <w:jc w:val="center"/>
              <w:rPr>
                <w:rFonts w:ascii="Arial" w:hAnsi="Arial" w:cs="Arial"/>
              </w:rPr>
            </w:pPr>
            <w:r w:rsidRPr="007C27C0">
              <w:rPr>
                <w:rFonts w:ascii="Arial" w:hAnsi="Arial" w:cs="Arial"/>
              </w:rPr>
              <w:t>1750 - 1800</w:t>
            </w:r>
          </w:p>
        </w:tc>
        <w:tc>
          <w:tcPr>
            <w:tcW w:w="0" w:type="auto"/>
          </w:tcPr>
          <w:p w14:paraId="5C8E8858" w14:textId="77777777" w:rsidR="00FC5834" w:rsidRPr="007C27C0" w:rsidRDefault="00FC5834" w:rsidP="008E1E50">
            <w:pPr>
              <w:spacing w:after="0" w:line="276" w:lineRule="auto"/>
              <w:jc w:val="center"/>
              <w:rPr>
                <w:rFonts w:ascii="Arial" w:hAnsi="Arial" w:cs="Arial"/>
              </w:rPr>
            </w:pPr>
            <w:r w:rsidRPr="007C27C0">
              <w:rPr>
                <w:rFonts w:ascii="Arial" w:hAnsi="Arial" w:cs="Arial"/>
              </w:rPr>
              <w:t>2200 - 2450</w:t>
            </w:r>
          </w:p>
        </w:tc>
        <w:tc>
          <w:tcPr>
            <w:tcW w:w="0" w:type="auto"/>
          </w:tcPr>
          <w:p w14:paraId="63117F38" w14:textId="77777777" w:rsidR="00FC5834" w:rsidRPr="007C27C0" w:rsidRDefault="00FC5834" w:rsidP="008E1E50">
            <w:pPr>
              <w:spacing w:after="0" w:line="276" w:lineRule="auto"/>
              <w:jc w:val="center"/>
              <w:rPr>
                <w:rFonts w:ascii="Arial" w:hAnsi="Arial" w:cs="Arial"/>
              </w:rPr>
            </w:pPr>
            <w:r w:rsidRPr="007C27C0">
              <w:rPr>
                <w:rFonts w:ascii="Arial" w:hAnsi="Arial" w:cs="Arial"/>
              </w:rPr>
              <w:t>1750 - 1800</w:t>
            </w:r>
          </w:p>
        </w:tc>
        <w:tc>
          <w:tcPr>
            <w:tcW w:w="0" w:type="auto"/>
          </w:tcPr>
          <w:p w14:paraId="314A6CB9" w14:textId="77777777" w:rsidR="00FC5834" w:rsidRPr="007C27C0" w:rsidRDefault="00FC5834" w:rsidP="008E1E50">
            <w:pPr>
              <w:spacing w:after="0" w:line="276" w:lineRule="auto"/>
              <w:jc w:val="center"/>
              <w:rPr>
                <w:rFonts w:ascii="Arial" w:hAnsi="Arial" w:cs="Arial"/>
              </w:rPr>
            </w:pPr>
          </w:p>
        </w:tc>
      </w:tr>
      <w:tr w:rsidR="00FC5834" w:rsidRPr="007C27C0" w14:paraId="1EF5AD6C" w14:textId="77777777" w:rsidTr="00BF449F">
        <w:trPr>
          <w:trHeight w:val="290"/>
        </w:trPr>
        <w:tc>
          <w:tcPr>
            <w:tcW w:w="0" w:type="auto"/>
            <w:tcBorders>
              <w:top w:val="single" w:sz="4" w:space="0" w:color="auto"/>
              <w:left w:val="single" w:sz="4" w:space="0" w:color="auto"/>
            </w:tcBorders>
            <w:noWrap/>
          </w:tcPr>
          <w:p w14:paraId="366740F0" w14:textId="77777777" w:rsidR="00FC5834" w:rsidRPr="007C27C0" w:rsidRDefault="00FC5834" w:rsidP="008E1E50">
            <w:pPr>
              <w:spacing w:after="0" w:line="276" w:lineRule="auto"/>
              <w:rPr>
                <w:rFonts w:ascii="Arial" w:hAnsi="Arial" w:cs="Arial"/>
              </w:rPr>
            </w:pPr>
            <w:r w:rsidRPr="007C27C0">
              <w:rPr>
                <w:rFonts w:ascii="Arial" w:hAnsi="Arial" w:cs="Arial"/>
              </w:rPr>
              <w:t xml:space="preserve">Mean maximum temperature °C </w:t>
            </w:r>
          </w:p>
        </w:tc>
        <w:tc>
          <w:tcPr>
            <w:tcW w:w="0" w:type="auto"/>
          </w:tcPr>
          <w:p w14:paraId="323318BF" w14:textId="77777777" w:rsidR="00FC5834" w:rsidRPr="007C27C0" w:rsidRDefault="00FC5834" w:rsidP="008E1E50">
            <w:pPr>
              <w:spacing w:after="0" w:line="276" w:lineRule="auto"/>
              <w:jc w:val="center"/>
              <w:rPr>
                <w:rFonts w:ascii="Arial" w:hAnsi="Arial" w:cs="Arial"/>
              </w:rPr>
            </w:pPr>
            <w:r w:rsidRPr="007C27C0">
              <w:rPr>
                <w:rFonts w:ascii="Arial" w:hAnsi="Arial" w:cs="Arial"/>
              </w:rPr>
              <w:t>11.14</w:t>
            </w:r>
          </w:p>
        </w:tc>
        <w:tc>
          <w:tcPr>
            <w:tcW w:w="0" w:type="auto"/>
          </w:tcPr>
          <w:p w14:paraId="6D491DE4" w14:textId="77777777" w:rsidR="00FC5834" w:rsidRPr="007C27C0" w:rsidRDefault="00FC5834" w:rsidP="008E1E50">
            <w:pPr>
              <w:spacing w:after="0" w:line="276" w:lineRule="auto"/>
              <w:jc w:val="center"/>
              <w:rPr>
                <w:rFonts w:ascii="Arial" w:hAnsi="Arial" w:cs="Arial"/>
              </w:rPr>
            </w:pPr>
            <w:r w:rsidRPr="007C27C0">
              <w:rPr>
                <w:rFonts w:ascii="Arial" w:hAnsi="Arial" w:cs="Arial"/>
              </w:rPr>
              <w:t>11.57</w:t>
            </w:r>
          </w:p>
        </w:tc>
        <w:tc>
          <w:tcPr>
            <w:tcW w:w="0" w:type="auto"/>
          </w:tcPr>
          <w:p w14:paraId="290CB11C" w14:textId="77777777" w:rsidR="00FC5834" w:rsidRPr="007C27C0" w:rsidRDefault="00FC5834" w:rsidP="008E1E50">
            <w:pPr>
              <w:spacing w:after="0" w:line="276" w:lineRule="auto"/>
              <w:jc w:val="center"/>
              <w:rPr>
                <w:rFonts w:ascii="Arial" w:hAnsi="Arial" w:cs="Arial"/>
              </w:rPr>
            </w:pPr>
            <w:r w:rsidRPr="007C27C0">
              <w:rPr>
                <w:rFonts w:ascii="Arial" w:hAnsi="Arial" w:cs="Arial"/>
              </w:rPr>
              <w:t>13.56</w:t>
            </w:r>
          </w:p>
        </w:tc>
        <w:tc>
          <w:tcPr>
            <w:tcW w:w="0" w:type="auto"/>
          </w:tcPr>
          <w:p w14:paraId="66F34D9F" w14:textId="77777777" w:rsidR="00FC5834" w:rsidRPr="007C27C0" w:rsidRDefault="00FC5834" w:rsidP="008E1E50">
            <w:pPr>
              <w:spacing w:after="0" w:line="276" w:lineRule="auto"/>
              <w:jc w:val="center"/>
              <w:rPr>
                <w:rFonts w:ascii="Arial" w:hAnsi="Arial" w:cs="Arial"/>
              </w:rPr>
            </w:pPr>
            <w:r w:rsidRPr="007C27C0">
              <w:rPr>
                <w:rFonts w:ascii="Arial" w:hAnsi="Arial" w:cs="Arial"/>
              </w:rPr>
              <w:t xml:space="preserve">T°C </w:t>
            </w:r>
          </w:p>
        </w:tc>
      </w:tr>
      <w:tr w:rsidR="00FC5834" w:rsidRPr="007C27C0" w14:paraId="530233A3" w14:textId="77777777" w:rsidTr="00BF449F">
        <w:trPr>
          <w:trHeight w:val="290"/>
        </w:trPr>
        <w:tc>
          <w:tcPr>
            <w:tcW w:w="0" w:type="auto"/>
            <w:tcBorders>
              <w:left w:val="single" w:sz="4" w:space="0" w:color="auto"/>
            </w:tcBorders>
            <w:noWrap/>
          </w:tcPr>
          <w:p w14:paraId="520AC7D9" w14:textId="77777777" w:rsidR="00FC5834" w:rsidRPr="007C27C0" w:rsidRDefault="00FC5834" w:rsidP="008E1E50">
            <w:pPr>
              <w:spacing w:after="0" w:line="276" w:lineRule="auto"/>
              <w:rPr>
                <w:rFonts w:ascii="Arial" w:hAnsi="Arial" w:cs="Arial"/>
              </w:rPr>
            </w:pPr>
            <w:r w:rsidRPr="007C27C0">
              <w:rPr>
                <w:rFonts w:ascii="Arial" w:hAnsi="Arial" w:cs="Arial"/>
              </w:rPr>
              <w:t>Annual precipitation mm</w:t>
            </w:r>
          </w:p>
        </w:tc>
        <w:tc>
          <w:tcPr>
            <w:tcW w:w="0" w:type="auto"/>
          </w:tcPr>
          <w:p w14:paraId="02A1B1D8" w14:textId="77777777" w:rsidR="00FC5834" w:rsidRPr="007C27C0" w:rsidRDefault="00FC5834" w:rsidP="008E1E50">
            <w:pPr>
              <w:spacing w:after="0" w:line="276" w:lineRule="auto"/>
              <w:jc w:val="center"/>
              <w:rPr>
                <w:rFonts w:ascii="Arial" w:hAnsi="Arial" w:cs="Arial"/>
              </w:rPr>
            </w:pPr>
            <w:r w:rsidRPr="007C27C0">
              <w:rPr>
                <w:rFonts w:ascii="Arial" w:hAnsi="Arial" w:cs="Arial"/>
              </w:rPr>
              <w:t>635</w:t>
            </w:r>
          </w:p>
        </w:tc>
        <w:tc>
          <w:tcPr>
            <w:tcW w:w="0" w:type="auto"/>
          </w:tcPr>
          <w:p w14:paraId="10304F10" w14:textId="77777777" w:rsidR="00FC5834" w:rsidRPr="007C27C0" w:rsidRDefault="00FC5834" w:rsidP="008E1E50">
            <w:pPr>
              <w:spacing w:after="0" w:line="276" w:lineRule="auto"/>
              <w:jc w:val="center"/>
              <w:rPr>
                <w:rFonts w:ascii="Arial" w:hAnsi="Arial" w:cs="Arial"/>
              </w:rPr>
            </w:pPr>
            <w:r w:rsidRPr="007C27C0">
              <w:rPr>
                <w:rFonts w:ascii="Arial" w:hAnsi="Arial" w:cs="Arial"/>
              </w:rPr>
              <w:t>659</w:t>
            </w:r>
          </w:p>
        </w:tc>
        <w:tc>
          <w:tcPr>
            <w:tcW w:w="0" w:type="auto"/>
          </w:tcPr>
          <w:p w14:paraId="2855D702" w14:textId="77777777" w:rsidR="00FC5834" w:rsidRPr="007C27C0" w:rsidRDefault="00FC5834" w:rsidP="008E1E50">
            <w:pPr>
              <w:spacing w:after="0" w:line="276" w:lineRule="auto"/>
              <w:jc w:val="center"/>
              <w:rPr>
                <w:rFonts w:ascii="Arial" w:hAnsi="Arial" w:cs="Arial"/>
              </w:rPr>
            </w:pPr>
            <w:r w:rsidRPr="007C27C0">
              <w:rPr>
                <w:rFonts w:ascii="Arial" w:hAnsi="Arial" w:cs="Arial"/>
              </w:rPr>
              <w:t>470</w:t>
            </w:r>
          </w:p>
        </w:tc>
        <w:tc>
          <w:tcPr>
            <w:tcW w:w="0" w:type="auto"/>
          </w:tcPr>
          <w:p w14:paraId="00262911" w14:textId="77777777" w:rsidR="00FC5834" w:rsidRPr="007C27C0" w:rsidRDefault="00FC5834" w:rsidP="008E1E50">
            <w:pPr>
              <w:spacing w:after="0" w:line="276" w:lineRule="auto"/>
              <w:jc w:val="center"/>
              <w:rPr>
                <w:rFonts w:ascii="Arial" w:hAnsi="Arial" w:cs="Arial"/>
              </w:rPr>
            </w:pPr>
            <w:r w:rsidRPr="007C27C0">
              <w:rPr>
                <w:rFonts w:ascii="Arial" w:hAnsi="Arial" w:cs="Arial"/>
              </w:rPr>
              <w:t>Pr, mm</w:t>
            </w:r>
          </w:p>
        </w:tc>
      </w:tr>
      <w:tr w:rsidR="00FC5834" w:rsidRPr="007C27C0" w14:paraId="446AF24B" w14:textId="77777777" w:rsidTr="00BF449F">
        <w:trPr>
          <w:trHeight w:val="290"/>
        </w:trPr>
        <w:tc>
          <w:tcPr>
            <w:tcW w:w="0" w:type="auto"/>
            <w:tcBorders>
              <w:left w:val="single" w:sz="4" w:space="0" w:color="auto"/>
            </w:tcBorders>
            <w:noWrap/>
          </w:tcPr>
          <w:p w14:paraId="1683D27B" w14:textId="77777777" w:rsidR="00FC5834" w:rsidRPr="007C27C0" w:rsidRDefault="00FC5834" w:rsidP="008E1E50">
            <w:pPr>
              <w:spacing w:after="0" w:line="276" w:lineRule="auto"/>
              <w:rPr>
                <w:rFonts w:ascii="Arial" w:hAnsi="Arial" w:cs="Arial"/>
              </w:rPr>
            </w:pPr>
            <w:r w:rsidRPr="007C27C0">
              <w:rPr>
                <w:rFonts w:ascii="Arial" w:hAnsi="Arial" w:cs="Arial"/>
              </w:rPr>
              <w:t>Continentality</w:t>
            </w:r>
          </w:p>
        </w:tc>
        <w:tc>
          <w:tcPr>
            <w:tcW w:w="0" w:type="auto"/>
          </w:tcPr>
          <w:p w14:paraId="5A2E6783" w14:textId="77777777" w:rsidR="00FC5834" w:rsidRPr="007C27C0" w:rsidRDefault="00FC5834" w:rsidP="008E1E50">
            <w:pPr>
              <w:spacing w:after="0" w:line="276" w:lineRule="auto"/>
              <w:jc w:val="center"/>
              <w:rPr>
                <w:rFonts w:ascii="Arial" w:hAnsi="Arial" w:cs="Arial"/>
              </w:rPr>
            </w:pPr>
            <w:r w:rsidRPr="007C27C0">
              <w:rPr>
                <w:rFonts w:ascii="Arial" w:hAnsi="Arial" w:cs="Arial"/>
              </w:rPr>
              <w:t>9.86</w:t>
            </w:r>
          </w:p>
        </w:tc>
        <w:tc>
          <w:tcPr>
            <w:tcW w:w="0" w:type="auto"/>
          </w:tcPr>
          <w:p w14:paraId="4145FA96" w14:textId="77777777" w:rsidR="00FC5834" w:rsidRPr="007C27C0" w:rsidRDefault="00FC5834" w:rsidP="008E1E50">
            <w:pPr>
              <w:spacing w:after="0" w:line="276" w:lineRule="auto"/>
              <w:jc w:val="center"/>
              <w:rPr>
                <w:rFonts w:ascii="Arial" w:hAnsi="Arial" w:cs="Arial"/>
              </w:rPr>
            </w:pPr>
            <w:r w:rsidRPr="007C27C0">
              <w:rPr>
                <w:rFonts w:ascii="Arial" w:hAnsi="Arial" w:cs="Arial"/>
              </w:rPr>
              <w:t>10.24</w:t>
            </w:r>
          </w:p>
        </w:tc>
        <w:tc>
          <w:tcPr>
            <w:tcW w:w="0" w:type="auto"/>
          </w:tcPr>
          <w:p w14:paraId="34AB18D8" w14:textId="77777777" w:rsidR="00FC5834" w:rsidRPr="007C27C0" w:rsidRDefault="00FC5834" w:rsidP="008E1E50">
            <w:pPr>
              <w:spacing w:after="0" w:line="276" w:lineRule="auto"/>
              <w:jc w:val="center"/>
              <w:rPr>
                <w:rFonts w:ascii="Arial" w:hAnsi="Arial" w:cs="Arial"/>
              </w:rPr>
            </w:pPr>
            <w:r w:rsidRPr="007C27C0">
              <w:rPr>
                <w:rFonts w:ascii="Arial" w:hAnsi="Arial" w:cs="Arial"/>
              </w:rPr>
              <w:t>9.86</w:t>
            </w:r>
          </w:p>
        </w:tc>
        <w:tc>
          <w:tcPr>
            <w:tcW w:w="0" w:type="auto"/>
          </w:tcPr>
          <w:p w14:paraId="22E4F3D5" w14:textId="77777777" w:rsidR="00FC5834" w:rsidRPr="007C27C0" w:rsidRDefault="00FC5834" w:rsidP="008E1E50">
            <w:pPr>
              <w:spacing w:after="0" w:line="276" w:lineRule="auto"/>
              <w:jc w:val="center"/>
              <w:rPr>
                <w:rFonts w:ascii="Arial" w:hAnsi="Arial" w:cs="Arial"/>
              </w:rPr>
            </w:pPr>
            <w:proofErr w:type="spellStart"/>
            <w:r w:rsidRPr="007C27C0">
              <w:rPr>
                <w:rFonts w:ascii="Arial" w:hAnsi="Arial" w:cs="Arial"/>
              </w:rPr>
              <w:t>Cnt</w:t>
            </w:r>
            <w:proofErr w:type="spellEnd"/>
          </w:p>
        </w:tc>
      </w:tr>
      <w:tr w:rsidR="00FC5834" w:rsidRPr="007C27C0" w14:paraId="73410445" w14:textId="77777777" w:rsidTr="00BF449F">
        <w:trPr>
          <w:trHeight w:val="290"/>
        </w:trPr>
        <w:tc>
          <w:tcPr>
            <w:tcW w:w="0" w:type="auto"/>
            <w:tcBorders>
              <w:left w:val="single" w:sz="4" w:space="0" w:color="auto"/>
            </w:tcBorders>
            <w:noWrap/>
          </w:tcPr>
          <w:p w14:paraId="55DDFEC3" w14:textId="77777777" w:rsidR="00FC5834" w:rsidRPr="007C27C0" w:rsidRDefault="00FC5834" w:rsidP="008E1E50">
            <w:pPr>
              <w:spacing w:after="0" w:line="276" w:lineRule="auto"/>
              <w:rPr>
                <w:rFonts w:ascii="Arial" w:hAnsi="Arial" w:cs="Arial"/>
              </w:rPr>
            </w:pPr>
            <w:r w:rsidRPr="007C27C0">
              <w:rPr>
                <w:rFonts w:ascii="Arial" w:hAnsi="Arial" w:cs="Arial"/>
              </w:rPr>
              <w:t>UV radiation</w:t>
            </w:r>
            <w:r w:rsidR="007B0AA2" w:rsidRPr="007C27C0">
              <w:rPr>
                <w:rFonts w:ascii="Arial" w:hAnsi="Arial" w:cs="Arial"/>
              </w:rPr>
              <w:t xml:space="preserve"> </w:t>
            </w:r>
            <w:proofErr w:type="spellStart"/>
            <w:r w:rsidR="007B0AA2" w:rsidRPr="007C27C0">
              <w:rPr>
                <w:rFonts w:ascii="Arial" w:hAnsi="Arial" w:cs="Arial"/>
              </w:rPr>
              <w:t>mW</w:t>
            </w:r>
            <w:proofErr w:type="spellEnd"/>
            <w:r w:rsidR="007B0AA2" w:rsidRPr="007C27C0">
              <w:rPr>
                <w:rFonts w:ascii="Arial" w:hAnsi="Arial" w:cs="Arial"/>
              </w:rPr>
              <w:t>/cm</w:t>
            </w:r>
            <w:r w:rsidR="007B0AA2" w:rsidRPr="007C27C0">
              <w:rPr>
                <w:rFonts w:ascii="Arial" w:hAnsi="Arial" w:cs="Arial"/>
                <w:vertAlign w:val="superscript"/>
              </w:rPr>
              <w:t>2</w:t>
            </w:r>
          </w:p>
        </w:tc>
        <w:tc>
          <w:tcPr>
            <w:tcW w:w="0" w:type="auto"/>
            <w:tcBorders>
              <w:bottom w:val="single" w:sz="4" w:space="0" w:color="auto"/>
            </w:tcBorders>
          </w:tcPr>
          <w:p w14:paraId="40835EAC" w14:textId="77777777" w:rsidR="00FC5834" w:rsidRPr="007C27C0" w:rsidRDefault="00FC5834" w:rsidP="008E1E50">
            <w:pPr>
              <w:spacing w:after="0" w:line="276" w:lineRule="auto"/>
              <w:jc w:val="center"/>
              <w:rPr>
                <w:rFonts w:ascii="Arial" w:hAnsi="Arial" w:cs="Arial"/>
              </w:rPr>
            </w:pPr>
            <w:r w:rsidRPr="007C27C0">
              <w:rPr>
                <w:rFonts w:ascii="Arial" w:hAnsi="Arial" w:cs="Arial"/>
              </w:rPr>
              <w:t>4.8</w:t>
            </w:r>
          </w:p>
        </w:tc>
        <w:tc>
          <w:tcPr>
            <w:tcW w:w="0" w:type="auto"/>
            <w:tcBorders>
              <w:bottom w:val="single" w:sz="4" w:space="0" w:color="auto"/>
            </w:tcBorders>
          </w:tcPr>
          <w:p w14:paraId="0AD3D28A" w14:textId="77777777" w:rsidR="00FC5834" w:rsidRPr="007C27C0" w:rsidRDefault="00FC5834" w:rsidP="008E1E50">
            <w:pPr>
              <w:spacing w:after="0" w:line="276" w:lineRule="auto"/>
              <w:jc w:val="center"/>
              <w:rPr>
                <w:rFonts w:ascii="Arial" w:hAnsi="Arial" w:cs="Arial"/>
              </w:rPr>
            </w:pPr>
            <w:r w:rsidRPr="007C27C0">
              <w:rPr>
                <w:rFonts w:ascii="Arial" w:hAnsi="Arial" w:cs="Arial"/>
              </w:rPr>
              <w:t>5.5</w:t>
            </w:r>
          </w:p>
        </w:tc>
        <w:tc>
          <w:tcPr>
            <w:tcW w:w="0" w:type="auto"/>
            <w:tcBorders>
              <w:bottom w:val="single" w:sz="4" w:space="0" w:color="auto"/>
            </w:tcBorders>
          </w:tcPr>
          <w:p w14:paraId="7B40BABE" w14:textId="77777777" w:rsidR="00FC5834" w:rsidRPr="007C27C0" w:rsidRDefault="00FC5834" w:rsidP="008E1E50">
            <w:pPr>
              <w:spacing w:after="0" w:line="276" w:lineRule="auto"/>
              <w:jc w:val="center"/>
              <w:rPr>
                <w:rFonts w:ascii="Arial" w:hAnsi="Arial" w:cs="Arial"/>
              </w:rPr>
            </w:pPr>
            <w:r w:rsidRPr="007C27C0">
              <w:rPr>
                <w:rFonts w:ascii="Arial" w:hAnsi="Arial" w:cs="Arial"/>
              </w:rPr>
              <w:t>6</w:t>
            </w:r>
          </w:p>
        </w:tc>
        <w:tc>
          <w:tcPr>
            <w:tcW w:w="0" w:type="auto"/>
            <w:tcBorders>
              <w:bottom w:val="single" w:sz="4" w:space="0" w:color="auto"/>
            </w:tcBorders>
          </w:tcPr>
          <w:p w14:paraId="7D48F737" w14:textId="77777777" w:rsidR="00FC5834" w:rsidRPr="007C27C0" w:rsidRDefault="00FC5834" w:rsidP="008E1E50">
            <w:pPr>
              <w:spacing w:after="0" w:line="276" w:lineRule="auto"/>
              <w:jc w:val="center"/>
              <w:rPr>
                <w:rFonts w:ascii="Arial" w:hAnsi="Arial" w:cs="Arial"/>
              </w:rPr>
            </w:pPr>
            <w:r w:rsidRPr="007C27C0">
              <w:rPr>
                <w:rFonts w:ascii="Arial" w:hAnsi="Arial" w:cs="Arial"/>
              </w:rPr>
              <w:t>UV</w:t>
            </w:r>
          </w:p>
        </w:tc>
      </w:tr>
    </w:tbl>
    <w:p w14:paraId="204DBEAF" w14:textId="77777777" w:rsidR="00FC5834" w:rsidRPr="007C27C0" w:rsidRDefault="00FC5834" w:rsidP="008E1E50">
      <w:pPr>
        <w:spacing w:after="0" w:line="276" w:lineRule="auto"/>
        <w:rPr>
          <w:rFonts w:ascii="Arial" w:hAnsi="Arial" w:cs="Arial"/>
          <w:lang w:val="en-US"/>
        </w:rPr>
      </w:pPr>
    </w:p>
    <w:p w14:paraId="6198FD8A" w14:textId="77777777" w:rsidR="00FC5834" w:rsidRPr="007C27C0" w:rsidRDefault="00FC5834">
      <w:pPr>
        <w:spacing w:after="0" w:line="240" w:lineRule="auto"/>
        <w:rPr>
          <w:rFonts w:ascii="Arial" w:hAnsi="Arial" w:cs="Arial"/>
          <w:lang w:val="en-US"/>
        </w:rPr>
      </w:pPr>
      <w:r w:rsidRPr="007C27C0">
        <w:rPr>
          <w:rFonts w:ascii="Arial" w:hAnsi="Arial" w:cs="Arial"/>
          <w:lang w:val="en-US"/>
        </w:rPr>
        <w:br w:type="page"/>
      </w:r>
    </w:p>
    <w:p w14:paraId="4890E3C6" w14:textId="77777777" w:rsidR="00FC5834" w:rsidRPr="00296B75" w:rsidRDefault="00FC5834" w:rsidP="0035246C">
      <w:pPr>
        <w:rPr>
          <w:rFonts w:ascii="Times New Roman" w:hAnsi="Times New Roman" w:cs="Times New Roman"/>
        </w:rPr>
      </w:pPr>
      <w:r w:rsidRPr="00296B75">
        <w:rPr>
          <w:rFonts w:ascii="Times New Roman" w:hAnsi="Times New Roman" w:cs="Times New Roman"/>
          <w:noProof/>
          <w:lang w:val="ru-RU" w:eastAsia="ru-RU"/>
        </w:rPr>
        <w:lastRenderedPageBreak/>
        <w:drawing>
          <wp:inline distT="0" distB="0" distL="0" distR="0" wp14:anchorId="29C86B7F" wp14:editId="08D0BA76">
            <wp:extent cx="5731510" cy="3275965"/>
            <wp:effectExtent l="0" t="0" r="2540" b="635"/>
            <wp:docPr id="970715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31510" cy="3275965"/>
                    </a:xfrm>
                    <a:prstGeom prst="rect">
                      <a:avLst/>
                    </a:prstGeom>
                    <a:noFill/>
                    <a:ln>
                      <a:noFill/>
                    </a:ln>
                  </pic:spPr>
                </pic:pic>
              </a:graphicData>
            </a:graphic>
          </wp:inline>
        </w:drawing>
      </w:r>
    </w:p>
    <w:p w14:paraId="797EFF3D" w14:textId="77777777" w:rsidR="00FC5834" w:rsidRPr="00296B75" w:rsidRDefault="00FC5834">
      <w:pPr>
        <w:rPr>
          <w:rFonts w:ascii="Times New Roman" w:hAnsi="Times New Roman" w:cs="Times New Roman"/>
        </w:rPr>
      </w:pPr>
    </w:p>
    <w:p w14:paraId="1812BEF9" w14:textId="77777777" w:rsidR="00FC5834" w:rsidRPr="007C27C0" w:rsidRDefault="00FC5834" w:rsidP="007C27C0">
      <w:pPr>
        <w:spacing w:line="240" w:lineRule="auto"/>
        <w:rPr>
          <w:rFonts w:ascii="Arial" w:hAnsi="Arial" w:cs="Arial"/>
        </w:rPr>
      </w:pPr>
      <w:r w:rsidRPr="007C27C0">
        <w:rPr>
          <w:rFonts w:ascii="Arial" w:hAnsi="Arial" w:cs="Arial"/>
          <w:b/>
          <w:bCs/>
          <w:sz w:val="20"/>
        </w:rPr>
        <w:t>Fig</w:t>
      </w:r>
      <w:r w:rsidR="007C27C0">
        <w:rPr>
          <w:rFonts w:ascii="Arial" w:hAnsi="Arial" w:cs="Arial"/>
          <w:b/>
          <w:bCs/>
          <w:sz w:val="20"/>
        </w:rPr>
        <w:t>.</w:t>
      </w:r>
      <w:r w:rsidRPr="007C27C0">
        <w:rPr>
          <w:rFonts w:ascii="Arial" w:hAnsi="Arial" w:cs="Arial"/>
          <w:b/>
          <w:bCs/>
          <w:sz w:val="20"/>
        </w:rPr>
        <w:t xml:space="preserve"> 1</w:t>
      </w:r>
      <w:r w:rsidRPr="007C27C0">
        <w:rPr>
          <w:rFonts w:ascii="Arial" w:hAnsi="Arial" w:cs="Arial"/>
          <w:sz w:val="20"/>
        </w:rPr>
        <w:t>. Study locations indicated by red triangles: 1 – Kazbegi;</w:t>
      </w:r>
      <w:r w:rsidRPr="007C27C0">
        <w:rPr>
          <w:rFonts w:ascii="Arial" w:hAnsi="Arial" w:cs="Arial"/>
          <w:color w:val="FF0000"/>
          <w:sz w:val="20"/>
        </w:rPr>
        <w:t xml:space="preserve"> </w:t>
      </w:r>
      <w:r w:rsidRPr="007C27C0">
        <w:rPr>
          <w:rFonts w:ascii="Arial" w:hAnsi="Arial" w:cs="Arial"/>
          <w:sz w:val="20"/>
        </w:rPr>
        <w:t>2 – Bakuriani;</w:t>
      </w:r>
      <w:r w:rsidRPr="007C27C0">
        <w:rPr>
          <w:rFonts w:ascii="Arial" w:hAnsi="Arial" w:cs="Arial"/>
          <w:color w:val="FF0000"/>
          <w:sz w:val="20"/>
        </w:rPr>
        <w:t xml:space="preserve"> </w:t>
      </w:r>
      <w:r w:rsidRPr="007C27C0">
        <w:rPr>
          <w:rFonts w:ascii="Arial" w:hAnsi="Arial" w:cs="Arial"/>
          <w:sz w:val="20"/>
        </w:rPr>
        <w:t xml:space="preserve">and 3 – Tskhratskaro. (For exact coordinates and altitude see Table 1). </w:t>
      </w:r>
      <w:bookmarkStart w:id="9" w:name="_Hlk201060952"/>
      <w:r w:rsidRPr="007C27C0">
        <w:rPr>
          <w:rFonts w:ascii="Arial" w:hAnsi="Arial" w:cs="Arial"/>
          <w:sz w:val="20"/>
        </w:rPr>
        <w:t xml:space="preserve">The source: </w:t>
      </w:r>
      <w:hyperlink r:id="rId45" w:history="1">
        <w:r w:rsidRPr="007C27C0">
          <w:rPr>
            <w:rStyle w:val="Hyperlink"/>
            <w:rFonts w:ascii="Arial" w:hAnsi="Arial" w:cs="Arial"/>
            <w:sz w:val="20"/>
          </w:rPr>
          <w:t>https://www.freeworldmaps.net/asia/caucasus/caucasus-countries-hd.jpg</w:t>
        </w:r>
      </w:hyperlink>
      <w:bookmarkEnd w:id="9"/>
      <w:r w:rsidRPr="007C27C0">
        <w:rPr>
          <w:rFonts w:ascii="Arial" w:hAnsi="Arial" w:cs="Arial"/>
          <w:sz w:val="20"/>
        </w:rPr>
        <w:t xml:space="preserve"> </w:t>
      </w:r>
      <w:r w:rsidRPr="007C27C0">
        <w:rPr>
          <w:rFonts w:ascii="Arial" w:hAnsi="Arial" w:cs="Arial"/>
        </w:rPr>
        <w:br w:type="page"/>
      </w:r>
    </w:p>
    <w:p w14:paraId="22351B05" w14:textId="77777777" w:rsidR="00FC5834" w:rsidRPr="00296B75" w:rsidRDefault="00FC5834">
      <w:pPr>
        <w:rPr>
          <w:rFonts w:ascii="Times New Roman" w:hAnsi="Times New Roman" w:cs="Times New Roman"/>
        </w:rPr>
      </w:pPr>
      <w:r w:rsidRPr="00296B75">
        <w:rPr>
          <w:rFonts w:ascii="Times New Roman" w:hAnsi="Times New Roman" w:cs="Times New Roman"/>
          <w:noProof/>
          <w:lang w:val="ru-RU" w:eastAsia="ru-RU"/>
        </w:rPr>
        <w:lastRenderedPageBreak/>
        <w:drawing>
          <wp:inline distT="0" distB="0" distL="0" distR="0" wp14:anchorId="4A8DF3BE" wp14:editId="42CCA6AD">
            <wp:extent cx="5731510" cy="3034665"/>
            <wp:effectExtent l="0" t="0" r="2540" b="0"/>
            <wp:docPr id="53387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73455" name=""/>
                    <pic:cNvPicPr/>
                  </pic:nvPicPr>
                  <pic:blipFill>
                    <a:blip r:embed="rId46" cstate="print"/>
                    <a:stretch>
                      <a:fillRect/>
                    </a:stretch>
                  </pic:blipFill>
                  <pic:spPr>
                    <a:xfrm>
                      <a:off x="0" y="0"/>
                      <a:ext cx="5731510" cy="3034665"/>
                    </a:xfrm>
                    <a:prstGeom prst="rect">
                      <a:avLst/>
                    </a:prstGeom>
                  </pic:spPr>
                </pic:pic>
              </a:graphicData>
            </a:graphic>
          </wp:inline>
        </w:drawing>
      </w:r>
    </w:p>
    <w:p w14:paraId="6A5A4A02" w14:textId="77777777" w:rsidR="00FC5834" w:rsidRPr="007C27C0" w:rsidRDefault="00FC5834">
      <w:pPr>
        <w:rPr>
          <w:rFonts w:ascii="Arial" w:hAnsi="Arial" w:cs="Arial"/>
          <w:sz w:val="20"/>
        </w:rPr>
      </w:pPr>
      <w:r w:rsidRPr="007C27C0">
        <w:rPr>
          <w:rFonts w:ascii="Arial" w:hAnsi="Arial" w:cs="Arial"/>
          <w:b/>
          <w:bCs/>
          <w:sz w:val="20"/>
        </w:rPr>
        <w:t>Fig</w:t>
      </w:r>
      <w:r w:rsidR="007C27C0">
        <w:rPr>
          <w:rFonts w:ascii="Arial" w:hAnsi="Arial" w:cs="Arial"/>
          <w:b/>
          <w:bCs/>
          <w:sz w:val="20"/>
        </w:rPr>
        <w:t>.</w:t>
      </w:r>
      <w:r w:rsidRPr="007C27C0">
        <w:rPr>
          <w:rFonts w:ascii="Arial" w:hAnsi="Arial" w:cs="Arial"/>
          <w:b/>
          <w:bCs/>
          <w:sz w:val="20"/>
        </w:rPr>
        <w:t xml:space="preserve"> 2</w:t>
      </w:r>
      <w:r w:rsidRPr="007C27C0">
        <w:rPr>
          <w:rFonts w:ascii="Arial" w:hAnsi="Arial" w:cs="Arial"/>
          <w:sz w:val="20"/>
        </w:rPr>
        <w:t xml:space="preserve">. General pattern of metabolic responses to abiotic stress (nMDS ordination graph). </w:t>
      </w:r>
    </w:p>
    <w:p w14:paraId="24D61B99" w14:textId="77777777" w:rsidR="00FC5834" w:rsidRPr="00296B75" w:rsidRDefault="00FC5834">
      <w:pPr>
        <w:rPr>
          <w:rFonts w:ascii="Times New Roman" w:hAnsi="Times New Roman" w:cs="Times New Roman"/>
        </w:rPr>
      </w:pPr>
    </w:p>
    <w:p w14:paraId="44ED9380" w14:textId="77777777" w:rsidR="00FC5834" w:rsidRPr="00296B75" w:rsidRDefault="00FC5834">
      <w:pPr>
        <w:rPr>
          <w:rFonts w:ascii="Times New Roman" w:hAnsi="Times New Roman" w:cs="Times New Roman"/>
        </w:rPr>
      </w:pPr>
      <w:r w:rsidRPr="00296B75">
        <w:rPr>
          <w:rFonts w:ascii="Times New Roman" w:hAnsi="Times New Roman" w:cs="Times New Roma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66"/>
      </w:tblGrid>
      <w:tr w:rsidR="00FC5834" w:rsidRPr="00296B75" w14:paraId="56B953CD" w14:textId="77777777" w:rsidTr="00C245C9">
        <w:tc>
          <w:tcPr>
            <w:tcW w:w="4508" w:type="dxa"/>
          </w:tcPr>
          <w:p w14:paraId="694063F3" w14:textId="77777777" w:rsidR="00FC5834" w:rsidRPr="00296B75" w:rsidRDefault="00FC5834" w:rsidP="008B6C2D">
            <w:pPr>
              <w:rPr>
                <w:rFonts w:ascii="Times New Roman" w:hAnsi="Times New Roman" w:cs="Times New Roman"/>
              </w:rPr>
            </w:pPr>
            <w:r w:rsidRPr="00296B75">
              <w:rPr>
                <w:rFonts w:ascii="Times New Roman" w:hAnsi="Times New Roman" w:cs="Times New Roman"/>
                <w:noProof/>
                <w:lang w:val="ru-RU" w:eastAsia="ru-RU"/>
              </w:rPr>
              <w:lastRenderedPageBreak/>
              <w:drawing>
                <wp:inline distT="0" distB="0" distL="0" distR="0" wp14:anchorId="40230ED8" wp14:editId="1BFD3FB3">
                  <wp:extent cx="2635623" cy="2522855"/>
                  <wp:effectExtent l="0" t="0" r="0" b="0"/>
                  <wp:docPr id="4" name="Picture 3">
                    <a:extLst xmlns:a="http://schemas.openxmlformats.org/drawingml/2006/main">
                      <a:ext uri="{FF2B5EF4-FFF2-40B4-BE49-F238E27FC236}">
                        <a16:creationId xmlns:a16="http://schemas.microsoft.com/office/drawing/2014/main" id="{7B0A7138-1674-9102-D069-088032393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B0A7138-1674-9102-D069-0880323933F1}"/>
                              </a:ext>
                            </a:extLst>
                          </pic:cNvPr>
                          <pic:cNvPicPr>
                            <a:picLocks noChangeAspect="1"/>
                          </pic:cNvPicPr>
                        </pic:nvPicPr>
                        <pic:blipFill rotWithShape="1">
                          <a:blip r:embed="rId47" cstate="print"/>
                          <a:srcRect l="8746" r="9459" b="8779"/>
                          <a:stretch>
                            <a:fillRect/>
                          </a:stretch>
                        </pic:blipFill>
                        <pic:spPr bwMode="auto">
                          <a:xfrm>
                            <a:off x="0" y="0"/>
                            <a:ext cx="2720782" cy="2604370"/>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14:paraId="664741EF" w14:textId="77777777" w:rsidR="00FC5834" w:rsidRPr="00296B75" w:rsidRDefault="00FC5834" w:rsidP="008B6C2D">
            <w:pPr>
              <w:rPr>
                <w:rFonts w:ascii="Times New Roman" w:hAnsi="Times New Roman" w:cs="Times New Roman"/>
              </w:rPr>
            </w:pPr>
            <w:r w:rsidRPr="00296B75">
              <w:rPr>
                <w:rFonts w:ascii="Times New Roman" w:hAnsi="Times New Roman" w:cs="Times New Roman"/>
                <w:noProof/>
                <w:lang w:val="ru-RU" w:eastAsia="ru-RU"/>
              </w:rPr>
              <w:drawing>
                <wp:inline distT="0" distB="0" distL="0" distR="0" wp14:anchorId="5D817797" wp14:editId="4AD5B339">
                  <wp:extent cx="2752980" cy="2522345"/>
                  <wp:effectExtent l="0" t="0" r="9525" b="0"/>
                  <wp:docPr id="8" name="Picture 7">
                    <a:extLst xmlns:a="http://schemas.openxmlformats.org/drawingml/2006/main">
                      <a:ext uri="{FF2B5EF4-FFF2-40B4-BE49-F238E27FC236}">
                        <a16:creationId xmlns:a16="http://schemas.microsoft.com/office/drawing/2014/main" id="{F456F2FE-32EE-4AB7-5920-D21AA9038E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456F2FE-32EE-4AB7-5920-D21AA9038E33}"/>
                              </a:ext>
                            </a:extLst>
                          </pic:cNvPr>
                          <pic:cNvPicPr>
                            <a:picLocks noChangeAspect="1"/>
                          </pic:cNvPicPr>
                        </pic:nvPicPr>
                        <pic:blipFill rotWithShape="1">
                          <a:blip r:embed="rId48" cstate="print"/>
                          <a:srcRect l="8746" r="9824" b="8792"/>
                          <a:stretch>
                            <a:fillRect/>
                          </a:stretch>
                        </pic:blipFill>
                        <pic:spPr bwMode="auto">
                          <a:xfrm>
                            <a:off x="0" y="0"/>
                            <a:ext cx="2774056" cy="2541655"/>
                          </a:xfrm>
                          <a:prstGeom prst="rect">
                            <a:avLst/>
                          </a:prstGeom>
                          <a:ln>
                            <a:noFill/>
                          </a:ln>
                          <a:extLst>
                            <a:ext uri="{53640926-AAD7-44D8-BBD7-CCE9431645EC}">
                              <a14:shadowObscured xmlns:a14="http://schemas.microsoft.com/office/drawing/2010/main"/>
                            </a:ext>
                          </a:extLst>
                        </pic:spPr>
                      </pic:pic>
                    </a:graphicData>
                  </a:graphic>
                </wp:inline>
              </w:drawing>
            </w:r>
          </w:p>
        </w:tc>
      </w:tr>
      <w:tr w:rsidR="00FC5834" w:rsidRPr="00296B75" w14:paraId="332BF1E5" w14:textId="77777777" w:rsidTr="00C245C9">
        <w:tc>
          <w:tcPr>
            <w:tcW w:w="4508" w:type="dxa"/>
          </w:tcPr>
          <w:p w14:paraId="1ED0C17B" w14:textId="77777777" w:rsidR="00FC5834" w:rsidRPr="00296B75" w:rsidRDefault="00FC5834" w:rsidP="008B6C2D">
            <w:pPr>
              <w:rPr>
                <w:rFonts w:ascii="Times New Roman" w:hAnsi="Times New Roman" w:cs="Times New Roman"/>
              </w:rPr>
            </w:pPr>
            <w:r w:rsidRPr="00296B75">
              <w:rPr>
                <w:rFonts w:ascii="Times New Roman" w:hAnsi="Times New Roman" w:cs="Times New Roman"/>
                <w:noProof/>
                <w:lang w:val="ru-RU" w:eastAsia="ru-RU"/>
              </w:rPr>
              <w:drawing>
                <wp:inline distT="0" distB="0" distL="0" distR="0" wp14:anchorId="0349639C" wp14:editId="317EF93E">
                  <wp:extent cx="2635250" cy="2542540"/>
                  <wp:effectExtent l="0" t="0" r="0" b="0"/>
                  <wp:docPr id="7" name="Picture 6">
                    <a:extLst xmlns:a="http://schemas.openxmlformats.org/drawingml/2006/main">
                      <a:ext uri="{FF2B5EF4-FFF2-40B4-BE49-F238E27FC236}">
                        <a16:creationId xmlns:a16="http://schemas.microsoft.com/office/drawing/2014/main" id="{67BE8459-6798-85EF-3D79-1980866B7F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7BE8459-6798-85EF-3D79-1980866B7F0C}"/>
                              </a:ext>
                            </a:extLst>
                          </pic:cNvPr>
                          <pic:cNvPicPr>
                            <a:picLocks noChangeAspect="1"/>
                          </pic:cNvPicPr>
                        </pic:nvPicPr>
                        <pic:blipFill rotWithShape="1">
                          <a:blip r:embed="rId49" cstate="print"/>
                          <a:srcRect l="7807" r="10320" b="8407"/>
                          <a:stretch>
                            <a:fillRect/>
                          </a:stretch>
                        </pic:blipFill>
                        <pic:spPr bwMode="auto">
                          <a:xfrm>
                            <a:off x="0" y="0"/>
                            <a:ext cx="2659901" cy="2566324"/>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14:paraId="499B55A3" w14:textId="77777777" w:rsidR="00FC5834" w:rsidRPr="00296B75" w:rsidRDefault="00FC5834" w:rsidP="002A0035">
            <w:pPr>
              <w:jc w:val="center"/>
              <w:rPr>
                <w:rFonts w:ascii="Times New Roman" w:hAnsi="Times New Roman" w:cs="Times New Roman"/>
              </w:rPr>
            </w:pPr>
          </w:p>
          <w:p w14:paraId="673132C4" w14:textId="77777777" w:rsidR="00FC5834" w:rsidRPr="00296B75" w:rsidRDefault="00FC5834" w:rsidP="002A0035">
            <w:pPr>
              <w:jc w:val="center"/>
              <w:rPr>
                <w:rFonts w:ascii="Times New Roman" w:hAnsi="Times New Roman" w:cs="Times New Roman"/>
              </w:rPr>
            </w:pPr>
          </w:p>
          <w:p w14:paraId="65758043" w14:textId="77777777" w:rsidR="00FC5834" w:rsidRPr="007C27C0" w:rsidRDefault="00FC5834" w:rsidP="002A0035">
            <w:pPr>
              <w:jc w:val="center"/>
              <w:rPr>
                <w:rFonts w:ascii="Arial" w:hAnsi="Arial" w:cs="Arial"/>
              </w:rPr>
            </w:pPr>
            <w:r w:rsidRPr="007C27C0">
              <w:rPr>
                <w:rFonts w:ascii="Arial" w:hAnsi="Arial" w:cs="Arial"/>
              </w:rPr>
              <w:t>Antioxidant level</w:t>
            </w:r>
          </w:p>
          <w:p w14:paraId="67C67C3B" w14:textId="77777777" w:rsidR="00FC5834" w:rsidRPr="00296B75" w:rsidRDefault="00FC5834" w:rsidP="002A0035">
            <w:pPr>
              <w:jc w:val="center"/>
              <w:rPr>
                <w:rFonts w:ascii="Times New Roman" w:hAnsi="Times New Roman" w:cs="Times New Roman"/>
              </w:rPr>
            </w:pPr>
          </w:p>
          <w:p w14:paraId="4498C0DF" w14:textId="77777777" w:rsidR="00FC5834" w:rsidRPr="00296B75" w:rsidRDefault="00FC5834" w:rsidP="002A0035">
            <w:pPr>
              <w:jc w:val="center"/>
              <w:rPr>
                <w:rFonts w:ascii="Times New Roman" w:hAnsi="Times New Roman" w:cs="Times New Roman"/>
              </w:rPr>
            </w:pPr>
            <w:r w:rsidRPr="00296B75">
              <w:rPr>
                <w:rFonts w:ascii="Times New Roman" w:hAnsi="Times New Roman" w:cs="Times New Roman"/>
                <w:noProof/>
                <w:lang w:val="ru-RU" w:eastAsia="ru-RU"/>
              </w:rPr>
              <w:drawing>
                <wp:inline distT="0" distB="0" distL="0" distR="0" wp14:anchorId="6F2C8163" wp14:editId="196C96D9">
                  <wp:extent cx="837963" cy="1581109"/>
                  <wp:effectExtent l="0" t="0" r="635" b="635"/>
                  <wp:docPr id="659314282" name="Picture 8">
                    <a:extLst xmlns:a="http://schemas.openxmlformats.org/drawingml/2006/main">
                      <a:ext uri="{FF2B5EF4-FFF2-40B4-BE49-F238E27FC236}">
                        <a16:creationId xmlns:a16="http://schemas.microsoft.com/office/drawing/2014/main" id="{85BF1F24-0731-57FE-9E77-8112E92DED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5BF1F24-0731-57FE-9E77-8112E92DED0E}"/>
                              </a:ext>
                            </a:extLst>
                          </pic:cNvPr>
                          <pic:cNvPicPr>
                            <a:picLocks noChangeAspect="1"/>
                          </pic:cNvPicPr>
                        </pic:nvPicPr>
                        <pic:blipFill rotWithShape="1">
                          <a:blip r:embed="rId50" cstate="print"/>
                          <a:srcRect l="83352" t="33232" r="-6" b="30588"/>
                          <a:stretch>
                            <a:fillRect/>
                          </a:stretch>
                        </pic:blipFill>
                        <pic:spPr bwMode="auto">
                          <a:xfrm>
                            <a:off x="0" y="0"/>
                            <a:ext cx="841066" cy="158696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7EBB196" w14:textId="77777777" w:rsidR="00FC5834" w:rsidRPr="00296B75" w:rsidRDefault="00FC5834" w:rsidP="008B6C2D">
      <w:pPr>
        <w:rPr>
          <w:rFonts w:ascii="Times New Roman" w:hAnsi="Times New Roman" w:cs="Times New Roman"/>
        </w:rPr>
      </w:pPr>
    </w:p>
    <w:p w14:paraId="6808A7B3" w14:textId="77777777" w:rsidR="00FC5834" w:rsidRPr="007C27C0" w:rsidRDefault="00FC5834" w:rsidP="008B6C2D">
      <w:pPr>
        <w:rPr>
          <w:rFonts w:ascii="Arial" w:hAnsi="Arial" w:cs="Arial"/>
          <w:sz w:val="20"/>
        </w:rPr>
      </w:pPr>
      <w:r w:rsidRPr="007C27C0">
        <w:rPr>
          <w:rFonts w:ascii="Arial" w:hAnsi="Arial" w:cs="Arial"/>
          <w:b/>
          <w:bCs/>
          <w:sz w:val="20"/>
        </w:rPr>
        <w:t>Fig. 3</w:t>
      </w:r>
      <w:r w:rsidRPr="007C27C0">
        <w:rPr>
          <w:rFonts w:ascii="Arial" w:hAnsi="Arial" w:cs="Arial"/>
          <w:sz w:val="20"/>
        </w:rPr>
        <w:t>. Two-way cluster analysis of the forb assemblage and the contents of antioxidants in species at three locations. Blank rectangles indicate missing data. Antioxidant level refers to standardized data (see the Materials and Methods).</w:t>
      </w:r>
    </w:p>
    <w:p w14:paraId="2F16608F" w14:textId="77777777" w:rsidR="00FC5834" w:rsidRPr="00296B75" w:rsidRDefault="00FC5834">
      <w:pPr>
        <w:rPr>
          <w:rFonts w:ascii="Times New Roman" w:hAnsi="Times New Roman" w:cs="Times New Roman"/>
        </w:rPr>
      </w:pPr>
    </w:p>
    <w:p w14:paraId="08832252" w14:textId="77777777" w:rsidR="004243A3" w:rsidRPr="00296B75" w:rsidRDefault="004243A3" w:rsidP="00E830A3">
      <w:pPr>
        <w:spacing w:line="276" w:lineRule="auto"/>
        <w:rPr>
          <w:rFonts w:ascii="Times New Roman" w:hAnsi="Times New Roman" w:cs="Times New Roman"/>
        </w:rPr>
      </w:pPr>
    </w:p>
    <w:sectPr w:rsidR="004243A3" w:rsidRPr="00296B75" w:rsidSect="00EB3BA3">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7A2D6" w14:textId="77777777" w:rsidR="00123320" w:rsidRDefault="00123320">
      <w:pPr>
        <w:spacing w:line="240" w:lineRule="auto"/>
      </w:pPr>
      <w:r>
        <w:separator/>
      </w:r>
    </w:p>
  </w:endnote>
  <w:endnote w:type="continuationSeparator" w:id="0">
    <w:p w14:paraId="7AC522AE" w14:textId="77777777" w:rsidR="00123320" w:rsidRDefault="00123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2BA4" w14:textId="77777777" w:rsidR="00922599" w:rsidRDefault="00922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7E0B" w14:textId="77777777" w:rsidR="00922599" w:rsidRDefault="00922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DF7D" w14:textId="77777777" w:rsidR="00922599" w:rsidRDefault="00922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4FCF2" w14:textId="77777777" w:rsidR="00123320" w:rsidRDefault="00123320">
      <w:pPr>
        <w:spacing w:after="0"/>
      </w:pPr>
      <w:r>
        <w:separator/>
      </w:r>
    </w:p>
  </w:footnote>
  <w:footnote w:type="continuationSeparator" w:id="0">
    <w:p w14:paraId="31AE80FE" w14:textId="77777777" w:rsidR="00123320" w:rsidRDefault="001233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6E6F" w14:textId="7DEDD06F" w:rsidR="00922599" w:rsidRDefault="00922599">
    <w:pPr>
      <w:pStyle w:val="Header"/>
    </w:pPr>
    <w:r>
      <w:rPr>
        <w:noProof/>
      </w:rPr>
      <w:pict w14:anchorId="797E5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9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5471" w14:textId="25E9D1C2" w:rsidR="00922599" w:rsidRDefault="00922599">
    <w:pPr>
      <w:pStyle w:val="Header"/>
    </w:pPr>
    <w:r>
      <w:rPr>
        <w:noProof/>
      </w:rPr>
      <w:pict w14:anchorId="493F8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9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E5EF" w14:textId="18F3E3A6" w:rsidR="00922599" w:rsidRDefault="00922599">
    <w:pPr>
      <w:pStyle w:val="Header"/>
    </w:pPr>
    <w:r>
      <w:rPr>
        <w:noProof/>
      </w:rPr>
      <w:pict w14:anchorId="4B125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9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20E16"/>
    <w:multiLevelType w:val="hybridMultilevel"/>
    <w:tmpl w:val="60D09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55842"/>
    <w:multiLevelType w:val="multilevel"/>
    <w:tmpl w:val="D60C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014"/>
    <w:rsid w:val="00003602"/>
    <w:rsid w:val="0001117B"/>
    <w:rsid w:val="0001384F"/>
    <w:rsid w:val="00016E7A"/>
    <w:rsid w:val="0003168B"/>
    <w:rsid w:val="00031BE0"/>
    <w:rsid w:val="00040BE8"/>
    <w:rsid w:val="00042004"/>
    <w:rsid w:val="00062970"/>
    <w:rsid w:val="00064758"/>
    <w:rsid w:val="00065AF8"/>
    <w:rsid w:val="00072347"/>
    <w:rsid w:val="00072951"/>
    <w:rsid w:val="00073B2E"/>
    <w:rsid w:val="000816A3"/>
    <w:rsid w:val="000832EB"/>
    <w:rsid w:val="00084B48"/>
    <w:rsid w:val="00091073"/>
    <w:rsid w:val="00095055"/>
    <w:rsid w:val="000A20EF"/>
    <w:rsid w:val="000B0562"/>
    <w:rsid w:val="000B4DA2"/>
    <w:rsid w:val="000C109C"/>
    <w:rsid w:val="000E2CBD"/>
    <w:rsid w:val="00120E3A"/>
    <w:rsid w:val="00123320"/>
    <w:rsid w:val="00126451"/>
    <w:rsid w:val="00133A76"/>
    <w:rsid w:val="00136651"/>
    <w:rsid w:val="00137584"/>
    <w:rsid w:val="00145A11"/>
    <w:rsid w:val="001648A9"/>
    <w:rsid w:val="00166869"/>
    <w:rsid w:val="00173E29"/>
    <w:rsid w:val="00180A5B"/>
    <w:rsid w:val="0018740F"/>
    <w:rsid w:val="0019458F"/>
    <w:rsid w:val="00194B2D"/>
    <w:rsid w:val="001A11F2"/>
    <w:rsid w:val="001B2C5E"/>
    <w:rsid w:val="001B332F"/>
    <w:rsid w:val="001B5BF6"/>
    <w:rsid w:val="001C0BCE"/>
    <w:rsid w:val="001C22AD"/>
    <w:rsid w:val="001D13E8"/>
    <w:rsid w:val="001D5E7B"/>
    <w:rsid w:val="001E2014"/>
    <w:rsid w:val="00203632"/>
    <w:rsid w:val="00206B82"/>
    <w:rsid w:val="00212AED"/>
    <w:rsid w:val="00241ED9"/>
    <w:rsid w:val="00252EDB"/>
    <w:rsid w:val="00254177"/>
    <w:rsid w:val="00261322"/>
    <w:rsid w:val="002627AF"/>
    <w:rsid w:val="002733D2"/>
    <w:rsid w:val="0029113A"/>
    <w:rsid w:val="002927C9"/>
    <w:rsid w:val="00296B75"/>
    <w:rsid w:val="002A10C3"/>
    <w:rsid w:val="002B1BBA"/>
    <w:rsid w:val="002B3F64"/>
    <w:rsid w:val="002B62BE"/>
    <w:rsid w:val="002F24FA"/>
    <w:rsid w:val="002F6298"/>
    <w:rsid w:val="00303F25"/>
    <w:rsid w:val="0030755B"/>
    <w:rsid w:val="00307619"/>
    <w:rsid w:val="00330C88"/>
    <w:rsid w:val="00343716"/>
    <w:rsid w:val="0036367A"/>
    <w:rsid w:val="00377584"/>
    <w:rsid w:val="003805A1"/>
    <w:rsid w:val="003848DF"/>
    <w:rsid w:val="0038552A"/>
    <w:rsid w:val="003910CF"/>
    <w:rsid w:val="0039305E"/>
    <w:rsid w:val="003C10B5"/>
    <w:rsid w:val="003C6CA0"/>
    <w:rsid w:val="003D1004"/>
    <w:rsid w:val="003D6A19"/>
    <w:rsid w:val="003F0546"/>
    <w:rsid w:val="004243A3"/>
    <w:rsid w:val="00432F3E"/>
    <w:rsid w:val="00433907"/>
    <w:rsid w:val="00446EAD"/>
    <w:rsid w:val="004537C3"/>
    <w:rsid w:val="00476143"/>
    <w:rsid w:val="004772F9"/>
    <w:rsid w:val="004776EA"/>
    <w:rsid w:val="00497E5D"/>
    <w:rsid w:val="004B18A4"/>
    <w:rsid w:val="004C6943"/>
    <w:rsid w:val="0050025E"/>
    <w:rsid w:val="00506D08"/>
    <w:rsid w:val="00510FE2"/>
    <w:rsid w:val="00522AC1"/>
    <w:rsid w:val="00523853"/>
    <w:rsid w:val="0052430F"/>
    <w:rsid w:val="0053127A"/>
    <w:rsid w:val="0053319F"/>
    <w:rsid w:val="00533F7A"/>
    <w:rsid w:val="005536D4"/>
    <w:rsid w:val="00562FAB"/>
    <w:rsid w:val="00570B65"/>
    <w:rsid w:val="00570FDF"/>
    <w:rsid w:val="0057399D"/>
    <w:rsid w:val="005806B3"/>
    <w:rsid w:val="00582569"/>
    <w:rsid w:val="0058369F"/>
    <w:rsid w:val="0058640D"/>
    <w:rsid w:val="005927B8"/>
    <w:rsid w:val="00597881"/>
    <w:rsid w:val="005A5350"/>
    <w:rsid w:val="005B6595"/>
    <w:rsid w:val="005C5237"/>
    <w:rsid w:val="005D197B"/>
    <w:rsid w:val="005D7CD0"/>
    <w:rsid w:val="005E73B0"/>
    <w:rsid w:val="005E76DC"/>
    <w:rsid w:val="005F553A"/>
    <w:rsid w:val="005F6B7F"/>
    <w:rsid w:val="006052D4"/>
    <w:rsid w:val="006104F3"/>
    <w:rsid w:val="00613998"/>
    <w:rsid w:val="006262CA"/>
    <w:rsid w:val="00630856"/>
    <w:rsid w:val="00631163"/>
    <w:rsid w:val="00631DDA"/>
    <w:rsid w:val="0063767B"/>
    <w:rsid w:val="006413C8"/>
    <w:rsid w:val="006506B7"/>
    <w:rsid w:val="006528E6"/>
    <w:rsid w:val="0065587B"/>
    <w:rsid w:val="00663398"/>
    <w:rsid w:val="006926C6"/>
    <w:rsid w:val="006A1599"/>
    <w:rsid w:val="006B23CA"/>
    <w:rsid w:val="006B2469"/>
    <w:rsid w:val="006B6680"/>
    <w:rsid w:val="006E4A1D"/>
    <w:rsid w:val="006E6C14"/>
    <w:rsid w:val="006F482E"/>
    <w:rsid w:val="006F65C4"/>
    <w:rsid w:val="00701C05"/>
    <w:rsid w:val="00705CA2"/>
    <w:rsid w:val="00707020"/>
    <w:rsid w:val="0071234D"/>
    <w:rsid w:val="00713E3E"/>
    <w:rsid w:val="00717A93"/>
    <w:rsid w:val="00736714"/>
    <w:rsid w:val="007372B3"/>
    <w:rsid w:val="00750B49"/>
    <w:rsid w:val="007537C9"/>
    <w:rsid w:val="00780538"/>
    <w:rsid w:val="00790642"/>
    <w:rsid w:val="00790B19"/>
    <w:rsid w:val="007914FF"/>
    <w:rsid w:val="00793183"/>
    <w:rsid w:val="007A38DB"/>
    <w:rsid w:val="007B0AA2"/>
    <w:rsid w:val="007B2B04"/>
    <w:rsid w:val="007B3019"/>
    <w:rsid w:val="007B555C"/>
    <w:rsid w:val="007C27C0"/>
    <w:rsid w:val="007C7984"/>
    <w:rsid w:val="007D3DFE"/>
    <w:rsid w:val="007D7085"/>
    <w:rsid w:val="0081350A"/>
    <w:rsid w:val="00820F25"/>
    <w:rsid w:val="008224D4"/>
    <w:rsid w:val="00831B80"/>
    <w:rsid w:val="00832A43"/>
    <w:rsid w:val="0084264D"/>
    <w:rsid w:val="00854D2F"/>
    <w:rsid w:val="00864D35"/>
    <w:rsid w:val="00872C04"/>
    <w:rsid w:val="00874BC3"/>
    <w:rsid w:val="008755F9"/>
    <w:rsid w:val="00881084"/>
    <w:rsid w:val="00884876"/>
    <w:rsid w:val="008B130A"/>
    <w:rsid w:val="008B5458"/>
    <w:rsid w:val="008C2B7C"/>
    <w:rsid w:val="008C36EA"/>
    <w:rsid w:val="008D053B"/>
    <w:rsid w:val="008D40D8"/>
    <w:rsid w:val="008E1E50"/>
    <w:rsid w:val="00903422"/>
    <w:rsid w:val="009042CF"/>
    <w:rsid w:val="0090631F"/>
    <w:rsid w:val="00922599"/>
    <w:rsid w:val="009401B4"/>
    <w:rsid w:val="00944041"/>
    <w:rsid w:val="00957BA1"/>
    <w:rsid w:val="009671D8"/>
    <w:rsid w:val="00975A01"/>
    <w:rsid w:val="0098010D"/>
    <w:rsid w:val="00990014"/>
    <w:rsid w:val="009A0588"/>
    <w:rsid w:val="009A3A6D"/>
    <w:rsid w:val="009A60F4"/>
    <w:rsid w:val="009A6D42"/>
    <w:rsid w:val="009B155D"/>
    <w:rsid w:val="009C4DA5"/>
    <w:rsid w:val="009C7722"/>
    <w:rsid w:val="009D0B31"/>
    <w:rsid w:val="009E5EEF"/>
    <w:rsid w:val="009E7157"/>
    <w:rsid w:val="00A12856"/>
    <w:rsid w:val="00A14C57"/>
    <w:rsid w:val="00A25783"/>
    <w:rsid w:val="00A26ED4"/>
    <w:rsid w:val="00A33443"/>
    <w:rsid w:val="00A3404A"/>
    <w:rsid w:val="00A34EF5"/>
    <w:rsid w:val="00A448A3"/>
    <w:rsid w:val="00A52FE9"/>
    <w:rsid w:val="00A53F0B"/>
    <w:rsid w:val="00A826A4"/>
    <w:rsid w:val="00A82B68"/>
    <w:rsid w:val="00A92909"/>
    <w:rsid w:val="00A92ACD"/>
    <w:rsid w:val="00AA50E1"/>
    <w:rsid w:val="00AA63C3"/>
    <w:rsid w:val="00AB2CC1"/>
    <w:rsid w:val="00B00A66"/>
    <w:rsid w:val="00B26594"/>
    <w:rsid w:val="00B414F2"/>
    <w:rsid w:val="00B4265F"/>
    <w:rsid w:val="00B511C2"/>
    <w:rsid w:val="00B51D89"/>
    <w:rsid w:val="00B55DF2"/>
    <w:rsid w:val="00B57CA5"/>
    <w:rsid w:val="00B62339"/>
    <w:rsid w:val="00B62B52"/>
    <w:rsid w:val="00B672C7"/>
    <w:rsid w:val="00B80CB7"/>
    <w:rsid w:val="00B828A3"/>
    <w:rsid w:val="00B83BCD"/>
    <w:rsid w:val="00B84440"/>
    <w:rsid w:val="00BC0A37"/>
    <w:rsid w:val="00BC561D"/>
    <w:rsid w:val="00BC5D7F"/>
    <w:rsid w:val="00BE5D36"/>
    <w:rsid w:val="00BE6D22"/>
    <w:rsid w:val="00BF0409"/>
    <w:rsid w:val="00BF449F"/>
    <w:rsid w:val="00C02774"/>
    <w:rsid w:val="00C0443F"/>
    <w:rsid w:val="00C14FD1"/>
    <w:rsid w:val="00C31B81"/>
    <w:rsid w:val="00C3474A"/>
    <w:rsid w:val="00C35CD4"/>
    <w:rsid w:val="00C364EA"/>
    <w:rsid w:val="00C36680"/>
    <w:rsid w:val="00C50265"/>
    <w:rsid w:val="00C57D40"/>
    <w:rsid w:val="00C83210"/>
    <w:rsid w:val="00C9179A"/>
    <w:rsid w:val="00C94808"/>
    <w:rsid w:val="00C95BB5"/>
    <w:rsid w:val="00CA150D"/>
    <w:rsid w:val="00CA66C2"/>
    <w:rsid w:val="00CA7C77"/>
    <w:rsid w:val="00CC1FB3"/>
    <w:rsid w:val="00CC47F0"/>
    <w:rsid w:val="00CE1E18"/>
    <w:rsid w:val="00CE3D2B"/>
    <w:rsid w:val="00CF06A7"/>
    <w:rsid w:val="00D013AB"/>
    <w:rsid w:val="00D02196"/>
    <w:rsid w:val="00D13843"/>
    <w:rsid w:val="00D14699"/>
    <w:rsid w:val="00D172BA"/>
    <w:rsid w:val="00D279C6"/>
    <w:rsid w:val="00D3142C"/>
    <w:rsid w:val="00D33071"/>
    <w:rsid w:val="00D33D83"/>
    <w:rsid w:val="00D409B4"/>
    <w:rsid w:val="00D44FA8"/>
    <w:rsid w:val="00D4576F"/>
    <w:rsid w:val="00D5231D"/>
    <w:rsid w:val="00D56A7B"/>
    <w:rsid w:val="00D56DF9"/>
    <w:rsid w:val="00D60B01"/>
    <w:rsid w:val="00D64F57"/>
    <w:rsid w:val="00D64FCF"/>
    <w:rsid w:val="00D72B8F"/>
    <w:rsid w:val="00D73613"/>
    <w:rsid w:val="00D74118"/>
    <w:rsid w:val="00D8068F"/>
    <w:rsid w:val="00D90BAD"/>
    <w:rsid w:val="00DC1A10"/>
    <w:rsid w:val="00DC22FA"/>
    <w:rsid w:val="00DC7A0D"/>
    <w:rsid w:val="00DD1914"/>
    <w:rsid w:val="00DE1BC7"/>
    <w:rsid w:val="00DE50D8"/>
    <w:rsid w:val="00E0083B"/>
    <w:rsid w:val="00E00AF4"/>
    <w:rsid w:val="00E02636"/>
    <w:rsid w:val="00E0305F"/>
    <w:rsid w:val="00E1344C"/>
    <w:rsid w:val="00E21040"/>
    <w:rsid w:val="00E2650D"/>
    <w:rsid w:val="00E44E9D"/>
    <w:rsid w:val="00E45FB1"/>
    <w:rsid w:val="00E61C0B"/>
    <w:rsid w:val="00E62FCE"/>
    <w:rsid w:val="00E73193"/>
    <w:rsid w:val="00E830A3"/>
    <w:rsid w:val="00E946AB"/>
    <w:rsid w:val="00EA6E1F"/>
    <w:rsid w:val="00EB0869"/>
    <w:rsid w:val="00EB3BA3"/>
    <w:rsid w:val="00EB45CE"/>
    <w:rsid w:val="00EB72AA"/>
    <w:rsid w:val="00EC0E2B"/>
    <w:rsid w:val="00EC5B02"/>
    <w:rsid w:val="00EC5EF1"/>
    <w:rsid w:val="00ED5226"/>
    <w:rsid w:val="00EE2047"/>
    <w:rsid w:val="00EF3574"/>
    <w:rsid w:val="00EF5FEC"/>
    <w:rsid w:val="00F20CFC"/>
    <w:rsid w:val="00F27B0D"/>
    <w:rsid w:val="00F757D2"/>
    <w:rsid w:val="00F75E44"/>
    <w:rsid w:val="00F9631D"/>
    <w:rsid w:val="00FC21FE"/>
    <w:rsid w:val="00FC5834"/>
    <w:rsid w:val="00FC6EC9"/>
    <w:rsid w:val="00FF6877"/>
    <w:rsid w:val="7DD39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E04B1"/>
  <w15:docId w15:val="{E991662B-9500-41D8-BEAF-E46675AB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FCF"/>
    <w:pPr>
      <w:spacing w:after="160" w:line="259" w:lineRule="auto"/>
    </w:pPr>
    <w:rPr>
      <w:sz w:val="22"/>
      <w:szCs w:val="22"/>
      <w:lang w:eastAsia="en-US"/>
    </w:rPr>
  </w:style>
  <w:style w:type="paragraph" w:styleId="Heading1">
    <w:name w:val="heading 1"/>
    <w:basedOn w:val="Normal"/>
    <w:next w:val="Normal"/>
    <w:link w:val="Heading1Char"/>
    <w:uiPriority w:val="9"/>
    <w:qFormat/>
    <w:rsid w:val="00D64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FCF"/>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D64FCF"/>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64FCF"/>
    <w:rPr>
      <w:rFonts w:eastAsiaTheme="majorEastAsia" w:cstheme="majorBidi"/>
      <w:color w:val="595959" w:themeColor="text1" w:themeTint="A6"/>
      <w:spacing w:val="15"/>
      <w:sz w:val="28"/>
      <w:szCs w:val="28"/>
    </w:rPr>
  </w:style>
  <w:style w:type="table" w:styleId="TableGrid">
    <w:name w:val="Table Grid"/>
    <w:basedOn w:val="TableNormal"/>
    <w:uiPriority w:val="39"/>
    <w:rsid w:val="00D6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6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4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FCF"/>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D64FCF"/>
    <w:rPr>
      <w:rFonts w:eastAsiaTheme="majorEastAsia" w:cstheme="majorBidi"/>
      <w:color w:val="262626" w:themeColor="text1" w:themeTint="D9"/>
    </w:rPr>
  </w:style>
  <w:style w:type="character" w:customStyle="1" w:styleId="TitleChar">
    <w:name w:val="Title Char"/>
    <w:basedOn w:val="DefaultParagraphFont"/>
    <w:link w:val="Title"/>
    <w:uiPriority w:val="10"/>
    <w:rsid w:val="00D64FC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4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FCF"/>
    <w:pPr>
      <w:spacing w:before="160"/>
      <w:jc w:val="center"/>
    </w:pPr>
    <w:rPr>
      <w:i/>
      <w:iCs/>
      <w:color w:val="404040" w:themeColor="text1" w:themeTint="BF"/>
    </w:rPr>
  </w:style>
  <w:style w:type="character" w:customStyle="1" w:styleId="QuoteChar">
    <w:name w:val="Quote Char"/>
    <w:basedOn w:val="DefaultParagraphFont"/>
    <w:link w:val="Quote"/>
    <w:uiPriority w:val="29"/>
    <w:rsid w:val="00D64FCF"/>
    <w:rPr>
      <w:i/>
      <w:iCs/>
      <w:color w:val="404040" w:themeColor="text1" w:themeTint="BF"/>
    </w:rPr>
  </w:style>
  <w:style w:type="paragraph" w:styleId="ListParagraph">
    <w:name w:val="List Paragraph"/>
    <w:basedOn w:val="Normal"/>
    <w:uiPriority w:val="34"/>
    <w:qFormat/>
    <w:rsid w:val="00D64FCF"/>
    <w:pPr>
      <w:ind w:left="720"/>
      <w:contextualSpacing/>
    </w:pPr>
  </w:style>
  <w:style w:type="character" w:customStyle="1" w:styleId="IntenseEmphasis1">
    <w:name w:val="Intense Emphasis1"/>
    <w:basedOn w:val="DefaultParagraphFont"/>
    <w:uiPriority w:val="21"/>
    <w:qFormat/>
    <w:rsid w:val="00D64FCF"/>
    <w:rPr>
      <w:i/>
      <w:iCs/>
      <w:color w:val="2F5496" w:themeColor="accent1" w:themeShade="BF"/>
    </w:rPr>
  </w:style>
  <w:style w:type="paragraph" w:styleId="IntenseQuote">
    <w:name w:val="Intense Quote"/>
    <w:basedOn w:val="Normal"/>
    <w:next w:val="Normal"/>
    <w:link w:val="IntenseQuoteChar"/>
    <w:uiPriority w:val="30"/>
    <w:qFormat/>
    <w:rsid w:val="00D64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FCF"/>
    <w:rPr>
      <w:i/>
      <w:iCs/>
      <w:color w:val="2F5496" w:themeColor="accent1" w:themeShade="BF"/>
    </w:rPr>
  </w:style>
  <w:style w:type="character" w:customStyle="1" w:styleId="IntenseReference1">
    <w:name w:val="Intense Reference1"/>
    <w:basedOn w:val="DefaultParagraphFont"/>
    <w:uiPriority w:val="32"/>
    <w:qFormat/>
    <w:rsid w:val="00D64FCF"/>
    <w:rPr>
      <w:b/>
      <w:bCs/>
      <w:smallCaps/>
      <w:color w:val="2F5496" w:themeColor="accent1" w:themeShade="BF"/>
      <w:spacing w:val="5"/>
    </w:rPr>
  </w:style>
  <w:style w:type="character" w:styleId="Hyperlink">
    <w:name w:val="Hyperlink"/>
    <w:basedOn w:val="DefaultParagraphFont"/>
    <w:uiPriority w:val="99"/>
    <w:unhideWhenUsed/>
    <w:rsid w:val="008E1E50"/>
    <w:rPr>
      <w:color w:val="0563C1" w:themeColor="hyperlink"/>
      <w:u w:val="single"/>
    </w:rPr>
  </w:style>
  <w:style w:type="character" w:customStyle="1" w:styleId="UnresolvedMention1">
    <w:name w:val="Unresolved Mention1"/>
    <w:basedOn w:val="DefaultParagraphFont"/>
    <w:uiPriority w:val="99"/>
    <w:semiHidden/>
    <w:unhideWhenUsed/>
    <w:rsid w:val="00C57D40"/>
    <w:rPr>
      <w:color w:val="605E5C"/>
      <w:shd w:val="clear" w:color="auto" w:fill="E1DFDD"/>
    </w:rPr>
  </w:style>
  <w:style w:type="character" w:styleId="CommentReference">
    <w:name w:val="annotation reference"/>
    <w:basedOn w:val="DefaultParagraphFont"/>
    <w:uiPriority w:val="99"/>
    <w:semiHidden/>
    <w:unhideWhenUsed/>
    <w:rsid w:val="00820F25"/>
    <w:rPr>
      <w:sz w:val="16"/>
      <w:szCs w:val="16"/>
    </w:rPr>
  </w:style>
  <w:style w:type="paragraph" w:styleId="CommentText">
    <w:name w:val="annotation text"/>
    <w:basedOn w:val="Normal"/>
    <w:link w:val="CommentTextChar"/>
    <w:uiPriority w:val="99"/>
    <w:unhideWhenUsed/>
    <w:rsid w:val="00820F25"/>
    <w:pPr>
      <w:spacing w:line="240" w:lineRule="auto"/>
    </w:pPr>
    <w:rPr>
      <w:sz w:val="20"/>
      <w:szCs w:val="20"/>
    </w:rPr>
  </w:style>
  <w:style w:type="character" w:customStyle="1" w:styleId="CommentTextChar">
    <w:name w:val="Comment Text Char"/>
    <w:basedOn w:val="DefaultParagraphFont"/>
    <w:link w:val="CommentText"/>
    <w:uiPriority w:val="99"/>
    <w:rsid w:val="00820F25"/>
    <w:rPr>
      <w:lang w:eastAsia="en-US"/>
    </w:rPr>
  </w:style>
  <w:style w:type="paragraph" w:styleId="CommentSubject">
    <w:name w:val="annotation subject"/>
    <w:basedOn w:val="CommentText"/>
    <w:next w:val="CommentText"/>
    <w:link w:val="CommentSubjectChar"/>
    <w:uiPriority w:val="99"/>
    <w:semiHidden/>
    <w:unhideWhenUsed/>
    <w:rsid w:val="00820F25"/>
    <w:rPr>
      <w:b/>
      <w:bCs/>
    </w:rPr>
  </w:style>
  <w:style w:type="character" w:customStyle="1" w:styleId="CommentSubjectChar">
    <w:name w:val="Comment Subject Char"/>
    <w:basedOn w:val="CommentTextChar"/>
    <w:link w:val="CommentSubject"/>
    <w:uiPriority w:val="99"/>
    <w:semiHidden/>
    <w:rsid w:val="00820F25"/>
    <w:rPr>
      <w:b/>
      <w:bCs/>
      <w:lang w:eastAsia="en-US"/>
    </w:rPr>
  </w:style>
  <w:style w:type="paragraph" w:customStyle="1" w:styleId="Newparagraph">
    <w:name w:val="New paragraph"/>
    <w:basedOn w:val="Normal"/>
    <w:qFormat/>
    <w:rsid w:val="00307619"/>
    <w:pPr>
      <w:spacing w:after="0" w:line="480" w:lineRule="auto"/>
      <w:ind w:firstLine="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9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909"/>
    <w:rPr>
      <w:rFonts w:ascii="Tahoma" w:hAnsi="Tahoma" w:cs="Tahoma"/>
      <w:sz w:val="16"/>
      <w:szCs w:val="16"/>
      <w:lang w:eastAsia="en-US"/>
    </w:rPr>
  </w:style>
  <w:style w:type="table" w:customStyle="1" w:styleId="1">
    <w:name w:val="Сетка таблицы1"/>
    <w:basedOn w:val="TableNormal"/>
    <w:next w:val="TableGrid"/>
    <w:uiPriority w:val="39"/>
    <w:rsid w:val="00533F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66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lqj4b">
    <w:name w:val="jlqj4b"/>
    <w:basedOn w:val="DefaultParagraphFont"/>
    <w:rsid w:val="00CA66C2"/>
  </w:style>
  <w:style w:type="character" w:customStyle="1" w:styleId="UnresolvedMention2">
    <w:name w:val="Unresolved Mention2"/>
    <w:basedOn w:val="DefaultParagraphFont"/>
    <w:uiPriority w:val="99"/>
    <w:semiHidden/>
    <w:unhideWhenUsed/>
    <w:rsid w:val="00CE3D2B"/>
    <w:rPr>
      <w:color w:val="605E5C"/>
      <w:shd w:val="clear" w:color="auto" w:fill="E1DFDD"/>
    </w:rPr>
  </w:style>
  <w:style w:type="character" w:customStyle="1" w:styleId="UnresolvedMention3">
    <w:name w:val="Unresolved Mention3"/>
    <w:basedOn w:val="DefaultParagraphFont"/>
    <w:uiPriority w:val="99"/>
    <w:semiHidden/>
    <w:unhideWhenUsed/>
    <w:rsid w:val="00562FAB"/>
    <w:rPr>
      <w:color w:val="605E5C"/>
      <w:shd w:val="clear" w:color="auto" w:fill="E1DFDD"/>
    </w:rPr>
  </w:style>
  <w:style w:type="paragraph" w:styleId="EndnoteText">
    <w:name w:val="endnote text"/>
    <w:basedOn w:val="Normal"/>
    <w:link w:val="EndnoteTextChar"/>
    <w:uiPriority w:val="99"/>
    <w:semiHidden/>
    <w:unhideWhenUsed/>
    <w:rsid w:val="006052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2D4"/>
    <w:rPr>
      <w:lang w:eastAsia="en-US"/>
    </w:rPr>
  </w:style>
  <w:style w:type="character" w:styleId="EndnoteReference">
    <w:name w:val="endnote reference"/>
    <w:basedOn w:val="DefaultParagraphFont"/>
    <w:uiPriority w:val="99"/>
    <w:semiHidden/>
    <w:unhideWhenUsed/>
    <w:rsid w:val="006052D4"/>
    <w:rPr>
      <w:vertAlign w:val="superscript"/>
    </w:rPr>
  </w:style>
  <w:style w:type="paragraph" w:styleId="FootnoteText">
    <w:name w:val="footnote text"/>
    <w:basedOn w:val="Normal"/>
    <w:link w:val="FootnoteTextChar"/>
    <w:uiPriority w:val="99"/>
    <w:semiHidden/>
    <w:unhideWhenUsed/>
    <w:rsid w:val="0060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2D4"/>
    <w:rPr>
      <w:lang w:eastAsia="en-US"/>
    </w:rPr>
  </w:style>
  <w:style w:type="character" w:styleId="FootnoteReference">
    <w:name w:val="footnote reference"/>
    <w:basedOn w:val="DefaultParagraphFont"/>
    <w:uiPriority w:val="99"/>
    <w:semiHidden/>
    <w:unhideWhenUsed/>
    <w:rsid w:val="006052D4"/>
    <w:rPr>
      <w:vertAlign w:val="superscript"/>
    </w:rPr>
  </w:style>
  <w:style w:type="paragraph" w:styleId="Header">
    <w:name w:val="header"/>
    <w:basedOn w:val="Normal"/>
    <w:link w:val="HeaderChar"/>
    <w:uiPriority w:val="99"/>
    <w:unhideWhenUsed/>
    <w:rsid w:val="00922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599"/>
    <w:rPr>
      <w:sz w:val="22"/>
      <w:szCs w:val="22"/>
      <w:lang w:eastAsia="en-US"/>
    </w:rPr>
  </w:style>
  <w:style w:type="paragraph" w:styleId="Footer">
    <w:name w:val="footer"/>
    <w:basedOn w:val="Normal"/>
    <w:link w:val="FooterChar"/>
    <w:uiPriority w:val="99"/>
    <w:unhideWhenUsed/>
    <w:rsid w:val="00922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896">
      <w:bodyDiv w:val="1"/>
      <w:marLeft w:val="0"/>
      <w:marRight w:val="0"/>
      <w:marTop w:val="0"/>
      <w:marBottom w:val="0"/>
      <w:divBdr>
        <w:top w:val="none" w:sz="0" w:space="0" w:color="auto"/>
        <w:left w:val="none" w:sz="0" w:space="0" w:color="auto"/>
        <w:bottom w:val="none" w:sz="0" w:space="0" w:color="auto"/>
        <w:right w:val="none" w:sz="0" w:space="0" w:color="auto"/>
      </w:divBdr>
    </w:div>
    <w:div w:id="436297179">
      <w:bodyDiv w:val="1"/>
      <w:marLeft w:val="0"/>
      <w:marRight w:val="0"/>
      <w:marTop w:val="0"/>
      <w:marBottom w:val="0"/>
      <w:divBdr>
        <w:top w:val="none" w:sz="0" w:space="0" w:color="auto"/>
        <w:left w:val="none" w:sz="0" w:space="0" w:color="auto"/>
        <w:bottom w:val="none" w:sz="0" w:space="0" w:color="auto"/>
        <w:right w:val="none" w:sz="0" w:space="0" w:color="auto"/>
      </w:divBdr>
    </w:div>
    <w:div w:id="576744018">
      <w:bodyDiv w:val="1"/>
      <w:marLeft w:val="0"/>
      <w:marRight w:val="0"/>
      <w:marTop w:val="0"/>
      <w:marBottom w:val="0"/>
      <w:divBdr>
        <w:top w:val="none" w:sz="0" w:space="0" w:color="auto"/>
        <w:left w:val="none" w:sz="0" w:space="0" w:color="auto"/>
        <w:bottom w:val="none" w:sz="0" w:space="0" w:color="auto"/>
        <w:right w:val="none" w:sz="0" w:space="0" w:color="auto"/>
      </w:divBdr>
    </w:div>
    <w:div w:id="1875535402">
      <w:bodyDiv w:val="1"/>
      <w:marLeft w:val="0"/>
      <w:marRight w:val="0"/>
      <w:marTop w:val="0"/>
      <w:marBottom w:val="0"/>
      <w:divBdr>
        <w:top w:val="none" w:sz="0" w:space="0" w:color="auto"/>
        <w:left w:val="none" w:sz="0" w:space="0" w:color="auto"/>
        <w:bottom w:val="none" w:sz="0" w:space="0" w:color="auto"/>
        <w:right w:val="none" w:sz="0" w:space="0" w:color="auto"/>
      </w:divBdr>
    </w:div>
    <w:div w:id="1880774438">
      <w:bodyDiv w:val="1"/>
      <w:marLeft w:val="0"/>
      <w:marRight w:val="0"/>
      <w:marTop w:val="0"/>
      <w:marBottom w:val="0"/>
      <w:divBdr>
        <w:top w:val="none" w:sz="0" w:space="0" w:color="auto"/>
        <w:left w:val="none" w:sz="0" w:space="0" w:color="auto"/>
        <w:bottom w:val="none" w:sz="0" w:space="0" w:color="auto"/>
        <w:right w:val="none" w:sz="0" w:space="0" w:color="auto"/>
      </w:divBdr>
    </w:div>
    <w:div w:id="2108889961">
      <w:bodyDiv w:val="1"/>
      <w:marLeft w:val="0"/>
      <w:marRight w:val="0"/>
      <w:marTop w:val="0"/>
      <w:marBottom w:val="0"/>
      <w:divBdr>
        <w:top w:val="none" w:sz="0" w:space="0" w:color="auto"/>
        <w:left w:val="none" w:sz="0" w:space="0" w:color="auto"/>
        <w:bottom w:val="none" w:sz="0" w:space="0" w:color="auto"/>
        <w:right w:val="none" w:sz="0" w:space="0" w:color="auto"/>
      </w:divBdr>
    </w:div>
    <w:div w:id="212862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319-49412-8_131" TargetMode="External"/><Relationship Id="rId18" Type="http://schemas.openxmlformats.org/officeDocument/2006/relationships/hyperlink" Target="https://doi.org/10.1007/978-3-319-50009-6_207-1" TargetMode="External"/><Relationship Id="rId26" Type="http://schemas.openxmlformats.org/officeDocument/2006/relationships/hyperlink" Target="https://doi.org/10.3390/plants9070869" TargetMode="External"/><Relationship Id="rId39" Type="http://schemas.openxmlformats.org/officeDocument/2006/relationships/hyperlink" Target="https://doi.org/10.1016/j.jep.2020.113077" TargetMode="External"/><Relationship Id="rId21" Type="http://schemas.openxmlformats.org/officeDocument/2006/relationships/hyperlink" Target="https://doi.org/10.1111/brv.13079" TargetMode="External"/><Relationship Id="rId34" Type="http://schemas.openxmlformats.org/officeDocument/2006/relationships/hyperlink" Target="https://powo.science.kew.org" TargetMode="External"/><Relationship Id="rId42" Type="http://schemas.openxmlformats.org/officeDocument/2006/relationships/hyperlink" Target="https://doi.org/10.3390/toxins14070490" TargetMode="Externa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319-50009-6_131-2" TargetMode="External"/><Relationship Id="rId29" Type="http://schemas.openxmlformats.org/officeDocument/2006/relationships/hyperlink" Target="https://doi.org/10.1016/j.envexpbot.2024.106036" TargetMode="External"/><Relationship Id="rId11" Type="http://schemas.openxmlformats.org/officeDocument/2006/relationships/hyperlink" Target="https://doi.org/10.1080/11263504.2024.2392549" TargetMode="External"/><Relationship Id="rId24" Type="http://schemas.openxmlformats.org/officeDocument/2006/relationships/hyperlink" Target="https://doi.org/10.5772/54859" TargetMode="External"/><Relationship Id="rId32" Type="http://schemas.openxmlformats.org/officeDocument/2006/relationships/hyperlink" Target="https://doi.org/10.1002/0471142913.faf0403s01" TargetMode="External"/><Relationship Id="rId37" Type="http://schemas.openxmlformats.org/officeDocument/2006/relationships/hyperlink" Target="https://doi.org/10.1111/j.1399-3054.2006.00777.x" TargetMode="External"/><Relationship Id="rId40" Type="http://schemas.openxmlformats.org/officeDocument/2006/relationships/hyperlink" Target="https://doi.org/10.1007/978-981-97-1510-7_15" TargetMode="External"/><Relationship Id="rId45" Type="http://schemas.openxmlformats.org/officeDocument/2006/relationships/hyperlink" Target="https://www.freeworldmaps.net/asia/caucasus/caucasus-countries-hd.jpg"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890/0012-9623-92.2.147" TargetMode="External"/><Relationship Id="rId4" Type="http://schemas.openxmlformats.org/officeDocument/2006/relationships/settings" Target="settings.xml"/><Relationship Id="rId9" Type="http://schemas.openxmlformats.org/officeDocument/2006/relationships/hyperlink" Target="http://www.jstor.org/stable/24107045" TargetMode="External"/><Relationship Id="rId14" Type="http://schemas.openxmlformats.org/officeDocument/2006/relationships/hyperlink" Target="https://doi.org/10.1659/0276-4741(2007)27%5b58:EALUSA%5d2.0.CO;2" TargetMode="External"/><Relationship Id="rId22" Type="http://schemas.openxmlformats.org/officeDocument/2006/relationships/hyperlink" Target="https://doi.org/10.3389/fpls.2020.552969" TargetMode="External"/><Relationship Id="rId27" Type="http://schemas.openxmlformats.org/officeDocument/2006/relationships/hyperlink" Target="https://doi.org/10.3390/plants9020178" TargetMode="External"/><Relationship Id="rId30" Type="http://schemas.openxmlformats.org/officeDocument/2006/relationships/hyperlink" Target="https://doi.org/10.1016/j.flora.2008.12.005" TargetMode="External"/><Relationship Id="rId35" Type="http://schemas.openxmlformats.org/officeDocument/2006/relationships/hyperlink" Target="https://doi.org/10.1177/1934578X1501000308" TargetMode="External"/><Relationship Id="rId43" Type="http://schemas.openxmlformats.org/officeDocument/2006/relationships/hyperlink" Target="https://doi.org/10.1016/j.ympev.2018.07.004" TargetMode="External"/><Relationship Id="rId48" Type="http://schemas.openxmlformats.org/officeDocument/2006/relationships/image" Target="media/image4.png"/><Relationship Id="rId56" Type="http://schemas.openxmlformats.org/officeDocument/2006/relationships/footer" Target="footer3.xml"/><Relationship Id="rId8" Type="http://schemas.openxmlformats.org/officeDocument/2006/relationships/hyperlink" Target="https://weatherandclimate.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07/BF00018060" TargetMode="External"/><Relationship Id="rId17" Type="http://schemas.openxmlformats.org/officeDocument/2006/relationships/hyperlink" Target="https://doi.org/10.1007/978-3-319-50009-6_349-1" TargetMode="External"/><Relationship Id="rId25" Type="http://schemas.openxmlformats.org/officeDocument/2006/relationships/hyperlink" Target="http://palaeo-electronica.org/2001_1/past/issue1_01.htm" TargetMode="External"/><Relationship Id="rId33" Type="http://schemas.openxmlformats.org/officeDocument/2006/relationships/hyperlink" Target="https://www.jbc.org/article/S0021-9258(19)52451-6/fulltext" TargetMode="External"/><Relationship Id="rId38" Type="http://schemas.openxmlformats.org/officeDocument/2006/relationships/hyperlink" Target="https://doi.org/10.1002/ecm.70024" TargetMode="External"/><Relationship Id="rId46" Type="http://schemas.openxmlformats.org/officeDocument/2006/relationships/image" Target="media/image2.png"/><Relationship Id="rId20" Type="http://schemas.openxmlformats.org/officeDocument/2006/relationships/hyperlink" Target="https://doi.org/10.1073/pnas.0704716104" TargetMode="External"/><Relationship Id="rId41" Type="http://schemas.openxmlformats.org/officeDocument/2006/relationships/hyperlink" Target="https://doi.org/10.35588/blacpma.19.18.5.29"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2045-024-0825-7" TargetMode="External"/><Relationship Id="rId23" Type="http://schemas.openxmlformats.org/officeDocument/2006/relationships/hyperlink" Target="http://www.jstor.org/stable/43385627" TargetMode="External"/><Relationship Id="rId28" Type="http://schemas.openxmlformats.org/officeDocument/2006/relationships/hyperlink" Target="https://doi.org/10.1007/0044-7447-33.sp13.11" TargetMode="External"/><Relationship Id="rId36" Type="http://schemas.openxmlformats.org/officeDocument/2006/relationships/hyperlink" Target="http://dx.doi.org/10.22159/ajpcr.2018.v11i1.22588" TargetMode="External"/><Relationship Id="rId49" Type="http://schemas.openxmlformats.org/officeDocument/2006/relationships/image" Target="media/image5.png"/><Relationship Id="rId57" Type="http://schemas.openxmlformats.org/officeDocument/2006/relationships/fontTable" Target="fontTable.xml"/><Relationship Id="rId10" Type="http://schemas.openxmlformats.org/officeDocument/2006/relationships/hyperlink" Target="https://ijoear.com/assets/articles_menuscripts/file/IJOEAR-FEB-2023-18.pdf" TargetMode="External"/><Relationship Id="rId31" Type="http://schemas.openxmlformats.org/officeDocument/2006/relationships/hyperlink" Target="https://doi.org/10.3390/antiox8040094" TargetMode="External"/><Relationship Id="rId44" Type="http://schemas.openxmlformats.org/officeDocument/2006/relationships/image" Target="media/image1.jpeg"/><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9138B-EB98-4936-A766-EA7FECD4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5188</Words>
  <Characters>29573</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SDI 1084</cp:lastModifiedBy>
  <cp:revision>15</cp:revision>
  <dcterms:created xsi:type="dcterms:W3CDTF">2025-08-25T06:11:00Z</dcterms:created>
  <dcterms:modified xsi:type="dcterms:W3CDTF">2025-08-26T12:52:00Z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AC43EE0C24DF9DC5E72B3D688B6E9CB5_42</vt:lpwstr>
  </property>
</Properties>
</file>