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Default ContentType="image/tiff" Extension="tiff"/>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header+xml" PartName="/word/header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240D5" w14:textId="77777777" w:rsidR="005500AC" w:rsidRPr="005500AC" w:rsidRDefault="005500AC" w:rsidP="005500AC">
      <w:pPr>
        <w:pStyle w:val="Author"/>
        <w:jc w:val="both"/>
        <w:rPr>
          <w:rFonts w:ascii="Arial" w:hAnsi="Arial" w:cs="Arial"/>
          <w:bCs/>
          <w:i/>
          <w:iCs/>
          <w:kern w:val="28"/>
          <w:sz w:val="18"/>
          <w:szCs w:val="18"/>
          <w:u w:val="single"/>
        </w:rPr>
      </w:pPr>
      <w:r w:rsidRPr="005500AC">
        <w:rPr>
          <w:rFonts w:ascii="Arial" w:hAnsi="Arial" w:cs="Arial"/>
          <w:bCs/>
          <w:i/>
          <w:iCs/>
          <w:kern w:val="28"/>
          <w:sz w:val="18"/>
          <w:szCs w:val="18"/>
          <w:u w:val="single"/>
        </w:rPr>
        <w:t>Original Research Article</w:t>
      </w:r>
    </w:p>
    <w:p w14:paraId="531E714C" w14:textId="23BA9F36" w:rsidR="00A258C3" w:rsidRDefault="0052205D" w:rsidP="00441B6F">
      <w:pPr>
        <w:pStyle w:val="Author"/>
        <w:spacing w:line="240" w:lineRule="auto"/>
        <w:jc w:val="both"/>
        <w:rPr>
          <w:rFonts w:ascii="Arial" w:hAnsi="Arial" w:cs="Arial"/>
          <w:bCs/>
          <w:iCs/>
          <w:kern w:val="28"/>
          <w:sz w:val="36"/>
        </w:rPr>
      </w:pPr>
      <w:r w:rsidRPr="0052205D">
        <w:rPr>
          <w:rFonts w:ascii="Arial" w:hAnsi="Arial" w:cs="Arial"/>
          <w:bCs/>
          <w:iCs/>
          <w:kern w:val="28"/>
          <w:sz w:val="36"/>
        </w:rPr>
        <w:t xml:space="preserve">Spatial variation of anthropogenic pressures and their impact on the structure and carbon sequestration </w:t>
      </w:r>
      <w:r w:rsidR="000A2119">
        <w:rPr>
          <w:rFonts w:ascii="Arial" w:hAnsi="Arial" w:cs="Arial"/>
          <w:bCs/>
          <w:iCs/>
          <w:kern w:val="28"/>
          <w:sz w:val="36"/>
        </w:rPr>
        <w:t>ability</w:t>
      </w:r>
      <w:r w:rsidRPr="0052205D">
        <w:rPr>
          <w:rFonts w:ascii="Arial" w:hAnsi="Arial" w:cs="Arial"/>
          <w:bCs/>
          <w:iCs/>
          <w:kern w:val="28"/>
          <w:sz w:val="36"/>
        </w:rPr>
        <w:t xml:space="preserve"> of </w:t>
      </w:r>
      <w:r w:rsidRPr="0052205D">
        <w:rPr>
          <w:rFonts w:ascii="Arial" w:hAnsi="Arial" w:cs="Arial"/>
          <w:bCs/>
          <w:i/>
          <w:kern w:val="28"/>
          <w:sz w:val="36"/>
        </w:rPr>
        <w:t>Rhizophora racemosa</w:t>
      </w:r>
      <w:r w:rsidRPr="0052205D">
        <w:rPr>
          <w:rFonts w:ascii="Arial" w:hAnsi="Arial" w:cs="Arial"/>
          <w:bCs/>
          <w:iCs/>
          <w:kern w:val="28"/>
          <w:sz w:val="36"/>
        </w:rPr>
        <w:t xml:space="preserve"> stands in a peri-urban mangrove of Côte d’Ivoire (West-Africa)</w:t>
      </w:r>
    </w:p>
    <w:p w14:paraId="6A1C7940" w14:textId="77777777" w:rsidR="0052205D" w:rsidRPr="00790ADA" w:rsidRDefault="0052205D" w:rsidP="00441B6F">
      <w:pPr>
        <w:pStyle w:val="Author"/>
        <w:spacing w:line="240" w:lineRule="auto"/>
        <w:jc w:val="both"/>
        <w:rPr>
          <w:rFonts w:ascii="Arial" w:hAnsi="Arial" w:cs="Arial"/>
          <w:sz w:val="36"/>
        </w:rPr>
      </w:pPr>
    </w:p>
    <w:p w14:paraId="3D5E1FF1" w14:textId="77777777" w:rsidR="003515A9" w:rsidRPr="00D76A97" w:rsidRDefault="003515A9" w:rsidP="0052205D">
      <w:pPr>
        <w:pStyle w:val="Affiliation"/>
        <w:spacing w:after="0" w:line="240" w:lineRule="auto"/>
        <w:rPr>
          <w:rFonts w:ascii="Arial" w:hAnsi="Arial" w:cs="Arial"/>
          <w:i/>
          <w:lang w:val="fr-FR"/>
        </w:rPr>
      </w:pPr>
    </w:p>
    <w:p w14:paraId="4478ED3C" w14:textId="77777777" w:rsidR="00B01FCD" w:rsidRPr="00FB3A86" w:rsidRDefault="00F7404A" w:rsidP="00441B6F">
      <w:pPr>
        <w:pStyle w:val="Copyright"/>
        <w:spacing w:after="0" w:line="240" w:lineRule="auto"/>
        <w:jc w:val="both"/>
        <w:rPr>
          <w:rFonts w:ascii="Arial" w:hAnsi="Arial" w:cs="Arial"/>
        </w:rPr>
        <w:sectPr w:rsidR="00B01FCD" w:rsidRPr="00FB3A86" w:rsidSect="009A70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6C5D9C">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4B7AC1" w14:textId="77777777" w:rsidR="0052205D" w:rsidRDefault="0052205D" w:rsidP="0052205D">
      <w:pPr>
        <w:pStyle w:val="AbstHead"/>
        <w:spacing w:after="0"/>
        <w:jc w:val="both"/>
        <w:rPr>
          <w:rFonts w:ascii="Arial" w:hAnsi="Arial" w:cs="Arial"/>
        </w:rPr>
      </w:pPr>
    </w:p>
    <w:p w14:paraId="6E31DE0D" w14:textId="627A5EF1" w:rsidR="00B01FCD" w:rsidRDefault="00B01FCD" w:rsidP="00441B6F">
      <w:pPr>
        <w:pStyle w:val="AbstHead"/>
        <w:spacing w:after="0"/>
        <w:jc w:val="both"/>
        <w:rPr>
          <w:rFonts w:ascii="Arial" w:hAnsi="Arial" w:cs="Arial"/>
        </w:rPr>
      </w:pPr>
      <w:r w:rsidRPr="00FB3A86">
        <w:rPr>
          <w:rFonts w:ascii="Arial" w:hAnsi="Arial" w:cs="Arial"/>
        </w:rPr>
        <w:t>ABSTRACT</w:t>
      </w:r>
    </w:p>
    <w:p w14:paraId="0A208E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784B6A" w14:textId="77777777" w:rsidTr="001E44FE">
        <w:tc>
          <w:tcPr>
            <w:tcW w:w="9576" w:type="dxa"/>
            <w:shd w:val="clear" w:color="auto" w:fill="F2F2F2"/>
          </w:tcPr>
          <w:p w14:paraId="69E26613" w14:textId="28DBA4D3"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Aims:</w:t>
            </w:r>
            <w:r>
              <w:rPr>
                <w:rFonts w:ascii="Arial" w:eastAsia="Calibri" w:hAnsi="Arial" w:cs="Arial"/>
                <w:szCs w:val="22"/>
              </w:rPr>
              <w:t xml:space="preserve"> </w:t>
            </w:r>
            <w:r w:rsidRPr="00855BFE">
              <w:rPr>
                <w:rFonts w:ascii="Arial" w:eastAsia="Calibri" w:hAnsi="Arial" w:cs="Arial"/>
                <w:szCs w:val="22"/>
              </w:rPr>
              <w:t xml:space="preserve">To evaluate the spatial variation of anthropogenic pressures and their impacts on the stand structure and carbon stock of Rhizophora racemosa in the peri-urban mangroves of </w:t>
            </w:r>
            <w:proofErr w:type="spellStart"/>
            <w:r w:rsidRPr="00855BFE">
              <w:rPr>
                <w:rFonts w:ascii="Arial" w:eastAsia="Calibri" w:hAnsi="Arial" w:cs="Arial"/>
                <w:szCs w:val="22"/>
              </w:rPr>
              <w:t>Abouabou</w:t>
            </w:r>
            <w:proofErr w:type="spellEnd"/>
            <w:r w:rsidRPr="00855BFE">
              <w:rPr>
                <w:rFonts w:ascii="Arial" w:eastAsia="Calibri" w:hAnsi="Arial" w:cs="Arial"/>
                <w:szCs w:val="22"/>
              </w:rPr>
              <w:t xml:space="preserve"> Bay, Côte d’Ivoire.</w:t>
            </w:r>
          </w:p>
          <w:p w14:paraId="57F2CA13" w14:textId="05A2623C"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Study Design:</w:t>
            </w:r>
            <w:r>
              <w:rPr>
                <w:rFonts w:ascii="Arial" w:eastAsia="Calibri" w:hAnsi="Arial" w:cs="Arial"/>
                <w:szCs w:val="22"/>
              </w:rPr>
              <w:t xml:space="preserve"> </w:t>
            </w:r>
            <w:r w:rsidRPr="00855BFE">
              <w:rPr>
                <w:rFonts w:ascii="Arial" w:eastAsia="Calibri" w:hAnsi="Arial" w:cs="Arial"/>
                <w:szCs w:val="22"/>
              </w:rPr>
              <w:t>Descriptive and comparative ecological study based on a spatially stratified sampling design.</w:t>
            </w:r>
          </w:p>
          <w:p w14:paraId="7EE9C8D7" w14:textId="28EF82C7"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Place and Duration of Study:</w:t>
            </w:r>
            <w:r>
              <w:rPr>
                <w:rFonts w:ascii="Arial" w:eastAsia="Calibri" w:hAnsi="Arial" w:cs="Arial"/>
                <w:szCs w:val="22"/>
              </w:rPr>
              <w:t xml:space="preserve"> </w:t>
            </w:r>
            <w:proofErr w:type="spellStart"/>
            <w:r w:rsidR="00CB719E">
              <w:rPr>
                <w:rFonts w:ascii="Arial" w:eastAsia="Calibri" w:hAnsi="Arial" w:cs="Arial"/>
                <w:szCs w:val="22"/>
              </w:rPr>
              <w:t>Amangoua</w:t>
            </w:r>
            <w:proofErr w:type="spellEnd"/>
            <w:r w:rsidR="00CB719E">
              <w:rPr>
                <w:rFonts w:ascii="Arial" w:eastAsia="Calibri" w:hAnsi="Arial" w:cs="Arial"/>
                <w:szCs w:val="22"/>
              </w:rPr>
              <w:t xml:space="preserve">-koi </w:t>
            </w:r>
            <w:r>
              <w:rPr>
                <w:rFonts w:ascii="Arial" w:eastAsia="Calibri" w:hAnsi="Arial" w:cs="Arial"/>
                <w:szCs w:val="22"/>
              </w:rPr>
              <w:t>village (</w:t>
            </w:r>
            <w:r w:rsidR="00CB719E" w:rsidRPr="00CB719E">
              <w:rPr>
                <w:rFonts w:ascii="Arial" w:eastAsia="Calibri" w:hAnsi="Arial" w:cs="Arial"/>
                <w:szCs w:val="22"/>
              </w:rPr>
              <w:t xml:space="preserve">southeastern </w:t>
            </w:r>
            <w:proofErr w:type="spellStart"/>
            <w:r w:rsidRPr="00855BFE">
              <w:rPr>
                <w:rFonts w:ascii="Arial" w:eastAsia="Calibri" w:hAnsi="Arial" w:cs="Arial"/>
                <w:szCs w:val="22"/>
              </w:rPr>
              <w:t>Abouabou</w:t>
            </w:r>
            <w:proofErr w:type="spellEnd"/>
            <w:r w:rsidRPr="00855BFE">
              <w:rPr>
                <w:rFonts w:ascii="Arial" w:eastAsia="Calibri" w:hAnsi="Arial" w:cs="Arial"/>
                <w:szCs w:val="22"/>
              </w:rPr>
              <w:t xml:space="preserve"> Bay, Port-</w:t>
            </w:r>
            <w:proofErr w:type="spellStart"/>
            <w:r w:rsidRPr="00855BFE">
              <w:rPr>
                <w:rFonts w:ascii="Arial" w:eastAsia="Calibri" w:hAnsi="Arial" w:cs="Arial"/>
                <w:szCs w:val="22"/>
              </w:rPr>
              <w:t>Bouët</w:t>
            </w:r>
            <w:proofErr w:type="spellEnd"/>
            <w:r w:rsidRPr="00855BFE">
              <w:rPr>
                <w:rFonts w:ascii="Arial" w:eastAsia="Calibri" w:hAnsi="Arial" w:cs="Arial"/>
                <w:szCs w:val="22"/>
              </w:rPr>
              <w:t xml:space="preserve"> municipality, Abidjan, Côte d’Ivoire</w:t>
            </w:r>
            <w:r>
              <w:rPr>
                <w:rFonts w:ascii="Arial" w:eastAsia="Calibri" w:hAnsi="Arial" w:cs="Arial"/>
                <w:szCs w:val="22"/>
              </w:rPr>
              <w:t>)</w:t>
            </w:r>
            <w:r w:rsidRPr="00855BFE">
              <w:rPr>
                <w:rFonts w:ascii="Arial" w:eastAsia="Calibri" w:hAnsi="Arial" w:cs="Arial"/>
                <w:szCs w:val="22"/>
              </w:rPr>
              <w:t>,</w:t>
            </w:r>
            <w:r>
              <w:rPr>
                <w:rFonts w:ascii="Arial" w:eastAsia="Calibri" w:hAnsi="Arial" w:cs="Arial"/>
                <w:szCs w:val="22"/>
              </w:rPr>
              <w:t xml:space="preserve"> </w:t>
            </w:r>
            <w:r>
              <w:t>surrounding</w:t>
            </w:r>
            <w:r w:rsidRPr="00855BFE">
              <w:rPr>
                <w:rFonts w:ascii="Arial" w:eastAsia="Calibri" w:hAnsi="Arial" w:cs="Arial"/>
                <w:szCs w:val="22"/>
              </w:rPr>
              <w:t xml:space="preserve"> </w:t>
            </w:r>
            <w:r>
              <w:rPr>
                <w:rFonts w:ascii="Arial" w:eastAsia="Calibri" w:hAnsi="Arial" w:cs="Arial"/>
                <w:szCs w:val="22"/>
              </w:rPr>
              <w:t xml:space="preserve">the Felix Houphouet-Boigny international airport, </w:t>
            </w:r>
            <w:r w:rsidRPr="00855BFE">
              <w:rPr>
                <w:rFonts w:ascii="Arial" w:eastAsia="Calibri" w:hAnsi="Arial" w:cs="Arial"/>
                <w:szCs w:val="22"/>
              </w:rPr>
              <w:t xml:space="preserve">from </w:t>
            </w:r>
            <w:r>
              <w:rPr>
                <w:rFonts w:ascii="Arial" w:eastAsia="Calibri" w:hAnsi="Arial" w:cs="Arial"/>
                <w:szCs w:val="22"/>
              </w:rPr>
              <w:t>February</w:t>
            </w:r>
            <w:r w:rsidRPr="00855BFE">
              <w:rPr>
                <w:rFonts w:ascii="Arial" w:eastAsia="Calibri" w:hAnsi="Arial" w:cs="Arial"/>
                <w:szCs w:val="22"/>
              </w:rPr>
              <w:t xml:space="preserve"> to </w:t>
            </w:r>
            <w:r>
              <w:rPr>
                <w:rFonts w:ascii="Arial" w:eastAsia="Calibri" w:hAnsi="Arial" w:cs="Arial"/>
                <w:szCs w:val="22"/>
              </w:rPr>
              <w:t>June</w:t>
            </w:r>
            <w:r w:rsidRPr="00855BFE">
              <w:rPr>
                <w:rFonts w:ascii="Arial" w:eastAsia="Calibri" w:hAnsi="Arial" w:cs="Arial"/>
                <w:szCs w:val="22"/>
              </w:rPr>
              <w:t xml:space="preserve"> 202</w:t>
            </w:r>
            <w:r>
              <w:rPr>
                <w:rFonts w:ascii="Arial" w:eastAsia="Calibri" w:hAnsi="Arial" w:cs="Arial"/>
                <w:szCs w:val="22"/>
              </w:rPr>
              <w:t>5</w:t>
            </w:r>
            <w:r w:rsidRPr="00855BFE">
              <w:rPr>
                <w:rFonts w:ascii="Arial" w:eastAsia="Calibri" w:hAnsi="Arial" w:cs="Arial"/>
                <w:szCs w:val="22"/>
              </w:rPr>
              <w:t>.</w:t>
            </w:r>
          </w:p>
          <w:p w14:paraId="71F44094" w14:textId="465AA958"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Methodology:</w:t>
            </w:r>
            <w:r>
              <w:rPr>
                <w:rFonts w:ascii="Arial" w:eastAsia="Calibri" w:hAnsi="Arial" w:cs="Arial"/>
                <w:szCs w:val="22"/>
              </w:rPr>
              <w:t xml:space="preserve"> </w:t>
            </w:r>
            <w:r w:rsidRPr="00855BFE">
              <w:rPr>
                <w:rFonts w:ascii="Arial" w:eastAsia="Calibri" w:hAnsi="Arial" w:cs="Arial"/>
                <w:szCs w:val="22"/>
              </w:rPr>
              <w:t>Seven coastal sectors</w:t>
            </w:r>
            <w:r>
              <w:rPr>
                <w:rFonts w:ascii="Arial" w:eastAsia="Calibri" w:hAnsi="Arial" w:cs="Arial"/>
                <w:szCs w:val="22"/>
              </w:rPr>
              <w:t xml:space="preserve"> (</w:t>
            </w:r>
            <w:r>
              <w:rPr>
                <w:rFonts w:ascii="Arial" w:hAnsi="Arial" w:cs="Arial"/>
              </w:rPr>
              <w:t>Aero-canal</w:t>
            </w:r>
            <w:r w:rsidRPr="00D72F27">
              <w:rPr>
                <w:rFonts w:ascii="Arial" w:hAnsi="Arial" w:cs="Arial"/>
              </w:rPr>
              <w:t xml:space="preserve">, </w:t>
            </w:r>
            <w:proofErr w:type="spellStart"/>
            <w:r w:rsidRPr="00D72F27">
              <w:rPr>
                <w:rFonts w:ascii="Arial" w:hAnsi="Arial" w:cs="Arial"/>
              </w:rPr>
              <w:t>Amangoua</w:t>
            </w:r>
            <w:proofErr w:type="spellEnd"/>
            <w:r w:rsidRPr="00D72F27">
              <w:rPr>
                <w:rFonts w:ascii="Arial" w:hAnsi="Arial" w:cs="Arial"/>
              </w:rPr>
              <w:t xml:space="preserve">-Koi, </w:t>
            </w:r>
            <w:proofErr w:type="spellStart"/>
            <w:r w:rsidRPr="00D72F27">
              <w:rPr>
                <w:rFonts w:ascii="Arial" w:hAnsi="Arial" w:cs="Arial"/>
              </w:rPr>
              <w:t>Darakodji</w:t>
            </w:r>
            <w:proofErr w:type="spellEnd"/>
            <w:r w:rsidRPr="00D72F27">
              <w:rPr>
                <w:rFonts w:ascii="Arial" w:hAnsi="Arial" w:cs="Arial"/>
              </w:rPr>
              <w:t xml:space="preserve">, </w:t>
            </w:r>
            <w:proofErr w:type="spellStart"/>
            <w:r w:rsidRPr="00D72F27">
              <w:rPr>
                <w:rFonts w:ascii="Arial" w:hAnsi="Arial" w:cs="Arial"/>
              </w:rPr>
              <w:t>Agnikro</w:t>
            </w:r>
            <w:proofErr w:type="spellEnd"/>
            <w:r w:rsidRPr="00D72F27">
              <w:rPr>
                <w:rFonts w:ascii="Arial" w:hAnsi="Arial" w:cs="Arial"/>
              </w:rPr>
              <w:t xml:space="preserve">, </w:t>
            </w:r>
            <w:proofErr w:type="spellStart"/>
            <w:r w:rsidRPr="00D72F27">
              <w:rPr>
                <w:rFonts w:ascii="Arial" w:hAnsi="Arial" w:cs="Arial"/>
              </w:rPr>
              <w:t>Abbeykro</w:t>
            </w:r>
            <w:proofErr w:type="spellEnd"/>
            <w:r w:rsidRPr="00D72F27">
              <w:rPr>
                <w:rFonts w:ascii="Arial" w:hAnsi="Arial" w:cs="Arial"/>
              </w:rPr>
              <w:t xml:space="preserve">, </w:t>
            </w:r>
            <w:proofErr w:type="spellStart"/>
            <w:r w:rsidRPr="00D72F27">
              <w:rPr>
                <w:rFonts w:ascii="Arial" w:hAnsi="Arial" w:cs="Arial"/>
              </w:rPr>
              <w:t>Abouabou</w:t>
            </w:r>
            <w:proofErr w:type="spellEnd"/>
            <w:r w:rsidRPr="00D72F27">
              <w:rPr>
                <w:rFonts w:ascii="Arial" w:hAnsi="Arial" w:cs="Arial"/>
              </w:rPr>
              <w:t xml:space="preserve">, and </w:t>
            </w:r>
            <w:proofErr w:type="spellStart"/>
            <w:r w:rsidRPr="00D72F27">
              <w:rPr>
                <w:rFonts w:ascii="Arial" w:hAnsi="Arial" w:cs="Arial"/>
              </w:rPr>
              <w:t>Kamboukro</w:t>
            </w:r>
            <w:proofErr w:type="spellEnd"/>
            <w:r>
              <w:rPr>
                <w:rFonts w:ascii="Arial" w:hAnsi="Arial" w:cs="Arial"/>
              </w:rPr>
              <w:t xml:space="preserve">) of the </w:t>
            </w:r>
            <w:proofErr w:type="spellStart"/>
            <w:r w:rsidR="00CB719E">
              <w:rPr>
                <w:rFonts w:ascii="Arial" w:hAnsi="Arial" w:cs="Arial"/>
              </w:rPr>
              <w:t>Amangoua</w:t>
            </w:r>
            <w:proofErr w:type="spellEnd"/>
            <w:r w:rsidR="00CB719E">
              <w:rPr>
                <w:rFonts w:ascii="Arial" w:hAnsi="Arial" w:cs="Arial"/>
              </w:rPr>
              <w:t xml:space="preserve">-koi </w:t>
            </w:r>
            <w:r>
              <w:rPr>
                <w:rFonts w:ascii="Arial" w:hAnsi="Arial" w:cs="Arial"/>
              </w:rPr>
              <w:t>village,</w:t>
            </w:r>
            <w:r w:rsidRPr="00855BFE">
              <w:rPr>
                <w:rFonts w:ascii="Arial" w:eastAsia="Calibri" w:hAnsi="Arial" w:cs="Arial"/>
                <w:szCs w:val="22"/>
              </w:rPr>
              <w:t xml:space="preserve"> representing a gradient of human disturbance</w:t>
            </w:r>
            <w:r>
              <w:rPr>
                <w:rFonts w:ascii="Arial" w:eastAsia="Calibri" w:hAnsi="Arial" w:cs="Arial"/>
                <w:szCs w:val="22"/>
              </w:rPr>
              <w:t>,</w:t>
            </w:r>
            <w:r w:rsidRPr="00855BFE">
              <w:rPr>
                <w:rFonts w:ascii="Arial" w:eastAsia="Calibri" w:hAnsi="Arial" w:cs="Arial"/>
                <w:szCs w:val="22"/>
              </w:rPr>
              <w:t xml:space="preserve"> were surveyed. A total of 18 sites (each 1 ha) were established to inventory infrastructures, pollution sources, and </w:t>
            </w:r>
            <w:r w:rsidRPr="00855BFE">
              <w:rPr>
                <w:rFonts w:ascii="Arial" w:eastAsia="Calibri" w:hAnsi="Arial" w:cs="Arial"/>
                <w:i/>
                <w:iCs/>
                <w:szCs w:val="22"/>
              </w:rPr>
              <w:t>R. racemosa</w:t>
            </w:r>
            <w:r w:rsidRPr="00855BFE">
              <w:rPr>
                <w:rFonts w:ascii="Arial" w:eastAsia="Calibri" w:hAnsi="Arial" w:cs="Arial"/>
                <w:szCs w:val="22"/>
              </w:rPr>
              <w:t xml:space="preserve"> structural attributes. Vegetation data were collected in 112 plots (200 m²), including tree height, diameter at breast height (DBH), stem density, and basal area. </w:t>
            </w:r>
            <w:r w:rsidR="00F5075F">
              <w:rPr>
                <w:rFonts w:ascii="Arial" w:eastAsia="Calibri" w:hAnsi="Arial" w:cs="Arial"/>
                <w:szCs w:val="22"/>
              </w:rPr>
              <w:t>Total b</w:t>
            </w:r>
            <w:r w:rsidRPr="00855BFE">
              <w:rPr>
                <w:rFonts w:ascii="Arial" w:eastAsia="Calibri" w:hAnsi="Arial" w:cs="Arial"/>
                <w:szCs w:val="22"/>
              </w:rPr>
              <w:t>iomass</w:t>
            </w:r>
            <w:r w:rsidR="00F5075F">
              <w:rPr>
                <w:rFonts w:ascii="Arial" w:eastAsia="Calibri" w:hAnsi="Arial" w:cs="Arial"/>
                <w:szCs w:val="22"/>
              </w:rPr>
              <w:t xml:space="preserve"> of </w:t>
            </w:r>
            <w:r w:rsidR="00F5075F" w:rsidRPr="00855BFE">
              <w:rPr>
                <w:rFonts w:ascii="Arial" w:eastAsia="Calibri" w:hAnsi="Arial" w:cs="Arial"/>
                <w:i/>
                <w:iCs/>
                <w:szCs w:val="22"/>
              </w:rPr>
              <w:t>R. racemosa</w:t>
            </w:r>
            <w:r w:rsidRPr="00855BFE">
              <w:rPr>
                <w:rFonts w:ascii="Arial" w:eastAsia="Calibri" w:hAnsi="Arial" w:cs="Arial"/>
                <w:szCs w:val="22"/>
              </w:rPr>
              <w:t xml:space="preserve"> </w:t>
            </w:r>
            <w:r w:rsidR="00F5075F">
              <w:rPr>
                <w:rFonts w:ascii="Arial" w:eastAsia="Calibri" w:hAnsi="Arial" w:cs="Arial"/>
                <w:szCs w:val="22"/>
              </w:rPr>
              <w:t xml:space="preserve">trees </w:t>
            </w:r>
            <w:r w:rsidRPr="00855BFE">
              <w:rPr>
                <w:rFonts w:ascii="Arial" w:eastAsia="Calibri" w:hAnsi="Arial" w:cs="Arial"/>
                <w:szCs w:val="22"/>
              </w:rPr>
              <w:t>was estimated using a species-specific allometric equation, and carbon stock was derived with a 0.47 conversion factor. Chi-square tests assessed spatial variation in disturbance types, and generalized linear models (GLMs) or ANOVAs tested differences in structural and functional metrics among sectors.</w:t>
            </w:r>
          </w:p>
          <w:p w14:paraId="1D85A8BA" w14:textId="0F7DD35D" w:rsidR="00855BFE" w:rsidRPr="00855BFE" w:rsidRDefault="00855BFE" w:rsidP="00855BFE">
            <w:pPr>
              <w:pStyle w:val="Body"/>
              <w:rPr>
                <w:rFonts w:ascii="Arial" w:eastAsia="Calibri" w:hAnsi="Arial" w:cs="Arial"/>
                <w:szCs w:val="22"/>
              </w:rPr>
            </w:pPr>
            <w:r w:rsidRPr="00855BFE">
              <w:rPr>
                <w:rFonts w:ascii="Arial" w:eastAsia="Calibri" w:hAnsi="Arial" w:cs="Arial"/>
                <w:b/>
                <w:bCs/>
                <w:szCs w:val="22"/>
              </w:rPr>
              <w:t>Results:</w:t>
            </w:r>
            <w:r>
              <w:rPr>
                <w:rFonts w:ascii="Arial" w:eastAsia="Calibri" w:hAnsi="Arial" w:cs="Arial"/>
                <w:szCs w:val="22"/>
              </w:rPr>
              <w:t xml:space="preserve"> </w:t>
            </w:r>
            <w:r w:rsidRPr="00855BFE">
              <w:rPr>
                <w:rFonts w:ascii="Arial" w:eastAsia="Calibri" w:hAnsi="Arial" w:cs="Arial"/>
                <w:szCs w:val="22"/>
              </w:rPr>
              <w:t xml:space="preserve">Significant spatial heterogeneity in anthropogenic pressures was observed (χ² = 84.99, P &lt; .001). </w:t>
            </w:r>
            <w:proofErr w:type="spellStart"/>
            <w:r w:rsidRPr="00855BFE">
              <w:rPr>
                <w:rFonts w:ascii="Arial" w:eastAsia="Calibri" w:hAnsi="Arial" w:cs="Arial"/>
                <w:szCs w:val="22"/>
              </w:rPr>
              <w:t>Darakodji</w:t>
            </w:r>
            <w:proofErr w:type="spellEnd"/>
            <w:r w:rsidRPr="00855BFE">
              <w:rPr>
                <w:rFonts w:ascii="Arial" w:eastAsia="Calibri" w:hAnsi="Arial" w:cs="Arial"/>
                <w:szCs w:val="22"/>
              </w:rPr>
              <w:t xml:space="preserve"> showed the highest pollution levels; </w:t>
            </w:r>
            <w:proofErr w:type="spellStart"/>
            <w:r w:rsidRPr="00855BFE">
              <w:rPr>
                <w:rFonts w:ascii="Arial" w:eastAsia="Calibri" w:hAnsi="Arial" w:cs="Arial"/>
                <w:szCs w:val="22"/>
              </w:rPr>
              <w:t>Kamboukro</w:t>
            </w:r>
            <w:proofErr w:type="spellEnd"/>
            <w:r w:rsidRPr="00855BFE">
              <w:rPr>
                <w:rFonts w:ascii="Arial" w:eastAsia="Calibri" w:hAnsi="Arial" w:cs="Arial"/>
                <w:szCs w:val="22"/>
              </w:rPr>
              <w:t xml:space="preserve"> and </w:t>
            </w:r>
            <w:r>
              <w:rPr>
                <w:rFonts w:ascii="Arial" w:eastAsia="Calibri" w:hAnsi="Arial" w:cs="Arial"/>
                <w:szCs w:val="22"/>
              </w:rPr>
              <w:t>Aero-canal</w:t>
            </w:r>
            <w:r w:rsidRPr="00855BFE">
              <w:rPr>
                <w:rFonts w:ascii="Arial" w:eastAsia="Calibri" w:hAnsi="Arial" w:cs="Arial"/>
                <w:szCs w:val="22"/>
              </w:rPr>
              <w:t xml:space="preserve"> exhibited the lowest. </w:t>
            </w:r>
            <w:r w:rsidRPr="00855BFE">
              <w:rPr>
                <w:rFonts w:ascii="Arial" w:eastAsia="Calibri" w:hAnsi="Arial" w:cs="Arial"/>
                <w:i/>
                <w:iCs/>
                <w:szCs w:val="22"/>
              </w:rPr>
              <w:t>R. racemosa</w:t>
            </w:r>
            <w:r w:rsidRPr="00855BFE">
              <w:rPr>
                <w:rFonts w:ascii="Arial" w:eastAsia="Calibri" w:hAnsi="Arial" w:cs="Arial"/>
                <w:szCs w:val="22"/>
              </w:rPr>
              <w:t xml:space="preserve"> was absent from four sectors and sparse in </w:t>
            </w:r>
            <w:proofErr w:type="spellStart"/>
            <w:r w:rsidRPr="00855BFE">
              <w:rPr>
                <w:rFonts w:ascii="Arial" w:eastAsia="Calibri" w:hAnsi="Arial" w:cs="Arial"/>
                <w:szCs w:val="22"/>
              </w:rPr>
              <w:t>Agnikro</w:t>
            </w:r>
            <w:proofErr w:type="spellEnd"/>
            <w:r w:rsidRPr="00855BFE">
              <w:rPr>
                <w:rFonts w:ascii="Arial" w:eastAsia="Calibri" w:hAnsi="Arial" w:cs="Arial"/>
                <w:szCs w:val="22"/>
              </w:rPr>
              <w:t xml:space="preserve">. </w:t>
            </w:r>
            <w:proofErr w:type="spellStart"/>
            <w:r w:rsidRPr="00855BFE">
              <w:rPr>
                <w:rFonts w:ascii="Arial" w:eastAsia="Calibri" w:hAnsi="Arial" w:cs="Arial"/>
                <w:szCs w:val="22"/>
              </w:rPr>
              <w:t>Kamboukro</w:t>
            </w:r>
            <w:proofErr w:type="spellEnd"/>
            <w:r w:rsidRPr="00855BFE">
              <w:rPr>
                <w:rFonts w:ascii="Arial" w:eastAsia="Calibri" w:hAnsi="Arial" w:cs="Arial"/>
                <w:szCs w:val="22"/>
              </w:rPr>
              <w:t xml:space="preserve"> and </w:t>
            </w:r>
            <w:r>
              <w:rPr>
                <w:rFonts w:ascii="Arial" w:eastAsia="Calibri" w:hAnsi="Arial" w:cs="Arial"/>
                <w:szCs w:val="22"/>
              </w:rPr>
              <w:t>Aero-canal</w:t>
            </w:r>
            <w:r w:rsidRPr="00855BFE">
              <w:rPr>
                <w:rFonts w:ascii="Arial" w:eastAsia="Calibri" w:hAnsi="Arial" w:cs="Arial"/>
                <w:szCs w:val="22"/>
              </w:rPr>
              <w:t xml:space="preserve"> displayed superior stand attributes, with mean tree heights up to 10.12 ± 4.34 m and DBH values of 16.73 ± 8.96 cm. Stem density reached 18.44 ± 18.40 ind. 200 m</w:t>
            </w:r>
            <w:r w:rsidRPr="00855BFE">
              <w:rPr>
                <w:rFonts w:ascii="Cambria Math" w:eastAsia="Calibri" w:hAnsi="Cambria Math" w:cs="Cambria Math"/>
                <w:szCs w:val="22"/>
              </w:rPr>
              <w:t>⁻</w:t>
            </w:r>
            <w:r w:rsidRPr="00855BFE">
              <w:rPr>
                <w:rFonts w:ascii="Arial" w:eastAsia="Calibri" w:hAnsi="Arial" w:cs="Arial"/>
                <w:szCs w:val="22"/>
              </w:rPr>
              <w:t xml:space="preserve">² in </w:t>
            </w:r>
            <w:proofErr w:type="spellStart"/>
            <w:r w:rsidRPr="00855BFE">
              <w:rPr>
                <w:rFonts w:ascii="Arial" w:eastAsia="Calibri" w:hAnsi="Arial" w:cs="Arial"/>
                <w:szCs w:val="22"/>
              </w:rPr>
              <w:t>Kamboukro</w:t>
            </w:r>
            <w:proofErr w:type="spellEnd"/>
            <w:r w:rsidRPr="00855BFE">
              <w:rPr>
                <w:rFonts w:ascii="Arial" w:eastAsia="Calibri" w:hAnsi="Arial" w:cs="Arial"/>
                <w:szCs w:val="22"/>
              </w:rPr>
              <w:t>. Biomass ranged from 0 to 5,951.73 ± 6,146.82 kg 200 m</w:t>
            </w:r>
            <w:r w:rsidRPr="00855BFE">
              <w:rPr>
                <w:rFonts w:ascii="Cambria Math" w:eastAsia="Calibri" w:hAnsi="Cambria Math" w:cs="Cambria Math"/>
                <w:szCs w:val="22"/>
              </w:rPr>
              <w:t>⁻</w:t>
            </w:r>
            <w:r w:rsidRPr="00855BFE">
              <w:rPr>
                <w:rFonts w:ascii="Arial" w:eastAsia="Calibri" w:hAnsi="Arial" w:cs="Arial"/>
                <w:szCs w:val="22"/>
              </w:rPr>
              <w:t>², and carbon stocks from 0 to 139.87 ± 144.35 t C ha</w:t>
            </w:r>
            <w:r w:rsidRPr="00855BFE">
              <w:rPr>
                <w:rFonts w:ascii="Cambria Math" w:eastAsia="Calibri" w:hAnsi="Cambria Math" w:cs="Cambria Math"/>
                <w:szCs w:val="22"/>
              </w:rPr>
              <w:t>⁻</w:t>
            </w:r>
            <w:r w:rsidRPr="00855BFE">
              <w:rPr>
                <w:rFonts w:ascii="Arial" w:eastAsia="Calibri" w:hAnsi="Arial" w:cs="Arial"/>
                <w:szCs w:val="22"/>
              </w:rPr>
              <w:t>¹. Tidal connectivity and low disturbance were key to high carbon storage.</w:t>
            </w:r>
          </w:p>
          <w:p w14:paraId="3F2DE35D" w14:textId="2F3BE9FC" w:rsidR="00505F06" w:rsidRPr="00BA1B01" w:rsidRDefault="00855BFE" w:rsidP="00F5075F">
            <w:pPr>
              <w:pStyle w:val="Body"/>
              <w:rPr>
                <w:rFonts w:ascii="Arial" w:eastAsia="Calibri" w:hAnsi="Arial" w:cs="Arial"/>
                <w:szCs w:val="22"/>
              </w:rPr>
            </w:pPr>
            <w:r w:rsidRPr="00F5075F">
              <w:rPr>
                <w:rFonts w:ascii="Arial" w:eastAsia="Calibri" w:hAnsi="Arial" w:cs="Arial"/>
                <w:b/>
                <w:bCs/>
                <w:szCs w:val="22"/>
              </w:rPr>
              <w:t>Conclusion</w:t>
            </w:r>
            <w:r w:rsidR="00F5075F" w:rsidRPr="00F5075F">
              <w:rPr>
                <w:rFonts w:ascii="Arial" w:eastAsia="Calibri" w:hAnsi="Arial" w:cs="Arial"/>
                <w:b/>
                <w:bCs/>
                <w:szCs w:val="22"/>
              </w:rPr>
              <w:t>:</w:t>
            </w:r>
            <w:r w:rsidR="00F5075F">
              <w:rPr>
                <w:rFonts w:ascii="Arial" w:eastAsia="Calibri" w:hAnsi="Arial" w:cs="Arial"/>
                <w:szCs w:val="22"/>
              </w:rPr>
              <w:t xml:space="preserve"> </w:t>
            </w:r>
            <w:r w:rsidRPr="00855BFE">
              <w:rPr>
                <w:rFonts w:ascii="Arial" w:eastAsia="Calibri" w:hAnsi="Arial" w:cs="Arial"/>
                <w:szCs w:val="22"/>
              </w:rPr>
              <w:t>Localized human disturbance strongly influences mangrove structure and carbon dynamics. Conserving intact stands and restoring degraded sectors through hydrological rehabilitation and participatory management are essential for sustaining ecosystem services and supporting national climate commitments.</w:t>
            </w:r>
          </w:p>
        </w:tc>
      </w:tr>
    </w:tbl>
    <w:p w14:paraId="47F1F92C" w14:textId="77777777" w:rsidR="00636EB2" w:rsidRDefault="00636EB2" w:rsidP="00441B6F">
      <w:pPr>
        <w:pStyle w:val="Body"/>
        <w:spacing w:after="0"/>
        <w:rPr>
          <w:rFonts w:ascii="Arial" w:hAnsi="Arial" w:cs="Arial"/>
          <w:i/>
        </w:rPr>
      </w:pPr>
    </w:p>
    <w:p w14:paraId="28F0FAC2" w14:textId="7D3E5D46" w:rsidR="00A24E7E" w:rsidRDefault="00A24E7E" w:rsidP="00441B6F">
      <w:pPr>
        <w:pStyle w:val="Body"/>
        <w:spacing w:after="0"/>
        <w:rPr>
          <w:rFonts w:ascii="Arial" w:hAnsi="Arial" w:cs="Arial"/>
          <w:i/>
        </w:rPr>
      </w:pPr>
      <w:r>
        <w:rPr>
          <w:rFonts w:ascii="Arial" w:hAnsi="Arial" w:cs="Arial"/>
          <w:i/>
        </w:rPr>
        <w:t xml:space="preserve">Keywords: </w:t>
      </w:r>
      <w:r w:rsidR="000A2119" w:rsidRPr="000A2119">
        <w:rPr>
          <w:rFonts w:ascii="Arial" w:hAnsi="Arial" w:cs="Arial"/>
          <w:i/>
        </w:rPr>
        <w:t xml:space="preserve">Rhizophora racemosa, peri-urban mangroves, anthropogenic pressures, stand structure, </w:t>
      </w:r>
      <w:r w:rsidR="000A2119">
        <w:rPr>
          <w:rFonts w:ascii="Arial" w:hAnsi="Arial" w:cs="Arial"/>
          <w:i/>
        </w:rPr>
        <w:t xml:space="preserve">total biomass, </w:t>
      </w:r>
      <w:r w:rsidR="000A2119" w:rsidRPr="000A2119">
        <w:rPr>
          <w:rFonts w:ascii="Arial" w:hAnsi="Arial" w:cs="Arial"/>
          <w:i/>
        </w:rPr>
        <w:t xml:space="preserve">carbon </w:t>
      </w:r>
      <w:r w:rsidR="000A2119">
        <w:rPr>
          <w:rFonts w:ascii="Arial" w:hAnsi="Arial" w:cs="Arial"/>
          <w:i/>
        </w:rPr>
        <w:t>sequestration</w:t>
      </w:r>
      <w:r w:rsidR="000A2119" w:rsidRPr="000A2119">
        <w:rPr>
          <w:rFonts w:ascii="Arial" w:hAnsi="Arial" w:cs="Arial"/>
          <w:i/>
        </w:rPr>
        <w:t>, tropical coastal wetlands, Côte d’Ivoire</w:t>
      </w:r>
    </w:p>
    <w:p w14:paraId="5A13ABEF" w14:textId="77777777" w:rsidR="00505F06" w:rsidRPr="000A2119" w:rsidRDefault="00505F06" w:rsidP="00441B6F">
      <w:pPr>
        <w:pStyle w:val="Body"/>
        <w:spacing w:after="0"/>
        <w:rPr>
          <w:rFonts w:ascii="Arial" w:hAnsi="Arial" w:cs="Arial"/>
          <w:iCs/>
        </w:rPr>
      </w:pPr>
    </w:p>
    <w:p w14:paraId="3FB7E743" w14:textId="01DEF6E7" w:rsidR="007F7B32" w:rsidRDefault="00902823" w:rsidP="00AE2F59">
      <w:pPr>
        <w:pStyle w:val="AbstHead"/>
        <w:jc w:val="both"/>
        <w:rPr>
          <w:rFonts w:ascii="Arial" w:hAnsi="Arial" w:cs="Arial"/>
        </w:rPr>
      </w:pPr>
      <w:bookmarkStart w:id="1" w:name="_Hlk206367302"/>
      <w:bookmarkStart w:id="2" w:name="_Hlk206860147"/>
      <w:r>
        <w:rPr>
          <w:rFonts w:ascii="Arial" w:hAnsi="Arial" w:cs="Arial"/>
        </w:rPr>
        <w:t xml:space="preserve">1. </w:t>
      </w:r>
      <w:r w:rsidR="00B01FCD" w:rsidRPr="00FB3A86">
        <w:rPr>
          <w:rFonts w:ascii="Arial" w:hAnsi="Arial" w:cs="Arial"/>
        </w:rPr>
        <w:t>INTRODUCTIO</w:t>
      </w:r>
      <w:r w:rsidR="0052205D">
        <w:rPr>
          <w:rFonts w:ascii="Arial" w:hAnsi="Arial" w:cs="Arial"/>
        </w:rPr>
        <w:t>N</w:t>
      </w:r>
    </w:p>
    <w:p w14:paraId="3729E5C3" w14:textId="38825049" w:rsidR="00AE2F59" w:rsidRPr="00AE2F59" w:rsidRDefault="00AE2F59" w:rsidP="00AE2F59">
      <w:pPr>
        <w:pStyle w:val="Body"/>
        <w:rPr>
          <w:rFonts w:ascii="Arial" w:hAnsi="Arial" w:cs="Arial"/>
        </w:rPr>
      </w:pPr>
      <w:r w:rsidRPr="00AE2F59">
        <w:rPr>
          <w:rFonts w:ascii="Arial" w:hAnsi="Arial" w:cs="Arial"/>
        </w:rPr>
        <w:t xml:space="preserve">Mangrove forests are vital coastal ecosystems situated at the land–sea interface in tropical and subtropical regions. They deliver essential ecological and socio-economic services, including shoreline stabilization, habitat provision, nutrient cycling, water purification, and substantial blue carbon sequestration (Alongi, 2008; Donato et al., 2011; FAO, 2023). Among dominant mangrove species, the red mangrove </w:t>
      </w:r>
      <w:r w:rsidRPr="00E62706">
        <w:rPr>
          <w:rFonts w:ascii="Arial" w:hAnsi="Arial" w:cs="Arial"/>
          <w:i/>
          <w:iCs/>
        </w:rPr>
        <w:t>Rhizophora racemosa</w:t>
      </w:r>
      <w:r w:rsidRPr="00AE2F59">
        <w:rPr>
          <w:rFonts w:ascii="Arial" w:hAnsi="Arial" w:cs="Arial"/>
        </w:rPr>
        <w:t xml:space="preserve"> G. Mey (Rhizophoraceae) plays a key ecological role along the West African coast, forming dense monospecific stands (Fig. 1) that enhance coastal resilience and carbon storage (Komiyama et al., 2008; </w:t>
      </w:r>
      <w:r w:rsidR="007E223C" w:rsidRPr="007E223C">
        <w:rPr>
          <w:rFonts w:ascii="Arial" w:hAnsi="Arial" w:cs="Arial"/>
        </w:rPr>
        <w:t>Rovai et al., 2018</w:t>
      </w:r>
      <w:r w:rsidRPr="00AE2F59">
        <w:rPr>
          <w:rFonts w:ascii="Arial" w:hAnsi="Arial" w:cs="Arial"/>
        </w:rPr>
        <w:t>).</w:t>
      </w:r>
    </w:p>
    <w:p w14:paraId="769D267E" w14:textId="0321CA86" w:rsidR="00CB719E" w:rsidRPr="00AE2F59" w:rsidRDefault="00CB719E" w:rsidP="00CB719E">
      <w:pPr>
        <w:pStyle w:val="Body"/>
        <w:rPr>
          <w:rFonts w:ascii="Arial" w:hAnsi="Arial" w:cs="Arial"/>
        </w:rPr>
      </w:pPr>
      <w:bookmarkStart w:id="3" w:name="_Hlk206367321"/>
      <w:bookmarkStart w:id="4" w:name="_Hlk206727782"/>
      <w:bookmarkEnd w:id="1"/>
      <w:r w:rsidRPr="00AE2F59">
        <w:rPr>
          <w:rFonts w:ascii="Arial" w:hAnsi="Arial" w:cs="Arial"/>
        </w:rPr>
        <w:t xml:space="preserve">Despite their ecological significance, mangroves are among the most threatened ecosystems globally. Urban expansion, land reclamation, industrial and domestic pollution, infrastructure development, and overharvesting of wood have driven widespread degradation (Hamilton &amp; Casey, 2016; Bunting et al., 2018). In West Africa, losses have been particularly severe: Côte d’Ivoire, for instance, has lost more than 90% of its mangrove cover since the 1970s, declining from ~500 km² to &lt;60 km² (Ouattara &amp; Cecchi, 2021). Such reductions not only compromise biodiversity and ecosystem services but also undermine the </w:t>
      </w:r>
      <w:r>
        <w:rPr>
          <w:rFonts w:ascii="Arial" w:hAnsi="Arial" w:cs="Arial"/>
        </w:rPr>
        <w:t>ability</w:t>
      </w:r>
      <w:r w:rsidRPr="00AE2F59">
        <w:rPr>
          <w:rFonts w:ascii="Arial" w:hAnsi="Arial" w:cs="Arial"/>
        </w:rPr>
        <w:t xml:space="preserve"> of mangroves to act as carbon sinks, potentially transforming them into net greenhouse gas sources (Lagomasino et al., 2019).</w:t>
      </w:r>
    </w:p>
    <w:p w14:paraId="05DAA1BE" w14:textId="42554115" w:rsidR="00CB719E" w:rsidRPr="00AE2F59" w:rsidRDefault="00CB719E" w:rsidP="00CB719E">
      <w:pPr>
        <w:pStyle w:val="Body"/>
        <w:rPr>
          <w:rFonts w:ascii="Arial" w:hAnsi="Arial" w:cs="Arial"/>
        </w:rPr>
      </w:pPr>
      <w:r w:rsidRPr="00AE2F59">
        <w:rPr>
          <w:rFonts w:ascii="Arial" w:hAnsi="Arial" w:cs="Arial"/>
        </w:rPr>
        <w:t>Urban and peri-urban mangroves are especially vulnerable. These ecosystems are often subjected to waste dumping, unregulated construction, informal housing, and untreated effluents, which profoundly alter soil conditions, hydrological regimes, and forest structure (Mohamed et al., 200</w:t>
      </w:r>
      <w:r w:rsidR="007045EE">
        <w:rPr>
          <w:rFonts w:ascii="Arial" w:hAnsi="Arial" w:cs="Arial"/>
        </w:rPr>
        <w:t>9</w:t>
      </w:r>
      <w:r w:rsidRPr="00AE2F59">
        <w:rPr>
          <w:rFonts w:ascii="Arial" w:hAnsi="Arial" w:cs="Arial"/>
        </w:rPr>
        <w:t xml:space="preserve">; </w:t>
      </w:r>
      <w:r w:rsidR="00F363BA" w:rsidRPr="00F363BA">
        <w:rPr>
          <w:rFonts w:ascii="Arial" w:hAnsi="Arial" w:cs="Arial"/>
        </w:rPr>
        <w:t>Bosire</w:t>
      </w:r>
      <w:r w:rsidR="00F363BA">
        <w:rPr>
          <w:rFonts w:ascii="Arial" w:hAnsi="Arial" w:cs="Arial"/>
        </w:rPr>
        <w:t xml:space="preserve"> et al.</w:t>
      </w:r>
      <w:r w:rsidRPr="00AE2F59">
        <w:rPr>
          <w:rFonts w:ascii="Arial" w:hAnsi="Arial" w:cs="Arial"/>
        </w:rPr>
        <w:t>, 20</w:t>
      </w:r>
      <w:r w:rsidR="00F363BA">
        <w:rPr>
          <w:rFonts w:ascii="Arial" w:hAnsi="Arial" w:cs="Arial"/>
        </w:rPr>
        <w:t>1</w:t>
      </w:r>
      <w:r w:rsidRPr="00AE2F59">
        <w:rPr>
          <w:rFonts w:ascii="Arial" w:hAnsi="Arial" w:cs="Arial"/>
        </w:rPr>
        <w:t>4</w:t>
      </w:r>
      <w:r w:rsidR="00F363BA">
        <w:rPr>
          <w:rFonts w:ascii="Arial" w:hAnsi="Arial" w:cs="Arial"/>
        </w:rPr>
        <w:t xml:space="preserve">; </w:t>
      </w:r>
      <w:r w:rsidR="00F363BA" w:rsidRPr="00F363BA">
        <w:rPr>
          <w:rFonts w:ascii="Arial" w:hAnsi="Arial" w:cs="Arial"/>
        </w:rPr>
        <w:t xml:space="preserve">Ventura </w:t>
      </w:r>
      <w:r w:rsidR="00F363BA">
        <w:rPr>
          <w:rFonts w:ascii="Arial" w:hAnsi="Arial" w:cs="Arial"/>
        </w:rPr>
        <w:t xml:space="preserve">&amp; </w:t>
      </w:r>
      <w:r w:rsidR="00F363BA" w:rsidRPr="00F363BA">
        <w:rPr>
          <w:rFonts w:ascii="Arial" w:hAnsi="Arial" w:cs="Arial"/>
        </w:rPr>
        <w:t>Lana</w:t>
      </w:r>
      <w:r w:rsidR="00F363BA">
        <w:rPr>
          <w:rFonts w:ascii="Arial" w:hAnsi="Arial" w:cs="Arial"/>
        </w:rPr>
        <w:t xml:space="preserve">, </w:t>
      </w:r>
      <w:r w:rsidR="00F363BA" w:rsidRPr="00F363BA">
        <w:rPr>
          <w:rFonts w:ascii="Arial" w:hAnsi="Arial" w:cs="Arial"/>
        </w:rPr>
        <w:t>2014</w:t>
      </w:r>
      <w:r w:rsidRPr="00AE2F59">
        <w:rPr>
          <w:rFonts w:ascii="Arial" w:hAnsi="Arial" w:cs="Arial"/>
        </w:rPr>
        <w:t xml:space="preserve">). While many studies have documented biodiversity loss and floristic shifts, fewer have assessed how these pressures specifically affect stand structure and carbon storage in monospecific </w:t>
      </w:r>
      <w:r w:rsidRPr="006239D9">
        <w:rPr>
          <w:rFonts w:ascii="Arial" w:hAnsi="Arial" w:cs="Arial"/>
          <w:i/>
          <w:iCs/>
        </w:rPr>
        <w:t>R. racemosa</w:t>
      </w:r>
      <w:r w:rsidRPr="00AE2F59">
        <w:rPr>
          <w:rFonts w:ascii="Arial" w:hAnsi="Arial" w:cs="Arial"/>
        </w:rPr>
        <w:t xml:space="preserve"> stands.</w:t>
      </w:r>
    </w:p>
    <w:p w14:paraId="27064AD4" w14:textId="793358D3" w:rsidR="00AE2F59" w:rsidRPr="00AE2F59" w:rsidRDefault="00AE2F59" w:rsidP="00AE2F59">
      <w:pPr>
        <w:pStyle w:val="Body"/>
        <w:rPr>
          <w:rFonts w:ascii="Arial" w:hAnsi="Arial" w:cs="Arial"/>
        </w:rPr>
      </w:pPr>
      <w:r w:rsidRPr="00AE2F59">
        <w:rPr>
          <w:rFonts w:ascii="Arial" w:hAnsi="Arial" w:cs="Arial"/>
        </w:rPr>
        <w:t xml:space="preserve">Assessing the structural integrity and carbon dynamics of </w:t>
      </w:r>
      <w:r w:rsidR="00E62706" w:rsidRPr="00E62706">
        <w:rPr>
          <w:rFonts w:ascii="Arial" w:hAnsi="Arial" w:cs="Arial"/>
          <w:i/>
          <w:iCs/>
        </w:rPr>
        <w:t>Rhizophora racemosa</w:t>
      </w:r>
      <w:r w:rsidR="00E62706" w:rsidRPr="00AE2F59">
        <w:rPr>
          <w:rFonts w:ascii="Arial" w:hAnsi="Arial" w:cs="Arial"/>
        </w:rPr>
        <w:t xml:space="preserve"> </w:t>
      </w:r>
      <w:r w:rsidRPr="00AE2F59">
        <w:rPr>
          <w:rFonts w:ascii="Arial" w:hAnsi="Arial" w:cs="Arial"/>
        </w:rPr>
        <w:t>under varying levels of disturbance is critical for designing effective conservation and restoration strategies. Stand structure</w:t>
      </w:r>
      <w:r w:rsidR="00E62706">
        <w:rPr>
          <w:rFonts w:ascii="Arial" w:hAnsi="Arial" w:cs="Arial"/>
        </w:rPr>
        <w:sym w:font="Symbol" w:char="F02D"/>
      </w:r>
      <w:r w:rsidR="00E62706">
        <w:rPr>
          <w:rFonts w:ascii="Arial" w:hAnsi="Arial" w:cs="Arial"/>
        </w:rPr>
        <w:t xml:space="preserve"> </w:t>
      </w:r>
      <w:r w:rsidRPr="00AE2F59">
        <w:rPr>
          <w:rFonts w:ascii="Arial" w:hAnsi="Arial" w:cs="Arial"/>
        </w:rPr>
        <w:t>measured through attributes such as density, diameter, and height</w:t>
      </w:r>
      <w:r w:rsidR="00E62706">
        <w:rPr>
          <w:rFonts w:ascii="Arial" w:hAnsi="Arial" w:cs="Arial"/>
        </w:rPr>
        <w:sym w:font="Symbol" w:char="F02D"/>
      </w:r>
      <w:r w:rsidR="00E62706">
        <w:rPr>
          <w:rFonts w:ascii="Arial" w:hAnsi="Arial" w:cs="Arial"/>
        </w:rPr>
        <w:t xml:space="preserve"> </w:t>
      </w:r>
      <w:r w:rsidRPr="00AE2F59">
        <w:rPr>
          <w:rFonts w:ascii="Arial" w:hAnsi="Arial" w:cs="Arial"/>
        </w:rPr>
        <w:t>provides insights into regeneration potential and ecosystem stability. Biomass and carbon stocks, particularly in above- and below-ground pools, are sensitive indicators of anthropogenic disturbance (</w:t>
      </w:r>
      <w:r w:rsidR="0018633A" w:rsidRPr="00AE2F59">
        <w:rPr>
          <w:rFonts w:ascii="Arial" w:hAnsi="Arial" w:cs="Arial"/>
        </w:rPr>
        <w:t>Komiyama et al., 2008</w:t>
      </w:r>
      <w:r w:rsidR="0018633A">
        <w:rPr>
          <w:rFonts w:ascii="Arial" w:hAnsi="Arial" w:cs="Arial"/>
        </w:rPr>
        <w:t xml:space="preserve">; </w:t>
      </w:r>
      <w:r w:rsidRPr="00AE2F59">
        <w:rPr>
          <w:rFonts w:ascii="Arial" w:hAnsi="Arial" w:cs="Arial"/>
        </w:rPr>
        <w:t>Donato et al., 2011). However, such analyses remain scarce in urban mangroves of Côte d’Ivoire, despite their importance for local livelihoods and climate mitigation.</w:t>
      </w:r>
    </w:p>
    <w:p w14:paraId="1D3F7742" w14:textId="78B60DF5" w:rsidR="00E62706" w:rsidRPr="00E62706" w:rsidRDefault="00CB719E" w:rsidP="00E62706">
      <w:pPr>
        <w:pStyle w:val="Body"/>
        <w:rPr>
          <w:rFonts w:ascii="Arial" w:hAnsi="Arial" w:cs="Arial"/>
        </w:rPr>
      </w:pPr>
      <w:r>
        <w:rPr>
          <w:rFonts w:ascii="Arial" w:hAnsi="Arial" w:cs="Arial"/>
        </w:rPr>
        <w:t xml:space="preserve">Amangoua-koi </w:t>
      </w:r>
      <w:r w:rsidR="00E62706" w:rsidRPr="00E62706">
        <w:rPr>
          <w:rFonts w:ascii="Arial" w:hAnsi="Arial" w:cs="Arial"/>
        </w:rPr>
        <w:t xml:space="preserve">village, located in the southeastern part of the </w:t>
      </w:r>
      <w:proofErr w:type="spellStart"/>
      <w:r w:rsidR="00E62706" w:rsidRPr="00E62706">
        <w:rPr>
          <w:rFonts w:ascii="Arial" w:hAnsi="Arial" w:cs="Arial"/>
        </w:rPr>
        <w:t>Abouabou</w:t>
      </w:r>
      <w:proofErr w:type="spellEnd"/>
      <w:r w:rsidR="00E62706" w:rsidRPr="00E62706">
        <w:rPr>
          <w:rFonts w:ascii="Arial" w:hAnsi="Arial" w:cs="Arial"/>
        </w:rPr>
        <w:t xml:space="preserve"> Bay, near Abidjan International airport, provides a relevant case study of </w:t>
      </w:r>
      <w:proofErr w:type="gramStart"/>
      <w:r w:rsidR="00E62706" w:rsidRPr="00E62706">
        <w:rPr>
          <w:rFonts w:ascii="Arial" w:hAnsi="Arial" w:cs="Arial"/>
        </w:rPr>
        <w:t>a</w:t>
      </w:r>
      <w:proofErr w:type="gramEnd"/>
      <w:r w:rsidR="00E62706" w:rsidRPr="00E62706">
        <w:rPr>
          <w:rFonts w:ascii="Arial" w:hAnsi="Arial" w:cs="Arial"/>
        </w:rPr>
        <w:t xml:space="preserve"> urban mangrove ecosystem subjected to intense human pressure. This area faces widespread dumping of solid and liquid waste, landfilling, and unsustainable harvesting of mangrove wood. </w:t>
      </w:r>
      <w:r w:rsidR="00E62706" w:rsidRPr="00E62706">
        <w:rPr>
          <w:rFonts w:ascii="Arial" w:hAnsi="Arial" w:cs="Arial"/>
          <w:i/>
          <w:iCs/>
        </w:rPr>
        <w:t>R. racemosa</w:t>
      </w:r>
      <w:r w:rsidR="00E62706" w:rsidRPr="00E62706">
        <w:rPr>
          <w:rFonts w:ascii="Arial" w:hAnsi="Arial" w:cs="Arial"/>
        </w:rPr>
        <w:t xml:space="preserve"> is the only mangrove species present in the bay and plays a key role in shoreline stabilization and local microclimate regulation. However, increasing degradation threatens the structural integrity of its stands and may reduce their carbon storage potential.</w:t>
      </w:r>
    </w:p>
    <w:p w14:paraId="1DBF3633" w14:textId="67162BE5" w:rsidR="00AE2F59" w:rsidRDefault="00E62706" w:rsidP="00AE2F59">
      <w:pPr>
        <w:pStyle w:val="Body"/>
        <w:rPr>
          <w:rFonts w:ascii="Arial" w:hAnsi="Arial" w:cs="Arial"/>
        </w:rPr>
      </w:pPr>
      <w:r w:rsidRPr="00E62706">
        <w:rPr>
          <w:rFonts w:ascii="Arial" w:hAnsi="Arial" w:cs="Arial"/>
        </w:rPr>
        <w:t xml:space="preserve">In this context, the present study aims to analyze the spatial variation of anthropogenic pressures and their effects on </w:t>
      </w:r>
      <w:r w:rsidRPr="00E62706">
        <w:rPr>
          <w:rFonts w:ascii="Arial" w:hAnsi="Arial" w:cs="Arial"/>
          <w:i/>
          <w:iCs/>
        </w:rPr>
        <w:t>R. racemosa</w:t>
      </w:r>
      <w:r w:rsidRPr="00E62706">
        <w:rPr>
          <w:rFonts w:ascii="Arial" w:hAnsi="Arial" w:cs="Arial"/>
        </w:rPr>
        <w:t xml:space="preserve"> stands across the main inhabited sectors of the village of Amangoua-Koi. Specifically, we (</w:t>
      </w:r>
      <w:proofErr w:type="spellStart"/>
      <w:r w:rsidRPr="00E62706">
        <w:rPr>
          <w:rFonts w:ascii="Arial" w:hAnsi="Arial" w:cs="Arial"/>
        </w:rPr>
        <w:t>i</w:t>
      </w:r>
      <w:proofErr w:type="spellEnd"/>
      <w:r w:rsidRPr="00E62706">
        <w:rPr>
          <w:rFonts w:ascii="Arial" w:hAnsi="Arial" w:cs="Arial"/>
        </w:rPr>
        <w:t xml:space="preserve">) classified the study sites based on the intensity of human disturbance; (ii) evaluated the variation in stands structure of </w:t>
      </w:r>
      <w:r w:rsidRPr="00E62706">
        <w:rPr>
          <w:rFonts w:ascii="Arial" w:hAnsi="Arial" w:cs="Arial"/>
          <w:i/>
          <w:iCs/>
        </w:rPr>
        <w:t>R. racemosa</w:t>
      </w:r>
      <w:r w:rsidRPr="00E62706">
        <w:rPr>
          <w:rFonts w:ascii="Arial" w:hAnsi="Arial" w:cs="Arial"/>
        </w:rPr>
        <w:t xml:space="preserve"> across </w:t>
      </w:r>
      <w:r w:rsidRPr="00E62706">
        <w:rPr>
          <w:rFonts w:ascii="Arial" w:hAnsi="Arial" w:cs="Arial"/>
        </w:rPr>
        <w:lastRenderedPageBreak/>
        <w:t>these sites; and (iii) assessed differences in total carbon stock (above- plus below-ground) in relation to the disturbance gradient. By providing empirical insights into the links between anthropogenic pressure, structural degradation, and carbon loss, this study contributes to the design of more effective strategies for mangrove conservation and restoration urban coastal settings.</w:t>
      </w:r>
    </w:p>
    <w:p w14:paraId="653D95B2" w14:textId="5C3BB06F" w:rsidR="00CB719E" w:rsidRPr="00124D3A" w:rsidRDefault="009A701D" w:rsidP="00CB719E">
      <w:pPr>
        <w:pStyle w:val="NormalWeb"/>
        <w:jc w:val="center"/>
      </w:pPr>
      <w:r>
        <w:rPr>
          <w:noProof/>
        </w:rPr>
        <w:drawing>
          <wp:inline distT="0" distB="0" distL="0" distR="0" wp14:anchorId="0B48A435" wp14:editId="12AEF00C">
            <wp:extent cx="5212715" cy="287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5" cy="2877820"/>
                    </a:xfrm>
                    <a:prstGeom prst="rect">
                      <a:avLst/>
                    </a:prstGeom>
                    <a:noFill/>
                  </pic:spPr>
                </pic:pic>
              </a:graphicData>
            </a:graphic>
          </wp:inline>
        </w:drawing>
      </w:r>
    </w:p>
    <w:p w14:paraId="06A4B1D9" w14:textId="77777777" w:rsidR="00CB719E" w:rsidRPr="0010382C" w:rsidRDefault="00CB719E" w:rsidP="00CB719E">
      <w:pPr>
        <w:spacing w:line="480" w:lineRule="auto"/>
        <w:jc w:val="center"/>
        <w:rPr>
          <w:rFonts w:ascii="Times New Roman" w:eastAsia="Calibri" w:hAnsi="Times New Roman"/>
          <w:b/>
          <w:bCs/>
          <w:sz w:val="24"/>
          <w:szCs w:val="28"/>
        </w:rPr>
      </w:pPr>
      <w:r w:rsidRPr="002F41AA">
        <w:rPr>
          <w:rFonts w:ascii="Times New Roman" w:eastAsia="Calibri" w:hAnsi="Times New Roman"/>
          <w:b/>
          <w:bCs/>
          <w:sz w:val="24"/>
          <w:szCs w:val="28"/>
        </w:rPr>
        <w:t>Fig. 1.</w:t>
      </w:r>
      <w:r w:rsidRPr="002F41AA">
        <w:rPr>
          <w:rFonts w:ascii="Times New Roman" w:eastAsia="Calibri" w:hAnsi="Times New Roman"/>
          <w:sz w:val="24"/>
          <w:szCs w:val="28"/>
        </w:rPr>
        <w:t xml:space="preserve"> </w:t>
      </w:r>
      <w:r w:rsidRPr="0010382C">
        <w:rPr>
          <w:rFonts w:ascii="Times New Roman" w:eastAsia="Calibri" w:hAnsi="Times New Roman"/>
          <w:b/>
          <w:bCs/>
          <w:sz w:val="24"/>
          <w:szCs w:val="28"/>
        </w:rPr>
        <w:t xml:space="preserve">Stand of the red mangrove </w:t>
      </w:r>
      <w:r w:rsidRPr="0010382C">
        <w:rPr>
          <w:rFonts w:ascii="Times New Roman" w:eastAsia="Calibri" w:hAnsi="Times New Roman"/>
          <w:b/>
          <w:bCs/>
          <w:i/>
          <w:iCs/>
          <w:sz w:val="24"/>
          <w:szCs w:val="28"/>
        </w:rPr>
        <w:t>Rhizophora racemosa</w:t>
      </w:r>
      <w:r w:rsidRPr="0010382C">
        <w:rPr>
          <w:rFonts w:ascii="Times New Roman" w:eastAsia="Calibri" w:hAnsi="Times New Roman"/>
          <w:b/>
          <w:bCs/>
          <w:sz w:val="24"/>
          <w:szCs w:val="28"/>
        </w:rPr>
        <w:t xml:space="preserve"> along the shoreline of </w:t>
      </w:r>
      <w:proofErr w:type="spellStart"/>
      <w:r w:rsidRPr="0010382C">
        <w:rPr>
          <w:rFonts w:ascii="Times New Roman" w:eastAsia="Calibri" w:hAnsi="Times New Roman"/>
          <w:b/>
          <w:bCs/>
          <w:sz w:val="24"/>
          <w:szCs w:val="28"/>
        </w:rPr>
        <w:t>Abouabou</w:t>
      </w:r>
      <w:proofErr w:type="spellEnd"/>
      <w:r w:rsidRPr="0010382C">
        <w:rPr>
          <w:rFonts w:ascii="Times New Roman" w:eastAsia="Calibri" w:hAnsi="Times New Roman"/>
          <w:b/>
          <w:bCs/>
          <w:sz w:val="24"/>
          <w:szCs w:val="28"/>
        </w:rPr>
        <w:t xml:space="preserve"> Bay (Port-</w:t>
      </w:r>
      <w:proofErr w:type="spellStart"/>
      <w:r w:rsidRPr="0010382C">
        <w:rPr>
          <w:rFonts w:ascii="Times New Roman" w:eastAsia="Calibri" w:hAnsi="Times New Roman"/>
          <w:b/>
          <w:bCs/>
          <w:sz w:val="24"/>
          <w:szCs w:val="28"/>
        </w:rPr>
        <w:t>Bouët</w:t>
      </w:r>
      <w:proofErr w:type="spellEnd"/>
      <w:r w:rsidRPr="0010382C">
        <w:rPr>
          <w:rFonts w:ascii="Times New Roman" w:eastAsia="Calibri" w:hAnsi="Times New Roman"/>
          <w:b/>
          <w:bCs/>
          <w:sz w:val="24"/>
          <w:szCs w:val="28"/>
        </w:rPr>
        <w:t>, Côte d’Ivoire).</w:t>
      </w:r>
    </w:p>
    <w:p w14:paraId="589ED917" w14:textId="77777777" w:rsidR="00CB719E" w:rsidRPr="00AE2F59" w:rsidRDefault="00CB719E" w:rsidP="00AE2F59">
      <w:pPr>
        <w:pStyle w:val="Body"/>
        <w:rPr>
          <w:rFonts w:ascii="Arial" w:hAnsi="Arial" w:cs="Arial"/>
        </w:rPr>
      </w:pPr>
    </w:p>
    <w:p w14:paraId="4D3FA09E" w14:textId="64889C96" w:rsidR="007F7B32" w:rsidRDefault="00902823" w:rsidP="00441B6F">
      <w:pPr>
        <w:pStyle w:val="AbstHead"/>
        <w:spacing w:after="0"/>
        <w:jc w:val="both"/>
        <w:rPr>
          <w:rFonts w:ascii="Arial" w:hAnsi="Arial" w:cs="Arial"/>
        </w:rPr>
      </w:pPr>
      <w:bookmarkStart w:id="5" w:name="_Hlk206367335"/>
      <w:bookmarkEnd w:id="3"/>
      <w:r>
        <w:rPr>
          <w:rFonts w:ascii="Arial" w:hAnsi="Arial" w:cs="Arial"/>
        </w:rPr>
        <w:t>2. material and method</w:t>
      </w:r>
      <w:r w:rsidR="00000F8F">
        <w:rPr>
          <w:rFonts w:ascii="Arial" w:hAnsi="Arial" w:cs="Arial"/>
        </w:rPr>
        <w:t>s</w:t>
      </w:r>
    </w:p>
    <w:p w14:paraId="7A74EEE5" w14:textId="77777777" w:rsidR="00790ADA" w:rsidRPr="00FB3A86" w:rsidRDefault="00790ADA" w:rsidP="00441B6F">
      <w:pPr>
        <w:pStyle w:val="Body"/>
        <w:spacing w:after="0"/>
        <w:rPr>
          <w:rFonts w:ascii="Arial" w:hAnsi="Arial" w:cs="Arial"/>
        </w:rPr>
      </w:pPr>
    </w:p>
    <w:p w14:paraId="72FDB855" w14:textId="59C1C590" w:rsidR="00AA74E0" w:rsidRDefault="00AA74E0" w:rsidP="006D183A">
      <w:pPr>
        <w:pStyle w:val="Body"/>
        <w:rPr>
          <w:rFonts w:ascii="Arial" w:hAnsi="Arial" w:cs="Arial"/>
        </w:rPr>
      </w:pPr>
      <w:r w:rsidRPr="00C30A0F">
        <w:rPr>
          <w:rFonts w:ascii="Arial" w:hAnsi="Arial" w:cs="Arial"/>
          <w:b/>
          <w:caps/>
          <w:sz w:val="22"/>
        </w:rPr>
        <w:t xml:space="preserve">2.1 </w:t>
      </w:r>
      <w:r w:rsidR="006D183A" w:rsidRPr="006D183A">
        <w:rPr>
          <w:rFonts w:ascii="Arial" w:hAnsi="Arial" w:cs="Arial"/>
          <w:b/>
          <w:sz w:val="22"/>
        </w:rPr>
        <w:t xml:space="preserve">Description of the study </w:t>
      </w:r>
      <w:r w:rsidR="006D183A">
        <w:rPr>
          <w:rFonts w:ascii="Arial" w:hAnsi="Arial" w:cs="Arial"/>
          <w:b/>
          <w:sz w:val="22"/>
        </w:rPr>
        <w:t>a</w:t>
      </w:r>
      <w:r w:rsidR="006D183A" w:rsidRPr="006D183A">
        <w:rPr>
          <w:rFonts w:ascii="Arial" w:hAnsi="Arial" w:cs="Arial"/>
          <w:b/>
          <w:sz w:val="22"/>
        </w:rPr>
        <w:t>rea</w:t>
      </w:r>
    </w:p>
    <w:p w14:paraId="31002FBC" w14:textId="15DE2FC6" w:rsidR="006D183A" w:rsidRPr="00D72F27" w:rsidRDefault="006D183A" w:rsidP="006D183A">
      <w:pPr>
        <w:pStyle w:val="Body"/>
        <w:rPr>
          <w:rFonts w:ascii="Arial" w:hAnsi="Arial" w:cs="Arial"/>
        </w:rPr>
      </w:pPr>
      <w:r w:rsidRPr="00D72F27">
        <w:rPr>
          <w:rFonts w:ascii="Arial" w:hAnsi="Arial" w:cs="Arial"/>
        </w:rPr>
        <w:t xml:space="preserve">The study was carried out along the shores of </w:t>
      </w:r>
      <w:proofErr w:type="spellStart"/>
      <w:r w:rsidRPr="00D72F27">
        <w:rPr>
          <w:rFonts w:ascii="Arial" w:hAnsi="Arial" w:cs="Arial"/>
        </w:rPr>
        <w:t>Abouabou</w:t>
      </w:r>
      <w:proofErr w:type="spellEnd"/>
      <w:r w:rsidRPr="00D72F27">
        <w:rPr>
          <w:rFonts w:ascii="Arial" w:hAnsi="Arial" w:cs="Arial"/>
        </w:rPr>
        <w:t xml:space="preserve"> Bay (5°15′–5°18′ N; 3°52′–3°56′ W), located on the southern margin of the </w:t>
      </w:r>
      <w:proofErr w:type="spellStart"/>
      <w:r w:rsidRPr="00D72F27">
        <w:rPr>
          <w:rFonts w:ascii="Arial" w:hAnsi="Arial" w:cs="Arial"/>
        </w:rPr>
        <w:t>Ébrié</w:t>
      </w:r>
      <w:proofErr w:type="spellEnd"/>
      <w:r w:rsidRPr="00D72F27">
        <w:rPr>
          <w:rFonts w:ascii="Arial" w:hAnsi="Arial" w:cs="Arial"/>
        </w:rPr>
        <w:t xml:space="preserve"> Lagoon within the municipality of Port-</w:t>
      </w:r>
      <w:proofErr w:type="spellStart"/>
      <w:r w:rsidRPr="00D72F27">
        <w:rPr>
          <w:rFonts w:ascii="Arial" w:hAnsi="Arial" w:cs="Arial"/>
        </w:rPr>
        <w:t>Bouët</w:t>
      </w:r>
      <w:proofErr w:type="spellEnd"/>
      <w:r w:rsidRPr="00D72F27">
        <w:rPr>
          <w:rFonts w:ascii="Arial" w:hAnsi="Arial" w:cs="Arial"/>
        </w:rPr>
        <w:t xml:space="preserve">, Abidjan, Côte d’Ivoire (Fig. </w:t>
      </w:r>
      <w:r w:rsidR="00E130EA" w:rsidRPr="00D72F27">
        <w:rPr>
          <w:rFonts w:ascii="Arial" w:hAnsi="Arial" w:cs="Arial"/>
        </w:rPr>
        <w:t>2</w:t>
      </w:r>
      <w:r w:rsidRPr="00D72F27">
        <w:rPr>
          <w:rFonts w:ascii="Arial" w:hAnsi="Arial" w:cs="Arial"/>
        </w:rPr>
        <w:t>). The bay covers approximately 3.9 km² and is bordered by dense urban and industrial infrastructures, including the Félix Houphouët-Boigny International Airport, as well as residential settlements. These surroundings expose the mangrove ecosystem to strong anthropogenic pressures, such as deforestation, pollution, and land reclamation.</w:t>
      </w:r>
    </w:p>
    <w:bookmarkEnd w:id="4"/>
    <w:bookmarkEnd w:id="5"/>
    <w:p w14:paraId="7ABB0AD9" w14:textId="7B220C39" w:rsidR="006D183A" w:rsidRDefault="006D183A" w:rsidP="006D183A">
      <w:pPr>
        <w:pStyle w:val="Body"/>
        <w:jc w:val="center"/>
        <w:rPr>
          <w:rFonts w:ascii="Arial" w:hAnsi="Arial" w:cs="Arial"/>
        </w:rPr>
      </w:pPr>
      <w:r>
        <w:rPr>
          <w:noProof/>
        </w:rPr>
        <w:lastRenderedPageBreak/>
        <w:drawing>
          <wp:inline distT="0" distB="0" distL="0" distR="0" wp14:anchorId="643BDCA4" wp14:editId="770895A6">
            <wp:extent cx="5212080" cy="51860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5186045"/>
                    </a:xfrm>
                    <a:prstGeom prst="rect">
                      <a:avLst/>
                    </a:prstGeom>
                    <a:noFill/>
                    <a:ln>
                      <a:noFill/>
                    </a:ln>
                  </pic:spPr>
                </pic:pic>
              </a:graphicData>
            </a:graphic>
          </wp:inline>
        </w:drawing>
      </w:r>
    </w:p>
    <w:p w14:paraId="60A7B68E" w14:textId="59771C9E" w:rsidR="006D183A" w:rsidRPr="006D183A" w:rsidRDefault="006D183A" w:rsidP="006D183A">
      <w:pPr>
        <w:pStyle w:val="Body"/>
        <w:jc w:val="center"/>
        <w:rPr>
          <w:rFonts w:ascii="Arial" w:hAnsi="Arial" w:cs="Arial"/>
          <w:b/>
          <w:bCs/>
        </w:rPr>
      </w:pPr>
      <w:r w:rsidRPr="006D183A">
        <w:rPr>
          <w:rFonts w:ascii="Arial" w:hAnsi="Arial" w:cs="Arial"/>
          <w:b/>
          <w:bCs/>
        </w:rPr>
        <w:t>Fig.</w:t>
      </w:r>
      <w:r w:rsidR="0010382C">
        <w:rPr>
          <w:rFonts w:ascii="Arial" w:hAnsi="Arial" w:cs="Arial"/>
          <w:b/>
          <w:bCs/>
        </w:rPr>
        <w:t xml:space="preserve"> 2</w:t>
      </w:r>
      <w:r w:rsidRPr="006D183A">
        <w:rPr>
          <w:rFonts w:ascii="Arial" w:hAnsi="Arial" w:cs="Arial"/>
          <w:b/>
          <w:bCs/>
        </w:rPr>
        <w:t>. Location of the study area</w:t>
      </w:r>
    </w:p>
    <w:p w14:paraId="316052EE" w14:textId="122C3E5A" w:rsidR="0010382C" w:rsidRDefault="0010382C" w:rsidP="006D183A">
      <w:pPr>
        <w:pStyle w:val="Body"/>
        <w:rPr>
          <w:rFonts w:ascii="Arial" w:hAnsi="Arial" w:cs="Arial"/>
        </w:rPr>
      </w:pPr>
    </w:p>
    <w:p w14:paraId="00B83FE2" w14:textId="77777777" w:rsidR="0010382C" w:rsidRPr="00D72F27" w:rsidRDefault="0010382C" w:rsidP="0010382C">
      <w:pPr>
        <w:pStyle w:val="Body"/>
        <w:rPr>
          <w:rFonts w:ascii="Arial" w:hAnsi="Arial" w:cs="Arial"/>
        </w:rPr>
      </w:pPr>
      <w:bookmarkStart w:id="6" w:name="_Hlk206367353"/>
      <w:bookmarkStart w:id="7" w:name="_Hlk206727804"/>
      <w:r w:rsidRPr="00D72F27">
        <w:rPr>
          <w:rFonts w:ascii="Arial" w:hAnsi="Arial" w:cs="Arial"/>
        </w:rPr>
        <w:t>The region has a sub-equatorial climate characterized by two rainy seasons (April–July and September–October) alternating with two dry seasons, including a prolonged dry period from November to March. Annual rainfall ranges from 1,300 to 1,800 mm, with mean temperatures between 25 °C and 28 °C and relative humidity exceeding 80% during the rainy months (Brou, 2010).</w:t>
      </w:r>
    </w:p>
    <w:p w14:paraId="3777734E" w14:textId="55A3AC83" w:rsidR="0010382C" w:rsidRPr="00D72F27" w:rsidRDefault="0010382C" w:rsidP="0010382C">
      <w:pPr>
        <w:pStyle w:val="Body"/>
        <w:rPr>
          <w:rFonts w:ascii="Arial" w:hAnsi="Arial" w:cs="Arial"/>
        </w:rPr>
      </w:pPr>
      <w:r w:rsidRPr="00D72F27">
        <w:rPr>
          <w:rFonts w:ascii="Arial" w:hAnsi="Arial" w:cs="Arial"/>
        </w:rPr>
        <w:t xml:space="preserve">Geologically, the area is underlain by Quaternary sedimentary deposits dominated by sands, silts, and clays. Soils are mostly </w:t>
      </w:r>
      <w:proofErr w:type="spellStart"/>
      <w:r w:rsidRPr="00D72F27">
        <w:rPr>
          <w:rFonts w:ascii="Arial" w:hAnsi="Arial" w:cs="Arial"/>
        </w:rPr>
        <w:t>pseudogley</w:t>
      </w:r>
      <w:proofErr w:type="spellEnd"/>
      <w:r w:rsidRPr="00D72F27">
        <w:rPr>
          <w:rFonts w:ascii="Arial" w:hAnsi="Arial" w:cs="Arial"/>
        </w:rPr>
        <w:t xml:space="preserve"> and hydromorphic </w:t>
      </w:r>
      <w:proofErr w:type="spellStart"/>
      <w:r w:rsidRPr="00D72F27">
        <w:rPr>
          <w:rFonts w:ascii="Arial" w:hAnsi="Arial" w:cs="Arial"/>
        </w:rPr>
        <w:t>Gleys</w:t>
      </w:r>
      <w:proofErr w:type="spellEnd"/>
      <w:r w:rsidRPr="00D72F27">
        <w:rPr>
          <w:rFonts w:ascii="Arial" w:hAnsi="Arial" w:cs="Arial"/>
        </w:rPr>
        <w:t>, the latter being particularly associated with tidal zones and supporting mangrove development (Kouassi et al., 20</w:t>
      </w:r>
      <w:r w:rsidR="005A4011">
        <w:rPr>
          <w:rFonts w:ascii="Arial" w:hAnsi="Arial" w:cs="Arial"/>
        </w:rPr>
        <w:t>1</w:t>
      </w:r>
      <w:r w:rsidRPr="00D72F27">
        <w:rPr>
          <w:rFonts w:ascii="Arial" w:hAnsi="Arial" w:cs="Arial"/>
        </w:rPr>
        <w:t xml:space="preserve">5). </w:t>
      </w:r>
      <w:proofErr w:type="spellStart"/>
      <w:r w:rsidRPr="00D72F27">
        <w:rPr>
          <w:rFonts w:ascii="Arial" w:hAnsi="Arial" w:cs="Arial"/>
        </w:rPr>
        <w:t>Abouabou</w:t>
      </w:r>
      <w:proofErr w:type="spellEnd"/>
      <w:r w:rsidRPr="00D72F27">
        <w:rPr>
          <w:rFonts w:ascii="Arial" w:hAnsi="Arial" w:cs="Arial"/>
        </w:rPr>
        <w:t xml:space="preserve"> Bay is a microtidal system, with a tidal amplitude of about 1 m, and it receives considerable domestic and industrial effluents. These inputs lead to high turbidity, eutrophication, and accumulation of trace metals in sediments (Brou, 2010).</w:t>
      </w:r>
    </w:p>
    <w:p w14:paraId="6F340760" w14:textId="6E759EF7" w:rsidR="006D183A" w:rsidRPr="00D72F27" w:rsidRDefault="006D183A" w:rsidP="006D183A">
      <w:pPr>
        <w:pStyle w:val="Body"/>
        <w:rPr>
          <w:rFonts w:ascii="Arial" w:hAnsi="Arial" w:cs="Arial"/>
        </w:rPr>
      </w:pPr>
      <w:r w:rsidRPr="00D72F27">
        <w:rPr>
          <w:rFonts w:ascii="Arial" w:hAnsi="Arial" w:cs="Arial"/>
        </w:rPr>
        <w:lastRenderedPageBreak/>
        <w:t xml:space="preserve">Vegetation is largely dominated by </w:t>
      </w:r>
      <w:r w:rsidRPr="00D72F27">
        <w:rPr>
          <w:rFonts w:ascii="Arial" w:hAnsi="Arial" w:cs="Arial"/>
          <w:i/>
          <w:iCs/>
        </w:rPr>
        <w:t xml:space="preserve">Rhizophora </w:t>
      </w:r>
      <w:proofErr w:type="spellStart"/>
      <w:r w:rsidRPr="00D72F27">
        <w:rPr>
          <w:rFonts w:ascii="Arial" w:hAnsi="Arial" w:cs="Arial"/>
          <w:i/>
          <w:iCs/>
        </w:rPr>
        <w:t>racemosa</w:t>
      </w:r>
      <w:proofErr w:type="spellEnd"/>
      <w:r w:rsidRPr="00D72F27">
        <w:rPr>
          <w:rFonts w:ascii="Arial" w:hAnsi="Arial" w:cs="Arial"/>
        </w:rPr>
        <w:t xml:space="preserve">, while </w:t>
      </w:r>
      <w:proofErr w:type="spellStart"/>
      <w:r w:rsidRPr="00D72F27">
        <w:rPr>
          <w:rFonts w:ascii="Arial" w:hAnsi="Arial" w:cs="Arial"/>
          <w:i/>
          <w:iCs/>
        </w:rPr>
        <w:t>Acrostichum</w:t>
      </w:r>
      <w:proofErr w:type="spellEnd"/>
      <w:r w:rsidRPr="00D72F27">
        <w:rPr>
          <w:rFonts w:ascii="Arial" w:hAnsi="Arial" w:cs="Arial"/>
          <w:i/>
          <w:iCs/>
        </w:rPr>
        <w:t xml:space="preserve"> </w:t>
      </w:r>
      <w:proofErr w:type="spellStart"/>
      <w:r w:rsidRPr="00D72F27">
        <w:rPr>
          <w:rFonts w:ascii="Arial" w:hAnsi="Arial" w:cs="Arial"/>
          <w:i/>
          <w:iCs/>
        </w:rPr>
        <w:t>aureum</w:t>
      </w:r>
      <w:proofErr w:type="spellEnd"/>
      <w:r w:rsidRPr="00D72F27">
        <w:rPr>
          <w:rFonts w:ascii="Arial" w:hAnsi="Arial" w:cs="Arial"/>
        </w:rPr>
        <w:t xml:space="preserve"> and </w:t>
      </w:r>
      <w:r w:rsidRPr="00D72F27">
        <w:rPr>
          <w:rFonts w:ascii="Arial" w:hAnsi="Arial" w:cs="Arial"/>
          <w:i/>
          <w:iCs/>
        </w:rPr>
        <w:t xml:space="preserve">Pterocarpus </w:t>
      </w:r>
      <w:proofErr w:type="spellStart"/>
      <w:r w:rsidRPr="00D72F27">
        <w:rPr>
          <w:rFonts w:ascii="Arial" w:hAnsi="Arial" w:cs="Arial"/>
          <w:i/>
          <w:iCs/>
        </w:rPr>
        <w:t>santalinoides</w:t>
      </w:r>
      <w:proofErr w:type="spellEnd"/>
      <w:r w:rsidRPr="00D72F27">
        <w:rPr>
          <w:rFonts w:ascii="Arial" w:hAnsi="Arial" w:cs="Arial"/>
        </w:rPr>
        <w:t xml:space="preserve"> occur in degraded or peripheral areas (</w:t>
      </w:r>
      <w:proofErr w:type="spellStart"/>
      <w:r w:rsidRPr="00D72F27">
        <w:rPr>
          <w:rFonts w:ascii="Arial" w:hAnsi="Arial" w:cs="Arial"/>
        </w:rPr>
        <w:t>Egnankou</w:t>
      </w:r>
      <w:proofErr w:type="spellEnd"/>
      <w:r w:rsidRPr="00D72F27">
        <w:rPr>
          <w:rFonts w:ascii="Arial" w:hAnsi="Arial" w:cs="Arial"/>
        </w:rPr>
        <w:t xml:space="preserve">, 1985; </w:t>
      </w:r>
      <w:proofErr w:type="spellStart"/>
      <w:r w:rsidRPr="00D72F27">
        <w:rPr>
          <w:rFonts w:ascii="Arial" w:hAnsi="Arial" w:cs="Arial"/>
        </w:rPr>
        <w:t>Egnankou</w:t>
      </w:r>
      <w:proofErr w:type="spellEnd"/>
      <w:r w:rsidRPr="00D72F27">
        <w:rPr>
          <w:rFonts w:ascii="Arial" w:hAnsi="Arial" w:cs="Arial"/>
        </w:rPr>
        <w:t xml:space="preserve"> et al., 2021). Floating invasive macrophytes such as </w:t>
      </w:r>
      <w:proofErr w:type="spellStart"/>
      <w:r w:rsidRPr="00D72F27">
        <w:rPr>
          <w:rFonts w:ascii="Arial" w:hAnsi="Arial" w:cs="Arial"/>
          <w:i/>
          <w:iCs/>
        </w:rPr>
        <w:t>Eichhornia</w:t>
      </w:r>
      <w:proofErr w:type="spellEnd"/>
      <w:r w:rsidRPr="00D72F27">
        <w:rPr>
          <w:rFonts w:ascii="Arial" w:hAnsi="Arial" w:cs="Arial"/>
          <w:i/>
          <w:iCs/>
        </w:rPr>
        <w:t xml:space="preserve"> </w:t>
      </w:r>
      <w:proofErr w:type="spellStart"/>
      <w:r w:rsidRPr="00D72F27">
        <w:rPr>
          <w:rFonts w:ascii="Arial" w:hAnsi="Arial" w:cs="Arial"/>
          <w:i/>
          <w:iCs/>
        </w:rPr>
        <w:t>crassipes</w:t>
      </w:r>
      <w:proofErr w:type="spellEnd"/>
      <w:r w:rsidRPr="00D72F27">
        <w:rPr>
          <w:rFonts w:ascii="Arial" w:hAnsi="Arial" w:cs="Arial"/>
        </w:rPr>
        <w:t xml:space="preserve"> and </w:t>
      </w:r>
      <w:proofErr w:type="spellStart"/>
      <w:r w:rsidRPr="00D72F27">
        <w:rPr>
          <w:rFonts w:ascii="Arial" w:hAnsi="Arial" w:cs="Arial"/>
        </w:rPr>
        <w:t>Pistia</w:t>
      </w:r>
      <w:proofErr w:type="spellEnd"/>
      <w:r w:rsidRPr="00D72F27">
        <w:rPr>
          <w:rFonts w:ascii="Arial" w:hAnsi="Arial" w:cs="Arial"/>
        </w:rPr>
        <w:t xml:space="preserve"> stratiotes are common in nutrient-enriched waters (</w:t>
      </w:r>
      <w:proofErr w:type="spellStart"/>
      <w:r w:rsidRPr="00D72F27">
        <w:rPr>
          <w:rFonts w:ascii="Arial" w:hAnsi="Arial" w:cs="Arial"/>
        </w:rPr>
        <w:t>Egnankou</w:t>
      </w:r>
      <w:proofErr w:type="spellEnd"/>
      <w:r w:rsidRPr="00D72F27">
        <w:rPr>
          <w:rFonts w:ascii="Arial" w:hAnsi="Arial" w:cs="Arial"/>
        </w:rPr>
        <w:t xml:space="preserve"> et al., 2021). Transitional zones host semi-aquatic and terrestrial species, while numerous introduced and cultivated plants are established along inhabited shores (Boussou et al., 2019). According to local community leaders, the bay was almost entirely surrounded by dense stands of R. racemosa in the 1980s. However, large-scale harvesting for fish smoking and bakery fuel, combined with negative perceptions of mangroves as mosquito habitats, resulted in significant deforestation and ecosystem degradation.</w:t>
      </w:r>
    </w:p>
    <w:p w14:paraId="73434147" w14:textId="75381857" w:rsidR="006D183A" w:rsidRPr="00D72F27" w:rsidRDefault="006D183A" w:rsidP="006D183A">
      <w:pPr>
        <w:pStyle w:val="Body"/>
        <w:spacing w:after="0"/>
        <w:rPr>
          <w:rFonts w:ascii="Arial" w:hAnsi="Arial" w:cs="Arial"/>
        </w:rPr>
      </w:pPr>
      <w:r w:rsidRPr="00D72F27">
        <w:rPr>
          <w:rFonts w:ascii="Arial" w:hAnsi="Arial" w:cs="Arial"/>
        </w:rPr>
        <w:t xml:space="preserve">The faunal community includes benthic mollusks, burrowing crabs, and juvenile fish that use mangrove roots as nurseries (Gomez, 1975; </w:t>
      </w:r>
      <w:proofErr w:type="spellStart"/>
      <w:r w:rsidRPr="00D72F27">
        <w:rPr>
          <w:rFonts w:ascii="Arial" w:hAnsi="Arial" w:cs="Arial"/>
        </w:rPr>
        <w:t>Egnankou</w:t>
      </w:r>
      <w:proofErr w:type="spellEnd"/>
      <w:r w:rsidRPr="00D72F27">
        <w:rPr>
          <w:rFonts w:ascii="Arial" w:hAnsi="Arial" w:cs="Arial"/>
        </w:rPr>
        <w:t>, 1985). The bay also supports both resident and migratory bird species (</w:t>
      </w:r>
      <w:proofErr w:type="spellStart"/>
      <w:r w:rsidRPr="00D72F27">
        <w:rPr>
          <w:rFonts w:ascii="Arial" w:hAnsi="Arial" w:cs="Arial"/>
        </w:rPr>
        <w:t>Egnankou</w:t>
      </w:r>
      <w:proofErr w:type="spellEnd"/>
      <w:r w:rsidRPr="00D72F27">
        <w:rPr>
          <w:rFonts w:ascii="Arial" w:hAnsi="Arial" w:cs="Arial"/>
        </w:rPr>
        <w:t xml:space="preserve">, 2007). Current human activities include artisanal fishing, market gardening, livestock farming, and small-scale trade by both indigenous and migrant populations (Affian et al., 2009). Together with urban encroachment and pollution, these practices contribute to the continuous decline of mangrove cover and functionality in </w:t>
      </w:r>
      <w:proofErr w:type="spellStart"/>
      <w:r w:rsidRPr="00D72F27">
        <w:rPr>
          <w:rFonts w:ascii="Arial" w:hAnsi="Arial" w:cs="Arial"/>
        </w:rPr>
        <w:t>Abouabou</w:t>
      </w:r>
      <w:proofErr w:type="spellEnd"/>
      <w:r w:rsidRPr="00D72F27">
        <w:rPr>
          <w:rFonts w:ascii="Arial" w:hAnsi="Arial" w:cs="Arial"/>
        </w:rPr>
        <w:t xml:space="preserve"> Bay.</w:t>
      </w:r>
    </w:p>
    <w:p w14:paraId="179274EA" w14:textId="706742C5" w:rsidR="006D183A" w:rsidRPr="002F5190" w:rsidRDefault="006D183A" w:rsidP="00441B6F">
      <w:pPr>
        <w:pStyle w:val="Body"/>
        <w:spacing w:after="0"/>
        <w:rPr>
          <w:rFonts w:ascii="Arial" w:hAnsi="Arial" w:cs="Arial"/>
          <w:sz w:val="22"/>
          <w:szCs w:val="22"/>
        </w:rPr>
      </w:pPr>
    </w:p>
    <w:p w14:paraId="30751930" w14:textId="6EC5F017" w:rsidR="00357E63" w:rsidRPr="002F5190" w:rsidRDefault="00357E63" w:rsidP="00357E63">
      <w:pPr>
        <w:pStyle w:val="Body"/>
        <w:rPr>
          <w:rFonts w:ascii="Arial" w:hAnsi="Arial" w:cs="Arial"/>
          <w:sz w:val="22"/>
          <w:szCs w:val="22"/>
        </w:rPr>
      </w:pPr>
      <w:r w:rsidRPr="002F5190">
        <w:rPr>
          <w:rFonts w:ascii="Arial" w:hAnsi="Arial" w:cs="Arial"/>
          <w:b/>
          <w:caps/>
          <w:sz w:val="22"/>
          <w:szCs w:val="22"/>
        </w:rPr>
        <w:t xml:space="preserve">2.2. </w:t>
      </w:r>
      <w:r w:rsidRPr="002F5190">
        <w:rPr>
          <w:rFonts w:ascii="Arial" w:hAnsi="Arial" w:cs="Arial"/>
          <w:b/>
          <w:sz w:val="22"/>
          <w:szCs w:val="22"/>
        </w:rPr>
        <w:t>Study sites</w:t>
      </w:r>
    </w:p>
    <w:p w14:paraId="1754168A" w14:textId="623D2CE2" w:rsidR="00357E63" w:rsidRPr="00D72F27" w:rsidRDefault="00357E63" w:rsidP="00357E63">
      <w:pPr>
        <w:pStyle w:val="Body"/>
        <w:rPr>
          <w:rFonts w:ascii="Arial" w:hAnsi="Arial" w:cs="Arial"/>
        </w:rPr>
      </w:pPr>
      <w:r w:rsidRPr="00D72F27">
        <w:rPr>
          <w:rFonts w:ascii="Arial" w:hAnsi="Arial" w:cs="Arial"/>
        </w:rPr>
        <w:t xml:space="preserve">The research was carried out along the southern shoreline of </w:t>
      </w:r>
      <w:proofErr w:type="spellStart"/>
      <w:r w:rsidRPr="00D72F27">
        <w:rPr>
          <w:rFonts w:ascii="Arial" w:hAnsi="Arial" w:cs="Arial"/>
        </w:rPr>
        <w:t>Abouabou</w:t>
      </w:r>
      <w:proofErr w:type="spellEnd"/>
      <w:r w:rsidRPr="00D72F27">
        <w:rPr>
          <w:rFonts w:ascii="Arial" w:hAnsi="Arial" w:cs="Arial"/>
        </w:rPr>
        <w:t xml:space="preserve"> Bay, within the peri-urban village of Amangoua-Koi. Seven contiguous coastal sectors were distinguished for sampling: </w:t>
      </w:r>
      <w:r w:rsidR="00855BFE">
        <w:rPr>
          <w:rFonts w:ascii="Arial" w:hAnsi="Arial" w:cs="Arial"/>
        </w:rPr>
        <w:t>Aero-canal</w:t>
      </w:r>
      <w:r w:rsidRPr="00D72F27">
        <w:rPr>
          <w:rFonts w:ascii="Arial" w:hAnsi="Arial" w:cs="Arial"/>
        </w:rPr>
        <w:t xml:space="preserve">, </w:t>
      </w:r>
      <w:proofErr w:type="spellStart"/>
      <w:r w:rsidRPr="00D72F27">
        <w:rPr>
          <w:rFonts w:ascii="Arial" w:hAnsi="Arial" w:cs="Arial"/>
        </w:rPr>
        <w:t>Amangoua</w:t>
      </w:r>
      <w:proofErr w:type="spellEnd"/>
      <w:r w:rsidRPr="00D72F27">
        <w:rPr>
          <w:rFonts w:ascii="Arial" w:hAnsi="Arial" w:cs="Arial"/>
        </w:rPr>
        <w:t xml:space="preserve">-Koi, </w:t>
      </w:r>
      <w:proofErr w:type="spellStart"/>
      <w:r w:rsidRPr="00D72F27">
        <w:rPr>
          <w:rFonts w:ascii="Arial" w:hAnsi="Arial" w:cs="Arial"/>
        </w:rPr>
        <w:t>Darakodji</w:t>
      </w:r>
      <w:proofErr w:type="spellEnd"/>
      <w:r w:rsidRPr="00D72F27">
        <w:rPr>
          <w:rFonts w:ascii="Arial" w:hAnsi="Arial" w:cs="Arial"/>
        </w:rPr>
        <w:t xml:space="preserve">, </w:t>
      </w:r>
      <w:proofErr w:type="spellStart"/>
      <w:r w:rsidRPr="00D72F27">
        <w:rPr>
          <w:rFonts w:ascii="Arial" w:hAnsi="Arial" w:cs="Arial"/>
        </w:rPr>
        <w:t>Agnikro</w:t>
      </w:r>
      <w:proofErr w:type="spellEnd"/>
      <w:r w:rsidRPr="00D72F27">
        <w:rPr>
          <w:rFonts w:ascii="Arial" w:hAnsi="Arial" w:cs="Arial"/>
        </w:rPr>
        <w:t xml:space="preserve">, </w:t>
      </w:r>
      <w:proofErr w:type="spellStart"/>
      <w:r w:rsidRPr="00D72F27">
        <w:rPr>
          <w:rFonts w:ascii="Arial" w:hAnsi="Arial" w:cs="Arial"/>
        </w:rPr>
        <w:t>Abbeykro</w:t>
      </w:r>
      <w:proofErr w:type="spellEnd"/>
      <w:r w:rsidRPr="00D72F27">
        <w:rPr>
          <w:rFonts w:ascii="Arial" w:hAnsi="Arial" w:cs="Arial"/>
        </w:rPr>
        <w:t xml:space="preserve">, </w:t>
      </w:r>
      <w:proofErr w:type="spellStart"/>
      <w:r w:rsidRPr="00D72F27">
        <w:rPr>
          <w:rFonts w:ascii="Arial" w:hAnsi="Arial" w:cs="Arial"/>
        </w:rPr>
        <w:t>Abouabou</w:t>
      </w:r>
      <w:proofErr w:type="spellEnd"/>
      <w:r w:rsidRPr="00D72F27">
        <w:rPr>
          <w:rFonts w:ascii="Arial" w:hAnsi="Arial" w:cs="Arial"/>
        </w:rPr>
        <w:t xml:space="preserve">, and </w:t>
      </w:r>
      <w:proofErr w:type="spellStart"/>
      <w:r w:rsidRPr="00D72F27">
        <w:rPr>
          <w:rFonts w:ascii="Arial" w:hAnsi="Arial" w:cs="Arial"/>
        </w:rPr>
        <w:t>Kamboukro</w:t>
      </w:r>
      <w:proofErr w:type="spellEnd"/>
      <w:r w:rsidRPr="00D72F27">
        <w:rPr>
          <w:rFonts w:ascii="Arial" w:hAnsi="Arial" w:cs="Arial"/>
        </w:rPr>
        <w:t xml:space="preserve"> (Fig. </w:t>
      </w:r>
      <w:r w:rsidR="00752627" w:rsidRPr="00D72F27">
        <w:rPr>
          <w:rFonts w:ascii="Arial" w:hAnsi="Arial" w:cs="Arial"/>
        </w:rPr>
        <w:t>2</w:t>
      </w:r>
      <w:r w:rsidRPr="00D72F27">
        <w:rPr>
          <w:rFonts w:ascii="Arial" w:hAnsi="Arial" w:cs="Arial"/>
        </w:rPr>
        <w:t xml:space="preserve">). These </w:t>
      </w:r>
      <w:r w:rsidR="00961289" w:rsidRPr="00D72F27">
        <w:rPr>
          <w:rFonts w:ascii="Arial" w:hAnsi="Arial" w:cs="Arial"/>
        </w:rPr>
        <w:t xml:space="preserve">sectors </w:t>
      </w:r>
      <w:r w:rsidR="00B825D5" w:rsidRPr="00D72F27">
        <w:rPr>
          <w:rFonts w:ascii="Arial" w:hAnsi="Arial" w:cs="Arial"/>
        </w:rPr>
        <w:t>are subject to varying levels of anthropogenic disturbance</w:t>
      </w:r>
      <w:r w:rsidRPr="00D72F27">
        <w:rPr>
          <w:rFonts w:ascii="Arial" w:hAnsi="Arial" w:cs="Arial"/>
        </w:rPr>
        <w:t>. Pressures include progressive urban encroachment, discharge of household and industrial wastes, artisanal fishing activities, and small-scale agricultural practices. Together, these conditions create a heterogeneous socio-ecological mosaic, providing an appropriate framework for evaluating mangrove responses to increasing disturbance gradients.</w:t>
      </w:r>
    </w:p>
    <w:p w14:paraId="477990DE" w14:textId="299B1957" w:rsidR="004F7A20" w:rsidRPr="00D72F27" w:rsidRDefault="00357E63" w:rsidP="00752627">
      <w:pPr>
        <w:pStyle w:val="Body"/>
        <w:spacing w:after="0"/>
        <w:rPr>
          <w:rFonts w:ascii="Arial" w:hAnsi="Arial" w:cs="Arial"/>
        </w:rPr>
      </w:pPr>
      <w:r w:rsidRPr="00D72F27">
        <w:rPr>
          <w:rFonts w:ascii="Arial" w:hAnsi="Arial" w:cs="Arial"/>
        </w:rPr>
        <w:t xml:space="preserve">To capture local-scale variation in </w:t>
      </w:r>
      <w:r w:rsidR="00961289" w:rsidRPr="00D72F27">
        <w:rPr>
          <w:rFonts w:ascii="Arial" w:hAnsi="Arial" w:cs="Arial"/>
        </w:rPr>
        <w:t xml:space="preserve">anthropogenic pressures </w:t>
      </w:r>
      <w:r w:rsidRPr="00D72F27">
        <w:rPr>
          <w:rFonts w:ascii="Arial" w:hAnsi="Arial" w:cs="Arial"/>
        </w:rPr>
        <w:t>and stand structure</w:t>
      </w:r>
      <w:r w:rsidR="00961289" w:rsidRPr="00D72F27">
        <w:rPr>
          <w:rFonts w:ascii="Arial" w:hAnsi="Arial" w:cs="Arial"/>
        </w:rPr>
        <w:t xml:space="preserve"> of </w:t>
      </w:r>
      <w:r w:rsidR="00961289" w:rsidRPr="00D72F27">
        <w:rPr>
          <w:rFonts w:ascii="Arial" w:hAnsi="Arial" w:cs="Arial"/>
          <w:i/>
          <w:iCs/>
        </w:rPr>
        <w:t>Rhizophora racemosa</w:t>
      </w:r>
      <w:r w:rsidRPr="00D72F27">
        <w:rPr>
          <w:rFonts w:ascii="Arial" w:hAnsi="Arial" w:cs="Arial"/>
        </w:rPr>
        <w:t xml:space="preserve">, </w:t>
      </w:r>
      <w:r w:rsidR="004F7A20" w:rsidRPr="00D72F27">
        <w:t>three study sites were delineated</w:t>
      </w:r>
      <w:r w:rsidR="00EC4AC2" w:rsidRPr="00D72F27">
        <w:t xml:space="preserve"> for each sector</w:t>
      </w:r>
      <w:r w:rsidR="00901645" w:rsidRPr="00D72F27">
        <w:t xml:space="preserve">. </w:t>
      </w:r>
      <w:r w:rsidR="00EC4AC2" w:rsidRPr="00D72F27">
        <w:rPr>
          <w:rFonts w:ascii="Arial" w:hAnsi="Arial" w:cs="Arial"/>
        </w:rPr>
        <w:t xml:space="preserve">Site selection was guided by the presence of relatively continuous mangrove stands, thereby allowing meaningful comparisons of floristic diversity, forest stratification, and biomass stocks under different disturbance regimes. </w:t>
      </w:r>
      <w:r w:rsidR="00901645" w:rsidRPr="00D72F27">
        <w:rPr>
          <w:rFonts w:ascii="Arial" w:hAnsi="Arial" w:cs="Arial"/>
        </w:rPr>
        <w:t xml:space="preserve">Due to accessibility constraints, only two sites could be installed at </w:t>
      </w:r>
      <w:proofErr w:type="spellStart"/>
      <w:r w:rsidR="00901645" w:rsidRPr="00D72F27">
        <w:rPr>
          <w:rFonts w:ascii="Arial" w:hAnsi="Arial" w:cs="Arial"/>
        </w:rPr>
        <w:t>Darakodji</w:t>
      </w:r>
      <w:proofErr w:type="spellEnd"/>
      <w:r w:rsidR="00901645" w:rsidRPr="00D72F27">
        <w:rPr>
          <w:rFonts w:ascii="Arial" w:hAnsi="Arial" w:cs="Arial"/>
        </w:rPr>
        <w:t xml:space="preserve">, and a single </w:t>
      </w:r>
      <w:r w:rsidR="00EC4AC2" w:rsidRPr="00D72F27">
        <w:rPr>
          <w:rFonts w:ascii="Arial" w:hAnsi="Arial" w:cs="Arial"/>
        </w:rPr>
        <w:t>site</w:t>
      </w:r>
      <w:r w:rsidR="00901645" w:rsidRPr="00D72F27">
        <w:rPr>
          <w:rFonts w:ascii="Arial" w:hAnsi="Arial" w:cs="Arial"/>
        </w:rPr>
        <w:t xml:space="preserve"> at </w:t>
      </w:r>
      <w:proofErr w:type="spellStart"/>
      <w:r w:rsidR="00901645" w:rsidRPr="00D72F27">
        <w:rPr>
          <w:rFonts w:ascii="Arial" w:hAnsi="Arial" w:cs="Arial"/>
        </w:rPr>
        <w:t>Abouabou</w:t>
      </w:r>
      <w:proofErr w:type="spellEnd"/>
      <w:r w:rsidR="00901645" w:rsidRPr="00D72F27">
        <w:rPr>
          <w:rFonts w:ascii="Arial" w:hAnsi="Arial" w:cs="Arial"/>
        </w:rPr>
        <w:t xml:space="preserve">. </w:t>
      </w:r>
      <w:r w:rsidR="00901645" w:rsidRPr="00D72F27">
        <w:t xml:space="preserve">Thus, a total of 18 </w:t>
      </w:r>
      <w:r w:rsidR="00EC4AC2" w:rsidRPr="00D72F27">
        <w:t>sites</w:t>
      </w:r>
      <w:r w:rsidR="00901645" w:rsidRPr="00D72F27">
        <w:t xml:space="preserve"> were established across the seven sectors</w:t>
      </w:r>
      <w:r w:rsidR="00EC4AC2" w:rsidRPr="00D72F27">
        <w:t xml:space="preserve">. </w:t>
      </w:r>
      <w:r w:rsidR="00EC4AC2" w:rsidRPr="00D72F27">
        <w:rPr>
          <w:rFonts w:ascii="Arial" w:hAnsi="Arial" w:cs="Arial"/>
        </w:rPr>
        <w:t xml:space="preserve">Each site covered an area of 1 ha (100 m × 100 m), oriented perpendicularly from the lagoon edge toward the hinterland. </w:t>
      </w:r>
      <w:r w:rsidR="00901645" w:rsidRPr="00D72F27">
        <w:rPr>
          <w:rFonts w:ascii="Arial" w:hAnsi="Arial" w:cs="Arial"/>
        </w:rPr>
        <w:t>In sectors with multiple sites, they were positioned 100 m apart to reduce spatial autocorrelation while ensuring representation of intra-sector heterogeneity.</w:t>
      </w:r>
    </w:p>
    <w:p w14:paraId="3E27F8E5" w14:textId="77777777" w:rsidR="00752627" w:rsidRPr="002F5190" w:rsidRDefault="00752627" w:rsidP="00752627">
      <w:pPr>
        <w:pStyle w:val="Body"/>
        <w:spacing w:after="0"/>
        <w:rPr>
          <w:rFonts w:ascii="Arial" w:hAnsi="Arial" w:cs="Arial"/>
          <w:sz w:val="22"/>
          <w:szCs w:val="22"/>
        </w:rPr>
      </w:pPr>
    </w:p>
    <w:p w14:paraId="705E8A7B" w14:textId="58BF5535" w:rsidR="00530B8F" w:rsidRPr="002F5190" w:rsidRDefault="00530B8F" w:rsidP="00530B8F">
      <w:pPr>
        <w:pStyle w:val="Body"/>
        <w:rPr>
          <w:rFonts w:ascii="Arial" w:hAnsi="Arial" w:cs="Arial"/>
          <w:sz w:val="22"/>
          <w:szCs w:val="22"/>
        </w:rPr>
      </w:pPr>
      <w:bookmarkStart w:id="8" w:name="_Hlk206217925"/>
      <w:r w:rsidRPr="002F5190">
        <w:rPr>
          <w:rFonts w:ascii="Arial" w:hAnsi="Arial" w:cs="Arial"/>
          <w:b/>
          <w:caps/>
          <w:sz w:val="22"/>
          <w:szCs w:val="22"/>
        </w:rPr>
        <w:t xml:space="preserve">2.3. </w:t>
      </w:r>
      <w:r w:rsidRPr="002F5190">
        <w:rPr>
          <w:rFonts w:ascii="Arial" w:hAnsi="Arial" w:cs="Arial"/>
          <w:b/>
          <w:sz w:val="22"/>
          <w:szCs w:val="22"/>
        </w:rPr>
        <w:t>Assessment of anthropogenic pressure</w:t>
      </w:r>
      <w:r w:rsidR="00775668" w:rsidRPr="002F5190">
        <w:rPr>
          <w:rFonts w:ascii="Arial" w:hAnsi="Arial" w:cs="Arial"/>
          <w:b/>
          <w:sz w:val="22"/>
          <w:szCs w:val="22"/>
        </w:rPr>
        <w:t>s</w:t>
      </w:r>
    </w:p>
    <w:bookmarkEnd w:id="8"/>
    <w:p w14:paraId="5D6CF6EE" w14:textId="00B43289" w:rsidR="006C192D" w:rsidRPr="006C192D" w:rsidRDefault="006C192D" w:rsidP="006C192D">
      <w:pPr>
        <w:pStyle w:val="Body"/>
        <w:rPr>
          <w:rFonts w:ascii="Arial" w:hAnsi="Arial" w:cs="Arial"/>
        </w:rPr>
      </w:pPr>
      <w:r w:rsidRPr="006C192D">
        <w:rPr>
          <w:rFonts w:ascii="Arial" w:hAnsi="Arial" w:cs="Arial"/>
        </w:rPr>
        <w:t>To assess the spatial variability of human disturbance, we adopted a standardized protocol based on direct field observations conducted systematically along all sites in each of the seven sectors. Two main categories of pressures were considered: (</w:t>
      </w:r>
      <w:proofErr w:type="spellStart"/>
      <w:r w:rsidRPr="006C192D">
        <w:rPr>
          <w:rFonts w:ascii="Arial" w:hAnsi="Arial" w:cs="Arial"/>
        </w:rPr>
        <w:t>i</w:t>
      </w:r>
      <w:proofErr w:type="spellEnd"/>
      <w:r w:rsidRPr="006C192D">
        <w:rPr>
          <w:rFonts w:ascii="Arial" w:hAnsi="Arial" w:cs="Arial"/>
        </w:rPr>
        <w:t xml:space="preserve">) physical infrastructures, including transport facilities, recreational and event structures, agricultural and livestock facilities, and water and sanitation installations; and (ii) pollution sources, such as organic waste, plastic debris, chemical residues, and physical waste deposits. These categories were selected because they represent the most visible and recurrent forms of human disturbance in West African mangroves and are directly linked to changes in forest </w:t>
      </w:r>
      <w:r w:rsidRPr="006C192D">
        <w:rPr>
          <w:rFonts w:ascii="Arial" w:hAnsi="Arial" w:cs="Arial"/>
        </w:rPr>
        <w:lastRenderedPageBreak/>
        <w:t>structure, floristic composition, and carbon dynamics (</w:t>
      </w:r>
      <w:proofErr w:type="spellStart"/>
      <w:r w:rsidRPr="006C192D">
        <w:rPr>
          <w:rFonts w:ascii="Arial" w:hAnsi="Arial" w:cs="Arial"/>
        </w:rPr>
        <w:t>Ajonina</w:t>
      </w:r>
      <w:proofErr w:type="spellEnd"/>
      <w:r w:rsidRPr="006C192D">
        <w:rPr>
          <w:rFonts w:ascii="Arial" w:hAnsi="Arial" w:cs="Arial"/>
        </w:rPr>
        <w:t xml:space="preserve"> et al., 2008; </w:t>
      </w:r>
      <w:r w:rsidR="007E223C" w:rsidRPr="007E223C">
        <w:rPr>
          <w:rFonts w:ascii="Arial" w:hAnsi="Arial" w:cs="Arial"/>
        </w:rPr>
        <w:t>Rovai et al., 2018</w:t>
      </w:r>
      <w:r w:rsidR="007E223C">
        <w:rPr>
          <w:rFonts w:ascii="Arial" w:hAnsi="Arial" w:cs="Arial"/>
        </w:rPr>
        <w:t xml:space="preserve">; </w:t>
      </w:r>
      <w:r w:rsidRPr="006C192D">
        <w:rPr>
          <w:rFonts w:ascii="Arial" w:hAnsi="Arial" w:cs="Arial"/>
        </w:rPr>
        <w:t>Friess et al., 20</w:t>
      </w:r>
      <w:r w:rsidR="005D3AC7">
        <w:rPr>
          <w:rFonts w:ascii="Arial" w:hAnsi="Arial" w:cs="Arial"/>
        </w:rPr>
        <w:t>20</w:t>
      </w:r>
      <w:r w:rsidRPr="006C192D">
        <w:rPr>
          <w:rFonts w:ascii="Arial" w:hAnsi="Arial" w:cs="Arial"/>
        </w:rPr>
        <w:t>).</w:t>
      </w:r>
    </w:p>
    <w:p w14:paraId="3849E646" w14:textId="3A6CC48B" w:rsidR="006C192D" w:rsidRPr="006C192D" w:rsidRDefault="006C192D" w:rsidP="006C192D">
      <w:pPr>
        <w:pStyle w:val="Body"/>
        <w:rPr>
          <w:rFonts w:ascii="Arial" w:hAnsi="Arial" w:cs="Arial"/>
        </w:rPr>
      </w:pPr>
      <w:r w:rsidRPr="006C192D">
        <w:rPr>
          <w:rFonts w:ascii="Arial" w:hAnsi="Arial" w:cs="Arial"/>
        </w:rPr>
        <w:t>For each study site, the presence or absence of these variables was recorded in the field using standardized observation sheets</w:t>
      </w:r>
      <w:r w:rsidR="00342F39">
        <w:rPr>
          <w:rFonts w:ascii="Arial" w:hAnsi="Arial" w:cs="Arial"/>
        </w:rPr>
        <w:t xml:space="preserve"> (Appendix 1)</w:t>
      </w:r>
      <w:r w:rsidRPr="006C192D">
        <w:rPr>
          <w:rFonts w:ascii="Arial" w:hAnsi="Arial" w:cs="Arial"/>
        </w:rPr>
        <w:t>. This approach enabled systematic documentation of anthropogenic pressures and their distribution across the disturbance gradient. While the method focused on the occurrence and typology of pressures, it did not quantify their intensity (e.g., volume or mass of deposited waste), which could have provided additional insights into ecological impacts. This choice was deliberate, as it ensured comparability across sites with highly heterogeneous conditions and reduced biases linked to temporal fluctuations in waste accumulation.</w:t>
      </w:r>
    </w:p>
    <w:p w14:paraId="26200D08" w14:textId="141B3329" w:rsidR="00752627" w:rsidRDefault="006C192D" w:rsidP="006C192D">
      <w:pPr>
        <w:pStyle w:val="Body"/>
        <w:spacing w:after="0"/>
        <w:rPr>
          <w:rFonts w:ascii="Arial" w:hAnsi="Arial" w:cs="Arial"/>
        </w:rPr>
      </w:pPr>
      <w:r w:rsidRPr="006C192D">
        <w:rPr>
          <w:rFonts w:ascii="Arial" w:hAnsi="Arial" w:cs="Arial"/>
        </w:rPr>
        <w:t>Note that, for the assessment of human infrastructures, observations were made across the entire study site (1 ha). Concerning the assessment of pollution, a 100 m x 10 m transect, starting from the coastline, was established within each site.</w:t>
      </w:r>
    </w:p>
    <w:p w14:paraId="72865E2B" w14:textId="77777777" w:rsidR="006C192D" w:rsidRPr="002F5190" w:rsidRDefault="006C192D" w:rsidP="006C192D">
      <w:pPr>
        <w:pStyle w:val="Body"/>
        <w:spacing w:after="0"/>
        <w:rPr>
          <w:sz w:val="22"/>
          <w:szCs w:val="22"/>
        </w:rPr>
      </w:pPr>
    </w:p>
    <w:p w14:paraId="68EFA2EC" w14:textId="507507E4" w:rsidR="00C73915" w:rsidRPr="002F5190" w:rsidRDefault="002C1D87" w:rsidP="00C73915">
      <w:pPr>
        <w:pStyle w:val="Body"/>
        <w:rPr>
          <w:rFonts w:ascii="Arial" w:hAnsi="Arial" w:cs="Arial"/>
          <w:b/>
          <w:bCs/>
          <w:sz w:val="22"/>
          <w:szCs w:val="22"/>
        </w:rPr>
      </w:pPr>
      <w:r w:rsidRPr="002F5190">
        <w:rPr>
          <w:rFonts w:ascii="Arial" w:hAnsi="Arial" w:cs="Arial"/>
          <w:b/>
          <w:bCs/>
          <w:sz w:val="22"/>
          <w:szCs w:val="22"/>
        </w:rPr>
        <w:t>2.</w:t>
      </w:r>
      <w:r w:rsidR="00BC57E7" w:rsidRPr="002F5190">
        <w:rPr>
          <w:rFonts w:ascii="Arial" w:hAnsi="Arial" w:cs="Arial"/>
          <w:b/>
          <w:bCs/>
          <w:sz w:val="22"/>
          <w:szCs w:val="22"/>
        </w:rPr>
        <w:t>4</w:t>
      </w:r>
      <w:r w:rsidRPr="002F5190">
        <w:rPr>
          <w:rFonts w:ascii="Arial" w:hAnsi="Arial" w:cs="Arial"/>
          <w:b/>
          <w:bCs/>
          <w:sz w:val="22"/>
          <w:szCs w:val="22"/>
        </w:rPr>
        <w:t xml:space="preserve">. </w:t>
      </w:r>
      <w:r w:rsidR="00C73915" w:rsidRPr="002F5190">
        <w:rPr>
          <w:rFonts w:ascii="Arial" w:hAnsi="Arial" w:cs="Arial"/>
          <w:b/>
          <w:bCs/>
          <w:sz w:val="22"/>
          <w:szCs w:val="22"/>
        </w:rPr>
        <w:t xml:space="preserve">Structural assessment of </w:t>
      </w:r>
      <w:r w:rsidR="00C73915" w:rsidRPr="002F5190">
        <w:rPr>
          <w:rFonts w:ascii="Arial" w:hAnsi="Arial" w:cs="Arial"/>
          <w:b/>
          <w:bCs/>
          <w:i/>
          <w:iCs/>
          <w:sz w:val="22"/>
          <w:szCs w:val="22"/>
        </w:rPr>
        <w:t>Rhizophora racemosa</w:t>
      </w:r>
      <w:r w:rsidR="00C73915" w:rsidRPr="002F5190">
        <w:rPr>
          <w:rFonts w:ascii="Arial" w:hAnsi="Arial" w:cs="Arial"/>
          <w:b/>
          <w:bCs/>
          <w:sz w:val="22"/>
          <w:szCs w:val="22"/>
        </w:rPr>
        <w:t xml:space="preserve"> stands</w:t>
      </w:r>
    </w:p>
    <w:bookmarkEnd w:id="6"/>
    <w:p w14:paraId="269C46B1" w14:textId="2D18142B" w:rsidR="006C192D" w:rsidRPr="00AD224B" w:rsidRDefault="006C192D" w:rsidP="006C192D">
      <w:pPr>
        <w:pStyle w:val="Body"/>
        <w:rPr>
          <w:rFonts w:ascii="Arial" w:hAnsi="Arial" w:cs="Arial"/>
        </w:rPr>
      </w:pPr>
      <w:r w:rsidRPr="00AD224B">
        <w:rPr>
          <w:rFonts w:ascii="Arial" w:hAnsi="Arial" w:cs="Arial"/>
        </w:rPr>
        <w:t xml:space="preserve">Each transect was subdivided into three plots measuring 20 m × 10 m (200 m² each). In each plot, all </w:t>
      </w:r>
      <w:r w:rsidRPr="00AD224B">
        <w:rPr>
          <w:rFonts w:ascii="Arial" w:hAnsi="Arial" w:cs="Arial"/>
          <w:i/>
          <w:iCs/>
        </w:rPr>
        <w:t>Rhizophora racemosa</w:t>
      </w:r>
      <w:r w:rsidRPr="00AD224B">
        <w:rPr>
          <w:rFonts w:ascii="Arial" w:hAnsi="Arial" w:cs="Arial"/>
        </w:rPr>
        <w:t xml:space="preserve"> trees with a diameter at breast height (DBH) of ≥ 5 cm were counted and measured. For each tree, total height (H, m) and </w:t>
      </w:r>
      <w:r w:rsidR="00A97A7B">
        <w:rPr>
          <w:rFonts w:ascii="Arial" w:hAnsi="Arial" w:cs="Arial"/>
        </w:rPr>
        <w:t xml:space="preserve">stem </w:t>
      </w:r>
      <w:r w:rsidRPr="00AD224B">
        <w:rPr>
          <w:rFonts w:ascii="Arial" w:hAnsi="Arial" w:cs="Arial"/>
        </w:rPr>
        <w:t>circumference at breast height (CBH, cm) were recorded</w:t>
      </w:r>
      <w:r w:rsidR="000218B6">
        <w:rPr>
          <w:rFonts w:ascii="Arial" w:hAnsi="Arial" w:cs="Arial"/>
        </w:rPr>
        <w:t xml:space="preserve"> (Appendix 2)</w:t>
      </w:r>
      <w:r w:rsidRPr="00AD224B">
        <w:rPr>
          <w:rFonts w:ascii="Arial" w:hAnsi="Arial" w:cs="Arial"/>
        </w:rPr>
        <w:t>. When the standard breast height position (1.3 m above ground) was above stilt roots, CBH was measured just above the highest stilt root, following Kauffman &amp; Donato (2012). All these measurements were performed using diameter tapes and graduated poles.</w:t>
      </w:r>
    </w:p>
    <w:p w14:paraId="5450B962" w14:textId="22C4FB50" w:rsidR="006C192D" w:rsidRPr="00AD224B" w:rsidRDefault="005D7677" w:rsidP="006C192D">
      <w:pPr>
        <w:spacing w:after="120"/>
        <w:jc w:val="both"/>
        <w:rPr>
          <w:rFonts w:ascii="Arial" w:hAnsi="Arial" w:cs="Arial"/>
          <w:b/>
          <w:bCs/>
        </w:rPr>
      </w:pPr>
      <w:r>
        <w:rPr>
          <w:rFonts w:ascii="Arial" w:hAnsi="Arial" w:cs="Arial"/>
          <w:b/>
          <w:bCs/>
        </w:rPr>
        <w:t>Determination of t</w:t>
      </w:r>
      <w:r w:rsidR="006C192D" w:rsidRPr="00AD224B">
        <w:rPr>
          <w:rFonts w:ascii="Arial" w:hAnsi="Arial" w:cs="Arial"/>
          <w:b/>
          <w:bCs/>
        </w:rPr>
        <w:t>otal tree density (D)</w:t>
      </w:r>
    </w:p>
    <w:p w14:paraId="37E4D093" w14:textId="77777777" w:rsidR="006C192D" w:rsidRPr="00AD224B" w:rsidRDefault="006C192D" w:rsidP="006C192D">
      <w:pPr>
        <w:spacing w:after="120"/>
        <w:jc w:val="both"/>
        <w:rPr>
          <w:rFonts w:ascii="Arial" w:hAnsi="Arial" w:cs="Arial"/>
        </w:rPr>
      </w:pPr>
      <w:r w:rsidRPr="00AD224B">
        <w:rPr>
          <w:rFonts w:ascii="Arial" w:hAnsi="Arial" w:cs="Arial"/>
        </w:rPr>
        <w:t>Tree density reflects the number of trees per unit area and provides insight into the extent of space occupancy by woody vegetation. It was computed for each 200 m² plot using the following formula:</w:t>
      </w:r>
    </w:p>
    <w:p w14:paraId="6022676D" w14:textId="77777777" w:rsidR="006C192D" w:rsidRPr="00AD224B" w:rsidRDefault="006C192D" w:rsidP="006C192D">
      <w:pPr>
        <w:spacing w:after="120"/>
        <w:jc w:val="right"/>
        <w:rPr>
          <w:rFonts w:ascii="Arial" w:eastAsia="Calibri" w:hAnsi="Arial" w:cs="Arial"/>
        </w:rPr>
      </w:pPr>
      <m:oMath>
        <m:r>
          <m:rPr>
            <m:sty m:val="p"/>
          </m:rPr>
          <w:rPr>
            <w:rFonts w:ascii="Cambria Math" w:eastAsia="Calibri" w:hAnsi="Cambria Math" w:cs="Arial"/>
          </w:rPr>
          <m:t>D</m:t>
        </m:r>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N</m:t>
            </m:r>
          </m:num>
          <m:den>
            <m:r>
              <w:rPr>
                <w:rFonts w:ascii="Cambria Math" w:eastAsia="Calibri" w:hAnsi="Cambria Math" w:cs="Arial"/>
              </w:rPr>
              <m:t>S</m:t>
            </m:r>
          </m:den>
        </m:f>
      </m:oMath>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t>(1)</w:t>
      </w:r>
    </w:p>
    <w:p w14:paraId="22E69A24" w14:textId="77777777" w:rsidR="006C192D" w:rsidRPr="00AD224B" w:rsidRDefault="006C192D" w:rsidP="006C192D">
      <w:pPr>
        <w:spacing w:after="120"/>
        <w:jc w:val="both"/>
        <w:rPr>
          <w:rFonts w:ascii="Arial" w:hAnsi="Arial" w:cs="Arial"/>
        </w:rPr>
      </w:pPr>
      <w:r w:rsidRPr="00AD224B">
        <w:rPr>
          <w:rFonts w:ascii="Arial" w:hAnsi="Arial" w:cs="Arial"/>
        </w:rPr>
        <w:t>where:</w:t>
      </w:r>
    </w:p>
    <w:p w14:paraId="03B40CE1" w14:textId="77777777" w:rsidR="006C192D" w:rsidRPr="00AD224B" w:rsidRDefault="006C192D" w:rsidP="006C192D">
      <w:pPr>
        <w:spacing w:after="120"/>
        <w:jc w:val="both"/>
        <w:rPr>
          <w:rFonts w:ascii="Arial" w:hAnsi="Arial" w:cs="Arial"/>
        </w:rPr>
      </w:pPr>
      <w:r w:rsidRPr="00AD224B">
        <w:rPr>
          <w:rFonts w:ascii="Arial" w:hAnsi="Arial" w:cs="Arial"/>
        </w:rPr>
        <w:t xml:space="preserve">D = density (trees per plot); </w:t>
      </w:r>
      <w:r w:rsidRPr="00AD224B">
        <w:rPr>
          <w:rFonts w:ascii="Arial" w:hAnsi="Arial" w:cs="Arial"/>
          <w:i/>
          <w:iCs/>
        </w:rPr>
        <w:t>N</w:t>
      </w:r>
      <w:r w:rsidRPr="00AD224B">
        <w:rPr>
          <w:rFonts w:ascii="Arial" w:hAnsi="Arial" w:cs="Arial"/>
        </w:rPr>
        <w:t xml:space="preserve"> = number of trees recorded in the plot; </w:t>
      </w:r>
      <w:r w:rsidRPr="00AD224B">
        <w:rPr>
          <w:rFonts w:ascii="Arial" w:hAnsi="Arial" w:cs="Arial"/>
          <w:i/>
          <w:iCs/>
        </w:rPr>
        <w:t>S</w:t>
      </w:r>
      <w:r w:rsidRPr="00AD224B">
        <w:rPr>
          <w:rFonts w:ascii="Arial" w:hAnsi="Arial" w:cs="Arial"/>
        </w:rPr>
        <w:t xml:space="preserve"> = surface area of the plot (200 m²).</w:t>
      </w:r>
    </w:p>
    <w:p w14:paraId="2A747EFA" w14:textId="7C91F1FC" w:rsidR="006C192D" w:rsidRPr="00AD224B" w:rsidRDefault="005D7677" w:rsidP="006C192D">
      <w:pPr>
        <w:spacing w:after="120"/>
        <w:jc w:val="both"/>
        <w:rPr>
          <w:rFonts w:ascii="Arial" w:hAnsi="Arial" w:cs="Arial"/>
          <w:b/>
          <w:bCs/>
        </w:rPr>
      </w:pPr>
      <w:r>
        <w:rPr>
          <w:rFonts w:ascii="Arial" w:hAnsi="Arial" w:cs="Arial"/>
          <w:b/>
          <w:bCs/>
        </w:rPr>
        <w:t>Determination</w:t>
      </w:r>
      <w:r w:rsidRPr="00AD224B">
        <w:rPr>
          <w:rFonts w:ascii="Arial" w:hAnsi="Arial" w:cs="Arial"/>
          <w:b/>
          <w:bCs/>
        </w:rPr>
        <w:t xml:space="preserve"> </w:t>
      </w:r>
      <w:r>
        <w:rPr>
          <w:rFonts w:ascii="Arial" w:hAnsi="Arial" w:cs="Arial"/>
          <w:b/>
          <w:bCs/>
        </w:rPr>
        <w:t>of b</w:t>
      </w:r>
      <w:r w:rsidR="006C192D" w:rsidRPr="00AD224B">
        <w:rPr>
          <w:rFonts w:ascii="Arial" w:hAnsi="Arial" w:cs="Arial"/>
          <w:b/>
          <w:bCs/>
        </w:rPr>
        <w:t xml:space="preserve">asal </w:t>
      </w:r>
      <w:r>
        <w:rPr>
          <w:rFonts w:ascii="Arial" w:hAnsi="Arial" w:cs="Arial"/>
          <w:b/>
          <w:bCs/>
        </w:rPr>
        <w:t>a</w:t>
      </w:r>
      <w:r w:rsidR="006C192D" w:rsidRPr="00AD224B">
        <w:rPr>
          <w:rFonts w:ascii="Arial" w:hAnsi="Arial" w:cs="Arial"/>
          <w:b/>
          <w:bCs/>
        </w:rPr>
        <w:t>rea (</w:t>
      </w:r>
      <w:r w:rsidR="006C192D" w:rsidRPr="00AD224B">
        <w:rPr>
          <w:rFonts w:ascii="Arial" w:hAnsi="Arial" w:cs="Arial"/>
          <w:b/>
          <w:bCs/>
          <w:i/>
          <w:iCs/>
        </w:rPr>
        <w:t>G</w:t>
      </w:r>
      <w:r w:rsidR="006C192D" w:rsidRPr="00AD224B">
        <w:rPr>
          <w:rFonts w:ascii="Arial" w:hAnsi="Arial" w:cs="Arial"/>
          <w:b/>
          <w:bCs/>
        </w:rPr>
        <w:t>)</w:t>
      </w:r>
    </w:p>
    <w:p w14:paraId="523816A9" w14:textId="77777777" w:rsidR="006C192D" w:rsidRPr="00AD224B" w:rsidRDefault="006C192D" w:rsidP="006C192D">
      <w:pPr>
        <w:spacing w:after="120"/>
        <w:jc w:val="both"/>
        <w:rPr>
          <w:rFonts w:ascii="Arial" w:hAnsi="Arial" w:cs="Arial"/>
        </w:rPr>
      </w:pPr>
      <w:r w:rsidRPr="00AD224B">
        <w:rPr>
          <w:rFonts w:ascii="Arial" w:hAnsi="Arial" w:cs="Arial"/>
        </w:rPr>
        <w:t xml:space="preserve">Basal area represents the cross-sectional area of tree stems at breast height (1.3 m) and is a reliable proxy for stand biomass and structural development. The basal area of each tree </w:t>
      </w:r>
      <w:proofErr w:type="spellStart"/>
      <w:r w:rsidRPr="00AD224B">
        <w:rPr>
          <w:rFonts w:ascii="Arial" w:hAnsi="Arial" w:cs="Arial"/>
          <w:i/>
          <w:iCs/>
        </w:rPr>
        <w:t>g</w:t>
      </w:r>
      <w:r w:rsidRPr="00AD224B">
        <w:rPr>
          <w:rFonts w:ascii="Arial" w:hAnsi="Arial" w:cs="Arial"/>
          <w:i/>
          <w:iCs/>
          <w:vertAlign w:val="subscript"/>
        </w:rPr>
        <w:t>i</w:t>
      </w:r>
      <w:proofErr w:type="spellEnd"/>
      <w:r w:rsidRPr="00AD224B">
        <w:rPr>
          <w:rFonts w:ascii="Arial" w:hAnsi="Arial" w:cs="Arial"/>
          <w:i/>
          <w:iCs/>
        </w:rPr>
        <w:t xml:space="preserve"> </w:t>
      </w:r>
      <w:r w:rsidRPr="00AD224B">
        <w:rPr>
          <w:rFonts w:ascii="Arial" w:hAnsi="Arial" w:cs="Arial"/>
        </w:rPr>
        <w:t>and the total basal area per hectare (</w:t>
      </w:r>
      <w:r w:rsidRPr="00AD224B">
        <w:rPr>
          <w:rFonts w:ascii="Arial" w:hAnsi="Arial" w:cs="Arial"/>
          <w:i/>
          <w:iCs/>
        </w:rPr>
        <w:t>G</w:t>
      </w:r>
      <w:r w:rsidRPr="00AD224B">
        <w:rPr>
          <w:rFonts w:ascii="Arial" w:hAnsi="Arial" w:cs="Arial"/>
        </w:rPr>
        <w:t>) were calculated using the formulas:</w:t>
      </w:r>
    </w:p>
    <w:p w14:paraId="4CCA2311" w14:textId="77777777" w:rsidR="006C192D" w:rsidRPr="00AD224B" w:rsidRDefault="00F7404A" w:rsidP="006C192D">
      <w:pPr>
        <w:spacing w:after="120"/>
        <w:jc w:val="right"/>
        <w:rPr>
          <w:rFonts w:ascii="Arial" w:eastAsia="Calibri" w:hAnsi="Arial" w:cs="Arial"/>
        </w:rPr>
      </w:pPr>
      <m:oMath>
        <m:sSub>
          <m:sSubPr>
            <m:ctrlPr>
              <w:rPr>
                <w:rFonts w:ascii="Cambria Math" w:eastAsia="Calibri" w:hAnsi="Cambria Math" w:cs="Arial"/>
                <w:i/>
              </w:rPr>
            </m:ctrlPr>
          </m:sSubPr>
          <m:e>
            <m:r>
              <w:rPr>
                <w:rFonts w:ascii="Cambria Math" w:eastAsia="Calibri" w:hAnsi="Cambria Math" w:cs="Arial"/>
              </w:rPr>
              <m:t>g</m:t>
            </m:r>
          </m:e>
          <m:sub>
            <m:r>
              <w:rPr>
                <w:rFonts w:ascii="Cambria Math" w:eastAsia="Calibri" w:hAnsi="Cambria Math" w:cs="Arial"/>
              </w:rPr>
              <m:t>i</m:t>
            </m:r>
          </m:sub>
        </m:sSub>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π</m:t>
            </m:r>
          </m:num>
          <m:den>
            <m:r>
              <w:rPr>
                <w:rFonts w:ascii="Cambria Math" w:eastAsia="Calibri" w:hAnsi="Cambria Math" w:cs="Arial"/>
              </w:rPr>
              <m:t>4</m:t>
            </m:r>
          </m:den>
        </m:f>
        <m:sSup>
          <m:sSupPr>
            <m:ctrlPr>
              <w:rPr>
                <w:rFonts w:ascii="Cambria Math" w:eastAsia="Calibri" w:hAnsi="Cambria Math" w:cs="Arial"/>
                <w:i/>
              </w:rPr>
            </m:ctrlPr>
          </m:sSupPr>
          <m:e>
            <m:d>
              <m:dPr>
                <m:ctrlPr>
                  <w:rPr>
                    <w:rFonts w:ascii="Cambria Math" w:eastAsia="Calibri" w:hAnsi="Cambria Math" w:cs="Arial"/>
                    <w:i/>
                  </w:rPr>
                </m:ctrlPr>
              </m:dPr>
              <m:e>
                <m:f>
                  <m:fPr>
                    <m:ctrlPr>
                      <w:rPr>
                        <w:rFonts w:ascii="Cambria Math" w:eastAsia="Calibri" w:hAnsi="Cambria Math" w:cs="Arial"/>
                        <w:i/>
                      </w:rPr>
                    </m:ctrlPr>
                  </m:fPr>
                  <m:num>
                    <m:sSub>
                      <m:sSubPr>
                        <m:ctrlPr>
                          <w:rPr>
                            <w:rFonts w:ascii="Cambria Math" w:eastAsia="Calibri" w:hAnsi="Cambria Math" w:cs="Arial"/>
                            <w:iCs/>
                          </w:rPr>
                        </m:ctrlPr>
                      </m:sSubPr>
                      <m:e>
                        <m:r>
                          <m:rPr>
                            <m:sty m:val="p"/>
                          </m:rPr>
                          <w:rPr>
                            <w:rFonts w:ascii="Cambria Math" w:eastAsia="Calibri" w:hAnsi="Cambria Math" w:cs="Arial"/>
                          </w:rPr>
                          <m:t>dbh</m:t>
                        </m:r>
                      </m:e>
                      <m:sub>
                        <m:r>
                          <m:rPr>
                            <m:sty m:val="p"/>
                          </m:rPr>
                          <w:rPr>
                            <w:rFonts w:ascii="Cambria Math" w:eastAsia="Calibri" w:hAnsi="Cambria Math" w:cs="Arial"/>
                          </w:rPr>
                          <m:t>i</m:t>
                        </m:r>
                      </m:sub>
                    </m:sSub>
                  </m:num>
                  <m:den>
                    <m:r>
                      <w:rPr>
                        <w:rFonts w:ascii="Cambria Math" w:eastAsia="Calibri" w:hAnsi="Cambria Math" w:cs="Arial"/>
                      </w:rPr>
                      <m:t>100</m:t>
                    </m:r>
                  </m:den>
                </m:f>
              </m:e>
            </m:d>
          </m:e>
          <m:sup>
            <m:r>
              <w:rPr>
                <w:rFonts w:ascii="Cambria Math" w:eastAsia="Calibri" w:hAnsi="Cambria Math" w:cs="Arial"/>
              </w:rPr>
              <m:t>2</m:t>
            </m:r>
          </m:sup>
        </m:sSup>
      </m:oMath>
      <w:r w:rsidR="006C192D" w:rsidRPr="00AD224B">
        <w:rPr>
          <w:rFonts w:ascii="Arial" w:eastAsia="Calibri" w:hAnsi="Arial" w:cs="Arial"/>
        </w:rPr>
        <w:t xml:space="preserve"> and</w:t>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r>
      <w:r w:rsidR="006C192D" w:rsidRPr="00AD224B">
        <w:rPr>
          <w:rFonts w:ascii="Arial" w:eastAsia="Calibri" w:hAnsi="Arial" w:cs="Arial"/>
        </w:rPr>
        <w:tab/>
        <w:t>(2)</w:t>
      </w:r>
    </w:p>
    <w:p w14:paraId="01B01C92" w14:textId="77777777" w:rsidR="006C192D" w:rsidRPr="00AD224B" w:rsidRDefault="006C192D" w:rsidP="006C192D">
      <w:pPr>
        <w:spacing w:after="120"/>
        <w:jc w:val="right"/>
        <w:rPr>
          <w:rFonts w:ascii="Arial" w:eastAsia="Calibri" w:hAnsi="Arial" w:cs="Arial"/>
        </w:rPr>
      </w:pPr>
      <m:oMath>
        <m:r>
          <w:rPr>
            <w:rFonts w:ascii="Cambria Math" w:eastAsia="Calibri" w:hAnsi="Cambria Math" w:cs="Arial"/>
          </w:rPr>
          <m:t>G=</m:t>
        </m:r>
        <m:f>
          <m:fPr>
            <m:ctrlPr>
              <w:rPr>
                <w:rFonts w:ascii="Cambria Math" w:eastAsia="Calibri" w:hAnsi="Cambria Math" w:cs="Arial"/>
                <w:i/>
              </w:rPr>
            </m:ctrlPr>
          </m:fPr>
          <m:num>
            <m:nary>
              <m:naryPr>
                <m:chr m:val="∑"/>
                <m:limLoc m:val="undOvr"/>
                <m:ctrlPr>
                  <w:rPr>
                    <w:rFonts w:ascii="Cambria Math" w:eastAsia="Calibri" w:hAnsi="Cambria Math" w:cs="Arial"/>
                    <w:i/>
                  </w:rPr>
                </m:ctrlPr>
              </m:naryPr>
              <m:sub>
                <m:r>
                  <w:rPr>
                    <w:rFonts w:ascii="Cambria Math" w:eastAsia="Calibri" w:hAnsi="Cambria Math" w:cs="Arial"/>
                  </w:rPr>
                  <m:t>i=1</m:t>
                </m:r>
              </m:sub>
              <m:sup>
                <m:r>
                  <w:rPr>
                    <w:rFonts w:ascii="Cambria Math" w:eastAsia="Calibri" w:hAnsi="Cambria Math" w:cs="Arial"/>
                  </w:rPr>
                  <m:t>n</m:t>
                </m:r>
              </m:sup>
              <m:e>
                <m:sSub>
                  <m:sSubPr>
                    <m:ctrlPr>
                      <w:rPr>
                        <w:rFonts w:ascii="Cambria Math" w:eastAsia="Calibri" w:hAnsi="Cambria Math" w:cs="Arial"/>
                        <w:i/>
                      </w:rPr>
                    </m:ctrlPr>
                  </m:sSubPr>
                  <m:e>
                    <m:r>
                      <w:rPr>
                        <w:rFonts w:ascii="Cambria Math" w:eastAsia="Calibri" w:hAnsi="Cambria Math" w:cs="Arial"/>
                      </w:rPr>
                      <m:t>g</m:t>
                    </m:r>
                  </m:e>
                  <m:sub>
                    <m:r>
                      <w:rPr>
                        <w:rFonts w:ascii="Cambria Math" w:eastAsia="Calibri" w:hAnsi="Cambria Math" w:cs="Arial"/>
                      </w:rPr>
                      <m:t>i</m:t>
                    </m:r>
                  </m:sub>
                </m:sSub>
              </m:e>
            </m:nary>
          </m:num>
          <m:den>
            <m:r>
              <w:rPr>
                <w:rFonts w:ascii="Cambria Math" w:eastAsia="Calibri" w:hAnsi="Cambria Math" w:cs="Arial"/>
              </w:rPr>
              <m:t>S</m:t>
            </m:r>
          </m:den>
        </m:f>
        <m:r>
          <w:rPr>
            <w:rFonts w:ascii="Cambria Math" w:eastAsia="Calibri" w:hAnsi="Cambria Math" w:cs="Arial"/>
          </w:rPr>
          <m:t>×10000</m:t>
        </m:r>
      </m:oMath>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r>
      <w:r w:rsidRPr="00AD224B">
        <w:rPr>
          <w:rFonts w:ascii="Arial" w:eastAsia="Calibri" w:hAnsi="Arial" w:cs="Arial"/>
        </w:rPr>
        <w:tab/>
        <w:t>(3)</w:t>
      </w:r>
    </w:p>
    <w:p w14:paraId="5C44B4E6" w14:textId="11CBFB10" w:rsidR="006C192D" w:rsidRDefault="006C192D" w:rsidP="006C192D">
      <w:pPr>
        <w:jc w:val="both"/>
        <w:rPr>
          <w:rFonts w:ascii="Arial" w:hAnsi="Arial" w:cs="Arial"/>
        </w:rPr>
      </w:pPr>
      <w:r w:rsidRPr="00AD224B">
        <w:rPr>
          <w:rFonts w:ascii="Arial" w:hAnsi="Arial" w:cs="Arial"/>
        </w:rPr>
        <w:t xml:space="preserve">where: </w:t>
      </w:r>
      <w:proofErr w:type="spellStart"/>
      <w:r w:rsidRPr="00AD224B">
        <w:rPr>
          <w:rFonts w:ascii="Arial" w:hAnsi="Arial" w:cs="Arial"/>
        </w:rPr>
        <w:t>dbh</w:t>
      </w:r>
      <w:r w:rsidRPr="00AD224B">
        <w:rPr>
          <w:rFonts w:ascii="Arial" w:hAnsi="Arial" w:cs="Arial"/>
          <w:vertAlign w:val="subscript"/>
        </w:rPr>
        <w:t>i</w:t>
      </w:r>
      <w:proofErr w:type="spellEnd"/>
      <w:r w:rsidRPr="00AD224B">
        <w:rPr>
          <w:rFonts w:ascii="Arial" w:hAnsi="Arial" w:cs="Arial"/>
        </w:rPr>
        <w:t xml:space="preserve">= diameter at breast height (in cm) of tree </w:t>
      </w:r>
      <w:r w:rsidRPr="00AD224B">
        <w:rPr>
          <w:rFonts w:ascii="Arial" w:hAnsi="Arial" w:cs="Arial"/>
          <w:i/>
          <w:iCs/>
        </w:rPr>
        <w:t>I</w:t>
      </w:r>
      <w:r w:rsidRPr="00AD224B">
        <w:rPr>
          <w:rFonts w:ascii="Arial" w:hAnsi="Arial" w:cs="Arial"/>
        </w:rPr>
        <w:t xml:space="preserve">; </w:t>
      </w:r>
      <w:proofErr w:type="spellStart"/>
      <w:r w:rsidRPr="00AD224B">
        <w:rPr>
          <w:rFonts w:ascii="Arial" w:hAnsi="Arial" w:cs="Arial"/>
          <w:i/>
          <w:iCs/>
        </w:rPr>
        <w:t>g</w:t>
      </w:r>
      <w:r w:rsidRPr="00AD224B">
        <w:rPr>
          <w:rFonts w:ascii="Arial" w:hAnsi="Arial" w:cs="Arial"/>
          <w:i/>
          <w:iCs/>
          <w:vertAlign w:val="subscript"/>
        </w:rPr>
        <w:t>i</w:t>
      </w:r>
      <w:proofErr w:type="spellEnd"/>
      <w:r w:rsidRPr="00AD224B">
        <w:rPr>
          <w:rFonts w:ascii="Arial" w:hAnsi="Arial" w:cs="Arial"/>
        </w:rPr>
        <w:t xml:space="preserve">= basal area of tree </w:t>
      </w:r>
      <w:proofErr w:type="spellStart"/>
      <w:r w:rsidRPr="00AD224B">
        <w:rPr>
          <w:rFonts w:ascii="Arial" w:hAnsi="Arial" w:cs="Arial"/>
          <w:i/>
          <w:iCs/>
        </w:rPr>
        <w:t>i</w:t>
      </w:r>
      <w:proofErr w:type="spellEnd"/>
      <w:r w:rsidRPr="00AD224B">
        <w:rPr>
          <w:rFonts w:ascii="Arial" w:hAnsi="Arial" w:cs="Arial"/>
        </w:rPr>
        <w:t xml:space="preserve"> (in cm²); </w:t>
      </w:r>
      <w:r w:rsidRPr="00AD224B">
        <w:rPr>
          <w:rFonts w:ascii="Arial" w:hAnsi="Arial" w:cs="Arial"/>
          <w:i/>
          <w:iCs/>
        </w:rPr>
        <w:t>G</w:t>
      </w:r>
      <w:r w:rsidRPr="00AD224B">
        <w:rPr>
          <w:rFonts w:ascii="Arial" w:hAnsi="Arial" w:cs="Arial"/>
        </w:rPr>
        <w:t xml:space="preserve"> = total basal area per hectare (in m²/ha); </w:t>
      </w:r>
      <w:r w:rsidRPr="00AD224B">
        <w:rPr>
          <w:rFonts w:ascii="Arial" w:hAnsi="Arial" w:cs="Arial"/>
          <w:i/>
          <w:iCs/>
        </w:rPr>
        <w:t>n</w:t>
      </w:r>
      <w:r w:rsidRPr="00AD224B">
        <w:rPr>
          <w:rFonts w:ascii="Arial" w:hAnsi="Arial" w:cs="Arial"/>
        </w:rPr>
        <w:t xml:space="preserve"> = total number of trees in the plot; </w:t>
      </w:r>
      <w:r w:rsidRPr="00AD224B">
        <w:rPr>
          <w:rFonts w:ascii="Arial" w:hAnsi="Arial" w:cs="Arial"/>
          <w:i/>
          <w:iCs/>
        </w:rPr>
        <w:t xml:space="preserve">S </w:t>
      </w:r>
      <w:r w:rsidRPr="00AD224B">
        <w:rPr>
          <w:rFonts w:ascii="Arial" w:hAnsi="Arial" w:cs="Arial"/>
        </w:rPr>
        <w:t>= surface area of the plot (in m²).</w:t>
      </w:r>
    </w:p>
    <w:p w14:paraId="596B4D28" w14:textId="68072943" w:rsidR="005D7677" w:rsidRDefault="005D7677" w:rsidP="006C192D">
      <w:pPr>
        <w:jc w:val="both"/>
        <w:rPr>
          <w:rFonts w:ascii="Arial" w:hAnsi="Arial" w:cs="Arial"/>
        </w:rPr>
      </w:pPr>
    </w:p>
    <w:p w14:paraId="75C6CD5F" w14:textId="4B623944" w:rsidR="005D7677" w:rsidRDefault="005D7677" w:rsidP="006C192D">
      <w:pPr>
        <w:jc w:val="both"/>
        <w:rPr>
          <w:rFonts w:ascii="Arial" w:hAnsi="Arial" w:cs="Arial"/>
        </w:rPr>
      </w:pPr>
    </w:p>
    <w:p w14:paraId="123BD44D" w14:textId="71FE3FD5" w:rsidR="005D7677" w:rsidRDefault="005D7677" w:rsidP="006C192D">
      <w:pPr>
        <w:jc w:val="both"/>
        <w:rPr>
          <w:rFonts w:ascii="Arial" w:hAnsi="Arial" w:cs="Arial"/>
        </w:rPr>
      </w:pPr>
    </w:p>
    <w:p w14:paraId="26B5C501" w14:textId="1A9E718F" w:rsidR="00A9397F" w:rsidRPr="002F5190" w:rsidRDefault="00992E8C" w:rsidP="006C192D">
      <w:pPr>
        <w:pStyle w:val="Body"/>
        <w:rPr>
          <w:rFonts w:ascii="Arial" w:hAnsi="Arial" w:cs="Arial"/>
          <w:b/>
          <w:bCs/>
          <w:sz w:val="22"/>
          <w:szCs w:val="22"/>
        </w:rPr>
      </w:pPr>
      <w:r w:rsidRPr="002F5190">
        <w:rPr>
          <w:rFonts w:ascii="Arial" w:hAnsi="Arial" w:cs="Arial"/>
          <w:b/>
          <w:bCs/>
          <w:sz w:val="22"/>
          <w:szCs w:val="22"/>
        </w:rPr>
        <w:lastRenderedPageBreak/>
        <w:t>2.5. Estimation of total biomass and carbon stock</w:t>
      </w:r>
    </w:p>
    <w:p w14:paraId="1FEEFB28" w14:textId="77777777" w:rsidR="003F606C" w:rsidRPr="00D72F27" w:rsidRDefault="00AF0862" w:rsidP="002D15A2">
      <w:pPr>
        <w:pStyle w:val="Body"/>
        <w:rPr>
          <w:rFonts w:ascii="Arial" w:hAnsi="Arial" w:cs="Arial"/>
        </w:rPr>
      </w:pPr>
      <w:r w:rsidRPr="00D72F27">
        <w:rPr>
          <w:rFonts w:ascii="Arial" w:hAnsi="Arial" w:cs="Arial"/>
        </w:rPr>
        <w:t>The estimation of the total biomass (</w:t>
      </w:r>
      <w:r w:rsidRPr="00D72F27">
        <w:rPr>
          <w:rFonts w:ascii="Arial" w:hAnsi="Arial" w:cs="Arial"/>
          <w:i/>
          <w:iCs/>
        </w:rPr>
        <w:t>B</w:t>
      </w:r>
      <w:r w:rsidRPr="00D72F27">
        <w:rPr>
          <w:rFonts w:ascii="Arial" w:hAnsi="Arial" w:cs="Arial"/>
          <w:i/>
          <w:iCs/>
          <w:vertAlign w:val="subscript"/>
        </w:rPr>
        <w:t>T</w:t>
      </w:r>
      <w:r w:rsidRPr="00D72F27">
        <w:rPr>
          <w:rFonts w:ascii="Arial" w:hAnsi="Arial" w:cs="Arial"/>
        </w:rPr>
        <w:t xml:space="preserve">) of </w:t>
      </w:r>
      <w:r w:rsidRPr="00D72F27">
        <w:rPr>
          <w:rFonts w:ascii="Arial" w:hAnsi="Arial" w:cs="Arial"/>
          <w:i/>
          <w:iCs/>
        </w:rPr>
        <w:t>Rhizophora racemosa</w:t>
      </w:r>
      <w:r w:rsidRPr="00D72F27">
        <w:rPr>
          <w:rFonts w:ascii="Arial" w:hAnsi="Arial" w:cs="Arial"/>
        </w:rPr>
        <w:t xml:space="preserve"> stands</w:t>
      </w:r>
      <w:r w:rsidRPr="00D72F27">
        <w:rPr>
          <w:rFonts w:ascii="Arial" w:hAnsi="Arial" w:cs="Arial"/>
        </w:rPr>
        <w:sym w:font="Symbol" w:char="F02D"/>
      </w:r>
      <w:r w:rsidRPr="00D72F27">
        <w:rPr>
          <w:rFonts w:ascii="Arial" w:hAnsi="Arial" w:cs="Arial"/>
        </w:rPr>
        <w:t xml:space="preserve"> which includes aboveground and belowground components</w:t>
      </w:r>
      <w:r w:rsidRPr="00D72F27">
        <w:rPr>
          <w:rFonts w:ascii="Arial" w:hAnsi="Arial" w:cs="Arial"/>
        </w:rPr>
        <w:sym w:font="Symbol" w:char="F02D"/>
      </w:r>
      <w:r w:rsidRPr="00D72F27">
        <w:rPr>
          <w:rFonts w:ascii="Arial" w:hAnsi="Arial" w:cs="Arial"/>
        </w:rPr>
        <w:t xml:space="preserve"> was conducted at the individual tree level </w:t>
      </w:r>
      <w:r w:rsidR="003F606C" w:rsidRPr="00D72F27">
        <w:rPr>
          <w:rFonts w:ascii="Arial" w:hAnsi="Arial" w:cs="Arial"/>
        </w:rPr>
        <w:t xml:space="preserve">followed by aggregation at plot and locality scales. </w:t>
      </w:r>
    </w:p>
    <w:p w14:paraId="0759F0FE" w14:textId="20C439A4" w:rsidR="003F606C" w:rsidRPr="00D72F27" w:rsidRDefault="003F606C" w:rsidP="003F606C">
      <w:pPr>
        <w:pStyle w:val="Body"/>
        <w:rPr>
          <w:rFonts w:ascii="Arial" w:hAnsi="Arial" w:cs="Arial"/>
          <w:b/>
          <w:bCs/>
        </w:rPr>
      </w:pPr>
      <w:r w:rsidRPr="00D72F27">
        <w:rPr>
          <w:rFonts w:ascii="Arial" w:hAnsi="Arial" w:cs="Arial"/>
          <w:b/>
          <w:bCs/>
        </w:rPr>
        <w:t>Individual biomass estimation</w:t>
      </w:r>
    </w:p>
    <w:p w14:paraId="5BABCC77" w14:textId="6B529684" w:rsidR="003F606C" w:rsidRPr="00D72F27" w:rsidRDefault="003F606C" w:rsidP="002466B7">
      <w:pPr>
        <w:pStyle w:val="Body"/>
        <w:rPr>
          <w:rFonts w:ascii="Arial" w:hAnsi="Arial" w:cs="Arial"/>
        </w:rPr>
      </w:pPr>
      <w:r w:rsidRPr="00D72F27">
        <w:rPr>
          <w:rFonts w:ascii="Arial" w:hAnsi="Arial" w:cs="Arial"/>
        </w:rPr>
        <w:t xml:space="preserve">We used species-specific allometric equation developed by </w:t>
      </w:r>
      <w:proofErr w:type="spellStart"/>
      <w:r w:rsidRPr="00D72F27">
        <w:rPr>
          <w:rFonts w:ascii="Arial" w:hAnsi="Arial" w:cs="Arial"/>
        </w:rPr>
        <w:t>Zanvo</w:t>
      </w:r>
      <w:proofErr w:type="spellEnd"/>
      <w:r w:rsidRPr="00D72F27">
        <w:rPr>
          <w:rFonts w:ascii="Arial" w:hAnsi="Arial" w:cs="Arial"/>
        </w:rPr>
        <w:t xml:space="preserve"> et al. (2023) to estimate the </w:t>
      </w:r>
      <w:proofErr w:type="spellStart"/>
      <w:r w:rsidRPr="00D72F27">
        <w:rPr>
          <w:rFonts w:ascii="Arial" w:hAnsi="Arial" w:cs="Arial"/>
          <w:i/>
          <w:iCs/>
        </w:rPr>
        <w:t>B</w:t>
      </w:r>
      <w:r w:rsidRPr="00D72F27">
        <w:rPr>
          <w:rFonts w:ascii="Arial" w:hAnsi="Arial" w:cs="Arial"/>
          <w:i/>
          <w:iCs/>
          <w:vertAlign w:val="subscript"/>
        </w:rPr>
        <w:t>T</w:t>
      </w:r>
      <w:r w:rsidRPr="002D15A2">
        <w:rPr>
          <w:rFonts w:ascii="Arial" w:hAnsi="Arial" w:cs="Arial"/>
          <w:vertAlign w:val="subscript"/>
        </w:rPr>
        <w:t>i</w:t>
      </w:r>
      <w:proofErr w:type="spellEnd"/>
      <w:r w:rsidRPr="00D72F27">
        <w:rPr>
          <w:rFonts w:ascii="Arial" w:hAnsi="Arial" w:cs="Arial"/>
        </w:rPr>
        <w:t xml:space="preserve"> of </w:t>
      </w:r>
      <w:r w:rsidR="002D15A2">
        <w:rPr>
          <w:rFonts w:ascii="Arial" w:hAnsi="Arial" w:cs="Arial"/>
        </w:rPr>
        <w:t>each individual tree inventoried</w:t>
      </w:r>
      <w:r w:rsidRPr="00D72F27">
        <w:rPr>
          <w:rFonts w:ascii="Arial" w:hAnsi="Arial" w:cs="Arial"/>
        </w:rPr>
        <w:t>:</w:t>
      </w:r>
    </w:p>
    <w:p w14:paraId="5E382F47" w14:textId="6C16DECD" w:rsidR="003F606C" w:rsidRPr="00D72F27" w:rsidRDefault="00F7404A" w:rsidP="00043641">
      <w:pPr>
        <w:pStyle w:val="Body"/>
        <w:jc w:val="right"/>
        <w:rPr>
          <w:rFonts w:ascii="Arial" w:hAnsi="Arial" w:cs="Arial"/>
        </w:rPr>
      </w:pPr>
      <m:oMath>
        <m:sSub>
          <m:sSubPr>
            <m:ctrlPr>
              <w:rPr>
                <w:rFonts w:ascii="Cambria Math" w:hAnsi="Cambria Math" w:cs="Arial"/>
                <w:i/>
              </w:rPr>
            </m:ctrlPr>
          </m:sSubPr>
          <m:e>
            <m:r>
              <w:rPr>
                <w:rFonts w:ascii="Cambria Math" w:hAnsi="Cambria Math" w:cs="Arial"/>
              </w:rPr>
              <m:t>B</m:t>
            </m:r>
          </m:e>
          <m:sub>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sub>
        </m:sSub>
        <m:r>
          <w:rPr>
            <w:rFonts w:ascii="Cambria Math" w:hAnsi="Cambria Math" w:cs="Arial"/>
          </w:rPr>
          <m:t>=1.07×</m:t>
        </m:r>
        <m:sSup>
          <m:sSupPr>
            <m:ctrlPr>
              <w:rPr>
                <w:rFonts w:ascii="Cambria Math" w:hAnsi="Cambria Math" w:cs="Arial"/>
                <w:i/>
              </w:rPr>
            </m:ctrlPr>
          </m:sSupPr>
          <m:e>
            <m:r>
              <w:rPr>
                <w:rFonts w:ascii="Cambria Math" w:hAnsi="Cambria Math" w:cs="Arial"/>
              </w:rPr>
              <m:t>e</m:t>
            </m:r>
          </m:e>
          <m:sup>
            <m:r>
              <w:rPr>
                <w:rFonts w:ascii="Cambria Math" w:hAnsi="Cambria Math" w:cs="Arial"/>
              </w:rPr>
              <m:t>(0.66+0.68×</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H</m:t>
                </m:r>
                <m:r>
                  <w:rPr>
                    <w:rFonts w:ascii="Cambria Math" w:hAnsi="Cambria Math" w:cs="Arial"/>
                  </w:rPr>
                  <m:t>))</m:t>
                </m:r>
              </m:e>
            </m:func>
          </m:sup>
        </m:sSup>
      </m:oMath>
      <w:r w:rsidR="00043641" w:rsidRPr="00D72F27">
        <w:rPr>
          <w:rFonts w:ascii="Arial" w:hAnsi="Arial" w:cs="Arial"/>
        </w:rPr>
        <w:tab/>
      </w:r>
      <w:r w:rsidR="00043641" w:rsidRPr="00D72F27">
        <w:rPr>
          <w:rFonts w:ascii="Arial" w:hAnsi="Arial" w:cs="Arial"/>
        </w:rPr>
        <w:tab/>
      </w:r>
      <w:r w:rsidR="00043641" w:rsidRPr="00D72F27">
        <w:rPr>
          <w:rFonts w:ascii="Arial" w:hAnsi="Arial" w:cs="Arial"/>
        </w:rPr>
        <w:tab/>
        <w:t>(4)</w:t>
      </w:r>
    </w:p>
    <w:p w14:paraId="33C8D4DC" w14:textId="028321D1" w:rsidR="003F606C" w:rsidRPr="00D72F27" w:rsidRDefault="003F606C" w:rsidP="002466B7">
      <w:pPr>
        <w:pStyle w:val="Body"/>
        <w:rPr>
          <w:rFonts w:ascii="Arial" w:hAnsi="Arial" w:cs="Arial"/>
        </w:rPr>
      </w:pPr>
      <w:r w:rsidRPr="00D72F27">
        <w:rPr>
          <w:rFonts w:ascii="Arial" w:hAnsi="Arial" w:cs="Arial"/>
        </w:rPr>
        <w:t>where D is the DBH and H is the total height</w:t>
      </w:r>
      <w:r w:rsidR="002D15A2">
        <w:rPr>
          <w:rFonts w:ascii="Arial" w:hAnsi="Arial" w:cs="Arial"/>
        </w:rPr>
        <w:t xml:space="preserve"> of individual tree </w:t>
      </w:r>
      <w:proofErr w:type="spellStart"/>
      <w:r w:rsidR="002D15A2" w:rsidRPr="002D15A2">
        <w:rPr>
          <w:rFonts w:ascii="Arial" w:hAnsi="Arial" w:cs="Arial"/>
          <w:i/>
          <w:iCs/>
        </w:rPr>
        <w:t>i</w:t>
      </w:r>
      <w:proofErr w:type="spellEnd"/>
    </w:p>
    <w:p w14:paraId="3F3A3454" w14:textId="6FA164BE" w:rsidR="005704DC" w:rsidRPr="00D72F27" w:rsidRDefault="005704DC" w:rsidP="002466B7">
      <w:pPr>
        <w:pStyle w:val="Body"/>
        <w:rPr>
          <w:rFonts w:ascii="Arial" w:hAnsi="Arial" w:cs="Arial"/>
          <w:b/>
          <w:bCs/>
        </w:rPr>
      </w:pPr>
      <w:r w:rsidRPr="00D72F27">
        <w:rPr>
          <w:rFonts w:ascii="Arial" w:hAnsi="Arial" w:cs="Arial"/>
          <w:b/>
          <w:bCs/>
        </w:rPr>
        <w:t>Plot-level biomass aggregation</w:t>
      </w:r>
    </w:p>
    <w:p w14:paraId="11BB0820" w14:textId="641D238A" w:rsidR="00AF0862" w:rsidRPr="00D72F27" w:rsidRDefault="005704DC" w:rsidP="002466B7">
      <w:pPr>
        <w:pStyle w:val="Body"/>
        <w:rPr>
          <w:rFonts w:ascii="Arial" w:hAnsi="Arial" w:cs="Arial"/>
        </w:rPr>
      </w:pPr>
      <w:r w:rsidRPr="00D72F27">
        <w:rPr>
          <w:rFonts w:ascii="Arial" w:hAnsi="Arial" w:cs="Arial"/>
        </w:rPr>
        <w:t xml:space="preserve">The total </w:t>
      </w:r>
      <w:r w:rsidR="003F606C" w:rsidRPr="00D72F27">
        <w:rPr>
          <w:rFonts w:ascii="Arial" w:hAnsi="Arial" w:cs="Arial"/>
          <w:i/>
          <w:iCs/>
        </w:rPr>
        <w:t>B</w:t>
      </w:r>
      <w:r w:rsidR="003F606C" w:rsidRPr="00D72F27">
        <w:rPr>
          <w:rFonts w:ascii="Arial" w:hAnsi="Arial" w:cs="Arial"/>
          <w:i/>
          <w:iCs/>
          <w:vertAlign w:val="subscript"/>
        </w:rPr>
        <w:t>T</w:t>
      </w:r>
      <w:r w:rsidRPr="00D72F27">
        <w:rPr>
          <w:rFonts w:ascii="Arial" w:hAnsi="Arial" w:cs="Arial"/>
        </w:rPr>
        <w:t xml:space="preserve"> per plot was obtained by summing the individual biomass values of all trees within each 200 m² plot</w:t>
      </w:r>
      <w:r w:rsidR="00AF0862" w:rsidRPr="00D72F27">
        <w:rPr>
          <w:rFonts w:ascii="Arial" w:hAnsi="Arial" w:cs="Arial"/>
        </w:rPr>
        <w:t>.</w:t>
      </w:r>
    </w:p>
    <w:p w14:paraId="6B3FA5BF" w14:textId="5D8327E8" w:rsidR="00AF0862" w:rsidRPr="00D72F27" w:rsidRDefault="00F7404A"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sub>
        </m:sSub>
        <m:r>
          <w:rPr>
            <w:rFonts w:ascii="Cambria Math" w:eastAsia="Calibri" w:hAnsi="Cambria Math" w:cs="Arial"/>
          </w:rPr>
          <m:t>=</m:t>
        </m:r>
        <m:nary>
          <m:naryPr>
            <m:chr m:val="∑"/>
            <m:limLoc m:val="undOvr"/>
            <m:ctrlPr>
              <w:rPr>
                <w:rFonts w:ascii="Cambria Math" w:eastAsia="Calibri" w:hAnsi="Cambria Math" w:cs="Arial"/>
                <w:i/>
                <w:lang w:val="fr-FR"/>
              </w:rPr>
            </m:ctrlPr>
          </m:naryPr>
          <m:sub>
            <m:r>
              <w:rPr>
                <w:rFonts w:ascii="Cambria Math" w:eastAsia="Calibri" w:hAnsi="Cambria Math" w:cs="Arial"/>
                <w:lang w:val="fr-FR"/>
              </w:rPr>
              <m:t>i</m:t>
            </m:r>
            <m:r>
              <w:rPr>
                <w:rFonts w:ascii="Cambria Math" w:eastAsia="Calibri" w:hAnsi="Cambria Math" w:cs="Arial"/>
              </w:rPr>
              <m:t>=1</m:t>
            </m:r>
          </m:sub>
          <m:sup>
            <m:r>
              <w:rPr>
                <w:rFonts w:ascii="Cambria Math" w:eastAsia="Calibri" w:hAnsi="Cambria Math" w:cs="Arial"/>
                <w:lang w:val="fr-FR"/>
              </w:rPr>
              <m:t>m</m:t>
            </m:r>
          </m:sup>
          <m:e>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i</m:t>
                </m:r>
              </m:sub>
            </m:sSub>
          </m:e>
        </m:nary>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5</w:t>
      </w:r>
      <w:r w:rsidR="00AF0862" w:rsidRPr="00D72F27">
        <w:rPr>
          <w:rFonts w:ascii="Arial" w:eastAsia="Calibri" w:hAnsi="Arial" w:cs="Arial"/>
        </w:rPr>
        <w:t>)</w:t>
      </w:r>
    </w:p>
    <w:p w14:paraId="03C68DD2" w14:textId="77777777" w:rsidR="00AF0862" w:rsidRPr="00D72F27" w:rsidRDefault="00AF0862" w:rsidP="002466B7">
      <w:pPr>
        <w:spacing w:after="240"/>
        <w:jc w:val="both"/>
        <w:rPr>
          <w:rFonts w:ascii="Arial" w:eastAsia="Calibri" w:hAnsi="Arial" w:cs="Arial"/>
        </w:rPr>
      </w:pPr>
      <w:r w:rsidRPr="00D72F27">
        <w:rPr>
          <w:rFonts w:ascii="Arial" w:eastAsia="Calibri" w:hAnsi="Arial" w:cs="Arial"/>
        </w:rPr>
        <w:t xml:space="preserve">where </w:t>
      </w:r>
      <w:r w:rsidRPr="00D72F27">
        <w:rPr>
          <w:rFonts w:ascii="Arial" w:eastAsia="Calibri" w:hAnsi="Arial" w:cs="Arial"/>
          <w:i/>
          <w:iCs/>
        </w:rPr>
        <w:t xml:space="preserve">m </w:t>
      </w:r>
      <w:r w:rsidRPr="00D72F27">
        <w:rPr>
          <w:rFonts w:ascii="Arial" w:eastAsia="Calibri" w:hAnsi="Arial" w:cs="Arial"/>
        </w:rPr>
        <w:t>is the number of trees in the plot.</w:t>
      </w:r>
    </w:p>
    <w:p w14:paraId="733B6776" w14:textId="77777777" w:rsidR="00AF0862" w:rsidRPr="00D72F27" w:rsidRDefault="00AF0862" w:rsidP="002466B7">
      <w:pPr>
        <w:spacing w:after="240"/>
        <w:jc w:val="both"/>
        <w:rPr>
          <w:rFonts w:ascii="Arial" w:eastAsia="Calibri" w:hAnsi="Arial" w:cs="Arial"/>
        </w:rPr>
      </w:pPr>
      <w:r w:rsidRPr="00D72F27">
        <w:rPr>
          <w:rFonts w:ascii="Arial" w:eastAsia="Calibri" w:hAnsi="Arial" w:cs="Arial"/>
        </w:rPr>
        <w:t>This biomass value, expressed in kilograms, was scaled up to per-hectare units and converted into metric tons using the following formula:</w:t>
      </w:r>
    </w:p>
    <w:p w14:paraId="48FD0038" w14:textId="4A77FD0A" w:rsidR="00AF0862" w:rsidRPr="00D72F27" w:rsidRDefault="00F7404A"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r>
          <w:rPr>
            <w:rFonts w:ascii="Cambria Math" w:eastAsia="Calibri" w:hAnsi="Cambria Math" w:cs="Arial"/>
          </w:rPr>
          <m:t>=</m:t>
        </m:r>
        <m:f>
          <m:fPr>
            <m:ctrlPr>
              <w:rPr>
                <w:rFonts w:ascii="Cambria Math" w:eastAsia="Calibri" w:hAnsi="Cambria Math" w:cs="Arial"/>
                <w:i/>
                <w:lang w:val="fr-FR"/>
              </w:rPr>
            </m:ctrlPr>
          </m:fPr>
          <m:num>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sub>
            </m:sSub>
            <m:r>
              <w:rPr>
                <w:rFonts w:ascii="Cambria Math" w:eastAsia="Calibri" w:hAnsi="Cambria Math" w:cs="Arial"/>
              </w:rPr>
              <m:t>×10000</m:t>
            </m:r>
          </m:num>
          <m:den>
            <m:r>
              <w:rPr>
                <w:rFonts w:ascii="Cambria Math" w:eastAsia="Calibri" w:hAnsi="Cambria Math" w:cs="Arial"/>
              </w:rPr>
              <m:t>200×1000</m:t>
            </m:r>
          </m:den>
        </m:f>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6</w:t>
      </w:r>
      <w:r w:rsidR="00AF0862" w:rsidRPr="00D72F27">
        <w:rPr>
          <w:rFonts w:ascii="Arial" w:eastAsia="Calibri" w:hAnsi="Arial" w:cs="Arial"/>
        </w:rPr>
        <w:t>)</w:t>
      </w:r>
    </w:p>
    <w:p w14:paraId="2CFE42FB" w14:textId="003DC8EE" w:rsidR="00AF0862" w:rsidRPr="00D72F27" w:rsidRDefault="003F606C" w:rsidP="002466B7">
      <w:pPr>
        <w:spacing w:after="240"/>
        <w:jc w:val="both"/>
        <w:rPr>
          <w:rFonts w:ascii="Arial" w:eastAsia="Calibri" w:hAnsi="Arial" w:cs="Arial"/>
          <w:b/>
          <w:bCs/>
        </w:rPr>
      </w:pPr>
      <w:r w:rsidRPr="00D72F27">
        <w:rPr>
          <w:rFonts w:ascii="Arial" w:eastAsia="Calibri" w:hAnsi="Arial" w:cs="Arial"/>
          <w:b/>
          <w:bCs/>
        </w:rPr>
        <w:t>Sector</w:t>
      </w:r>
      <w:r w:rsidR="00AF0862" w:rsidRPr="00D72F27">
        <w:rPr>
          <w:rFonts w:ascii="Arial" w:eastAsia="Calibri" w:hAnsi="Arial" w:cs="Arial"/>
          <w:b/>
          <w:bCs/>
        </w:rPr>
        <w:t>-level biomass estimation</w:t>
      </w:r>
    </w:p>
    <w:p w14:paraId="315C5A78" w14:textId="023B120B" w:rsidR="00AF0862" w:rsidRPr="00D72F27" w:rsidRDefault="00AF0862" w:rsidP="002466B7">
      <w:pPr>
        <w:spacing w:after="240"/>
        <w:jc w:val="both"/>
        <w:rPr>
          <w:rFonts w:ascii="Arial" w:eastAsia="Calibri" w:hAnsi="Arial" w:cs="Arial"/>
        </w:rPr>
      </w:pPr>
      <w:r w:rsidRPr="00D72F27">
        <w:rPr>
          <w:rFonts w:ascii="Arial" w:eastAsia="Calibri" w:hAnsi="Arial" w:cs="Arial"/>
        </w:rPr>
        <w:t xml:space="preserve">The mean </w:t>
      </w:r>
      <w:r w:rsidR="003F606C" w:rsidRPr="00D72F27">
        <w:rPr>
          <w:rFonts w:ascii="Arial" w:eastAsia="Calibri" w:hAnsi="Arial" w:cs="Arial"/>
          <w:i/>
          <w:iCs/>
        </w:rPr>
        <w:t>B</w:t>
      </w:r>
      <w:r w:rsidR="003F606C" w:rsidRPr="00D72F27">
        <w:rPr>
          <w:rFonts w:ascii="Arial" w:eastAsia="Calibri" w:hAnsi="Arial" w:cs="Arial"/>
          <w:i/>
          <w:iCs/>
          <w:vertAlign w:val="subscript"/>
        </w:rPr>
        <w:t>T</w:t>
      </w:r>
      <w:r w:rsidRPr="00D72F27">
        <w:rPr>
          <w:rFonts w:ascii="Arial" w:eastAsia="Calibri" w:hAnsi="Arial" w:cs="Arial"/>
        </w:rPr>
        <w:t xml:space="preserve"> for each </w:t>
      </w:r>
      <w:r w:rsidR="003F606C" w:rsidRPr="00D72F27">
        <w:rPr>
          <w:rFonts w:ascii="Arial" w:eastAsia="Calibri" w:hAnsi="Arial" w:cs="Arial"/>
        </w:rPr>
        <w:t>sector</w:t>
      </w:r>
      <w:r w:rsidRPr="00D72F27">
        <w:rPr>
          <w:rFonts w:ascii="Arial" w:eastAsia="Calibri" w:hAnsi="Arial" w:cs="Arial"/>
        </w:rPr>
        <w:t xml:space="preserve"> was calculated as the average of the biomass values from all plots surveyed in that </w:t>
      </w:r>
      <w:r w:rsidR="003F606C" w:rsidRPr="00D72F27">
        <w:rPr>
          <w:rFonts w:ascii="Arial" w:eastAsia="Calibri" w:hAnsi="Arial" w:cs="Arial"/>
        </w:rPr>
        <w:t>sector</w:t>
      </w:r>
      <w:r w:rsidRPr="00D72F27">
        <w:rPr>
          <w:rFonts w:ascii="Arial" w:eastAsia="Calibri" w:hAnsi="Arial" w:cs="Arial"/>
        </w:rPr>
        <w:t>:</w:t>
      </w:r>
    </w:p>
    <w:p w14:paraId="3F078BC7" w14:textId="1CEDFE6E" w:rsidR="00AF0862" w:rsidRPr="00D72F27" w:rsidRDefault="00F7404A" w:rsidP="002466B7">
      <w:pPr>
        <w:spacing w:after="240"/>
        <w:jc w:val="right"/>
        <w:rPr>
          <w:rFonts w:ascii="Arial" w:eastAsia="Calibri" w:hAnsi="Arial" w:cs="Arial"/>
        </w:rPr>
      </w:pPr>
      <m:oMath>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sector</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r>
          <w:rPr>
            <w:rFonts w:ascii="Cambria Math" w:eastAsia="Calibri" w:hAnsi="Cambria Math" w:cs="Arial"/>
          </w:rPr>
          <m:t>=</m:t>
        </m:r>
        <m:f>
          <m:fPr>
            <m:ctrlPr>
              <w:rPr>
                <w:rFonts w:ascii="Cambria Math" w:eastAsia="Calibri" w:hAnsi="Cambria Math" w:cs="Arial"/>
                <w:i/>
                <w:lang w:val="fr-FR"/>
              </w:rPr>
            </m:ctrlPr>
          </m:fPr>
          <m:num>
            <m:r>
              <w:rPr>
                <w:rFonts w:ascii="Cambria Math" w:eastAsia="Calibri" w:hAnsi="Cambria Math" w:cs="Arial"/>
              </w:rPr>
              <m:t>1</m:t>
            </m:r>
          </m:num>
          <m:den>
            <m:r>
              <w:rPr>
                <w:rFonts w:ascii="Cambria Math" w:eastAsia="Calibri" w:hAnsi="Cambria Math" w:cs="Arial"/>
                <w:lang w:val="fr-FR"/>
              </w:rPr>
              <m:t>n</m:t>
            </m:r>
          </m:den>
        </m:f>
        <m:nary>
          <m:naryPr>
            <m:chr m:val="∑"/>
            <m:limLoc m:val="undOvr"/>
            <m:ctrlPr>
              <w:rPr>
                <w:rFonts w:ascii="Cambria Math" w:eastAsia="Calibri" w:hAnsi="Cambria Math" w:cs="Arial"/>
                <w:i/>
                <w:lang w:val="fr-FR"/>
              </w:rPr>
            </m:ctrlPr>
          </m:naryPr>
          <m:sub>
            <m:r>
              <w:rPr>
                <w:rFonts w:ascii="Cambria Math" w:eastAsia="Calibri" w:hAnsi="Cambria Math" w:cs="Arial"/>
                <w:lang w:val="fr-FR"/>
              </w:rPr>
              <m:t>i</m:t>
            </m:r>
            <m:r>
              <w:rPr>
                <w:rFonts w:ascii="Cambria Math" w:eastAsia="Calibri" w:hAnsi="Cambria Math" w:cs="Arial"/>
              </w:rPr>
              <m:t>=1</m:t>
            </m:r>
          </m:sub>
          <m:sup>
            <m:r>
              <w:rPr>
                <w:rFonts w:ascii="Cambria Math" w:eastAsia="Calibri" w:hAnsi="Cambria Math" w:cs="Arial"/>
                <w:lang w:val="fr-FR"/>
              </w:rPr>
              <m:t>n</m:t>
            </m:r>
          </m:sup>
          <m:e>
            <m:sSub>
              <m:sSubPr>
                <m:ctrlPr>
                  <w:rPr>
                    <w:rFonts w:ascii="Cambria Math" w:eastAsia="Calibri" w:hAnsi="Cambria Math" w:cs="Arial"/>
                    <w:i/>
                    <w:lang w:val="fr-FR"/>
                  </w:rPr>
                </m:ctrlPr>
              </m:sSubPr>
              <m:e>
                <m:sSub>
                  <m:sSubPr>
                    <m:ctrlPr>
                      <w:rPr>
                        <w:rFonts w:ascii="Cambria Math" w:eastAsia="Calibri" w:hAnsi="Cambria Math" w:cs="Arial"/>
                        <w:i/>
                        <w:lang w:val="fr-FR"/>
                      </w:rPr>
                    </m:ctrlPr>
                  </m:sSubPr>
                  <m:e>
                    <m:r>
                      <w:rPr>
                        <w:rFonts w:ascii="Cambria Math" w:eastAsia="Calibri" w:hAnsi="Cambria Math" w:cs="Arial"/>
                        <w:lang w:val="fr-FR"/>
                      </w:rPr>
                      <m:t>B</m:t>
                    </m:r>
                  </m:e>
                  <m:sub>
                    <m:r>
                      <w:rPr>
                        <w:rFonts w:ascii="Cambria Math" w:eastAsia="Calibri" w:hAnsi="Cambria Math" w:cs="Arial"/>
                        <w:lang w:val="fr-FR"/>
                      </w:rPr>
                      <m:t>T</m:t>
                    </m:r>
                  </m:sub>
                </m:sSub>
              </m:e>
              <m:sub>
                <m:r>
                  <w:rPr>
                    <w:rFonts w:ascii="Cambria Math" w:eastAsia="Calibri" w:hAnsi="Cambria Math" w:cs="Arial"/>
                    <w:lang w:val="fr-FR"/>
                  </w:rPr>
                  <m:t>plot</m:t>
                </m:r>
                <m:r>
                  <w:rPr>
                    <w:rFonts w:ascii="Cambria Math" w:eastAsia="Calibri" w:hAnsi="Cambria Math" w:cs="Arial"/>
                  </w:rPr>
                  <m:t xml:space="preserve">,   </m:t>
                </m:r>
                <m:r>
                  <w:rPr>
                    <w:rFonts w:ascii="Cambria Math" w:eastAsia="Calibri" w:hAnsi="Cambria Math" w:cs="Arial"/>
                    <w:lang w:val="fr-FR"/>
                  </w:rPr>
                  <m:t>t</m:t>
                </m:r>
                <m:r>
                  <w:rPr>
                    <w:rFonts w:ascii="Cambria Math" w:eastAsia="Calibri" w:hAnsi="Cambria Math" w:cs="Arial"/>
                  </w:rPr>
                  <m:t>/h</m:t>
                </m:r>
                <m:r>
                  <w:rPr>
                    <w:rFonts w:ascii="Cambria Math" w:eastAsia="Calibri" w:hAnsi="Cambria Math" w:cs="Arial"/>
                    <w:lang w:val="fr-FR"/>
                  </w:rPr>
                  <m:t>a</m:t>
                </m:r>
              </m:sub>
            </m:sSub>
          </m:e>
        </m:nary>
      </m:oMath>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r>
      <w:r w:rsidR="00AF0862" w:rsidRPr="00D72F27">
        <w:rPr>
          <w:rFonts w:ascii="Arial" w:eastAsia="Calibri" w:hAnsi="Arial" w:cs="Arial"/>
        </w:rPr>
        <w:tab/>
        <w:t>(</w:t>
      </w:r>
      <w:r w:rsidR="00043641" w:rsidRPr="00D72F27">
        <w:rPr>
          <w:rFonts w:ascii="Arial" w:eastAsia="Calibri" w:hAnsi="Arial" w:cs="Arial"/>
        </w:rPr>
        <w:t>7</w:t>
      </w:r>
      <w:r w:rsidR="00AF0862" w:rsidRPr="00D72F27">
        <w:rPr>
          <w:rFonts w:ascii="Arial" w:eastAsia="Calibri" w:hAnsi="Arial" w:cs="Arial"/>
        </w:rPr>
        <w:t>)</w:t>
      </w:r>
    </w:p>
    <w:p w14:paraId="1F8A377F" w14:textId="636F2F7F" w:rsidR="00AF0862" w:rsidRPr="00D72F27" w:rsidRDefault="00AF0862" w:rsidP="002466B7">
      <w:pPr>
        <w:spacing w:after="240"/>
        <w:rPr>
          <w:rFonts w:ascii="Arial" w:eastAsia="Calibri" w:hAnsi="Arial" w:cs="Arial"/>
        </w:rPr>
      </w:pPr>
      <w:r w:rsidRPr="00D72F27">
        <w:rPr>
          <w:rFonts w:ascii="Arial" w:eastAsia="Calibri" w:hAnsi="Arial" w:cs="Arial"/>
        </w:rPr>
        <w:t xml:space="preserve">where </w:t>
      </w:r>
      <w:r w:rsidRPr="00D72F27">
        <w:rPr>
          <w:rFonts w:ascii="Cambria Math" w:eastAsia="Calibri" w:hAnsi="Cambria Math" w:cs="Cambria Math"/>
        </w:rPr>
        <w:t>𝑛</w:t>
      </w:r>
      <w:r w:rsidRPr="00D72F27">
        <w:rPr>
          <w:rFonts w:ascii="Arial" w:eastAsia="Calibri" w:hAnsi="Arial" w:cs="Arial"/>
        </w:rPr>
        <w:t xml:space="preserve"> is the number of plots established in the </w:t>
      </w:r>
      <w:r w:rsidR="006004C2" w:rsidRPr="00D72F27">
        <w:rPr>
          <w:rFonts w:ascii="Arial" w:eastAsia="Calibri" w:hAnsi="Arial" w:cs="Arial"/>
        </w:rPr>
        <w:t>sector</w:t>
      </w:r>
      <w:r w:rsidRPr="00D72F27">
        <w:rPr>
          <w:rFonts w:ascii="Arial" w:eastAsia="Calibri" w:hAnsi="Arial" w:cs="Arial"/>
        </w:rPr>
        <w:t>.</w:t>
      </w:r>
    </w:p>
    <w:p w14:paraId="3B7DF5CD" w14:textId="1BD1824C" w:rsidR="00B83DCA" w:rsidRPr="00D72F27" w:rsidRDefault="00B83DCA" w:rsidP="002466B7">
      <w:pPr>
        <w:spacing w:after="240"/>
        <w:rPr>
          <w:rFonts w:ascii="Arial" w:eastAsia="Calibri" w:hAnsi="Arial" w:cs="Arial"/>
          <w:b/>
          <w:bCs/>
        </w:rPr>
      </w:pPr>
      <w:r w:rsidRPr="00D72F27">
        <w:rPr>
          <w:rFonts w:ascii="Arial" w:eastAsia="Calibri" w:hAnsi="Arial" w:cs="Arial"/>
          <w:b/>
          <w:bCs/>
        </w:rPr>
        <w:t>Carbon stock estimation</w:t>
      </w:r>
    </w:p>
    <w:p w14:paraId="147FD3B0" w14:textId="5667D270" w:rsidR="00AF0862" w:rsidRPr="00D72F27" w:rsidRDefault="00AF0862" w:rsidP="002466B7">
      <w:pPr>
        <w:spacing w:after="240"/>
        <w:jc w:val="both"/>
        <w:rPr>
          <w:rFonts w:ascii="Arial" w:eastAsia="Calibri" w:hAnsi="Arial" w:cs="Arial"/>
        </w:rPr>
      </w:pPr>
      <w:r w:rsidRPr="00D72F27">
        <w:rPr>
          <w:rFonts w:ascii="Arial" w:eastAsia="Calibri" w:hAnsi="Arial" w:cs="Arial"/>
        </w:rPr>
        <w:t>The</w:t>
      </w:r>
      <w:r w:rsidRPr="00D72F27">
        <w:rPr>
          <w:rFonts w:ascii="Arial" w:eastAsia="Calibri" w:hAnsi="Arial" w:cs="Arial"/>
          <w:b/>
          <w:bCs/>
        </w:rPr>
        <w:t xml:space="preserve"> </w:t>
      </w:r>
      <w:r w:rsidR="006004C2" w:rsidRPr="00D72F27">
        <w:rPr>
          <w:rFonts w:ascii="Arial" w:eastAsia="Calibri" w:hAnsi="Arial" w:cs="Arial"/>
        </w:rPr>
        <w:t>total</w:t>
      </w:r>
      <w:r w:rsidRPr="00D72F27">
        <w:rPr>
          <w:rFonts w:ascii="Arial" w:eastAsia="Calibri" w:hAnsi="Arial" w:cs="Arial"/>
        </w:rPr>
        <w:t xml:space="preserve"> carbon stock </w:t>
      </w:r>
      <w:r w:rsidR="006004C2" w:rsidRPr="00D72F27">
        <w:rPr>
          <w:rFonts w:ascii="Arial" w:eastAsia="Calibri" w:hAnsi="Arial" w:cs="Arial"/>
        </w:rPr>
        <w:t>(</w:t>
      </w:r>
      <w:r w:rsidR="006004C2" w:rsidRPr="00D72F27">
        <w:rPr>
          <w:rFonts w:ascii="Arial" w:eastAsia="Calibri" w:hAnsi="Arial" w:cs="Arial"/>
          <w:i/>
          <w:iCs/>
        </w:rPr>
        <w:t>TCS</w:t>
      </w:r>
      <w:r w:rsidR="006004C2" w:rsidRPr="00D72F27">
        <w:rPr>
          <w:rFonts w:ascii="Arial" w:eastAsia="Calibri" w:hAnsi="Arial" w:cs="Arial"/>
        </w:rPr>
        <w:t xml:space="preserve">) </w:t>
      </w:r>
      <w:r w:rsidRPr="00D72F27">
        <w:rPr>
          <w:rFonts w:ascii="Arial" w:eastAsia="Calibri" w:hAnsi="Arial" w:cs="Arial"/>
        </w:rPr>
        <w:t xml:space="preserve">was derived by applying a standard carbon conversion factor to the </w:t>
      </w:r>
      <w:r w:rsidR="006004C2" w:rsidRPr="00D72F27">
        <w:rPr>
          <w:rFonts w:ascii="Arial" w:eastAsia="Calibri" w:hAnsi="Arial" w:cs="Arial"/>
          <w:i/>
          <w:iCs/>
        </w:rPr>
        <w:t>B</w:t>
      </w:r>
      <w:r w:rsidR="006004C2" w:rsidRPr="00D72F27">
        <w:rPr>
          <w:rFonts w:ascii="Arial" w:eastAsia="Calibri" w:hAnsi="Arial" w:cs="Arial"/>
          <w:i/>
          <w:iCs/>
          <w:vertAlign w:val="subscript"/>
        </w:rPr>
        <w:t>T</w:t>
      </w:r>
      <w:r w:rsidRPr="00D72F27">
        <w:rPr>
          <w:rFonts w:ascii="Arial" w:eastAsia="Calibri" w:hAnsi="Arial" w:cs="Arial"/>
        </w:rPr>
        <w:t xml:space="preserve"> values. A conversion factor of 0.47, commonly used for tropical forests</w:t>
      </w:r>
      <w:r w:rsidR="002466B7" w:rsidRPr="00D72F27">
        <w:rPr>
          <w:rFonts w:ascii="Arial" w:eastAsia="Calibri" w:hAnsi="Arial" w:cs="Arial"/>
        </w:rPr>
        <w:t xml:space="preserve"> (IPCC, 2006)</w:t>
      </w:r>
      <w:r w:rsidRPr="00D72F27">
        <w:rPr>
          <w:rFonts w:ascii="Arial" w:eastAsia="Calibri" w:hAnsi="Arial" w:cs="Arial"/>
        </w:rPr>
        <w:t>, was adopted:</w:t>
      </w:r>
    </w:p>
    <w:p w14:paraId="06E8C488" w14:textId="7CC13602" w:rsidR="00AF0862" w:rsidRPr="00D72F27" w:rsidRDefault="006004C2" w:rsidP="00043641">
      <w:pPr>
        <w:spacing w:after="240"/>
        <w:jc w:val="right"/>
        <w:rPr>
          <w:rFonts w:ascii="Arial" w:eastAsia="Calibri" w:hAnsi="Arial" w:cs="Arial"/>
        </w:rPr>
      </w:pPr>
      <w:r w:rsidRPr="00D72F27">
        <w:rPr>
          <w:rFonts w:ascii="Arial" w:eastAsia="Calibri" w:hAnsi="Arial" w:cs="Arial"/>
          <w:i/>
          <w:iCs/>
        </w:rPr>
        <w:t>TCS</w:t>
      </w:r>
      <w:r w:rsidR="00AF0862" w:rsidRPr="00D72F27">
        <w:rPr>
          <w:rFonts w:ascii="Arial" w:eastAsia="Calibri" w:hAnsi="Arial" w:cs="Arial"/>
        </w:rPr>
        <w:t xml:space="preserve">= 0.47 × </w:t>
      </w:r>
      <w:r w:rsidRPr="00D72F27">
        <w:rPr>
          <w:rFonts w:ascii="Arial" w:eastAsia="Calibri" w:hAnsi="Arial" w:cs="Arial"/>
          <w:i/>
          <w:iCs/>
        </w:rPr>
        <w:t>B</w:t>
      </w:r>
      <w:r w:rsidRPr="00D72F27">
        <w:rPr>
          <w:rFonts w:ascii="Arial" w:eastAsia="Calibri" w:hAnsi="Arial" w:cs="Arial"/>
          <w:i/>
          <w:iCs/>
          <w:vertAlign w:val="subscript"/>
        </w:rPr>
        <w:t>T</w:t>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i/>
          <w:iCs/>
          <w:vertAlign w:val="subscript"/>
        </w:rPr>
        <w:tab/>
      </w:r>
      <w:r w:rsidR="00043641" w:rsidRPr="00D72F27">
        <w:rPr>
          <w:rFonts w:ascii="Arial" w:eastAsia="Calibri" w:hAnsi="Arial" w:cs="Arial"/>
        </w:rPr>
        <w:t>(8)</w:t>
      </w:r>
    </w:p>
    <w:p w14:paraId="2AC854B9" w14:textId="78E16E87" w:rsidR="00AF0862" w:rsidRDefault="00AF0862" w:rsidP="002466B7">
      <w:pPr>
        <w:spacing w:after="240"/>
        <w:jc w:val="both"/>
        <w:rPr>
          <w:rFonts w:ascii="Arial" w:eastAsia="Calibri" w:hAnsi="Arial" w:cs="Arial"/>
        </w:rPr>
      </w:pPr>
      <w:r w:rsidRPr="00D72F27">
        <w:rPr>
          <w:rFonts w:ascii="Arial" w:eastAsia="Calibri" w:hAnsi="Arial" w:cs="Arial"/>
        </w:rPr>
        <w:t>The resulting carbon stock was expressed in metric tons of carbon per hectare (t C ha</w:t>
      </w:r>
      <w:r w:rsidRPr="00D72F27">
        <w:rPr>
          <w:rFonts w:ascii="Arial" w:eastAsia="Calibri" w:hAnsi="Arial" w:cs="Arial"/>
          <w:vertAlign w:val="superscript"/>
        </w:rPr>
        <w:t>-1</w:t>
      </w:r>
      <w:r w:rsidRPr="00D72F27">
        <w:rPr>
          <w:rFonts w:ascii="Arial" w:eastAsia="Calibri" w:hAnsi="Arial" w:cs="Arial"/>
        </w:rPr>
        <w:t xml:space="preserve">), both at the plot level and averaged by </w:t>
      </w:r>
      <w:r w:rsidR="006004C2" w:rsidRPr="00D72F27">
        <w:rPr>
          <w:rFonts w:ascii="Arial" w:eastAsia="Calibri" w:hAnsi="Arial" w:cs="Arial"/>
        </w:rPr>
        <w:t>sector</w:t>
      </w:r>
      <w:r w:rsidRPr="00D72F27">
        <w:rPr>
          <w:rFonts w:ascii="Arial" w:eastAsia="Calibri" w:hAnsi="Arial" w:cs="Arial"/>
        </w:rPr>
        <w:t>.</w:t>
      </w:r>
    </w:p>
    <w:p w14:paraId="7B5A29E6" w14:textId="77777777" w:rsidR="005D7677" w:rsidRPr="00D72F27" w:rsidRDefault="005D7677" w:rsidP="002466B7">
      <w:pPr>
        <w:spacing w:after="240"/>
        <w:jc w:val="both"/>
        <w:rPr>
          <w:rFonts w:ascii="Arial" w:eastAsia="Calibri" w:hAnsi="Arial" w:cs="Arial"/>
        </w:rPr>
      </w:pPr>
    </w:p>
    <w:p w14:paraId="509C18E2" w14:textId="04496CCC" w:rsidR="00D60DA7" w:rsidRPr="002F5190" w:rsidRDefault="00D60DA7" w:rsidP="00D60DA7">
      <w:pPr>
        <w:pStyle w:val="Body"/>
        <w:rPr>
          <w:rFonts w:ascii="Arial" w:hAnsi="Arial" w:cs="Arial"/>
          <w:b/>
          <w:bCs/>
          <w:sz w:val="22"/>
          <w:szCs w:val="22"/>
        </w:rPr>
      </w:pPr>
      <w:bookmarkStart w:id="9" w:name="_Hlk206365979"/>
      <w:r w:rsidRPr="002F5190">
        <w:rPr>
          <w:rFonts w:ascii="Arial" w:hAnsi="Arial" w:cs="Arial"/>
          <w:b/>
          <w:bCs/>
          <w:sz w:val="22"/>
          <w:szCs w:val="22"/>
        </w:rPr>
        <w:lastRenderedPageBreak/>
        <w:t>2.</w:t>
      </w:r>
      <w:r w:rsidR="00992E8C" w:rsidRPr="002F5190">
        <w:rPr>
          <w:rFonts w:ascii="Arial" w:hAnsi="Arial" w:cs="Arial"/>
          <w:b/>
          <w:bCs/>
          <w:sz w:val="22"/>
          <w:szCs w:val="22"/>
        </w:rPr>
        <w:t>6</w:t>
      </w:r>
      <w:r w:rsidRPr="002F5190">
        <w:rPr>
          <w:rFonts w:ascii="Arial" w:hAnsi="Arial" w:cs="Arial"/>
          <w:b/>
          <w:bCs/>
          <w:sz w:val="22"/>
          <w:szCs w:val="22"/>
        </w:rPr>
        <w:t>. Statistical analysis</w:t>
      </w:r>
    </w:p>
    <w:bookmarkEnd w:id="9"/>
    <w:p w14:paraId="676194C7" w14:textId="2CA1CDCD" w:rsidR="00896161" w:rsidRPr="00D72F27" w:rsidRDefault="00896161" w:rsidP="00896161">
      <w:pPr>
        <w:pStyle w:val="Body"/>
        <w:rPr>
          <w:rFonts w:ascii="Arial" w:hAnsi="Arial" w:cs="Arial"/>
        </w:rPr>
      </w:pPr>
      <w:r w:rsidRPr="00D72F27">
        <w:rPr>
          <w:rFonts w:ascii="Arial" w:hAnsi="Arial" w:cs="Arial"/>
        </w:rPr>
        <w:t>All analyses were performed in R version 4.3.2 (R Core Team, 202</w:t>
      </w:r>
      <w:r w:rsidR="005D3AC7">
        <w:rPr>
          <w:rFonts w:ascii="Arial" w:hAnsi="Arial" w:cs="Arial"/>
        </w:rPr>
        <w:t>4</w:t>
      </w:r>
      <w:r w:rsidRPr="00D72F27">
        <w:rPr>
          <w:rFonts w:ascii="Arial" w:hAnsi="Arial" w:cs="Arial"/>
        </w:rPr>
        <w:t>), with α set at 0.05. Categorical data on infrastructure and pollution types were summarized by sector, and chi-square tests were used to assess sectoral differences, with Monte Carlo simulations (10,000 replicates) applied when test assumptions were violated</w:t>
      </w:r>
      <w:r w:rsidR="009851D2">
        <w:rPr>
          <w:rFonts w:ascii="Arial" w:hAnsi="Arial" w:cs="Arial"/>
        </w:rPr>
        <w:t xml:space="preserve"> </w:t>
      </w:r>
      <w:r w:rsidR="009851D2" w:rsidRPr="009851D2">
        <w:rPr>
          <w:rFonts w:ascii="Arial" w:hAnsi="Arial" w:cs="Arial"/>
        </w:rPr>
        <w:t>(Hope, 1968; Hope, 1969)</w:t>
      </w:r>
      <w:r w:rsidRPr="00D72F27">
        <w:rPr>
          <w:rFonts w:ascii="Arial" w:hAnsi="Arial" w:cs="Arial"/>
        </w:rPr>
        <w:t>. Cramér’s V and standardized residuals were used to assess effect sizes and identify key associations</w:t>
      </w:r>
      <w:r w:rsidR="009851D2">
        <w:rPr>
          <w:rFonts w:ascii="Arial" w:hAnsi="Arial" w:cs="Arial"/>
        </w:rPr>
        <w:t xml:space="preserve"> </w:t>
      </w:r>
      <w:r w:rsidR="009851D2" w:rsidRPr="009851D2">
        <w:rPr>
          <w:rFonts w:ascii="Arial" w:hAnsi="Arial" w:cs="Arial"/>
        </w:rPr>
        <w:t>(Agresti, 2013)</w:t>
      </w:r>
      <w:r w:rsidRPr="00D72F27">
        <w:rPr>
          <w:rFonts w:ascii="Arial" w:hAnsi="Arial" w:cs="Arial"/>
        </w:rPr>
        <w:t>.</w:t>
      </w:r>
    </w:p>
    <w:p w14:paraId="575F4B98" w14:textId="77177358" w:rsidR="00896161" w:rsidRPr="00D72F27" w:rsidRDefault="00896161" w:rsidP="00896161">
      <w:pPr>
        <w:pStyle w:val="Body"/>
        <w:rPr>
          <w:rFonts w:ascii="Arial" w:hAnsi="Arial" w:cs="Arial"/>
        </w:rPr>
      </w:pPr>
      <w:r w:rsidRPr="00D72F27">
        <w:rPr>
          <w:rFonts w:ascii="Arial" w:hAnsi="Arial" w:cs="Arial"/>
        </w:rPr>
        <w:t xml:space="preserve">Variation in stem density of </w:t>
      </w:r>
      <w:r w:rsidRPr="00D72F27">
        <w:rPr>
          <w:rFonts w:ascii="Arial" w:hAnsi="Arial" w:cs="Arial"/>
          <w:i/>
          <w:iCs/>
        </w:rPr>
        <w:t>Rhizophora racemosa</w:t>
      </w:r>
      <w:r w:rsidRPr="00D72F27">
        <w:rPr>
          <w:rFonts w:ascii="Arial" w:hAnsi="Arial" w:cs="Arial"/>
        </w:rPr>
        <w:t xml:space="preserve"> stands was analyzed using a generalized linear model (GLM) with a log link</w:t>
      </w:r>
      <w:r w:rsidR="009851D2">
        <w:rPr>
          <w:rFonts w:ascii="Arial" w:hAnsi="Arial" w:cs="Arial"/>
        </w:rPr>
        <w:t xml:space="preserve"> </w:t>
      </w:r>
      <w:r w:rsidR="009851D2" w:rsidRPr="009851D2">
        <w:rPr>
          <w:rFonts w:ascii="Arial" w:hAnsi="Arial" w:cs="Arial"/>
        </w:rPr>
        <w:t>(Nelder &amp; Wedderburn, 1972)</w:t>
      </w:r>
      <w:r w:rsidRPr="00D72F27">
        <w:rPr>
          <w:rFonts w:ascii="Arial" w:hAnsi="Arial" w:cs="Arial"/>
        </w:rPr>
        <w:t>. Overdispersion was accounted for using quasi-Poisson or negative-binomial models as needed</w:t>
      </w:r>
      <w:r w:rsidR="009851D2">
        <w:rPr>
          <w:rFonts w:ascii="Arial" w:hAnsi="Arial" w:cs="Arial"/>
        </w:rPr>
        <w:t xml:space="preserve"> </w:t>
      </w:r>
      <w:r w:rsidR="009851D2" w:rsidRPr="009851D2">
        <w:rPr>
          <w:rFonts w:ascii="Arial" w:hAnsi="Arial" w:cs="Arial"/>
        </w:rPr>
        <w:t xml:space="preserve">(Ver </w:t>
      </w:r>
      <w:proofErr w:type="spellStart"/>
      <w:r w:rsidR="009851D2" w:rsidRPr="009851D2">
        <w:rPr>
          <w:rFonts w:ascii="Arial" w:hAnsi="Arial" w:cs="Arial"/>
        </w:rPr>
        <w:t>Hoef</w:t>
      </w:r>
      <w:proofErr w:type="spellEnd"/>
      <w:r w:rsidR="009851D2" w:rsidRPr="009851D2">
        <w:rPr>
          <w:rFonts w:ascii="Arial" w:hAnsi="Arial" w:cs="Arial"/>
        </w:rPr>
        <w:t xml:space="preserve"> &amp; </w:t>
      </w:r>
      <w:proofErr w:type="spellStart"/>
      <w:r w:rsidR="009851D2" w:rsidRPr="009851D2">
        <w:rPr>
          <w:rFonts w:ascii="Arial" w:hAnsi="Arial" w:cs="Arial"/>
        </w:rPr>
        <w:t>Boveng</w:t>
      </w:r>
      <w:proofErr w:type="spellEnd"/>
      <w:r w:rsidR="009851D2" w:rsidRPr="009851D2">
        <w:rPr>
          <w:rFonts w:ascii="Arial" w:hAnsi="Arial" w:cs="Arial"/>
        </w:rPr>
        <w:t>, 2007)</w:t>
      </w:r>
      <w:r w:rsidRPr="00D72F27">
        <w:rPr>
          <w:rFonts w:ascii="Arial" w:hAnsi="Arial" w:cs="Arial"/>
        </w:rPr>
        <w:t xml:space="preserve">. Estimated marginal means (EMMs) and Sidak-adjusted pairwise comparisons </w:t>
      </w:r>
      <w:r w:rsidR="009851D2" w:rsidRPr="009851D2">
        <w:rPr>
          <w:rFonts w:ascii="Arial" w:hAnsi="Arial" w:cs="Arial"/>
        </w:rPr>
        <w:t>(Lenth, 2021)</w:t>
      </w:r>
      <w:r w:rsidR="009851D2">
        <w:rPr>
          <w:rFonts w:ascii="Arial" w:hAnsi="Arial" w:cs="Arial"/>
        </w:rPr>
        <w:t xml:space="preserve"> </w:t>
      </w:r>
      <w:r w:rsidRPr="00D72F27">
        <w:rPr>
          <w:rFonts w:ascii="Arial" w:hAnsi="Arial" w:cs="Arial"/>
        </w:rPr>
        <w:t>were obtained for all models.</w:t>
      </w:r>
    </w:p>
    <w:p w14:paraId="425CAD42" w14:textId="1EAF5E68" w:rsidR="00A9397F" w:rsidRPr="00D72F27" w:rsidRDefault="00012A0F" w:rsidP="00441B6F">
      <w:pPr>
        <w:pStyle w:val="Body"/>
        <w:spacing w:after="0"/>
        <w:rPr>
          <w:rFonts w:ascii="Arial" w:hAnsi="Arial" w:cs="Arial"/>
        </w:rPr>
      </w:pPr>
      <w:r w:rsidRPr="00D72F27">
        <w:rPr>
          <w:rFonts w:ascii="Arial" w:hAnsi="Arial" w:cs="Arial"/>
        </w:rPr>
        <w:t>Variation in t</w:t>
      </w:r>
      <w:r w:rsidR="00896161" w:rsidRPr="00D72F27">
        <w:rPr>
          <w:rFonts w:ascii="Arial" w:hAnsi="Arial" w:cs="Arial"/>
        </w:rPr>
        <w:t>ree height and DBH w</w:t>
      </w:r>
      <w:r w:rsidRPr="00D72F27">
        <w:rPr>
          <w:rFonts w:ascii="Arial" w:hAnsi="Arial" w:cs="Arial"/>
        </w:rPr>
        <w:t>as</w:t>
      </w:r>
      <w:r w:rsidR="00896161" w:rsidRPr="00D72F27">
        <w:rPr>
          <w:rFonts w:ascii="Arial" w:hAnsi="Arial" w:cs="Arial"/>
        </w:rPr>
        <w:t xml:space="preserve"> tested using ANOVA or Games–Howell post-hoc tests where appropriate</w:t>
      </w:r>
      <w:r w:rsidR="009851D2">
        <w:rPr>
          <w:rFonts w:ascii="Arial" w:hAnsi="Arial" w:cs="Arial"/>
        </w:rPr>
        <w:t xml:space="preserve"> </w:t>
      </w:r>
      <w:r w:rsidR="009851D2" w:rsidRPr="009851D2">
        <w:rPr>
          <w:rFonts w:ascii="Arial" w:hAnsi="Arial" w:cs="Arial"/>
        </w:rPr>
        <w:t>(Games &amp; Howell, 1976)</w:t>
      </w:r>
      <w:r w:rsidR="00896161" w:rsidRPr="00D72F27">
        <w:rPr>
          <w:rFonts w:ascii="Arial" w:hAnsi="Arial" w:cs="Arial"/>
        </w:rPr>
        <w:t>. Basal area was similarly analyzed using Gaussian or Gamma GLMs depending on data distribution, while total biomass</w:t>
      </w:r>
      <w:r w:rsidRPr="00D72F27">
        <w:rPr>
          <w:rFonts w:ascii="Arial" w:hAnsi="Arial" w:cs="Arial"/>
        </w:rPr>
        <w:t xml:space="preserve"> (</w:t>
      </w:r>
      <w:r w:rsidRPr="00D72F27">
        <w:rPr>
          <w:rFonts w:ascii="Arial" w:hAnsi="Arial" w:cs="Arial"/>
          <w:i/>
          <w:iCs/>
        </w:rPr>
        <w:t>B</w:t>
      </w:r>
      <w:r w:rsidRPr="00D72F27">
        <w:rPr>
          <w:rFonts w:ascii="Arial" w:hAnsi="Arial" w:cs="Arial"/>
          <w:i/>
          <w:iCs/>
          <w:vertAlign w:val="subscript"/>
        </w:rPr>
        <w:t>T</w:t>
      </w:r>
      <w:r w:rsidRPr="00D72F27">
        <w:rPr>
          <w:rFonts w:ascii="Arial" w:hAnsi="Arial" w:cs="Arial"/>
        </w:rPr>
        <w:t>)</w:t>
      </w:r>
      <w:r w:rsidR="00896161" w:rsidRPr="00D72F27">
        <w:rPr>
          <w:rFonts w:ascii="Arial" w:hAnsi="Arial" w:cs="Arial"/>
        </w:rPr>
        <w:t xml:space="preserve"> and carbon stock</w:t>
      </w:r>
      <w:r w:rsidRPr="00D72F27">
        <w:rPr>
          <w:rFonts w:ascii="Arial" w:hAnsi="Arial" w:cs="Arial"/>
        </w:rPr>
        <w:t xml:space="preserve"> (</w:t>
      </w:r>
      <w:r w:rsidRPr="00D72F27">
        <w:rPr>
          <w:rFonts w:ascii="Arial" w:hAnsi="Arial" w:cs="Arial"/>
          <w:i/>
          <w:iCs/>
        </w:rPr>
        <w:t>TCS</w:t>
      </w:r>
      <w:r w:rsidRPr="00D72F27">
        <w:rPr>
          <w:rFonts w:ascii="Arial" w:hAnsi="Arial" w:cs="Arial"/>
        </w:rPr>
        <w:t>)</w:t>
      </w:r>
      <w:r w:rsidR="00896161" w:rsidRPr="00D72F27">
        <w:rPr>
          <w:rFonts w:ascii="Arial" w:hAnsi="Arial" w:cs="Arial"/>
        </w:rPr>
        <w:t xml:space="preserve"> were compared </w:t>
      </w:r>
      <w:r w:rsidRPr="00D72F27">
        <w:rPr>
          <w:rFonts w:ascii="Arial" w:hAnsi="Arial" w:cs="Arial"/>
        </w:rPr>
        <w:t xml:space="preserve">across study sectors </w:t>
      </w:r>
      <w:r w:rsidR="00896161" w:rsidRPr="00D72F27">
        <w:rPr>
          <w:rFonts w:ascii="Arial" w:hAnsi="Arial" w:cs="Arial"/>
        </w:rPr>
        <w:t>using ANOVA or Welch’s test based on Levene’s test results</w:t>
      </w:r>
      <w:r w:rsidR="009851D2">
        <w:rPr>
          <w:rFonts w:ascii="Arial" w:hAnsi="Arial" w:cs="Arial"/>
        </w:rPr>
        <w:t xml:space="preserve"> </w:t>
      </w:r>
      <w:r w:rsidR="009851D2" w:rsidRPr="009851D2">
        <w:rPr>
          <w:rFonts w:ascii="Arial" w:hAnsi="Arial" w:cs="Arial"/>
        </w:rPr>
        <w:t>(Gastwirth et al., 2009)</w:t>
      </w:r>
      <w:r w:rsidR="00896161" w:rsidRPr="00D72F27">
        <w:rPr>
          <w:rFonts w:ascii="Arial" w:hAnsi="Arial" w:cs="Arial"/>
        </w:rPr>
        <w:t>.</w:t>
      </w:r>
    </w:p>
    <w:p w14:paraId="5954DEED" w14:textId="77777777" w:rsidR="00A9397F" w:rsidRPr="00D72F27" w:rsidRDefault="00A9397F" w:rsidP="00441B6F">
      <w:pPr>
        <w:pStyle w:val="Body"/>
        <w:spacing w:after="0"/>
        <w:rPr>
          <w:rFonts w:ascii="Arial" w:hAnsi="Arial" w:cs="Arial"/>
        </w:rPr>
      </w:pPr>
    </w:p>
    <w:p w14:paraId="480AB15D" w14:textId="57D6076D" w:rsidR="00790ADA" w:rsidRPr="002F5190" w:rsidRDefault="00000F8F" w:rsidP="003D41E4">
      <w:pPr>
        <w:pStyle w:val="Head1"/>
        <w:jc w:val="both"/>
        <w:rPr>
          <w:rFonts w:ascii="Arial" w:hAnsi="Arial" w:cs="Arial"/>
          <w:szCs w:val="22"/>
        </w:rPr>
      </w:pPr>
      <w:r w:rsidRPr="002F5190">
        <w:rPr>
          <w:rFonts w:ascii="Arial" w:hAnsi="Arial" w:cs="Arial"/>
          <w:szCs w:val="22"/>
        </w:rPr>
        <w:t>3</w:t>
      </w:r>
      <w:r w:rsidR="00902823" w:rsidRPr="002F5190">
        <w:rPr>
          <w:rFonts w:ascii="Arial" w:hAnsi="Arial" w:cs="Arial"/>
          <w:szCs w:val="22"/>
        </w:rPr>
        <w:t xml:space="preserve">. </w:t>
      </w:r>
      <w:r w:rsidRPr="002F5190">
        <w:rPr>
          <w:rFonts w:ascii="Arial" w:hAnsi="Arial" w:cs="Arial"/>
          <w:szCs w:val="22"/>
        </w:rPr>
        <w:t>results and discussion</w:t>
      </w:r>
    </w:p>
    <w:p w14:paraId="3A2CA900"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3.1. Spatial variation of anthropogenic pressures</w:t>
      </w:r>
    </w:p>
    <w:p w14:paraId="5E5C2E34"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3.1.1. Intensity of infrastructures</w:t>
      </w:r>
    </w:p>
    <w:p w14:paraId="2935B4CD" w14:textId="7F61B5B5" w:rsidR="003C5DAF" w:rsidRPr="003C5DAF" w:rsidRDefault="003C5DAF" w:rsidP="003C5DAF">
      <w:pPr>
        <w:pStyle w:val="Body"/>
        <w:rPr>
          <w:rFonts w:ascii="Arial" w:hAnsi="Arial" w:cs="Arial"/>
        </w:rPr>
      </w:pPr>
      <w:bookmarkStart w:id="10" w:name="_Hlk206665682"/>
      <w:r w:rsidRPr="003C5DAF">
        <w:rPr>
          <w:rFonts w:ascii="Arial" w:hAnsi="Arial" w:cs="Arial"/>
        </w:rPr>
        <w:t xml:space="preserve">Significant spatial contrasts were observed in the intensity and type of infrastructure recorded across the surveyed sectors of </w:t>
      </w:r>
      <w:r w:rsidR="00CB719E">
        <w:rPr>
          <w:rFonts w:ascii="Arial" w:hAnsi="Arial" w:cs="Arial"/>
        </w:rPr>
        <w:t xml:space="preserve">Amangoua-koi </w:t>
      </w:r>
      <w:r w:rsidRPr="003C5DAF">
        <w:rPr>
          <w:rFonts w:ascii="Arial" w:hAnsi="Arial" w:cs="Arial"/>
        </w:rPr>
        <w:t>village. Recreational and event infrastructures accounted for the largest share of all anthropogenic installations (32%), followed by agricultural and livestock facilities (27%), transport and waterfront structures (23%), and water and sanitation infrastructure (18%) (Fig. 3). However, these overall proportions masked substantial sectoral variation in land-use pressures (Fig. 4).</w:t>
      </w:r>
    </w:p>
    <w:p w14:paraId="725B64D0" w14:textId="0BCDFF98" w:rsidR="003C5DAF" w:rsidRDefault="003C5DAF" w:rsidP="00860FF4">
      <w:pPr>
        <w:pStyle w:val="Body"/>
        <w:rPr>
          <w:rFonts w:ascii="Arial" w:hAnsi="Arial" w:cs="Arial"/>
        </w:rPr>
      </w:pPr>
      <w:r w:rsidRPr="003C5DAF">
        <w:rPr>
          <w:rFonts w:ascii="Arial" w:hAnsi="Arial" w:cs="Arial"/>
        </w:rPr>
        <w:t xml:space="preserve">The distribution of infrastructure types differed significantly between sectors (χ² = 84.99, simulated P &lt; .001), with a moderate association strength (Cramér’s V = 0.289). Standardized residuals from the chi-square test revealed distinct patterns: recreational and event facilities were significantly overrepresented in </w:t>
      </w:r>
      <w:proofErr w:type="spellStart"/>
      <w:r w:rsidRPr="003C5DAF">
        <w:rPr>
          <w:rFonts w:ascii="Arial" w:hAnsi="Arial" w:cs="Arial"/>
        </w:rPr>
        <w:t>Darakodji</w:t>
      </w:r>
      <w:proofErr w:type="spellEnd"/>
      <w:r w:rsidRPr="003C5DAF">
        <w:rPr>
          <w:rFonts w:ascii="Arial" w:hAnsi="Arial" w:cs="Arial"/>
        </w:rPr>
        <w:t xml:space="preserve"> (P = .0016), suggesting a concentration of leisure-oriented land uses in this sector. In contrast, agricultural and livestock infrastructures were disproportionately prevalent in </w:t>
      </w:r>
      <w:r w:rsidR="00855BFE">
        <w:rPr>
          <w:rFonts w:ascii="Arial" w:hAnsi="Arial" w:cs="Arial"/>
        </w:rPr>
        <w:t>Aero-canal</w:t>
      </w:r>
      <w:r w:rsidRPr="003C5DAF">
        <w:rPr>
          <w:rFonts w:ascii="Arial" w:hAnsi="Arial" w:cs="Arial"/>
        </w:rPr>
        <w:t xml:space="preserve"> (P = .0022) and </w:t>
      </w:r>
      <w:proofErr w:type="spellStart"/>
      <w:r w:rsidRPr="003C5DAF">
        <w:rPr>
          <w:rFonts w:ascii="Arial" w:hAnsi="Arial" w:cs="Arial"/>
        </w:rPr>
        <w:t>Kamboukro</w:t>
      </w:r>
      <w:proofErr w:type="spellEnd"/>
      <w:r w:rsidRPr="003C5DAF">
        <w:rPr>
          <w:rFonts w:ascii="Arial" w:hAnsi="Arial" w:cs="Arial"/>
        </w:rPr>
        <w:t xml:space="preserve"> (P = .0093), reflecting the persistence of subsistence and peri-urban farming activities in these sectors. Transport and waterfront facilities dominated in </w:t>
      </w:r>
      <w:proofErr w:type="spellStart"/>
      <w:r w:rsidRPr="003C5DAF">
        <w:rPr>
          <w:rFonts w:ascii="Arial" w:hAnsi="Arial" w:cs="Arial"/>
        </w:rPr>
        <w:t>Agnikro</w:t>
      </w:r>
      <w:proofErr w:type="spellEnd"/>
      <w:r w:rsidRPr="003C5DAF">
        <w:rPr>
          <w:rFonts w:ascii="Arial" w:hAnsi="Arial" w:cs="Arial"/>
        </w:rPr>
        <w:t xml:space="preserve"> (P = .0115), while </w:t>
      </w:r>
      <w:proofErr w:type="spellStart"/>
      <w:r w:rsidRPr="003C5DAF">
        <w:rPr>
          <w:rFonts w:ascii="Arial" w:hAnsi="Arial" w:cs="Arial"/>
        </w:rPr>
        <w:t>Kamboukro</w:t>
      </w:r>
      <w:proofErr w:type="spellEnd"/>
      <w:r w:rsidRPr="003C5DAF">
        <w:rPr>
          <w:rFonts w:ascii="Arial" w:hAnsi="Arial" w:cs="Arial"/>
        </w:rPr>
        <w:t xml:space="preserve"> also showed an excess of water and sanitation installations (P = .0459), likely due to settlement expansion and associated infrastructure development.</w:t>
      </w:r>
    </w:p>
    <w:bookmarkEnd w:id="7"/>
    <w:bookmarkEnd w:id="10"/>
    <w:p w14:paraId="68BF4C24" w14:textId="27B879BE" w:rsidR="00860FF4" w:rsidRDefault="008E3391" w:rsidP="003C5DAF">
      <w:pPr>
        <w:pStyle w:val="Body"/>
        <w:spacing w:after="0"/>
        <w:jc w:val="center"/>
        <w:rPr>
          <w:rFonts w:ascii="Arial" w:hAnsi="Arial" w:cs="Arial"/>
        </w:rPr>
      </w:pPr>
      <w:r>
        <w:rPr>
          <w:noProof/>
        </w:rPr>
        <w:lastRenderedPageBreak/>
        <w:drawing>
          <wp:inline distT="0" distB="0" distL="0" distR="0" wp14:anchorId="5562A4BC" wp14:editId="2B153FA2">
            <wp:extent cx="5212080" cy="2832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832100"/>
                    </a:xfrm>
                    <a:prstGeom prst="rect">
                      <a:avLst/>
                    </a:prstGeom>
                    <a:noFill/>
                    <a:ln>
                      <a:noFill/>
                    </a:ln>
                  </pic:spPr>
                </pic:pic>
              </a:graphicData>
            </a:graphic>
          </wp:inline>
        </w:drawing>
      </w:r>
    </w:p>
    <w:p w14:paraId="224B5569" w14:textId="2EE3687A" w:rsidR="00AB0E2C" w:rsidRPr="00B614F6" w:rsidRDefault="00860FF4" w:rsidP="003C5DAF">
      <w:pPr>
        <w:pStyle w:val="Body"/>
        <w:jc w:val="center"/>
        <w:rPr>
          <w:rFonts w:ascii="Arial" w:hAnsi="Arial" w:cs="Arial"/>
          <w:b/>
          <w:bCs/>
        </w:rPr>
      </w:pPr>
      <w:r w:rsidRPr="00B614F6">
        <w:rPr>
          <w:rFonts w:ascii="Arial" w:hAnsi="Arial" w:cs="Arial"/>
          <w:b/>
          <w:bCs/>
        </w:rPr>
        <w:t>Fig. 3. Proportion of infrastructure categories recorded in the study area</w:t>
      </w:r>
    </w:p>
    <w:p w14:paraId="652BCBF6" w14:textId="77777777" w:rsidR="003C5DAF" w:rsidRDefault="003C5DAF" w:rsidP="003C5DAF">
      <w:pPr>
        <w:pStyle w:val="Body"/>
        <w:jc w:val="center"/>
        <w:rPr>
          <w:rFonts w:ascii="Arial" w:hAnsi="Arial" w:cs="Arial"/>
        </w:rPr>
      </w:pPr>
    </w:p>
    <w:p w14:paraId="10150433" w14:textId="4E905669" w:rsidR="003C5DAF" w:rsidRPr="003C5DAF" w:rsidRDefault="00AB0E2C" w:rsidP="003C5DAF">
      <w:pPr>
        <w:pStyle w:val="Body"/>
        <w:spacing w:after="0"/>
        <w:jc w:val="center"/>
        <w:rPr>
          <w:rFonts w:ascii="Arial" w:hAnsi="Arial" w:cs="Arial"/>
        </w:rPr>
      </w:pPr>
      <w:r>
        <w:rPr>
          <w:noProof/>
        </w:rPr>
        <w:drawing>
          <wp:inline distT="0" distB="0" distL="0" distR="0" wp14:anchorId="016A537B" wp14:editId="66055593">
            <wp:extent cx="4868545" cy="3633788"/>
            <wp:effectExtent l="19050" t="19050" r="825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655" t="3930" r="2930" b="2392"/>
                    <a:stretch/>
                  </pic:blipFill>
                  <pic:spPr bwMode="auto">
                    <a:xfrm>
                      <a:off x="0" y="0"/>
                      <a:ext cx="4868862" cy="36340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7C9E5F6" w14:textId="2A6F6F7E" w:rsidR="00AB0E2C" w:rsidRPr="00B614F6" w:rsidRDefault="00AB0E2C" w:rsidP="00AB0E2C">
      <w:pPr>
        <w:pStyle w:val="Body"/>
        <w:spacing w:before="240" w:after="0"/>
        <w:jc w:val="center"/>
        <w:rPr>
          <w:rFonts w:ascii="Arial" w:hAnsi="Arial" w:cs="Arial"/>
          <w:b/>
          <w:bCs/>
        </w:rPr>
      </w:pPr>
      <w:r w:rsidRPr="00B614F6">
        <w:rPr>
          <w:rFonts w:ascii="Arial" w:hAnsi="Arial" w:cs="Arial"/>
          <w:b/>
          <w:bCs/>
        </w:rPr>
        <w:t>Fig. 4. Sectoral distribution of infrastructure categories</w:t>
      </w:r>
      <w:r w:rsidR="007B1AA9" w:rsidRPr="00B614F6">
        <w:rPr>
          <w:rFonts w:ascii="Arial" w:hAnsi="Arial" w:cs="Arial"/>
          <w:b/>
          <w:bCs/>
        </w:rPr>
        <w:t xml:space="preserve"> across studied sectors</w:t>
      </w:r>
    </w:p>
    <w:p w14:paraId="079B8A64" w14:textId="77777777" w:rsidR="003C5DAF" w:rsidRDefault="003C5DAF" w:rsidP="00AB0E2C">
      <w:pPr>
        <w:pStyle w:val="Body"/>
        <w:rPr>
          <w:rFonts w:ascii="Arial" w:hAnsi="Arial" w:cs="Arial"/>
        </w:rPr>
      </w:pPr>
      <w:bookmarkStart w:id="11" w:name="_Hlk206665711"/>
    </w:p>
    <w:p w14:paraId="21355DC3" w14:textId="102CF8AD" w:rsidR="00AB0E2C" w:rsidRDefault="00AB0E2C" w:rsidP="00AB0E2C">
      <w:pPr>
        <w:pStyle w:val="Body"/>
        <w:rPr>
          <w:rFonts w:ascii="Arial" w:hAnsi="Arial" w:cs="Arial"/>
        </w:rPr>
      </w:pPr>
      <w:bookmarkStart w:id="12" w:name="_Hlk206727818"/>
      <w:r w:rsidRPr="00AB0E2C">
        <w:rPr>
          <w:rFonts w:ascii="Arial" w:hAnsi="Arial" w:cs="Arial"/>
        </w:rPr>
        <w:lastRenderedPageBreak/>
        <w:t xml:space="preserve">This spatial heterogeneity </w:t>
      </w:r>
      <w:r w:rsidR="002A7ED0" w:rsidRPr="002A7ED0">
        <w:rPr>
          <w:rFonts w:ascii="Arial" w:hAnsi="Arial" w:cs="Arial"/>
        </w:rPr>
        <w:t>highlights</w:t>
      </w:r>
      <w:r w:rsidRPr="00AB0E2C">
        <w:rPr>
          <w:rFonts w:ascii="Arial" w:hAnsi="Arial" w:cs="Arial"/>
        </w:rPr>
        <w:t xml:space="preserve"> the </w:t>
      </w:r>
      <w:r w:rsidR="002A7ED0" w:rsidRPr="002A7ED0">
        <w:rPr>
          <w:rFonts w:ascii="Arial" w:hAnsi="Arial" w:cs="Arial"/>
        </w:rPr>
        <w:t>diversity</w:t>
      </w:r>
      <w:r w:rsidRPr="00AB0E2C">
        <w:rPr>
          <w:rFonts w:ascii="Arial" w:hAnsi="Arial" w:cs="Arial"/>
        </w:rPr>
        <w:t xml:space="preserve"> of socio-economic functions assigned to different sectors. Agricultural dominance in more remote zones such as </w:t>
      </w:r>
      <w:r w:rsidR="00855BFE">
        <w:rPr>
          <w:rFonts w:ascii="Arial" w:hAnsi="Arial" w:cs="Arial"/>
        </w:rPr>
        <w:t>Aero-canal</w:t>
      </w:r>
      <w:r w:rsidRPr="00AB0E2C">
        <w:rPr>
          <w:rFonts w:ascii="Arial" w:hAnsi="Arial" w:cs="Arial"/>
        </w:rPr>
        <w:t xml:space="preserve"> and </w:t>
      </w:r>
      <w:proofErr w:type="spellStart"/>
      <w:r w:rsidRPr="00AB0E2C">
        <w:rPr>
          <w:rFonts w:ascii="Arial" w:hAnsi="Arial" w:cs="Arial"/>
        </w:rPr>
        <w:t>Kamboukro</w:t>
      </w:r>
      <w:proofErr w:type="spellEnd"/>
      <w:r w:rsidRPr="00AB0E2C">
        <w:rPr>
          <w:rFonts w:ascii="Arial" w:hAnsi="Arial" w:cs="Arial"/>
        </w:rPr>
        <w:t xml:space="preserve"> aligns with findings from other West African peri-urban mangroves where food security and proximity to arable land drive mangrove conversion (</w:t>
      </w:r>
      <w:proofErr w:type="spellStart"/>
      <w:r w:rsidR="004C22C2" w:rsidRPr="004C22C2">
        <w:rPr>
          <w:rFonts w:ascii="Arial" w:hAnsi="Arial" w:cs="Arial"/>
        </w:rPr>
        <w:t>Feka</w:t>
      </w:r>
      <w:proofErr w:type="spellEnd"/>
      <w:r w:rsidR="004C22C2" w:rsidRPr="004C22C2">
        <w:rPr>
          <w:rFonts w:ascii="Arial" w:hAnsi="Arial" w:cs="Arial"/>
        </w:rPr>
        <w:t xml:space="preserve"> &amp; </w:t>
      </w:r>
      <w:proofErr w:type="spellStart"/>
      <w:r w:rsidR="004C22C2" w:rsidRPr="004C22C2">
        <w:rPr>
          <w:rFonts w:ascii="Arial" w:hAnsi="Arial" w:cs="Arial"/>
        </w:rPr>
        <w:t>Ajonina</w:t>
      </w:r>
      <w:proofErr w:type="spellEnd"/>
      <w:r w:rsidR="004C22C2" w:rsidRPr="004C22C2">
        <w:rPr>
          <w:rFonts w:ascii="Arial" w:hAnsi="Arial" w:cs="Arial"/>
        </w:rPr>
        <w:t>, 2011</w:t>
      </w:r>
      <w:r w:rsidR="004C22C2">
        <w:rPr>
          <w:rFonts w:ascii="Arial" w:hAnsi="Arial" w:cs="Arial"/>
        </w:rPr>
        <w:t xml:space="preserve">; </w:t>
      </w:r>
      <w:r w:rsidR="004C22C2" w:rsidRPr="004C22C2">
        <w:rPr>
          <w:rFonts w:ascii="Arial" w:hAnsi="Arial" w:cs="Arial"/>
        </w:rPr>
        <w:t xml:space="preserve">Scales &amp; </w:t>
      </w:r>
      <w:proofErr w:type="spellStart"/>
      <w:r w:rsidR="004C22C2" w:rsidRPr="004C22C2">
        <w:rPr>
          <w:rFonts w:ascii="Arial" w:hAnsi="Arial" w:cs="Arial"/>
        </w:rPr>
        <w:t>Friess</w:t>
      </w:r>
      <w:proofErr w:type="spellEnd"/>
      <w:r w:rsidR="004C22C2" w:rsidRPr="004C22C2">
        <w:rPr>
          <w:rFonts w:ascii="Arial" w:hAnsi="Arial" w:cs="Arial"/>
        </w:rPr>
        <w:t>, 2019</w:t>
      </w:r>
      <w:r w:rsidR="004C22C2">
        <w:rPr>
          <w:rFonts w:ascii="Arial" w:hAnsi="Arial" w:cs="Arial"/>
        </w:rPr>
        <w:t xml:space="preserve">; </w:t>
      </w:r>
      <w:proofErr w:type="spellStart"/>
      <w:r w:rsidR="007E6E0A" w:rsidRPr="007E6E0A">
        <w:rPr>
          <w:rFonts w:ascii="Arial" w:hAnsi="Arial" w:cs="Arial"/>
        </w:rPr>
        <w:t>Bonye</w:t>
      </w:r>
      <w:proofErr w:type="spellEnd"/>
      <w:r w:rsidR="007E6E0A">
        <w:rPr>
          <w:rFonts w:ascii="Arial" w:hAnsi="Arial" w:cs="Arial"/>
        </w:rPr>
        <w:t xml:space="preserve"> et al., 2021</w:t>
      </w:r>
      <w:r w:rsidR="004C22C2" w:rsidRPr="004C22C2">
        <w:rPr>
          <w:rFonts w:ascii="Arial" w:hAnsi="Arial" w:cs="Arial"/>
        </w:rPr>
        <w:t>;</w:t>
      </w:r>
      <w:r w:rsidRPr="00AB0E2C">
        <w:rPr>
          <w:rFonts w:ascii="Arial" w:hAnsi="Arial" w:cs="Arial"/>
        </w:rPr>
        <w:t xml:space="preserve">). Meanwhile, the predominance of recreational uses in </w:t>
      </w:r>
      <w:proofErr w:type="spellStart"/>
      <w:r w:rsidRPr="00AB0E2C">
        <w:rPr>
          <w:rFonts w:ascii="Arial" w:hAnsi="Arial" w:cs="Arial"/>
        </w:rPr>
        <w:t>Darakodji</w:t>
      </w:r>
      <w:proofErr w:type="spellEnd"/>
      <w:r w:rsidRPr="00AB0E2C">
        <w:rPr>
          <w:rFonts w:ascii="Arial" w:hAnsi="Arial" w:cs="Arial"/>
        </w:rPr>
        <w:t xml:space="preserve"> is emblematic of gentrification trends and commodification of coastal spaces at the urban fringe (</w:t>
      </w:r>
      <w:proofErr w:type="spellStart"/>
      <w:r w:rsidR="007E6E0A" w:rsidRPr="007E6E0A">
        <w:rPr>
          <w:rFonts w:ascii="Arial" w:hAnsi="Arial" w:cs="Arial"/>
        </w:rPr>
        <w:t>Ekong</w:t>
      </w:r>
      <w:proofErr w:type="spellEnd"/>
      <w:r w:rsidR="007E6E0A" w:rsidRPr="007E6E0A">
        <w:rPr>
          <w:rFonts w:ascii="Arial" w:hAnsi="Arial" w:cs="Arial"/>
        </w:rPr>
        <w:t xml:space="preserve"> &amp; </w:t>
      </w:r>
      <w:proofErr w:type="spellStart"/>
      <w:r w:rsidR="007E6E0A" w:rsidRPr="007E6E0A">
        <w:rPr>
          <w:rFonts w:ascii="Arial" w:hAnsi="Arial" w:cs="Arial"/>
        </w:rPr>
        <w:t>Ikurekong</w:t>
      </w:r>
      <w:proofErr w:type="spellEnd"/>
      <w:r w:rsidR="007E6E0A" w:rsidRPr="007E6E0A">
        <w:rPr>
          <w:rFonts w:ascii="Arial" w:hAnsi="Arial" w:cs="Arial"/>
        </w:rPr>
        <w:t xml:space="preserve">, 2015; </w:t>
      </w:r>
      <w:proofErr w:type="spellStart"/>
      <w:r w:rsidR="007E6E0A" w:rsidRPr="007E6E0A">
        <w:rPr>
          <w:rFonts w:ascii="Arial" w:hAnsi="Arial" w:cs="Arial"/>
        </w:rPr>
        <w:t>Olatoye</w:t>
      </w:r>
      <w:proofErr w:type="spellEnd"/>
      <w:r w:rsidR="007E6E0A" w:rsidRPr="007E6E0A">
        <w:rPr>
          <w:rFonts w:ascii="Arial" w:hAnsi="Arial" w:cs="Arial"/>
        </w:rPr>
        <w:t xml:space="preserve"> et al., 2023</w:t>
      </w:r>
      <w:r w:rsidRPr="00AB0E2C">
        <w:rPr>
          <w:rFonts w:ascii="Arial" w:hAnsi="Arial" w:cs="Arial"/>
        </w:rPr>
        <w:t>).</w:t>
      </w:r>
    </w:p>
    <w:p w14:paraId="70250CE1" w14:textId="5D4621E7" w:rsidR="003D41E4" w:rsidRPr="002F5190" w:rsidRDefault="003D41E4" w:rsidP="00860FF4">
      <w:pPr>
        <w:pStyle w:val="Body"/>
        <w:rPr>
          <w:rFonts w:ascii="Arial" w:hAnsi="Arial" w:cs="Arial"/>
          <w:b/>
          <w:bCs/>
          <w:sz w:val="22"/>
          <w:szCs w:val="22"/>
        </w:rPr>
      </w:pPr>
      <w:bookmarkStart w:id="13" w:name="_Hlk206665733"/>
      <w:bookmarkEnd w:id="11"/>
      <w:r w:rsidRPr="002F5190">
        <w:rPr>
          <w:rFonts w:ascii="Arial" w:hAnsi="Arial" w:cs="Arial"/>
          <w:b/>
          <w:bCs/>
          <w:sz w:val="22"/>
          <w:szCs w:val="22"/>
        </w:rPr>
        <w:t>3.1.2. Intensity of pollution</w:t>
      </w:r>
    </w:p>
    <w:p w14:paraId="5355E21F" w14:textId="6D041CE2" w:rsidR="007B1AA9" w:rsidRPr="007B1AA9" w:rsidRDefault="007B1AA9" w:rsidP="007B1AA9">
      <w:pPr>
        <w:pStyle w:val="Body"/>
        <w:rPr>
          <w:rFonts w:ascii="Arial" w:hAnsi="Arial" w:cs="Arial"/>
        </w:rPr>
      </w:pPr>
      <w:r w:rsidRPr="007B1AA9">
        <w:rPr>
          <w:rFonts w:ascii="Arial" w:hAnsi="Arial" w:cs="Arial"/>
        </w:rPr>
        <w:t>Among the different types of pollution recorded, domestic solid waste and wastewater discharges were the most common (Fig</w:t>
      </w:r>
      <w:r>
        <w:rPr>
          <w:rFonts w:ascii="Arial" w:hAnsi="Arial" w:cs="Arial"/>
        </w:rPr>
        <w:t>.</w:t>
      </w:r>
      <w:r w:rsidRPr="007B1AA9">
        <w:rPr>
          <w:rFonts w:ascii="Arial" w:hAnsi="Arial" w:cs="Arial"/>
        </w:rPr>
        <w:t xml:space="preserve"> </w:t>
      </w:r>
      <w:r>
        <w:rPr>
          <w:rFonts w:ascii="Arial" w:hAnsi="Arial" w:cs="Arial"/>
        </w:rPr>
        <w:t>5</w:t>
      </w:r>
      <w:r w:rsidRPr="007B1AA9">
        <w:rPr>
          <w:rFonts w:ascii="Arial" w:hAnsi="Arial" w:cs="Arial"/>
        </w:rPr>
        <w:t>), together accounting for more than half of all observed cases. Other forms included hydrocarbon residues and construction debris, reflecting the diverse and diffuse sources of contamination in peri-urban mangrove settings.</w:t>
      </w:r>
    </w:p>
    <w:bookmarkEnd w:id="12"/>
    <w:bookmarkEnd w:id="13"/>
    <w:p w14:paraId="6DD22905" w14:textId="77777777" w:rsidR="007B1AA9" w:rsidRDefault="007B1AA9" w:rsidP="007B1AA9">
      <w:pPr>
        <w:pStyle w:val="Body"/>
        <w:spacing w:after="0"/>
        <w:rPr>
          <w:rFonts w:ascii="Arial" w:hAnsi="Arial" w:cs="Arial"/>
        </w:rPr>
      </w:pPr>
    </w:p>
    <w:p w14:paraId="327CA1F3" w14:textId="00DEEFC0" w:rsidR="007B1AA9" w:rsidRDefault="008E3391" w:rsidP="007B1AA9">
      <w:pPr>
        <w:pStyle w:val="Body"/>
        <w:spacing w:after="0"/>
        <w:jc w:val="center"/>
        <w:rPr>
          <w:rFonts w:ascii="Arial" w:hAnsi="Arial" w:cs="Arial"/>
        </w:rPr>
      </w:pPr>
      <w:r>
        <w:rPr>
          <w:noProof/>
        </w:rPr>
        <w:drawing>
          <wp:inline distT="0" distB="0" distL="0" distR="0" wp14:anchorId="627FEDDF" wp14:editId="25A065DB">
            <wp:extent cx="5154930" cy="315400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6444" cy="3154929"/>
                    </a:xfrm>
                    <a:prstGeom prst="rect">
                      <a:avLst/>
                    </a:prstGeom>
                    <a:noFill/>
                    <a:ln>
                      <a:noFill/>
                    </a:ln>
                  </pic:spPr>
                </pic:pic>
              </a:graphicData>
            </a:graphic>
          </wp:inline>
        </w:drawing>
      </w:r>
    </w:p>
    <w:p w14:paraId="725DA7F0" w14:textId="6ABC89AF" w:rsidR="007B1AA9" w:rsidRPr="00B614F6" w:rsidRDefault="007B1AA9" w:rsidP="00E41DF4">
      <w:pPr>
        <w:pStyle w:val="Body"/>
        <w:spacing w:before="240"/>
        <w:jc w:val="center"/>
        <w:rPr>
          <w:rFonts w:ascii="Arial" w:hAnsi="Arial" w:cs="Arial"/>
          <w:b/>
          <w:bCs/>
        </w:rPr>
      </w:pPr>
      <w:r w:rsidRPr="00B614F6">
        <w:rPr>
          <w:rFonts w:ascii="Arial" w:hAnsi="Arial" w:cs="Arial"/>
          <w:b/>
          <w:bCs/>
        </w:rPr>
        <w:t>Fig. 5. Proportion of pollution categories recorded in the study area</w:t>
      </w:r>
    </w:p>
    <w:p w14:paraId="554C7BEE" w14:textId="27203171" w:rsidR="007B1AA9" w:rsidRPr="007B1AA9" w:rsidRDefault="007B1AA9" w:rsidP="007B1AA9">
      <w:pPr>
        <w:pStyle w:val="Body"/>
        <w:rPr>
          <w:rFonts w:ascii="Arial" w:hAnsi="Arial" w:cs="Arial"/>
        </w:rPr>
      </w:pPr>
      <w:bookmarkStart w:id="14" w:name="_Hlk206665747"/>
      <w:r w:rsidRPr="007B1AA9">
        <w:rPr>
          <w:rFonts w:ascii="Arial" w:hAnsi="Arial" w:cs="Arial"/>
        </w:rPr>
        <w:t>Sectoral comparisons (Fig</w:t>
      </w:r>
      <w:r>
        <w:rPr>
          <w:rFonts w:ascii="Arial" w:hAnsi="Arial" w:cs="Arial"/>
        </w:rPr>
        <w:t>.</w:t>
      </w:r>
      <w:r w:rsidRPr="007B1AA9">
        <w:rPr>
          <w:rFonts w:ascii="Arial" w:hAnsi="Arial" w:cs="Arial"/>
        </w:rPr>
        <w:t xml:space="preserve"> </w:t>
      </w:r>
      <w:r>
        <w:rPr>
          <w:rFonts w:ascii="Arial" w:hAnsi="Arial" w:cs="Arial"/>
        </w:rPr>
        <w:t>6</w:t>
      </w:r>
      <w:r w:rsidRPr="007B1AA9">
        <w:rPr>
          <w:rFonts w:ascii="Arial" w:hAnsi="Arial" w:cs="Arial"/>
        </w:rPr>
        <w:t xml:space="preserve">) revealed that </w:t>
      </w:r>
      <w:proofErr w:type="spellStart"/>
      <w:r w:rsidRPr="007B1AA9">
        <w:rPr>
          <w:rFonts w:ascii="Arial" w:hAnsi="Arial" w:cs="Arial"/>
        </w:rPr>
        <w:t>Darakodji</w:t>
      </w:r>
      <w:proofErr w:type="spellEnd"/>
      <w:r w:rsidRPr="007B1AA9">
        <w:rPr>
          <w:rFonts w:ascii="Arial" w:hAnsi="Arial" w:cs="Arial"/>
        </w:rPr>
        <w:t xml:space="preserve"> stood out as the most polluted site, followed by </w:t>
      </w:r>
      <w:r w:rsidR="00855BFE">
        <w:rPr>
          <w:rFonts w:ascii="Arial" w:hAnsi="Arial" w:cs="Arial"/>
        </w:rPr>
        <w:t>Aero-canal</w:t>
      </w:r>
      <w:r w:rsidRPr="007B1AA9">
        <w:rPr>
          <w:rFonts w:ascii="Arial" w:hAnsi="Arial" w:cs="Arial"/>
        </w:rPr>
        <w:t xml:space="preserve"> and </w:t>
      </w:r>
      <w:proofErr w:type="spellStart"/>
      <w:r w:rsidRPr="007B1AA9">
        <w:rPr>
          <w:rFonts w:ascii="Arial" w:hAnsi="Arial" w:cs="Arial"/>
        </w:rPr>
        <w:t>Agnikro</w:t>
      </w:r>
      <w:proofErr w:type="spellEnd"/>
      <w:r w:rsidRPr="007B1AA9">
        <w:rPr>
          <w:rFonts w:ascii="Arial" w:hAnsi="Arial" w:cs="Arial"/>
        </w:rPr>
        <w:t xml:space="preserve">. In contrast, </w:t>
      </w:r>
      <w:proofErr w:type="spellStart"/>
      <w:r w:rsidRPr="007B1AA9">
        <w:rPr>
          <w:rFonts w:ascii="Arial" w:hAnsi="Arial" w:cs="Arial"/>
        </w:rPr>
        <w:t>Kamboukro</w:t>
      </w:r>
      <w:proofErr w:type="spellEnd"/>
      <w:r w:rsidRPr="007B1AA9">
        <w:rPr>
          <w:rFonts w:ascii="Arial" w:hAnsi="Arial" w:cs="Arial"/>
        </w:rPr>
        <w:t xml:space="preserve"> exhibited minimal pollution signs, likely due to its relative remoteness and lower human density. Although the overall association between pollution types and sectors was marginally non-significant (χ² = 36.19, simulated P = .054), the moderate effect size (Cramér’s V = 0.268) suggested meaningful differences. Standardized residuals confirmed a statistically significant overrepresentation of pollution in </w:t>
      </w:r>
      <w:proofErr w:type="spellStart"/>
      <w:r w:rsidRPr="007B1AA9">
        <w:rPr>
          <w:rFonts w:ascii="Arial" w:hAnsi="Arial" w:cs="Arial"/>
        </w:rPr>
        <w:t>Darakodji</w:t>
      </w:r>
      <w:proofErr w:type="spellEnd"/>
      <w:r w:rsidRPr="007B1AA9">
        <w:rPr>
          <w:rFonts w:ascii="Arial" w:hAnsi="Arial" w:cs="Arial"/>
        </w:rPr>
        <w:t xml:space="preserve"> (P = .0040), positioning it as a localized environmental stress hotspot.</w:t>
      </w:r>
    </w:p>
    <w:p w14:paraId="752EC074" w14:textId="0F08E16F" w:rsidR="007B1AA9" w:rsidRDefault="00E41DF4" w:rsidP="007B1AA9">
      <w:pPr>
        <w:pStyle w:val="Body"/>
        <w:rPr>
          <w:rFonts w:ascii="Arial" w:hAnsi="Arial" w:cs="Arial"/>
        </w:rPr>
      </w:pPr>
      <w:r w:rsidRPr="00E41DF4">
        <w:rPr>
          <w:rFonts w:ascii="Arial" w:hAnsi="Arial" w:cs="Arial"/>
        </w:rPr>
        <w:t xml:space="preserve">These spatial variations reflect patterns commonly observed in other rapidly </w:t>
      </w:r>
      <w:proofErr w:type="spellStart"/>
      <w:r w:rsidRPr="00E41DF4">
        <w:rPr>
          <w:rFonts w:ascii="Arial" w:hAnsi="Arial" w:cs="Arial"/>
        </w:rPr>
        <w:t>urbanising</w:t>
      </w:r>
      <w:proofErr w:type="spellEnd"/>
      <w:r w:rsidRPr="00E41DF4">
        <w:rPr>
          <w:rFonts w:ascii="Arial" w:hAnsi="Arial" w:cs="Arial"/>
        </w:rPr>
        <w:t xml:space="preserve"> mangrove systems, where poorly regulated development and inadequate waste management infrastructure lead to a concentration of pollution near urban fringes (</w:t>
      </w:r>
      <w:proofErr w:type="spellStart"/>
      <w:r w:rsidR="007E6E0A" w:rsidRPr="007E6E0A">
        <w:rPr>
          <w:rFonts w:ascii="Arial" w:hAnsi="Arial" w:cs="Arial"/>
        </w:rPr>
        <w:t>Ekong</w:t>
      </w:r>
      <w:proofErr w:type="spellEnd"/>
      <w:r w:rsidR="007E6E0A" w:rsidRPr="007E6E0A">
        <w:rPr>
          <w:rFonts w:ascii="Arial" w:hAnsi="Arial" w:cs="Arial"/>
        </w:rPr>
        <w:t xml:space="preserve"> &amp; </w:t>
      </w:r>
      <w:proofErr w:type="spellStart"/>
      <w:r w:rsidR="007E6E0A" w:rsidRPr="007E6E0A">
        <w:rPr>
          <w:rFonts w:ascii="Arial" w:hAnsi="Arial" w:cs="Arial"/>
        </w:rPr>
        <w:t>Ikurekong</w:t>
      </w:r>
      <w:proofErr w:type="spellEnd"/>
      <w:r w:rsidR="007E6E0A" w:rsidRPr="007E6E0A">
        <w:rPr>
          <w:rFonts w:ascii="Arial" w:hAnsi="Arial" w:cs="Arial"/>
        </w:rPr>
        <w:t xml:space="preserve">, 2015; </w:t>
      </w:r>
      <w:r w:rsidR="00D7322C" w:rsidRPr="00D7322C">
        <w:rPr>
          <w:rFonts w:ascii="Arial" w:hAnsi="Arial" w:cs="Arial"/>
        </w:rPr>
        <w:t>Mahi et al., 2022</w:t>
      </w:r>
      <w:r w:rsidR="00D7322C">
        <w:rPr>
          <w:rFonts w:ascii="Arial" w:hAnsi="Arial" w:cs="Arial"/>
        </w:rPr>
        <w:t xml:space="preserve">; </w:t>
      </w:r>
      <w:proofErr w:type="spellStart"/>
      <w:r w:rsidR="007E6E0A" w:rsidRPr="007E6E0A">
        <w:rPr>
          <w:rFonts w:ascii="Arial" w:hAnsi="Arial" w:cs="Arial"/>
        </w:rPr>
        <w:t>Olatoye</w:t>
      </w:r>
      <w:proofErr w:type="spellEnd"/>
      <w:r w:rsidR="007E6E0A" w:rsidRPr="007E6E0A">
        <w:rPr>
          <w:rFonts w:ascii="Arial" w:hAnsi="Arial" w:cs="Arial"/>
        </w:rPr>
        <w:t xml:space="preserve"> et al., 2023</w:t>
      </w:r>
      <w:r w:rsidRPr="00E41DF4">
        <w:rPr>
          <w:rFonts w:ascii="Arial" w:hAnsi="Arial" w:cs="Arial"/>
        </w:rPr>
        <w:t>).</w:t>
      </w:r>
      <w:r>
        <w:rPr>
          <w:rFonts w:ascii="Arial" w:hAnsi="Arial" w:cs="Arial"/>
        </w:rPr>
        <w:t xml:space="preserve"> </w:t>
      </w:r>
      <w:r w:rsidR="007B1AA9" w:rsidRPr="007B1AA9">
        <w:rPr>
          <w:rFonts w:ascii="Arial" w:hAnsi="Arial" w:cs="Arial"/>
        </w:rPr>
        <w:t xml:space="preserve">In </w:t>
      </w:r>
      <w:proofErr w:type="spellStart"/>
      <w:r w:rsidR="007B1AA9" w:rsidRPr="007B1AA9">
        <w:rPr>
          <w:rFonts w:ascii="Arial" w:hAnsi="Arial" w:cs="Arial"/>
        </w:rPr>
        <w:t>Darakodji</w:t>
      </w:r>
      <w:proofErr w:type="spellEnd"/>
      <w:r w:rsidR="007B1AA9" w:rsidRPr="007B1AA9">
        <w:rPr>
          <w:rFonts w:ascii="Arial" w:hAnsi="Arial" w:cs="Arial"/>
        </w:rPr>
        <w:t xml:space="preserve">, the accumulation of </w:t>
      </w:r>
      <w:r w:rsidR="007B1AA9" w:rsidRPr="007B1AA9">
        <w:rPr>
          <w:rFonts w:ascii="Arial" w:hAnsi="Arial" w:cs="Arial"/>
        </w:rPr>
        <w:lastRenderedPageBreak/>
        <w:t xml:space="preserve">pollutants likely results from informal waste disposal and inadequate sanitation systems, conditions frequently reported in </w:t>
      </w:r>
      <w:r w:rsidR="0081115D">
        <w:rPr>
          <w:rFonts w:ascii="Arial" w:hAnsi="Arial" w:cs="Arial"/>
        </w:rPr>
        <w:t>Ivorian</w:t>
      </w:r>
      <w:r w:rsidR="007B1AA9" w:rsidRPr="007B1AA9">
        <w:rPr>
          <w:rFonts w:ascii="Arial" w:hAnsi="Arial" w:cs="Arial"/>
        </w:rPr>
        <w:t xml:space="preserve"> coastal settlements (</w:t>
      </w:r>
      <w:proofErr w:type="spellStart"/>
      <w:r w:rsidR="0081115D" w:rsidRPr="0081115D">
        <w:rPr>
          <w:rFonts w:ascii="Arial" w:hAnsi="Arial" w:cs="Arial"/>
        </w:rPr>
        <w:t>Toule</w:t>
      </w:r>
      <w:proofErr w:type="spellEnd"/>
      <w:r w:rsidR="0081115D" w:rsidRPr="0081115D">
        <w:rPr>
          <w:rFonts w:ascii="Arial" w:hAnsi="Arial" w:cs="Arial"/>
        </w:rPr>
        <w:t xml:space="preserve"> et al., 2018; Kouadio &amp; Singh, 2021</w:t>
      </w:r>
      <w:r w:rsidR="007B1AA9" w:rsidRPr="007B1AA9">
        <w:rPr>
          <w:rFonts w:ascii="Arial" w:hAnsi="Arial" w:cs="Arial"/>
        </w:rPr>
        <w:t>).</w:t>
      </w:r>
    </w:p>
    <w:bookmarkEnd w:id="14"/>
    <w:p w14:paraId="63C431FD" w14:textId="77777777" w:rsidR="007B1AA9" w:rsidRDefault="007B1AA9" w:rsidP="007B1AA9">
      <w:pPr>
        <w:pStyle w:val="Body"/>
        <w:spacing w:after="0"/>
        <w:jc w:val="center"/>
        <w:rPr>
          <w:rFonts w:ascii="Arial" w:hAnsi="Arial" w:cs="Arial"/>
        </w:rPr>
      </w:pPr>
      <w:r>
        <w:rPr>
          <w:noProof/>
        </w:rPr>
        <w:drawing>
          <wp:inline distT="0" distB="0" distL="0" distR="0" wp14:anchorId="7542D452" wp14:editId="1FD843E1">
            <wp:extent cx="5212080" cy="32296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3229610"/>
                    </a:xfrm>
                    <a:prstGeom prst="rect">
                      <a:avLst/>
                    </a:prstGeom>
                    <a:noFill/>
                    <a:ln>
                      <a:noFill/>
                    </a:ln>
                  </pic:spPr>
                </pic:pic>
              </a:graphicData>
            </a:graphic>
          </wp:inline>
        </w:drawing>
      </w:r>
    </w:p>
    <w:p w14:paraId="7D81DDA4" w14:textId="1A2E2CDD" w:rsidR="007B1AA9" w:rsidRPr="00B614F6" w:rsidRDefault="007B1AA9" w:rsidP="00E41DF4">
      <w:pPr>
        <w:pStyle w:val="Body"/>
        <w:spacing w:before="240"/>
        <w:jc w:val="center"/>
        <w:rPr>
          <w:rFonts w:ascii="Arial" w:hAnsi="Arial" w:cs="Arial"/>
          <w:b/>
          <w:bCs/>
        </w:rPr>
      </w:pPr>
      <w:r w:rsidRPr="00B614F6">
        <w:rPr>
          <w:rFonts w:ascii="Arial" w:hAnsi="Arial" w:cs="Arial"/>
          <w:b/>
          <w:bCs/>
        </w:rPr>
        <w:t>Fig. 6. Sectoral distribution of pollution types across studied sectors</w:t>
      </w:r>
    </w:p>
    <w:p w14:paraId="7EEB5B39" w14:textId="0A3CAA50" w:rsidR="007B1AA9" w:rsidRPr="007B1AA9" w:rsidRDefault="007B1AA9" w:rsidP="007B1AA9">
      <w:pPr>
        <w:pStyle w:val="Body"/>
        <w:rPr>
          <w:rFonts w:ascii="Arial" w:hAnsi="Arial" w:cs="Arial"/>
        </w:rPr>
      </w:pPr>
      <w:bookmarkStart w:id="15" w:name="_Hlk206665760"/>
      <w:bookmarkStart w:id="16" w:name="_Hlk206727843"/>
      <w:r w:rsidRPr="007B1AA9">
        <w:rPr>
          <w:rFonts w:ascii="Arial" w:hAnsi="Arial" w:cs="Arial"/>
        </w:rPr>
        <w:t xml:space="preserve">The ecological consequences of such localized pollution are far from trivial. Organic and hydrocarbon-rich effluents can drastically alter sediment chemistry, inhibiting the germination and growth of </w:t>
      </w:r>
      <w:r w:rsidR="00944545" w:rsidRPr="00944545">
        <w:rPr>
          <w:rFonts w:ascii="Arial" w:hAnsi="Arial" w:cs="Arial"/>
        </w:rPr>
        <w:t>mangrove species</w:t>
      </w:r>
      <w:r w:rsidR="00610FDB">
        <w:rPr>
          <w:rFonts w:ascii="Arial" w:hAnsi="Arial" w:cs="Arial"/>
        </w:rPr>
        <w:t xml:space="preserve"> such as </w:t>
      </w:r>
      <w:r w:rsidR="00610FDB" w:rsidRPr="00610FDB">
        <w:rPr>
          <w:rFonts w:ascii="Arial" w:hAnsi="Arial" w:cs="Arial"/>
          <w:i/>
          <w:iCs/>
        </w:rPr>
        <w:t>Rhizophora racemosa</w:t>
      </w:r>
      <w:r w:rsidRPr="007B1AA9">
        <w:rPr>
          <w:rFonts w:ascii="Arial" w:hAnsi="Arial" w:cs="Arial"/>
        </w:rPr>
        <w:t xml:space="preserve"> and disrupting the functional balance of microbial communities (</w:t>
      </w:r>
      <w:r w:rsidR="00F64B37" w:rsidRPr="00F64B37">
        <w:rPr>
          <w:rFonts w:ascii="Arial" w:hAnsi="Arial" w:cs="Arial"/>
        </w:rPr>
        <w:t xml:space="preserve">Zhang et al., 2007; </w:t>
      </w:r>
      <w:r w:rsidRPr="007B1AA9">
        <w:rPr>
          <w:rFonts w:ascii="Arial" w:hAnsi="Arial" w:cs="Arial"/>
        </w:rPr>
        <w:t xml:space="preserve">Alongi, 2008; </w:t>
      </w:r>
      <w:r w:rsidR="00F64B37" w:rsidRPr="00F64B37">
        <w:rPr>
          <w:rFonts w:ascii="Arial" w:hAnsi="Arial" w:cs="Arial"/>
        </w:rPr>
        <w:t>Li et al., 2025</w:t>
      </w:r>
      <w:r w:rsidRPr="007B1AA9">
        <w:rPr>
          <w:rFonts w:ascii="Arial" w:hAnsi="Arial" w:cs="Arial"/>
        </w:rPr>
        <w:t>). Moreover, the physical obstruction of pneumatophores by plastic waste and metallic debris may impair gas exchange and weaken the resilience of mangrove stands to other stressors.</w:t>
      </w:r>
    </w:p>
    <w:p w14:paraId="7C14F457" w14:textId="50D882E1" w:rsidR="007B1AA9" w:rsidRPr="00D72F27" w:rsidRDefault="007B1AA9" w:rsidP="003D41E4">
      <w:pPr>
        <w:pStyle w:val="Body"/>
        <w:rPr>
          <w:rFonts w:ascii="Arial" w:hAnsi="Arial" w:cs="Arial"/>
        </w:rPr>
      </w:pPr>
      <w:r w:rsidRPr="007B1AA9">
        <w:rPr>
          <w:rFonts w:ascii="Arial" w:hAnsi="Arial" w:cs="Arial"/>
        </w:rPr>
        <w:t>Thus, even in the absence of a strong global statistical effect, the identification of pollution hotspots is essential. Site-specific management actions targeting waste control and sanitation infrastructure are urgently needed to prevent irreversible degradation and to maintain the ecological integrity of peri-urban mangrove ecosystems.</w:t>
      </w:r>
    </w:p>
    <w:bookmarkEnd w:id="15"/>
    <w:p w14:paraId="3A410FC0" w14:textId="77777777" w:rsidR="003D41E4" w:rsidRPr="002F5190" w:rsidRDefault="003D41E4" w:rsidP="003D41E4">
      <w:pPr>
        <w:pStyle w:val="Body"/>
        <w:rPr>
          <w:rFonts w:ascii="Arial" w:hAnsi="Arial" w:cs="Arial"/>
          <w:b/>
          <w:bCs/>
          <w:i/>
          <w:iCs/>
          <w:sz w:val="22"/>
          <w:szCs w:val="22"/>
        </w:rPr>
      </w:pPr>
      <w:r w:rsidRPr="002F5190">
        <w:rPr>
          <w:rFonts w:ascii="Arial" w:hAnsi="Arial" w:cs="Arial"/>
          <w:b/>
          <w:bCs/>
          <w:sz w:val="22"/>
          <w:szCs w:val="22"/>
        </w:rPr>
        <w:t xml:space="preserve">3.2. Structural attributes of </w:t>
      </w:r>
      <w:r w:rsidRPr="002F5190">
        <w:rPr>
          <w:rFonts w:ascii="Arial" w:hAnsi="Arial" w:cs="Arial"/>
          <w:b/>
          <w:bCs/>
          <w:i/>
          <w:iCs/>
          <w:sz w:val="22"/>
          <w:szCs w:val="22"/>
        </w:rPr>
        <w:t>Rhizophora racemosa</w:t>
      </w:r>
    </w:p>
    <w:p w14:paraId="6D0618CE" w14:textId="0B363B5B"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 xml:space="preserve">3.2.1. Tree height and </w:t>
      </w:r>
      <w:r w:rsidR="00FD35BC">
        <w:rPr>
          <w:rFonts w:ascii="Arial" w:hAnsi="Arial" w:cs="Arial"/>
          <w:b/>
          <w:bCs/>
          <w:sz w:val="22"/>
          <w:szCs w:val="22"/>
        </w:rPr>
        <w:t xml:space="preserve">stem </w:t>
      </w:r>
      <w:r w:rsidRPr="002F5190">
        <w:rPr>
          <w:rFonts w:ascii="Arial" w:hAnsi="Arial" w:cs="Arial"/>
          <w:b/>
          <w:bCs/>
          <w:sz w:val="22"/>
          <w:szCs w:val="22"/>
        </w:rPr>
        <w:t>diameter</w:t>
      </w:r>
    </w:p>
    <w:p w14:paraId="3D830A58" w14:textId="5EDAECEC" w:rsidR="00276561" w:rsidRDefault="00276561" w:rsidP="00276561">
      <w:pPr>
        <w:pStyle w:val="Body"/>
        <w:rPr>
          <w:rFonts w:ascii="Arial" w:hAnsi="Arial" w:cs="Arial"/>
        </w:rPr>
      </w:pPr>
      <w:r w:rsidRPr="00276561">
        <w:rPr>
          <w:rFonts w:ascii="Arial" w:hAnsi="Arial" w:cs="Arial"/>
        </w:rPr>
        <w:t xml:space="preserve">The structural characteristics of </w:t>
      </w:r>
      <w:r w:rsidRPr="00A92ED4">
        <w:rPr>
          <w:rFonts w:ascii="Arial" w:hAnsi="Arial" w:cs="Arial"/>
          <w:i/>
          <w:iCs/>
        </w:rPr>
        <w:t>R</w:t>
      </w:r>
      <w:r w:rsidR="00A92ED4">
        <w:rPr>
          <w:rFonts w:ascii="Arial" w:hAnsi="Arial" w:cs="Arial"/>
          <w:i/>
          <w:iCs/>
        </w:rPr>
        <w:t>.</w:t>
      </w:r>
      <w:r w:rsidRPr="00A92ED4">
        <w:rPr>
          <w:rFonts w:ascii="Arial" w:hAnsi="Arial" w:cs="Arial"/>
          <w:i/>
          <w:iCs/>
        </w:rPr>
        <w:t xml:space="preserve"> racemosa</w:t>
      </w:r>
      <w:r w:rsidRPr="00276561">
        <w:rPr>
          <w:rFonts w:ascii="Arial" w:hAnsi="Arial" w:cs="Arial"/>
        </w:rPr>
        <w:t xml:space="preserve"> exhibited substantial spatial heterogeneity across the study sectors. In four sites</w:t>
      </w:r>
      <w:r>
        <w:rPr>
          <w:rFonts w:ascii="Arial" w:hAnsi="Arial" w:cs="Arial"/>
        </w:rPr>
        <w:sym w:font="Symbol" w:char="F02D"/>
      </w:r>
      <w:r>
        <w:rPr>
          <w:rFonts w:ascii="Arial" w:hAnsi="Arial" w:cs="Arial"/>
        </w:rPr>
        <w:t xml:space="preserve"> </w:t>
      </w:r>
      <w:proofErr w:type="spellStart"/>
      <w:r w:rsidRPr="00276561">
        <w:rPr>
          <w:rFonts w:ascii="Arial" w:hAnsi="Arial" w:cs="Arial"/>
        </w:rPr>
        <w:t>Abbeykro</w:t>
      </w:r>
      <w:proofErr w:type="spellEnd"/>
      <w:r w:rsidRPr="00276561">
        <w:rPr>
          <w:rFonts w:ascii="Arial" w:hAnsi="Arial" w:cs="Arial"/>
        </w:rPr>
        <w:t xml:space="preserve">, </w:t>
      </w:r>
      <w:proofErr w:type="spellStart"/>
      <w:r w:rsidRPr="00276561">
        <w:rPr>
          <w:rFonts w:ascii="Arial" w:hAnsi="Arial" w:cs="Arial"/>
        </w:rPr>
        <w:t>Abouabou</w:t>
      </w:r>
      <w:proofErr w:type="spellEnd"/>
      <w:r w:rsidRPr="00276561">
        <w:rPr>
          <w:rFonts w:ascii="Arial" w:hAnsi="Arial" w:cs="Arial"/>
        </w:rPr>
        <w:t xml:space="preserve">, </w:t>
      </w:r>
      <w:proofErr w:type="spellStart"/>
      <w:r w:rsidRPr="00276561">
        <w:rPr>
          <w:rFonts w:ascii="Arial" w:hAnsi="Arial" w:cs="Arial"/>
        </w:rPr>
        <w:t>Amangoua</w:t>
      </w:r>
      <w:proofErr w:type="spellEnd"/>
      <w:r w:rsidRPr="00276561">
        <w:rPr>
          <w:rFonts w:ascii="Arial" w:hAnsi="Arial" w:cs="Arial"/>
        </w:rPr>
        <w:t xml:space="preserve">-Koi, and </w:t>
      </w:r>
      <w:proofErr w:type="spellStart"/>
      <w:r w:rsidRPr="00276561">
        <w:rPr>
          <w:rFonts w:ascii="Arial" w:hAnsi="Arial" w:cs="Arial"/>
        </w:rPr>
        <w:t>Darakodji</w:t>
      </w:r>
      <w:proofErr w:type="spellEnd"/>
      <w:r>
        <w:rPr>
          <w:rFonts w:ascii="Arial" w:hAnsi="Arial" w:cs="Arial"/>
        </w:rPr>
        <w:sym w:font="Symbol" w:char="F02D"/>
      </w:r>
      <w:r>
        <w:rPr>
          <w:rFonts w:ascii="Arial" w:hAnsi="Arial" w:cs="Arial"/>
        </w:rPr>
        <w:t xml:space="preserve"> </w:t>
      </w:r>
      <w:r w:rsidRPr="00276561">
        <w:rPr>
          <w:rFonts w:ascii="Arial" w:hAnsi="Arial" w:cs="Arial"/>
        </w:rPr>
        <w:t>the species was completely absent, suggesting advanced degradation or local extinction driven by high anthropogenic pressure or unsuitable edaphic-hydrological conditions.</w:t>
      </w:r>
    </w:p>
    <w:p w14:paraId="38D53D6E" w14:textId="1830B389" w:rsidR="00276561" w:rsidRDefault="00276561" w:rsidP="00276561">
      <w:pPr>
        <w:pStyle w:val="Body"/>
        <w:rPr>
          <w:rFonts w:ascii="Arial" w:hAnsi="Arial" w:cs="Arial"/>
        </w:rPr>
      </w:pPr>
      <w:r w:rsidRPr="00276561">
        <w:rPr>
          <w:rFonts w:ascii="Arial" w:hAnsi="Arial" w:cs="Arial"/>
        </w:rPr>
        <w:t xml:space="preserve">Among the remaining sectors, both tree height and stem diameter at breast height (DBH) differed significantly (P &lt; .001), pointing to pronounced variation in growth conditions. Mean </w:t>
      </w:r>
      <w:r w:rsidRPr="00276561">
        <w:rPr>
          <w:rFonts w:ascii="Arial" w:hAnsi="Arial" w:cs="Arial"/>
        </w:rPr>
        <w:lastRenderedPageBreak/>
        <w:t xml:space="preserve">tree height peaked in </w:t>
      </w:r>
      <w:proofErr w:type="spellStart"/>
      <w:r w:rsidRPr="00276561">
        <w:rPr>
          <w:rFonts w:ascii="Arial" w:hAnsi="Arial" w:cs="Arial"/>
        </w:rPr>
        <w:t>Kamboukro</w:t>
      </w:r>
      <w:proofErr w:type="spellEnd"/>
      <w:r w:rsidRPr="00276561">
        <w:rPr>
          <w:rFonts w:ascii="Arial" w:hAnsi="Arial" w:cs="Arial"/>
        </w:rPr>
        <w:t xml:space="preserve"> (10.12 ± 4.34 m) and </w:t>
      </w:r>
      <w:r w:rsidR="00855BFE">
        <w:rPr>
          <w:rFonts w:ascii="Arial" w:hAnsi="Arial" w:cs="Arial"/>
        </w:rPr>
        <w:t>Aero-canal</w:t>
      </w:r>
      <w:r w:rsidRPr="00276561">
        <w:rPr>
          <w:rFonts w:ascii="Arial" w:hAnsi="Arial" w:cs="Arial"/>
        </w:rPr>
        <w:t xml:space="preserve"> (9.12 ± 3.49 m), whereas trees in </w:t>
      </w:r>
      <w:proofErr w:type="spellStart"/>
      <w:r w:rsidRPr="00276561">
        <w:rPr>
          <w:rFonts w:ascii="Arial" w:hAnsi="Arial" w:cs="Arial"/>
        </w:rPr>
        <w:t>Agnikro</w:t>
      </w:r>
      <w:proofErr w:type="spellEnd"/>
      <w:r w:rsidRPr="00276561">
        <w:rPr>
          <w:rFonts w:ascii="Arial" w:hAnsi="Arial" w:cs="Arial"/>
        </w:rPr>
        <w:t xml:space="preserve"> were significantly shorter (6.69 ± 1.31 m) (Fig</w:t>
      </w:r>
      <w:r>
        <w:rPr>
          <w:rFonts w:ascii="Arial" w:hAnsi="Arial" w:cs="Arial"/>
        </w:rPr>
        <w:t>.</w:t>
      </w:r>
      <w:r w:rsidRPr="00276561">
        <w:rPr>
          <w:rFonts w:ascii="Arial" w:hAnsi="Arial" w:cs="Arial"/>
        </w:rPr>
        <w:t xml:space="preserve"> </w:t>
      </w:r>
      <w:r>
        <w:rPr>
          <w:rFonts w:ascii="Arial" w:hAnsi="Arial" w:cs="Arial"/>
        </w:rPr>
        <w:t>7A</w:t>
      </w:r>
      <w:r w:rsidRPr="00276561">
        <w:rPr>
          <w:rFonts w:ascii="Arial" w:hAnsi="Arial" w:cs="Arial"/>
        </w:rPr>
        <w:t xml:space="preserve">). A similar trend was observed for DBH, with the largest </w:t>
      </w:r>
      <w:r w:rsidR="00A92ED4">
        <w:rPr>
          <w:rFonts w:ascii="Arial" w:hAnsi="Arial" w:cs="Arial"/>
        </w:rPr>
        <w:t>trees</w:t>
      </w:r>
      <w:r w:rsidRPr="00276561">
        <w:rPr>
          <w:rFonts w:ascii="Arial" w:hAnsi="Arial" w:cs="Arial"/>
        </w:rPr>
        <w:t xml:space="preserve"> found in </w:t>
      </w:r>
      <w:r w:rsidR="00855BFE">
        <w:rPr>
          <w:rFonts w:ascii="Arial" w:hAnsi="Arial" w:cs="Arial"/>
        </w:rPr>
        <w:t>Aero-canal</w:t>
      </w:r>
      <w:r w:rsidRPr="00276561">
        <w:rPr>
          <w:rFonts w:ascii="Arial" w:hAnsi="Arial" w:cs="Arial"/>
        </w:rPr>
        <w:t xml:space="preserve"> (16.73 ± 8.96 cm), followed by </w:t>
      </w:r>
      <w:proofErr w:type="spellStart"/>
      <w:r w:rsidRPr="00276561">
        <w:rPr>
          <w:rFonts w:ascii="Arial" w:hAnsi="Arial" w:cs="Arial"/>
        </w:rPr>
        <w:t>Kamboukro</w:t>
      </w:r>
      <w:proofErr w:type="spellEnd"/>
      <w:r w:rsidRPr="00276561">
        <w:rPr>
          <w:rFonts w:ascii="Arial" w:hAnsi="Arial" w:cs="Arial"/>
        </w:rPr>
        <w:t xml:space="preserve"> (11.53 ± 5.56 cm), and the smallest in </w:t>
      </w:r>
      <w:proofErr w:type="spellStart"/>
      <w:r w:rsidRPr="00276561">
        <w:rPr>
          <w:rFonts w:ascii="Arial" w:hAnsi="Arial" w:cs="Arial"/>
        </w:rPr>
        <w:t>Agnikro</w:t>
      </w:r>
      <w:proofErr w:type="spellEnd"/>
      <w:r w:rsidRPr="00276561">
        <w:rPr>
          <w:rFonts w:ascii="Arial" w:hAnsi="Arial" w:cs="Arial"/>
        </w:rPr>
        <w:t xml:space="preserve"> (9.06 ± 2.35 cm) (Fig</w:t>
      </w:r>
      <w:r>
        <w:rPr>
          <w:rFonts w:ascii="Arial" w:hAnsi="Arial" w:cs="Arial"/>
        </w:rPr>
        <w:t>.</w:t>
      </w:r>
      <w:r w:rsidRPr="00276561">
        <w:rPr>
          <w:rFonts w:ascii="Arial" w:hAnsi="Arial" w:cs="Arial"/>
        </w:rPr>
        <w:t xml:space="preserve"> </w:t>
      </w:r>
      <w:r>
        <w:rPr>
          <w:rFonts w:ascii="Arial" w:hAnsi="Arial" w:cs="Arial"/>
        </w:rPr>
        <w:t>7B</w:t>
      </w:r>
      <w:r w:rsidRPr="00276561">
        <w:rPr>
          <w:rFonts w:ascii="Arial" w:hAnsi="Arial" w:cs="Arial"/>
        </w:rPr>
        <w:t xml:space="preserve">). These patterns suggest that </w:t>
      </w:r>
      <w:r w:rsidR="00855BFE">
        <w:rPr>
          <w:rFonts w:ascii="Arial" w:hAnsi="Arial" w:cs="Arial"/>
        </w:rPr>
        <w:t>Aero-canal</w:t>
      </w:r>
      <w:r w:rsidRPr="00276561">
        <w:rPr>
          <w:rFonts w:ascii="Arial" w:hAnsi="Arial" w:cs="Arial"/>
        </w:rPr>
        <w:t xml:space="preserve"> and </w:t>
      </w:r>
      <w:proofErr w:type="spellStart"/>
      <w:r w:rsidRPr="00276561">
        <w:rPr>
          <w:rFonts w:ascii="Arial" w:hAnsi="Arial" w:cs="Arial"/>
        </w:rPr>
        <w:t>Kamboukro</w:t>
      </w:r>
      <w:proofErr w:type="spellEnd"/>
      <w:r w:rsidRPr="00276561">
        <w:rPr>
          <w:rFonts w:ascii="Arial" w:hAnsi="Arial" w:cs="Arial"/>
        </w:rPr>
        <w:t xml:space="preserve"> may offer more favorable conditions for </w:t>
      </w:r>
      <w:r w:rsidRPr="00276561">
        <w:rPr>
          <w:rFonts w:ascii="Arial" w:hAnsi="Arial" w:cs="Arial"/>
          <w:i/>
          <w:iCs/>
        </w:rPr>
        <w:t>R</w:t>
      </w:r>
      <w:r w:rsidR="00A92ED4">
        <w:rPr>
          <w:rFonts w:ascii="Arial" w:hAnsi="Arial" w:cs="Arial"/>
          <w:i/>
          <w:iCs/>
        </w:rPr>
        <w:t>hizophora</w:t>
      </w:r>
      <w:r w:rsidRPr="00276561">
        <w:rPr>
          <w:rFonts w:ascii="Arial" w:hAnsi="Arial" w:cs="Arial"/>
          <w:i/>
          <w:iCs/>
        </w:rPr>
        <w:t xml:space="preserve"> racemosa</w:t>
      </w:r>
      <w:r w:rsidR="00A92ED4">
        <w:rPr>
          <w:rFonts w:ascii="Arial" w:hAnsi="Arial" w:cs="Arial"/>
        </w:rPr>
        <w:t xml:space="preserve"> growth</w:t>
      </w:r>
      <w:r w:rsidRPr="00276561">
        <w:rPr>
          <w:rFonts w:ascii="Arial" w:hAnsi="Arial" w:cs="Arial"/>
        </w:rPr>
        <w:t>, potentially due to higher tidal connectivity, lower disturbance frequency, or enhanced soil fertility.</w:t>
      </w:r>
    </w:p>
    <w:p w14:paraId="7F8A8FA6" w14:textId="337F2B7A" w:rsidR="00276561" w:rsidRPr="00276561" w:rsidRDefault="00276561" w:rsidP="00276561">
      <w:pPr>
        <w:pStyle w:val="Body"/>
        <w:rPr>
          <w:rFonts w:ascii="Arial" w:hAnsi="Arial" w:cs="Arial"/>
        </w:rPr>
      </w:pPr>
      <w:r w:rsidRPr="00276561">
        <w:rPr>
          <w:rFonts w:ascii="Arial" w:hAnsi="Arial" w:cs="Arial"/>
        </w:rPr>
        <w:t>The distributions of individual height and DBH values further illustrate structural contrasts among sectors. Fig</w:t>
      </w:r>
      <w:r>
        <w:rPr>
          <w:rFonts w:ascii="Arial" w:hAnsi="Arial" w:cs="Arial"/>
        </w:rPr>
        <w:t>.</w:t>
      </w:r>
      <w:r w:rsidRPr="00276561">
        <w:rPr>
          <w:rFonts w:ascii="Arial" w:hAnsi="Arial" w:cs="Arial"/>
        </w:rPr>
        <w:t xml:space="preserve"> </w:t>
      </w:r>
      <w:r>
        <w:rPr>
          <w:rFonts w:ascii="Arial" w:hAnsi="Arial" w:cs="Arial"/>
        </w:rPr>
        <w:t>7C</w:t>
      </w:r>
      <w:r w:rsidRPr="00276561">
        <w:rPr>
          <w:rFonts w:ascii="Arial" w:hAnsi="Arial" w:cs="Arial"/>
        </w:rPr>
        <w:t xml:space="preserve"> reveals a right-skewed distribution of tree height in </w:t>
      </w:r>
      <w:r w:rsidR="00855BFE">
        <w:rPr>
          <w:rFonts w:ascii="Arial" w:hAnsi="Arial" w:cs="Arial"/>
        </w:rPr>
        <w:t>Aero-canal</w:t>
      </w:r>
      <w:r w:rsidRPr="00276561">
        <w:rPr>
          <w:rFonts w:ascii="Arial" w:hAnsi="Arial" w:cs="Arial"/>
        </w:rPr>
        <w:t xml:space="preserve"> and </w:t>
      </w:r>
      <w:proofErr w:type="spellStart"/>
      <w:r w:rsidRPr="00276561">
        <w:rPr>
          <w:rFonts w:ascii="Arial" w:hAnsi="Arial" w:cs="Arial"/>
        </w:rPr>
        <w:t>Kamboukro</w:t>
      </w:r>
      <w:proofErr w:type="spellEnd"/>
      <w:r w:rsidRPr="00276561">
        <w:rPr>
          <w:rFonts w:ascii="Arial" w:hAnsi="Arial" w:cs="Arial"/>
        </w:rPr>
        <w:t>, indicating the coexistence of both mature and regenerating individuals</w:t>
      </w:r>
      <w:r>
        <w:rPr>
          <w:rFonts w:ascii="Arial" w:hAnsi="Arial" w:cs="Arial"/>
        </w:rPr>
        <w:t xml:space="preserve">- </w:t>
      </w:r>
      <w:r w:rsidRPr="00276561">
        <w:rPr>
          <w:rFonts w:ascii="Arial" w:hAnsi="Arial" w:cs="Arial"/>
        </w:rPr>
        <w:t xml:space="preserve">an indicator of dynamic, yet functional, forest structure. In contrast, </w:t>
      </w:r>
      <w:proofErr w:type="spellStart"/>
      <w:r w:rsidRPr="00276561">
        <w:rPr>
          <w:rFonts w:ascii="Arial" w:hAnsi="Arial" w:cs="Arial"/>
        </w:rPr>
        <w:t>Agnikro</w:t>
      </w:r>
      <w:proofErr w:type="spellEnd"/>
      <w:r w:rsidRPr="00276561">
        <w:rPr>
          <w:rFonts w:ascii="Arial" w:hAnsi="Arial" w:cs="Arial"/>
        </w:rPr>
        <w:t xml:space="preserve"> displays a narrower and lower height range, consistent with growth suppression or past disturbance. Similarly, the density plots in Fig</w:t>
      </w:r>
      <w:r>
        <w:rPr>
          <w:rFonts w:ascii="Arial" w:hAnsi="Arial" w:cs="Arial"/>
        </w:rPr>
        <w:t>.</w:t>
      </w:r>
      <w:r w:rsidRPr="00276561">
        <w:rPr>
          <w:rFonts w:ascii="Arial" w:hAnsi="Arial" w:cs="Arial"/>
        </w:rPr>
        <w:t xml:space="preserve"> </w:t>
      </w:r>
      <w:r>
        <w:rPr>
          <w:rFonts w:ascii="Arial" w:hAnsi="Arial" w:cs="Arial"/>
        </w:rPr>
        <w:t>7D</w:t>
      </w:r>
      <w:r w:rsidRPr="00276561">
        <w:rPr>
          <w:rFonts w:ascii="Arial" w:hAnsi="Arial" w:cs="Arial"/>
        </w:rPr>
        <w:t xml:space="preserve"> show that DBH values in </w:t>
      </w:r>
      <w:r w:rsidR="00855BFE">
        <w:rPr>
          <w:rFonts w:ascii="Arial" w:hAnsi="Arial" w:cs="Arial"/>
        </w:rPr>
        <w:t>Aero-canal</w:t>
      </w:r>
      <w:r w:rsidRPr="00276561">
        <w:rPr>
          <w:rFonts w:ascii="Arial" w:hAnsi="Arial" w:cs="Arial"/>
        </w:rPr>
        <w:t xml:space="preserve"> extend into higher classes, whereas individuals </w:t>
      </w:r>
      <w:r>
        <w:rPr>
          <w:rFonts w:ascii="Arial" w:hAnsi="Arial" w:cs="Arial"/>
        </w:rPr>
        <w:t xml:space="preserve">in </w:t>
      </w:r>
      <w:proofErr w:type="spellStart"/>
      <w:r w:rsidRPr="00276561">
        <w:rPr>
          <w:rFonts w:ascii="Arial" w:hAnsi="Arial" w:cs="Arial"/>
        </w:rPr>
        <w:t>Agnikro</w:t>
      </w:r>
      <w:proofErr w:type="spellEnd"/>
      <w:r w:rsidRPr="00276561">
        <w:rPr>
          <w:rFonts w:ascii="Arial" w:hAnsi="Arial" w:cs="Arial"/>
        </w:rPr>
        <w:t xml:space="preserve"> are largely confined to smaller diameters, reflecting reduced growth potential or more frequent harvesting of large trees.</w:t>
      </w:r>
    </w:p>
    <w:bookmarkEnd w:id="16"/>
    <w:p w14:paraId="17486176" w14:textId="794A93EE" w:rsidR="00003397" w:rsidRDefault="00A92ED4" w:rsidP="000B46BB">
      <w:pPr>
        <w:pStyle w:val="Body"/>
        <w:spacing w:after="0"/>
        <w:jc w:val="center"/>
        <w:rPr>
          <w:rFonts w:ascii="Arial" w:hAnsi="Arial" w:cs="Arial"/>
        </w:rPr>
      </w:pPr>
      <w:r>
        <w:rPr>
          <w:noProof/>
        </w:rPr>
        <w:drawing>
          <wp:inline distT="0" distB="0" distL="0" distR="0" wp14:anchorId="2A7A9CD7" wp14:editId="443E5108">
            <wp:extent cx="5212080" cy="33693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3369310"/>
                    </a:xfrm>
                    <a:prstGeom prst="rect">
                      <a:avLst/>
                    </a:prstGeom>
                    <a:noFill/>
                    <a:ln>
                      <a:noFill/>
                    </a:ln>
                  </pic:spPr>
                </pic:pic>
              </a:graphicData>
            </a:graphic>
          </wp:inline>
        </w:drawing>
      </w:r>
    </w:p>
    <w:p w14:paraId="5E4CA190" w14:textId="4F8EC233" w:rsidR="00B614F6" w:rsidRDefault="000B46BB" w:rsidP="00B614F6">
      <w:pPr>
        <w:pStyle w:val="Body"/>
        <w:spacing w:before="240" w:after="0" w:line="480" w:lineRule="auto"/>
        <w:jc w:val="center"/>
      </w:pPr>
      <w:r w:rsidRPr="00B614F6">
        <w:rPr>
          <w:rStyle w:val="Strong"/>
        </w:rPr>
        <w:t>Fig</w:t>
      </w:r>
      <w:r w:rsidR="000F30B5" w:rsidRPr="00B614F6">
        <w:rPr>
          <w:rStyle w:val="Strong"/>
        </w:rPr>
        <w:t>.</w:t>
      </w:r>
      <w:r w:rsidRPr="00B614F6">
        <w:rPr>
          <w:rStyle w:val="Strong"/>
        </w:rPr>
        <w:t xml:space="preserve"> </w:t>
      </w:r>
      <w:r w:rsidR="000F30B5" w:rsidRPr="00B614F6">
        <w:rPr>
          <w:rStyle w:val="Strong"/>
        </w:rPr>
        <w:t>7</w:t>
      </w:r>
      <w:r w:rsidRPr="00B614F6">
        <w:rPr>
          <w:rStyle w:val="Strong"/>
        </w:rPr>
        <w:t>.</w:t>
      </w:r>
      <w:r w:rsidRPr="00B614F6">
        <w:rPr>
          <w:b/>
          <w:bCs/>
        </w:rPr>
        <w:t xml:space="preserve"> Structural variation of </w:t>
      </w:r>
      <w:r w:rsidRPr="00B614F6">
        <w:rPr>
          <w:rStyle w:val="Emphasis"/>
          <w:b/>
          <w:bCs/>
        </w:rPr>
        <w:t>Rhizophora racemosa</w:t>
      </w:r>
      <w:r w:rsidRPr="00B614F6">
        <w:rPr>
          <w:b/>
          <w:bCs/>
        </w:rPr>
        <w:t xml:space="preserve"> across studied sectors</w:t>
      </w:r>
    </w:p>
    <w:p w14:paraId="4ECFAEED" w14:textId="7B148C05" w:rsidR="00003397" w:rsidRDefault="000B46BB" w:rsidP="00B614F6">
      <w:pPr>
        <w:pStyle w:val="Body"/>
        <w:spacing w:after="0" w:line="480" w:lineRule="auto"/>
        <w:jc w:val="center"/>
        <w:rPr>
          <w:rFonts w:ascii="Arial" w:hAnsi="Arial" w:cs="Arial"/>
        </w:rPr>
      </w:pPr>
      <w:r>
        <w:t>(A) Mean tree height (± SD); (B) Mean DBH (± SD); (C) Distribution of individual tree height; (D) Distribution of individual DBH.</w:t>
      </w:r>
    </w:p>
    <w:p w14:paraId="1076A9BE" w14:textId="77777777" w:rsidR="00003397" w:rsidRDefault="00003397" w:rsidP="00003397">
      <w:pPr>
        <w:pStyle w:val="Body"/>
        <w:spacing w:after="0"/>
        <w:rPr>
          <w:rFonts w:ascii="Arial" w:hAnsi="Arial" w:cs="Arial"/>
        </w:rPr>
      </w:pPr>
    </w:p>
    <w:p w14:paraId="22BCBF39" w14:textId="2F6D7DEA" w:rsidR="00276561" w:rsidRDefault="00276561" w:rsidP="00276561">
      <w:pPr>
        <w:pStyle w:val="Body"/>
        <w:spacing w:after="0"/>
        <w:rPr>
          <w:rFonts w:ascii="Arial" w:hAnsi="Arial" w:cs="Arial"/>
        </w:rPr>
      </w:pPr>
      <w:bookmarkStart w:id="17" w:name="_Hlk206727858"/>
      <w:r w:rsidRPr="00276561">
        <w:rPr>
          <w:rFonts w:ascii="Arial" w:hAnsi="Arial" w:cs="Arial"/>
        </w:rPr>
        <w:t xml:space="preserve">Together, these results underscore the localized nature of structural differentiation in </w:t>
      </w:r>
      <w:r w:rsidRPr="000B46BB">
        <w:rPr>
          <w:rFonts w:ascii="Arial" w:hAnsi="Arial" w:cs="Arial"/>
          <w:i/>
          <w:iCs/>
        </w:rPr>
        <w:t>R. racemosa</w:t>
      </w:r>
      <w:r w:rsidRPr="00276561">
        <w:rPr>
          <w:rFonts w:ascii="Arial" w:hAnsi="Arial" w:cs="Arial"/>
        </w:rPr>
        <w:t xml:space="preserve"> populations. The relatively favorable structural attributes in </w:t>
      </w:r>
      <w:proofErr w:type="spellStart"/>
      <w:r w:rsidRPr="00276561">
        <w:rPr>
          <w:rFonts w:ascii="Arial" w:hAnsi="Arial" w:cs="Arial"/>
        </w:rPr>
        <w:t>Aero</w:t>
      </w:r>
      <w:r w:rsidR="000B46BB">
        <w:rPr>
          <w:rFonts w:ascii="Arial" w:hAnsi="Arial" w:cs="Arial"/>
        </w:rPr>
        <w:t>c</w:t>
      </w:r>
      <w:proofErr w:type="spellEnd"/>
      <w:r w:rsidR="000B46BB">
        <w:rPr>
          <w:rFonts w:ascii="Arial" w:hAnsi="Arial" w:cs="Arial"/>
        </w:rPr>
        <w:t>-c</w:t>
      </w:r>
      <w:r w:rsidRPr="00276561">
        <w:rPr>
          <w:rFonts w:ascii="Arial" w:hAnsi="Arial" w:cs="Arial"/>
        </w:rPr>
        <w:t xml:space="preserve">anal and </w:t>
      </w:r>
      <w:proofErr w:type="spellStart"/>
      <w:r w:rsidRPr="00276561">
        <w:rPr>
          <w:rFonts w:ascii="Arial" w:hAnsi="Arial" w:cs="Arial"/>
        </w:rPr>
        <w:t>Kamboukro</w:t>
      </w:r>
      <w:proofErr w:type="spellEnd"/>
      <w:r w:rsidRPr="00276561">
        <w:rPr>
          <w:rFonts w:ascii="Arial" w:hAnsi="Arial" w:cs="Arial"/>
        </w:rPr>
        <w:t xml:space="preserve"> align with field observations of lower human pressure and better hydrological exchange. Conversely, the dwarf stature observed in </w:t>
      </w:r>
      <w:proofErr w:type="spellStart"/>
      <w:r w:rsidRPr="00276561">
        <w:rPr>
          <w:rFonts w:ascii="Arial" w:hAnsi="Arial" w:cs="Arial"/>
        </w:rPr>
        <w:t>Agnikro</w:t>
      </w:r>
      <w:proofErr w:type="spellEnd"/>
      <w:r w:rsidRPr="00276561">
        <w:rPr>
          <w:rFonts w:ascii="Arial" w:hAnsi="Arial" w:cs="Arial"/>
        </w:rPr>
        <w:t xml:space="preserve"> may result from pollution-induced stress, altered salinity regimes, or sediment compaction</w:t>
      </w:r>
      <w:r w:rsidR="000B46BB">
        <w:rPr>
          <w:rFonts w:ascii="Arial" w:hAnsi="Arial" w:cs="Arial"/>
        </w:rPr>
        <w:t xml:space="preserve">- </w:t>
      </w:r>
      <w:r w:rsidRPr="00276561">
        <w:rPr>
          <w:rFonts w:ascii="Arial" w:hAnsi="Arial" w:cs="Arial"/>
        </w:rPr>
        <w:t xml:space="preserve">factors known to impair </w:t>
      </w:r>
      <w:r w:rsidRPr="00276561">
        <w:rPr>
          <w:rFonts w:ascii="Arial" w:hAnsi="Arial" w:cs="Arial"/>
        </w:rPr>
        <w:lastRenderedPageBreak/>
        <w:t>growth in mangroves (Duke et al., 1998; Alongi, 2015). Moreover, the complete disappearance of the species from certain sectors raises conservation alarms and signals the need for urgent restoration interventions in these zones.</w:t>
      </w:r>
    </w:p>
    <w:p w14:paraId="30180917" w14:textId="77777777" w:rsidR="00276561" w:rsidRDefault="00276561" w:rsidP="003D41E4">
      <w:pPr>
        <w:pStyle w:val="Body"/>
        <w:rPr>
          <w:rFonts w:ascii="Arial" w:hAnsi="Arial" w:cs="Arial"/>
        </w:rPr>
      </w:pPr>
    </w:p>
    <w:p w14:paraId="2B53AD55" w14:textId="3458B5FF"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3.2.2. Stem density and basal area</w:t>
      </w:r>
    </w:p>
    <w:p w14:paraId="30EE9AAF" w14:textId="7354743B" w:rsidR="00EC35A5" w:rsidRDefault="00EC35A5" w:rsidP="00EC35A5">
      <w:pPr>
        <w:pStyle w:val="Body"/>
        <w:rPr>
          <w:rFonts w:ascii="Arial" w:hAnsi="Arial" w:cs="Arial"/>
        </w:rPr>
      </w:pPr>
      <w:r w:rsidRPr="00EC35A5">
        <w:rPr>
          <w:rFonts w:ascii="Arial" w:hAnsi="Arial" w:cs="Arial"/>
        </w:rPr>
        <w:t xml:space="preserve">The spatial distribution of </w:t>
      </w:r>
      <w:r w:rsidRPr="00EC35A5">
        <w:rPr>
          <w:rFonts w:ascii="Arial" w:hAnsi="Arial" w:cs="Arial"/>
          <w:i/>
          <w:iCs/>
        </w:rPr>
        <w:t>Rhizophora racemosa</w:t>
      </w:r>
      <w:r w:rsidRPr="00EC35A5">
        <w:rPr>
          <w:rFonts w:ascii="Arial" w:hAnsi="Arial" w:cs="Arial"/>
        </w:rPr>
        <w:t xml:space="preserve"> stem density and basal area exhibited </w:t>
      </w:r>
      <w:r w:rsidR="00FF2C6A">
        <w:rPr>
          <w:rFonts w:ascii="Arial" w:hAnsi="Arial" w:cs="Arial"/>
        </w:rPr>
        <w:t>significant</w:t>
      </w:r>
      <w:r w:rsidRPr="00EC35A5">
        <w:rPr>
          <w:rFonts w:ascii="Arial" w:hAnsi="Arial" w:cs="Arial"/>
        </w:rPr>
        <w:t xml:space="preserve"> heterogeneity across sectors. No individuals were recorded in </w:t>
      </w:r>
      <w:proofErr w:type="spellStart"/>
      <w:r w:rsidRPr="00EC35A5">
        <w:rPr>
          <w:rFonts w:ascii="Arial" w:hAnsi="Arial" w:cs="Arial"/>
        </w:rPr>
        <w:t>Abbeykro</w:t>
      </w:r>
      <w:proofErr w:type="spellEnd"/>
      <w:r w:rsidRPr="00EC35A5">
        <w:rPr>
          <w:rFonts w:ascii="Arial" w:hAnsi="Arial" w:cs="Arial"/>
        </w:rPr>
        <w:t xml:space="preserve">, </w:t>
      </w:r>
      <w:proofErr w:type="spellStart"/>
      <w:r w:rsidRPr="00EC35A5">
        <w:rPr>
          <w:rFonts w:ascii="Arial" w:hAnsi="Arial" w:cs="Arial"/>
        </w:rPr>
        <w:t>Abouabou</w:t>
      </w:r>
      <w:proofErr w:type="spellEnd"/>
      <w:r w:rsidRPr="00EC35A5">
        <w:rPr>
          <w:rFonts w:ascii="Arial" w:hAnsi="Arial" w:cs="Arial"/>
        </w:rPr>
        <w:t xml:space="preserve">, </w:t>
      </w:r>
      <w:proofErr w:type="spellStart"/>
      <w:r w:rsidRPr="00EC35A5">
        <w:rPr>
          <w:rFonts w:ascii="Arial" w:hAnsi="Arial" w:cs="Arial"/>
        </w:rPr>
        <w:t>Amangoua</w:t>
      </w:r>
      <w:proofErr w:type="spellEnd"/>
      <w:r w:rsidRPr="00EC35A5">
        <w:rPr>
          <w:rFonts w:ascii="Arial" w:hAnsi="Arial" w:cs="Arial"/>
        </w:rPr>
        <w:t xml:space="preserve">-Koi, and </w:t>
      </w:r>
      <w:proofErr w:type="spellStart"/>
      <w:r w:rsidRPr="00EC35A5">
        <w:rPr>
          <w:rFonts w:ascii="Arial" w:hAnsi="Arial" w:cs="Arial"/>
        </w:rPr>
        <w:t>Darakodji</w:t>
      </w:r>
      <w:proofErr w:type="spellEnd"/>
      <w:r w:rsidRPr="00EC35A5">
        <w:rPr>
          <w:rFonts w:ascii="Arial" w:hAnsi="Arial" w:cs="Arial"/>
        </w:rPr>
        <w:t xml:space="preserve">, indicating a 100% zero-occurrence rate in these sectors (Table 1). In contrast, </w:t>
      </w:r>
      <w:proofErr w:type="spellStart"/>
      <w:r w:rsidRPr="00EC35A5">
        <w:rPr>
          <w:rFonts w:ascii="Arial" w:hAnsi="Arial" w:cs="Arial"/>
        </w:rPr>
        <w:t>Kamboukro</w:t>
      </w:r>
      <w:proofErr w:type="spellEnd"/>
      <w:r w:rsidRPr="00EC35A5">
        <w:rPr>
          <w:rFonts w:ascii="Arial" w:hAnsi="Arial" w:cs="Arial"/>
        </w:rPr>
        <w:t xml:space="preserve"> displayed the highest stem density (18.44 ± 18.40 ind. 200 m</w:t>
      </w:r>
      <w:r w:rsidRPr="00EC35A5">
        <w:rPr>
          <w:rFonts w:ascii="Cambria Math" w:hAnsi="Cambria Math" w:cs="Cambria Math"/>
        </w:rPr>
        <w:t>⁻</w:t>
      </w:r>
      <w:r w:rsidRPr="00EC35A5">
        <w:rPr>
          <w:rFonts w:ascii="Arial" w:hAnsi="Arial" w:cs="Arial"/>
        </w:rPr>
        <w:t>²) and basal area (11.85 ± 12.77 m² ha</w:t>
      </w:r>
      <w:r w:rsidRPr="00EC35A5">
        <w:rPr>
          <w:rFonts w:ascii="Cambria Math" w:hAnsi="Cambria Math" w:cs="Cambria Math"/>
        </w:rPr>
        <w:t>⁻</w:t>
      </w:r>
      <w:r w:rsidRPr="00EC35A5">
        <w:rPr>
          <w:rFonts w:ascii="Arial" w:hAnsi="Arial" w:cs="Arial"/>
        </w:rPr>
        <w:t xml:space="preserve">¹), followed by </w:t>
      </w:r>
      <w:r w:rsidR="00855BFE">
        <w:rPr>
          <w:rFonts w:ascii="Arial" w:hAnsi="Arial" w:cs="Arial"/>
        </w:rPr>
        <w:t>Aero-canal</w:t>
      </w:r>
      <w:r w:rsidRPr="00EC35A5">
        <w:rPr>
          <w:rFonts w:ascii="Arial" w:hAnsi="Arial" w:cs="Arial"/>
        </w:rPr>
        <w:t xml:space="preserve"> (7.44 ± 8.53 ind. 200 m</w:t>
      </w:r>
      <w:r w:rsidRPr="00EC35A5">
        <w:rPr>
          <w:rFonts w:ascii="Cambria Math" w:hAnsi="Cambria Math" w:cs="Cambria Math"/>
        </w:rPr>
        <w:t>⁻</w:t>
      </w:r>
      <w:r w:rsidRPr="00EC35A5">
        <w:rPr>
          <w:rFonts w:ascii="Arial" w:hAnsi="Arial" w:cs="Arial"/>
        </w:rPr>
        <w:t>² and 10.49 ± 12.27 m² ha</w:t>
      </w:r>
      <w:r w:rsidRPr="00EC35A5">
        <w:rPr>
          <w:rFonts w:ascii="Cambria Math" w:hAnsi="Cambria Math" w:cs="Cambria Math"/>
        </w:rPr>
        <w:t>⁻</w:t>
      </w:r>
      <w:r w:rsidRPr="00EC35A5">
        <w:rPr>
          <w:rFonts w:ascii="Arial" w:hAnsi="Arial" w:cs="Arial"/>
        </w:rPr>
        <w:t xml:space="preserve">¹, respectively), with a moderate zero-occurrence rate of 33.3%. </w:t>
      </w:r>
      <w:proofErr w:type="spellStart"/>
      <w:r w:rsidRPr="00EC35A5">
        <w:rPr>
          <w:rFonts w:ascii="Arial" w:hAnsi="Arial" w:cs="Arial"/>
        </w:rPr>
        <w:t>Agnikro</w:t>
      </w:r>
      <w:proofErr w:type="spellEnd"/>
      <w:r w:rsidRPr="00EC35A5">
        <w:rPr>
          <w:rFonts w:ascii="Arial" w:hAnsi="Arial" w:cs="Arial"/>
        </w:rPr>
        <w:t xml:space="preserve"> supported only sparse populations, with a mean density of 0.89 ± 1.76 ind. 200 m</w:t>
      </w:r>
      <w:r w:rsidRPr="00EC35A5">
        <w:rPr>
          <w:rFonts w:ascii="Cambria Math" w:hAnsi="Cambria Math" w:cs="Cambria Math"/>
        </w:rPr>
        <w:t>⁻</w:t>
      </w:r>
      <w:r w:rsidRPr="00EC35A5">
        <w:rPr>
          <w:rFonts w:ascii="Arial" w:hAnsi="Arial" w:cs="Arial"/>
        </w:rPr>
        <w:t>² and a basal area of 0.39 ± 0.67 m² ha</w:t>
      </w:r>
      <w:r w:rsidRPr="00EC35A5">
        <w:rPr>
          <w:rFonts w:ascii="Cambria Math" w:hAnsi="Cambria Math" w:cs="Cambria Math"/>
        </w:rPr>
        <w:t>⁻</w:t>
      </w:r>
      <w:r w:rsidRPr="00EC35A5">
        <w:rPr>
          <w:rFonts w:ascii="Arial" w:hAnsi="Arial" w:cs="Arial"/>
        </w:rPr>
        <w:t>¹, and a high zero-occurrence rate (71.4%).</w:t>
      </w:r>
    </w:p>
    <w:p w14:paraId="7E7242D9" w14:textId="149D5645" w:rsidR="00FF2C6A" w:rsidRDefault="00FF2C6A" w:rsidP="00FF2C6A">
      <w:pPr>
        <w:spacing w:after="120"/>
        <w:jc w:val="both"/>
        <w:rPr>
          <w:rFonts w:ascii="Arial" w:eastAsia="Calibri" w:hAnsi="Arial" w:cs="Arial"/>
        </w:rPr>
      </w:pPr>
      <w:bookmarkStart w:id="18" w:name="_Hlk206726170"/>
      <w:bookmarkEnd w:id="17"/>
      <w:r w:rsidRPr="00A9397F">
        <w:rPr>
          <w:rFonts w:ascii="Arial" w:eastAsia="Calibri" w:hAnsi="Arial" w:cs="Arial"/>
          <w:b/>
          <w:bCs/>
        </w:rPr>
        <w:t>Table 1.</w:t>
      </w:r>
      <w:r w:rsidRPr="00A9397F">
        <w:rPr>
          <w:rFonts w:ascii="Arial" w:eastAsia="Calibri" w:hAnsi="Arial" w:cs="Arial"/>
        </w:rPr>
        <w:t xml:space="preserve"> Stem densit</w:t>
      </w:r>
      <w:r w:rsidR="00E47C3C">
        <w:rPr>
          <w:rFonts w:ascii="Arial" w:eastAsia="Calibri" w:hAnsi="Arial" w:cs="Arial"/>
        </w:rPr>
        <w:t>y</w:t>
      </w:r>
      <w:r w:rsidRPr="00A9397F">
        <w:rPr>
          <w:rFonts w:ascii="Arial" w:eastAsia="Calibri" w:hAnsi="Arial" w:cs="Arial"/>
        </w:rPr>
        <w:t xml:space="preserve"> and basal area of </w:t>
      </w:r>
      <w:r w:rsidRPr="00A9397F">
        <w:rPr>
          <w:rFonts w:ascii="Arial" w:eastAsia="Calibri" w:hAnsi="Arial" w:cs="Arial"/>
          <w:i/>
          <w:iCs/>
        </w:rPr>
        <w:t>Rhizophora racemosa</w:t>
      </w:r>
      <w:r w:rsidRPr="00A9397F">
        <w:rPr>
          <w:rFonts w:ascii="Arial" w:eastAsia="Calibri" w:hAnsi="Arial" w:cs="Arial"/>
        </w:rPr>
        <w:t xml:space="preserve"> across </w:t>
      </w:r>
      <w:r>
        <w:rPr>
          <w:rFonts w:ascii="Arial" w:eastAsia="Calibri" w:hAnsi="Arial" w:cs="Arial"/>
        </w:rPr>
        <w:t xml:space="preserve">studied </w:t>
      </w:r>
      <w:r w:rsidRPr="00A9397F">
        <w:rPr>
          <w:rFonts w:ascii="Arial" w:eastAsia="Calibri" w:hAnsi="Arial" w:cs="Arial"/>
        </w:rPr>
        <w:t>sectors</w:t>
      </w:r>
      <w:r w:rsidR="006239D9">
        <w:rPr>
          <w:rFonts w:ascii="Arial" w:eastAsia="Calibri" w:hAnsi="Arial" w:cs="Arial"/>
        </w:rPr>
        <w:t>.</w:t>
      </w:r>
    </w:p>
    <w:p w14:paraId="73035919" w14:textId="406C6A93" w:rsidR="006239D9" w:rsidRPr="00EC2B33" w:rsidRDefault="006239D9" w:rsidP="00EC2B33">
      <w:pPr>
        <w:spacing w:line="480" w:lineRule="auto"/>
        <w:jc w:val="both"/>
        <w:rPr>
          <w:rFonts w:eastAsia="Calibri"/>
        </w:rPr>
      </w:pPr>
      <w:r w:rsidRPr="006239D9">
        <w:rPr>
          <w:rFonts w:eastAsia="Calibri"/>
        </w:rPr>
        <w:t>(Values are mean ± standard deviation. Different letters indicate significant differences between sectors at P &lt; .05.</w:t>
      </w:r>
      <w:r>
        <w:rPr>
          <w:rFonts w:eastAsia="Calibri"/>
        </w:rPr>
        <w:t xml:space="preserve"> </w:t>
      </w:r>
      <w:r w:rsidRPr="006239D9">
        <w:rPr>
          <w:rFonts w:eastAsia="Calibri"/>
        </w:rPr>
        <w:t>n</w:t>
      </w:r>
      <w:r>
        <w:rPr>
          <w:rFonts w:eastAsia="Calibri"/>
        </w:rPr>
        <w:t xml:space="preserve"> </w:t>
      </w:r>
      <w:r w:rsidRPr="006239D9">
        <w:rPr>
          <w:rFonts w:eastAsia="Calibri"/>
        </w:rPr>
        <w:t>plots = number of plots per sector</w:t>
      </w:r>
      <w:r>
        <w:rPr>
          <w:rFonts w:eastAsia="Calibri"/>
        </w:rPr>
        <w:t>).</w:t>
      </w:r>
    </w:p>
    <w:tbl>
      <w:tblPr>
        <w:tblStyle w:val="Grilledutableau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58"/>
        <w:gridCol w:w="1843"/>
        <w:gridCol w:w="1876"/>
        <w:gridCol w:w="2235"/>
      </w:tblGrid>
      <w:tr w:rsidR="00FF2C6A" w:rsidRPr="00A9397F" w14:paraId="0DD5567F" w14:textId="77777777" w:rsidTr="00E47C3C">
        <w:trPr>
          <w:trHeight w:val="285"/>
        </w:trPr>
        <w:tc>
          <w:tcPr>
            <w:tcW w:w="1560" w:type="dxa"/>
            <w:tcBorders>
              <w:top w:val="single" w:sz="12" w:space="0" w:color="auto"/>
              <w:bottom w:val="single" w:sz="12" w:space="0" w:color="auto"/>
            </w:tcBorders>
            <w:noWrap/>
            <w:vAlign w:val="center"/>
            <w:hideMark/>
          </w:tcPr>
          <w:p w14:paraId="007B8D93" w14:textId="77777777" w:rsidR="00FF2C6A" w:rsidRPr="00A9397F" w:rsidRDefault="00FF2C6A" w:rsidP="00E47C3C">
            <w:pPr>
              <w:rPr>
                <w:rFonts w:ascii="Arial" w:eastAsia="Calibri" w:hAnsi="Arial" w:cs="Arial"/>
                <w:b/>
                <w:bCs/>
                <w:sz w:val="20"/>
                <w:szCs w:val="22"/>
              </w:rPr>
            </w:pPr>
            <w:proofErr w:type="spellStart"/>
            <w:r w:rsidRPr="00A9397F">
              <w:rPr>
                <w:rFonts w:ascii="Arial" w:eastAsia="Calibri" w:hAnsi="Arial" w:cs="Arial"/>
                <w:b/>
                <w:bCs/>
                <w:sz w:val="20"/>
                <w:szCs w:val="22"/>
              </w:rPr>
              <w:t>Sector</w:t>
            </w:r>
            <w:proofErr w:type="spellEnd"/>
          </w:p>
        </w:tc>
        <w:tc>
          <w:tcPr>
            <w:tcW w:w="958" w:type="dxa"/>
            <w:tcBorders>
              <w:top w:val="single" w:sz="12" w:space="0" w:color="auto"/>
              <w:bottom w:val="single" w:sz="12" w:space="0" w:color="auto"/>
            </w:tcBorders>
            <w:vAlign w:val="center"/>
          </w:tcPr>
          <w:p w14:paraId="1EF2F4EE"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n plots</w:t>
            </w:r>
          </w:p>
        </w:tc>
        <w:tc>
          <w:tcPr>
            <w:tcW w:w="1843" w:type="dxa"/>
            <w:tcBorders>
              <w:top w:val="single" w:sz="12" w:space="0" w:color="auto"/>
              <w:bottom w:val="single" w:sz="12" w:space="0" w:color="auto"/>
            </w:tcBorders>
            <w:vAlign w:val="center"/>
          </w:tcPr>
          <w:p w14:paraId="69AB0E99"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Average density</w:t>
            </w:r>
          </w:p>
          <w:p w14:paraId="625BFB81" w14:textId="77777777" w:rsidR="00FF2C6A" w:rsidRPr="00A9397F" w:rsidRDefault="00FF2C6A" w:rsidP="00E47C3C">
            <w:pPr>
              <w:jc w:val="center"/>
              <w:rPr>
                <w:rFonts w:ascii="Arial" w:eastAsia="Calibri" w:hAnsi="Arial" w:cs="Arial"/>
                <w:sz w:val="20"/>
                <w:szCs w:val="22"/>
                <w:lang w:val="en-US"/>
              </w:rPr>
            </w:pPr>
            <w:r w:rsidRPr="00A9397F">
              <w:rPr>
                <w:rFonts w:ascii="Arial" w:eastAsia="Calibri" w:hAnsi="Arial" w:cs="Arial"/>
                <w:sz w:val="20"/>
                <w:szCs w:val="22"/>
                <w:lang w:val="en-US"/>
              </w:rPr>
              <w:t>(ind. 200 m</w:t>
            </w:r>
            <w:r w:rsidRPr="00A9397F">
              <w:rPr>
                <w:rFonts w:ascii="Cambria Math" w:eastAsia="Calibri" w:hAnsi="Cambria Math" w:cs="Cambria Math"/>
                <w:sz w:val="20"/>
                <w:szCs w:val="22"/>
                <w:lang w:val="en-US"/>
              </w:rPr>
              <w:t>⁻</w:t>
            </w:r>
            <w:r w:rsidRPr="00A9397F">
              <w:rPr>
                <w:rFonts w:ascii="Arial" w:eastAsia="Calibri" w:hAnsi="Arial" w:cs="Arial"/>
                <w:sz w:val="20"/>
                <w:szCs w:val="22"/>
                <w:lang w:val="en-US"/>
              </w:rPr>
              <w:t>²)</w:t>
            </w:r>
          </w:p>
        </w:tc>
        <w:tc>
          <w:tcPr>
            <w:tcW w:w="1876" w:type="dxa"/>
            <w:tcBorders>
              <w:top w:val="single" w:sz="12" w:space="0" w:color="auto"/>
              <w:bottom w:val="single" w:sz="12" w:space="0" w:color="auto"/>
            </w:tcBorders>
            <w:vAlign w:val="center"/>
          </w:tcPr>
          <w:p w14:paraId="7DCC6604" w14:textId="6B1C3647" w:rsidR="00FF2C6A" w:rsidRPr="00A9397F" w:rsidRDefault="00E47C3C" w:rsidP="00E47C3C">
            <w:pPr>
              <w:jc w:val="center"/>
              <w:rPr>
                <w:rFonts w:ascii="Arial" w:eastAsia="Calibri" w:hAnsi="Arial" w:cs="Arial"/>
                <w:b/>
                <w:bCs/>
                <w:sz w:val="20"/>
                <w:szCs w:val="22"/>
                <w:lang w:val="en-US"/>
              </w:rPr>
            </w:pPr>
            <w:r>
              <w:rPr>
                <w:rFonts w:ascii="Arial" w:eastAsia="Calibri" w:hAnsi="Arial" w:cs="Arial"/>
                <w:b/>
                <w:bCs/>
                <w:sz w:val="20"/>
                <w:szCs w:val="22"/>
                <w:lang w:val="en-US"/>
              </w:rPr>
              <w:t>Mean b</w:t>
            </w:r>
            <w:r w:rsidR="00FF2C6A" w:rsidRPr="00A9397F">
              <w:rPr>
                <w:rFonts w:ascii="Arial" w:eastAsia="Calibri" w:hAnsi="Arial" w:cs="Arial"/>
                <w:b/>
                <w:bCs/>
                <w:sz w:val="20"/>
                <w:szCs w:val="22"/>
                <w:lang w:val="en-US"/>
              </w:rPr>
              <w:t>asal area</w:t>
            </w:r>
          </w:p>
          <w:p w14:paraId="2572A5B6" w14:textId="77777777" w:rsidR="00FF2C6A" w:rsidRPr="00A9397F" w:rsidRDefault="00FF2C6A" w:rsidP="00E47C3C">
            <w:pPr>
              <w:jc w:val="center"/>
              <w:rPr>
                <w:rFonts w:ascii="Arial" w:eastAsia="Calibri" w:hAnsi="Arial" w:cs="Arial"/>
                <w:sz w:val="20"/>
                <w:szCs w:val="22"/>
                <w:lang w:val="en-US"/>
              </w:rPr>
            </w:pPr>
            <w:r w:rsidRPr="00A9397F">
              <w:rPr>
                <w:rFonts w:ascii="Arial" w:eastAsia="Calibri" w:hAnsi="Arial" w:cs="Arial"/>
                <w:sz w:val="20"/>
                <w:szCs w:val="22"/>
                <w:lang w:val="en-US"/>
              </w:rPr>
              <w:t>(m</w:t>
            </w:r>
            <w:r w:rsidRPr="00A9397F">
              <w:rPr>
                <w:rFonts w:ascii="Arial" w:eastAsia="Calibri" w:hAnsi="Arial" w:cs="Arial"/>
                <w:sz w:val="20"/>
                <w:szCs w:val="22"/>
                <w:vertAlign w:val="superscript"/>
                <w:lang w:val="en-US"/>
              </w:rPr>
              <w:t xml:space="preserve">2 </w:t>
            </w:r>
            <w:r w:rsidRPr="00A9397F">
              <w:rPr>
                <w:rFonts w:ascii="Arial" w:eastAsia="Calibri" w:hAnsi="Arial" w:cs="Arial"/>
                <w:sz w:val="20"/>
                <w:szCs w:val="22"/>
                <w:lang w:val="en-US"/>
              </w:rPr>
              <w:t>ha</w:t>
            </w:r>
            <w:r w:rsidRPr="00A9397F">
              <w:rPr>
                <w:rFonts w:ascii="Arial" w:eastAsia="Calibri" w:hAnsi="Arial" w:cs="Arial"/>
                <w:sz w:val="20"/>
                <w:szCs w:val="22"/>
                <w:vertAlign w:val="superscript"/>
                <w:lang w:val="en-US"/>
              </w:rPr>
              <w:t>-1</w:t>
            </w:r>
            <w:r w:rsidRPr="00A9397F">
              <w:rPr>
                <w:rFonts w:ascii="Arial" w:eastAsia="Calibri" w:hAnsi="Arial" w:cs="Arial"/>
                <w:sz w:val="20"/>
                <w:szCs w:val="22"/>
                <w:lang w:val="en-US"/>
              </w:rPr>
              <w:t>)</w:t>
            </w:r>
          </w:p>
        </w:tc>
        <w:tc>
          <w:tcPr>
            <w:tcW w:w="2235" w:type="dxa"/>
            <w:tcBorders>
              <w:top w:val="single" w:sz="12" w:space="0" w:color="auto"/>
              <w:bottom w:val="single" w:sz="12" w:space="0" w:color="auto"/>
            </w:tcBorders>
            <w:vAlign w:val="center"/>
          </w:tcPr>
          <w:p w14:paraId="3A4BED24" w14:textId="77777777" w:rsidR="00FF2C6A" w:rsidRPr="00A9397F" w:rsidRDefault="00FF2C6A" w:rsidP="00E47C3C">
            <w:pPr>
              <w:jc w:val="center"/>
              <w:rPr>
                <w:rFonts w:ascii="Arial" w:eastAsia="Calibri" w:hAnsi="Arial" w:cs="Arial"/>
                <w:b/>
                <w:bCs/>
                <w:sz w:val="20"/>
                <w:szCs w:val="22"/>
                <w:lang w:val="en-US"/>
              </w:rPr>
            </w:pPr>
            <w:r w:rsidRPr="00A9397F">
              <w:rPr>
                <w:rFonts w:ascii="Arial" w:eastAsia="Calibri" w:hAnsi="Arial" w:cs="Arial"/>
                <w:b/>
                <w:bCs/>
                <w:sz w:val="20"/>
                <w:szCs w:val="22"/>
                <w:lang w:val="en-US"/>
              </w:rPr>
              <w:t>Zero-occurrence rate</w:t>
            </w:r>
          </w:p>
        </w:tc>
      </w:tr>
      <w:tr w:rsidR="00FF2C6A" w:rsidRPr="00A9397F" w14:paraId="2BA44B43" w14:textId="77777777" w:rsidTr="00E47C3C">
        <w:trPr>
          <w:trHeight w:val="285"/>
        </w:trPr>
        <w:tc>
          <w:tcPr>
            <w:tcW w:w="1560" w:type="dxa"/>
            <w:tcBorders>
              <w:top w:val="single" w:sz="12" w:space="0" w:color="auto"/>
            </w:tcBorders>
            <w:noWrap/>
            <w:hideMark/>
          </w:tcPr>
          <w:p w14:paraId="4C640680"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Abbeykro</w:t>
            </w:r>
            <w:proofErr w:type="spellEnd"/>
          </w:p>
        </w:tc>
        <w:tc>
          <w:tcPr>
            <w:tcW w:w="958" w:type="dxa"/>
            <w:tcBorders>
              <w:top w:val="single" w:sz="12" w:space="0" w:color="auto"/>
            </w:tcBorders>
          </w:tcPr>
          <w:p w14:paraId="345A377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Borders>
              <w:top w:val="single" w:sz="12" w:space="0" w:color="auto"/>
            </w:tcBorders>
          </w:tcPr>
          <w:p w14:paraId="040E975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Borders>
              <w:top w:val="single" w:sz="12" w:space="0" w:color="auto"/>
            </w:tcBorders>
          </w:tcPr>
          <w:p w14:paraId="3ED0A68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Borders>
              <w:top w:val="single" w:sz="12" w:space="0" w:color="auto"/>
            </w:tcBorders>
          </w:tcPr>
          <w:p w14:paraId="6591F657"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37E8205B" w14:textId="77777777" w:rsidTr="00E47C3C">
        <w:trPr>
          <w:trHeight w:val="285"/>
        </w:trPr>
        <w:tc>
          <w:tcPr>
            <w:tcW w:w="1560" w:type="dxa"/>
            <w:noWrap/>
            <w:hideMark/>
          </w:tcPr>
          <w:p w14:paraId="58E81325"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Abouabou</w:t>
            </w:r>
            <w:proofErr w:type="spellEnd"/>
          </w:p>
        </w:tc>
        <w:tc>
          <w:tcPr>
            <w:tcW w:w="958" w:type="dxa"/>
          </w:tcPr>
          <w:p w14:paraId="5A33490F"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7C869D63"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5350D01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E4C8070"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505552F3" w14:textId="77777777" w:rsidTr="00E47C3C">
        <w:trPr>
          <w:trHeight w:val="285"/>
        </w:trPr>
        <w:tc>
          <w:tcPr>
            <w:tcW w:w="1560" w:type="dxa"/>
            <w:noWrap/>
            <w:hideMark/>
          </w:tcPr>
          <w:p w14:paraId="5F2E0A77"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Aéro</w:t>
            </w:r>
            <w:proofErr w:type="spellEnd"/>
            <w:r w:rsidRPr="00A9397F">
              <w:rPr>
                <w:rFonts w:ascii="Arial" w:eastAsia="Calibri" w:hAnsi="Arial" w:cs="Arial"/>
                <w:sz w:val="20"/>
                <w:szCs w:val="22"/>
              </w:rPr>
              <w:t xml:space="preserve"> canal</w:t>
            </w:r>
          </w:p>
        </w:tc>
        <w:tc>
          <w:tcPr>
            <w:tcW w:w="958" w:type="dxa"/>
          </w:tcPr>
          <w:p w14:paraId="0454550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324F4A5C"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7.44 ± 8.53</w:t>
            </w:r>
            <w:r w:rsidRPr="00A9397F">
              <w:rPr>
                <w:rFonts w:ascii="Arial" w:hAnsi="Arial" w:cs="Arial"/>
                <w:b/>
                <w:bCs/>
                <w:sz w:val="20"/>
                <w:szCs w:val="22"/>
                <w:vertAlign w:val="superscript"/>
              </w:rPr>
              <w:t>b</w:t>
            </w:r>
          </w:p>
        </w:tc>
        <w:tc>
          <w:tcPr>
            <w:tcW w:w="1876" w:type="dxa"/>
          </w:tcPr>
          <w:p w14:paraId="26E46A3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10.49 ± 12.27</w:t>
            </w:r>
            <w:r w:rsidRPr="00A9397F">
              <w:rPr>
                <w:rFonts w:ascii="Arial" w:eastAsia="Calibri" w:hAnsi="Arial" w:cs="Arial"/>
                <w:b/>
                <w:bCs/>
                <w:sz w:val="20"/>
                <w:szCs w:val="22"/>
                <w:vertAlign w:val="superscript"/>
              </w:rPr>
              <w:t>b</w:t>
            </w:r>
          </w:p>
        </w:tc>
        <w:tc>
          <w:tcPr>
            <w:tcW w:w="2235" w:type="dxa"/>
          </w:tcPr>
          <w:p w14:paraId="23CB7BB3"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33.3%</w:t>
            </w:r>
          </w:p>
        </w:tc>
      </w:tr>
      <w:tr w:rsidR="00FF2C6A" w:rsidRPr="00A9397F" w14:paraId="5116AEF3" w14:textId="77777777" w:rsidTr="00E47C3C">
        <w:trPr>
          <w:trHeight w:val="285"/>
        </w:trPr>
        <w:tc>
          <w:tcPr>
            <w:tcW w:w="1560" w:type="dxa"/>
            <w:noWrap/>
            <w:hideMark/>
          </w:tcPr>
          <w:p w14:paraId="745C14B5"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Agnikro</w:t>
            </w:r>
            <w:proofErr w:type="spellEnd"/>
          </w:p>
        </w:tc>
        <w:tc>
          <w:tcPr>
            <w:tcW w:w="958" w:type="dxa"/>
          </w:tcPr>
          <w:p w14:paraId="0B935B31"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Pr>
          <w:p w14:paraId="2F1E2EF5"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0.89 ± 1.76</w:t>
            </w:r>
            <w:r w:rsidRPr="00A9397F">
              <w:rPr>
                <w:rFonts w:ascii="Arial" w:hAnsi="Arial" w:cs="Arial"/>
                <w:b/>
                <w:bCs/>
                <w:sz w:val="20"/>
                <w:szCs w:val="22"/>
                <w:vertAlign w:val="superscript"/>
              </w:rPr>
              <w:t>a</w:t>
            </w:r>
          </w:p>
        </w:tc>
        <w:tc>
          <w:tcPr>
            <w:tcW w:w="1876" w:type="dxa"/>
          </w:tcPr>
          <w:p w14:paraId="33FC43C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0.39 ± 0.67</w:t>
            </w:r>
            <w:r w:rsidRPr="00A9397F">
              <w:rPr>
                <w:rFonts w:ascii="Arial" w:eastAsia="Calibri" w:hAnsi="Arial" w:cs="Arial"/>
                <w:b/>
                <w:bCs/>
                <w:sz w:val="20"/>
                <w:szCs w:val="22"/>
                <w:vertAlign w:val="superscript"/>
              </w:rPr>
              <w:t>a</w:t>
            </w:r>
          </w:p>
        </w:tc>
        <w:tc>
          <w:tcPr>
            <w:tcW w:w="2235" w:type="dxa"/>
          </w:tcPr>
          <w:p w14:paraId="6FC0C371"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71.4%</w:t>
            </w:r>
          </w:p>
        </w:tc>
      </w:tr>
      <w:tr w:rsidR="00FF2C6A" w:rsidRPr="00A9397F" w14:paraId="64496509" w14:textId="77777777" w:rsidTr="00E47C3C">
        <w:trPr>
          <w:trHeight w:val="285"/>
        </w:trPr>
        <w:tc>
          <w:tcPr>
            <w:tcW w:w="1560" w:type="dxa"/>
            <w:noWrap/>
            <w:hideMark/>
          </w:tcPr>
          <w:p w14:paraId="6E428581"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Amangoua-koi</w:t>
            </w:r>
            <w:proofErr w:type="spellEnd"/>
          </w:p>
        </w:tc>
        <w:tc>
          <w:tcPr>
            <w:tcW w:w="958" w:type="dxa"/>
          </w:tcPr>
          <w:p w14:paraId="09088EE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3</w:t>
            </w:r>
          </w:p>
        </w:tc>
        <w:tc>
          <w:tcPr>
            <w:tcW w:w="1843" w:type="dxa"/>
          </w:tcPr>
          <w:p w14:paraId="285F73F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70F06CBF"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288C70F"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7D07C537" w14:textId="77777777" w:rsidTr="00E47C3C">
        <w:trPr>
          <w:trHeight w:val="285"/>
        </w:trPr>
        <w:tc>
          <w:tcPr>
            <w:tcW w:w="1560" w:type="dxa"/>
            <w:noWrap/>
            <w:hideMark/>
          </w:tcPr>
          <w:p w14:paraId="6EB5FB42"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Darakodji</w:t>
            </w:r>
            <w:proofErr w:type="spellEnd"/>
          </w:p>
        </w:tc>
        <w:tc>
          <w:tcPr>
            <w:tcW w:w="958" w:type="dxa"/>
          </w:tcPr>
          <w:p w14:paraId="56750FE2"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6</w:t>
            </w:r>
          </w:p>
        </w:tc>
        <w:tc>
          <w:tcPr>
            <w:tcW w:w="1843" w:type="dxa"/>
          </w:tcPr>
          <w:p w14:paraId="63EF2325"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1876" w:type="dxa"/>
          </w:tcPr>
          <w:p w14:paraId="68243EAC"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2235" w:type="dxa"/>
          </w:tcPr>
          <w:p w14:paraId="51852C77" w14:textId="77777777" w:rsidR="00FF2C6A" w:rsidRPr="00A9397F" w:rsidRDefault="00FF2C6A" w:rsidP="00B00E0D">
            <w:pPr>
              <w:spacing w:line="480" w:lineRule="auto"/>
              <w:jc w:val="center"/>
              <w:rPr>
                <w:rFonts w:ascii="Arial" w:hAnsi="Arial" w:cs="Arial"/>
                <w:sz w:val="20"/>
                <w:szCs w:val="22"/>
              </w:rPr>
            </w:pPr>
            <w:r w:rsidRPr="00A9397F">
              <w:rPr>
                <w:rFonts w:ascii="Arial" w:hAnsi="Arial" w:cs="Arial"/>
                <w:sz w:val="20"/>
                <w:szCs w:val="22"/>
              </w:rPr>
              <w:t>100%</w:t>
            </w:r>
          </w:p>
        </w:tc>
      </w:tr>
      <w:tr w:rsidR="00FF2C6A" w:rsidRPr="00A9397F" w14:paraId="0362FE10" w14:textId="77777777" w:rsidTr="00E47C3C">
        <w:trPr>
          <w:trHeight w:val="285"/>
        </w:trPr>
        <w:tc>
          <w:tcPr>
            <w:tcW w:w="1560" w:type="dxa"/>
            <w:tcBorders>
              <w:bottom w:val="single" w:sz="12" w:space="0" w:color="auto"/>
            </w:tcBorders>
            <w:noWrap/>
            <w:hideMark/>
          </w:tcPr>
          <w:p w14:paraId="2E25D614" w14:textId="77777777" w:rsidR="00FF2C6A" w:rsidRPr="00A9397F" w:rsidRDefault="00FF2C6A" w:rsidP="00B00E0D">
            <w:pPr>
              <w:spacing w:line="480" w:lineRule="auto"/>
              <w:rPr>
                <w:rFonts w:ascii="Arial" w:eastAsia="Calibri" w:hAnsi="Arial" w:cs="Arial"/>
                <w:sz w:val="20"/>
                <w:szCs w:val="22"/>
              </w:rPr>
            </w:pPr>
            <w:proofErr w:type="spellStart"/>
            <w:r w:rsidRPr="00A9397F">
              <w:rPr>
                <w:rFonts w:ascii="Arial" w:eastAsia="Calibri" w:hAnsi="Arial" w:cs="Arial"/>
                <w:sz w:val="20"/>
                <w:szCs w:val="22"/>
              </w:rPr>
              <w:t>Kamboukro</w:t>
            </w:r>
            <w:proofErr w:type="spellEnd"/>
          </w:p>
        </w:tc>
        <w:tc>
          <w:tcPr>
            <w:tcW w:w="958" w:type="dxa"/>
            <w:tcBorders>
              <w:bottom w:val="single" w:sz="12" w:space="0" w:color="auto"/>
            </w:tcBorders>
          </w:tcPr>
          <w:p w14:paraId="7C9283EB"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9</w:t>
            </w:r>
          </w:p>
        </w:tc>
        <w:tc>
          <w:tcPr>
            <w:tcW w:w="1843" w:type="dxa"/>
            <w:tcBorders>
              <w:bottom w:val="single" w:sz="12" w:space="0" w:color="auto"/>
            </w:tcBorders>
          </w:tcPr>
          <w:p w14:paraId="1BDBD997"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hAnsi="Arial" w:cs="Arial"/>
                <w:sz w:val="20"/>
                <w:szCs w:val="22"/>
              </w:rPr>
              <w:t>18.44 ± 18.4</w:t>
            </w:r>
            <w:r w:rsidRPr="00A9397F">
              <w:rPr>
                <w:rFonts w:ascii="Arial" w:hAnsi="Arial" w:cs="Arial"/>
                <w:b/>
                <w:bCs/>
                <w:sz w:val="20"/>
                <w:szCs w:val="22"/>
                <w:vertAlign w:val="superscript"/>
              </w:rPr>
              <w:t>c</w:t>
            </w:r>
          </w:p>
        </w:tc>
        <w:tc>
          <w:tcPr>
            <w:tcW w:w="1876" w:type="dxa"/>
            <w:tcBorders>
              <w:bottom w:val="single" w:sz="12" w:space="0" w:color="auto"/>
            </w:tcBorders>
          </w:tcPr>
          <w:p w14:paraId="5C373C3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11.85 ± 12.77</w:t>
            </w:r>
            <w:r w:rsidRPr="00A9397F">
              <w:rPr>
                <w:rFonts w:ascii="Arial" w:eastAsia="Calibri" w:hAnsi="Arial" w:cs="Arial"/>
                <w:b/>
                <w:bCs/>
                <w:sz w:val="20"/>
                <w:szCs w:val="22"/>
                <w:vertAlign w:val="superscript"/>
              </w:rPr>
              <w:t>b</w:t>
            </w:r>
          </w:p>
        </w:tc>
        <w:tc>
          <w:tcPr>
            <w:tcW w:w="2235" w:type="dxa"/>
            <w:tcBorders>
              <w:bottom w:val="single" w:sz="12" w:space="0" w:color="auto"/>
            </w:tcBorders>
          </w:tcPr>
          <w:p w14:paraId="4E0DD2F6" w14:textId="77777777" w:rsidR="00FF2C6A" w:rsidRPr="00A9397F" w:rsidRDefault="00FF2C6A" w:rsidP="00B00E0D">
            <w:pPr>
              <w:spacing w:line="480" w:lineRule="auto"/>
              <w:jc w:val="center"/>
              <w:rPr>
                <w:rFonts w:ascii="Arial" w:eastAsia="Calibri" w:hAnsi="Arial" w:cs="Arial"/>
                <w:sz w:val="20"/>
                <w:szCs w:val="22"/>
              </w:rPr>
            </w:pPr>
            <w:r w:rsidRPr="00A9397F">
              <w:rPr>
                <w:rFonts w:ascii="Arial" w:eastAsia="Calibri" w:hAnsi="Arial" w:cs="Arial"/>
                <w:sz w:val="20"/>
                <w:szCs w:val="22"/>
              </w:rPr>
              <w:t>33.3%</w:t>
            </w:r>
          </w:p>
        </w:tc>
      </w:tr>
    </w:tbl>
    <w:p w14:paraId="07B9655C" w14:textId="77777777" w:rsidR="00FF2C6A" w:rsidRPr="000B28D2" w:rsidRDefault="00FF2C6A" w:rsidP="00FF2C6A">
      <w:pPr>
        <w:rPr>
          <w:rFonts w:eastAsia="Calibri"/>
        </w:rPr>
      </w:pPr>
    </w:p>
    <w:p w14:paraId="4CB0E7E4" w14:textId="03089EF9" w:rsidR="00EC35A5" w:rsidRPr="00EC35A5" w:rsidRDefault="00EC35A5" w:rsidP="00EC35A5">
      <w:pPr>
        <w:pStyle w:val="Body"/>
        <w:rPr>
          <w:rFonts w:ascii="Arial" w:hAnsi="Arial" w:cs="Arial"/>
        </w:rPr>
      </w:pPr>
      <w:bookmarkStart w:id="19" w:name="_Hlk206727879"/>
      <w:bookmarkEnd w:id="18"/>
      <w:r w:rsidRPr="00EC35A5">
        <w:rPr>
          <w:rFonts w:ascii="Arial" w:hAnsi="Arial" w:cs="Arial"/>
        </w:rPr>
        <w:t xml:space="preserve">These stark contrasts reflect differences in both environmental suitability and disturbance levels. The high structural metrics observed in </w:t>
      </w:r>
      <w:proofErr w:type="spellStart"/>
      <w:r w:rsidRPr="00EC35A5">
        <w:rPr>
          <w:rFonts w:ascii="Arial" w:hAnsi="Arial" w:cs="Arial"/>
        </w:rPr>
        <w:t>Kamboukro</w:t>
      </w:r>
      <w:proofErr w:type="spellEnd"/>
      <w:r w:rsidRPr="00EC35A5">
        <w:rPr>
          <w:rFonts w:ascii="Arial" w:hAnsi="Arial" w:cs="Arial"/>
        </w:rPr>
        <w:t xml:space="preserve"> and </w:t>
      </w:r>
      <w:r w:rsidR="00855BFE">
        <w:rPr>
          <w:rFonts w:ascii="Arial" w:hAnsi="Arial" w:cs="Arial"/>
        </w:rPr>
        <w:t>Aero-canal</w:t>
      </w:r>
      <w:r w:rsidRPr="00EC35A5">
        <w:rPr>
          <w:rFonts w:ascii="Arial" w:hAnsi="Arial" w:cs="Arial"/>
        </w:rPr>
        <w:t xml:space="preserve"> suggest relatively favorable ecological conditions</w:t>
      </w:r>
      <w:r w:rsidR="00FF2C6A">
        <w:rPr>
          <w:rFonts w:ascii="Arial" w:hAnsi="Arial" w:cs="Arial"/>
        </w:rPr>
        <w:sym w:font="Symbol" w:char="F02D"/>
      </w:r>
      <w:r w:rsidR="00FF2C6A">
        <w:rPr>
          <w:rFonts w:ascii="Arial" w:hAnsi="Arial" w:cs="Arial"/>
        </w:rPr>
        <w:t xml:space="preserve"> </w:t>
      </w:r>
      <w:r w:rsidRPr="00EC35A5">
        <w:rPr>
          <w:rFonts w:ascii="Arial" w:hAnsi="Arial" w:cs="Arial"/>
        </w:rPr>
        <w:t>such as adequate tidal flushing and substrate quality</w:t>
      </w:r>
      <w:r w:rsidR="00FF2C6A">
        <w:rPr>
          <w:rFonts w:ascii="Arial" w:hAnsi="Arial" w:cs="Arial"/>
        </w:rPr>
        <w:sym w:font="Symbol" w:char="F02D"/>
      </w:r>
      <w:r w:rsidR="00FF2C6A">
        <w:rPr>
          <w:rFonts w:ascii="Arial" w:hAnsi="Arial" w:cs="Arial"/>
        </w:rPr>
        <w:t xml:space="preserve"> </w:t>
      </w:r>
      <w:r w:rsidRPr="00EC35A5">
        <w:rPr>
          <w:rFonts w:ascii="Arial" w:hAnsi="Arial" w:cs="Arial"/>
        </w:rPr>
        <w:t xml:space="preserve">combined with reduced anthropogenic pressure. Conversely, the complete absence of </w:t>
      </w:r>
      <w:r w:rsidRPr="00EC35A5">
        <w:rPr>
          <w:rFonts w:ascii="Arial" w:hAnsi="Arial" w:cs="Arial"/>
          <w:i/>
          <w:iCs/>
        </w:rPr>
        <w:t>R. racemosa</w:t>
      </w:r>
      <w:r w:rsidRPr="00EC35A5">
        <w:rPr>
          <w:rFonts w:ascii="Arial" w:hAnsi="Arial" w:cs="Arial"/>
        </w:rPr>
        <w:t xml:space="preserve"> in four out of seven sectors underscores the severity of mangrove degradation in parts of the study area, likely driven by land reclamation, infrastructure encroachment, and unsustainable wood extraction (</w:t>
      </w:r>
      <w:proofErr w:type="spellStart"/>
      <w:r w:rsidRPr="00EC35A5">
        <w:rPr>
          <w:rFonts w:ascii="Arial" w:hAnsi="Arial" w:cs="Arial"/>
        </w:rPr>
        <w:t>Dahdouh-Guebas</w:t>
      </w:r>
      <w:proofErr w:type="spellEnd"/>
      <w:r w:rsidRPr="00EC35A5">
        <w:rPr>
          <w:rFonts w:ascii="Arial" w:hAnsi="Arial" w:cs="Arial"/>
        </w:rPr>
        <w:t xml:space="preserve"> &amp; </w:t>
      </w:r>
      <w:proofErr w:type="spellStart"/>
      <w:r w:rsidRPr="00EC35A5">
        <w:rPr>
          <w:rFonts w:ascii="Arial" w:hAnsi="Arial" w:cs="Arial"/>
        </w:rPr>
        <w:t>Koedam</w:t>
      </w:r>
      <w:proofErr w:type="spellEnd"/>
      <w:r w:rsidRPr="00EC35A5">
        <w:rPr>
          <w:rFonts w:ascii="Arial" w:hAnsi="Arial" w:cs="Arial"/>
        </w:rPr>
        <w:t xml:space="preserve">, 2008; </w:t>
      </w:r>
      <w:r w:rsidR="003670F3" w:rsidRPr="003670F3">
        <w:rPr>
          <w:rFonts w:ascii="Arial" w:hAnsi="Arial" w:cs="Arial"/>
        </w:rPr>
        <w:t xml:space="preserve">Kauffman &amp; </w:t>
      </w:r>
      <w:proofErr w:type="spellStart"/>
      <w:r w:rsidR="003670F3" w:rsidRPr="003670F3">
        <w:rPr>
          <w:rFonts w:ascii="Arial" w:hAnsi="Arial" w:cs="Arial"/>
        </w:rPr>
        <w:t>Bhomia</w:t>
      </w:r>
      <w:proofErr w:type="spellEnd"/>
      <w:r w:rsidR="003670F3" w:rsidRPr="003670F3">
        <w:rPr>
          <w:rFonts w:ascii="Arial" w:hAnsi="Arial" w:cs="Arial"/>
        </w:rPr>
        <w:t xml:space="preserve"> 2017</w:t>
      </w:r>
      <w:r w:rsidRPr="00EC35A5">
        <w:rPr>
          <w:rFonts w:ascii="Arial" w:hAnsi="Arial" w:cs="Arial"/>
        </w:rPr>
        <w:t>).</w:t>
      </w:r>
    </w:p>
    <w:p w14:paraId="533A07B8" w14:textId="50045AC9" w:rsidR="00EC2B33" w:rsidRPr="00EC35A5" w:rsidRDefault="00EC35A5" w:rsidP="00EC35A5">
      <w:pPr>
        <w:pStyle w:val="Body"/>
        <w:rPr>
          <w:rFonts w:ascii="Arial" w:hAnsi="Arial" w:cs="Arial"/>
        </w:rPr>
      </w:pPr>
      <w:r w:rsidRPr="00EC35A5">
        <w:rPr>
          <w:rFonts w:ascii="Arial" w:hAnsi="Arial" w:cs="Arial"/>
        </w:rPr>
        <w:t>Beyond their structural significance, these spatial differences have functional implications for mangrove ecosystem services. Since basal area is a key predictor of aboveground biomass and carbon stock (Komiyama et al., 2008; Adame et al., 2013), sectors with high basal area</w:t>
      </w:r>
      <w:r w:rsidR="00FF2C6A">
        <w:rPr>
          <w:rFonts w:ascii="Arial" w:hAnsi="Arial" w:cs="Arial"/>
        </w:rPr>
        <w:sym w:font="Symbol" w:char="F02D"/>
      </w:r>
      <w:r w:rsidR="00FF2C6A">
        <w:rPr>
          <w:rFonts w:ascii="Arial" w:hAnsi="Arial" w:cs="Arial"/>
        </w:rPr>
        <w:t xml:space="preserve"> </w:t>
      </w:r>
      <w:r w:rsidRPr="00EC35A5">
        <w:rPr>
          <w:rFonts w:ascii="Arial" w:hAnsi="Arial" w:cs="Arial"/>
        </w:rPr>
        <w:t xml:space="preserve">particularly </w:t>
      </w:r>
      <w:proofErr w:type="spellStart"/>
      <w:r w:rsidRPr="00EC35A5">
        <w:rPr>
          <w:rFonts w:ascii="Arial" w:hAnsi="Arial" w:cs="Arial"/>
        </w:rPr>
        <w:t>Kamboukro</w:t>
      </w:r>
      <w:proofErr w:type="spellEnd"/>
      <w:r w:rsidRPr="00EC35A5">
        <w:rPr>
          <w:rFonts w:ascii="Arial" w:hAnsi="Arial" w:cs="Arial"/>
        </w:rPr>
        <w:t xml:space="preserve"> and </w:t>
      </w:r>
      <w:r w:rsidR="00855BFE">
        <w:rPr>
          <w:rFonts w:ascii="Arial" w:hAnsi="Arial" w:cs="Arial"/>
        </w:rPr>
        <w:t>Aero-canal</w:t>
      </w:r>
      <w:r w:rsidR="00FF2C6A">
        <w:rPr>
          <w:rFonts w:ascii="Arial" w:hAnsi="Arial" w:cs="Arial"/>
        </w:rPr>
        <w:sym w:font="Symbol" w:char="F02D"/>
      </w:r>
      <w:r w:rsidR="00FF2C6A">
        <w:rPr>
          <w:rFonts w:ascii="Arial" w:hAnsi="Arial" w:cs="Arial"/>
        </w:rPr>
        <w:t xml:space="preserve"> </w:t>
      </w:r>
      <w:r w:rsidRPr="00EC35A5">
        <w:rPr>
          <w:rFonts w:ascii="Arial" w:hAnsi="Arial" w:cs="Arial"/>
        </w:rPr>
        <w:t xml:space="preserve">likely play a disproportionately large role in carbon </w:t>
      </w:r>
      <w:r w:rsidRPr="00EC35A5">
        <w:rPr>
          <w:rFonts w:ascii="Arial" w:hAnsi="Arial" w:cs="Arial"/>
        </w:rPr>
        <w:lastRenderedPageBreak/>
        <w:t>sequestration, while degraded sectors may represent carbon emission hotspots or restoration priorities.</w:t>
      </w:r>
    </w:p>
    <w:p w14:paraId="650AE2E6" w14:textId="77777777" w:rsidR="003D41E4" w:rsidRPr="002F5190" w:rsidRDefault="003D41E4" w:rsidP="003D41E4">
      <w:pPr>
        <w:pStyle w:val="Body"/>
        <w:rPr>
          <w:rFonts w:ascii="Arial" w:hAnsi="Arial" w:cs="Arial"/>
          <w:b/>
          <w:bCs/>
          <w:sz w:val="22"/>
          <w:szCs w:val="22"/>
        </w:rPr>
      </w:pPr>
      <w:r w:rsidRPr="002F5190">
        <w:rPr>
          <w:rFonts w:ascii="Arial" w:hAnsi="Arial" w:cs="Arial"/>
          <w:b/>
          <w:bCs/>
          <w:sz w:val="22"/>
          <w:szCs w:val="22"/>
        </w:rPr>
        <w:t>3.3. Biomass and carbon stock</w:t>
      </w:r>
    </w:p>
    <w:p w14:paraId="0B227907" w14:textId="6154D3BF" w:rsidR="003863C7" w:rsidRDefault="003863C7" w:rsidP="003863C7">
      <w:pPr>
        <w:pStyle w:val="Body"/>
        <w:rPr>
          <w:rFonts w:ascii="Arial" w:hAnsi="Arial" w:cs="Arial"/>
        </w:rPr>
      </w:pPr>
      <w:r w:rsidRPr="003863C7">
        <w:rPr>
          <w:rFonts w:ascii="Arial" w:hAnsi="Arial" w:cs="Arial"/>
        </w:rPr>
        <w:t xml:space="preserve">The spatial pattern of total biomass and associated carbon stock reflected the profound influence of anthropogenic disturbance and hydrological integrity across the studied sectors (Table 2). Biomass differed significantly among sectors (P &lt; .001), with complete absence of </w:t>
      </w:r>
      <w:r w:rsidRPr="00DF3E16">
        <w:rPr>
          <w:rFonts w:ascii="Arial" w:hAnsi="Arial" w:cs="Arial"/>
          <w:i/>
          <w:iCs/>
        </w:rPr>
        <w:t>R</w:t>
      </w:r>
      <w:r w:rsidR="00E6302A">
        <w:rPr>
          <w:rFonts w:ascii="Arial" w:hAnsi="Arial" w:cs="Arial"/>
          <w:i/>
          <w:iCs/>
        </w:rPr>
        <w:t>.</w:t>
      </w:r>
      <w:r w:rsidRPr="00DF3E16">
        <w:rPr>
          <w:rFonts w:ascii="Arial" w:hAnsi="Arial" w:cs="Arial"/>
          <w:i/>
          <w:iCs/>
        </w:rPr>
        <w:t xml:space="preserve"> </w:t>
      </w:r>
      <w:proofErr w:type="spellStart"/>
      <w:r w:rsidRPr="00DF3E16">
        <w:rPr>
          <w:rFonts w:ascii="Arial" w:hAnsi="Arial" w:cs="Arial"/>
          <w:i/>
          <w:iCs/>
        </w:rPr>
        <w:t>racemosa</w:t>
      </w:r>
      <w:proofErr w:type="spellEnd"/>
      <w:r w:rsidRPr="003863C7">
        <w:rPr>
          <w:rFonts w:ascii="Arial" w:hAnsi="Arial" w:cs="Arial"/>
        </w:rPr>
        <w:t xml:space="preserve"> in </w:t>
      </w:r>
      <w:proofErr w:type="spellStart"/>
      <w:r w:rsidRPr="003863C7">
        <w:rPr>
          <w:rFonts w:ascii="Arial" w:hAnsi="Arial" w:cs="Arial"/>
        </w:rPr>
        <w:t>Abbeykro</w:t>
      </w:r>
      <w:proofErr w:type="spellEnd"/>
      <w:r w:rsidRPr="003863C7">
        <w:rPr>
          <w:rFonts w:ascii="Arial" w:hAnsi="Arial" w:cs="Arial"/>
        </w:rPr>
        <w:t xml:space="preserve">, </w:t>
      </w:r>
      <w:proofErr w:type="spellStart"/>
      <w:r w:rsidRPr="003863C7">
        <w:rPr>
          <w:rFonts w:ascii="Arial" w:hAnsi="Arial" w:cs="Arial"/>
        </w:rPr>
        <w:t>Abouabou</w:t>
      </w:r>
      <w:proofErr w:type="spellEnd"/>
      <w:r w:rsidRPr="003863C7">
        <w:rPr>
          <w:rFonts w:ascii="Arial" w:hAnsi="Arial" w:cs="Arial"/>
        </w:rPr>
        <w:t xml:space="preserve">, </w:t>
      </w:r>
      <w:proofErr w:type="spellStart"/>
      <w:r w:rsidRPr="003863C7">
        <w:rPr>
          <w:rFonts w:ascii="Arial" w:hAnsi="Arial" w:cs="Arial"/>
        </w:rPr>
        <w:t>Amangoua</w:t>
      </w:r>
      <w:proofErr w:type="spellEnd"/>
      <w:r w:rsidRPr="003863C7">
        <w:rPr>
          <w:rFonts w:ascii="Arial" w:hAnsi="Arial" w:cs="Arial"/>
        </w:rPr>
        <w:t xml:space="preserve">-Koi, and </w:t>
      </w:r>
      <w:proofErr w:type="spellStart"/>
      <w:r w:rsidRPr="003863C7">
        <w:rPr>
          <w:rFonts w:ascii="Arial" w:hAnsi="Arial" w:cs="Arial"/>
        </w:rPr>
        <w:t>Darakodji</w:t>
      </w:r>
      <w:proofErr w:type="spellEnd"/>
      <w:r w:rsidRPr="003863C7">
        <w:rPr>
          <w:rFonts w:ascii="Arial" w:hAnsi="Arial" w:cs="Arial"/>
        </w:rPr>
        <w:t>, resulting in null biomass and carbon stock values (0 ± 0 kg 200 m</w:t>
      </w:r>
      <w:r w:rsidRPr="003863C7">
        <w:rPr>
          <w:rFonts w:ascii="Cambria Math" w:hAnsi="Cambria Math" w:cs="Cambria Math"/>
        </w:rPr>
        <w:t>⁻</w:t>
      </w:r>
      <w:r w:rsidRPr="003863C7">
        <w:rPr>
          <w:rFonts w:ascii="Arial" w:hAnsi="Arial" w:cs="Arial"/>
        </w:rPr>
        <w:t>² and 0 ± 0 t C ha</w:t>
      </w:r>
      <w:r w:rsidRPr="003863C7">
        <w:rPr>
          <w:rFonts w:ascii="Cambria Math" w:hAnsi="Cambria Math" w:cs="Cambria Math"/>
        </w:rPr>
        <w:t>⁻</w:t>
      </w:r>
      <w:r w:rsidRPr="003863C7">
        <w:rPr>
          <w:rFonts w:ascii="Arial" w:hAnsi="Arial" w:cs="Arial"/>
        </w:rPr>
        <w:t xml:space="preserve">¹, respectively). In contrast, sectors with preserved or partially degraded stands exhibited markedly higher biomass: </w:t>
      </w:r>
      <w:proofErr w:type="spellStart"/>
      <w:r w:rsidRPr="003863C7">
        <w:rPr>
          <w:rFonts w:ascii="Arial" w:hAnsi="Arial" w:cs="Arial"/>
        </w:rPr>
        <w:t>Kamboukro</w:t>
      </w:r>
      <w:proofErr w:type="spellEnd"/>
      <w:r w:rsidRPr="003863C7">
        <w:rPr>
          <w:rFonts w:ascii="Arial" w:hAnsi="Arial" w:cs="Arial"/>
        </w:rPr>
        <w:t xml:space="preserve"> recorded the highest mean total biomass (5951.73 ± 6146.82 kg 200 m</w:t>
      </w:r>
      <w:r w:rsidRPr="003863C7">
        <w:rPr>
          <w:rFonts w:ascii="Cambria Math" w:hAnsi="Cambria Math" w:cs="Cambria Math"/>
        </w:rPr>
        <w:t>⁻</w:t>
      </w:r>
      <w:r w:rsidRPr="003863C7">
        <w:rPr>
          <w:rFonts w:ascii="Arial" w:hAnsi="Arial" w:cs="Arial"/>
        </w:rPr>
        <w:t>²) and corresponding carbon stock (139.87 ± 144.45 t C ha</w:t>
      </w:r>
      <w:r w:rsidRPr="003863C7">
        <w:rPr>
          <w:rFonts w:ascii="Cambria Math" w:hAnsi="Cambria Math" w:cs="Cambria Math"/>
        </w:rPr>
        <w:t>⁻</w:t>
      </w:r>
      <w:r w:rsidRPr="003863C7">
        <w:rPr>
          <w:rFonts w:ascii="Arial" w:hAnsi="Arial" w:cs="Arial"/>
        </w:rPr>
        <w:t xml:space="preserve">¹), followed by </w:t>
      </w:r>
      <w:r w:rsidR="00855BFE">
        <w:rPr>
          <w:rFonts w:ascii="Arial" w:hAnsi="Arial" w:cs="Arial"/>
        </w:rPr>
        <w:t>Aero-canal</w:t>
      </w:r>
      <w:r w:rsidRPr="003863C7">
        <w:rPr>
          <w:rFonts w:ascii="Arial" w:hAnsi="Arial" w:cs="Arial"/>
        </w:rPr>
        <w:t xml:space="preserve"> (3719.34 ± 4604.41 kg 200 m</w:t>
      </w:r>
      <w:r w:rsidRPr="003863C7">
        <w:rPr>
          <w:rFonts w:ascii="Cambria Math" w:hAnsi="Cambria Math" w:cs="Cambria Math"/>
        </w:rPr>
        <w:t>⁻</w:t>
      </w:r>
      <w:r w:rsidRPr="003863C7">
        <w:rPr>
          <w:rFonts w:ascii="Arial" w:hAnsi="Arial" w:cs="Arial"/>
        </w:rPr>
        <w:t>² and 87.4 ± 108.2 t C ha</w:t>
      </w:r>
      <w:r w:rsidRPr="003863C7">
        <w:rPr>
          <w:rFonts w:ascii="Cambria Math" w:hAnsi="Cambria Math" w:cs="Cambria Math"/>
        </w:rPr>
        <w:t>⁻</w:t>
      </w:r>
      <w:r w:rsidRPr="003863C7">
        <w:rPr>
          <w:rFonts w:ascii="Arial" w:hAnsi="Arial" w:cs="Arial"/>
        </w:rPr>
        <w:t xml:space="preserve">¹). </w:t>
      </w:r>
      <w:proofErr w:type="spellStart"/>
      <w:r w:rsidRPr="003863C7">
        <w:rPr>
          <w:rFonts w:ascii="Arial" w:hAnsi="Arial" w:cs="Arial"/>
        </w:rPr>
        <w:t>Agnikro</w:t>
      </w:r>
      <w:proofErr w:type="spellEnd"/>
      <w:r w:rsidRPr="003863C7">
        <w:rPr>
          <w:rFonts w:ascii="Arial" w:hAnsi="Arial" w:cs="Arial"/>
        </w:rPr>
        <w:t xml:space="preserve"> showed substantially lower values (176.60 ± 301.67 kg 200 m</w:t>
      </w:r>
      <w:r w:rsidRPr="003863C7">
        <w:rPr>
          <w:rFonts w:ascii="Cambria Math" w:hAnsi="Cambria Math" w:cs="Cambria Math"/>
        </w:rPr>
        <w:t>⁻</w:t>
      </w:r>
      <w:r w:rsidRPr="003863C7">
        <w:rPr>
          <w:rFonts w:ascii="Arial" w:hAnsi="Arial" w:cs="Arial"/>
        </w:rPr>
        <w:t>²; 4.15 ± 7.09 t C ha</w:t>
      </w:r>
      <w:r w:rsidRPr="003863C7">
        <w:rPr>
          <w:rFonts w:ascii="Cambria Math" w:hAnsi="Cambria Math" w:cs="Cambria Math"/>
        </w:rPr>
        <w:t>⁻</w:t>
      </w:r>
      <w:r w:rsidRPr="003863C7">
        <w:rPr>
          <w:rFonts w:ascii="Arial" w:hAnsi="Arial" w:cs="Arial"/>
        </w:rPr>
        <w:t>¹), consistent with the reduced density and basal area observed in that sector.</w:t>
      </w:r>
    </w:p>
    <w:p w14:paraId="5D74F46B" w14:textId="420AE4B6" w:rsidR="006239D9" w:rsidRPr="006239D9" w:rsidRDefault="006239D9" w:rsidP="006239D9">
      <w:pPr>
        <w:spacing w:line="480" w:lineRule="auto"/>
        <w:jc w:val="both"/>
        <w:rPr>
          <w:rFonts w:eastAsia="Calibri"/>
        </w:rPr>
      </w:pPr>
      <w:bookmarkStart w:id="20" w:name="_Hlk206726794"/>
      <w:r w:rsidRPr="00A700B1">
        <w:rPr>
          <w:rFonts w:eastAsia="Calibri"/>
          <w:b/>
          <w:bCs/>
        </w:rPr>
        <w:t>Table</w:t>
      </w:r>
      <w:r>
        <w:rPr>
          <w:rFonts w:eastAsia="Calibri"/>
          <w:b/>
          <w:bCs/>
        </w:rPr>
        <w:t xml:space="preserve"> 2.</w:t>
      </w:r>
      <w:r w:rsidRPr="00A700B1">
        <w:rPr>
          <w:rFonts w:eastAsia="Calibri"/>
        </w:rPr>
        <w:t xml:space="preserve"> </w:t>
      </w:r>
      <w:r w:rsidRPr="006239D9">
        <w:rPr>
          <w:rFonts w:eastAsia="Calibri"/>
        </w:rPr>
        <w:t xml:space="preserve">Total biomass (above- plus belowground) and corresponding carbon stock by sector for </w:t>
      </w:r>
      <w:r w:rsidRPr="006239D9">
        <w:rPr>
          <w:rFonts w:eastAsia="Calibri"/>
          <w:i/>
          <w:iCs/>
        </w:rPr>
        <w:t>Rhizophora racemosa</w:t>
      </w:r>
      <w:r w:rsidRPr="006239D9">
        <w:rPr>
          <w:rFonts w:eastAsia="Calibri"/>
        </w:rPr>
        <w:t xml:space="preserve"> stands</w:t>
      </w:r>
      <w:r>
        <w:rPr>
          <w:rFonts w:eastAsia="Calibri"/>
        </w:rPr>
        <w:t>.</w:t>
      </w:r>
    </w:p>
    <w:p w14:paraId="6C0588FA" w14:textId="009F3423" w:rsidR="006239D9" w:rsidRPr="00743A1D" w:rsidRDefault="006239D9" w:rsidP="006239D9">
      <w:pPr>
        <w:spacing w:line="480" w:lineRule="auto"/>
        <w:jc w:val="both"/>
        <w:rPr>
          <w:rFonts w:eastAsia="Calibri"/>
        </w:rPr>
      </w:pPr>
      <w:r w:rsidRPr="006239D9">
        <w:rPr>
          <w:rFonts w:eastAsia="Calibri"/>
        </w:rPr>
        <w:t>Values are mean ± standard deviation. Different letters indicate significant differences between sectors at P &lt; .05</w:t>
      </w:r>
      <w:r>
        <w:rPr>
          <w:rFonts w:eastAsia="Calibri"/>
        </w:rPr>
        <w:t xml:space="preserve">; </w:t>
      </w:r>
      <w:r w:rsidRPr="006239D9">
        <w:rPr>
          <w:rFonts w:eastAsia="Calibri"/>
        </w:rPr>
        <w:t>n</w:t>
      </w:r>
      <w:r>
        <w:rPr>
          <w:rFonts w:eastAsia="Calibri"/>
        </w:rPr>
        <w:t xml:space="preserve"> </w:t>
      </w:r>
      <w:r w:rsidRPr="006239D9">
        <w:rPr>
          <w:rFonts w:eastAsia="Calibri"/>
        </w:rPr>
        <w:t>plots = number of plots per sector. Carbon stock was calculated as 0.47 × total biomass (BT) and converted to t C ha</w:t>
      </w:r>
      <w:r w:rsidRPr="006239D9">
        <w:rPr>
          <w:rFonts w:ascii="Cambria Math" w:eastAsia="Calibri" w:hAnsi="Cambria Math" w:cs="Cambria Math"/>
        </w:rPr>
        <w:t>⁻</w:t>
      </w:r>
      <w:r w:rsidRPr="006239D9">
        <w:rPr>
          <w:rFonts w:eastAsia="Calibri" w:cs="Helvetica"/>
        </w:rPr>
        <w:t>¹</w:t>
      </w:r>
      <w:r w:rsidRPr="006239D9">
        <w:rPr>
          <w:rFonts w:eastAsia="Calibri"/>
        </w:rPr>
        <w:t xml:space="preserve"> (IPCC 2006)</w:t>
      </w:r>
    </w:p>
    <w:tbl>
      <w:tblPr>
        <w:tblStyle w:val="Grilledutableau2"/>
        <w:tblW w:w="7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023"/>
        <w:gridCol w:w="2456"/>
        <w:gridCol w:w="2128"/>
      </w:tblGrid>
      <w:tr w:rsidR="006239D9" w:rsidRPr="00A9397F" w14:paraId="1E36EFBE" w14:textId="77777777" w:rsidTr="006239D9">
        <w:tc>
          <w:tcPr>
            <w:tcW w:w="1495" w:type="dxa"/>
            <w:tcBorders>
              <w:top w:val="single" w:sz="12" w:space="0" w:color="auto"/>
              <w:bottom w:val="single" w:sz="12" w:space="0" w:color="auto"/>
            </w:tcBorders>
            <w:vAlign w:val="center"/>
            <w:hideMark/>
          </w:tcPr>
          <w:p w14:paraId="06664CD4" w14:textId="77777777" w:rsidR="006239D9" w:rsidRPr="00A9397F" w:rsidRDefault="006239D9" w:rsidP="006239D9">
            <w:pPr>
              <w:rPr>
                <w:rFonts w:ascii="Arial" w:hAnsi="Arial" w:cs="Arial"/>
                <w:b/>
                <w:bCs/>
                <w:sz w:val="20"/>
                <w:szCs w:val="22"/>
              </w:rPr>
            </w:pPr>
            <w:proofErr w:type="spellStart"/>
            <w:r w:rsidRPr="00A9397F">
              <w:rPr>
                <w:rFonts w:ascii="Arial" w:hAnsi="Arial" w:cs="Arial"/>
                <w:b/>
                <w:bCs/>
                <w:sz w:val="20"/>
                <w:szCs w:val="22"/>
              </w:rPr>
              <w:t>Sector</w:t>
            </w:r>
            <w:proofErr w:type="spellEnd"/>
          </w:p>
        </w:tc>
        <w:tc>
          <w:tcPr>
            <w:tcW w:w="1023" w:type="dxa"/>
            <w:tcBorders>
              <w:top w:val="single" w:sz="12" w:space="0" w:color="auto"/>
              <w:bottom w:val="single" w:sz="12" w:space="0" w:color="auto"/>
            </w:tcBorders>
            <w:vAlign w:val="center"/>
            <w:hideMark/>
          </w:tcPr>
          <w:p w14:paraId="1D9E1385" w14:textId="77777777" w:rsidR="006239D9" w:rsidRPr="00A9397F" w:rsidRDefault="006239D9" w:rsidP="006239D9">
            <w:pPr>
              <w:rPr>
                <w:rFonts w:ascii="Arial" w:hAnsi="Arial" w:cs="Arial"/>
                <w:b/>
                <w:bCs/>
                <w:sz w:val="20"/>
                <w:szCs w:val="22"/>
              </w:rPr>
            </w:pPr>
            <w:r w:rsidRPr="00A9397F">
              <w:rPr>
                <w:rFonts w:ascii="Arial" w:eastAsia="Calibri" w:hAnsi="Arial" w:cs="Arial"/>
                <w:b/>
                <w:bCs/>
                <w:sz w:val="20"/>
                <w:szCs w:val="22"/>
                <w:lang w:val="en-US"/>
              </w:rPr>
              <w:t>n plots</w:t>
            </w:r>
          </w:p>
        </w:tc>
        <w:tc>
          <w:tcPr>
            <w:tcW w:w="2456" w:type="dxa"/>
            <w:tcBorders>
              <w:top w:val="single" w:sz="12" w:space="0" w:color="auto"/>
              <w:bottom w:val="single" w:sz="12" w:space="0" w:color="auto"/>
            </w:tcBorders>
            <w:vAlign w:val="center"/>
            <w:hideMark/>
          </w:tcPr>
          <w:p w14:paraId="545F9920" w14:textId="77777777" w:rsidR="006239D9" w:rsidRPr="00A9397F" w:rsidRDefault="006239D9" w:rsidP="006239D9">
            <w:pPr>
              <w:rPr>
                <w:rFonts w:ascii="Arial" w:eastAsia="Calibri" w:hAnsi="Arial" w:cs="Arial"/>
                <w:b/>
                <w:bCs/>
                <w:sz w:val="20"/>
                <w:szCs w:val="22"/>
                <w:lang w:val="en-US"/>
              </w:rPr>
            </w:pPr>
            <w:r w:rsidRPr="00A9397F">
              <w:rPr>
                <w:rFonts w:ascii="Arial" w:eastAsia="Calibri" w:hAnsi="Arial" w:cs="Arial"/>
                <w:b/>
                <w:bCs/>
                <w:sz w:val="20"/>
                <w:szCs w:val="22"/>
                <w:lang w:val="en-US"/>
              </w:rPr>
              <w:t>Tree average BT</w:t>
            </w:r>
          </w:p>
          <w:p w14:paraId="72824939" w14:textId="77777777" w:rsidR="006239D9" w:rsidRPr="00A9397F" w:rsidRDefault="006239D9" w:rsidP="006239D9">
            <w:pPr>
              <w:rPr>
                <w:rFonts w:ascii="Arial" w:hAnsi="Arial" w:cs="Arial"/>
                <w:b/>
                <w:bCs/>
                <w:sz w:val="20"/>
                <w:szCs w:val="22"/>
                <w:lang w:val="en-US"/>
              </w:rPr>
            </w:pPr>
            <w:r w:rsidRPr="00A9397F">
              <w:rPr>
                <w:rFonts w:ascii="Arial" w:eastAsia="Calibri" w:hAnsi="Arial" w:cs="Arial"/>
                <w:sz w:val="20"/>
                <w:szCs w:val="22"/>
                <w:lang w:val="en-US"/>
              </w:rPr>
              <w:t>(kg 200 m</w:t>
            </w:r>
            <w:r w:rsidRPr="00A9397F">
              <w:rPr>
                <w:rFonts w:ascii="Cambria Math" w:eastAsia="Calibri" w:hAnsi="Cambria Math" w:cs="Cambria Math"/>
                <w:sz w:val="20"/>
                <w:szCs w:val="22"/>
                <w:lang w:val="en-US"/>
              </w:rPr>
              <w:t>⁻</w:t>
            </w:r>
            <w:r w:rsidRPr="00A9397F">
              <w:rPr>
                <w:rFonts w:ascii="Arial" w:eastAsia="Calibri" w:hAnsi="Arial" w:cs="Arial"/>
                <w:sz w:val="20"/>
                <w:szCs w:val="22"/>
                <w:lang w:val="en-US"/>
              </w:rPr>
              <w:t>²)</w:t>
            </w:r>
          </w:p>
        </w:tc>
        <w:tc>
          <w:tcPr>
            <w:tcW w:w="2128" w:type="dxa"/>
            <w:tcBorders>
              <w:top w:val="single" w:sz="12" w:space="0" w:color="auto"/>
              <w:bottom w:val="single" w:sz="12" w:space="0" w:color="auto"/>
            </w:tcBorders>
            <w:vAlign w:val="center"/>
            <w:hideMark/>
          </w:tcPr>
          <w:p w14:paraId="0B3FFF6E" w14:textId="77777777" w:rsidR="006239D9" w:rsidRPr="00A9397F" w:rsidRDefault="006239D9" w:rsidP="006239D9">
            <w:pPr>
              <w:rPr>
                <w:rFonts w:ascii="Arial" w:eastAsia="Calibri" w:hAnsi="Arial" w:cs="Arial"/>
                <w:b/>
                <w:bCs/>
                <w:sz w:val="20"/>
                <w:szCs w:val="22"/>
                <w:lang w:val="en-US"/>
              </w:rPr>
            </w:pPr>
            <w:r w:rsidRPr="00A9397F">
              <w:rPr>
                <w:rFonts w:ascii="Arial" w:eastAsia="Calibri" w:hAnsi="Arial" w:cs="Arial"/>
                <w:b/>
                <w:bCs/>
                <w:sz w:val="20"/>
                <w:szCs w:val="22"/>
                <w:lang w:val="en-US"/>
              </w:rPr>
              <w:t>Tree carbon stock</w:t>
            </w:r>
          </w:p>
          <w:p w14:paraId="3136CBD8" w14:textId="77777777" w:rsidR="006239D9" w:rsidRPr="00A9397F" w:rsidRDefault="006239D9" w:rsidP="006239D9">
            <w:pPr>
              <w:rPr>
                <w:rFonts w:ascii="Arial" w:hAnsi="Arial" w:cs="Arial"/>
                <w:b/>
                <w:bCs/>
                <w:sz w:val="20"/>
                <w:szCs w:val="22"/>
                <w:lang w:val="en-US"/>
              </w:rPr>
            </w:pPr>
            <w:r w:rsidRPr="00A9397F">
              <w:rPr>
                <w:rFonts w:ascii="Arial" w:eastAsia="Calibri" w:hAnsi="Arial" w:cs="Arial"/>
                <w:sz w:val="20"/>
                <w:szCs w:val="22"/>
                <w:lang w:val="en-US"/>
              </w:rPr>
              <w:t>(t C ha</w:t>
            </w:r>
            <w:r w:rsidRPr="00A9397F">
              <w:rPr>
                <w:rFonts w:ascii="Arial" w:eastAsia="Calibri" w:hAnsi="Arial" w:cs="Arial"/>
                <w:sz w:val="20"/>
                <w:szCs w:val="22"/>
                <w:vertAlign w:val="superscript"/>
                <w:lang w:val="en-US"/>
              </w:rPr>
              <w:t>-1</w:t>
            </w:r>
            <w:r w:rsidRPr="00A9397F">
              <w:rPr>
                <w:rFonts w:ascii="Arial" w:eastAsia="Calibri" w:hAnsi="Arial" w:cs="Arial"/>
                <w:sz w:val="20"/>
                <w:szCs w:val="22"/>
                <w:lang w:val="en-US"/>
              </w:rPr>
              <w:t>)</w:t>
            </w:r>
          </w:p>
        </w:tc>
      </w:tr>
      <w:tr w:rsidR="006239D9" w:rsidRPr="00A9397F" w14:paraId="4A368797" w14:textId="77777777" w:rsidTr="00B00E0D">
        <w:trPr>
          <w:trHeight w:val="345"/>
        </w:trPr>
        <w:tc>
          <w:tcPr>
            <w:tcW w:w="0" w:type="auto"/>
            <w:noWrap/>
            <w:hideMark/>
          </w:tcPr>
          <w:p w14:paraId="3C98106F"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Abbeykro</w:t>
            </w:r>
            <w:proofErr w:type="spellEnd"/>
          </w:p>
        </w:tc>
        <w:tc>
          <w:tcPr>
            <w:tcW w:w="1023" w:type="dxa"/>
            <w:noWrap/>
            <w:hideMark/>
          </w:tcPr>
          <w:p w14:paraId="30BB45F2"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1B7723AB"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44A006ED"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469A595C" w14:textId="77777777" w:rsidTr="00B00E0D">
        <w:trPr>
          <w:trHeight w:val="345"/>
        </w:trPr>
        <w:tc>
          <w:tcPr>
            <w:tcW w:w="0" w:type="auto"/>
            <w:noWrap/>
            <w:hideMark/>
          </w:tcPr>
          <w:p w14:paraId="28FC8F5D"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Abouabou</w:t>
            </w:r>
            <w:proofErr w:type="spellEnd"/>
          </w:p>
        </w:tc>
        <w:tc>
          <w:tcPr>
            <w:tcW w:w="1023" w:type="dxa"/>
            <w:noWrap/>
            <w:hideMark/>
          </w:tcPr>
          <w:p w14:paraId="7C149EA6"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3</w:t>
            </w:r>
          </w:p>
        </w:tc>
        <w:tc>
          <w:tcPr>
            <w:tcW w:w="2456" w:type="dxa"/>
            <w:noWrap/>
            <w:vAlign w:val="center"/>
            <w:hideMark/>
          </w:tcPr>
          <w:p w14:paraId="3E174B87"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1EB95263"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4EDED63A" w14:textId="77777777" w:rsidTr="00B00E0D">
        <w:trPr>
          <w:trHeight w:val="345"/>
        </w:trPr>
        <w:tc>
          <w:tcPr>
            <w:tcW w:w="0" w:type="auto"/>
            <w:noWrap/>
            <w:hideMark/>
          </w:tcPr>
          <w:p w14:paraId="2A62FD82" w14:textId="1D0979E1" w:rsidR="006239D9" w:rsidRPr="00A9397F" w:rsidRDefault="00855BFE" w:rsidP="00B00E0D">
            <w:pPr>
              <w:spacing w:line="480" w:lineRule="auto"/>
              <w:jc w:val="both"/>
              <w:rPr>
                <w:rFonts w:ascii="Arial" w:hAnsi="Arial" w:cs="Arial"/>
                <w:sz w:val="20"/>
                <w:szCs w:val="22"/>
              </w:rPr>
            </w:pPr>
            <w:r>
              <w:rPr>
                <w:rFonts w:ascii="Arial" w:hAnsi="Arial" w:cs="Arial"/>
                <w:sz w:val="20"/>
                <w:szCs w:val="22"/>
              </w:rPr>
              <w:t>Aero-canal</w:t>
            </w:r>
          </w:p>
        </w:tc>
        <w:tc>
          <w:tcPr>
            <w:tcW w:w="1023" w:type="dxa"/>
            <w:noWrap/>
            <w:hideMark/>
          </w:tcPr>
          <w:p w14:paraId="32A42AF6"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5F10E4D3"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3719.34 ± 4604.41</w:t>
            </w:r>
            <w:r w:rsidRPr="00A9397F">
              <w:rPr>
                <w:rFonts w:ascii="Arial" w:hAnsi="Arial" w:cs="Arial"/>
                <w:b/>
                <w:bCs/>
                <w:sz w:val="20"/>
                <w:szCs w:val="22"/>
                <w:vertAlign w:val="superscript"/>
              </w:rPr>
              <w:t>b</w:t>
            </w:r>
          </w:p>
        </w:tc>
        <w:tc>
          <w:tcPr>
            <w:tcW w:w="0" w:type="auto"/>
            <w:noWrap/>
            <w:hideMark/>
          </w:tcPr>
          <w:p w14:paraId="26275B1B"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87.4 ± 108.2</w:t>
            </w:r>
            <w:r w:rsidRPr="00A9397F">
              <w:rPr>
                <w:rFonts w:ascii="Arial" w:hAnsi="Arial" w:cs="Arial"/>
                <w:b/>
                <w:bCs/>
                <w:sz w:val="20"/>
                <w:szCs w:val="22"/>
                <w:vertAlign w:val="superscript"/>
              </w:rPr>
              <w:t>b</w:t>
            </w:r>
          </w:p>
        </w:tc>
      </w:tr>
      <w:tr w:rsidR="006239D9" w:rsidRPr="00A9397F" w14:paraId="3A143EAC" w14:textId="77777777" w:rsidTr="00B00E0D">
        <w:trPr>
          <w:trHeight w:val="345"/>
        </w:trPr>
        <w:tc>
          <w:tcPr>
            <w:tcW w:w="0" w:type="auto"/>
            <w:noWrap/>
            <w:hideMark/>
          </w:tcPr>
          <w:p w14:paraId="55CD4A7B"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Agnikro</w:t>
            </w:r>
            <w:proofErr w:type="spellEnd"/>
          </w:p>
        </w:tc>
        <w:tc>
          <w:tcPr>
            <w:tcW w:w="1023" w:type="dxa"/>
            <w:noWrap/>
            <w:hideMark/>
          </w:tcPr>
          <w:p w14:paraId="3FAF419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7</w:t>
            </w:r>
          </w:p>
        </w:tc>
        <w:tc>
          <w:tcPr>
            <w:tcW w:w="2456" w:type="dxa"/>
            <w:noWrap/>
            <w:vAlign w:val="center"/>
            <w:hideMark/>
          </w:tcPr>
          <w:p w14:paraId="41748085"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176.6 ± 301.67</w:t>
            </w:r>
            <w:r w:rsidRPr="00A9397F">
              <w:rPr>
                <w:rFonts w:ascii="Arial" w:hAnsi="Arial" w:cs="Arial"/>
                <w:b/>
                <w:bCs/>
                <w:sz w:val="20"/>
                <w:szCs w:val="22"/>
                <w:vertAlign w:val="superscript"/>
              </w:rPr>
              <w:t>a</w:t>
            </w:r>
          </w:p>
        </w:tc>
        <w:tc>
          <w:tcPr>
            <w:tcW w:w="0" w:type="auto"/>
            <w:noWrap/>
            <w:hideMark/>
          </w:tcPr>
          <w:p w14:paraId="2D734469"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4.15 ± 7.09</w:t>
            </w:r>
            <w:r w:rsidRPr="00A9397F">
              <w:rPr>
                <w:rFonts w:ascii="Arial" w:hAnsi="Arial" w:cs="Arial"/>
                <w:b/>
                <w:bCs/>
                <w:sz w:val="20"/>
                <w:szCs w:val="22"/>
                <w:vertAlign w:val="superscript"/>
              </w:rPr>
              <w:t>a</w:t>
            </w:r>
          </w:p>
        </w:tc>
      </w:tr>
      <w:tr w:rsidR="006239D9" w:rsidRPr="00A9397F" w14:paraId="1972EC4D" w14:textId="77777777" w:rsidTr="00B00E0D">
        <w:trPr>
          <w:trHeight w:val="345"/>
        </w:trPr>
        <w:tc>
          <w:tcPr>
            <w:tcW w:w="0" w:type="auto"/>
            <w:noWrap/>
            <w:hideMark/>
          </w:tcPr>
          <w:p w14:paraId="35B50DBF"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Amangoua</w:t>
            </w:r>
            <w:proofErr w:type="spellEnd"/>
            <w:r w:rsidRPr="00A9397F">
              <w:rPr>
                <w:rFonts w:ascii="Arial" w:hAnsi="Arial" w:cs="Arial"/>
                <w:sz w:val="20"/>
                <w:szCs w:val="22"/>
              </w:rPr>
              <w:t> </w:t>
            </w:r>
            <w:proofErr w:type="spellStart"/>
            <w:r w:rsidRPr="00A9397F">
              <w:rPr>
                <w:rFonts w:ascii="Arial" w:hAnsi="Arial" w:cs="Arial"/>
                <w:sz w:val="20"/>
                <w:szCs w:val="22"/>
              </w:rPr>
              <w:t>koi</w:t>
            </w:r>
            <w:proofErr w:type="spellEnd"/>
          </w:p>
        </w:tc>
        <w:tc>
          <w:tcPr>
            <w:tcW w:w="1023" w:type="dxa"/>
            <w:noWrap/>
            <w:hideMark/>
          </w:tcPr>
          <w:p w14:paraId="7DDD3A3D"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noWrap/>
            <w:vAlign w:val="center"/>
            <w:hideMark/>
          </w:tcPr>
          <w:p w14:paraId="2B103EE8"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294A10C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5E9DF75E" w14:textId="77777777" w:rsidTr="00B00E0D">
        <w:trPr>
          <w:trHeight w:val="345"/>
        </w:trPr>
        <w:tc>
          <w:tcPr>
            <w:tcW w:w="0" w:type="auto"/>
            <w:noWrap/>
            <w:hideMark/>
          </w:tcPr>
          <w:p w14:paraId="68E0146C"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Darakodji</w:t>
            </w:r>
            <w:proofErr w:type="spellEnd"/>
          </w:p>
        </w:tc>
        <w:tc>
          <w:tcPr>
            <w:tcW w:w="1023" w:type="dxa"/>
            <w:noWrap/>
            <w:hideMark/>
          </w:tcPr>
          <w:p w14:paraId="777C53E4"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6</w:t>
            </w:r>
          </w:p>
        </w:tc>
        <w:tc>
          <w:tcPr>
            <w:tcW w:w="2456" w:type="dxa"/>
            <w:noWrap/>
            <w:vAlign w:val="center"/>
            <w:hideMark/>
          </w:tcPr>
          <w:p w14:paraId="77AB37CD"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c>
          <w:tcPr>
            <w:tcW w:w="0" w:type="auto"/>
            <w:noWrap/>
            <w:hideMark/>
          </w:tcPr>
          <w:p w14:paraId="7E88BBEA"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0 ± 0</w:t>
            </w:r>
            <w:r w:rsidRPr="00A9397F">
              <w:rPr>
                <w:rFonts w:ascii="Arial" w:hAnsi="Arial" w:cs="Arial"/>
                <w:b/>
                <w:bCs/>
                <w:sz w:val="20"/>
                <w:szCs w:val="22"/>
                <w:vertAlign w:val="superscript"/>
              </w:rPr>
              <w:t>a</w:t>
            </w:r>
          </w:p>
        </w:tc>
      </w:tr>
      <w:tr w:rsidR="006239D9" w:rsidRPr="00A9397F" w14:paraId="7FFBCF67" w14:textId="77777777" w:rsidTr="00B00E0D">
        <w:trPr>
          <w:trHeight w:val="345"/>
        </w:trPr>
        <w:tc>
          <w:tcPr>
            <w:tcW w:w="0" w:type="auto"/>
            <w:tcBorders>
              <w:bottom w:val="single" w:sz="12" w:space="0" w:color="auto"/>
            </w:tcBorders>
            <w:noWrap/>
            <w:hideMark/>
          </w:tcPr>
          <w:p w14:paraId="6D27B89F" w14:textId="77777777" w:rsidR="006239D9" w:rsidRPr="00A9397F" w:rsidRDefault="006239D9" w:rsidP="00B00E0D">
            <w:pPr>
              <w:spacing w:line="480" w:lineRule="auto"/>
              <w:jc w:val="both"/>
              <w:rPr>
                <w:rFonts w:ascii="Arial" w:hAnsi="Arial" w:cs="Arial"/>
                <w:sz w:val="20"/>
                <w:szCs w:val="22"/>
              </w:rPr>
            </w:pPr>
            <w:proofErr w:type="spellStart"/>
            <w:r w:rsidRPr="00A9397F">
              <w:rPr>
                <w:rFonts w:ascii="Arial" w:hAnsi="Arial" w:cs="Arial"/>
                <w:sz w:val="20"/>
                <w:szCs w:val="22"/>
              </w:rPr>
              <w:t>Kamboukro</w:t>
            </w:r>
            <w:proofErr w:type="spellEnd"/>
          </w:p>
        </w:tc>
        <w:tc>
          <w:tcPr>
            <w:tcW w:w="1023" w:type="dxa"/>
            <w:tcBorders>
              <w:bottom w:val="single" w:sz="12" w:space="0" w:color="auto"/>
            </w:tcBorders>
            <w:noWrap/>
            <w:hideMark/>
          </w:tcPr>
          <w:p w14:paraId="27E2A60C"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9</w:t>
            </w:r>
          </w:p>
        </w:tc>
        <w:tc>
          <w:tcPr>
            <w:tcW w:w="2456" w:type="dxa"/>
            <w:tcBorders>
              <w:bottom w:val="single" w:sz="12" w:space="0" w:color="auto"/>
            </w:tcBorders>
            <w:noWrap/>
            <w:vAlign w:val="center"/>
            <w:hideMark/>
          </w:tcPr>
          <w:p w14:paraId="3D08DE9F" w14:textId="77777777" w:rsidR="006239D9" w:rsidRPr="00A9397F" w:rsidRDefault="006239D9" w:rsidP="00B00E0D">
            <w:pPr>
              <w:spacing w:line="480" w:lineRule="auto"/>
              <w:rPr>
                <w:rFonts w:ascii="Arial" w:hAnsi="Arial" w:cs="Arial"/>
                <w:sz w:val="20"/>
                <w:szCs w:val="22"/>
              </w:rPr>
            </w:pPr>
            <w:r w:rsidRPr="00A9397F">
              <w:rPr>
                <w:rFonts w:ascii="Arial" w:hAnsi="Arial" w:cs="Arial"/>
                <w:sz w:val="20"/>
                <w:szCs w:val="22"/>
              </w:rPr>
              <w:t>5951.73 ± 6146.82</w:t>
            </w:r>
            <w:r w:rsidRPr="00A9397F">
              <w:rPr>
                <w:rFonts w:ascii="Arial" w:hAnsi="Arial" w:cs="Arial"/>
                <w:b/>
                <w:bCs/>
                <w:sz w:val="20"/>
                <w:szCs w:val="22"/>
                <w:vertAlign w:val="superscript"/>
              </w:rPr>
              <w:t xml:space="preserve"> c</w:t>
            </w:r>
          </w:p>
        </w:tc>
        <w:tc>
          <w:tcPr>
            <w:tcW w:w="0" w:type="auto"/>
            <w:tcBorders>
              <w:bottom w:val="single" w:sz="12" w:space="0" w:color="auto"/>
            </w:tcBorders>
            <w:noWrap/>
            <w:hideMark/>
          </w:tcPr>
          <w:p w14:paraId="18513F73" w14:textId="77777777" w:rsidR="006239D9" w:rsidRPr="00A9397F" w:rsidRDefault="006239D9" w:rsidP="00B00E0D">
            <w:pPr>
              <w:spacing w:line="480" w:lineRule="auto"/>
              <w:jc w:val="both"/>
              <w:rPr>
                <w:rFonts w:ascii="Arial" w:hAnsi="Arial" w:cs="Arial"/>
                <w:sz w:val="20"/>
                <w:szCs w:val="22"/>
              </w:rPr>
            </w:pPr>
            <w:r w:rsidRPr="00A9397F">
              <w:rPr>
                <w:rFonts w:ascii="Arial" w:hAnsi="Arial" w:cs="Arial"/>
                <w:sz w:val="20"/>
                <w:szCs w:val="22"/>
              </w:rPr>
              <w:t>139.87 ± 144.45</w:t>
            </w:r>
            <w:r w:rsidRPr="00A9397F">
              <w:rPr>
                <w:rFonts w:ascii="Arial" w:hAnsi="Arial" w:cs="Arial"/>
                <w:b/>
                <w:bCs/>
                <w:sz w:val="20"/>
                <w:szCs w:val="22"/>
                <w:vertAlign w:val="superscript"/>
              </w:rPr>
              <w:t>c</w:t>
            </w:r>
          </w:p>
        </w:tc>
      </w:tr>
    </w:tbl>
    <w:p w14:paraId="7A509E32" w14:textId="77777777" w:rsidR="006239D9" w:rsidRDefault="006239D9" w:rsidP="006239D9">
      <w:pPr>
        <w:spacing w:line="480" w:lineRule="auto"/>
        <w:jc w:val="both"/>
        <w:rPr>
          <w:szCs w:val="22"/>
        </w:rPr>
      </w:pPr>
    </w:p>
    <w:bookmarkEnd w:id="20"/>
    <w:p w14:paraId="74F1CFF5" w14:textId="0B6B511B" w:rsidR="003863C7" w:rsidRPr="003863C7" w:rsidRDefault="003863C7" w:rsidP="003863C7">
      <w:pPr>
        <w:pStyle w:val="Body"/>
        <w:rPr>
          <w:rFonts w:ascii="Arial" w:hAnsi="Arial" w:cs="Arial"/>
        </w:rPr>
      </w:pPr>
      <w:r w:rsidRPr="003863C7">
        <w:rPr>
          <w:rFonts w:ascii="Arial" w:hAnsi="Arial" w:cs="Arial"/>
        </w:rPr>
        <w:t xml:space="preserve">These results highlight the critical role of structural attributes in shaping carbon sequestration </w:t>
      </w:r>
      <w:r w:rsidR="000A2119">
        <w:rPr>
          <w:rFonts w:ascii="Arial" w:hAnsi="Arial" w:cs="Arial"/>
        </w:rPr>
        <w:t>ability</w:t>
      </w:r>
      <w:r w:rsidRPr="003863C7">
        <w:rPr>
          <w:rFonts w:ascii="Arial" w:hAnsi="Arial" w:cs="Arial"/>
        </w:rPr>
        <w:t>. Sectors with higher basal area and larger individuals</w:t>
      </w:r>
      <w:r w:rsidR="00DF3E16">
        <w:rPr>
          <w:rFonts w:ascii="Arial" w:hAnsi="Arial" w:cs="Arial"/>
        </w:rPr>
        <w:t xml:space="preserve">- </w:t>
      </w:r>
      <w:r w:rsidRPr="003863C7">
        <w:rPr>
          <w:rFonts w:ascii="Arial" w:hAnsi="Arial" w:cs="Arial"/>
        </w:rPr>
        <w:t xml:space="preserve">especially </w:t>
      </w:r>
      <w:proofErr w:type="spellStart"/>
      <w:r w:rsidRPr="003863C7">
        <w:rPr>
          <w:rFonts w:ascii="Arial" w:hAnsi="Arial" w:cs="Arial"/>
        </w:rPr>
        <w:t>Kamboukro</w:t>
      </w:r>
      <w:proofErr w:type="spellEnd"/>
      <w:r w:rsidRPr="003863C7">
        <w:rPr>
          <w:rFonts w:ascii="Arial" w:hAnsi="Arial" w:cs="Arial"/>
        </w:rPr>
        <w:t xml:space="preserve"> and </w:t>
      </w:r>
      <w:r w:rsidR="00855BFE">
        <w:rPr>
          <w:rFonts w:ascii="Arial" w:hAnsi="Arial" w:cs="Arial"/>
        </w:rPr>
        <w:t>Aero-canal</w:t>
      </w:r>
      <w:r w:rsidR="00DF3E16">
        <w:rPr>
          <w:rFonts w:ascii="Arial" w:hAnsi="Arial" w:cs="Arial"/>
        </w:rPr>
        <w:sym w:font="Symbol" w:char="F02D"/>
      </w:r>
      <w:r w:rsidR="00DF3E16">
        <w:rPr>
          <w:rFonts w:ascii="Arial" w:hAnsi="Arial" w:cs="Arial"/>
        </w:rPr>
        <w:t xml:space="preserve"> </w:t>
      </w:r>
      <w:r w:rsidRPr="003863C7">
        <w:rPr>
          <w:rFonts w:ascii="Arial" w:hAnsi="Arial" w:cs="Arial"/>
        </w:rPr>
        <w:t xml:space="preserve">correspondingly stored more carbon, in agreement with previous findings in West African and tropical mangroves (Twilley et al., 1992; Komiyama et al., 2008; </w:t>
      </w:r>
      <w:proofErr w:type="spellStart"/>
      <w:r w:rsidRPr="003863C7">
        <w:rPr>
          <w:rFonts w:ascii="Arial" w:hAnsi="Arial" w:cs="Arial"/>
        </w:rPr>
        <w:t>Murdiyarso</w:t>
      </w:r>
      <w:proofErr w:type="spellEnd"/>
      <w:r w:rsidRPr="003863C7">
        <w:rPr>
          <w:rFonts w:ascii="Arial" w:hAnsi="Arial" w:cs="Arial"/>
        </w:rPr>
        <w:t xml:space="preserve"> et al., 2015). Conversely, the absence or degradation of woody stands due to overharvesting, land conversion, and infrastructural encroachment drastically reduced carbon pools. This reinforces the understanding that biomass accumulation in mangroves is a strong indicator of ecological integrity and carbon sink function.</w:t>
      </w:r>
    </w:p>
    <w:p w14:paraId="359F3411" w14:textId="41D9D9B6" w:rsidR="00DF3E16" w:rsidRDefault="003863C7" w:rsidP="003863C7">
      <w:pPr>
        <w:pStyle w:val="Body"/>
        <w:rPr>
          <w:rFonts w:ascii="Arial" w:hAnsi="Arial" w:cs="Arial"/>
        </w:rPr>
      </w:pPr>
      <w:r w:rsidRPr="003863C7">
        <w:rPr>
          <w:rFonts w:ascii="Arial" w:hAnsi="Arial" w:cs="Arial"/>
        </w:rPr>
        <w:lastRenderedPageBreak/>
        <w:t xml:space="preserve">Hydrological connectivity emerged as a pivotal driver of biomass dynamics. In </w:t>
      </w:r>
      <w:proofErr w:type="spellStart"/>
      <w:r w:rsidRPr="003863C7">
        <w:rPr>
          <w:rFonts w:ascii="Arial" w:hAnsi="Arial" w:cs="Arial"/>
        </w:rPr>
        <w:t>Kamboukro</w:t>
      </w:r>
      <w:proofErr w:type="spellEnd"/>
      <w:r w:rsidRPr="003863C7">
        <w:rPr>
          <w:rFonts w:ascii="Arial" w:hAnsi="Arial" w:cs="Arial"/>
        </w:rPr>
        <w:t xml:space="preserve"> and </w:t>
      </w:r>
      <w:r w:rsidR="00855BFE">
        <w:rPr>
          <w:rFonts w:ascii="Arial" w:hAnsi="Arial" w:cs="Arial"/>
        </w:rPr>
        <w:t>Aero-canal</w:t>
      </w:r>
      <w:r w:rsidRPr="003863C7">
        <w:rPr>
          <w:rFonts w:ascii="Arial" w:hAnsi="Arial" w:cs="Arial"/>
        </w:rPr>
        <w:t>, maintained tidal exchange likely ensured adequate nutrient availability and seedling establishment, supporting the persistence of mature trees. By contrast, sites with blocked or altered tidal flows</w:t>
      </w:r>
      <w:r w:rsidR="00DF3E16">
        <w:rPr>
          <w:rFonts w:ascii="Arial" w:hAnsi="Arial" w:cs="Arial"/>
        </w:rPr>
        <w:sym w:font="Symbol" w:char="F02D"/>
      </w:r>
      <w:r w:rsidR="00DF3E16">
        <w:rPr>
          <w:rFonts w:ascii="Arial" w:hAnsi="Arial" w:cs="Arial"/>
        </w:rPr>
        <w:t xml:space="preserve"> </w:t>
      </w:r>
      <w:r w:rsidRPr="003863C7">
        <w:rPr>
          <w:rFonts w:ascii="Arial" w:hAnsi="Arial" w:cs="Arial"/>
        </w:rPr>
        <w:t>due to embankments or infrastructure</w:t>
      </w:r>
      <w:r w:rsidR="00DF3E16">
        <w:rPr>
          <w:rFonts w:ascii="Arial" w:hAnsi="Arial" w:cs="Arial"/>
        </w:rPr>
        <w:sym w:font="Symbol" w:char="F02D"/>
      </w:r>
      <w:r w:rsidR="00DF3E16">
        <w:rPr>
          <w:rFonts w:ascii="Arial" w:hAnsi="Arial" w:cs="Arial"/>
        </w:rPr>
        <w:t xml:space="preserve"> </w:t>
      </w:r>
      <w:r w:rsidRPr="003863C7">
        <w:rPr>
          <w:rFonts w:ascii="Arial" w:hAnsi="Arial" w:cs="Arial"/>
        </w:rPr>
        <w:t>exhibited impaired regeneration and biomass collapse. These mechanisms are consistent with degradation pathways documented in Southeast Asia and the Caribbean (Lovelock et al., 2017), underscoring the importance of restoring hydrological fluxes for mangrove resilience and climate mitigation.</w:t>
      </w:r>
    </w:p>
    <w:p w14:paraId="090BD513" w14:textId="47702DF0" w:rsidR="003D41E4" w:rsidRPr="002F5190" w:rsidRDefault="003D41E4" w:rsidP="003863C7">
      <w:pPr>
        <w:pStyle w:val="Body"/>
        <w:rPr>
          <w:rFonts w:ascii="Arial" w:hAnsi="Arial" w:cs="Arial"/>
          <w:b/>
          <w:bCs/>
          <w:sz w:val="22"/>
          <w:szCs w:val="22"/>
        </w:rPr>
      </w:pPr>
      <w:r w:rsidRPr="002F5190">
        <w:rPr>
          <w:rFonts w:ascii="Arial" w:hAnsi="Arial" w:cs="Arial"/>
          <w:b/>
          <w:bCs/>
          <w:sz w:val="22"/>
          <w:szCs w:val="22"/>
        </w:rPr>
        <w:t>3.4. Implications for mangrove conservation and management</w:t>
      </w:r>
    </w:p>
    <w:p w14:paraId="2899F3AD" w14:textId="547E900F" w:rsidR="00886FA6" w:rsidRPr="00886FA6" w:rsidRDefault="00886FA6" w:rsidP="00886FA6">
      <w:pPr>
        <w:pStyle w:val="Body"/>
        <w:rPr>
          <w:rFonts w:ascii="Arial" w:hAnsi="Arial" w:cs="Arial"/>
        </w:rPr>
      </w:pPr>
      <w:r w:rsidRPr="00886FA6">
        <w:rPr>
          <w:rFonts w:ascii="Arial" w:hAnsi="Arial" w:cs="Arial"/>
        </w:rPr>
        <w:t xml:space="preserve">The findings of this study underscore the profound influence of anthropogenic pressures on the structural integrity and carbon sequestration </w:t>
      </w:r>
      <w:r w:rsidR="000A2119">
        <w:rPr>
          <w:rFonts w:ascii="Arial" w:hAnsi="Arial" w:cs="Arial"/>
        </w:rPr>
        <w:t>ability</w:t>
      </w:r>
      <w:r w:rsidRPr="00886FA6">
        <w:rPr>
          <w:rFonts w:ascii="Arial" w:hAnsi="Arial" w:cs="Arial"/>
        </w:rPr>
        <w:t xml:space="preserve"> of peri-urban </w:t>
      </w:r>
      <w:r w:rsidRPr="00285CF4">
        <w:rPr>
          <w:rFonts w:ascii="Arial" w:hAnsi="Arial" w:cs="Arial"/>
          <w:i/>
          <w:iCs/>
        </w:rPr>
        <w:t>Rhizophora racemosa</w:t>
      </w:r>
      <w:r w:rsidRPr="00886FA6">
        <w:rPr>
          <w:rFonts w:ascii="Arial" w:hAnsi="Arial" w:cs="Arial"/>
        </w:rPr>
        <w:t xml:space="preserve"> stands. Sectors exhibiting intense infrastructure development and pollution</w:t>
      </w:r>
      <w:r w:rsidR="00285CF4">
        <w:rPr>
          <w:rFonts w:ascii="Arial" w:hAnsi="Arial" w:cs="Arial"/>
        </w:rPr>
        <w:sym w:font="Symbol" w:char="F02D"/>
      </w:r>
      <w:r w:rsidR="00285CF4">
        <w:rPr>
          <w:rFonts w:ascii="Arial" w:hAnsi="Arial" w:cs="Arial"/>
        </w:rPr>
        <w:t xml:space="preserve"> </w:t>
      </w:r>
      <w:r w:rsidRPr="00886FA6">
        <w:rPr>
          <w:rFonts w:ascii="Arial" w:hAnsi="Arial" w:cs="Arial"/>
        </w:rPr>
        <w:t xml:space="preserve">particularly </w:t>
      </w:r>
      <w:proofErr w:type="spellStart"/>
      <w:r w:rsidRPr="00886FA6">
        <w:rPr>
          <w:rFonts w:ascii="Arial" w:hAnsi="Arial" w:cs="Arial"/>
        </w:rPr>
        <w:t>Abbeykro</w:t>
      </w:r>
      <w:proofErr w:type="spellEnd"/>
      <w:r w:rsidRPr="00886FA6">
        <w:rPr>
          <w:rFonts w:ascii="Arial" w:hAnsi="Arial" w:cs="Arial"/>
        </w:rPr>
        <w:t xml:space="preserve">, </w:t>
      </w:r>
      <w:proofErr w:type="spellStart"/>
      <w:r w:rsidRPr="00886FA6">
        <w:rPr>
          <w:rFonts w:ascii="Arial" w:hAnsi="Arial" w:cs="Arial"/>
        </w:rPr>
        <w:t>Abouabou</w:t>
      </w:r>
      <w:proofErr w:type="spellEnd"/>
      <w:r w:rsidRPr="00886FA6">
        <w:rPr>
          <w:rFonts w:ascii="Arial" w:hAnsi="Arial" w:cs="Arial"/>
        </w:rPr>
        <w:t xml:space="preserve">, </w:t>
      </w:r>
      <w:proofErr w:type="spellStart"/>
      <w:r w:rsidRPr="00886FA6">
        <w:rPr>
          <w:rFonts w:ascii="Arial" w:hAnsi="Arial" w:cs="Arial"/>
        </w:rPr>
        <w:t>Amangoua</w:t>
      </w:r>
      <w:proofErr w:type="spellEnd"/>
      <w:r w:rsidRPr="00886FA6">
        <w:rPr>
          <w:rFonts w:ascii="Arial" w:hAnsi="Arial" w:cs="Arial"/>
        </w:rPr>
        <w:t xml:space="preserve">-Koi, and </w:t>
      </w:r>
      <w:proofErr w:type="spellStart"/>
      <w:r w:rsidRPr="00886FA6">
        <w:rPr>
          <w:rFonts w:ascii="Arial" w:hAnsi="Arial" w:cs="Arial"/>
        </w:rPr>
        <w:t>Darakodji</w:t>
      </w:r>
      <w:proofErr w:type="spellEnd"/>
      <w:r w:rsidR="00285CF4">
        <w:rPr>
          <w:rFonts w:ascii="Arial" w:hAnsi="Arial" w:cs="Arial"/>
        </w:rPr>
        <w:sym w:font="Symbol" w:char="F02D"/>
      </w:r>
      <w:r w:rsidR="00285CF4">
        <w:rPr>
          <w:rFonts w:ascii="Arial" w:hAnsi="Arial" w:cs="Arial"/>
        </w:rPr>
        <w:t xml:space="preserve"> </w:t>
      </w:r>
      <w:r w:rsidRPr="00886FA6">
        <w:rPr>
          <w:rFonts w:ascii="Arial" w:hAnsi="Arial" w:cs="Arial"/>
        </w:rPr>
        <w:t>consistently showed null or severely reduced stem density, basal area, biomass, and carbon stock. These declines reflect the compound effects of direct pressures, such as wood harvesting and land reclamation, and indirect disturbances, including hydrological alteration and waste accumulation.</w:t>
      </w:r>
    </w:p>
    <w:p w14:paraId="0DE841A2" w14:textId="00C095C3" w:rsidR="00886FA6" w:rsidRPr="00886FA6" w:rsidRDefault="00886FA6" w:rsidP="00886FA6">
      <w:pPr>
        <w:pStyle w:val="Body"/>
        <w:rPr>
          <w:rFonts w:ascii="Arial" w:hAnsi="Arial" w:cs="Arial"/>
        </w:rPr>
      </w:pPr>
      <w:r w:rsidRPr="00886FA6">
        <w:rPr>
          <w:rFonts w:ascii="Arial" w:hAnsi="Arial" w:cs="Arial"/>
        </w:rPr>
        <w:t xml:space="preserve">Conversely, sectors like </w:t>
      </w:r>
      <w:proofErr w:type="spellStart"/>
      <w:r w:rsidRPr="00886FA6">
        <w:rPr>
          <w:rFonts w:ascii="Arial" w:hAnsi="Arial" w:cs="Arial"/>
        </w:rPr>
        <w:t>Kamboukro</w:t>
      </w:r>
      <w:proofErr w:type="spellEnd"/>
      <w:r w:rsidRPr="00886FA6">
        <w:rPr>
          <w:rFonts w:ascii="Arial" w:hAnsi="Arial" w:cs="Arial"/>
        </w:rPr>
        <w:t xml:space="preserve"> and </w:t>
      </w:r>
      <w:r w:rsidR="00855BFE">
        <w:rPr>
          <w:rFonts w:ascii="Arial" w:hAnsi="Arial" w:cs="Arial"/>
        </w:rPr>
        <w:t>Aero-canal</w:t>
      </w:r>
      <w:r w:rsidRPr="00886FA6">
        <w:rPr>
          <w:rFonts w:ascii="Arial" w:hAnsi="Arial" w:cs="Arial"/>
        </w:rPr>
        <w:t xml:space="preserve"> demonstrated higher structural complexity, with significantly greater tree height, diameter, basal area, and biomass, translating into markedly higher carbon storage. These zones appear to benefit from relatively intact hydrological regimes and lower disturbance intensity, highlighting their ecological value as remnant carbon reservoirs and propagule sources for natural regeneration and active restoration.</w:t>
      </w:r>
    </w:p>
    <w:p w14:paraId="579D3BF2" w14:textId="20138AD0" w:rsidR="00886FA6" w:rsidRPr="00886FA6" w:rsidRDefault="00886FA6" w:rsidP="00886FA6">
      <w:pPr>
        <w:pStyle w:val="Body"/>
        <w:rPr>
          <w:rFonts w:ascii="Arial" w:hAnsi="Arial" w:cs="Arial"/>
        </w:rPr>
      </w:pPr>
      <w:r w:rsidRPr="00886FA6">
        <w:rPr>
          <w:rFonts w:ascii="Arial" w:hAnsi="Arial" w:cs="Arial"/>
        </w:rPr>
        <w:t xml:space="preserve">From a conservation perspective, a dual strategy is warranted. First, priority should be given to the legal protection and participatory management of well-preserved sectors, particularly </w:t>
      </w:r>
      <w:proofErr w:type="spellStart"/>
      <w:r w:rsidRPr="00886FA6">
        <w:rPr>
          <w:rFonts w:ascii="Arial" w:hAnsi="Arial" w:cs="Arial"/>
        </w:rPr>
        <w:t>Kamboukro</w:t>
      </w:r>
      <w:proofErr w:type="spellEnd"/>
      <w:r w:rsidRPr="00886FA6">
        <w:rPr>
          <w:rFonts w:ascii="Arial" w:hAnsi="Arial" w:cs="Arial"/>
        </w:rPr>
        <w:t xml:space="preserve"> and </w:t>
      </w:r>
      <w:r w:rsidR="00855BFE">
        <w:rPr>
          <w:rFonts w:ascii="Arial" w:hAnsi="Arial" w:cs="Arial"/>
        </w:rPr>
        <w:t>Aero-canal</w:t>
      </w:r>
      <w:r w:rsidRPr="00886FA6">
        <w:rPr>
          <w:rFonts w:ascii="Arial" w:hAnsi="Arial" w:cs="Arial"/>
        </w:rPr>
        <w:t>, to prevent further degradation and to maintain their role as biodiversity refugia and climate mitigation hotspots. Second, degraded sectors require urgent ecological rehabilitation measures, including the re-establishment of tidal flows, enrichment planting with native propagules, and enforcement of restrictions on wood extraction and land conversion.</w:t>
      </w:r>
    </w:p>
    <w:p w14:paraId="2A295B99" w14:textId="0BEB1502" w:rsidR="00886FA6" w:rsidRPr="00886FA6" w:rsidRDefault="00886FA6" w:rsidP="00886FA6">
      <w:pPr>
        <w:pStyle w:val="Body"/>
        <w:rPr>
          <w:rFonts w:ascii="Arial" w:hAnsi="Arial" w:cs="Arial"/>
        </w:rPr>
      </w:pPr>
      <w:r w:rsidRPr="00886FA6">
        <w:rPr>
          <w:rFonts w:ascii="Arial" w:hAnsi="Arial" w:cs="Arial"/>
        </w:rPr>
        <w:t>At the landscape level, effective conservation of peri-urban mangroves must be embedded within integrated coastal zone management frameworks. This includes spatial planning to limit mangrove encroachment, improved sanitation infrastructure to reduce pollution loads, and community-based governance models that foster local stewardship and sustainable use, as successfully implemented in other West African contexts (</w:t>
      </w:r>
      <w:proofErr w:type="spellStart"/>
      <w:r w:rsidRPr="00886FA6">
        <w:rPr>
          <w:rFonts w:ascii="Arial" w:hAnsi="Arial" w:cs="Arial"/>
        </w:rPr>
        <w:t>Feka</w:t>
      </w:r>
      <w:proofErr w:type="spellEnd"/>
      <w:r w:rsidRPr="00886FA6">
        <w:rPr>
          <w:rFonts w:ascii="Arial" w:hAnsi="Arial" w:cs="Arial"/>
        </w:rPr>
        <w:t xml:space="preserve"> &amp; </w:t>
      </w:r>
      <w:proofErr w:type="spellStart"/>
      <w:r w:rsidRPr="00886FA6">
        <w:rPr>
          <w:rFonts w:ascii="Arial" w:hAnsi="Arial" w:cs="Arial"/>
        </w:rPr>
        <w:t>Ajonina</w:t>
      </w:r>
      <w:proofErr w:type="spellEnd"/>
      <w:r w:rsidRPr="00886FA6">
        <w:rPr>
          <w:rFonts w:ascii="Arial" w:hAnsi="Arial" w:cs="Arial"/>
        </w:rPr>
        <w:t>, 2011).</w:t>
      </w:r>
    </w:p>
    <w:p w14:paraId="566EC8CD" w14:textId="4B626088" w:rsidR="00A9397F" w:rsidRPr="00D72F27" w:rsidRDefault="00886FA6" w:rsidP="00886FA6">
      <w:pPr>
        <w:pStyle w:val="Body"/>
        <w:spacing w:after="0"/>
        <w:rPr>
          <w:rFonts w:ascii="Arial" w:hAnsi="Arial" w:cs="Arial"/>
          <w:sz w:val="18"/>
          <w:szCs w:val="18"/>
        </w:rPr>
      </w:pPr>
      <w:r w:rsidRPr="00886FA6">
        <w:rPr>
          <w:rFonts w:ascii="Arial" w:hAnsi="Arial" w:cs="Arial"/>
        </w:rPr>
        <w:t xml:space="preserve">Finally, the conservation of structurally complex R. </w:t>
      </w:r>
      <w:proofErr w:type="spellStart"/>
      <w:r w:rsidRPr="00886FA6">
        <w:rPr>
          <w:rFonts w:ascii="Arial" w:hAnsi="Arial" w:cs="Arial"/>
        </w:rPr>
        <w:t>racemosa</w:t>
      </w:r>
      <w:proofErr w:type="spellEnd"/>
      <w:r w:rsidRPr="00886FA6">
        <w:rPr>
          <w:rFonts w:ascii="Arial" w:hAnsi="Arial" w:cs="Arial"/>
        </w:rPr>
        <w:t xml:space="preserve"> stands in </w:t>
      </w:r>
      <w:proofErr w:type="spellStart"/>
      <w:r w:rsidRPr="00886FA6">
        <w:rPr>
          <w:rFonts w:ascii="Arial" w:hAnsi="Arial" w:cs="Arial"/>
        </w:rPr>
        <w:t>Abouabou</w:t>
      </w:r>
      <w:proofErr w:type="spellEnd"/>
      <w:r w:rsidRPr="00886FA6">
        <w:rPr>
          <w:rFonts w:ascii="Arial" w:hAnsi="Arial" w:cs="Arial"/>
        </w:rPr>
        <w:t xml:space="preserve"> Bay carries implications beyond local biodiversity and livelihoods. These ecosystems represent critical natural climate solutions aligned with national REDD+ commitments and international carbon neutrality goals. Ensuring their persistence will require coordinated action across ecological, socio-economic, and policy dimensions.</w:t>
      </w:r>
    </w:p>
    <w:bookmarkEnd w:id="19"/>
    <w:p w14:paraId="60F9A52C" w14:textId="78790F7E" w:rsidR="00A9397F" w:rsidRDefault="00A9397F" w:rsidP="00441B6F">
      <w:pPr>
        <w:pStyle w:val="Body"/>
        <w:spacing w:after="0"/>
        <w:rPr>
          <w:rFonts w:ascii="Arial" w:hAnsi="Arial" w:cs="Arial"/>
        </w:rPr>
      </w:pPr>
    </w:p>
    <w:p w14:paraId="5B038F7C" w14:textId="77777777" w:rsidR="00D004FB" w:rsidRDefault="00D004FB" w:rsidP="00D004FB">
      <w:pPr>
        <w:pStyle w:val="ConcHead"/>
        <w:jc w:val="both"/>
        <w:rPr>
          <w:rFonts w:ascii="Arial" w:hAnsi="Arial" w:cs="Arial"/>
        </w:rPr>
      </w:pPr>
      <w:r>
        <w:rPr>
          <w:rFonts w:ascii="Arial" w:hAnsi="Arial" w:cs="Arial"/>
        </w:rPr>
        <w:t xml:space="preserve">4. </w:t>
      </w:r>
      <w:r w:rsidRPr="00FB3A86">
        <w:rPr>
          <w:rFonts w:ascii="Arial" w:hAnsi="Arial" w:cs="Arial"/>
        </w:rPr>
        <w:t>Conclusion</w:t>
      </w:r>
    </w:p>
    <w:p w14:paraId="4A0E8AC1" w14:textId="0E796D60" w:rsidR="00E34C8E" w:rsidRPr="00E34C8E" w:rsidRDefault="00E34C8E" w:rsidP="00E34C8E">
      <w:pPr>
        <w:pStyle w:val="Body"/>
        <w:rPr>
          <w:rFonts w:ascii="Arial" w:hAnsi="Arial" w:cs="Arial"/>
        </w:rPr>
      </w:pPr>
      <w:r w:rsidRPr="00E34C8E">
        <w:rPr>
          <w:rFonts w:ascii="Arial" w:hAnsi="Arial" w:cs="Arial"/>
        </w:rPr>
        <w:t xml:space="preserve">This study provides empirical evidence of how spatially heterogeneous anthropogenic pressures shape the structural attributes and carbon storage </w:t>
      </w:r>
      <w:r w:rsidR="000A2119">
        <w:rPr>
          <w:rFonts w:ascii="Arial" w:hAnsi="Arial" w:cs="Arial"/>
        </w:rPr>
        <w:t>ability</w:t>
      </w:r>
      <w:r w:rsidRPr="00E34C8E">
        <w:rPr>
          <w:rFonts w:ascii="Arial" w:hAnsi="Arial" w:cs="Arial"/>
        </w:rPr>
        <w:t xml:space="preserve"> of </w:t>
      </w:r>
      <w:r w:rsidRPr="000E3A26">
        <w:rPr>
          <w:rFonts w:ascii="Arial" w:hAnsi="Arial" w:cs="Arial"/>
          <w:i/>
          <w:iCs/>
        </w:rPr>
        <w:t>R</w:t>
      </w:r>
      <w:r w:rsidR="000E3A26" w:rsidRPr="000E3A26">
        <w:rPr>
          <w:rFonts w:ascii="Arial" w:hAnsi="Arial" w:cs="Arial"/>
          <w:i/>
          <w:iCs/>
        </w:rPr>
        <w:t>.</w:t>
      </w:r>
      <w:r w:rsidRPr="000E3A26">
        <w:rPr>
          <w:rFonts w:ascii="Arial" w:hAnsi="Arial" w:cs="Arial"/>
          <w:i/>
          <w:iCs/>
        </w:rPr>
        <w:t xml:space="preserve"> racemosa</w:t>
      </w:r>
      <w:r w:rsidRPr="00E34C8E">
        <w:rPr>
          <w:rFonts w:ascii="Arial" w:hAnsi="Arial" w:cs="Arial"/>
        </w:rPr>
        <w:t xml:space="preserve"> stands in a peri-urban mangrove system of Côte d’Ivoire. Across the landscape mosaic of </w:t>
      </w:r>
      <w:r w:rsidR="00CB719E">
        <w:rPr>
          <w:rFonts w:ascii="Arial" w:hAnsi="Arial" w:cs="Arial"/>
        </w:rPr>
        <w:t xml:space="preserve">Amangoua-koi </w:t>
      </w:r>
      <w:r w:rsidRPr="00E34C8E">
        <w:rPr>
          <w:rFonts w:ascii="Arial" w:hAnsi="Arial" w:cs="Arial"/>
        </w:rPr>
        <w:t xml:space="preserve">village, distinct gradients of degradation were linked to variations in land use intensity, pollution exposure, and hydrological connectivity. The absence of </w:t>
      </w:r>
      <w:r w:rsidRPr="000E3A26">
        <w:rPr>
          <w:rFonts w:ascii="Arial" w:hAnsi="Arial" w:cs="Arial"/>
          <w:i/>
          <w:iCs/>
        </w:rPr>
        <w:t>R. racemosa</w:t>
      </w:r>
      <w:r w:rsidRPr="00E34C8E">
        <w:rPr>
          <w:rFonts w:ascii="Arial" w:hAnsi="Arial" w:cs="Arial"/>
        </w:rPr>
        <w:t xml:space="preserve"> in nearly half </w:t>
      </w:r>
      <w:r w:rsidRPr="00E34C8E">
        <w:rPr>
          <w:rFonts w:ascii="Arial" w:hAnsi="Arial" w:cs="Arial"/>
        </w:rPr>
        <w:lastRenderedPageBreak/>
        <w:t xml:space="preserve">the sectors surveyed underscores the severity of local deforestation, while structurally intact sectors, such as </w:t>
      </w:r>
      <w:proofErr w:type="spellStart"/>
      <w:r w:rsidRPr="00E34C8E">
        <w:rPr>
          <w:rFonts w:ascii="Arial" w:hAnsi="Arial" w:cs="Arial"/>
        </w:rPr>
        <w:t>Kamboukro</w:t>
      </w:r>
      <w:proofErr w:type="spellEnd"/>
      <w:r w:rsidRPr="00E34C8E">
        <w:rPr>
          <w:rFonts w:ascii="Arial" w:hAnsi="Arial" w:cs="Arial"/>
        </w:rPr>
        <w:t xml:space="preserve"> and </w:t>
      </w:r>
      <w:r w:rsidR="00855BFE">
        <w:rPr>
          <w:rFonts w:ascii="Arial" w:hAnsi="Arial" w:cs="Arial"/>
        </w:rPr>
        <w:t>Aero-canal</w:t>
      </w:r>
      <w:r w:rsidRPr="00E34C8E">
        <w:rPr>
          <w:rFonts w:ascii="Arial" w:hAnsi="Arial" w:cs="Arial"/>
        </w:rPr>
        <w:t>, highlight the resilience potential of mangroves in less disturbed conditions.</w:t>
      </w:r>
    </w:p>
    <w:p w14:paraId="061BB3F8" w14:textId="77777777" w:rsidR="00E34C8E" w:rsidRPr="00E34C8E" w:rsidRDefault="00E34C8E" w:rsidP="00E34C8E">
      <w:pPr>
        <w:pStyle w:val="Body"/>
        <w:rPr>
          <w:rFonts w:ascii="Arial" w:hAnsi="Arial" w:cs="Arial"/>
        </w:rPr>
      </w:pPr>
      <w:r w:rsidRPr="00E34C8E">
        <w:rPr>
          <w:rFonts w:ascii="Arial" w:hAnsi="Arial" w:cs="Arial"/>
        </w:rPr>
        <w:t>The results demonstrate that key structural parameters—such as tree height, basal area, and stem density—are reliable indicators of ecosystem health and are strongly correlated with biomass and carbon stocks. The loss of these attributes in degraded sectors reflects not only ecological degradation but also a decline in carbon sequestration potential, with critical implications for national and global climate mitigation strategies.</w:t>
      </w:r>
    </w:p>
    <w:p w14:paraId="2E92CB1C" w14:textId="77777777" w:rsidR="00E34C8E" w:rsidRPr="00E34C8E" w:rsidRDefault="00E34C8E" w:rsidP="00E34C8E">
      <w:pPr>
        <w:pStyle w:val="Body"/>
        <w:rPr>
          <w:rFonts w:ascii="Arial" w:hAnsi="Arial" w:cs="Arial"/>
        </w:rPr>
      </w:pPr>
      <w:r w:rsidRPr="00E34C8E">
        <w:rPr>
          <w:rFonts w:ascii="Arial" w:hAnsi="Arial" w:cs="Arial"/>
        </w:rPr>
        <w:t>Importantly, this study reinforces the need for site-specific conservation and restoration strategies that reflect local disturbance dynamics. Protecting remnant stands and restoring degraded zones through hydrological rehabilitation, waste management, and participatory governance will be essential to safeguard the multifunctionality of peri-urban mangroves. In a rapidly urbanizing region like Abidjan, where land pressures are intensifying, the preservation of R. racemosa stands represents not only an ecological imperative but also a strategic investment in climate resilience, biodiversity conservation, and sustainable development.</w:t>
      </w:r>
    </w:p>
    <w:p w14:paraId="57544098" w14:textId="5C161B8E" w:rsidR="00A9397F" w:rsidRDefault="00E34C8E" w:rsidP="00E34C8E">
      <w:pPr>
        <w:pStyle w:val="Body"/>
        <w:spacing w:after="0"/>
        <w:rPr>
          <w:rFonts w:ascii="Arial" w:hAnsi="Arial" w:cs="Arial"/>
        </w:rPr>
      </w:pPr>
      <w:r w:rsidRPr="00E34C8E">
        <w:rPr>
          <w:rFonts w:ascii="Arial" w:hAnsi="Arial" w:cs="Arial"/>
        </w:rPr>
        <w:t>Future research should explore long-term changes in ecosystem function and carbon fluxes in relation to restoration interventions and urban growth trajectories. Integrating ecological monitoring with social-ecological assessments will further enhance the design of adaptive and inclusive mangrove management strategies across urban coastal zones in West Africa.</w:t>
      </w:r>
      <w:bookmarkEnd w:id="2"/>
    </w:p>
    <w:p w14:paraId="311FFC53" w14:textId="77777777" w:rsidR="00790ADA" w:rsidRPr="00FB3A86" w:rsidRDefault="00790ADA" w:rsidP="00441B6F">
      <w:pPr>
        <w:pStyle w:val="Body"/>
        <w:spacing w:after="0"/>
        <w:rPr>
          <w:rFonts w:ascii="Arial" w:hAnsi="Arial" w:cs="Arial"/>
        </w:rPr>
      </w:pPr>
    </w:p>
    <w:p w14:paraId="7E0645C0" w14:textId="77777777" w:rsidR="00242465" w:rsidRPr="00242465" w:rsidRDefault="00242465" w:rsidP="00242465">
      <w:pPr>
        <w:jc w:val="both"/>
        <w:rPr>
          <w:b/>
        </w:rPr>
      </w:pPr>
    </w:p>
    <w:p w14:paraId="51AED24E" w14:textId="77777777" w:rsidR="00242465" w:rsidRPr="00242465" w:rsidRDefault="00242465" w:rsidP="00242465">
      <w:pPr>
        <w:jc w:val="both"/>
        <w:rPr>
          <w:b/>
        </w:rPr>
      </w:pPr>
      <w:r w:rsidRPr="00242465">
        <w:rPr>
          <w:b/>
        </w:rPr>
        <w:t>References</w:t>
      </w:r>
    </w:p>
    <w:p w14:paraId="3AC6E868" w14:textId="77777777" w:rsidR="00242465" w:rsidRPr="00242465" w:rsidRDefault="00242465" w:rsidP="00242465">
      <w:pPr>
        <w:jc w:val="both"/>
        <w:rPr>
          <w:b/>
        </w:rPr>
      </w:pPr>
    </w:p>
    <w:p w14:paraId="4F0CE651" w14:textId="2E742A22" w:rsidR="00A75155" w:rsidRDefault="00A75155" w:rsidP="00A75155">
      <w:pPr>
        <w:spacing w:after="120"/>
        <w:jc w:val="both"/>
      </w:pPr>
      <w:r>
        <w:t xml:space="preserve">Adame, M. F., Kauffman, J. B., Medina, I., Gamboa, J. N., Torres, O., Caamal, J. P. et al. (2013). Carbon Stocks of Tropical Coastal Wetlands within the Karstic Landscape of the Mexican Caribbean. </w:t>
      </w:r>
      <w:proofErr w:type="spellStart"/>
      <w:r>
        <w:t>PLoSONE</w:t>
      </w:r>
      <w:proofErr w:type="spellEnd"/>
      <w:r>
        <w:t xml:space="preserve">, 8(2): e56569. </w:t>
      </w:r>
      <w:hyperlink r:id="rId21" w:history="1">
        <w:r w:rsidR="00133989" w:rsidRPr="001B173A">
          <w:rPr>
            <w:rStyle w:val="Hyperlink"/>
          </w:rPr>
          <w:t>https://doi.org/10.1371/journal.pone.0056569</w:t>
        </w:r>
      </w:hyperlink>
      <w:r w:rsidR="00133989">
        <w:t xml:space="preserve"> </w:t>
      </w:r>
    </w:p>
    <w:p w14:paraId="3CEC9C59" w14:textId="77777777" w:rsidR="00A75155" w:rsidRDefault="00A75155" w:rsidP="00A75155">
      <w:pPr>
        <w:spacing w:after="120"/>
        <w:jc w:val="both"/>
      </w:pPr>
      <w:r>
        <w:t>Agresti, A. (2013). Categorical Data Analysis (3rd ed.). Hoboken, NJ: Wiley.</w:t>
      </w:r>
    </w:p>
    <w:p w14:paraId="5C36E3E3" w14:textId="77777777" w:rsidR="00A75155" w:rsidRDefault="00A75155" w:rsidP="00A75155">
      <w:pPr>
        <w:spacing w:after="120"/>
        <w:jc w:val="both"/>
      </w:pPr>
      <w:proofErr w:type="spellStart"/>
      <w:r>
        <w:t>Ajonina</w:t>
      </w:r>
      <w:proofErr w:type="spellEnd"/>
      <w:r>
        <w:t xml:space="preserve">, G. N., </w:t>
      </w:r>
      <w:proofErr w:type="spellStart"/>
      <w:r>
        <w:t>Diamé</w:t>
      </w:r>
      <w:proofErr w:type="spellEnd"/>
      <w:r>
        <w:t>, A., &amp; Kairo, J. G. (2008). Current status and conservation of mangroves in Africa: An overview. World Rainforest Movement Bulletin, 133, 1–8.</w:t>
      </w:r>
    </w:p>
    <w:p w14:paraId="40D16856" w14:textId="334266B6" w:rsidR="00A75155" w:rsidRDefault="00A75155" w:rsidP="00A75155">
      <w:pPr>
        <w:spacing w:after="120"/>
        <w:jc w:val="both"/>
      </w:pPr>
      <w:r>
        <w:t xml:space="preserve">Alongi, D. M. (2008). Mangrove forests: Resilience, protection from tsunamis, and responses to climate change. Estuarine, Coastal and Shelf Science, 76(1), 1–13. </w:t>
      </w:r>
      <w:hyperlink r:id="rId22" w:history="1">
        <w:r w:rsidR="00133989" w:rsidRPr="001B173A">
          <w:rPr>
            <w:rStyle w:val="Hyperlink"/>
          </w:rPr>
          <w:t>https://doi.org/10.1016/j.ecss.2007.08.024</w:t>
        </w:r>
      </w:hyperlink>
      <w:r w:rsidR="00133989">
        <w:t xml:space="preserve"> </w:t>
      </w:r>
    </w:p>
    <w:p w14:paraId="3C9C8229" w14:textId="0D970906" w:rsidR="00A75155" w:rsidRDefault="00A75155" w:rsidP="00A75155">
      <w:pPr>
        <w:spacing w:after="120"/>
        <w:jc w:val="both"/>
      </w:pPr>
      <w:r>
        <w:t xml:space="preserve">Alongi, D. M. (2015). The impact of climate change on mangrove forests. Current Climate Change Reports, 1(1), 30–39. </w:t>
      </w:r>
      <w:hyperlink r:id="rId23" w:history="1">
        <w:r w:rsidR="00133989" w:rsidRPr="001B173A">
          <w:rPr>
            <w:rStyle w:val="Hyperlink"/>
          </w:rPr>
          <w:t>https://doi.org/10.1007/s40641-015-0002-x</w:t>
        </w:r>
      </w:hyperlink>
      <w:r w:rsidR="00133989">
        <w:t xml:space="preserve"> </w:t>
      </w:r>
    </w:p>
    <w:p w14:paraId="5B3A2D58" w14:textId="23AFD2FD" w:rsidR="00A75155" w:rsidRDefault="00A75155" w:rsidP="00A75155">
      <w:pPr>
        <w:spacing w:after="120"/>
        <w:jc w:val="both"/>
      </w:pPr>
      <w:proofErr w:type="spellStart"/>
      <w:r>
        <w:t>Bonye</w:t>
      </w:r>
      <w:proofErr w:type="spellEnd"/>
      <w:r>
        <w:t xml:space="preserve">, S. Z., </w:t>
      </w:r>
      <w:proofErr w:type="spellStart"/>
      <w:r>
        <w:t>Aasoglenang</w:t>
      </w:r>
      <w:proofErr w:type="spellEnd"/>
      <w:r>
        <w:t xml:space="preserve">, T. A. &amp; </w:t>
      </w:r>
      <w:proofErr w:type="spellStart"/>
      <w:r>
        <w:t>Yiridomoh</w:t>
      </w:r>
      <w:proofErr w:type="spellEnd"/>
      <w:r>
        <w:t xml:space="preserve">, G. Y. (2021). Urbanization, agricultural land use change and livelihood adaptation strategies in peri-urban </w:t>
      </w:r>
      <w:proofErr w:type="spellStart"/>
      <w:r>
        <w:t>Wa</w:t>
      </w:r>
      <w:proofErr w:type="spellEnd"/>
      <w:r>
        <w:t xml:space="preserve">, Ghana. SN Soc Sci 1, 9. </w:t>
      </w:r>
      <w:hyperlink r:id="rId24" w:history="1">
        <w:r w:rsidR="00133989" w:rsidRPr="001B173A">
          <w:rPr>
            <w:rStyle w:val="Hyperlink"/>
          </w:rPr>
          <w:t>https://doi.org/10.1007/s43545-020-00017-1</w:t>
        </w:r>
      </w:hyperlink>
      <w:r w:rsidR="00133989">
        <w:t xml:space="preserve"> </w:t>
      </w:r>
    </w:p>
    <w:p w14:paraId="61EA69A0" w14:textId="542EA83B" w:rsidR="00A75155" w:rsidRDefault="00A75155" w:rsidP="00A75155">
      <w:pPr>
        <w:spacing w:after="120"/>
        <w:jc w:val="both"/>
      </w:pPr>
      <w:r>
        <w:t xml:space="preserve">Bosire, J. O., Kaino, J. J., </w:t>
      </w:r>
      <w:proofErr w:type="spellStart"/>
      <w:r>
        <w:t>Olagoke</w:t>
      </w:r>
      <w:proofErr w:type="spellEnd"/>
      <w:r>
        <w:t xml:space="preserve">, A. O., Mwihaki, L. M., </w:t>
      </w:r>
      <w:proofErr w:type="spellStart"/>
      <w:r>
        <w:t>Ogendi</w:t>
      </w:r>
      <w:proofErr w:type="spellEnd"/>
      <w:r>
        <w:t xml:space="preserve">, G. M., Kairo, J. G., et al. (2014). Mangroves in peril: unprecedented degradation rates of peri-urban mangroves in Kenya. </w:t>
      </w:r>
      <w:proofErr w:type="spellStart"/>
      <w:r>
        <w:t>Biogeosciences</w:t>
      </w:r>
      <w:proofErr w:type="spellEnd"/>
      <w:r>
        <w:t xml:space="preserve">, 11, 2623–2634, </w:t>
      </w:r>
      <w:hyperlink r:id="rId25" w:history="1">
        <w:r w:rsidR="00133989" w:rsidRPr="001B173A">
          <w:rPr>
            <w:rStyle w:val="Hyperlink"/>
          </w:rPr>
          <w:t>https://doi.org/10.5194/bg-11-2623-2014</w:t>
        </w:r>
      </w:hyperlink>
      <w:r w:rsidR="00133989">
        <w:t xml:space="preserve"> </w:t>
      </w:r>
    </w:p>
    <w:p w14:paraId="78E30519" w14:textId="70DEBA69" w:rsidR="00A75155" w:rsidRDefault="00A75155" w:rsidP="00A75155">
      <w:pPr>
        <w:spacing w:after="120"/>
        <w:jc w:val="both"/>
      </w:pPr>
      <w:r>
        <w:t xml:space="preserve">Bunting, P., Rosenqvist, A., Lucas, R. M., et al. (2018). The Global Mangrove Watch—A New 2010 global baseline of mangrove extent. Remote Sensing, 10(10), 1669. </w:t>
      </w:r>
      <w:hyperlink r:id="rId26" w:history="1">
        <w:r w:rsidR="00133989" w:rsidRPr="001B173A">
          <w:rPr>
            <w:rStyle w:val="Hyperlink"/>
          </w:rPr>
          <w:t>https://doi.org/10.3390/rs10101669</w:t>
        </w:r>
      </w:hyperlink>
      <w:r w:rsidR="00133989">
        <w:t xml:space="preserve"> </w:t>
      </w:r>
    </w:p>
    <w:p w14:paraId="38479874" w14:textId="5FAE883D" w:rsidR="00A75155" w:rsidRDefault="00A75155" w:rsidP="00A75155">
      <w:pPr>
        <w:spacing w:after="120"/>
        <w:jc w:val="both"/>
      </w:pPr>
      <w:proofErr w:type="spellStart"/>
      <w:r>
        <w:lastRenderedPageBreak/>
        <w:t>Dahdouh-Guebas</w:t>
      </w:r>
      <w:proofErr w:type="spellEnd"/>
      <w:r>
        <w:t xml:space="preserve">, F., &amp; Koedam, N. (2008). Long-term retrospection on mangrove development using transdisciplinary approaches: A review. Aquatic Botany, 89(2), 80–92. </w:t>
      </w:r>
      <w:hyperlink r:id="rId27" w:history="1">
        <w:r w:rsidR="00133989" w:rsidRPr="001B173A">
          <w:rPr>
            <w:rStyle w:val="Hyperlink"/>
          </w:rPr>
          <w:t>https://doi.org/10.1016/j.aquabot.2008.03.012</w:t>
        </w:r>
      </w:hyperlink>
      <w:r w:rsidR="00133989">
        <w:t xml:space="preserve"> </w:t>
      </w:r>
    </w:p>
    <w:p w14:paraId="2DB06419" w14:textId="754FA14C" w:rsidR="00A75155" w:rsidRDefault="00A75155" w:rsidP="00A75155">
      <w:pPr>
        <w:spacing w:after="120"/>
        <w:jc w:val="both"/>
      </w:pPr>
      <w:r>
        <w:t xml:space="preserve">Donato, D. C., Kauffman, J. B., </w:t>
      </w:r>
      <w:proofErr w:type="spellStart"/>
      <w:r>
        <w:t>Murdiyarso</w:t>
      </w:r>
      <w:proofErr w:type="spellEnd"/>
      <w:r>
        <w:t xml:space="preserve">, D., et al. (2011). Mangroves among the most carbon-rich forests in the tropics. Nature Geoscience, 4(5), 293–297. </w:t>
      </w:r>
      <w:hyperlink r:id="rId28" w:history="1">
        <w:r w:rsidR="00133989" w:rsidRPr="001B173A">
          <w:rPr>
            <w:rStyle w:val="Hyperlink"/>
          </w:rPr>
          <w:t>https://doi.org/10.1038/ngeo1123</w:t>
        </w:r>
      </w:hyperlink>
      <w:r w:rsidR="00133989">
        <w:t xml:space="preserve"> </w:t>
      </w:r>
    </w:p>
    <w:p w14:paraId="62FCD145" w14:textId="7E8E7FE8" w:rsidR="00A75155" w:rsidRDefault="00A75155" w:rsidP="00A75155">
      <w:pPr>
        <w:spacing w:after="120"/>
        <w:jc w:val="both"/>
      </w:pPr>
      <w:r>
        <w:t xml:space="preserve">Duke, N. C., Ball, M. C., &amp; Ellison, J. C. (1998). Factors influencing biodiversity and distributional gradients in mangroves. Global Ecology and Biogeography Letters, 7(1), 27–47. </w:t>
      </w:r>
      <w:hyperlink r:id="rId29" w:history="1">
        <w:r w:rsidR="00133989" w:rsidRPr="001B173A">
          <w:rPr>
            <w:rStyle w:val="Hyperlink"/>
          </w:rPr>
          <w:t>https://doi.org/10.2307/2997695</w:t>
        </w:r>
      </w:hyperlink>
      <w:r w:rsidR="00133989">
        <w:t xml:space="preserve"> </w:t>
      </w:r>
    </w:p>
    <w:p w14:paraId="17F53B21" w14:textId="77777777" w:rsidR="00A75155" w:rsidRDefault="00A75155" w:rsidP="00A75155">
      <w:pPr>
        <w:spacing w:after="120"/>
        <w:jc w:val="both"/>
      </w:pPr>
      <w:r>
        <w:t xml:space="preserve">Ekong, F. U., </w:t>
      </w:r>
      <w:proofErr w:type="spellStart"/>
      <w:r>
        <w:t>Ikurekong</w:t>
      </w:r>
      <w:proofErr w:type="spellEnd"/>
      <w:r>
        <w:t>, E. E. (2015). Evolution of New Coastal Urban Lifestyles in West Africa: Implications for Planning Sustainable African Cities. Developing Country Studies, 5(6), 49–58.</w:t>
      </w:r>
    </w:p>
    <w:p w14:paraId="35EA2C84" w14:textId="15A10E75" w:rsidR="00A75155" w:rsidRDefault="00A75155" w:rsidP="00A75155">
      <w:pPr>
        <w:spacing w:after="120"/>
        <w:jc w:val="both"/>
      </w:pPr>
      <w:r>
        <w:t xml:space="preserve">FAO. (2023). The world’s mangroves 2000–2020. Rome. </w:t>
      </w:r>
      <w:hyperlink r:id="rId30" w:history="1">
        <w:r w:rsidR="00133989" w:rsidRPr="001B173A">
          <w:rPr>
            <w:rStyle w:val="Hyperlink"/>
          </w:rPr>
          <w:t>https://doi.org/10.4060/cc7044en</w:t>
        </w:r>
      </w:hyperlink>
      <w:r w:rsidR="00133989">
        <w:t xml:space="preserve"> </w:t>
      </w:r>
    </w:p>
    <w:p w14:paraId="73BAA163" w14:textId="20A7F3F6" w:rsidR="00A75155" w:rsidRDefault="00A75155" w:rsidP="00A75155">
      <w:pPr>
        <w:spacing w:after="120"/>
        <w:jc w:val="both"/>
      </w:pPr>
      <w:proofErr w:type="spellStart"/>
      <w:r>
        <w:t>Feka</w:t>
      </w:r>
      <w:proofErr w:type="spellEnd"/>
      <w:r>
        <w:t xml:space="preserve">, N. Z., &amp; </w:t>
      </w:r>
      <w:proofErr w:type="spellStart"/>
      <w:r>
        <w:t>Ajonina</w:t>
      </w:r>
      <w:proofErr w:type="spellEnd"/>
      <w:r>
        <w:t xml:space="preserve">, G. N. (2011). Drivers causing decline of mangrove in West-Central Africa: a review. International Journal of Biodiversity Science, Ecosystem Services &amp; Management, 7(3), 217–230. </w:t>
      </w:r>
      <w:hyperlink r:id="rId31" w:history="1">
        <w:r w:rsidR="00133989" w:rsidRPr="001B173A">
          <w:rPr>
            <w:rStyle w:val="Hyperlink"/>
          </w:rPr>
          <w:t>https://doi.org/10.1080/21513732.2011.634436</w:t>
        </w:r>
      </w:hyperlink>
      <w:r w:rsidR="00133989">
        <w:t xml:space="preserve"> </w:t>
      </w:r>
    </w:p>
    <w:p w14:paraId="59CE4036" w14:textId="627F472B" w:rsidR="00A75155" w:rsidRDefault="00A75155" w:rsidP="00A75155">
      <w:pPr>
        <w:spacing w:after="120"/>
        <w:jc w:val="both"/>
      </w:pPr>
      <w:proofErr w:type="spellStart"/>
      <w:r>
        <w:t>Feka</w:t>
      </w:r>
      <w:proofErr w:type="spellEnd"/>
      <w:r>
        <w:t xml:space="preserve">, N. Z., &amp; </w:t>
      </w:r>
      <w:proofErr w:type="spellStart"/>
      <w:r>
        <w:t>Ajonina</w:t>
      </w:r>
      <w:proofErr w:type="spellEnd"/>
      <w:r>
        <w:t xml:space="preserve">, G. N. (2011). Drivers causing decline of mangrove in West–Central Africa: A review. International Journal of Biodiversity Science, Ecosystem Services &amp; Management, 7(3), 217–230. </w:t>
      </w:r>
      <w:hyperlink r:id="rId32" w:history="1">
        <w:r w:rsidR="00133989" w:rsidRPr="001B173A">
          <w:rPr>
            <w:rStyle w:val="Hyperlink"/>
          </w:rPr>
          <w:t>https://doi.org/10.1080/21513732.2011.634436</w:t>
        </w:r>
      </w:hyperlink>
      <w:r w:rsidR="00133989">
        <w:t xml:space="preserve"> </w:t>
      </w:r>
    </w:p>
    <w:p w14:paraId="58822B29" w14:textId="46B176AF" w:rsidR="00A75155" w:rsidRDefault="00A75155" w:rsidP="00A75155">
      <w:pPr>
        <w:spacing w:after="120"/>
        <w:jc w:val="both"/>
      </w:pPr>
      <w:r>
        <w:t xml:space="preserve">Friess, D. A., Rogers, K., Lovelock, C. E., Krauss, K. W., Hamilton, S. E., Lee, S. Y. et al. (2019). The State of the World's Mangrove Forests: Past, Present, and Future. Annual Review of Environment and Resources, 44, 89–115. </w:t>
      </w:r>
      <w:hyperlink r:id="rId33" w:history="1">
        <w:r w:rsidR="00133989" w:rsidRPr="001B173A">
          <w:rPr>
            <w:rStyle w:val="Hyperlink"/>
          </w:rPr>
          <w:t>https://doi.org/10.1146/annurev-environ-101718-033302</w:t>
        </w:r>
      </w:hyperlink>
      <w:r w:rsidR="00133989">
        <w:t xml:space="preserve"> </w:t>
      </w:r>
      <w:r>
        <w:t xml:space="preserve"> </w:t>
      </w:r>
    </w:p>
    <w:p w14:paraId="14BEB20B" w14:textId="77777777" w:rsidR="00A75155" w:rsidRDefault="00A75155" w:rsidP="00A75155">
      <w:pPr>
        <w:spacing w:after="120"/>
        <w:jc w:val="both"/>
      </w:pPr>
      <w:r>
        <w:t>Games, P. A., &amp; Howell, J. F. (1976). Pairwise multiple comparison procedures with unequal N’s and/or variances: A Monte Carlo study. Journal of Educational Statistics, 1(2), 113–125.</w:t>
      </w:r>
    </w:p>
    <w:p w14:paraId="72C103EB" w14:textId="68BCD40D" w:rsidR="00A75155" w:rsidRDefault="00A75155" w:rsidP="00A75155">
      <w:pPr>
        <w:spacing w:after="120"/>
        <w:jc w:val="both"/>
      </w:pPr>
      <w:r>
        <w:t xml:space="preserve">Gastwirth, J. L., Gel, Y. R., &amp; Miao, W. (2009). The impact of Levene’s test of equality of variances on statistical theory and practice. Statistical Science, 24(3), 343–360. </w:t>
      </w:r>
      <w:hyperlink r:id="rId34" w:history="1">
        <w:r w:rsidR="00133989" w:rsidRPr="001B173A">
          <w:rPr>
            <w:rStyle w:val="Hyperlink"/>
          </w:rPr>
          <w:t>https://doi.org/10.1214/09-STS301</w:t>
        </w:r>
      </w:hyperlink>
      <w:r w:rsidR="00133989">
        <w:t xml:space="preserve"> </w:t>
      </w:r>
    </w:p>
    <w:p w14:paraId="71C049DA" w14:textId="1982B0C7" w:rsidR="00A75155" w:rsidRDefault="00A75155" w:rsidP="00A75155">
      <w:pPr>
        <w:spacing w:after="120"/>
        <w:jc w:val="both"/>
      </w:pPr>
      <w:r>
        <w:t xml:space="preserve">Hamilton, S. E., &amp; Casey, D. (2016). Creation of a high </w:t>
      </w:r>
      <w:proofErr w:type="spellStart"/>
      <w:r>
        <w:t>spatio</w:t>
      </w:r>
      <w:proofErr w:type="spellEnd"/>
      <w:r>
        <w:t xml:space="preserve">-temporal database of continuous mangrove forest cover for the 21st century (CGMFC-21). Global Ecology and Biogeography, 25(6), 729–738. </w:t>
      </w:r>
      <w:hyperlink r:id="rId35" w:history="1">
        <w:r w:rsidR="00133989" w:rsidRPr="001B173A">
          <w:rPr>
            <w:rStyle w:val="Hyperlink"/>
          </w:rPr>
          <w:t>https://doi.org/10.1111/geb.12449</w:t>
        </w:r>
      </w:hyperlink>
      <w:r w:rsidR="00133989">
        <w:t xml:space="preserve"> </w:t>
      </w:r>
    </w:p>
    <w:p w14:paraId="78DE1738" w14:textId="77777777" w:rsidR="00A75155" w:rsidRDefault="00A75155" w:rsidP="00A75155">
      <w:pPr>
        <w:spacing w:after="120"/>
        <w:jc w:val="both"/>
      </w:pPr>
      <w:r>
        <w:t>Hope, A. C. A. (1968). A simplified Monte Carlo significance test procedure. Journal of the Royal Statistical Society. Series B (Methodological), 30(3), 582–598.</w:t>
      </w:r>
    </w:p>
    <w:p w14:paraId="7B2DB640" w14:textId="77777777" w:rsidR="00A75155" w:rsidRDefault="00A75155" w:rsidP="00A75155">
      <w:pPr>
        <w:spacing w:after="120"/>
        <w:jc w:val="both"/>
      </w:pPr>
      <w:r>
        <w:t>Hope, A. C. A. (1969). A simplified Monte Carlo significance test for contingency tables. Applied Statistics, 18(1), 13–20.</w:t>
      </w:r>
    </w:p>
    <w:p w14:paraId="23B5BFA5" w14:textId="4DAAB5F4" w:rsidR="00A75155" w:rsidRDefault="00A75155" w:rsidP="00A75155">
      <w:pPr>
        <w:spacing w:after="120"/>
        <w:jc w:val="both"/>
      </w:pPr>
      <w:r>
        <w:t xml:space="preserve">IPCC. (2006). 2006 IPCC Guidelines for National Greenhouse Gas Inventories. Volume 4: AFOLU. Institute for Global Environmental Strategies, Hayama, Japan. </w:t>
      </w:r>
      <w:hyperlink r:id="rId36" w:history="1">
        <w:r w:rsidR="00133989" w:rsidRPr="001B173A">
          <w:rPr>
            <w:rStyle w:val="Hyperlink"/>
          </w:rPr>
          <w:t>https://www.ipcc-nggip.iges.or.jp/public/2006gl/vol4.html</w:t>
        </w:r>
      </w:hyperlink>
      <w:r w:rsidR="00133989">
        <w:t xml:space="preserve"> </w:t>
      </w:r>
    </w:p>
    <w:p w14:paraId="0E85E34D" w14:textId="56C6E77C" w:rsidR="00A75155" w:rsidRDefault="00A75155" w:rsidP="00A75155">
      <w:pPr>
        <w:spacing w:after="120"/>
        <w:jc w:val="both"/>
      </w:pPr>
      <w:r>
        <w:t xml:space="preserve">Kauffman JB &amp; </w:t>
      </w:r>
      <w:proofErr w:type="spellStart"/>
      <w:r>
        <w:t>Bhomia</w:t>
      </w:r>
      <w:proofErr w:type="spellEnd"/>
      <w:r>
        <w:t xml:space="preserve"> RK (2017). Ecosystem carbon stocks of mangroves across broad environmental gradients in West-Central Africa: Global and regional comparisons. </w:t>
      </w:r>
      <w:proofErr w:type="spellStart"/>
      <w:r>
        <w:t>PLoS</w:t>
      </w:r>
      <w:proofErr w:type="spellEnd"/>
      <w:r>
        <w:t xml:space="preserve"> ONE, 12(11), e0187749. </w:t>
      </w:r>
      <w:hyperlink r:id="rId37" w:history="1">
        <w:r w:rsidR="00133989" w:rsidRPr="001B173A">
          <w:rPr>
            <w:rStyle w:val="Hyperlink"/>
          </w:rPr>
          <w:t>https://doi.org/10.1371/journal.pone.0187749</w:t>
        </w:r>
      </w:hyperlink>
      <w:r w:rsidR="00133989">
        <w:t xml:space="preserve"> </w:t>
      </w:r>
    </w:p>
    <w:p w14:paraId="416DC9F4" w14:textId="1CFF1B19" w:rsidR="00A75155" w:rsidRDefault="00A75155" w:rsidP="00A75155">
      <w:pPr>
        <w:spacing w:after="120"/>
        <w:jc w:val="both"/>
      </w:pPr>
      <w:r>
        <w:t xml:space="preserve">Kauffman, J. B., &amp; Donato, D. C. (2012). Protocols for the measurement, monitoring and reporting of structure, biomass and carbon stocks in mangrove forests. CIFOR, Bogor, Indonesia. </w:t>
      </w:r>
      <w:hyperlink r:id="rId38" w:history="1">
        <w:r w:rsidR="00133989" w:rsidRPr="001B173A">
          <w:rPr>
            <w:rStyle w:val="Hyperlink"/>
          </w:rPr>
          <w:t>https://doi.org/10.17528/cifor/003749</w:t>
        </w:r>
      </w:hyperlink>
      <w:r w:rsidR="00133989">
        <w:t xml:space="preserve"> </w:t>
      </w:r>
    </w:p>
    <w:p w14:paraId="2BE96C56" w14:textId="720B4B5A" w:rsidR="00A75155" w:rsidRDefault="00A75155" w:rsidP="00A75155">
      <w:pPr>
        <w:spacing w:after="120"/>
        <w:jc w:val="both"/>
      </w:pPr>
      <w:r>
        <w:lastRenderedPageBreak/>
        <w:t xml:space="preserve">Komiyama, A., Ong, J. E., &amp; </w:t>
      </w:r>
      <w:proofErr w:type="spellStart"/>
      <w:r>
        <w:t>Poungparn</w:t>
      </w:r>
      <w:proofErr w:type="spellEnd"/>
      <w:r>
        <w:t xml:space="preserve">, S. (2008). Allometry, biomass, and productivity of mangrove forests: A review. Aquatic Botany, 89(2), 128–137. </w:t>
      </w:r>
      <w:hyperlink r:id="rId39" w:history="1">
        <w:r w:rsidR="00133989" w:rsidRPr="001B173A">
          <w:rPr>
            <w:rStyle w:val="Hyperlink"/>
          </w:rPr>
          <w:t>https://doi.org/10.1016/j.aquabot.2007.12.006</w:t>
        </w:r>
      </w:hyperlink>
      <w:r w:rsidR="00133989">
        <w:t xml:space="preserve"> </w:t>
      </w:r>
    </w:p>
    <w:p w14:paraId="34EDD8CA" w14:textId="77777777" w:rsidR="00A75155" w:rsidRDefault="00A75155" w:rsidP="00A75155">
      <w:pPr>
        <w:spacing w:after="120"/>
        <w:jc w:val="both"/>
      </w:pPr>
      <w:r>
        <w:t xml:space="preserve">Kouadio, K. I. &amp; Singh, R. (2021). Impact of Urbanization on Forest and Lagoon Environments in Ivory Coast: Case of Abidjan. International Journal for Research in Applied Science &amp; Engineering Technology, 9(4), 1287-1296. </w:t>
      </w:r>
    </w:p>
    <w:p w14:paraId="23A2840B" w14:textId="5B71A871" w:rsidR="00A75155" w:rsidRDefault="00A75155" w:rsidP="00A75155">
      <w:pPr>
        <w:spacing w:after="120"/>
        <w:jc w:val="both"/>
      </w:pPr>
      <w:r>
        <w:t xml:space="preserve">Lagomasino, D., </w:t>
      </w:r>
      <w:proofErr w:type="spellStart"/>
      <w:r>
        <w:t>Fatoyinbo</w:t>
      </w:r>
      <w:proofErr w:type="spellEnd"/>
      <w:r>
        <w:t xml:space="preserve">, T., Lee, S., Feliciano, E., Trettin, C., Shapiro, A., et al. (2019). Measuring mangrove carbon loss and gain in deltas. Environ. Res. Lett., 14 025002. </w:t>
      </w:r>
      <w:hyperlink r:id="rId40" w:history="1">
        <w:r w:rsidR="00133989" w:rsidRPr="001B173A">
          <w:rPr>
            <w:rStyle w:val="Hyperlink"/>
          </w:rPr>
          <w:t>https://doi.org/10.1088/1748-9326/aaf0de</w:t>
        </w:r>
      </w:hyperlink>
      <w:r w:rsidR="00133989">
        <w:t xml:space="preserve"> </w:t>
      </w:r>
    </w:p>
    <w:p w14:paraId="2CB0587D" w14:textId="77777777" w:rsidR="00A75155" w:rsidRDefault="00A75155" w:rsidP="00A75155">
      <w:pPr>
        <w:spacing w:after="120"/>
        <w:jc w:val="both"/>
      </w:pPr>
      <w:r>
        <w:t xml:space="preserve">Lenth, R. V. (2021). </w:t>
      </w:r>
      <w:proofErr w:type="spellStart"/>
      <w:r>
        <w:t>emmeans</w:t>
      </w:r>
      <w:proofErr w:type="spellEnd"/>
      <w:r>
        <w:t>: Estimated Marginal Means, aka Least-Squares Means (R package version 1.x). https://CRAN.R-project.org/package=emmeans</w:t>
      </w:r>
    </w:p>
    <w:p w14:paraId="043F799F" w14:textId="03D0D3E9" w:rsidR="00A75155" w:rsidRDefault="00A75155" w:rsidP="00A75155">
      <w:pPr>
        <w:spacing w:after="120"/>
        <w:jc w:val="both"/>
      </w:pPr>
      <w:r w:rsidRPr="00A75155">
        <w:rPr>
          <w:lang w:val="fr-FR"/>
        </w:rPr>
        <w:t xml:space="preserve">Li, M., </w:t>
      </w:r>
      <w:proofErr w:type="spellStart"/>
      <w:r w:rsidRPr="00A75155">
        <w:rPr>
          <w:lang w:val="fr-FR"/>
        </w:rPr>
        <w:t>Ishfaq</w:t>
      </w:r>
      <w:proofErr w:type="spellEnd"/>
      <w:r w:rsidRPr="00A75155">
        <w:rPr>
          <w:lang w:val="fr-FR"/>
        </w:rPr>
        <w:t xml:space="preserve">, M., González </w:t>
      </w:r>
      <w:proofErr w:type="spellStart"/>
      <w:r w:rsidRPr="00A75155">
        <w:rPr>
          <w:lang w:val="fr-FR"/>
        </w:rPr>
        <w:t>Quintero</w:t>
      </w:r>
      <w:proofErr w:type="spellEnd"/>
      <w:r w:rsidRPr="00A75155">
        <w:rPr>
          <w:lang w:val="fr-FR"/>
        </w:rPr>
        <w:t xml:space="preserve">, V. A., Peng, D., Lang, T., Gao, C. et al. </w:t>
      </w:r>
      <w:r>
        <w:t xml:space="preserve">(2025). Impact of elevated environmental pollutants on carbon storage in mangrove wetlands: A comprehensive review. Ecological Indicators 2025, 178, 113830. </w:t>
      </w:r>
      <w:hyperlink r:id="rId41" w:history="1">
        <w:r w:rsidR="00133989" w:rsidRPr="001B173A">
          <w:rPr>
            <w:rStyle w:val="Hyperlink"/>
          </w:rPr>
          <w:t>https://doi.org/10.1016/j.ecolind.2025.113830</w:t>
        </w:r>
      </w:hyperlink>
      <w:r w:rsidR="00133989">
        <w:t xml:space="preserve"> </w:t>
      </w:r>
    </w:p>
    <w:p w14:paraId="122983CF" w14:textId="6713DF51" w:rsidR="00A75155" w:rsidRDefault="00A75155" w:rsidP="00A75155">
      <w:pPr>
        <w:spacing w:after="120"/>
        <w:jc w:val="both"/>
      </w:pPr>
      <w:r>
        <w:t xml:space="preserve">Lovelock, C. E., Feller, I. C., Reef, R., Hickey, S., &amp; Ball, M. C. (2017). Mangrove dieback during fluctuating sea levels. Scientific Reports, 7(1), 1680. </w:t>
      </w:r>
      <w:hyperlink r:id="rId42" w:history="1">
        <w:r w:rsidR="00133989" w:rsidRPr="001B173A">
          <w:rPr>
            <w:rStyle w:val="Hyperlink"/>
          </w:rPr>
          <w:t>https://doi.org/10.1038/s41598-017-01927-6</w:t>
        </w:r>
      </w:hyperlink>
      <w:r w:rsidR="00133989">
        <w:t xml:space="preserve"> </w:t>
      </w:r>
    </w:p>
    <w:p w14:paraId="5DB254C5" w14:textId="31201257" w:rsidR="00A75155" w:rsidRDefault="00A75155" w:rsidP="00A75155">
      <w:pPr>
        <w:spacing w:after="120"/>
        <w:jc w:val="both"/>
      </w:pPr>
      <w:r>
        <w:t xml:space="preserve">Mahi, A. M. A., Yao, M. K., </w:t>
      </w:r>
      <w:proofErr w:type="spellStart"/>
      <w:r>
        <w:t>Claon</w:t>
      </w:r>
      <w:proofErr w:type="spellEnd"/>
      <w:r>
        <w:t xml:space="preserve">, J. S., </w:t>
      </w:r>
      <w:proofErr w:type="spellStart"/>
      <w:r>
        <w:t>Trokourey</w:t>
      </w:r>
      <w:proofErr w:type="spellEnd"/>
      <w:r>
        <w:t xml:space="preserve">, A. (2022). Metal Pollution, Ecological and Health Risks Status of the Open Waters from the Lagoon Area II of </w:t>
      </w:r>
      <w:proofErr w:type="spellStart"/>
      <w:r>
        <w:t>Ébrié</w:t>
      </w:r>
      <w:proofErr w:type="spellEnd"/>
      <w:r>
        <w:t xml:space="preserve"> System (Côte d'Ivoire). Asian Journal of Chemical Sciences, 11(3), 1-15. </w:t>
      </w:r>
      <w:hyperlink r:id="rId43" w:history="1">
        <w:r w:rsidR="00133989" w:rsidRPr="001B173A">
          <w:rPr>
            <w:rStyle w:val="Hyperlink"/>
          </w:rPr>
          <w:t>https://doi.org/10.9734/ajocs/2022/v11i319121</w:t>
        </w:r>
      </w:hyperlink>
      <w:r w:rsidR="00133989">
        <w:t xml:space="preserve"> </w:t>
      </w:r>
    </w:p>
    <w:p w14:paraId="1D6AE8BA" w14:textId="79075A0E" w:rsidR="00A75155" w:rsidRDefault="00A75155" w:rsidP="00A75155">
      <w:pPr>
        <w:spacing w:after="120"/>
        <w:jc w:val="both"/>
      </w:pPr>
      <w:r>
        <w:t xml:space="preserve">Mohamed, M.O.S., </w:t>
      </w:r>
      <w:proofErr w:type="spellStart"/>
      <w:r>
        <w:t>Neukermans</w:t>
      </w:r>
      <w:proofErr w:type="spellEnd"/>
      <w:r>
        <w:t xml:space="preserve">, G., Kairo, J.G., </w:t>
      </w:r>
      <w:proofErr w:type="spellStart"/>
      <w:r>
        <w:t>Dahdouh-Guebas</w:t>
      </w:r>
      <w:proofErr w:type="spellEnd"/>
      <w:r>
        <w:t xml:space="preserve">, F., Koedam, N. (2009). Mangrove forests in a peri-urban setting: the case of Mombasa (Kenya). Wetlands </w:t>
      </w:r>
      <w:proofErr w:type="spellStart"/>
      <w:r>
        <w:t>Ecol</w:t>
      </w:r>
      <w:proofErr w:type="spellEnd"/>
      <w:r>
        <w:t xml:space="preserve"> Manage, 17, 243–255. </w:t>
      </w:r>
      <w:hyperlink r:id="rId44" w:history="1">
        <w:r w:rsidR="00133989" w:rsidRPr="001B173A">
          <w:rPr>
            <w:rStyle w:val="Hyperlink"/>
          </w:rPr>
          <w:t>https://doi.org/10.1007/s11273-008-9104-8</w:t>
        </w:r>
      </w:hyperlink>
      <w:r w:rsidR="00133989">
        <w:t xml:space="preserve"> </w:t>
      </w:r>
    </w:p>
    <w:p w14:paraId="296EF546" w14:textId="4AD9AF59" w:rsidR="00A75155" w:rsidRDefault="00A75155" w:rsidP="00A75155">
      <w:pPr>
        <w:spacing w:after="120"/>
        <w:jc w:val="both"/>
      </w:pPr>
      <w:proofErr w:type="spellStart"/>
      <w:r>
        <w:t>Murdiyarso</w:t>
      </w:r>
      <w:proofErr w:type="spellEnd"/>
      <w:r>
        <w:t xml:space="preserve">, D., </w:t>
      </w:r>
      <w:proofErr w:type="spellStart"/>
      <w:r>
        <w:t>Purbopuspito</w:t>
      </w:r>
      <w:proofErr w:type="spellEnd"/>
      <w:r>
        <w:t xml:space="preserve">, J., Kauffman, J. B., Warren, M. W., </w:t>
      </w:r>
      <w:proofErr w:type="spellStart"/>
      <w:r>
        <w:t>Sasmito</w:t>
      </w:r>
      <w:proofErr w:type="spellEnd"/>
      <w:r>
        <w:t xml:space="preserve">, S. D., Donato, D. C. et al. (2015). The potential of Indonesian mangrove forests for global climate change mitigation. Nature Climate Change, 5, 1089–1092. </w:t>
      </w:r>
      <w:hyperlink r:id="rId45" w:history="1">
        <w:r w:rsidR="00133989" w:rsidRPr="001B173A">
          <w:rPr>
            <w:rStyle w:val="Hyperlink"/>
          </w:rPr>
          <w:t>https://doi.org/10.1038/nclimate2734</w:t>
        </w:r>
      </w:hyperlink>
      <w:r w:rsidR="00133989">
        <w:t xml:space="preserve"> </w:t>
      </w:r>
    </w:p>
    <w:p w14:paraId="20C43FC5" w14:textId="77777777" w:rsidR="00A75155" w:rsidRDefault="00A75155" w:rsidP="00A75155">
      <w:pPr>
        <w:spacing w:after="120"/>
        <w:jc w:val="both"/>
      </w:pPr>
      <w:r>
        <w:t>Nelder, J. A., &amp; Wedderburn, R. W. M. (1972). Generalized linear models. Journal of the Royal Statistical Society. Series A (General), 135(3), 370–384.</w:t>
      </w:r>
    </w:p>
    <w:p w14:paraId="23CF2B08" w14:textId="1AA28858" w:rsidR="00A75155" w:rsidRDefault="00A75155" w:rsidP="00A75155">
      <w:pPr>
        <w:spacing w:after="120"/>
        <w:jc w:val="both"/>
      </w:pPr>
      <w:proofErr w:type="spellStart"/>
      <w:r>
        <w:t>Olatoye</w:t>
      </w:r>
      <w:proofErr w:type="spellEnd"/>
      <w:r>
        <w:t xml:space="preserve">, T. A., Kalumba, A. M., </w:t>
      </w:r>
      <w:proofErr w:type="spellStart"/>
      <w:r>
        <w:t>Mazinyo</w:t>
      </w:r>
      <w:proofErr w:type="spellEnd"/>
      <w:r>
        <w:t xml:space="preserve">, S. P., &amp; Odeyemi, A. S. (2023). Impact of Urban Expansion on Coastal Vegetation Conservation in Buffalo City Metropolitan Municipality, South Africa. International Journal of Social Ecology and Sustainable Development (IJSESD), 14(1), 1-21. </w:t>
      </w:r>
      <w:hyperlink r:id="rId46" w:history="1">
        <w:r w:rsidR="00133989" w:rsidRPr="001B173A">
          <w:rPr>
            <w:rStyle w:val="Hyperlink"/>
          </w:rPr>
          <w:t>https://doi.org/10.4018/IJSESD.326612</w:t>
        </w:r>
      </w:hyperlink>
      <w:r w:rsidR="00133989">
        <w:t xml:space="preserve"> </w:t>
      </w:r>
    </w:p>
    <w:p w14:paraId="5DB289CD" w14:textId="6916E0BB" w:rsidR="00A75155" w:rsidRDefault="00A75155" w:rsidP="00A75155">
      <w:pPr>
        <w:spacing w:after="120"/>
        <w:jc w:val="both"/>
      </w:pPr>
      <w:r>
        <w:t xml:space="preserve">R Core Team. (2024). R: A language and environment for statistical computing. R Foundation for Statistical Computing, Vienna, Austria. </w:t>
      </w:r>
      <w:hyperlink r:id="rId47" w:history="1">
        <w:r w:rsidR="00133989" w:rsidRPr="001B173A">
          <w:rPr>
            <w:rStyle w:val="Hyperlink"/>
          </w:rPr>
          <w:t>https://www.R-project.org/</w:t>
        </w:r>
      </w:hyperlink>
      <w:r w:rsidR="00133989">
        <w:t xml:space="preserve"> </w:t>
      </w:r>
    </w:p>
    <w:p w14:paraId="255D6AA5" w14:textId="5EE2B829" w:rsidR="00A75155" w:rsidRDefault="00A75155" w:rsidP="00A75155">
      <w:pPr>
        <w:spacing w:after="120"/>
        <w:jc w:val="both"/>
      </w:pPr>
      <w:r>
        <w:t xml:space="preserve">Rovai, A. S., Twilley, R. R., Castañeda-Moya, E., et al. (2018). Global controls on carbon storage in mangrove soils. Nature Climate Change, 8(6), 534–538. </w:t>
      </w:r>
      <w:hyperlink r:id="rId48" w:history="1">
        <w:r w:rsidR="00133989" w:rsidRPr="001B173A">
          <w:rPr>
            <w:rStyle w:val="Hyperlink"/>
          </w:rPr>
          <w:t>https://doi.org/10.1038/s41558-018-0162-5</w:t>
        </w:r>
      </w:hyperlink>
      <w:r w:rsidR="00133989">
        <w:t xml:space="preserve"> </w:t>
      </w:r>
    </w:p>
    <w:p w14:paraId="0BD1085F" w14:textId="7583E2C2" w:rsidR="00A75155" w:rsidRDefault="00A75155" w:rsidP="00A75155">
      <w:pPr>
        <w:spacing w:after="120"/>
        <w:jc w:val="both"/>
      </w:pPr>
      <w:r>
        <w:t xml:space="preserve">Scales, I. R. &amp; Friess, D. A. (2019). Patterns of mangrove forest disturbance and biomass removal due to small-scale harvesting in southwestern Madagascar. Wetlands </w:t>
      </w:r>
      <w:proofErr w:type="spellStart"/>
      <w:r>
        <w:t>Ecol</w:t>
      </w:r>
      <w:proofErr w:type="spellEnd"/>
      <w:r>
        <w:t xml:space="preserve"> Manage, 27, 609–625. </w:t>
      </w:r>
      <w:hyperlink r:id="rId49" w:history="1">
        <w:r w:rsidR="00133989" w:rsidRPr="001B173A">
          <w:rPr>
            <w:rStyle w:val="Hyperlink"/>
          </w:rPr>
          <w:t>https://doi.org/10.1007/s11273-019-09680-5</w:t>
        </w:r>
      </w:hyperlink>
      <w:r w:rsidR="00133989">
        <w:t xml:space="preserve"> </w:t>
      </w:r>
    </w:p>
    <w:p w14:paraId="6D3AE27A" w14:textId="6B423FC7" w:rsidR="00A75155" w:rsidRDefault="00A75155" w:rsidP="00A75155">
      <w:pPr>
        <w:spacing w:after="120"/>
        <w:jc w:val="both"/>
      </w:pPr>
      <w:proofErr w:type="spellStart"/>
      <w:r>
        <w:t>Toule</w:t>
      </w:r>
      <w:proofErr w:type="spellEnd"/>
      <w:r>
        <w:t xml:space="preserve">, A. C., </w:t>
      </w:r>
      <w:proofErr w:type="spellStart"/>
      <w:r>
        <w:t>Koussemon</w:t>
      </w:r>
      <w:proofErr w:type="spellEnd"/>
      <w:r>
        <w:t xml:space="preserve">, M., Adingra, A. A., N’gbesso N. K. (2018). Environmental health situation of three rural communities living in the immediate vicinity of </w:t>
      </w:r>
      <w:proofErr w:type="spellStart"/>
      <w:r>
        <w:t>Ebrié</w:t>
      </w:r>
      <w:proofErr w:type="spellEnd"/>
      <w:r>
        <w:t xml:space="preserve"> Lagoon, Côte d’Ivoire. Journal of the Cameroon Academy of Sciences, 14(1), 11-21. </w:t>
      </w:r>
      <w:hyperlink r:id="rId50" w:history="1">
        <w:r w:rsidR="00133989" w:rsidRPr="001B173A">
          <w:rPr>
            <w:rStyle w:val="Hyperlink"/>
          </w:rPr>
          <w:t>https://dx.doi.org/10.4314/jcas.v14i1.2</w:t>
        </w:r>
      </w:hyperlink>
      <w:r w:rsidR="00133989">
        <w:t xml:space="preserve"> </w:t>
      </w:r>
    </w:p>
    <w:p w14:paraId="070F447B" w14:textId="314EA3BB" w:rsidR="00A75155" w:rsidRPr="00133989" w:rsidRDefault="00A75155" w:rsidP="00A75155">
      <w:pPr>
        <w:spacing w:after="120"/>
        <w:jc w:val="both"/>
        <w:rPr>
          <w:lang w:val="fr-FR"/>
        </w:rPr>
      </w:pPr>
      <w:r>
        <w:lastRenderedPageBreak/>
        <w:t xml:space="preserve">Twilley, R. R., Chen, R. H., &amp; Hargis, T. (1992). Carbon sinks in mangroves and their implications to carbon budget of tropical coastal ecosystems. Water, Air and Soil Pollution, 64(1–2), 265–288. </w:t>
      </w:r>
      <w:hyperlink r:id="rId51" w:history="1">
        <w:r w:rsidR="00133989" w:rsidRPr="00133989">
          <w:rPr>
            <w:rStyle w:val="Hyperlink"/>
            <w:lang w:val="fr-FR"/>
          </w:rPr>
          <w:t>https://doi.org/10.1007/BF00477106</w:t>
        </w:r>
      </w:hyperlink>
      <w:r w:rsidR="00133989" w:rsidRPr="00133989">
        <w:rPr>
          <w:lang w:val="fr-FR"/>
        </w:rPr>
        <w:t xml:space="preserve"> </w:t>
      </w:r>
    </w:p>
    <w:p w14:paraId="6FC2D45C" w14:textId="1A73C2CB" w:rsidR="00A75155" w:rsidRDefault="00A75155" w:rsidP="00A75155">
      <w:pPr>
        <w:spacing w:after="120"/>
        <w:jc w:val="both"/>
      </w:pPr>
      <w:r w:rsidRPr="00133989">
        <w:rPr>
          <w:lang w:val="fr-FR"/>
        </w:rPr>
        <w:t xml:space="preserve">Ventura A. de O. B., Lana P. da C. (2014). </w:t>
      </w:r>
      <w:r>
        <w:t xml:space="preserve">A new empirical index for assessing the vulnerability of peri-urban mangroves. Journal of Environmental Management, 145, 289-298. </w:t>
      </w:r>
      <w:hyperlink r:id="rId52" w:history="1">
        <w:r w:rsidR="00133989" w:rsidRPr="001B173A">
          <w:rPr>
            <w:rStyle w:val="Hyperlink"/>
          </w:rPr>
          <w:t>https://doi.org/10.1016/j.jenvman.2014.04.036</w:t>
        </w:r>
      </w:hyperlink>
      <w:r w:rsidR="00133989">
        <w:t xml:space="preserve"> </w:t>
      </w:r>
    </w:p>
    <w:p w14:paraId="2059B7AC" w14:textId="08EC886B" w:rsidR="00A75155" w:rsidRDefault="00A75155" w:rsidP="00A75155">
      <w:pPr>
        <w:spacing w:after="120"/>
        <w:jc w:val="both"/>
      </w:pPr>
      <w:r>
        <w:t xml:space="preserve">Ver </w:t>
      </w:r>
      <w:proofErr w:type="spellStart"/>
      <w:r>
        <w:t>Hoef</w:t>
      </w:r>
      <w:proofErr w:type="spellEnd"/>
      <w:r>
        <w:t xml:space="preserve">, J. M., &amp; </w:t>
      </w:r>
      <w:proofErr w:type="spellStart"/>
      <w:r>
        <w:t>Boveng</w:t>
      </w:r>
      <w:proofErr w:type="spellEnd"/>
      <w:r>
        <w:t xml:space="preserve">, P. L. (2007). Quasi-Poisson vs. negative binomial regression: How should we model </w:t>
      </w:r>
      <w:proofErr w:type="spellStart"/>
      <w:r>
        <w:t>overdispersed</w:t>
      </w:r>
      <w:proofErr w:type="spellEnd"/>
      <w:r>
        <w:t xml:space="preserve"> count data? Ecology, 88(11), 2766–2772. </w:t>
      </w:r>
      <w:hyperlink r:id="rId53" w:history="1">
        <w:r w:rsidR="00133989" w:rsidRPr="001B173A">
          <w:rPr>
            <w:rStyle w:val="Hyperlink"/>
          </w:rPr>
          <w:t>https://doi.org/10.1890/07-0043.1</w:t>
        </w:r>
      </w:hyperlink>
      <w:r w:rsidR="00133989">
        <w:t xml:space="preserve"> </w:t>
      </w:r>
    </w:p>
    <w:p w14:paraId="2CE80AD7" w14:textId="6CD60395" w:rsidR="00A75155" w:rsidRDefault="00A75155" w:rsidP="00A75155">
      <w:pPr>
        <w:spacing w:after="120"/>
        <w:jc w:val="both"/>
      </w:pPr>
      <w:proofErr w:type="spellStart"/>
      <w:r>
        <w:t>Zanvo</w:t>
      </w:r>
      <w:proofErr w:type="spellEnd"/>
      <w:r>
        <w:t xml:space="preserve">, S. M. G., Mensah, S., Salako, K. V., </w:t>
      </w:r>
      <w:proofErr w:type="spellStart"/>
      <w:r>
        <w:t>Glèlè</w:t>
      </w:r>
      <w:proofErr w:type="spellEnd"/>
      <w:r>
        <w:t xml:space="preserve"> </w:t>
      </w:r>
      <w:proofErr w:type="spellStart"/>
      <w:r>
        <w:t>Kakaï</w:t>
      </w:r>
      <w:proofErr w:type="spellEnd"/>
      <w:r>
        <w:t xml:space="preserve">, R. (2023). Tree height-diameter, aboveground and belowground biomass allometries for two West African mangrove species. Biomass and Bioenergy, 176, 106917. </w:t>
      </w:r>
      <w:hyperlink r:id="rId54" w:history="1">
        <w:r w:rsidR="00133989" w:rsidRPr="001B173A">
          <w:rPr>
            <w:rStyle w:val="Hyperlink"/>
          </w:rPr>
          <w:t>https://doi.org/10.1016/jbiombioe.2023.106917</w:t>
        </w:r>
      </w:hyperlink>
      <w:r w:rsidR="00133989">
        <w:t xml:space="preserve"> </w:t>
      </w:r>
    </w:p>
    <w:p w14:paraId="625F143B" w14:textId="5868E861" w:rsidR="00242465" w:rsidRPr="00242465" w:rsidRDefault="00A75155" w:rsidP="00A75155">
      <w:pPr>
        <w:spacing w:after="120"/>
        <w:jc w:val="both"/>
        <w:rPr>
          <w:lang w:val="fr-FR"/>
        </w:rPr>
      </w:pPr>
      <w:r>
        <w:t>Zhang, C. G., Leung, K. K., Wong, Y. S., Tam, N. F. Y. (2007). Germination, Growth and Physiological Responses of Mangrove Plant (</w:t>
      </w:r>
      <w:proofErr w:type="spellStart"/>
      <w:r>
        <w:t>Bruguiera</w:t>
      </w:r>
      <w:proofErr w:type="spellEnd"/>
      <w:r>
        <w:t xml:space="preserve"> </w:t>
      </w:r>
      <w:proofErr w:type="spellStart"/>
      <w:r>
        <w:t>Gymnorrhiza</w:t>
      </w:r>
      <w:proofErr w:type="spellEnd"/>
      <w:r>
        <w:t xml:space="preserve">) to Lubricating Oil Pollution. Environmental and Experimental Botany, 60 (1), 127–136. </w:t>
      </w:r>
      <w:hyperlink r:id="rId55" w:history="1">
        <w:r w:rsidR="00133989" w:rsidRPr="001B173A">
          <w:rPr>
            <w:rStyle w:val="Hyperlink"/>
          </w:rPr>
          <w:t>https://doi.org/10.1016/j.envexpbot.2006.09.002</w:t>
        </w:r>
      </w:hyperlink>
      <w:r w:rsidR="00133989">
        <w:t xml:space="preserve"> </w:t>
      </w:r>
    </w:p>
    <w:p w14:paraId="749816B0" w14:textId="55CDFF5D" w:rsidR="00242465" w:rsidRDefault="00242465" w:rsidP="00242465">
      <w:pPr>
        <w:jc w:val="both"/>
        <w:rPr>
          <w:lang w:val="fr-FR"/>
        </w:rPr>
      </w:pPr>
    </w:p>
    <w:p w14:paraId="5ACA85CC" w14:textId="5B0BF137" w:rsidR="00097671" w:rsidRDefault="00097671" w:rsidP="00242465">
      <w:pPr>
        <w:jc w:val="both"/>
        <w:rPr>
          <w:lang w:val="fr-FR"/>
        </w:rPr>
      </w:pPr>
    </w:p>
    <w:p w14:paraId="7431A6EA" w14:textId="61890DE4" w:rsidR="00097671" w:rsidRDefault="00097671" w:rsidP="00242465">
      <w:pPr>
        <w:jc w:val="both"/>
        <w:rPr>
          <w:lang w:val="fr-FR"/>
        </w:rPr>
      </w:pPr>
    </w:p>
    <w:p w14:paraId="61E6C562" w14:textId="636EBE24" w:rsidR="00097671" w:rsidRDefault="00097671" w:rsidP="00242465">
      <w:pPr>
        <w:jc w:val="both"/>
        <w:rPr>
          <w:lang w:val="fr-FR"/>
        </w:rPr>
      </w:pPr>
    </w:p>
    <w:p w14:paraId="2A814D9C" w14:textId="614DBC08" w:rsidR="00097671" w:rsidRDefault="00097671" w:rsidP="00242465">
      <w:pPr>
        <w:jc w:val="both"/>
        <w:rPr>
          <w:lang w:val="fr-FR"/>
        </w:rPr>
      </w:pPr>
    </w:p>
    <w:p w14:paraId="7E335F69" w14:textId="72D0D52B" w:rsidR="00097671" w:rsidRDefault="00097671" w:rsidP="00242465">
      <w:pPr>
        <w:jc w:val="both"/>
        <w:rPr>
          <w:lang w:val="fr-FR"/>
        </w:rPr>
      </w:pPr>
    </w:p>
    <w:p w14:paraId="508ED585" w14:textId="65057785" w:rsidR="00097671" w:rsidRDefault="00097671" w:rsidP="00242465">
      <w:pPr>
        <w:jc w:val="both"/>
        <w:rPr>
          <w:lang w:val="fr-FR"/>
        </w:rPr>
      </w:pPr>
    </w:p>
    <w:p w14:paraId="1DC71D3C" w14:textId="04C154CF" w:rsidR="00097671" w:rsidRDefault="00097671" w:rsidP="00242465">
      <w:pPr>
        <w:jc w:val="both"/>
        <w:rPr>
          <w:lang w:val="fr-FR"/>
        </w:rPr>
      </w:pPr>
    </w:p>
    <w:p w14:paraId="07DF394F" w14:textId="73F36A7D" w:rsidR="00097671" w:rsidRDefault="00097671" w:rsidP="00242465">
      <w:pPr>
        <w:jc w:val="both"/>
        <w:rPr>
          <w:lang w:val="fr-FR"/>
        </w:rPr>
      </w:pPr>
    </w:p>
    <w:p w14:paraId="5C494554" w14:textId="7BC0EF2C" w:rsidR="00097671" w:rsidRDefault="00097671" w:rsidP="00242465">
      <w:pPr>
        <w:jc w:val="both"/>
        <w:rPr>
          <w:lang w:val="fr-FR"/>
        </w:rPr>
      </w:pPr>
    </w:p>
    <w:p w14:paraId="33A46F3C" w14:textId="253B7591" w:rsidR="00097671" w:rsidRDefault="00097671" w:rsidP="00242465">
      <w:pPr>
        <w:jc w:val="both"/>
        <w:rPr>
          <w:lang w:val="fr-FR"/>
        </w:rPr>
      </w:pPr>
    </w:p>
    <w:p w14:paraId="751A045A" w14:textId="1819CC13" w:rsidR="00097671" w:rsidRDefault="00097671" w:rsidP="00242465">
      <w:pPr>
        <w:jc w:val="both"/>
        <w:rPr>
          <w:lang w:val="fr-FR"/>
        </w:rPr>
      </w:pPr>
    </w:p>
    <w:p w14:paraId="30B6B57E" w14:textId="0C73EB3D" w:rsidR="00097671" w:rsidRDefault="00097671" w:rsidP="00242465">
      <w:pPr>
        <w:jc w:val="both"/>
        <w:rPr>
          <w:lang w:val="fr-FR"/>
        </w:rPr>
      </w:pPr>
    </w:p>
    <w:p w14:paraId="561445B2" w14:textId="7C4255D2" w:rsidR="00097671" w:rsidRDefault="00097671" w:rsidP="00242465">
      <w:pPr>
        <w:jc w:val="both"/>
        <w:rPr>
          <w:lang w:val="fr-FR"/>
        </w:rPr>
      </w:pPr>
    </w:p>
    <w:p w14:paraId="17E365EF" w14:textId="331153EB" w:rsidR="00097671" w:rsidRDefault="00097671" w:rsidP="00242465">
      <w:pPr>
        <w:jc w:val="both"/>
        <w:rPr>
          <w:lang w:val="fr-FR"/>
        </w:rPr>
      </w:pPr>
    </w:p>
    <w:p w14:paraId="3ACD1D03" w14:textId="07DB3FAB" w:rsidR="00097671" w:rsidRDefault="00097671" w:rsidP="00242465">
      <w:pPr>
        <w:jc w:val="both"/>
        <w:rPr>
          <w:lang w:val="fr-FR"/>
        </w:rPr>
      </w:pPr>
    </w:p>
    <w:p w14:paraId="77F02978" w14:textId="77777777" w:rsidR="00242465" w:rsidRDefault="00242465" w:rsidP="00242465">
      <w:pPr>
        <w:jc w:val="both"/>
        <w:rPr>
          <w:b/>
        </w:rPr>
      </w:pPr>
      <w:r w:rsidRPr="00242465">
        <w:rPr>
          <w:b/>
        </w:rPr>
        <w:t>APPENDIX</w:t>
      </w:r>
    </w:p>
    <w:p w14:paraId="54281D47" w14:textId="77777777" w:rsidR="00097671" w:rsidRDefault="00097671" w:rsidP="00242465">
      <w:pPr>
        <w:jc w:val="both"/>
        <w:rPr>
          <w:b/>
        </w:rPr>
      </w:pPr>
    </w:p>
    <w:p w14:paraId="059FACAD" w14:textId="0BC65825" w:rsidR="00097671" w:rsidRDefault="00097671" w:rsidP="00B614F6">
      <w:pPr>
        <w:jc w:val="center"/>
        <w:rPr>
          <w:b/>
        </w:rPr>
      </w:pPr>
      <w:r>
        <w:rPr>
          <w:noProof/>
        </w:rPr>
        <w:lastRenderedPageBreak/>
        <w:drawing>
          <wp:inline distT="0" distB="0" distL="0" distR="0" wp14:anchorId="4202983C" wp14:editId="1FD9DA0A">
            <wp:extent cx="5212080" cy="392557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212080" cy="3925570"/>
                    </a:xfrm>
                    <a:prstGeom prst="rect">
                      <a:avLst/>
                    </a:prstGeom>
                    <a:noFill/>
                    <a:ln>
                      <a:noFill/>
                    </a:ln>
                  </pic:spPr>
                </pic:pic>
              </a:graphicData>
            </a:graphic>
          </wp:inline>
        </w:drawing>
      </w:r>
    </w:p>
    <w:p w14:paraId="625688E6" w14:textId="77777777" w:rsidR="00097671" w:rsidRDefault="00097671" w:rsidP="00242465">
      <w:pPr>
        <w:jc w:val="both"/>
        <w:rPr>
          <w:b/>
        </w:rPr>
      </w:pPr>
    </w:p>
    <w:p w14:paraId="3A7E3DB9" w14:textId="195AA0FB" w:rsidR="00097671" w:rsidRPr="00097671" w:rsidRDefault="00B614F6" w:rsidP="00B614F6">
      <w:pPr>
        <w:spacing w:line="480" w:lineRule="auto"/>
        <w:jc w:val="center"/>
        <w:rPr>
          <w:b/>
        </w:rPr>
      </w:pPr>
      <w:r w:rsidRPr="00B614F6">
        <w:rPr>
          <w:b/>
        </w:rPr>
        <w:t>Appendix</w:t>
      </w:r>
      <w:r>
        <w:rPr>
          <w:b/>
        </w:rPr>
        <w:t xml:space="preserve"> </w:t>
      </w:r>
      <w:r w:rsidR="00097671" w:rsidRPr="00097671">
        <w:rPr>
          <w:b/>
        </w:rPr>
        <w:t>1. Selection of field images taken during the documentation of infrastructure and pollution in the village of Amangoua-Koi.</w:t>
      </w:r>
    </w:p>
    <w:p w14:paraId="6B1ED6EE" w14:textId="7AF87CC8" w:rsidR="00097671" w:rsidRPr="00B614F6" w:rsidRDefault="00097671" w:rsidP="00B614F6">
      <w:pPr>
        <w:spacing w:line="480" w:lineRule="auto"/>
        <w:jc w:val="both"/>
        <w:rPr>
          <w:bCs/>
        </w:rPr>
      </w:pPr>
      <w:r w:rsidRPr="00B614F6">
        <w:rPr>
          <w:bCs/>
        </w:rPr>
        <w:t xml:space="preserve">The images illustrate various anthropogenic pressures observed during fieldwork in Amangoua-Koi, including physical infrastructure and visible pollution sources, which contribute to the degradation of local </w:t>
      </w:r>
      <w:r w:rsidRPr="00342F39">
        <w:rPr>
          <w:bCs/>
          <w:i/>
          <w:iCs/>
        </w:rPr>
        <w:t>Rhizophora racemosa</w:t>
      </w:r>
      <w:r w:rsidRPr="00B614F6">
        <w:rPr>
          <w:bCs/>
        </w:rPr>
        <w:t xml:space="preserve"> stands.</w:t>
      </w:r>
    </w:p>
    <w:p w14:paraId="2CA642E2" w14:textId="77777777" w:rsidR="00097671" w:rsidRPr="00342F39" w:rsidRDefault="00097671" w:rsidP="00B614F6">
      <w:pPr>
        <w:spacing w:line="480" w:lineRule="auto"/>
        <w:jc w:val="both"/>
        <w:rPr>
          <w:bCs/>
        </w:rPr>
      </w:pPr>
    </w:p>
    <w:p w14:paraId="7DB20513" w14:textId="7DEDD644" w:rsidR="00097671" w:rsidRDefault="00097671" w:rsidP="00242465">
      <w:pPr>
        <w:jc w:val="both"/>
        <w:rPr>
          <w:bCs/>
        </w:rPr>
      </w:pPr>
    </w:p>
    <w:p w14:paraId="2841F43A" w14:textId="31A7CCCB" w:rsidR="00342F39" w:rsidRDefault="00342F39" w:rsidP="00242465">
      <w:pPr>
        <w:jc w:val="both"/>
        <w:rPr>
          <w:bCs/>
        </w:rPr>
      </w:pPr>
    </w:p>
    <w:p w14:paraId="0D684F4E" w14:textId="6EF078E2" w:rsidR="00342F39" w:rsidRDefault="00342F39" w:rsidP="00242465">
      <w:pPr>
        <w:jc w:val="both"/>
        <w:rPr>
          <w:bCs/>
        </w:rPr>
      </w:pPr>
    </w:p>
    <w:p w14:paraId="1A5A63E0" w14:textId="50708CCB" w:rsidR="00342F39" w:rsidRDefault="00342F39" w:rsidP="00242465">
      <w:pPr>
        <w:jc w:val="both"/>
        <w:rPr>
          <w:bCs/>
        </w:rPr>
      </w:pPr>
    </w:p>
    <w:p w14:paraId="08D61D65" w14:textId="12454211" w:rsidR="00342F39" w:rsidRDefault="00342F39" w:rsidP="00242465">
      <w:pPr>
        <w:jc w:val="both"/>
        <w:rPr>
          <w:bCs/>
        </w:rPr>
      </w:pPr>
    </w:p>
    <w:p w14:paraId="060444F8" w14:textId="2017D990" w:rsidR="00342F39" w:rsidRDefault="00342F39" w:rsidP="00242465">
      <w:pPr>
        <w:jc w:val="both"/>
        <w:rPr>
          <w:bCs/>
        </w:rPr>
      </w:pPr>
    </w:p>
    <w:p w14:paraId="4E023058" w14:textId="1B3A7011" w:rsidR="00342F39" w:rsidRDefault="00342F39" w:rsidP="00242465">
      <w:pPr>
        <w:jc w:val="both"/>
        <w:rPr>
          <w:bCs/>
        </w:rPr>
      </w:pPr>
    </w:p>
    <w:p w14:paraId="2BEA0E4C" w14:textId="64D987C3" w:rsidR="00342F39" w:rsidRDefault="00342F39" w:rsidP="00242465">
      <w:pPr>
        <w:jc w:val="both"/>
        <w:rPr>
          <w:bCs/>
        </w:rPr>
      </w:pPr>
    </w:p>
    <w:p w14:paraId="083A2FAA" w14:textId="5E37AE55" w:rsidR="00342F39" w:rsidRDefault="00342F39" w:rsidP="00242465">
      <w:pPr>
        <w:jc w:val="both"/>
        <w:rPr>
          <w:bCs/>
        </w:rPr>
      </w:pPr>
    </w:p>
    <w:p w14:paraId="1927D4BD" w14:textId="644FD6BD" w:rsidR="00342F39" w:rsidRDefault="00342F39" w:rsidP="00242465">
      <w:pPr>
        <w:jc w:val="both"/>
        <w:rPr>
          <w:bCs/>
        </w:rPr>
      </w:pPr>
    </w:p>
    <w:p w14:paraId="65EE0745" w14:textId="2DEDC726" w:rsidR="00342F39" w:rsidRDefault="00342F39" w:rsidP="00242465">
      <w:pPr>
        <w:jc w:val="both"/>
        <w:rPr>
          <w:bCs/>
        </w:rPr>
      </w:pPr>
    </w:p>
    <w:p w14:paraId="15FDD2C0" w14:textId="450FC910" w:rsidR="00342F39" w:rsidRDefault="00F7404A" w:rsidP="00242465">
      <w:pPr>
        <w:jc w:val="both"/>
        <w:rPr>
          <w:bCs/>
        </w:rPr>
      </w:pPr>
      <w:r>
        <w:rPr>
          <w:noProof/>
        </w:rPr>
        <w:lastRenderedPageBreak/>
        <w:pict w14:anchorId="09A14DF2">
          <v:rect id="_x0000_s1028" style="position:absolute;left:0;text-align:left;margin-left:101.45pt;margin-top:181.45pt;width:9.15pt;height:7.15pt;z-index:251659264"/>
        </w:pict>
      </w:r>
      <w:r>
        <w:rPr>
          <w:noProof/>
        </w:rPr>
        <w:pict w14:anchorId="05ED5EF9">
          <v:rect id="_x0000_s1027" style="position:absolute;left:0;text-align:left;margin-left:222.15pt;margin-top:67.85pt;width:15pt;height:7.15pt;z-index:251658240"/>
        </w:pict>
      </w:r>
      <w:r w:rsidR="00342F39">
        <w:rPr>
          <w:noProof/>
        </w:rPr>
        <w:drawing>
          <wp:inline distT="0" distB="0" distL="0" distR="0" wp14:anchorId="7F2778CF" wp14:editId="5446F463">
            <wp:extent cx="5212080" cy="392684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12080" cy="3926840"/>
                    </a:xfrm>
                    <a:prstGeom prst="rect">
                      <a:avLst/>
                    </a:prstGeom>
                    <a:noFill/>
                    <a:ln>
                      <a:noFill/>
                    </a:ln>
                  </pic:spPr>
                </pic:pic>
              </a:graphicData>
            </a:graphic>
          </wp:inline>
        </w:drawing>
      </w:r>
    </w:p>
    <w:p w14:paraId="2DE0A7FE" w14:textId="4833A8D3" w:rsidR="00342F39" w:rsidRDefault="00342F39" w:rsidP="00242465">
      <w:pPr>
        <w:jc w:val="both"/>
        <w:rPr>
          <w:bCs/>
        </w:rPr>
      </w:pPr>
    </w:p>
    <w:p w14:paraId="0F464856" w14:textId="0D8B74E5" w:rsidR="00342F39" w:rsidRPr="00342F39" w:rsidRDefault="00342F39" w:rsidP="00342F39">
      <w:pPr>
        <w:spacing w:line="480" w:lineRule="auto"/>
        <w:jc w:val="center"/>
        <w:rPr>
          <w:b/>
        </w:rPr>
      </w:pPr>
      <w:r w:rsidRPr="00342F39">
        <w:rPr>
          <w:b/>
        </w:rPr>
        <w:t xml:space="preserve">Appendix 2. Selection of field images recorded during the structural inventory of </w:t>
      </w:r>
      <w:r w:rsidRPr="00342F39">
        <w:rPr>
          <w:b/>
          <w:i/>
          <w:iCs/>
        </w:rPr>
        <w:t>Rhizophora racemosa</w:t>
      </w:r>
      <w:r w:rsidRPr="00342F39">
        <w:rPr>
          <w:b/>
        </w:rPr>
        <w:t xml:space="preserve"> stands.</w:t>
      </w:r>
    </w:p>
    <w:p w14:paraId="0FCAB076" w14:textId="454A8FE4" w:rsidR="00342F39" w:rsidRPr="00342F39" w:rsidRDefault="00342F39" w:rsidP="00342F39">
      <w:pPr>
        <w:spacing w:line="480" w:lineRule="auto"/>
        <w:jc w:val="both"/>
        <w:rPr>
          <w:bCs/>
        </w:rPr>
      </w:pPr>
      <w:r w:rsidRPr="00342F39">
        <w:rPr>
          <w:bCs/>
        </w:rPr>
        <w:t xml:space="preserve">These images illustrate the fieldwork conducted to assess stand structure, including measurements of tree height, diameter at breast height (DBH), stem density, and basal area across different sectors of </w:t>
      </w:r>
      <w:proofErr w:type="spellStart"/>
      <w:r w:rsidRPr="00342F39">
        <w:rPr>
          <w:bCs/>
        </w:rPr>
        <w:t>Abouabou</w:t>
      </w:r>
      <w:proofErr w:type="spellEnd"/>
      <w:r w:rsidRPr="00342F39">
        <w:rPr>
          <w:bCs/>
        </w:rPr>
        <w:t xml:space="preserve"> Bay.</w:t>
      </w:r>
    </w:p>
    <w:p w14:paraId="6F95D23D" w14:textId="7787B016" w:rsidR="00097671" w:rsidRPr="00342F39" w:rsidRDefault="00097671" w:rsidP="00242465">
      <w:pPr>
        <w:jc w:val="both"/>
        <w:rPr>
          <w:bCs/>
        </w:rPr>
      </w:pPr>
    </w:p>
    <w:p w14:paraId="2B7B2199" w14:textId="30A7DD50" w:rsidR="00342F39" w:rsidRPr="00342F39" w:rsidRDefault="00342F39" w:rsidP="00242465">
      <w:pPr>
        <w:jc w:val="both"/>
        <w:rPr>
          <w:bCs/>
        </w:rPr>
      </w:pPr>
    </w:p>
    <w:p w14:paraId="32E20FB8" w14:textId="5E826C20" w:rsidR="00342F39" w:rsidRPr="00342F39" w:rsidRDefault="00342F39" w:rsidP="00242465">
      <w:pPr>
        <w:jc w:val="both"/>
        <w:rPr>
          <w:bCs/>
        </w:rPr>
      </w:pPr>
    </w:p>
    <w:p w14:paraId="4C7AF219" w14:textId="77777777" w:rsidR="00342F39" w:rsidRPr="00342F39" w:rsidRDefault="00342F39" w:rsidP="00242465">
      <w:pPr>
        <w:jc w:val="both"/>
        <w:rPr>
          <w:bCs/>
        </w:rPr>
      </w:pPr>
    </w:p>
    <w:p w14:paraId="401BA1E0" w14:textId="77777777" w:rsidR="00097671" w:rsidRPr="00342F39" w:rsidRDefault="00097671" w:rsidP="00242465">
      <w:pPr>
        <w:jc w:val="both"/>
        <w:rPr>
          <w:bCs/>
        </w:rPr>
      </w:pPr>
    </w:p>
    <w:p w14:paraId="3161DBC3" w14:textId="77777777" w:rsidR="00097671" w:rsidRPr="00342F39" w:rsidRDefault="00097671" w:rsidP="00242465">
      <w:pPr>
        <w:jc w:val="both"/>
        <w:rPr>
          <w:bCs/>
        </w:rPr>
      </w:pPr>
    </w:p>
    <w:p w14:paraId="1C2456DF" w14:textId="5FBEAF8F" w:rsidR="00097671" w:rsidRPr="00242465" w:rsidRDefault="00097671" w:rsidP="00242465">
      <w:pPr>
        <w:jc w:val="both"/>
        <w:sectPr w:rsidR="00097671" w:rsidRPr="00242465" w:rsidSect="009A701D">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p>
    <w:p w14:paraId="39256B9D" w14:textId="77777777" w:rsidR="00242465" w:rsidRPr="00242465" w:rsidRDefault="00242465" w:rsidP="00242465">
      <w:pPr>
        <w:jc w:val="both"/>
      </w:pPr>
    </w:p>
    <w:p w14:paraId="0C3A2139" w14:textId="77777777" w:rsidR="00242465" w:rsidRDefault="00242465" w:rsidP="00242465">
      <w:pPr>
        <w:jc w:val="both"/>
      </w:pPr>
    </w:p>
    <w:p w14:paraId="332AC66C" w14:textId="77777777" w:rsidR="00242465" w:rsidRPr="00315186" w:rsidRDefault="00242465" w:rsidP="00242465">
      <w:pPr>
        <w:jc w:val="both"/>
      </w:pPr>
    </w:p>
    <w:sectPr w:rsidR="00242465" w:rsidRPr="00315186" w:rsidSect="009A701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C8ABC" w14:textId="77777777" w:rsidR="00F7404A" w:rsidRDefault="00F7404A" w:rsidP="00C37E61">
      <w:r>
        <w:separator/>
      </w:r>
    </w:p>
  </w:endnote>
  <w:endnote w:type="continuationSeparator" w:id="0">
    <w:p w14:paraId="0F322FAB" w14:textId="77777777" w:rsidR="00F7404A" w:rsidRDefault="00F740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453B" w14:textId="77777777" w:rsidR="005D6C5C" w:rsidRDefault="005D6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E710" w14:textId="4C9C5AD3" w:rsidR="00C37E61" w:rsidRPr="003515A9" w:rsidRDefault="0052205D" w:rsidP="003515A9">
    <w:pPr>
      <w:pStyle w:val="Footer"/>
    </w:pPr>
    <w:r w:rsidRPr="003515A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0AAA" w14:textId="2C7B197A" w:rsidR="00754C9A" w:rsidRPr="005D6C5C" w:rsidRDefault="00754C9A" w:rsidP="005D6C5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42FB" w14:textId="0FC48C35" w:rsidR="00242465" w:rsidRPr="00C37E61" w:rsidRDefault="0024246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DF04" w14:textId="77777777" w:rsidR="00F7404A" w:rsidRDefault="00F7404A" w:rsidP="00C37E61">
      <w:r>
        <w:separator/>
      </w:r>
    </w:p>
  </w:footnote>
  <w:footnote w:type="continuationSeparator" w:id="0">
    <w:p w14:paraId="4ABCFC70" w14:textId="77777777" w:rsidR="00F7404A" w:rsidRDefault="00F740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103A" w14:textId="611C998D" w:rsidR="005D6C5C" w:rsidRDefault="005D6C5C">
    <w:pPr>
      <w:pStyle w:val="Header"/>
    </w:pPr>
    <w:r>
      <w:rPr>
        <w:noProof/>
      </w:rPr>
      <w:pict w14:anchorId="4687C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3012" w14:textId="63486CE0" w:rsidR="005D6C5C" w:rsidRDefault="005D6C5C">
    <w:pPr>
      <w:pStyle w:val="Header"/>
    </w:pPr>
    <w:r>
      <w:rPr>
        <w:noProof/>
      </w:rPr>
      <w:pict w14:anchorId="32DC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788C" w14:textId="1E1D8A39" w:rsidR="00296529" w:rsidRPr="00296529" w:rsidRDefault="005D6C5C" w:rsidP="00296529">
    <w:pPr>
      <w:ind w:left="2160"/>
      <w:jc w:val="center"/>
      <w:rPr>
        <w:rFonts w:ascii="Times New Roman" w:eastAsia="Calibri" w:hAnsi="Times New Roman"/>
        <w:i/>
        <w:sz w:val="18"/>
        <w:szCs w:val="22"/>
      </w:rPr>
    </w:pPr>
    <w:r>
      <w:rPr>
        <w:noProof/>
      </w:rPr>
      <w:pict w14:anchorId="3B9A0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8C5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3BD7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C0A9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35769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1450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634A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A110" w14:textId="6EDD21EC" w:rsidR="005D6C5C" w:rsidRDefault="005D6C5C">
    <w:pPr>
      <w:pStyle w:val="Header"/>
    </w:pPr>
    <w:r>
      <w:rPr>
        <w:noProof/>
      </w:rPr>
      <w:pict w14:anchorId="294F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ACBB" w14:textId="143DEA9C" w:rsidR="005D6C5C" w:rsidRDefault="005D6C5C">
    <w:pPr>
      <w:pStyle w:val="Header"/>
    </w:pPr>
    <w:r>
      <w:rPr>
        <w:noProof/>
      </w:rPr>
      <w:pict w14:anchorId="2268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DCF6" w14:textId="03CF75E0" w:rsidR="005D6C5C" w:rsidRDefault="005D6C5C">
    <w:pPr>
      <w:pStyle w:val="Header"/>
    </w:pPr>
    <w:r>
      <w:rPr>
        <w:noProof/>
      </w:rPr>
      <w:pict w14:anchorId="100DF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08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B3697"/>
    <w:multiLevelType w:val="hybridMultilevel"/>
    <w:tmpl w:val="1C3439BC"/>
    <w:lvl w:ilvl="0" w:tplc="FD38EF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C93890"/>
    <w:multiLevelType w:val="multilevel"/>
    <w:tmpl w:val="509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5"/>
  </w:num>
  <w:num w:numId="26">
    <w:abstractNumId w:val="17"/>
  </w:num>
  <w:num w:numId="27">
    <w:abstractNumId w:val="21"/>
  </w:num>
  <w:num w:numId="28">
    <w:abstractNumId w:val="29"/>
  </w:num>
  <w:num w:numId="29">
    <w:abstractNumId w:val="26"/>
  </w:num>
  <w:num w:numId="30">
    <w:abstractNumId w:val="11"/>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584"/>
    <w:rsid w:val="00000F8F"/>
    <w:rsid w:val="00003397"/>
    <w:rsid w:val="00012A0F"/>
    <w:rsid w:val="000218B6"/>
    <w:rsid w:val="00027ACB"/>
    <w:rsid w:val="00030174"/>
    <w:rsid w:val="00043641"/>
    <w:rsid w:val="0004579C"/>
    <w:rsid w:val="00097671"/>
    <w:rsid w:val="000A2119"/>
    <w:rsid w:val="000A47FA"/>
    <w:rsid w:val="000A65D3"/>
    <w:rsid w:val="000B1E33"/>
    <w:rsid w:val="000B46BB"/>
    <w:rsid w:val="000C1643"/>
    <w:rsid w:val="000D2128"/>
    <w:rsid w:val="000D689F"/>
    <w:rsid w:val="000E3A26"/>
    <w:rsid w:val="000E7B7B"/>
    <w:rsid w:val="000E7D62"/>
    <w:rsid w:val="000F30B5"/>
    <w:rsid w:val="00103357"/>
    <w:rsid w:val="0010382C"/>
    <w:rsid w:val="00120A64"/>
    <w:rsid w:val="001224BA"/>
    <w:rsid w:val="00123C9F"/>
    <w:rsid w:val="00126190"/>
    <w:rsid w:val="00130F17"/>
    <w:rsid w:val="001320BF"/>
    <w:rsid w:val="001336B3"/>
    <w:rsid w:val="00133989"/>
    <w:rsid w:val="00163BC4"/>
    <w:rsid w:val="0017736C"/>
    <w:rsid w:val="0018633A"/>
    <w:rsid w:val="00191062"/>
    <w:rsid w:val="00192B72"/>
    <w:rsid w:val="001A29D8"/>
    <w:rsid w:val="001A5CAA"/>
    <w:rsid w:val="001B0427"/>
    <w:rsid w:val="001C24ED"/>
    <w:rsid w:val="001D05A7"/>
    <w:rsid w:val="001D3A51"/>
    <w:rsid w:val="001E10D2"/>
    <w:rsid w:val="001E25B4"/>
    <w:rsid w:val="001E44FE"/>
    <w:rsid w:val="00200595"/>
    <w:rsid w:val="00204835"/>
    <w:rsid w:val="00224CDE"/>
    <w:rsid w:val="00231920"/>
    <w:rsid w:val="0023195C"/>
    <w:rsid w:val="00242465"/>
    <w:rsid w:val="0024282C"/>
    <w:rsid w:val="00243F2D"/>
    <w:rsid w:val="002460DC"/>
    <w:rsid w:val="002466B7"/>
    <w:rsid w:val="00250985"/>
    <w:rsid w:val="002556F6"/>
    <w:rsid w:val="00276561"/>
    <w:rsid w:val="00283105"/>
    <w:rsid w:val="00284C4C"/>
    <w:rsid w:val="00285CF4"/>
    <w:rsid w:val="00287E68"/>
    <w:rsid w:val="00296529"/>
    <w:rsid w:val="002A7ED0"/>
    <w:rsid w:val="002B27FB"/>
    <w:rsid w:val="002B685A"/>
    <w:rsid w:val="002C1D87"/>
    <w:rsid w:val="002C280A"/>
    <w:rsid w:val="002C57D2"/>
    <w:rsid w:val="002D15A2"/>
    <w:rsid w:val="002E0D56"/>
    <w:rsid w:val="002E48EA"/>
    <w:rsid w:val="002E5EB5"/>
    <w:rsid w:val="002F41AA"/>
    <w:rsid w:val="002F5190"/>
    <w:rsid w:val="00305286"/>
    <w:rsid w:val="00315186"/>
    <w:rsid w:val="00330F5D"/>
    <w:rsid w:val="0033343E"/>
    <w:rsid w:val="00342F39"/>
    <w:rsid w:val="003512C2"/>
    <w:rsid w:val="003515A9"/>
    <w:rsid w:val="00356501"/>
    <w:rsid w:val="00357E63"/>
    <w:rsid w:val="003670F3"/>
    <w:rsid w:val="00371FB6"/>
    <w:rsid w:val="003763C1"/>
    <w:rsid w:val="00376BBE"/>
    <w:rsid w:val="003863C7"/>
    <w:rsid w:val="0039224F"/>
    <w:rsid w:val="003929FB"/>
    <w:rsid w:val="003A43A4"/>
    <w:rsid w:val="003A7E18"/>
    <w:rsid w:val="003C1E48"/>
    <w:rsid w:val="003C4C86"/>
    <w:rsid w:val="003C5DAF"/>
    <w:rsid w:val="003C6258"/>
    <w:rsid w:val="003C6F69"/>
    <w:rsid w:val="003D41E4"/>
    <w:rsid w:val="003E2904"/>
    <w:rsid w:val="003E77C1"/>
    <w:rsid w:val="003F606C"/>
    <w:rsid w:val="00401927"/>
    <w:rsid w:val="0041027F"/>
    <w:rsid w:val="00412475"/>
    <w:rsid w:val="00423789"/>
    <w:rsid w:val="00440F43"/>
    <w:rsid w:val="00441B6F"/>
    <w:rsid w:val="00446221"/>
    <w:rsid w:val="00447186"/>
    <w:rsid w:val="00450E62"/>
    <w:rsid w:val="004539DB"/>
    <w:rsid w:val="0046754A"/>
    <w:rsid w:val="00471A80"/>
    <w:rsid w:val="00482FE0"/>
    <w:rsid w:val="004B7DC9"/>
    <w:rsid w:val="004C22C2"/>
    <w:rsid w:val="004D305E"/>
    <w:rsid w:val="004D4277"/>
    <w:rsid w:val="004F7A20"/>
    <w:rsid w:val="00502516"/>
    <w:rsid w:val="00505F06"/>
    <w:rsid w:val="00506828"/>
    <w:rsid w:val="0052205D"/>
    <w:rsid w:val="0053056E"/>
    <w:rsid w:val="00530B8F"/>
    <w:rsid w:val="005329B8"/>
    <w:rsid w:val="005500AC"/>
    <w:rsid w:val="00554FDA"/>
    <w:rsid w:val="005704DC"/>
    <w:rsid w:val="005864E5"/>
    <w:rsid w:val="005A4011"/>
    <w:rsid w:val="005C784C"/>
    <w:rsid w:val="005D17F6"/>
    <w:rsid w:val="005D3AC7"/>
    <w:rsid w:val="005D6C5C"/>
    <w:rsid w:val="005D7677"/>
    <w:rsid w:val="005E5539"/>
    <w:rsid w:val="005F3723"/>
    <w:rsid w:val="006004C2"/>
    <w:rsid w:val="00602BF5"/>
    <w:rsid w:val="00610FDB"/>
    <w:rsid w:val="00617FDD"/>
    <w:rsid w:val="006239D9"/>
    <w:rsid w:val="00633614"/>
    <w:rsid w:val="00633F68"/>
    <w:rsid w:val="00636EB2"/>
    <w:rsid w:val="006375B8"/>
    <w:rsid w:val="0066510A"/>
    <w:rsid w:val="00673F9F"/>
    <w:rsid w:val="00686953"/>
    <w:rsid w:val="00687DEA"/>
    <w:rsid w:val="00687E67"/>
    <w:rsid w:val="006967F7"/>
    <w:rsid w:val="006A250C"/>
    <w:rsid w:val="006B21D3"/>
    <w:rsid w:val="006B57D0"/>
    <w:rsid w:val="006C192D"/>
    <w:rsid w:val="006D183A"/>
    <w:rsid w:val="006D30FF"/>
    <w:rsid w:val="006D6940"/>
    <w:rsid w:val="006E7951"/>
    <w:rsid w:val="006F11EC"/>
    <w:rsid w:val="0070082C"/>
    <w:rsid w:val="007045EE"/>
    <w:rsid w:val="007244F6"/>
    <w:rsid w:val="007369E6"/>
    <w:rsid w:val="00746E59"/>
    <w:rsid w:val="00752627"/>
    <w:rsid w:val="00754C9A"/>
    <w:rsid w:val="0075599A"/>
    <w:rsid w:val="00761D52"/>
    <w:rsid w:val="007716AC"/>
    <w:rsid w:val="00775668"/>
    <w:rsid w:val="0077749E"/>
    <w:rsid w:val="00790ADA"/>
    <w:rsid w:val="007B1AA9"/>
    <w:rsid w:val="007D2288"/>
    <w:rsid w:val="007E088F"/>
    <w:rsid w:val="007E223C"/>
    <w:rsid w:val="007E6E0A"/>
    <w:rsid w:val="007F7B32"/>
    <w:rsid w:val="00804BC2"/>
    <w:rsid w:val="0081115D"/>
    <w:rsid w:val="0081431A"/>
    <w:rsid w:val="00817503"/>
    <w:rsid w:val="0083216F"/>
    <w:rsid w:val="00851F65"/>
    <w:rsid w:val="00855BFE"/>
    <w:rsid w:val="00860000"/>
    <w:rsid w:val="00860FF4"/>
    <w:rsid w:val="00863BD3"/>
    <w:rsid w:val="008641ED"/>
    <w:rsid w:val="00866D66"/>
    <w:rsid w:val="008671C6"/>
    <w:rsid w:val="00875803"/>
    <w:rsid w:val="00885014"/>
    <w:rsid w:val="00886FA6"/>
    <w:rsid w:val="00896161"/>
    <w:rsid w:val="008B459E"/>
    <w:rsid w:val="008B7CAD"/>
    <w:rsid w:val="008E13AE"/>
    <w:rsid w:val="008E1506"/>
    <w:rsid w:val="008E3391"/>
    <w:rsid w:val="008E710C"/>
    <w:rsid w:val="008F69D6"/>
    <w:rsid w:val="00901645"/>
    <w:rsid w:val="00902823"/>
    <w:rsid w:val="00915CA6"/>
    <w:rsid w:val="00927834"/>
    <w:rsid w:val="00944545"/>
    <w:rsid w:val="009500A6"/>
    <w:rsid w:val="00957C18"/>
    <w:rsid w:val="00961289"/>
    <w:rsid w:val="009659BA"/>
    <w:rsid w:val="00983040"/>
    <w:rsid w:val="009851D2"/>
    <w:rsid w:val="00992E8C"/>
    <w:rsid w:val="009A701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8F8"/>
    <w:rsid w:val="00A5062C"/>
    <w:rsid w:val="00A51431"/>
    <w:rsid w:val="00A539AD"/>
    <w:rsid w:val="00A75155"/>
    <w:rsid w:val="00A92ED4"/>
    <w:rsid w:val="00A9397F"/>
    <w:rsid w:val="00A94063"/>
    <w:rsid w:val="00A95DF4"/>
    <w:rsid w:val="00A97A7B"/>
    <w:rsid w:val="00AA6219"/>
    <w:rsid w:val="00AA6AE3"/>
    <w:rsid w:val="00AA74E0"/>
    <w:rsid w:val="00AB0E2C"/>
    <w:rsid w:val="00AB703F"/>
    <w:rsid w:val="00AC6BB8"/>
    <w:rsid w:val="00AD563F"/>
    <w:rsid w:val="00AE008F"/>
    <w:rsid w:val="00AE18AA"/>
    <w:rsid w:val="00AE2F59"/>
    <w:rsid w:val="00AF0862"/>
    <w:rsid w:val="00AF3601"/>
    <w:rsid w:val="00B01FCD"/>
    <w:rsid w:val="00B10008"/>
    <w:rsid w:val="00B1776C"/>
    <w:rsid w:val="00B52583"/>
    <w:rsid w:val="00B52896"/>
    <w:rsid w:val="00B614F6"/>
    <w:rsid w:val="00B825D5"/>
    <w:rsid w:val="00B83DCA"/>
    <w:rsid w:val="00B95236"/>
    <w:rsid w:val="00B96BD9"/>
    <w:rsid w:val="00BA1B01"/>
    <w:rsid w:val="00BA2641"/>
    <w:rsid w:val="00BB37AA"/>
    <w:rsid w:val="00BC4430"/>
    <w:rsid w:val="00BC53A0"/>
    <w:rsid w:val="00BC57E7"/>
    <w:rsid w:val="00BE62AD"/>
    <w:rsid w:val="00BF121F"/>
    <w:rsid w:val="00BF1F80"/>
    <w:rsid w:val="00C166EF"/>
    <w:rsid w:val="00C17EB0"/>
    <w:rsid w:val="00C27F5F"/>
    <w:rsid w:val="00C30A0F"/>
    <w:rsid w:val="00C36F75"/>
    <w:rsid w:val="00C37E61"/>
    <w:rsid w:val="00C62FD0"/>
    <w:rsid w:val="00C70F1B"/>
    <w:rsid w:val="00C717AB"/>
    <w:rsid w:val="00C71A47"/>
    <w:rsid w:val="00C73915"/>
    <w:rsid w:val="00C7464C"/>
    <w:rsid w:val="00C85588"/>
    <w:rsid w:val="00C87E75"/>
    <w:rsid w:val="00CB719E"/>
    <w:rsid w:val="00CD6755"/>
    <w:rsid w:val="00CD6856"/>
    <w:rsid w:val="00CE0089"/>
    <w:rsid w:val="00CE793C"/>
    <w:rsid w:val="00CF193C"/>
    <w:rsid w:val="00D004FB"/>
    <w:rsid w:val="00D038B1"/>
    <w:rsid w:val="00D070C4"/>
    <w:rsid w:val="00D173F1"/>
    <w:rsid w:val="00D316C8"/>
    <w:rsid w:val="00D60DA7"/>
    <w:rsid w:val="00D72F27"/>
    <w:rsid w:val="00D7322C"/>
    <w:rsid w:val="00D74CB0"/>
    <w:rsid w:val="00D76A97"/>
    <w:rsid w:val="00D8295D"/>
    <w:rsid w:val="00D84D9C"/>
    <w:rsid w:val="00DB1BC7"/>
    <w:rsid w:val="00DB533F"/>
    <w:rsid w:val="00DC0831"/>
    <w:rsid w:val="00DC2A65"/>
    <w:rsid w:val="00DE15F0"/>
    <w:rsid w:val="00DE5663"/>
    <w:rsid w:val="00DE78AA"/>
    <w:rsid w:val="00DF3E16"/>
    <w:rsid w:val="00E053D0"/>
    <w:rsid w:val="00E130EA"/>
    <w:rsid w:val="00E15994"/>
    <w:rsid w:val="00E2574C"/>
    <w:rsid w:val="00E3114E"/>
    <w:rsid w:val="00E31A70"/>
    <w:rsid w:val="00E31A71"/>
    <w:rsid w:val="00E34C8E"/>
    <w:rsid w:val="00E35B02"/>
    <w:rsid w:val="00E41DF4"/>
    <w:rsid w:val="00E47C3C"/>
    <w:rsid w:val="00E62706"/>
    <w:rsid w:val="00E6302A"/>
    <w:rsid w:val="00E66496"/>
    <w:rsid w:val="00E66B35"/>
    <w:rsid w:val="00E66E10"/>
    <w:rsid w:val="00E769F6"/>
    <w:rsid w:val="00E8407C"/>
    <w:rsid w:val="00E84F3C"/>
    <w:rsid w:val="00E9381F"/>
    <w:rsid w:val="00EA012C"/>
    <w:rsid w:val="00EA1B61"/>
    <w:rsid w:val="00EC2B33"/>
    <w:rsid w:val="00EC35A5"/>
    <w:rsid w:val="00EC4AC2"/>
    <w:rsid w:val="00EC6A55"/>
    <w:rsid w:val="00ED0288"/>
    <w:rsid w:val="00EE52CB"/>
    <w:rsid w:val="00EF581D"/>
    <w:rsid w:val="00EF7FD8"/>
    <w:rsid w:val="00F06F59"/>
    <w:rsid w:val="00F071FA"/>
    <w:rsid w:val="00F17988"/>
    <w:rsid w:val="00F363BA"/>
    <w:rsid w:val="00F469F0"/>
    <w:rsid w:val="00F5075F"/>
    <w:rsid w:val="00F53273"/>
    <w:rsid w:val="00F64B37"/>
    <w:rsid w:val="00F7404A"/>
    <w:rsid w:val="00F755E4"/>
    <w:rsid w:val="00F77D02"/>
    <w:rsid w:val="00FB3A86"/>
    <w:rsid w:val="00FB6586"/>
    <w:rsid w:val="00FD35BC"/>
    <w:rsid w:val="00FD36C8"/>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2B591A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2">
    <w:name w:val="Grille du tableau2"/>
    <w:basedOn w:val="TableNormal"/>
    <w:next w:val="TableGrid"/>
    <w:uiPriority w:val="39"/>
    <w:rsid w:val="00A9397F"/>
    <w:rPr>
      <w:rFonts w:eastAsiaTheme="minorHAnsi"/>
      <w:sz w:val="24"/>
      <w:szCs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1AA"/>
    <w:pPr>
      <w:spacing w:before="100" w:beforeAutospacing="1" w:after="100" w:afterAutospacing="1"/>
    </w:pPr>
    <w:rPr>
      <w:rFonts w:ascii="Times New Roman" w:hAnsi="Times New Roman"/>
      <w:sz w:val="24"/>
      <w:szCs w:val="24"/>
      <w:lang w:val="fr-FR" w:eastAsia="fr-FR"/>
    </w:rPr>
  </w:style>
  <w:style w:type="character" w:styleId="PlaceholderText">
    <w:name w:val="Placeholder Text"/>
    <w:basedOn w:val="DefaultParagraphFont"/>
    <w:uiPriority w:val="99"/>
    <w:semiHidden/>
    <w:rsid w:val="00224CDE"/>
    <w:rPr>
      <w:color w:val="808080"/>
    </w:rPr>
  </w:style>
  <w:style w:type="character" w:styleId="Strong">
    <w:name w:val="Strong"/>
    <w:basedOn w:val="DefaultParagraphFont"/>
    <w:uiPriority w:val="22"/>
    <w:qFormat/>
    <w:rsid w:val="000B46BB"/>
    <w:rPr>
      <w:b/>
      <w:bCs/>
    </w:rPr>
  </w:style>
  <w:style w:type="character" w:customStyle="1" w:styleId="FooterChar">
    <w:name w:val="Footer Char"/>
    <w:basedOn w:val="DefaultParagraphFont"/>
    <w:link w:val="Footer"/>
    <w:uiPriority w:val="99"/>
    <w:rsid w:val="00F071F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00586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6636730">
      <w:bodyDiv w:val="1"/>
      <w:marLeft w:val="0"/>
      <w:marRight w:val="0"/>
      <w:marTop w:val="0"/>
      <w:marBottom w:val="0"/>
      <w:divBdr>
        <w:top w:val="none" w:sz="0" w:space="0" w:color="auto"/>
        <w:left w:val="none" w:sz="0" w:space="0" w:color="auto"/>
        <w:bottom w:val="none" w:sz="0" w:space="0" w:color="auto"/>
        <w:right w:val="none" w:sz="0" w:space="0" w:color="auto"/>
      </w:divBdr>
    </w:div>
    <w:div w:id="3987958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footer3.xml" Type="http://schemas.openxmlformats.org/officeDocument/2006/relationships/footer"/><Relationship Id="rId18" Target="media/image5.png" Type="http://schemas.openxmlformats.org/officeDocument/2006/relationships/image"/><Relationship Id="rId26" Target="https://doi.org/10.3390/rs10101669" TargetMode="External" Type="http://schemas.openxmlformats.org/officeDocument/2006/relationships/hyperlink"/><Relationship Id="rId39" Target="https://doi.org/10.1016/j.aquabot.2007.12.006" TargetMode="External" Type="http://schemas.openxmlformats.org/officeDocument/2006/relationships/hyperlink"/><Relationship Id="rId21" Target="https://doi.org/10.1371/journal.pone.0056569" TargetMode="External" Type="http://schemas.openxmlformats.org/officeDocument/2006/relationships/hyperlink"/><Relationship Id="rId34" Target="https://doi.org/10.1214/09-STS301" TargetMode="External" Type="http://schemas.openxmlformats.org/officeDocument/2006/relationships/hyperlink"/><Relationship Id="rId42" Target="https://doi.org/10.1038/s41598-017-01927-6" TargetMode="External" Type="http://schemas.openxmlformats.org/officeDocument/2006/relationships/hyperlink"/><Relationship Id="rId47" Target="https://www.R-project.org/" TargetMode="External" Type="http://schemas.openxmlformats.org/officeDocument/2006/relationships/hyperlink"/><Relationship Id="rId50" Target="https://dx.doi.org/10.4314/jcas.v14i1.2" TargetMode="External" Type="http://schemas.openxmlformats.org/officeDocument/2006/relationships/hyperlink"/><Relationship Id="rId55" Target="https://doi.org/10.1016/j.envexpbot.2006.09.002" TargetMode="External" Type="http://schemas.openxmlformats.org/officeDocument/2006/relationships/hyperlink"/><Relationship Id="rId63" Target="theme/theme1.xml" Type="http://schemas.openxmlformats.org/officeDocument/2006/relationships/theme"/><Relationship Id="rId7" Target="endnotes.xml" Type="http://schemas.openxmlformats.org/officeDocument/2006/relationships/endnotes"/><Relationship Id="rId2" Target="numbering.xml" Type="http://schemas.openxmlformats.org/officeDocument/2006/relationships/numbering"/><Relationship Id="rId16" Target="media/image3.png" Type="http://schemas.openxmlformats.org/officeDocument/2006/relationships/image"/><Relationship Id="rId29" Target="https://doi.org/10.2307/2997695" TargetMode="External" Type="http://schemas.openxmlformats.org/officeDocument/2006/relationships/hyperlink"/><Relationship Id="rId11" Target="footer2.xml" Type="http://schemas.openxmlformats.org/officeDocument/2006/relationships/footer"/><Relationship Id="rId24" Target="https://doi.org/10.1007/s43545-020-00017-1" TargetMode="External" Type="http://schemas.openxmlformats.org/officeDocument/2006/relationships/hyperlink"/><Relationship Id="rId32" Target="https://doi.org/10.1080/21513732.2011.634436" TargetMode="External" Type="http://schemas.openxmlformats.org/officeDocument/2006/relationships/hyperlink"/><Relationship Id="rId37" Target="https://doi.org/10.1371/journal.pone.0187749" TargetMode="External" Type="http://schemas.openxmlformats.org/officeDocument/2006/relationships/hyperlink"/><Relationship Id="rId40" Target="https://doi.org/10.1088/1748-9326/aaf0de" TargetMode="External" Type="http://schemas.openxmlformats.org/officeDocument/2006/relationships/hyperlink"/><Relationship Id="rId45" Target="https://doi.org/10.1038/nclimate2734" TargetMode="External" Type="http://schemas.openxmlformats.org/officeDocument/2006/relationships/hyperlink"/><Relationship Id="rId53" Target="https://doi.org/10.1890/07-0043.1" TargetMode="External" Type="http://schemas.openxmlformats.org/officeDocument/2006/relationships/hyperlink"/><Relationship Id="rId58" Target="header4.xml" Type="http://schemas.openxmlformats.org/officeDocument/2006/relationships/header"/><Relationship Id="rId5" Target="webSettings.xml" Type="http://schemas.openxmlformats.org/officeDocument/2006/relationships/webSettings"/><Relationship Id="rId61" Target="header6.xml" Type="http://schemas.openxmlformats.org/officeDocument/2006/relationships/header"/><Relationship Id="rId19" Target="media/image6.png" Type="http://schemas.openxmlformats.org/officeDocument/2006/relationships/image"/><Relationship Id="rId14" Target="media/image1.jpeg" Type="http://schemas.openxmlformats.org/officeDocument/2006/relationships/image"/><Relationship Id="rId22" Target="https://doi.org/10.1016/j.ecss.2007.08.024" TargetMode="External" Type="http://schemas.openxmlformats.org/officeDocument/2006/relationships/hyperlink"/><Relationship Id="rId27" Target="https://doi.org/10.1016/j.aquabot.2008.03.012" TargetMode="External" Type="http://schemas.openxmlformats.org/officeDocument/2006/relationships/hyperlink"/><Relationship Id="rId30" Target="https://doi.org/10.4060/cc7044en" TargetMode="External" Type="http://schemas.openxmlformats.org/officeDocument/2006/relationships/hyperlink"/><Relationship Id="rId35" Target="https://doi.org/10.1111/geb.12449" TargetMode="External" Type="http://schemas.openxmlformats.org/officeDocument/2006/relationships/hyperlink"/><Relationship Id="rId43" Target="https://doi.org/10.9734/ajocs/2022/v11i319121" TargetMode="External" Type="http://schemas.openxmlformats.org/officeDocument/2006/relationships/hyperlink"/><Relationship Id="rId48" Target="https://doi.org/10.1038/s41558-018-0162-5" TargetMode="External" Type="http://schemas.openxmlformats.org/officeDocument/2006/relationships/hyperlink"/><Relationship Id="rId56" Target="media/image8.jpeg" Type="http://schemas.openxmlformats.org/officeDocument/2006/relationships/image"/><Relationship Id="rId8" Target="header1.xml" Type="http://schemas.openxmlformats.org/officeDocument/2006/relationships/header"/><Relationship Id="rId51" Target="https://doi.org/10.1007/BF00477106" TargetMode="External" Type="http://schemas.openxmlformats.org/officeDocument/2006/relationships/hyperlink"/><Relationship Id="rId3" Target="styles.xml" Type="http://schemas.openxmlformats.org/officeDocument/2006/relationships/styles"/><Relationship Id="rId12" Target="header3.xml" Type="http://schemas.openxmlformats.org/officeDocument/2006/relationships/header"/><Relationship Id="rId17" Target="media/image4.png" Type="http://schemas.openxmlformats.org/officeDocument/2006/relationships/image"/><Relationship Id="rId25" Target="https://doi.org/10.5194/bg-11-2623-2014" TargetMode="External" Type="http://schemas.openxmlformats.org/officeDocument/2006/relationships/hyperlink"/><Relationship Id="rId33" Target="https://doi.org/10.1146/annurev-environ-101718-033302" TargetMode="External" Type="http://schemas.openxmlformats.org/officeDocument/2006/relationships/hyperlink"/><Relationship Id="rId38" Target="https://doi.org/10.17528/cifor/003749" TargetMode="External" Type="http://schemas.openxmlformats.org/officeDocument/2006/relationships/hyperlink"/><Relationship Id="rId46" Target="https://doi.org/10.4018/IJSESD.326612" TargetMode="External" Type="http://schemas.openxmlformats.org/officeDocument/2006/relationships/hyperlink"/><Relationship Id="rId59" Target="header5.xml" Type="http://schemas.openxmlformats.org/officeDocument/2006/relationships/header"/><Relationship Id="rId20" Target="media/image7.png" Type="http://schemas.openxmlformats.org/officeDocument/2006/relationships/image"/><Relationship Id="rId41" Target="https://doi.org/10.1016/j.ecolind.2025.113830" TargetMode="External" Type="http://schemas.openxmlformats.org/officeDocument/2006/relationships/hyperlink"/><Relationship Id="rId54" Target="https://doi.org/10.1016/jbiombioe.2023.106917" TargetMode="External" Type="http://schemas.openxmlformats.org/officeDocument/2006/relationships/hyperlink"/><Relationship Id="rId62" Target="fontTable.xml" Type="http://schemas.openxmlformats.org/officeDocument/2006/relationships/fontTable"/><Relationship Id="rId1" Target="../customXml/item1.xml" Type="http://schemas.openxmlformats.org/officeDocument/2006/relationships/customXml"/><Relationship Id="rId6" Target="footnotes.xml" Type="http://schemas.openxmlformats.org/officeDocument/2006/relationships/footnotes"/><Relationship Id="rId15" Target="media/image2.jpeg" Type="http://schemas.openxmlformats.org/officeDocument/2006/relationships/image"/><Relationship Id="rId23" Target="https://doi.org/10.1007/s40641-015-0002-x" TargetMode="External" Type="http://schemas.openxmlformats.org/officeDocument/2006/relationships/hyperlink"/><Relationship Id="rId28" Target="https://doi.org/10.1038/ngeo1123" TargetMode="External" Type="http://schemas.openxmlformats.org/officeDocument/2006/relationships/hyperlink"/><Relationship Id="rId36" Target="https://www.ipcc-nggip.iges.or.jp/public/2006gl/vol4.html" TargetMode="External" Type="http://schemas.openxmlformats.org/officeDocument/2006/relationships/hyperlink"/><Relationship Id="rId49" Target="https://doi.org/10.1007/s11273-019-09680-5" TargetMode="External" Type="http://schemas.openxmlformats.org/officeDocument/2006/relationships/hyperlink"/><Relationship Id="rId57" Target="media/image9.jpeg" Type="http://schemas.openxmlformats.org/officeDocument/2006/relationships/image"/><Relationship Id="rId10" Target="footer1.xml" Type="http://schemas.openxmlformats.org/officeDocument/2006/relationships/footer"/><Relationship Id="rId31" Target="https://doi.org/10.1080/21513732.2011.634436" TargetMode="External" Type="http://schemas.openxmlformats.org/officeDocument/2006/relationships/hyperlink"/><Relationship Id="rId44" Target="https://doi.org/10.1007/s11273-008-9104-8" TargetMode="External" Type="http://schemas.openxmlformats.org/officeDocument/2006/relationships/hyperlink"/><Relationship Id="rId52" Target="https://doi.org/10.1016/j.jenvman.2014.04.036" TargetMode="External" Type="http://schemas.openxmlformats.org/officeDocument/2006/relationships/hyperlink"/><Relationship Id="rId60" Target="footer4.xml" Type="http://schemas.openxmlformats.org/officeDocument/2006/relationships/footer"/><Relationship Id="rId4" Target="settings.xml" Type="http://schemas.openxmlformats.org/officeDocument/2006/relationships/settings"/><Relationship Id="rId9" Target="header2.xml" Type="http://schemas.openxmlformats.org/officeDocument/2006/relationships/header"/></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BC293-D65F-491D-89A4-D537D6BB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5135</TotalTime>
  <Pages>21</Pages>
  <Words>7125</Words>
  <Characters>40614</Characters>
  <Application>Microsoft Office Word</Application>
  <DocSecurity>0</DocSecurity>
  <Lines>338</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47644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90</cp:revision>
  <cp:lastPrinted>1999-07-06T11:00:00Z</cp:lastPrinted>
  <dcterms:created xsi:type="dcterms:W3CDTF">2014-10-25T14:34:00Z</dcterms:created>
  <dcterms:modified xsi:type="dcterms:W3CDTF">2025-08-25T08:23:00Z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662175</vt:lpwstr>
  </property>
  <property fmtid="{D5CDD505-2E9C-101B-9397-08002B2CF9AE}" name="NXPowerLiteSettings" pid="3">
    <vt:lpwstr>C7000400038000</vt:lpwstr>
  </property>
  <property fmtid="{D5CDD505-2E9C-101B-9397-08002B2CF9AE}" name="NXPowerLiteVersion" pid="4">
    <vt:lpwstr>S10.9.0</vt:lpwstr>
  </property>
</Properties>
</file>