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DF8E" w14:textId="7E30A599" w:rsidR="00184F6D" w:rsidRDefault="00184F6D" w:rsidP="00820F58">
      <w:pPr>
        <w:spacing w:after="0" w:line="240" w:lineRule="auto"/>
        <w:jc w:val="center"/>
        <w:rPr>
          <w:rFonts w:ascii="Times New Roman" w:hAnsi="Times New Roman" w:cs="Times New Roman"/>
          <w:b/>
          <w:bCs/>
          <w:i/>
          <w:iCs/>
          <w:u w:val="single"/>
        </w:rPr>
      </w:pPr>
      <w:bookmarkStart w:id="0" w:name="_Hlk193175129"/>
      <w:bookmarkStart w:id="1" w:name="_Toc206306092"/>
      <w:bookmarkStart w:id="2" w:name="_Hlk193357709"/>
      <w:r w:rsidRPr="00184F6D">
        <w:rPr>
          <w:rFonts w:ascii="Times New Roman" w:hAnsi="Times New Roman" w:cs="Times New Roman"/>
          <w:b/>
          <w:bCs/>
          <w:i/>
          <w:iCs/>
          <w:u w:val="single"/>
        </w:rPr>
        <w:t>Original Research Article</w:t>
      </w:r>
    </w:p>
    <w:p w14:paraId="325C62AA" w14:textId="77777777" w:rsidR="00184F6D" w:rsidRDefault="00184F6D" w:rsidP="00820F58">
      <w:pPr>
        <w:spacing w:after="0" w:line="240" w:lineRule="auto"/>
        <w:jc w:val="center"/>
        <w:rPr>
          <w:rFonts w:ascii="Times New Roman" w:hAnsi="Times New Roman" w:cs="Times New Roman"/>
          <w:b/>
          <w:bCs/>
        </w:rPr>
      </w:pPr>
    </w:p>
    <w:p w14:paraId="37410491" w14:textId="4815B350" w:rsidR="009D5645" w:rsidRDefault="00820F58" w:rsidP="00820F58">
      <w:pPr>
        <w:spacing w:after="0" w:line="240" w:lineRule="auto"/>
        <w:jc w:val="center"/>
        <w:rPr>
          <w:rFonts w:ascii="Times New Roman" w:hAnsi="Times New Roman" w:cs="Times New Roman"/>
          <w:b/>
          <w:bCs/>
        </w:rPr>
      </w:pPr>
      <w:r w:rsidRPr="000955D4">
        <w:rPr>
          <w:rFonts w:ascii="Times New Roman" w:hAnsi="Times New Roman" w:cs="Times New Roman"/>
          <w:b/>
          <w:bCs/>
        </w:rPr>
        <w:t xml:space="preserve">STAKEHOLDER AWARENESS AND </w:t>
      </w:r>
      <w:bookmarkEnd w:id="0"/>
      <w:r w:rsidRPr="000955D4">
        <w:rPr>
          <w:rFonts w:ascii="Times New Roman" w:hAnsi="Times New Roman" w:cs="Times New Roman"/>
          <w:b/>
          <w:bCs/>
        </w:rPr>
        <w:t>ADAPTABILITY TO COMPETENCY BASED EDUCATION SYSTEM IN BALAMBALA SUB-COUNTY, KENYA</w:t>
      </w:r>
    </w:p>
    <w:p w14:paraId="30BF8FB2" w14:textId="77777777" w:rsidR="00AC338A" w:rsidRPr="000955D4" w:rsidRDefault="00AC338A" w:rsidP="00820F58">
      <w:pPr>
        <w:spacing w:after="0" w:line="240" w:lineRule="auto"/>
        <w:jc w:val="center"/>
        <w:rPr>
          <w:rFonts w:ascii="Times New Roman" w:hAnsi="Times New Roman" w:cs="Times New Roman"/>
          <w:b/>
          <w:bCs/>
        </w:rPr>
      </w:pPr>
    </w:p>
    <w:p w14:paraId="0AA0D5EF" w14:textId="56C978EA" w:rsidR="00AC338A" w:rsidRDefault="00AC338A" w:rsidP="00820F58">
      <w:pPr>
        <w:spacing w:after="0" w:line="240" w:lineRule="auto"/>
        <w:jc w:val="center"/>
        <w:rPr>
          <w:rFonts w:ascii="Times New Roman" w:hAnsi="Times New Roman" w:cs="Times New Roman"/>
          <w:bCs/>
          <w:shd w:val="clear" w:color="auto" w:fill="FFFFFF"/>
        </w:rPr>
      </w:pPr>
    </w:p>
    <w:p w14:paraId="0A309B80" w14:textId="1AE93943" w:rsidR="00473F46" w:rsidRDefault="00473F46" w:rsidP="00820F58">
      <w:pPr>
        <w:spacing w:after="0" w:line="240" w:lineRule="auto"/>
        <w:jc w:val="center"/>
        <w:rPr>
          <w:rFonts w:ascii="Times New Roman" w:hAnsi="Times New Roman" w:cs="Times New Roman"/>
          <w:bCs/>
          <w:shd w:val="clear" w:color="auto" w:fill="FFFFFF"/>
        </w:rPr>
      </w:pPr>
    </w:p>
    <w:p w14:paraId="0046701F" w14:textId="58C888C5" w:rsidR="00473F46" w:rsidRDefault="00473F46" w:rsidP="00820F58">
      <w:pPr>
        <w:spacing w:after="0" w:line="240" w:lineRule="auto"/>
        <w:jc w:val="center"/>
        <w:rPr>
          <w:rFonts w:ascii="Times New Roman" w:hAnsi="Times New Roman" w:cs="Times New Roman"/>
          <w:bCs/>
          <w:shd w:val="clear" w:color="auto" w:fill="FFFFFF"/>
        </w:rPr>
      </w:pPr>
    </w:p>
    <w:p w14:paraId="2033C037" w14:textId="69134D3D" w:rsidR="00473F46" w:rsidRDefault="00473F46" w:rsidP="00820F58">
      <w:pPr>
        <w:spacing w:after="0" w:line="240" w:lineRule="auto"/>
        <w:jc w:val="center"/>
        <w:rPr>
          <w:rFonts w:ascii="Times New Roman" w:hAnsi="Times New Roman" w:cs="Times New Roman"/>
          <w:bCs/>
          <w:shd w:val="clear" w:color="auto" w:fill="FFFFFF"/>
        </w:rPr>
      </w:pPr>
    </w:p>
    <w:p w14:paraId="24870F0E" w14:textId="35789FD7" w:rsidR="00473F46" w:rsidRDefault="00473F46" w:rsidP="00820F58">
      <w:pPr>
        <w:spacing w:after="0" w:line="240" w:lineRule="auto"/>
        <w:jc w:val="center"/>
        <w:rPr>
          <w:rFonts w:ascii="Times New Roman" w:hAnsi="Times New Roman" w:cs="Times New Roman"/>
          <w:bCs/>
          <w:shd w:val="clear" w:color="auto" w:fill="FFFFFF"/>
        </w:rPr>
      </w:pPr>
    </w:p>
    <w:p w14:paraId="6F98C2E2" w14:textId="2B27D355" w:rsidR="00473F46" w:rsidRDefault="00473F46" w:rsidP="00820F58">
      <w:pPr>
        <w:spacing w:after="0" w:line="240" w:lineRule="auto"/>
        <w:jc w:val="center"/>
        <w:rPr>
          <w:rFonts w:ascii="Times New Roman" w:hAnsi="Times New Roman" w:cs="Times New Roman"/>
          <w:bCs/>
          <w:shd w:val="clear" w:color="auto" w:fill="FFFFFF"/>
        </w:rPr>
      </w:pPr>
    </w:p>
    <w:p w14:paraId="31E3303B" w14:textId="04D4CBC6" w:rsidR="00473F46" w:rsidRDefault="00473F46" w:rsidP="00820F58">
      <w:pPr>
        <w:spacing w:after="0" w:line="240" w:lineRule="auto"/>
        <w:jc w:val="center"/>
        <w:rPr>
          <w:rFonts w:ascii="Times New Roman" w:hAnsi="Times New Roman" w:cs="Times New Roman"/>
          <w:bCs/>
          <w:shd w:val="clear" w:color="auto" w:fill="FFFFFF"/>
        </w:rPr>
      </w:pPr>
    </w:p>
    <w:p w14:paraId="729A2B5E" w14:textId="253E2695" w:rsidR="00473F46" w:rsidRDefault="00473F46" w:rsidP="00820F58">
      <w:pPr>
        <w:spacing w:after="0" w:line="240" w:lineRule="auto"/>
        <w:jc w:val="center"/>
        <w:rPr>
          <w:rFonts w:ascii="Times New Roman" w:hAnsi="Times New Roman" w:cs="Times New Roman"/>
          <w:bCs/>
          <w:shd w:val="clear" w:color="auto" w:fill="FFFFFF"/>
        </w:rPr>
      </w:pPr>
    </w:p>
    <w:p w14:paraId="5C5AEE54" w14:textId="77777777" w:rsidR="00473F46" w:rsidRPr="000955D4" w:rsidRDefault="00473F46" w:rsidP="00820F58">
      <w:pPr>
        <w:spacing w:after="0" w:line="240" w:lineRule="auto"/>
        <w:jc w:val="center"/>
        <w:rPr>
          <w:rFonts w:ascii="Times New Roman" w:hAnsi="Times New Roman" w:cs="Times New Roman"/>
          <w:bCs/>
          <w:shd w:val="clear" w:color="auto" w:fill="FFFFFF"/>
        </w:rPr>
      </w:pPr>
    </w:p>
    <w:p w14:paraId="3B004D7A" w14:textId="77777777" w:rsidR="005F2C11" w:rsidRPr="000955D4" w:rsidRDefault="005F2C11" w:rsidP="00820F58">
      <w:pPr>
        <w:pStyle w:val="Heading1"/>
        <w:spacing w:before="0" w:after="0" w:line="240" w:lineRule="auto"/>
        <w:jc w:val="center"/>
        <w:rPr>
          <w:rFonts w:ascii="Times New Roman" w:hAnsi="Times New Roman" w:cs="Times New Roman"/>
          <w:color w:val="auto"/>
          <w:sz w:val="24"/>
          <w:szCs w:val="24"/>
        </w:rPr>
      </w:pPr>
      <w:bookmarkStart w:id="3" w:name="_Toc206911110"/>
      <w:bookmarkEnd w:id="1"/>
      <w:bookmarkEnd w:id="2"/>
      <w:r w:rsidRPr="000955D4">
        <w:rPr>
          <w:rFonts w:ascii="Times New Roman" w:hAnsi="Times New Roman" w:cs="Times New Roman"/>
          <w:b/>
          <w:color w:val="auto"/>
          <w:sz w:val="24"/>
          <w:szCs w:val="24"/>
        </w:rPr>
        <w:t>ABSTRACT</w:t>
      </w:r>
      <w:bookmarkEnd w:id="3"/>
    </w:p>
    <w:p w14:paraId="15A90EE0" w14:textId="132CE856" w:rsidR="005F2C11" w:rsidRPr="000955D4" w:rsidRDefault="005F2C11"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Competency-Based </w:t>
      </w:r>
      <w:r w:rsidR="001C4A40" w:rsidRPr="000955D4">
        <w:rPr>
          <w:rFonts w:ascii="Times New Roman" w:hAnsi="Times New Roman" w:cs="Times New Roman"/>
        </w:rPr>
        <w:t>Education was</w:t>
      </w:r>
      <w:r w:rsidRPr="000955D4">
        <w:rPr>
          <w:rFonts w:ascii="Times New Roman" w:hAnsi="Times New Roman" w:cs="Times New Roman"/>
        </w:rPr>
        <w:t xml:space="preserve"> introduced in Kenya as part of a broader education reform aimed at promoting learner-centered approaches, practical skills and holistic development. Its rationale stems from the need to address the limitations of the 8-4-4 system in learners with competencies relevant to the 21</w:t>
      </w:r>
      <w:r w:rsidRPr="000955D4">
        <w:rPr>
          <w:rFonts w:ascii="Times New Roman" w:hAnsi="Times New Roman" w:cs="Times New Roman"/>
          <w:vertAlign w:val="superscript"/>
        </w:rPr>
        <w:t>st</w:t>
      </w:r>
      <w:r w:rsidRPr="000955D4">
        <w:rPr>
          <w:rFonts w:ascii="Times New Roman" w:hAnsi="Times New Roman" w:cs="Times New Roman"/>
        </w:rPr>
        <w:t xml:space="preserve"> century. However, the implementation process has faced dynamics in the implementation and adaptability despite which the adaptability has not been well documented. The study aimed to examine </w:t>
      </w:r>
      <w:r w:rsidR="00417197" w:rsidRPr="000955D4">
        <w:rPr>
          <w:rFonts w:ascii="Times New Roman" w:hAnsi="Times New Roman" w:cs="Times New Roman"/>
        </w:rPr>
        <w:t xml:space="preserve">relationship between stakeholder awareness </w:t>
      </w:r>
      <w:r w:rsidRPr="000955D4">
        <w:rPr>
          <w:rFonts w:ascii="Times New Roman" w:hAnsi="Times New Roman" w:cs="Times New Roman"/>
        </w:rPr>
        <w:t xml:space="preserve">and adaptability to </w:t>
      </w:r>
      <w:r w:rsidR="001C4A40" w:rsidRPr="000955D4">
        <w:rPr>
          <w:rFonts w:ascii="Times New Roman" w:hAnsi="Times New Roman" w:cs="Times New Roman"/>
        </w:rPr>
        <w:t>Competency-Based Education</w:t>
      </w:r>
      <w:r w:rsidRPr="000955D4">
        <w:rPr>
          <w:rFonts w:ascii="Times New Roman" w:hAnsi="Times New Roman" w:cs="Times New Roman"/>
        </w:rPr>
        <w:t xml:space="preserve">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Kenya. The current study was guided by Technology Acceptance Model. </w:t>
      </w:r>
      <w:r w:rsidR="00995CDF" w:rsidRPr="000955D4">
        <w:rPr>
          <w:rFonts w:ascii="Times New Roman" w:hAnsi="Times New Roman" w:cs="Times New Roman"/>
        </w:rPr>
        <w:t>C</w:t>
      </w:r>
      <w:r w:rsidRPr="000955D4">
        <w:rPr>
          <w:rFonts w:ascii="Times New Roman" w:hAnsi="Times New Roman" w:cs="Times New Roman"/>
        </w:rPr>
        <w:t>orrelational research design</w:t>
      </w:r>
      <w:r w:rsidR="00995CDF" w:rsidRPr="000955D4">
        <w:rPr>
          <w:rFonts w:ascii="Times New Roman" w:hAnsi="Times New Roman" w:cs="Times New Roman"/>
        </w:rPr>
        <w:t xml:space="preserve"> was employed in the study</w:t>
      </w:r>
      <w:r w:rsidRPr="000955D4">
        <w:rPr>
          <w:rFonts w:ascii="Times New Roman" w:hAnsi="Times New Roman" w:cs="Times New Roman"/>
        </w:rPr>
        <w:t xml:space="preserve">. The study targeted a population of 178 individuals, comprising 26 headteachers, 26 parents, 120 teachers, 2 Sub-county </w:t>
      </w:r>
      <w:r w:rsidR="001C4A40" w:rsidRPr="000955D4">
        <w:rPr>
          <w:rFonts w:ascii="Times New Roman" w:hAnsi="Times New Roman" w:cs="Times New Roman"/>
        </w:rPr>
        <w:t>education d</w:t>
      </w:r>
      <w:r w:rsidRPr="000955D4">
        <w:rPr>
          <w:rFonts w:ascii="Times New Roman" w:hAnsi="Times New Roman" w:cs="Times New Roman"/>
        </w:rPr>
        <w:t>irectors, and 4 CSOs/Quality Assurance officers, using a multistage sampling procedure where a census was conducted for the 2 Sub-county Directors and 4 CSOs, while 30% of the 26 schools were randomly selected, resulting in 8 schools, 8 headteachers, 8 parents and 36 teachers being sampled. Th</w:t>
      </w:r>
      <w:r w:rsidR="00995CDF" w:rsidRPr="000955D4">
        <w:rPr>
          <w:rFonts w:ascii="Times New Roman" w:hAnsi="Times New Roman" w:cs="Times New Roman"/>
        </w:rPr>
        <w:t xml:space="preserve">e </w:t>
      </w:r>
      <w:r w:rsidRPr="000955D4">
        <w:rPr>
          <w:rFonts w:ascii="Times New Roman" w:hAnsi="Times New Roman" w:cs="Times New Roman"/>
        </w:rPr>
        <w:t>structured questionnaire and interview schedules</w:t>
      </w:r>
      <w:r w:rsidR="00995CDF" w:rsidRPr="000955D4">
        <w:rPr>
          <w:rFonts w:ascii="Times New Roman" w:hAnsi="Times New Roman" w:cs="Times New Roman"/>
        </w:rPr>
        <w:t xml:space="preserve"> were used as primary data collection tools</w:t>
      </w:r>
      <w:r w:rsidRPr="000955D4">
        <w:rPr>
          <w:rFonts w:ascii="Times New Roman" w:hAnsi="Times New Roman" w:cs="Times New Roman"/>
        </w:rPr>
        <w:t xml:space="preserve">. The </w:t>
      </w:r>
      <w:r w:rsidR="001C4A40" w:rsidRPr="000955D4">
        <w:rPr>
          <w:rFonts w:ascii="Times New Roman" w:hAnsi="Times New Roman" w:cs="Times New Roman"/>
        </w:rPr>
        <w:t xml:space="preserve">Cronbach’s alpha </w:t>
      </w:r>
      <w:r w:rsidRPr="000955D4">
        <w:rPr>
          <w:rFonts w:ascii="Times New Roman" w:hAnsi="Times New Roman" w:cs="Times New Roman"/>
        </w:rPr>
        <w:t xml:space="preserve">was applied </w:t>
      </w:r>
      <w:proofErr w:type="spellStart"/>
      <w:r w:rsidRPr="000955D4">
        <w:rPr>
          <w:rFonts w:ascii="Times New Roman" w:hAnsi="Times New Roman" w:cs="Times New Roman"/>
        </w:rPr>
        <w:t>totest</w:t>
      </w:r>
      <w:proofErr w:type="spellEnd"/>
      <w:r w:rsidRPr="000955D4">
        <w:rPr>
          <w:rFonts w:ascii="Times New Roman" w:hAnsi="Times New Roman" w:cs="Times New Roman"/>
        </w:rPr>
        <w:t xml:space="preserve"> reliability of the instrument while experts’ advice was used to establish content validity. The study utilize</w:t>
      </w:r>
      <w:r w:rsidR="00000F84" w:rsidRPr="000955D4">
        <w:rPr>
          <w:rFonts w:ascii="Times New Roman" w:hAnsi="Times New Roman" w:cs="Times New Roman"/>
        </w:rPr>
        <w:t>d</w:t>
      </w:r>
      <w:r w:rsidRPr="000955D4">
        <w:rPr>
          <w:rFonts w:ascii="Times New Roman" w:hAnsi="Times New Roman" w:cs="Times New Roman"/>
        </w:rPr>
        <w:t xml:space="preserve"> quantitative and qualitative data analysis methods to process the gathered data. The analysis of the quantitative data involved the application of descriptive statistics and inferential statistics and the findings were presented using tables.  Descriptive statistics showed that the awareness of the stakeholders was moderate with the mean scores between 2.35 and 2.70, so the stakeholders comprehended the purpose and tasks of </w:t>
      </w:r>
      <w:r w:rsidR="001C4A40" w:rsidRPr="000955D4">
        <w:rPr>
          <w:rFonts w:ascii="Times New Roman" w:hAnsi="Times New Roman" w:cs="Times New Roman"/>
        </w:rPr>
        <w:t>Competency-Based Education</w:t>
      </w:r>
      <w:r w:rsidRPr="000955D4">
        <w:rPr>
          <w:rFonts w:ascii="Times New Roman" w:hAnsi="Times New Roman" w:cs="Times New Roman"/>
        </w:rPr>
        <w:t xml:space="preserve">, but there were gaps in training, communication, and formal discussion. </w:t>
      </w:r>
    </w:p>
    <w:p w14:paraId="57CE8059" w14:textId="7E28A800" w:rsidR="0038254C" w:rsidRDefault="001C4A40" w:rsidP="00820F58">
      <w:pPr>
        <w:spacing w:after="0" w:line="240" w:lineRule="auto"/>
        <w:rPr>
          <w:rFonts w:ascii="Times New Roman" w:hAnsi="Times New Roman" w:cs="Times New Roman"/>
          <w:i/>
          <w:iCs/>
        </w:rPr>
      </w:pPr>
      <w:r w:rsidRPr="000955D4">
        <w:rPr>
          <w:rFonts w:ascii="Times New Roman" w:hAnsi="Times New Roman" w:cs="Times New Roman"/>
        </w:rPr>
        <w:t xml:space="preserve">Keywords: </w:t>
      </w:r>
      <w:r w:rsidR="00820F58" w:rsidRPr="000955D4">
        <w:rPr>
          <w:rFonts w:ascii="Times New Roman" w:hAnsi="Times New Roman" w:cs="Times New Roman"/>
          <w:i/>
          <w:iCs/>
        </w:rPr>
        <w:t xml:space="preserve">Adaptability, </w:t>
      </w:r>
      <w:r w:rsidRPr="000955D4">
        <w:rPr>
          <w:rFonts w:ascii="Times New Roman" w:hAnsi="Times New Roman" w:cs="Times New Roman"/>
          <w:i/>
          <w:iCs/>
        </w:rPr>
        <w:t>Competency</w:t>
      </w:r>
      <w:r w:rsidR="00820F58" w:rsidRPr="000955D4">
        <w:rPr>
          <w:rFonts w:ascii="Times New Roman" w:hAnsi="Times New Roman" w:cs="Times New Roman"/>
          <w:i/>
          <w:iCs/>
        </w:rPr>
        <w:t>-</w:t>
      </w:r>
      <w:r w:rsidRPr="000955D4">
        <w:rPr>
          <w:rFonts w:ascii="Times New Roman" w:hAnsi="Times New Roman" w:cs="Times New Roman"/>
          <w:i/>
          <w:iCs/>
        </w:rPr>
        <w:t xml:space="preserve">Based </w:t>
      </w:r>
      <w:r w:rsidR="00820F58" w:rsidRPr="000955D4">
        <w:rPr>
          <w:rFonts w:ascii="Times New Roman" w:hAnsi="Times New Roman" w:cs="Times New Roman"/>
          <w:i/>
          <w:iCs/>
        </w:rPr>
        <w:t>Education, Implementation, Stakeholder Awareness</w:t>
      </w:r>
    </w:p>
    <w:p w14:paraId="7448E052" w14:textId="77777777" w:rsidR="00323877" w:rsidRPr="000955D4" w:rsidRDefault="00323877" w:rsidP="00820F58">
      <w:pPr>
        <w:spacing w:after="0" w:line="240" w:lineRule="auto"/>
        <w:rPr>
          <w:rFonts w:ascii="Times New Roman" w:eastAsiaTheme="majorEastAsia" w:hAnsi="Times New Roman" w:cs="Times New Roman"/>
        </w:rPr>
      </w:pPr>
    </w:p>
    <w:p w14:paraId="455C2AF7" w14:textId="7BE90F3B" w:rsidR="008D2BAC" w:rsidRPr="000955D4" w:rsidRDefault="008D2BAC" w:rsidP="00820F58">
      <w:pPr>
        <w:spacing w:after="0" w:line="240" w:lineRule="auto"/>
        <w:jc w:val="both"/>
        <w:rPr>
          <w:rFonts w:ascii="Times New Roman" w:hAnsi="Times New Roman" w:cs="Times New Roman"/>
        </w:rPr>
      </w:pPr>
      <w:bookmarkStart w:id="4" w:name="_Hlk206568470"/>
      <w:r w:rsidRPr="000955D4">
        <w:rPr>
          <w:rFonts w:ascii="Times New Roman" w:hAnsi="Times New Roman" w:cs="Times New Roman"/>
          <w:b/>
        </w:rPr>
        <w:t>Background to the Study</w:t>
      </w:r>
    </w:p>
    <w:p w14:paraId="51BDB62B"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Competency-Based Education (CBE) learning approach focuses on instruction, assessment, grading, and academic reporting that center on students demonstrating their mastery of the required knowledge and skills as they advance through their education (KICD, 2016). CBE highlights the importance of cultivating competencies knowledge, skills, and attitudes and applying them in practical, real-world scenarios (KICD, 2016). An effective curriculum should foster critical thinking skills and ensure that learners acquire relevant knowledge applicable to their studies, </w:t>
      </w:r>
      <w:r w:rsidRPr="000955D4">
        <w:rPr>
          <w:rFonts w:ascii="Times New Roman" w:hAnsi="Times New Roman" w:cs="Times New Roman"/>
        </w:rPr>
        <w:lastRenderedPageBreak/>
        <w:t>everyday life, and future careers. Thus, the curriculum should serve as a means to achieve proficiency in globally recognized competencies.</w:t>
      </w:r>
    </w:p>
    <w:p w14:paraId="7602669C"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In 2002, the United States Department of Education highlighted the significance of adopting competency-based initiatives in schools and colleges (US Department of Education, National Center for Educational Statistics, 2002). A Competency-Based Education encapsulates academic and professional profiles, redefines learning objectives, improves learning environments, and transitions the concept of education from mere knowledge accumulation to a continuous attitude towards knowledge acquisition (Edwards &amp; Sanchez-Diaz, 2009). In Mexico, the implementation of CBE began in 2009 with various reforms in basic education and national education policies, emphasizing the practical application of skills, values, attitudes, and knowledge in daily activities, and requiring learners to reflect on their experiences. Competence was viewed as the practical application of skills, knowledge, values, and attitudes (</w:t>
      </w:r>
      <w:proofErr w:type="spellStart"/>
      <w:r w:rsidRPr="000955D4">
        <w:rPr>
          <w:rFonts w:ascii="Times New Roman" w:hAnsi="Times New Roman" w:cs="Times New Roman"/>
        </w:rPr>
        <w:t>Secretaría</w:t>
      </w:r>
      <w:proofErr w:type="spellEnd"/>
      <w:r w:rsidRPr="000955D4">
        <w:rPr>
          <w:rFonts w:ascii="Times New Roman" w:hAnsi="Times New Roman" w:cs="Times New Roman"/>
        </w:rPr>
        <w:t xml:space="preserve"> de </w:t>
      </w:r>
      <w:proofErr w:type="spellStart"/>
      <w:r w:rsidRPr="000955D4">
        <w:rPr>
          <w:rFonts w:ascii="Times New Roman" w:hAnsi="Times New Roman" w:cs="Times New Roman"/>
        </w:rPr>
        <w:t>Educación</w:t>
      </w:r>
      <w:proofErr w:type="spellEnd"/>
      <w:r w:rsidRPr="000955D4">
        <w:rPr>
          <w:rFonts w:ascii="Times New Roman" w:hAnsi="Times New Roman" w:cs="Times New Roman"/>
        </w:rPr>
        <w:t xml:space="preserve"> </w:t>
      </w:r>
      <w:proofErr w:type="spellStart"/>
      <w:r w:rsidRPr="000955D4">
        <w:rPr>
          <w:rFonts w:ascii="Times New Roman" w:hAnsi="Times New Roman" w:cs="Times New Roman"/>
        </w:rPr>
        <w:t>Pública</w:t>
      </w:r>
      <w:proofErr w:type="spellEnd"/>
      <w:r w:rsidRPr="000955D4">
        <w:rPr>
          <w:rFonts w:ascii="Times New Roman" w:hAnsi="Times New Roman" w:cs="Times New Roman"/>
        </w:rPr>
        <w:t>, 2011). In China, it was observed that teachers were not considered essential to the curriculum's intent and execution (Jin &amp; Li, 2011). Wang's analysis of policy translation into practice revealed that it did not adequately recognize educators as vital stakeholders in the implementation process (Wang, 2010).</w:t>
      </w:r>
    </w:p>
    <w:p w14:paraId="55276A74"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In 2015, Rwanda adopted the Competency-Based Education (CBE) to address the shortage of skills in its education system, with a particular focus on science and technology. This initiative was driven by the country's goal to develop a knowledgeable society capable of meeting both local and global job market demands. Rwanda viewed Information and Communication Technology (ICT) as a crucial tool for transforming into a knowledge-based society and achieving middle-income status by 2030. This approach aligned with Rwanda’s educational philosophy of ensuring that every child receives high-quality education across all levels, enabling them to develop their full potential and acquire the skills, knowledge, and attitudes needed to thrive in society and the job market (Republic of Rwanda, 2015). In Tanzania, the CBE program was introduced in 2005 to address challenges faced by learners in training institutions (</w:t>
      </w:r>
      <w:proofErr w:type="spellStart"/>
      <w:r w:rsidRPr="000955D4">
        <w:rPr>
          <w:rFonts w:ascii="Times New Roman" w:hAnsi="Times New Roman" w:cs="Times New Roman"/>
        </w:rPr>
        <w:t>Ogondiek</w:t>
      </w:r>
      <w:proofErr w:type="spellEnd"/>
      <w:r w:rsidRPr="000955D4">
        <w:rPr>
          <w:rFonts w:ascii="Times New Roman" w:hAnsi="Times New Roman" w:cs="Times New Roman"/>
        </w:rPr>
        <w:t xml:space="preserve">, 2005). However, by 2010, </w:t>
      </w:r>
      <w:proofErr w:type="spellStart"/>
      <w:r w:rsidRPr="000955D4">
        <w:rPr>
          <w:rFonts w:ascii="Times New Roman" w:hAnsi="Times New Roman" w:cs="Times New Roman"/>
        </w:rPr>
        <w:t>Tilya</w:t>
      </w:r>
      <w:proofErr w:type="spellEnd"/>
      <w:r w:rsidRPr="000955D4">
        <w:rPr>
          <w:rFonts w:ascii="Times New Roman" w:hAnsi="Times New Roman" w:cs="Times New Roman"/>
        </w:rPr>
        <w:t xml:space="preserve"> and </w:t>
      </w:r>
      <w:proofErr w:type="spellStart"/>
      <w:r w:rsidRPr="000955D4">
        <w:rPr>
          <w:rFonts w:ascii="Times New Roman" w:hAnsi="Times New Roman" w:cs="Times New Roman"/>
        </w:rPr>
        <w:t>Mafuniko</w:t>
      </w:r>
      <w:proofErr w:type="spellEnd"/>
      <w:r w:rsidRPr="000955D4">
        <w:rPr>
          <w:rFonts w:ascii="Times New Roman" w:hAnsi="Times New Roman" w:cs="Times New Roman"/>
        </w:rPr>
        <w:t xml:space="preserve"> found that there was a lack of clarity among curriculum developers, textbook authors, and teachers regarding the implementation of the CBE program (</w:t>
      </w:r>
      <w:proofErr w:type="spellStart"/>
      <w:r w:rsidRPr="000955D4">
        <w:rPr>
          <w:rFonts w:ascii="Times New Roman" w:hAnsi="Times New Roman" w:cs="Times New Roman"/>
        </w:rPr>
        <w:t>Tilya</w:t>
      </w:r>
      <w:proofErr w:type="spellEnd"/>
      <w:r w:rsidRPr="000955D4">
        <w:rPr>
          <w:rFonts w:ascii="Times New Roman" w:hAnsi="Times New Roman" w:cs="Times New Roman"/>
        </w:rPr>
        <w:t xml:space="preserve"> &amp; </w:t>
      </w:r>
      <w:proofErr w:type="spellStart"/>
      <w:r w:rsidRPr="000955D4">
        <w:rPr>
          <w:rFonts w:ascii="Times New Roman" w:hAnsi="Times New Roman" w:cs="Times New Roman"/>
        </w:rPr>
        <w:t>Mafumiko</w:t>
      </w:r>
      <w:proofErr w:type="spellEnd"/>
      <w:r w:rsidRPr="000955D4">
        <w:rPr>
          <w:rFonts w:ascii="Times New Roman" w:hAnsi="Times New Roman" w:cs="Times New Roman"/>
        </w:rPr>
        <w:t>, 2010).</w:t>
      </w:r>
    </w:p>
    <w:p w14:paraId="642BC0AD"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member states of East African Community (EAC) agreed on the implementation of a common curriculum framework that is competency-based and is in line with international standards (EAC Secretariat, 2014). The rationale behind this strategy is that a curriculum can be considered as an instrument of providing people with the essential values, knowledge, attitudes, and skills that can support personal and national progress (International Bureau of Education: UNESCO, 2017). This type of framework is supposed to guarantee that the educational systems in the region facilitate the growth of competencies that are relevant in a global environment. </w:t>
      </w:r>
    </w:p>
    <w:p w14:paraId="7D8B9332"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In an attempt to equip students with the challenges that come with a </w:t>
      </w:r>
      <w:proofErr w:type="gramStart"/>
      <w:r w:rsidRPr="000955D4">
        <w:rPr>
          <w:rFonts w:ascii="Times New Roman" w:hAnsi="Times New Roman" w:cs="Times New Roman"/>
        </w:rPr>
        <w:t>fast changing</w:t>
      </w:r>
      <w:proofErr w:type="gramEnd"/>
      <w:r w:rsidRPr="000955D4">
        <w:rPr>
          <w:rFonts w:ascii="Times New Roman" w:hAnsi="Times New Roman" w:cs="Times New Roman"/>
        </w:rPr>
        <w:t xml:space="preserve"> world, Kenya, together with other East African nations and the rest of the world, has found it necessary to reform its education systems to adopt a Competency-Based Education, the common goal being to provide quality education. In contrast to the conventional content-based curriculum, a Competency-Based Education is aimed at providing learners with the necessary values, attitudes, skills, and knowledge and competencies that are vital in the future interaction with the community. Education is regarded as a key factor of societal and economic growth and the countries that have well-developed education systems tend to be the most technologically and economically advanced. Curricula are constantly revised and reviewed in order to make sure that an education system is relevant in the ever-changing economic, social, and technological environment (</w:t>
      </w:r>
      <w:proofErr w:type="spellStart"/>
      <w:r w:rsidRPr="000955D4">
        <w:rPr>
          <w:rFonts w:ascii="Times New Roman" w:hAnsi="Times New Roman" w:cs="Times New Roman"/>
        </w:rPr>
        <w:t>Momanyi</w:t>
      </w:r>
      <w:proofErr w:type="spellEnd"/>
      <w:r w:rsidRPr="000955D4">
        <w:rPr>
          <w:rFonts w:ascii="Times New Roman" w:hAnsi="Times New Roman" w:cs="Times New Roman"/>
        </w:rPr>
        <w:t xml:space="preserve"> &amp; </w:t>
      </w:r>
      <w:proofErr w:type="spellStart"/>
      <w:r w:rsidRPr="000955D4">
        <w:rPr>
          <w:rFonts w:ascii="Times New Roman" w:hAnsi="Times New Roman" w:cs="Times New Roman"/>
        </w:rPr>
        <w:t>Rop</w:t>
      </w:r>
      <w:proofErr w:type="spellEnd"/>
      <w:r w:rsidRPr="000955D4">
        <w:rPr>
          <w:rFonts w:ascii="Times New Roman" w:hAnsi="Times New Roman" w:cs="Times New Roman"/>
        </w:rPr>
        <w:t xml:space="preserve">, 2020). In 2017, </w:t>
      </w:r>
      <w:r w:rsidRPr="000955D4">
        <w:rPr>
          <w:rFonts w:ascii="Times New Roman" w:hAnsi="Times New Roman" w:cs="Times New Roman"/>
        </w:rPr>
        <w:lastRenderedPageBreak/>
        <w:t>the Government of Kenya launched the Competency-Based Education (CBE), giving emphasis on the nurturing of potential among learners, instilling national values, incorporating Science, Technology and Innovation, and ensuring that education skills match up with the needs in industry. This shift aims to enable the acquisition of 21</w:t>
      </w:r>
      <w:r w:rsidRPr="000955D4">
        <w:rPr>
          <w:rFonts w:ascii="Times New Roman" w:hAnsi="Times New Roman" w:cs="Times New Roman"/>
          <w:vertAlign w:val="superscript"/>
        </w:rPr>
        <w:t xml:space="preserve">st </w:t>
      </w:r>
      <w:r w:rsidRPr="000955D4">
        <w:rPr>
          <w:rFonts w:ascii="Times New Roman" w:hAnsi="Times New Roman" w:cs="Times New Roman"/>
        </w:rPr>
        <w:t xml:space="preserve">century knowledge, skills, competences, values, character development, patriotism, and global citizenship, ultimately enhancing the quality of human capital. These educational reforms are closely linked to the goals of Kenya Vision 2030 and the Kenya Constitution of 2010. They also align with international education commitments, including the Sustainable Development Goals (SDGs) and the African Union's Continental Education Strategy for Africa (CESA 16-25) (Government of Kenya, 2019). </w:t>
      </w:r>
    </w:p>
    <w:p w14:paraId="6E9AEA02" w14:textId="5BA36C73"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Kenyan education system has undergone significant reforms since gaining independence. Initially, </w:t>
      </w:r>
      <w:proofErr w:type="spellStart"/>
      <w:r w:rsidRPr="000955D4">
        <w:rPr>
          <w:rFonts w:ascii="Times New Roman" w:hAnsi="Times New Roman" w:cs="Times New Roman"/>
        </w:rPr>
        <w:t>Ominde's</w:t>
      </w:r>
      <w:proofErr w:type="spellEnd"/>
      <w:r w:rsidRPr="000955D4">
        <w:rPr>
          <w:rFonts w:ascii="Times New Roman" w:hAnsi="Times New Roman" w:cs="Times New Roman"/>
        </w:rPr>
        <w:t xml:space="preserve"> commission in 1963 stratified education along racial lines, segregating it into European, African, and Asian categories. After independence, a reform led to the 7-4-2-3 system, aiming to integrate subjects for national cohesion, effectively removing racial distinctions (Wanjohi, 2011). In 1985, another reform, based on Mackay's commission recommendations, resulted in the adoption of the 8-4-4 system, emphasizing education for self-reliance due to concerns about the previous system's shortcomings in promoting sustainable employment (Justus and </w:t>
      </w:r>
      <w:proofErr w:type="spellStart"/>
      <w:r w:rsidRPr="000955D4">
        <w:rPr>
          <w:rFonts w:ascii="Times New Roman" w:hAnsi="Times New Roman" w:cs="Times New Roman"/>
        </w:rPr>
        <w:t>Inyega</w:t>
      </w:r>
      <w:proofErr w:type="spellEnd"/>
      <w:r w:rsidRPr="000955D4">
        <w:rPr>
          <w:rFonts w:ascii="Times New Roman" w:hAnsi="Times New Roman" w:cs="Times New Roman"/>
        </w:rPr>
        <w:t>, 2021). However, the 8-4-4 system faced challenges, including infrastructure and resource limitations, a shortage of trained teachers, skills gaps in graduates, and high dropout rates, indicating it did not fully achieve its goals (Anyona, 2012). In 2009, the Kenya Institute of Education (KIE) reviewed the 8-4-4 system and found that it lacked practical skills needed for economic development. The curriculum had shallow content, was exam-centric, suffered from resource misallocation, had high teacher-learner ratios, lacked teaching-learning resources, and provided inadequate teacher training, thus compromising education quality (Akala, 2021). This prompted a recommendation for a paradigm shift in the curriculum by the Kenya Institute of Curriculum Development (KICD). These issues are prompting the introduction of the Competency-Based Education (CBE) that is aimed at providing learners with the competencies of the 21</w:t>
      </w:r>
      <w:r w:rsidRPr="000955D4">
        <w:rPr>
          <w:rFonts w:ascii="Times New Roman" w:hAnsi="Times New Roman" w:cs="Times New Roman"/>
          <w:vertAlign w:val="superscript"/>
        </w:rPr>
        <w:t>st</w:t>
      </w:r>
      <w:r w:rsidR="008D2BAC" w:rsidRPr="000955D4">
        <w:rPr>
          <w:rFonts w:ascii="Times New Roman" w:hAnsi="Times New Roman" w:cs="Times New Roman"/>
        </w:rPr>
        <w:t xml:space="preserve"> </w:t>
      </w:r>
      <w:r w:rsidRPr="000955D4">
        <w:rPr>
          <w:rFonts w:ascii="Times New Roman" w:hAnsi="Times New Roman" w:cs="Times New Roman"/>
        </w:rPr>
        <w:t>century (communication, critical thinking, self-efficacy, creativity, digital literacy, and learning to learn). The shift to CBE in the year 2017 was a significant shift of the 8-4-4 education system to 2-6-3-3-3 education system, and parental involvement was critical towards its success. Nevertheless, numerous parents have experienced difficulties in performing their functions within the framework of the CBE system, which is why there is a necessity to conduct a study of the issues that parents face when implementing the Competency-Based Education in Kenyan primary schools (Cheptoo &amp; Ramdas, 2020).</w:t>
      </w:r>
    </w:p>
    <w:p w14:paraId="481050E0"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Competency-Based Education (CBE) framework based on values and vision was introduced in January 2017 and the Ministry of Education, together with the Teachers Service Commission (TSC) provided training to teachers and produced curriculum support materials, such as books and prototypes. In spite of the identified challenges and gaps in the internal and external evaluation processes of the pilot study of CBE, the government decided to roll out the CBE nationally in January 2019. The new Competency-Based Education that is a component of the 2-6-3-3 System of Education in Kenya focuses on the following seven core competences: Communication and collaboration, Critical thinking and problem solving, Creativity and imagination, Citizenship, Digital literacy, learning to learn, and Self-efficacy. There are varied possibilities of identifying and developing potentials and talents of learners in this curriculum that is geared towards preparing learners to face life and the workplace and to make learning fun. The curriculum design of the lower primary grade one, two, and three curriculum is composed of the Kiswahili language activities and literacy and mathematical concepts exploration. They also entail: hygiene and </w:t>
      </w:r>
      <w:r w:rsidRPr="000955D4">
        <w:rPr>
          <w:rFonts w:ascii="Times New Roman" w:hAnsi="Times New Roman" w:cs="Times New Roman"/>
        </w:rPr>
        <w:lastRenderedPageBreak/>
        <w:t>nutrition practice, religious teaching of various religions; Christian, Hindu and Islam (K.I.C.D, 2016).</w:t>
      </w:r>
    </w:p>
    <w:p w14:paraId="34FB8ED9" w14:textId="27846DA4" w:rsidR="00F544FE" w:rsidRPr="000955D4" w:rsidRDefault="00F544FE" w:rsidP="00820F58">
      <w:pPr>
        <w:pStyle w:val="Heading2"/>
        <w:spacing w:before="0" w:after="0" w:line="240" w:lineRule="auto"/>
        <w:jc w:val="both"/>
        <w:rPr>
          <w:rFonts w:ascii="Times New Roman" w:hAnsi="Times New Roman" w:cs="Times New Roman"/>
          <w:b/>
          <w:color w:val="auto"/>
          <w:sz w:val="24"/>
          <w:szCs w:val="24"/>
        </w:rPr>
      </w:pPr>
      <w:bookmarkStart w:id="5" w:name="_Toc206911115"/>
      <w:r w:rsidRPr="000955D4">
        <w:rPr>
          <w:rFonts w:ascii="Times New Roman" w:hAnsi="Times New Roman" w:cs="Times New Roman"/>
          <w:b/>
          <w:color w:val="auto"/>
          <w:sz w:val="24"/>
          <w:szCs w:val="24"/>
        </w:rPr>
        <w:t>Statement of the Problem</w:t>
      </w:r>
      <w:bookmarkEnd w:id="5"/>
    </w:p>
    <w:p w14:paraId="31A3DCC5" w14:textId="78C204AD"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Despite having policies that are supposed to facilitate the successful implementation of the Competency-Based Education in the education system in Kenya, there have been major challenges facing its implementation. Lack of successful adoption and sustainability of CBE has been hindered by numerous barriers that have impeded the success of transition to CBE. Studies have shown that the implementation of CBE in Kenya has structural barriers such as poor teacher preparation, lack of teaching and learning resources, and poor infrastructure. The large enrolment has stretched the available facilities and late delivery of textbooks has disrupted the teaching-learning process. There is a shortage of critical facilities in many schools including permanent classrooms in lower classes, some schools have to teach in unconventional locations or even outdoors. The rush implementation schedules have also complicated the CBE rollout, with the quality of learning materials being affected. Also, the lack of parental involvement has occurred because of the lack of awareness and sensitization activities and this has led to a gap between schools and homes in trying to support the new curriculum. This educational transition is multi-agency and thus demands coordination and cooperation of different stakeholders. Nonetheless, there seems to be a gap in the knowledge of how the change strategies have been employed to address the barriers to the implementation of CBE. As this curriculum signifies one of the major changes to the education of Kenya, it is necessary to implement change strategies to make sure that everyone is aware of his/her role and resources that are required to make this implementation a success. The research thus attempted to explore the issues of change strategy and its contribution to improvement of adaptability of Competency-Based Education system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Kenya. </w:t>
      </w:r>
    </w:p>
    <w:p w14:paraId="0333726E" w14:textId="0206498A" w:rsidR="00F544FE" w:rsidRPr="000955D4" w:rsidRDefault="00491D08" w:rsidP="00820F58">
      <w:pPr>
        <w:pStyle w:val="Heading2"/>
        <w:spacing w:before="0" w:after="0" w:line="240" w:lineRule="auto"/>
        <w:jc w:val="both"/>
        <w:rPr>
          <w:rFonts w:ascii="Times New Roman" w:hAnsi="Times New Roman" w:cs="Times New Roman"/>
          <w:b/>
          <w:color w:val="auto"/>
          <w:sz w:val="24"/>
          <w:szCs w:val="24"/>
        </w:rPr>
      </w:pPr>
      <w:bookmarkStart w:id="6" w:name="_Toc206911117"/>
      <w:r w:rsidRPr="000955D4">
        <w:rPr>
          <w:rFonts w:ascii="Times New Roman" w:hAnsi="Times New Roman" w:cs="Times New Roman"/>
          <w:b/>
          <w:color w:val="auto"/>
          <w:sz w:val="24"/>
          <w:szCs w:val="24"/>
        </w:rPr>
        <w:t>Objective</w:t>
      </w:r>
      <w:r w:rsidR="00F544FE" w:rsidRPr="000955D4">
        <w:rPr>
          <w:rFonts w:ascii="Times New Roman" w:hAnsi="Times New Roman" w:cs="Times New Roman"/>
          <w:b/>
          <w:color w:val="auto"/>
          <w:sz w:val="24"/>
          <w:szCs w:val="24"/>
        </w:rPr>
        <w:t xml:space="preserve"> of the Study</w:t>
      </w:r>
      <w:bookmarkEnd w:id="6"/>
    </w:p>
    <w:p w14:paraId="67B9A426"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To assess </w:t>
      </w:r>
      <w:bookmarkStart w:id="7" w:name="_Hlk206907105"/>
      <w:r w:rsidRPr="000955D4">
        <w:rPr>
          <w:rFonts w:ascii="Times New Roman" w:hAnsi="Times New Roman" w:cs="Times New Roman"/>
        </w:rPr>
        <w:t xml:space="preserve">relationship between </w:t>
      </w:r>
      <w:bookmarkEnd w:id="7"/>
      <w:r w:rsidRPr="000955D4">
        <w:rPr>
          <w:rFonts w:ascii="Times New Roman" w:hAnsi="Times New Roman" w:cs="Times New Roman"/>
        </w:rPr>
        <w:t xml:space="preserve">stakeholder awareness and adaptability to Competency-Based Education system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Kenya</w:t>
      </w:r>
      <w:r w:rsidRPr="000955D4">
        <w:rPr>
          <w:rFonts w:ascii="Times New Roman" w:hAnsi="Times New Roman" w:cs="Times New Roman"/>
          <w:b/>
        </w:rPr>
        <w:t>.</w:t>
      </w:r>
    </w:p>
    <w:p w14:paraId="28E81829" w14:textId="29824B33" w:rsidR="007A66A5" w:rsidRPr="000955D4" w:rsidRDefault="007A66A5" w:rsidP="00820F58">
      <w:pPr>
        <w:pStyle w:val="Heading2"/>
        <w:spacing w:before="0" w:after="0" w:line="240" w:lineRule="auto"/>
        <w:rPr>
          <w:rFonts w:ascii="Times New Roman" w:hAnsi="Times New Roman" w:cs="Times New Roman"/>
          <w:b/>
          <w:color w:val="auto"/>
          <w:sz w:val="24"/>
          <w:szCs w:val="24"/>
        </w:rPr>
      </w:pPr>
      <w:bookmarkStart w:id="8" w:name="_Toc206911126"/>
      <w:bookmarkStart w:id="9" w:name="_Hlk73316080"/>
      <w:bookmarkStart w:id="10" w:name="_Toc206298299"/>
      <w:bookmarkEnd w:id="4"/>
      <w:r w:rsidRPr="000955D4">
        <w:rPr>
          <w:rFonts w:ascii="Times New Roman" w:hAnsi="Times New Roman" w:cs="Times New Roman"/>
          <w:b/>
          <w:color w:val="auto"/>
          <w:sz w:val="24"/>
          <w:szCs w:val="24"/>
        </w:rPr>
        <w:t>Theoretical Framework</w:t>
      </w:r>
      <w:bookmarkEnd w:id="8"/>
    </w:p>
    <w:p w14:paraId="2D0F8756" w14:textId="77777777" w:rsidR="000515F8" w:rsidRPr="000955D4" w:rsidRDefault="000515F8" w:rsidP="00820F58">
      <w:pPr>
        <w:pStyle w:val="Heading2"/>
        <w:spacing w:before="0" w:after="0" w:line="240" w:lineRule="auto"/>
        <w:jc w:val="both"/>
        <w:rPr>
          <w:rFonts w:ascii="Times New Roman" w:hAnsi="Times New Roman" w:cs="Times New Roman"/>
          <w:b/>
          <w:color w:val="auto"/>
          <w:sz w:val="24"/>
          <w:szCs w:val="24"/>
        </w:rPr>
      </w:pPr>
      <w:bookmarkStart w:id="11" w:name="_Toc206911139"/>
      <w:r w:rsidRPr="000955D4">
        <w:rPr>
          <w:rFonts w:ascii="Times New Roman" w:hAnsi="Times New Roman" w:cs="Times New Roman"/>
          <w:b/>
          <w:color w:val="auto"/>
          <w:sz w:val="24"/>
          <w:szCs w:val="24"/>
        </w:rPr>
        <w:t>Technology Acceptance Model (TAM)</w:t>
      </w:r>
    </w:p>
    <w:p w14:paraId="47C7C7C8" w14:textId="77777777" w:rsidR="000515F8" w:rsidRPr="000955D4" w:rsidRDefault="000515F8" w:rsidP="00820F58">
      <w:pPr>
        <w:pStyle w:val="whitespace-pre-wrap"/>
        <w:spacing w:before="0" w:beforeAutospacing="0" w:after="0" w:afterAutospacing="0"/>
        <w:jc w:val="both"/>
      </w:pPr>
      <w:r w:rsidRPr="000955D4">
        <w:t>The Technology Acceptance Model (TAM) was developed by Fred Davis in 1986 and formally proposed in his 1989 publication. TAM is grounded in social psychology theory, particularly the Theory of Reasoned Action (TRA) developed by Fishbein and Ajzen (1975). TAM posits that the acceptance of technology is predicted by users' behavioral intention, which is determined by two key factors; perceived usefulness (PU) and perceived ease of use (PEOU). These two constructs form an end-user's beliefs about a technology and predict their attitude toward it, which in turn predicts its acceptance. Technology usage is dictated by an assessment of the trade-off between perceived usefulness of the system and difficulty in using it as Davis (1989) shows.</w:t>
      </w:r>
    </w:p>
    <w:p w14:paraId="232AE66D" w14:textId="77777777" w:rsidR="000515F8" w:rsidRPr="000955D4" w:rsidRDefault="000515F8" w:rsidP="00820F58">
      <w:pPr>
        <w:pStyle w:val="whitespace-pre-wrap"/>
        <w:spacing w:before="0" w:beforeAutospacing="0" w:after="0" w:afterAutospacing="0"/>
        <w:jc w:val="both"/>
      </w:pPr>
      <w:r w:rsidRPr="000955D4">
        <w:t xml:space="preserve">In the study under consideration, CBE may be regarded as an innovation in educational technologies the adoption of which will be predetermined by the perceptions of the stakeholders regarding its usefulness and ease of implementation. In this regard, the stakeholder awareness has a direct effect on the perceived usefulness and perceived ease of use of the CBE system.  The more stakeholders (teachers, administrators, parents and community members) learn about the goals and practicalities of CBE and its possible advantages, the more likely it becomes that they will see it as helpful (PU). Correspondingly, awareness improves stakeholder knowledge on how to adopt and use CBE thus raising their perceived ease of use (PEOU). </w:t>
      </w:r>
    </w:p>
    <w:p w14:paraId="27F97ECD" w14:textId="3FD6B81E" w:rsidR="000515F8" w:rsidRPr="000955D4" w:rsidRDefault="000515F8" w:rsidP="00820F58">
      <w:pPr>
        <w:pStyle w:val="whitespace-pre-wrap"/>
        <w:spacing w:before="0" w:beforeAutospacing="0" w:after="0" w:afterAutospacing="0"/>
        <w:jc w:val="both"/>
      </w:pPr>
      <w:r w:rsidRPr="000955D4">
        <w:lastRenderedPageBreak/>
        <w:t xml:space="preserve">According to TAM, these improved perceptions will positively influence attitudes toward CBE, strengthen behavioral intentions to adapt to it and ultimately lead to successful implementation. The relevance of TAM to study stakeholder awareness and CBE adaptability, researchers can identify specific awareness interventions that might enhance perceived usefulness and ease of use, thereby improving overall acceptance and implementation of the Competency-Based Education in </w:t>
      </w:r>
      <w:proofErr w:type="spellStart"/>
      <w:r w:rsidRPr="000955D4">
        <w:t>Balambala</w:t>
      </w:r>
      <w:proofErr w:type="spellEnd"/>
      <w:r w:rsidRPr="000955D4">
        <w:t xml:space="preserve"> sub-county, Kenya.</w:t>
      </w:r>
    </w:p>
    <w:p w14:paraId="0B7B72B2" w14:textId="77777777" w:rsidR="00AD232C" w:rsidRDefault="00AD232C" w:rsidP="00820F58">
      <w:pPr>
        <w:pStyle w:val="Heading2"/>
        <w:spacing w:before="0" w:after="0" w:line="240" w:lineRule="auto"/>
        <w:jc w:val="both"/>
        <w:rPr>
          <w:rFonts w:ascii="Times New Roman" w:hAnsi="Times New Roman" w:cs="Times New Roman"/>
          <w:b/>
          <w:color w:val="auto"/>
          <w:sz w:val="24"/>
          <w:szCs w:val="24"/>
        </w:rPr>
      </w:pPr>
      <w:r w:rsidRPr="000955D4">
        <w:rPr>
          <w:rFonts w:ascii="Times New Roman" w:hAnsi="Times New Roman" w:cs="Times New Roman"/>
          <w:b/>
          <w:color w:val="auto"/>
          <w:sz w:val="24"/>
          <w:szCs w:val="24"/>
        </w:rPr>
        <w:t>Conceptual Framework</w:t>
      </w:r>
    </w:p>
    <w:p w14:paraId="6CB7B8B1" w14:textId="77777777" w:rsidR="00323877" w:rsidRPr="00323877" w:rsidRDefault="00323877" w:rsidP="00323877"/>
    <w:p w14:paraId="01CB2763" w14:textId="77777777" w:rsidR="00AD232C" w:rsidRDefault="00AD232C" w:rsidP="00820F58">
      <w:pPr>
        <w:pStyle w:val="FIGURES"/>
        <w:spacing w:before="0" w:after="0" w:line="240" w:lineRule="auto"/>
        <w:rPr>
          <w:color w:val="auto"/>
        </w:rPr>
      </w:pPr>
      <w:bookmarkStart w:id="12" w:name="_Toc193391360"/>
      <w:r w:rsidRPr="000955D4">
        <w:rPr>
          <w:color w:val="auto"/>
        </w:rPr>
        <w:t xml:space="preserve">Figure </w:t>
      </w:r>
      <w:r w:rsidRPr="000955D4">
        <w:rPr>
          <w:color w:val="auto"/>
        </w:rPr>
        <w:fldChar w:fldCharType="begin"/>
      </w:r>
      <w:r w:rsidRPr="000955D4">
        <w:rPr>
          <w:color w:val="auto"/>
        </w:rPr>
        <w:instrText xml:space="preserve"> SEQ Figure \* ARABIC </w:instrText>
      </w:r>
      <w:r w:rsidRPr="000955D4">
        <w:rPr>
          <w:color w:val="auto"/>
        </w:rPr>
        <w:fldChar w:fldCharType="separate"/>
      </w:r>
      <w:r w:rsidRPr="000955D4">
        <w:rPr>
          <w:noProof/>
          <w:color w:val="auto"/>
        </w:rPr>
        <w:t>1</w:t>
      </w:r>
      <w:r w:rsidRPr="000955D4">
        <w:rPr>
          <w:noProof/>
          <w:color w:val="auto"/>
        </w:rPr>
        <w:fldChar w:fldCharType="end"/>
      </w:r>
      <w:r w:rsidRPr="000955D4">
        <w:rPr>
          <w:color w:val="auto"/>
        </w:rPr>
        <w:t>: Conceptual Framework</w:t>
      </w:r>
      <w:bookmarkEnd w:id="12"/>
    </w:p>
    <w:p w14:paraId="1A01F472" w14:textId="77777777" w:rsidR="00323877" w:rsidRPr="00323877" w:rsidRDefault="00323877" w:rsidP="00323877">
      <w:pPr>
        <w:pStyle w:val="Caption"/>
      </w:pPr>
    </w:p>
    <w:p w14:paraId="05B03C86" w14:textId="77777777" w:rsidR="00AD232C" w:rsidRPr="000955D4" w:rsidRDefault="00AD232C" w:rsidP="00820F58">
      <w:pPr>
        <w:spacing w:after="0" w:line="240" w:lineRule="auto"/>
        <w:rPr>
          <w:rFonts w:ascii="Times New Roman" w:hAnsi="Times New Roman" w:cs="Times New Roman"/>
        </w:rPr>
      </w:pPr>
      <w:r w:rsidRPr="000955D4">
        <w:rPr>
          <w:rFonts w:ascii="Times New Roman" w:hAnsi="Times New Roman" w:cs="Times New Roman"/>
          <w:noProof/>
        </w:rPr>
        <mc:AlternateContent>
          <mc:Choice Requires="wpg">
            <w:drawing>
              <wp:inline distT="0" distB="0" distL="0" distR="0" wp14:anchorId="2D5EDCCC" wp14:editId="406AF5B5">
                <wp:extent cx="5943206" cy="2400278"/>
                <wp:effectExtent l="0" t="0" r="19685" b="19685"/>
                <wp:docPr id="17" name="Group 3"/>
                <wp:cNvGraphicFramePr/>
                <a:graphic xmlns:a="http://schemas.openxmlformats.org/drawingml/2006/main">
                  <a:graphicData uri="http://schemas.microsoft.com/office/word/2010/wordprocessingGroup">
                    <wpg:wgp>
                      <wpg:cNvGrpSpPr/>
                      <wpg:grpSpPr>
                        <a:xfrm>
                          <a:off x="0" y="0"/>
                          <a:ext cx="5943206" cy="2400278"/>
                          <a:chOff x="0" y="0"/>
                          <a:chExt cx="49492" cy="21061"/>
                        </a:xfrm>
                      </wpg:grpSpPr>
                      <wps:wsp>
                        <wps:cNvPr id="18" name="Rectangle 4"/>
                        <wps:cNvSpPr>
                          <a:spLocks noChangeArrowheads="1"/>
                        </wps:cNvSpPr>
                        <wps:spPr bwMode="auto">
                          <a:xfrm>
                            <a:off x="0" y="5715"/>
                            <a:ext cx="24003" cy="15346"/>
                          </a:xfrm>
                          <a:prstGeom prst="rect">
                            <a:avLst/>
                          </a:prstGeom>
                          <a:noFill/>
                          <a:ln w="12700">
                            <a:solidFill>
                              <a:srgbClr val="000000"/>
                            </a:solidFill>
                            <a:miter lim="800000"/>
                          </a:ln>
                        </wps:spPr>
                        <wps:txbx>
                          <w:txbxContent>
                            <w:p w14:paraId="74D79D88" w14:textId="77777777" w:rsidR="00AD232C" w:rsidRDefault="00AD232C" w:rsidP="00AD232C">
                              <w:pPr>
                                <w:rPr>
                                  <w:rFonts w:ascii="Times New Roman" w:hAnsi="Times New Roman" w:cs="Times New Roman"/>
                                  <w:color w:val="000000" w:themeColor="text1"/>
                                </w:rPr>
                              </w:pPr>
                              <w:r>
                                <w:rPr>
                                  <w:rFonts w:ascii="Times New Roman" w:hAnsi="Times New Roman" w:cs="Times New Roman"/>
                                  <w:b/>
                                  <w:color w:val="000000" w:themeColor="text1"/>
                                </w:rPr>
                                <w:t xml:space="preserve">Stakeholder adaptability </w:t>
                              </w:r>
                            </w:p>
                            <w:p w14:paraId="0EC357A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 xml:space="preserve">Clear and open communication </w:t>
                              </w:r>
                            </w:p>
                            <w:p w14:paraId="77067536"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Teacher readiness</w:t>
                              </w:r>
                            </w:p>
                            <w:p w14:paraId="4DCB86C3"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Parental engagement in CBE.</w:t>
                              </w:r>
                            </w:p>
                            <w:p w14:paraId="13FDC14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Pupil adaptability to CBE.</w:t>
                              </w:r>
                            </w:p>
                            <w:p w14:paraId="08ECA3DA"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Local education authorities' commitment to CBE</w:t>
                              </w:r>
                            </w:p>
                            <w:p w14:paraId="79569A9D" w14:textId="77777777" w:rsidR="00AD232C" w:rsidRDefault="00AD232C" w:rsidP="00AD232C">
                              <w:pPr>
                                <w:pStyle w:val="ListParagraph"/>
                                <w:spacing w:line="276" w:lineRule="auto"/>
                                <w:ind w:left="360"/>
                                <w:jc w:val="both"/>
                                <w:rPr>
                                  <w:rFonts w:ascii="Times New Roman" w:hAnsi="Times New Roman" w:cs="Times New Roman"/>
                                </w:rPr>
                              </w:pPr>
                            </w:p>
                            <w:p w14:paraId="0A7670A0" w14:textId="77777777" w:rsidR="00AD232C" w:rsidRDefault="00AD232C" w:rsidP="00AD232C"/>
                            <w:p w14:paraId="7CCB59B3" w14:textId="77777777" w:rsidR="00AD232C" w:rsidRDefault="00AD232C" w:rsidP="00AD232C"/>
                            <w:p w14:paraId="203D3558" w14:textId="77777777" w:rsidR="00AD232C" w:rsidRDefault="00AD232C" w:rsidP="00AD232C"/>
                          </w:txbxContent>
                        </wps:txbx>
                        <wps:bodyPr rot="0" vert="horz" wrap="square" lIns="91440" tIns="45720" rIns="91440" bIns="45720" anchor="ctr" anchorCtr="0" upright="1">
                          <a:noAutofit/>
                        </wps:bodyPr>
                      </wps:wsp>
                      <wps:wsp>
                        <wps:cNvPr id="20" name="Rectangle 6"/>
                        <wps:cNvSpPr>
                          <a:spLocks noChangeArrowheads="1"/>
                        </wps:cNvSpPr>
                        <wps:spPr bwMode="auto">
                          <a:xfrm>
                            <a:off x="27221" y="5712"/>
                            <a:ext cx="22268" cy="15181"/>
                          </a:xfrm>
                          <a:prstGeom prst="rect">
                            <a:avLst/>
                          </a:prstGeom>
                          <a:noFill/>
                          <a:ln w="12700">
                            <a:solidFill>
                              <a:srgbClr val="000000"/>
                            </a:solidFill>
                            <a:miter lim="800000"/>
                          </a:ln>
                        </wps:spPr>
                        <wps:txbx>
                          <w:txbxContent>
                            <w:p w14:paraId="31EF0C27" w14:textId="77777777" w:rsidR="00AD232C" w:rsidRDefault="00AD232C" w:rsidP="00AD232C">
                              <w:pPr>
                                <w:rPr>
                                  <w:rFonts w:ascii="Times New Roman" w:hAnsi="Times New Roman" w:cs="Times New Roman"/>
                                  <w:b/>
                                </w:rPr>
                              </w:pPr>
                              <w:r>
                                <w:rPr>
                                  <w:rFonts w:ascii="Times New Roman" w:hAnsi="Times New Roman" w:cs="Times New Roman"/>
                                  <w:b/>
                                  <w:color w:val="000000" w:themeColor="text1"/>
                                </w:rPr>
                                <w:t xml:space="preserve">Adaptability to the </w:t>
                              </w:r>
                              <w:r>
                                <w:rPr>
                                  <w:rFonts w:ascii="Times New Roman" w:hAnsi="Times New Roman" w:cs="Times New Roman"/>
                                  <w:b/>
                                </w:rPr>
                                <w:t>CBE</w:t>
                              </w:r>
                            </w:p>
                            <w:p w14:paraId="3AB1F98D"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Stakeholder satisfaction</w:t>
                              </w:r>
                            </w:p>
                            <w:p w14:paraId="58BF77B4"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Academic achievement</w:t>
                              </w:r>
                            </w:p>
                            <w:p w14:paraId="44601A4B" w14:textId="77777777" w:rsidR="00AD232C" w:rsidRDefault="00AD232C" w:rsidP="00AD232C">
                              <w:pPr>
                                <w:pStyle w:val="ListParagraph"/>
                                <w:numPr>
                                  <w:ilvl w:val="0"/>
                                  <w:numId w:val="8"/>
                                </w:numPr>
                                <w:spacing w:line="259" w:lineRule="auto"/>
                              </w:pPr>
                              <w:r>
                                <w:rPr>
                                  <w:rFonts w:ascii="Times New Roman" w:hAnsi="Times New Roman" w:cs="Times New Roman"/>
                                </w:rPr>
                                <w:t>Transition rates</w:t>
                              </w:r>
                            </w:p>
                          </w:txbxContent>
                        </wps:txbx>
                        <wps:bodyPr rot="0" vert="horz" wrap="square" lIns="91440" tIns="45720" rIns="91440" bIns="45720" anchor="ctr" anchorCtr="0" upright="1">
                          <a:noAutofit/>
                        </wps:bodyPr>
                      </wps:wsp>
                      <wps:wsp>
                        <wps:cNvPr id="22" name="Rectangle 8"/>
                        <wps:cNvSpPr>
                          <a:spLocks noChangeArrowheads="1"/>
                        </wps:cNvSpPr>
                        <wps:spPr bwMode="auto">
                          <a:xfrm>
                            <a:off x="0" y="0"/>
                            <a:ext cx="23636" cy="4635"/>
                          </a:xfrm>
                          <a:prstGeom prst="rect">
                            <a:avLst/>
                          </a:prstGeom>
                          <a:noFill/>
                          <a:ln>
                            <a:noFill/>
                          </a:ln>
                        </wps:spPr>
                        <wps:txbx>
                          <w:txbxContent>
                            <w:p w14:paraId="3A807A0D" w14:textId="77777777" w:rsidR="00AD232C" w:rsidRDefault="00AD232C" w:rsidP="00AD232C">
                              <w:pPr>
                                <w:spacing w:after="0" w:line="360" w:lineRule="auto"/>
                                <w:jc w:val="center"/>
                                <w:rPr>
                                  <w:rFonts w:ascii="Times New Roman" w:hAnsi="Times New Roman" w:cs="Times New Roman"/>
                                  <w:b/>
                                </w:rPr>
                              </w:pPr>
                              <w:r>
                                <w:rPr>
                                  <w:rFonts w:ascii="Times New Roman" w:hAnsi="Times New Roman" w:cs="Times New Roman"/>
                                  <w:b/>
                                </w:rPr>
                                <w:t>Independent Variables</w:t>
                              </w:r>
                            </w:p>
                            <w:p w14:paraId="6DD72899" w14:textId="77777777" w:rsidR="00AD232C" w:rsidRDefault="00AD232C" w:rsidP="00AD232C">
                              <w:pPr>
                                <w:spacing w:after="0" w:line="360" w:lineRule="auto"/>
                                <w:jc w:val="center"/>
                              </w:pPr>
                              <w:r>
                                <w:rPr>
                                  <w:rFonts w:ascii="Times New Roman" w:hAnsi="Times New Roman" w:cs="Times New Roman"/>
                                  <w:b/>
                                  <w:color w:val="000000" w:themeColor="text1"/>
                                </w:rPr>
                                <w:t>Change Strategies</w:t>
                              </w:r>
                            </w:p>
                            <w:p w14:paraId="723D7AA7" w14:textId="77777777" w:rsidR="00AD232C" w:rsidRDefault="00AD232C" w:rsidP="00AD232C">
                              <w:pPr>
                                <w:spacing w:after="0" w:line="240" w:lineRule="auto"/>
                                <w:jc w:val="both"/>
                                <w:rPr>
                                  <w:rFonts w:ascii="Times New Roman" w:hAnsi="Times New Roman" w:cs="Times New Roman"/>
                                  <w:b/>
                                </w:rPr>
                              </w:pPr>
                            </w:p>
                          </w:txbxContent>
                        </wps:txbx>
                        <wps:bodyPr rot="0" vert="horz" wrap="square" lIns="91440" tIns="45720" rIns="91440" bIns="45720" anchor="ctr" anchorCtr="0" upright="1">
                          <a:noAutofit/>
                        </wps:bodyPr>
                      </wps:wsp>
                      <wps:wsp>
                        <wps:cNvPr id="23" name="Rectangle 9"/>
                        <wps:cNvSpPr>
                          <a:spLocks noChangeArrowheads="1"/>
                        </wps:cNvSpPr>
                        <wps:spPr bwMode="auto">
                          <a:xfrm>
                            <a:off x="31410" y="0"/>
                            <a:ext cx="18082" cy="5714"/>
                          </a:xfrm>
                          <a:prstGeom prst="rect">
                            <a:avLst/>
                          </a:prstGeom>
                          <a:noFill/>
                          <a:ln>
                            <a:noFill/>
                          </a:ln>
                        </wps:spPr>
                        <wps:txbx>
                          <w:txbxContent>
                            <w:p w14:paraId="35E34FA9" w14:textId="77777777" w:rsidR="00AD232C" w:rsidRDefault="00AD232C" w:rsidP="00AD232C">
                              <w:pPr>
                                <w:spacing w:line="360" w:lineRule="auto"/>
                                <w:jc w:val="center"/>
                                <w:rPr>
                                  <w:rFonts w:ascii="Times New Roman" w:hAnsi="Times New Roman" w:cs="Times New Roman"/>
                                  <w:b/>
                                </w:rPr>
                              </w:pPr>
                              <w:r>
                                <w:rPr>
                                  <w:rFonts w:ascii="Times New Roman" w:hAnsi="Times New Roman" w:cs="Times New Roman"/>
                                  <w:b/>
                                </w:rPr>
                                <w:t>Dependent Variable</w:t>
                              </w:r>
                            </w:p>
                            <w:p w14:paraId="6C73CD93" w14:textId="77777777" w:rsidR="00AD232C" w:rsidRDefault="00AD232C" w:rsidP="00AD232C">
                              <w:pPr>
                                <w:spacing w:line="360" w:lineRule="auto"/>
                                <w:jc w:val="center"/>
                              </w:pPr>
                              <w:r>
                                <w:rPr>
                                  <w:rFonts w:ascii="Times New Roman" w:hAnsi="Times New Roman" w:cs="Times New Roman"/>
                                  <w:b/>
                                  <w:color w:val="000000" w:themeColor="text1"/>
                                </w:rPr>
                                <w:t>Adaptability to the (CBE)</w:t>
                              </w:r>
                            </w:p>
                            <w:p w14:paraId="31A26FAC" w14:textId="77777777" w:rsidR="00AD232C" w:rsidRDefault="00AD232C" w:rsidP="00AD232C">
                              <w:pPr>
                                <w:spacing w:before="240" w:line="360" w:lineRule="auto"/>
                                <w:jc w:val="center"/>
                                <w:rPr>
                                  <w:rFonts w:ascii="Times New Roman" w:hAnsi="Times New Roman" w:cs="Times New Roman"/>
                                  <w:b/>
                                </w:rPr>
                              </w:pPr>
                            </w:p>
                            <w:p w14:paraId="3FA2E949" w14:textId="77777777" w:rsidR="00AD232C" w:rsidRDefault="00AD232C" w:rsidP="00AD232C">
                              <w:pPr>
                                <w:rPr>
                                  <w:rFonts w:ascii="Times New Roman" w:hAnsi="Times New Roman" w:cs="Times New Roman"/>
                                  <w:b/>
                                </w:rPr>
                              </w:pPr>
                            </w:p>
                          </w:txbxContent>
                        </wps:txbx>
                        <wps:bodyPr rot="0" vert="horz" wrap="square" lIns="91440" tIns="45720" rIns="91440" bIns="45720" anchor="ctr" anchorCtr="0" upright="1">
                          <a:noAutofit/>
                        </wps:bodyPr>
                      </wps:wsp>
                      <wps:wsp>
                        <wps:cNvPr id="25" name="Straight Arrow Connector 11"/>
                        <wps:cNvCnPr>
                          <a:cxnSpLocks noChangeShapeType="1"/>
                        </wps:cNvCnPr>
                        <wps:spPr bwMode="auto">
                          <a:xfrm>
                            <a:off x="24003" y="12874"/>
                            <a:ext cx="3219" cy="0"/>
                          </a:xfrm>
                          <a:prstGeom prst="straightConnector1">
                            <a:avLst/>
                          </a:prstGeom>
                          <a:noFill/>
                          <a:ln w="12700">
                            <a:solidFill>
                              <a:srgbClr val="000000"/>
                            </a:solidFill>
                            <a:miter lim="800000"/>
                            <a:tailEnd type="triangle" w="med" len="med"/>
                          </a:ln>
                        </wps:spPr>
                        <wps:bodyPr/>
                      </wps:wsp>
                    </wpg:wgp>
                  </a:graphicData>
                </a:graphic>
              </wp:inline>
            </w:drawing>
          </mc:Choice>
          <mc:Fallback>
            <w:pict>
              <v:group w14:anchorId="2D5EDCCC" id="Group 3" o:spid="_x0000_s1026" style="width:467.95pt;height:189pt;mso-position-horizontal-relative:char;mso-position-vertical-relative:line" coordsize="49492,2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">
                <v:rect id="Rectangle 4" o:spid="_x0000_s1027" style="position:absolute;top:5715;width:24003;height:15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" filled="f" strokeweight="1pt">
                  <v:textbox>
                    <w:txbxContent>
                      <w:p w14:paraId="74D79D88" w14:textId="77777777" w:rsidR="00AD232C" w:rsidRDefault="00AD232C" w:rsidP="00AD232C">
                        <w:pPr>
                          <w:rPr>
                            <w:rFonts w:ascii="Times New Roman" w:hAnsi="Times New Roman" w:cs="Times New Roman"/>
                            <w:color w:val="000000" w:themeColor="text1"/>
                          </w:rPr>
                        </w:pPr>
                        <w:r>
                          <w:rPr>
                            <w:rFonts w:ascii="Times New Roman" w:hAnsi="Times New Roman" w:cs="Times New Roman"/>
                            <w:b/>
                            <w:color w:val="000000" w:themeColor="text1"/>
                          </w:rPr>
                          <w:t xml:space="preserve">Stakeholder adaptability </w:t>
                        </w:r>
                      </w:p>
                      <w:p w14:paraId="0EC357A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 xml:space="preserve">Clear and open communication </w:t>
                        </w:r>
                      </w:p>
                      <w:p w14:paraId="77067536"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Teacher readiness</w:t>
                        </w:r>
                      </w:p>
                      <w:p w14:paraId="4DCB86C3"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Parental engagement in CBE.</w:t>
                        </w:r>
                      </w:p>
                      <w:p w14:paraId="13FDC14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Pupil adaptability to CBE.</w:t>
                        </w:r>
                      </w:p>
                      <w:p w14:paraId="08ECA3DA"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Local education authorities' commitment to CBE</w:t>
                        </w:r>
                      </w:p>
                      <w:p w14:paraId="79569A9D" w14:textId="77777777" w:rsidR="00AD232C" w:rsidRDefault="00AD232C" w:rsidP="00AD232C">
                        <w:pPr>
                          <w:pStyle w:val="ListParagraph"/>
                          <w:spacing w:line="276" w:lineRule="auto"/>
                          <w:ind w:left="360"/>
                          <w:jc w:val="both"/>
                          <w:rPr>
                            <w:rFonts w:ascii="Times New Roman" w:hAnsi="Times New Roman" w:cs="Times New Roman"/>
                          </w:rPr>
                        </w:pPr>
                      </w:p>
                      <w:p w14:paraId="0A7670A0" w14:textId="77777777" w:rsidR="00AD232C" w:rsidRDefault="00AD232C" w:rsidP="00AD232C"/>
                      <w:p w14:paraId="7CCB59B3" w14:textId="77777777" w:rsidR="00AD232C" w:rsidRDefault="00AD232C" w:rsidP="00AD232C"/>
                      <w:p w14:paraId="203D3558" w14:textId="77777777" w:rsidR="00AD232C" w:rsidRDefault="00AD232C" w:rsidP="00AD232C"/>
                    </w:txbxContent>
                  </v:textbox>
                </v:rect>
                <v:rect id="Rectangle 6" o:spid="_x0000_s1028" style="position:absolute;left:27221;top:5712;width:22268;height:1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" filled="f" strokeweight="1pt">
                  <v:textbox>
                    <w:txbxContent>
                      <w:p w14:paraId="31EF0C27" w14:textId="77777777" w:rsidR="00AD232C" w:rsidRDefault="00AD232C" w:rsidP="00AD232C">
                        <w:pPr>
                          <w:rPr>
                            <w:rFonts w:ascii="Times New Roman" w:hAnsi="Times New Roman" w:cs="Times New Roman"/>
                            <w:b/>
                          </w:rPr>
                        </w:pPr>
                        <w:r>
                          <w:rPr>
                            <w:rFonts w:ascii="Times New Roman" w:hAnsi="Times New Roman" w:cs="Times New Roman"/>
                            <w:b/>
                            <w:color w:val="000000" w:themeColor="text1"/>
                          </w:rPr>
                          <w:t xml:space="preserve">Adaptability to the </w:t>
                        </w:r>
                        <w:r>
                          <w:rPr>
                            <w:rFonts w:ascii="Times New Roman" w:hAnsi="Times New Roman" w:cs="Times New Roman"/>
                            <w:b/>
                          </w:rPr>
                          <w:t>CBE</w:t>
                        </w:r>
                      </w:p>
                      <w:p w14:paraId="3AB1F98D"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Stakeholder satisfaction</w:t>
                        </w:r>
                      </w:p>
                      <w:p w14:paraId="58BF77B4"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Academic achievement</w:t>
                        </w:r>
                      </w:p>
                      <w:p w14:paraId="44601A4B" w14:textId="77777777" w:rsidR="00AD232C" w:rsidRDefault="00AD232C" w:rsidP="00AD232C">
                        <w:pPr>
                          <w:pStyle w:val="ListParagraph"/>
                          <w:numPr>
                            <w:ilvl w:val="0"/>
                            <w:numId w:val="8"/>
                          </w:numPr>
                          <w:spacing w:line="259" w:lineRule="auto"/>
                        </w:pPr>
                        <w:r>
                          <w:rPr>
                            <w:rFonts w:ascii="Times New Roman" w:hAnsi="Times New Roman" w:cs="Times New Roman"/>
                          </w:rPr>
                          <w:t>Transition rates</w:t>
                        </w:r>
                      </w:p>
                    </w:txbxContent>
                  </v:textbox>
                </v:rect>
                <v:rect id="Rectangle 8" o:spid="_x0000_s1029" style="position:absolute;width:23636;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" filled="f" stroked="f">
                  <v:textbox>
                    <w:txbxContent>
                      <w:p w14:paraId="3A807A0D" w14:textId="77777777" w:rsidR="00AD232C" w:rsidRDefault="00AD232C" w:rsidP="00AD232C">
                        <w:pPr>
                          <w:spacing w:after="0" w:line="360" w:lineRule="auto"/>
                          <w:jc w:val="center"/>
                          <w:rPr>
                            <w:rFonts w:ascii="Times New Roman" w:hAnsi="Times New Roman" w:cs="Times New Roman"/>
                            <w:b/>
                          </w:rPr>
                        </w:pPr>
                        <w:r>
                          <w:rPr>
                            <w:rFonts w:ascii="Times New Roman" w:hAnsi="Times New Roman" w:cs="Times New Roman"/>
                            <w:b/>
                          </w:rPr>
                          <w:t>Independent Variables</w:t>
                        </w:r>
                      </w:p>
                      <w:p w14:paraId="6DD72899" w14:textId="77777777" w:rsidR="00AD232C" w:rsidRDefault="00AD232C" w:rsidP="00AD232C">
                        <w:pPr>
                          <w:spacing w:after="0" w:line="360" w:lineRule="auto"/>
                          <w:jc w:val="center"/>
                        </w:pPr>
                        <w:r>
                          <w:rPr>
                            <w:rFonts w:ascii="Times New Roman" w:hAnsi="Times New Roman" w:cs="Times New Roman"/>
                            <w:b/>
                            <w:color w:val="000000" w:themeColor="text1"/>
                          </w:rPr>
                          <w:t>Change Strategies</w:t>
                        </w:r>
                      </w:p>
                      <w:p w14:paraId="723D7AA7" w14:textId="77777777" w:rsidR="00AD232C" w:rsidRDefault="00AD232C" w:rsidP="00AD232C">
                        <w:pPr>
                          <w:spacing w:after="0" w:line="240" w:lineRule="auto"/>
                          <w:jc w:val="both"/>
                          <w:rPr>
                            <w:rFonts w:ascii="Times New Roman" w:hAnsi="Times New Roman" w:cs="Times New Roman"/>
                            <w:b/>
                          </w:rPr>
                        </w:pPr>
                      </w:p>
                    </w:txbxContent>
                  </v:textbox>
                </v:rect>
                <v:rect id="Rectangle 9" o:spid="_x0000_s1030" style="position:absolute;left:31410;width:18082;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35E34FA9" w14:textId="77777777" w:rsidR="00AD232C" w:rsidRDefault="00AD232C" w:rsidP="00AD232C">
                        <w:pPr>
                          <w:spacing w:line="360" w:lineRule="auto"/>
                          <w:jc w:val="center"/>
                          <w:rPr>
                            <w:rFonts w:ascii="Times New Roman" w:hAnsi="Times New Roman" w:cs="Times New Roman"/>
                            <w:b/>
                          </w:rPr>
                        </w:pPr>
                        <w:r>
                          <w:rPr>
                            <w:rFonts w:ascii="Times New Roman" w:hAnsi="Times New Roman" w:cs="Times New Roman"/>
                            <w:b/>
                          </w:rPr>
                          <w:t>Dependent Variable</w:t>
                        </w:r>
                      </w:p>
                      <w:p w14:paraId="6C73CD93" w14:textId="77777777" w:rsidR="00AD232C" w:rsidRDefault="00AD232C" w:rsidP="00AD232C">
                        <w:pPr>
                          <w:spacing w:line="360" w:lineRule="auto"/>
                          <w:jc w:val="center"/>
                        </w:pPr>
                        <w:r>
                          <w:rPr>
                            <w:rFonts w:ascii="Times New Roman" w:hAnsi="Times New Roman" w:cs="Times New Roman"/>
                            <w:b/>
                            <w:color w:val="000000" w:themeColor="text1"/>
                          </w:rPr>
                          <w:t>Adaptability to the (CBE)</w:t>
                        </w:r>
                      </w:p>
                      <w:p w14:paraId="31A26FAC" w14:textId="77777777" w:rsidR="00AD232C" w:rsidRDefault="00AD232C" w:rsidP="00AD232C">
                        <w:pPr>
                          <w:spacing w:before="240" w:line="360" w:lineRule="auto"/>
                          <w:jc w:val="center"/>
                          <w:rPr>
                            <w:rFonts w:ascii="Times New Roman" w:hAnsi="Times New Roman" w:cs="Times New Roman"/>
                            <w:b/>
                          </w:rPr>
                        </w:pPr>
                      </w:p>
                      <w:p w14:paraId="3FA2E949" w14:textId="77777777" w:rsidR="00AD232C" w:rsidRDefault="00AD232C" w:rsidP="00AD232C">
                        <w:pPr>
                          <w:rPr>
                            <w:rFonts w:ascii="Times New Roman" w:hAnsi="Times New Roman" w:cs="Times New Roman"/>
                            <w:b/>
                          </w:rPr>
                        </w:pPr>
                      </w:p>
                    </w:txbxContent>
                  </v:textbox>
                </v:rect>
                <v:shapetype id="_x0000_t32" coordsize="21600,21600" o:spt="32" o:oned="t" path="m,l21600,21600e" filled="f">
                  <v:path arrowok="t" fillok="f" o:connecttype="none"/>
                  <o:lock v:ext="edit" shapetype="t"/>
                </v:shapetype>
                <v:shape id="Straight Arrow Connector 11" o:spid="_x0000_s1031" type="#_x0000_t32" style="position:absolute;left:24003;top:12874;width:3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" strokeweight="1pt">
                  <v:stroke endarrow="block" joinstyle="miter"/>
                </v:shape>
                <w10:anchorlock/>
              </v:group>
            </w:pict>
          </mc:Fallback>
        </mc:AlternateContent>
      </w:r>
    </w:p>
    <w:p w14:paraId="0C137982" w14:textId="480DE735" w:rsidR="008F462D" w:rsidRDefault="008F462D" w:rsidP="00820F58">
      <w:pPr>
        <w:pStyle w:val="Heading2"/>
        <w:spacing w:before="0" w:after="0" w:line="240" w:lineRule="auto"/>
        <w:jc w:val="both"/>
        <w:rPr>
          <w:rFonts w:ascii="Times New Roman" w:eastAsiaTheme="minorHAnsi" w:hAnsi="Times New Roman" w:cs="Times New Roman"/>
          <w:b/>
          <w:color w:val="auto"/>
          <w:sz w:val="24"/>
          <w:szCs w:val="24"/>
        </w:rPr>
      </w:pPr>
      <w:r w:rsidRPr="000955D4">
        <w:rPr>
          <w:rFonts w:ascii="Times New Roman" w:eastAsiaTheme="minorHAnsi" w:hAnsi="Times New Roman" w:cs="Times New Roman"/>
          <w:b/>
          <w:color w:val="auto"/>
          <w:sz w:val="24"/>
          <w:szCs w:val="24"/>
        </w:rPr>
        <w:t xml:space="preserve">Research </w:t>
      </w:r>
      <w:bookmarkEnd w:id="11"/>
      <w:r w:rsidR="000515F8" w:rsidRPr="000955D4">
        <w:rPr>
          <w:rFonts w:ascii="Times New Roman" w:eastAsiaTheme="minorHAnsi" w:hAnsi="Times New Roman" w:cs="Times New Roman"/>
          <w:b/>
          <w:color w:val="auto"/>
          <w:sz w:val="24"/>
          <w:szCs w:val="24"/>
        </w:rPr>
        <w:t>Methodology</w:t>
      </w:r>
    </w:p>
    <w:p w14:paraId="4AD5C78F" w14:textId="77777777" w:rsidR="00323877" w:rsidRPr="00323877" w:rsidRDefault="00323877" w:rsidP="00323877"/>
    <w:p w14:paraId="298BCA9E" w14:textId="20A14F89" w:rsidR="008F462D"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research design used in the study was correlational research design, which is aimed at understanding and explaining the nature of relationship between two variables. This design was mainly aimed at establishing the existence of a relationship, as well as describing the nature of this relationship (Creswell &amp; Creswell, 2018). According to the database held at the Sub-County Education office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there were 26 registered public primary schools in the Sub-County. The study targeted the head teachers, teachers, Parents, Sub- County directors for education and curriculum support officers (CSOs) (Garissa County Education office, 2024</w:t>
      </w:r>
      <w:r w:rsidR="000166F5" w:rsidRPr="000955D4">
        <w:rPr>
          <w:rFonts w:ascii="Times New Roman" w:hAnsi="Times New Roman" w:cs="Times New Roman"/>
        </w:rPr>
        <w:t xml:space="preserve">). </w:t>
      </w:r>
      <w:r w:rsidRPr="000955D4">
        <w:rPr>
          <w:rFonts w:ascii="Times New Roman" w:hAnsi="Times New Roman" w:cs="Times New Roman"/>
        </w:rPr>
        <w:t>The target population is presented in table 1.</w:t>
      </w:r>
    </w:p>
    <w:p w14:paraId="1B71869E" w14:textId="77777777" w:rsidR="00323877" w:rsidRPr="000955D4" w:rsidRDefault="00323877" w:rsidP="00820F58">
      <w:pPr>
        <w:spacing w:after="0" w:line="240" w:lineRule="auto"/>
        <w:jc w:val="both"/>
        <w:rPr>
          <w:rFonts w:ascii="Times New Roman" w:hAnsi="Times New Roman" w:cs="Times New Roman"/>
        </w:rPr>
      </w:pPr>
    </w:p>
    <w:p w14:paraId="72E8D095" w14:textId="77777777" w:rsidR="008F462D" w:rsidRPr="000955D4" w:rsidRDefault="008F462D" w:rsidP="00820F58">
      <w:pPr>
        <w:pStyle w:val="TABLES0"/>
        <w:spacing w:before="0" w:after="0" w:line="240" w:lineRule="auto"/>
        <w:rPr>
          <w:color w:val="auto"/>
        </w:rPr>
      </w:pPr>
      <w:bookmarkStart w:id="13" w:name="_Toc207119692"/>
      <w:r w:rsidRPr="000955D4">
        <w:rPr>
          <w:color w:val="auto"/>
        </w:rPr>
        <w:t>Table 1: Target Population</w:t>
      </w:r>
      <w:bookmarkEnd w:id="13"/>
      <w:r w:rsidRPr="000955D4">
        <w:rPr>
          <w:color w:val="auto"/>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3208"/>
      </w:tblGrid>
      <w:tr w:rsidR="000955D4" w:rsidRPr="000955D4" w14:paraId="67283EF3" w14:textId="77777777" w:rsidTr="0039127A">
        <w:tc>
          <w:tcPr>
            <w:tcW w:w="6228" w:type="dxa"/>
            <w:tcBorders>
              <w:top w:val="single" w:sz="4" w:space="0" w:color="auto"/>
              <w:bottom w:val="single" w:sz="4" w:space="0" w:color="auto"/>
            </w:tcBorders>
          </w:tcPr>
          <w:p w14:paraId="6896E561"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Category </w:t>
            </w:r>
          </w:p>
        </w:tc>
        <w:tc>
          <w:tcPr>
            <w:tcW w:w="3240" w:type="dxa"/>
            <w:tcBorders>
              <w:top w:val="single" w:sz="4" w:space="0" w:color="auto"/>
              <w:bottom w:val="single" w:sz="4" w:space="0" w:color="auto"/>
            </w:tcBorders>
          </w:tcPr>
          <w:p w14:paraId="7FEAA0D0"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Frequency </w:t>
            </w:r>
          </w:p>
        </w:tc>
      </w:tr>
      <w:tr w:rsidR="000955D4" w:rsidRPr="000955D4" w14:paraId="43BA43C1" w14:textId="77777777" w:rsidTr="0039127A">
        <w:tc>
          <w:tcPr>
            <w:tcW w:w="6228" w:type="dxa"/>
            <w:tcBorders>
              <w:top w:val="single" w:sz="4" w:space="0" w:color="auto"/>
            </w:tcBorders>
          </w:tcPr>
          <w:p w14:paraId="0E03E5F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Headteachers </w:t>
            </w:r>
          </w:p>
        </w:tc>
        <w:tc>
          <w:tcPr>
            <w:tcW w:w="3240" w:type="dxa"/>
            <w:tcBorders>
              <w:top w:val="single" w:sz="4" w:space="0" w:color="auto"/>
            </w:tcBorders>
          </w:tcPr>
          <w:p w14:paraId="469B0276"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26 </w:t>
            </w:r>
          </w:p>
        </w:tc>
      </w:tr>
      <w:tr w:rsidR="000955D4" w:rsidRPr="000955D4" w14:paraId="524953F9" w14:textId="77777777" w:rsidTr="0039127A">
        <w:tc>
          <w:tcPr>
            <w:tcW w:w="6228" w:type="dxa"/>
          </w:tcPr>
          <w:p w14:paraId="5BC6299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Parents</w:t>
            </w:r>
          </w:p>
        </w:tc>
        <w:tc>
          <w:tcPr>
            <w:tcW w:w="3240" w:type="dxa"/>
          </w:tcPr>
          <w:p w14:paraId="5C37587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26</w:t>
            </w:r>
          </w:p>
        </w:tc>
      </w:tr>
      <w:tr w:rsidR="000955D4" w:rsidRPr="000955D4" w14:paraId="3E621E16" w14:textId="77777777" w:rsidTr="0039127A">
        <w:tc>
          <w:tcPr>
            <w:tcW w:w="6228" w:type="dxa"/>
          </w:tcPr>
          <w:p w14:paraId="62275EA2"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Teachers </w:t>
            </w:r>
          </w:p>
        </w:tc>
        <w:tc>
          <w:tcPr>
            <w:tcW w:w="3240" w:type="dxa"/>
          </w:tcPr>
          <w:p w14:paraId="1B664B4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120 </w:t>
            </w:r>
          </w:p>
        </w:tc>
      </w:tr>
      <w:tr w:rsidR="000955D4" w:rsidRPr="000955D4" w14:paraId="00388DB7" w14:textId="77777777" w:rsidTr="0039127A">
        <w:tc>
          <w:tcPr>
            <w:tcW w:w="6228" w:type="dxa"/>
          </w:tcPr>
          <w:p w14:paraId="5528F62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Sub-County Directors (Education &amp; TSC) </w:t>
            </w:r>
          </w:p>
        </w:tc>
        <w:tc>
          <w:tcPr>
            <w:tcW w:w="3240" w:type="dxa"/>
          </w:tcPr>
          <w:p w14:paraId="1F79016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r>
      <w:tr w:rsidR="000955D4" w:rsidRPr="000955D4" w14:paraId="3D60DB9A" w14:textId="77777777" w:rsidTr="0039127A">
        <w:tc>
          <w:tcPr>
            <w:tcW w:w="6228" w:type="dxa"/>
          </w:tcPr>
          <w:p w14:paraId="14A1542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CSOs/Quality Assurance </w:t>
            </w:r>
          </w:p>
        </w:tc>
        <w:tc>
          <w:tcPr>
            <w:tcW w:w="3240" w:type="dxa"/>
          </w:tcPr>
          <w:p w14:paraId="0C2688F5"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r>
      <w:tr w:rsidR="000955D4" w:rsidRPr="000955D4" w14:paraId="5E6E4CA8" w14:textId="77777777" w:rsidTr="0039127A">
        <w:tc>
          <w:tcPr>
            <w:tcW w:w="6228" w:type="dxa"/>
          </w:tcPr>
          <w:p w14:paraId="47D5829C"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Total </w:t>
            </w:r>
          </w:p>
        </w:tc>
        <w:tc>
          <w:tcPr>
            <w:tcW w:w="3240" w:type="dxa"/>
          </w:tcPr>
          <w:p w14:paraId="65007AA7"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178</w:t>
            </w:r>
          </w:p>
        </w:tc>
      </w:tr>
    </w:tbl>
    <w:p w14:paraId="487FA9C3" w14:textId="77777777" w:rsidR="008F462D" w:rsidRPr="000955D4"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Source: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Education office (2024)</w:t>
      </w:r>
    </w:p>
    <w:p w14:paraId="0E738CDA" w14:textId="77777777" w:rsidR="008F462D" w:rsidRDefault="008F462D" w:rsidP="00820F58">
      <w:pPr>
        <w:spacing w:after="0" w:line="240" w:lineRule="auto"/>
        <w:jc w:val="both"/>
        <w:rPr>
          <w:rFonts w:ascii="Times New Roman" w:hAnsi="Times New Roman" w:cs="Times New Roman"/>
        </w:rPr>
      </w:pPr>
      <w:bookmarkStart w:id="14" w:name="_Hlk206309531"/>
      <w:r w:rsidRPr="000955D4">
        <w:rPr>
          <w:rFonts w:ascii="Times New Roman" w:hAnsi="Times New Roman" w:cs="Times New Roman"/>
        </w:rPr>
        <w:lastRenderedPageBreak/>
        <w:t>The sampling procedure that the study adopted is the multistage sampling where multiple sampling techniques was adopted. For the Sub-County Directors (Education &amp; TSC) and CSOs/Quality Assurance, census method was adopted where all elements will be involved. For the other elements of the population (headteachers, parents and teachers), a sample size of 30% was selected using simple random sampling to participate in the study. This was in line with Mugenda &amp; Mugenda (2013) who holds that 10% - 30% provides an optimum sample that fulfilled the requirements of efficiency, representativeness, reliability and flexibility for a study population in social sciences. Thus 8 schools were selected translating to 8 headteachers, 8 parents and 36 teachers. Table 2 presents sample size for the study.</w:t>
      </w:r>
    </w:p>
    <w:p w14:paraId="373370D4" w14:textId="77777777" w:rsidR="00323877" w:rsidRPr="000955D4" w:rsidRDefault="00323877" w:rsidP="00820F58">
      <w:pPr>
        <w:spacing w:after="0" w:line="240" w:lineRule="auto"/>
        <w:jc w:val="both"/>
        <w:rPr>
          <w:rFonts w:ascii="Times New Roman" w:hAnsi="Times New Roman" w:cs="Times New Roman"/>
        </w:rPr>
      </w:pPr>
    </w:p>
    <w:p w14:paraId="01EF2E3D" w14:textId="77777777" w:rsidR="008F462D" w:rsidRPr="000955D4" w:rsidRDefault="008F462D" w:rsidP="00820F58">
      <w:pPr>
        <w:pStyle w:val="TABLES0"/>
        <w:spacing w:before="0" w:after="0" w:line="240" w:lineRule="auto"/>
        <w:rPr>
          <w:color w:val="auto"/>
        </w:rPr>
      </w:pPr>
      <w:bookmarkStart w:id="15" w:name="_Toc207119693"/>
      <w:r w:rsidRPr="000955D4">
        <w:rPr>
          <w:color w:val="auto"/>
        </w:rPr>
        <w:t>Table 2: Sample Size</w:t>
      </w:r>
      <w:bookmarkEnd w:id="15"/>
      <w:r w:rsidRPr="000955D4">
        <w:rPr>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409"/>
        <w:gridCol w:w="2667"/>
      </w:tblGrid>
      <w:tr w:rsidR="000955D4" w:rsidRPr="000955D4" w14:paraId="77E53A29" w14:textId="77777777" w:rsidTr="0039127A">
        <w:tc>
          <w:tcPr>
            <w:tcW w:w="4338" w:type="dxa"/>
            <w:tcBorders>
              <w:top w:val="single" w:sz="4" w:space="0" w:color="auto"/>
              <w:bottom w:val="single" w:sz="4" w:space="0" w:color="auto"/>
            </w:tcBorders>
          </w:tcPr>
          <w:p w14:paraId="4FCD7FA0"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Category </w:t>
            </w:r>
          </w:p>
        </w:tc>
        <w:tc>
          <w:tcPr>
            <w:tcW w:w="2430" w:type="dxa"/>
            <w:tcBorders>
              <w:top w:val="single" w:sz="4" w:space="0" w:color="auto"/>
              <w:bottom w:val="single" w:sz="4" w:space="0" w:color="auto"/>
            </w:tcBorders>
          </w:tcPr>
          <w:p w14:paraId="19A5F013"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Population </w:t>
            </w:r>
          </w:p>
        </w:tc>
        <w:tc>
          <w:tcPr>
            <w:tcW w:w="2700" w:type="dxa"/>
            <w:tcBorders>
              <w:top w:val="single" w:sz="4" w:space="0" w:color="auto"/>
              <w:bottom w:val="single" w:sz="4" w:space="0" w:color="auto"/>
            </w:tcBorders>
          </w:tcPr>
          <w:p w14:paraId="0DF7D64F"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Sample</w:t>
            </w:r>
          </w:p>
        </w:tc>
      </w:tr>
      <w:tr w:rsidR="000955D4" w:rsidRPr="000955D4" w14:paraId="2D776E7A" w14:textId="77777777" w:rsidTr="0039127A">
        <w:tc>
          <w:tcPr>
            <w:tcW w:w="4338" w:type="dxa"/>
            <w:tcBorders>
              <w:top w:val="single" w:sz="4" w:space="0" w:color="auto"/>
            </w:tcBorders>
          </w:tcPr>
          <w:p w14:paraId="2FF5303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Headteachers </w:t>
            </w:r>
          </w:p>
        </w:tc>
        <w:tc>
          <w:tcPr>
            <w:tcW w:w="2430" w:type="dxa"/>
            <w:tcBorders>
              <w:top w:val="single" w:sz="4" w:space="0" w:color="auto"/>
            </w:tcBorders>
          </w:tcPr>
          <w:p w14:paraId="6C4717B9"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26 </w:t>
            </w:r>
          </w:p>
        </w:tc>
        <w:tc>
          <w:tcPr>
            <w:tcW w:w="2700" w:type="dxa"/>
            <w:tcBorders>
              <w:top w:val="single" w:sz="4" w:space="0" w:color="auto"/>
            </w:tcBorders>
          </w:tcPr>
          <w:p w14:paraId="7E66166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8</w:t>
            </w:r>
          </w:p>
        </w:tc>
      </w:tr>
      <w:tr w:rsidR="000955D4" w:rsidRPr="000955D4" w14:paraId="148F03A2" w14:textId="77777777" w:rsidTr="0039127A">
        <w:tc>
          <w:tcPr>
            <w:tcW w:w="4338" w:type="dxa"/>
          </w:tcPr>
          <w:p w14:paraId="59D6032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Parents</w:t>
            </w:r>
          </w:p>
        </w:tc>
        <w:tc>
          <w:tcPr>
            <w:tcW w:w="2430" w:type="dxa"/>
          </w:tcPr>
          <w:p w14:paraId="0244D2C8"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26</w:t>
            </w:r>
          </w:p>
        </w:tc>
        <w:tc>
          <w:tcPr>
            <w:tcW w:w="2700" w:type="dxa"/>
          </w:tcPr>
          <w:p w14:paraId="2556F8A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8</w:t>
            </w:r>
          </w:p>
        </w:tc>
      </w:tr>
      <w:tr w:rsidR="000955D4" w:rsidRPr="000955D4" w14:paraId="4AD3DB8D" w14:textId="77777777" w:rsidTr="0039127A">
        <w:tc>
          <w:tcPr>
            <w:tcW w:w="4338" w:type="dxa"/>
          </w:tcPr>
          <w:p w14:paraId="4D8B0EDB"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Teachers </w:t>
            </w:r>
          </w:p>
        </w:tc>
        <w:tc>
          <w:tcPr>
            <w:tcW w:w="2430" w:type="dxa"/>
          </w:tcPr>
          <w:p w14:paraId="6AC5B97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120 </w:t>
            </w:r>
          </w:p>
        </w:tc>
        <w:tc>
          <w:tcPr>
            <w:tcW w:w="2700" w:type="dxa"/>
          </w:tcPr>
          <w:p w14:paraId="3E68856F"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36</w:t>
            </w:r>
          </w:p>
        </w:tc>
      </w:tr>
      <w:tr w:rsidR="000955D4" w:rsidRPr="000955D4" w14:paraId="11AC3AD6" w14:textId="77777777" w:rsidTr="0039127A">
        <w:tc>
          <w:tcPr>
            <w:tcW w:w="4338" w:type="dxa"/>
          </w:tcPr>
          <w:p w14:paraId="3C9A7D1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Sub-County Directors (Education &amp; TSC) </w:t>
            </w:r>
          </w:p>
        </w:tc>
        <w:tc>
          <w:tcPr>
            <w:tcW w:w="2430" w:type="dxa"/>
          </w:tcPr>
          <w:p w14:paraId="0DBE0FDC"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c>
          <w:tcPr>
            <w:tcW w:w="2700" w:type="dxa"/>
          </w:tcPr>
          <w:p w14:paraId="4F73345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r>
      <w:tr w:rsidR="000955D4" w:rsidRPr="000955D4" w14:paraId="61A09505" w14:textId="77777777" w:rsidTr="0039127A">
        <w:tc>
          <w:tcPr>
            <w:tcW w:w="4338" w:type="dxa"/>
          </w:tcPr>
          <w:p w14:paraId="1759EAE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CSOs/Quality Assurance </w:t>
            </w:r>
          </w:p>
        </w:tc>
        <w:tc>
          <w:tcPr>
            <w:tcW w:w="2430" w:type="dxa"/>
          </w:tcPr>
          <w:p w14:paraId="6F964F00"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c>
          <w:tcPr>
            <w:tcW w:w="2700" w:type="dxa"/>
          </w:tcPr>
          <w:p w14:paraId="7461A916"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r>
      <w:tr w:rsidR="000955D4" w:rsidRPr="000955D4" w14:paraId="322013FB" w14:textId="77777777" w:rsidTr="0039127A">
        <w:tc>
          <w:tcPr>
            <w:tcW w:w="4338" w:type="dxa"/>
            <w:tcBorders>
              <w:bottom w:val="single" w:sz="4" w:space="0" w:color="auto"/>
            </w:tcBorders>
          </w:tcPr>
          <w:p w14:paraId="6881CD89"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Total </w:t>
            </w:r>
          </w:p>
        </w:tc>
        <w:tc>
          <w:tcPr>
            <w:tcW w:w="2430" w:type="dxa"/>
            <w:tcBorders>
              <w:bottom w:val="single" w:sz="4" w:space="0" w:color="auto"/>
            </w:tcBorders>
          </w:tcPr>
          <w:p w14:paraId="56B6F01D"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178</w:t>
            </w:r>
          </w:p>
        </w:tc>
        <w:tc>
          <w:tcPr>
            <w:tcW w:w="2700" w:type="dxa"/>
            <w:tcBorders>
              <w:bottom w:val="single" w:sz="4" w:space="0" w:color="auto"/>
            </w:tcBorders>
          </w:tcPr>
          <w:p w14:paraId="43265F3A"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58</w:t>
            </w:r>
          </w:p>
        </w:tc>
      </w:tr>
    </w:tbl>
    <w:p w14:paraId="13AB4AD8" w14:textId="77777777" w:rsidR="008F462D" w:rsidRPr="000955D4"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Source: Author (2024)</w:t>
      </w:r>
    </w:p>
    <w:p w14:paraId="4EFCCC22" w14:textId="39A2E002" w:rsidR="008F462D" w:rsidRDefault="008F462D" w:rsidP="00820F58">
      <w:pPr>
        <w:spacing w:after="0" w:line="240" w:lineRule="auto"/>
        <w:jc w:val="both"/>
        <w:rPr>
          <w:rFonts w:ascii="Times New Roman" w:hAnsi="Times New Roman" w:cs="Times New Roman"/>
        </w:rPr>
      </w:pPr>
      <w:bookmarkStart w:id="16" w:name="_Hlk206309622"/>
      <w:bookmarkEnd w:id="14"/>
      <w:r w:rsidRPr="000955D4">
        <w:rPr>
          <w:rFonts w:ascii="Times New Roman" w:hAnsi="Times New Roman" w:cs="Times New Roman"/>
        </w:rPr>
        <w:t xml:space="preserve">This study used questionnaires and interview guides as its instruments for collecting data. </w:t>
      </w:r>
      <w:bookmarkEnd w:id="16"/>
      <w:r w:rsidRPr="000955D4">
        <w:rPr>
          <w:rFonts w:ascii="Times New Roman" w:hAnsi="Times New Roman" w:cs="Times New Roman"/>
        </w:rPr>
        <w:t xml:space="preserve">A pilot test of the instrument was conducted with 6 respondents from neighboring </w:t>
      </w:r>
      <w:proofErr w:type="spellStart"/>
      <w:r w:rsidRPr="000955D4">
        <w:rPr>
          <w:rFonts w:ascii="Times New Roman" w:hAnsi="Times New Roman" w:cs="Times New Roman"/>
        </w:rPr>
        <w:t>Sankuri</w:t>
      </w:r>
      <w:proofErr w:type="spellEnd"/>
      <w:r w:rsidRPr="000955D4">
        <w:rPr>
          <w:rFonts w:ascii="Times New Roman" w:hAnsi="Times New Roman" w:cs="Times New Roman"/>
        </w:rPr>
        <w:t xml:space="preserve"> sub-county who share same characteristics as the actual target where 6 respondents represent a 10% of the target sample hence effective for piloting and testing reliability. </w:t>
      </w:r>
      <w:r w:rsidR="00885891" w:rsidRPr="000955D4">
        <w:rPr>
          <w:rFonts w:ascii="Times New Roman" w:hAnsi="Times New Roman" w:cs="Times New Roman"/>
        </w:rPr>
        <w:t>The reliability of the study instruments was established using Cronbach’s alpha (α) a statistical measure of internal consistency</w:t>
      </w:r>
      <w:r w:rsidR="00885891" w:rsidRPr="000955D4">
        <w:rPr>
          <w:rFonts w:ascii="Times New Roman" w:eastAsia="Times New Roman" w:hAnsi="Times New Roman" w:cs="Times New Roman"/>
        </w:rPr>
        <w:t xml:space="preserve">, the head teachers’ and teachers’ questionnaire yielded an α of 0.884, indicating excellent internal consistency, while the parents’ questionnaire obtained an α of 0.861, also demonstrating high reliability. </w:t>
      </w:r>
      <w:r w:rsidRPr="000955D4">
        <w:rPr>
          <w:rFonts w:ascii="Times New Roman" w:hAnsi="Times New Roman" w:cs="Times New Roman"/>
        </w:rPr>
        <w:t>The study employed a mixed-methods approach utilizing both qualitative and quantitative data analysis techniques to address the research objectives. Qualitative analysis was done using thematic analysis involved systematic examination of responses to identify common themes and patterns, followed by narrative analysis to explore how themes relate to each other and align with research objectives.</w:t>
      </w:r>
      <w:r w:rsidR="00434AA5" w:rsidRPr="000955D4">
        <w:rPr>
          <w:rFonts w:ascii="Times New Roman" w:hAnsi="Times New Roman" w:cs="Times New Roman"/>
        </w:rPr>
        <w:t xml:space="preserve"> </w:t>
      </w:r>
      <w:r w:rsidRPr="000955D4">
        <w:rPr>
          <w:rFonts w:ascii="Times New Roman" w:hAnsi="Times New Roman" w:cs="Times New Roman"/>
        </w:rPr>
        <w:t>Quantitative data analysis employed descriptive statistics including means, standard deviations, frequency distributions, and percentages, with findings presented through tables</w:t>
      </w:r>
      <w:r w:rsidR="00434AA5" w:rsidRPr="000955D4">
        <w:rPr>
          <w:rFonts w:ascii="Times New Roman" w:hAnsi="Times New Roman" w:cs="Times New Roman"/>
        </w:rPr>
        <w:t xml:space="preserve"> </w:t>
      </w:r>
      <w:r w:rsidRPr="000955D4">
        <w:rPr>
          <w:rFonts w:ascii="Times New Roman" w:hAnsi="Times New Roman" w:cs="Times New Roman"/>
        </w:rPr>
        <w:t>and fi</w:t>
      </w:r>
      <w:r w:rsidR="00805BCF" w:rsidRPr="000955D4">
        <w:rPr>
          <w:rFonts w:ascii="Times New Roman" w:hAnsi="Times New Roman" w:cs="Times New Roman"/>
        </w:rPr>
        <w:t xml:space="preserve">gures for clear interpretation. </w:t>
      </w:r>
      <w:r w:rsidRPr="000955D4">
        <w:rPr>
          <w:rFonts w:ascii="Times New Roman" w:hAnsi="Times New Roman" w:cs="Times New Roman"/>
        </w:rPr>
        <w:t>Inferential statistics, specifically Pearson correlation analysis, examined relationships between study variables and enable evidence-based predictions about the larger population, uncovering underlying patterns and trends beyond mere data description (Zhang et al., 2018).</w:t>
      </w:r>
    </w:p>
    <w:p w14:paraId="0C0B57FB" w14:textId="77777777" w:rsidR="00323877" w:rsidRPr="000955D4" w:rsidRDefault="00323877" w:rsidP="00820F58">
      <w:pPr>
        <w:spacing w:after="0" w:line="240" w:lineRule="auto"/>
        <w:jc w:val="both"/>
        <w:rPr>
          <w:rFonts w:ascii="Times New Roman" w:eastAsia="Times New Roman" w:hAnsi="Times New Roman" w:cs="Times New Roman"/>
        </w:rPr>
      </w:pPr>
    </w:p>
    <w:p w14:paraId="52E0990E" w14:textId="1E5A4FD7" w:rsidR="0050483D" w:rsidRDefault="008F6B60" w:rsidP="00820F58">
      <w:pPr>
        <w:pStyle w:val="Heading1"/>
        <w:spacing w:before="0" w:after="0" w:line="240" w:lineRule="auto"/>
        <w:rPr>
          <w:rFonts w:ascii="Times New Roman" w:hAnsi="Times New Roman" w:cs="Times New Roman"/>
          <w:b/>
          <w:bCs/>
          <w:color w:val="auto"/>
          <w:sz w:val="24"/>
          <w:szCs w:val="24"/>
        </w:rPr>
      </w:pPr>
      <w:bookmarkStart w:id="17" w:name="_Toc207009313"/>
      <w:bookmarkEnd w:id="9"/>
      <w:bookmarkEnd w:id="10"/>
      <w:r w:rsidRPr="000955D4">
        <w:rPr>
          <w:rFonts w:ascii="Times New Roman" w:hAnsi="Times New Roman" w:cs="Times New Roman"/>
          <w:b/>
          <w:bCs/>
          <w:color w:val="auto"/>
          <w:sz w:val="24"/>
          <w:szCs w:val="24"/>
        </w:rPr>
        <w:t xml:space="preserve">Findings </w:t>
      </w:r>
      <w:r w:rsidR="00AB29B1" w:rsidRPr="000955D4">
        <w:rPr>
          <w:rFonts w:ascii="Times New Roman" w:hAnsi="Times New Roman" w:cs="Times New Roman"/>
          <w:b/>
          <w:bCs/>
          <w:color w:val="auto"/>
          <w:sz w:val="24"/>
          <w:szCs w:val="24"/>
        </w:rPr>
        <w:t>and Discussion</w:t>
      </w:r>
      <w:bookmarkEnd w:id="17"/>
      <w:r w:rsidR="00AB29B1" w:rsidRPr="000955D4">
        <w:rPr>
          <w:rFonts w:ascii="Times New Roman" w:hAnsi="Times New Roman" w:cs="Times New Roman"/>
          <w:b/>
          <w:bCs/>
          <w:color w:val="auto"/>
          <w:sz w:val="24"/>
          <w:szCs w:val="24"/>
        </w:rPr>
        <w:t xml:space="preserve"> </w:t>
      </w:r>
    </w:p>
    <w:p w14:paraId="01492BCA" w14:textId="77777777" w:rsidR="00323877" w:rsidRPr="00323877" w:rsidRDefault="00323877" w:rsidP="00323877"/>
    <w:p w14:paraId="7B4FD291" w14:textId="62BD6B3C" w:rsidR="00CF4B50" w:rsidRPr="000955D4" w:rsidRDefault="00820F58" w:rsidP="00820F58">
      <w:pPr>
        <w:spacing w:after="0" w:line="240" w:lineRule="auto"/>
        <w:jc w:val="both"/>
        <w:rPr>
          <w:rFonts w:ascii="Times New Roman" w:hAnsi="Times New Roman" w:cs="Times New Roman"/>
        </w:rPr>
      </w:pPr>
      <w:r w:rsidRPr="000955D4">
        <w:rPr>
          <w:rFonts w:ascii="Times New Roman" w:hAnsi="Times New Roman" w:cs="Times New Roman"/>
          <w:b/>
        </w:rPr>
        <w:t xml:space="preserve">Teachers and </w:t>
      </w:r>
      <w:proofErr w:type="gramStart"/>
      <w:r w:rsidRPr="000955D4">
        <w:rPr>
          <w:rFonts w:ascii="Times New Roman" w:hAnsi="Times New Roman" w:cs="Times New Roman"/>
          <w:b/>
        </w:rPr>
        <w:t>Headteachers</w:t>
      </w:r>
      <w:r w:rsidRPr="000955D4">
        <w:rPr>
          <w:rFonts w:ascii="Times New Roman" w:hAnsi="Times New Roman" w:cs="Times New Roman"/>
        </w:rPr>
        <w:t xml:space="preserve">  </w:t>
      </w:r>
      <w:r w:rsidR="00CF4B50" w:rsidRPr="000955D4">
        <w:rPr>
          <w:rFonts w:ascii="Times New Roman" w:hAnsi="Times New Roman" w:cs="Times New Roman"/>
          <w:b/>
        </w:rPr>
        <w:t>Stakeholder</w:t>
      </w:r>
      <w:proofErr w:type="gramEnd"/>
      <w:r w:rsidR="00CF4B50" w:rsidRPr="000955D4">
        <w:rPr>
          <w:rFonts w:ascii="Times New Roman" w:hAnsi="Times New Roman" w:cs="Times New Roman"/>
          <w:b/>
        </w:rPr>
        <w:t xml:space="preserve"> Awareness </w:t>
      </w:r>
    </w:p>
    <w:p w14:paraId="6987BDDE" w14:textId="404E039B"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stakeholder awareness analysis of the Competency-Based Education (CBE) system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gives a mixed report, with some positive points and others that need immediate intervention. First, the results indicate that stakeholders are comparatively more aware of the mission of the CBE system (Mean = 2.68, SD = 1.04) and their roles and responsibilities in implementing it (Mean = 2.70, SD = 1.03). Such a score indicates that a reasonable number of teachers, head teachers and education officers know the general vision and their respective roles </w:t>
      </w:r>
      <w:r w:rsidRPr="000955D4">
        <w:rPr>
          <w:rFonts w:ascii="Times New Roman" w:hAnsi="Times New Roman" w:cs="Times New Roman"/>
        </w:rPr>
        <w:lastRenderedPageBreak/>
        <w:t>to the system. But the standard deviations also indicate that there is a large deviation in the responses, so there is no uniformity in awareness to all stakeholders. Such imbalances may result in a lack of coherence in the implementation as some actors may be well prepared and others are ill-informed.</w:t>
      </w:r>
    </w:p>
    <w:p w14:paraId="178BCCE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On the other hand, the results point to significant weaknesses in the practical structures meant to support stakeholder awareness. For example, regular workshops and training sessions (Mean = 2.51, SD = 1.03) and ease of access to relevant information (Mean = 2.49, SD = 1.06) both scored relatively low. This indicates that while the Ministry of Education and related agencies may have provided initial orientation on CBE, continuous professional development and access to updated learning materials remain limited. Such gaps could hinder effective rollout, as stakeholders may lack up-to-date information on policy changes, curriculum adjustments, or implementation guidelines.</w:t>
      </w:r>
    </w:p>
    <w:p w14:paraId="693FCEC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Equally concerning is the low rating of communication channels (Mean = 2.44, SD = 1.04) and stakeholder involvement in planning and implementation (Mean = 2.35, SD = 1.02). These findings suggest that information dissemination mechanisms are either not reaching all stakeholders effectively or are not timely enough to support smooth implementation. Furthermore, the limited involvement of stakeholders in decision-making and planning implies a top-down approach to policy rollout, where schools and communities are treated as passive recipients rather than active partners. </w:t>
      </w:r>
      <w:proofErr w:type="gramStart"/>
      <w:r w:rsidRPr="000955D4">
        <w:rPr>
          <w:rFonts w:ascii="Times New Roman" w:hAnsi="Times New Roman" w:cs="Times New Roman"/>
        </w:rPr>
        <w:t>This risks</w:t>
      </w:r>
      <w:proofErr w:type="gramEnd"/>
      <w:r w:rsidRPr="000955D4">
        <w:rPr>
          <w:rFonts w:ascii="Times New Roman" w:hAnsi="Times New Roman" w:cs="Times New Roman"/>
        </w:rPr>
        <w:t xml:space="preserve"> alienating key factors such as parents, teachers, and local leaders, whose buy-in is essential for the sustainability of CBE reforms.</w:t>
      </w:r>
    </w:p>
    <w:p w14:paraId="4FEC3F2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Nonetheless, there is some positivity in the area of stakeholder feedback (Mean = 2.54, SD = 1.03), which, while not very strong, indicates that mechanisms exist for collecting views from stakeholders. However, the mixed responses suggest that these mechanisms may not be consistently applied, or stakeholders feel their feedback is not always acted upon. This could explain why trust and active engagement remain moderate rather than strong.</w:t>
      </w:r>
    </w:p>
    <w:p w14:paraId="353F57A4" w14:textId="77777777" w:rsidR="006234FC" w:rsidRPr="000955D4" w:rsidRDefault="006234FC" w:rsidP="00820F58">
      <w:pPr>
        <w:pStyle w:val="NormalWeb"/>
        <w:spacing w:before="0" w:beforeAutospacing="0" w:after="0" w:afterAutospacing="0"/>
        <w:jc w:val="both"/>
      </w:pPr>
      <w:r w:rsidRPr="000955D4">
        <w:t xml:space="preserve">The results of the present study support the central position of stakeholder involvement in improving internal efficiency and reforming education in the sphere of public secondary schools. As noted in line with Onyango (2021), the study points out that awareness of school vision and mission statements by stakeholders especially principals is positively correlated with better promotion rates and overall school performance. This implies that accountability and motivation among school communities require strategic clarity and shared institutional goals. The moderate awareness levels recorded in </w:t>
      </w:r>
      <w:proofErr w:type="spellStart"/>
      <w:r w:rsidRPr="000955D4">
        <w:t>Balambala</w:t>
      </w:r>
      <w:proofErr w:type="spellEnd"/>
      <w:r w:rsidRPr="000955D4">
        <w:t xml:space="preserve"> are similar to those recorded by Onyango in Kisumu and </w:t>
      </w:r>
      <w:proofErr w:type="spellStart"/>
      <w:r w:rsidRPr="000955D4">
        <w:t>Uasin</w:t>
      </w:r>
      <w:proofErr w:type="spellEnd"/>
      <w:r w:rsidRPr="000955D4">
        <w:t xml:space="preserve"> Gishu Counties, highlighting the importance of communication interventions to close the gap in awareness levels of teachers, students, and parents.</w:t>
      </w:r>
    </w:p>
    <w:p w14:paraId="5A120951" w14:textId="77777777" w:rsidR="006234FC" w:rsidRPr="000955D4" w:rsidRDefault="006234FC" w:rsidP="00820F58">
      <w:pPr>
        <w:pStyle w:val="NormalWeb"/>
        <w:spacing w:before="0" w:beforeAutospacing="0" w:after="0" w:afterAutospacing="0"/>
        <w:jc w:val="both"/>
      </w:pPr>
      <w:r w:rsidRPr="000955D4">
        <w:t xml:space="preserve">In addition, the study also captures the same concerns described by </w:t>
      </w:r>
      <w:proofErr w:type="spellStart"/>
      <w:r w:rsidRPr="000955D4">
        <w:t>Isaboke</w:t>
      </w:r>
      <w:proofErr w:type="spellEnd"/>
      <w:r w:rsidRPr="000955D4">
        <w:t xml:space="preserve">, </w:t>
      </w:r>
      <w:proofErr w:type="spellStart"/>
      <w:r w:rsidRPr="000955D4">
        <w:t>Wambiri</w:t>
      </w:r>
      <w:proofErr w:type="spellEnd"/>
      <w:r w:rsidRPr="000955D4">
        <w:t xml:space="preserve">, and Mweru (2021) regarding the Competency-Based Curriculum (CBC) in the Nairobi City County. </w:t>
      </w:r>
      <w:proofErr w:type="spellStart"/>
      <w:r w:rsidRPr="000955D4">
        <w:t>Balambala</w:t>
      </w:r>
      <w:proofErr w:type="spellEnd"/>
      <w:r w:rsidRPr="000955D4">
        <w:t xml:space="preserve"> also offers structural obstacles to teachers and they are the same in that there is a research of poor training, no resources, and low parent involvement. Such constraints constrain successful implementation of CBC and culminate into a bigger issue of institutional support inadequate systems. Such gaps ought to be dealt with by a multi-stakeholder’s framework that encompasses capacity building, mobilization of resources, as well as the sensitization of the community in ensuring that it makes sense to be present and own curriculum reforms.</w:t>
      </w:r>
    </w:p>
    <w:p w14:paraId="00FC40FF" w14:textId="77777777" w:rsidR="006234FC" w:rsidRDefault="006234FC" w:rsidP="00820F58">
      <w:pPr>
        <w:pStyle w:val="NormalWeb"/>
        <w:spacing w:before="0" w:beforeAutospacing="0" w:after="0" w:afterAutospacing="0"/>
        <w:jc w:val="both"/>
      </w:pPr>
      <w:r w:rsidRPr="000955D4">
        <w:t xml:space="preserve">The research also correlates with the observation of Macharia (2011) that the involvement of the stakeholders is fundamental in the proper implementation of the strategies. Failure to make decisions inclusive and participated in problem solving has also in </w:t>
      </w:r>
      <w:proofErr w:type="spellStart"/>
      <w:r w:rsidRPr="000955D4">
        <w:t>Balambala</w:t>
      </w:r>
      <w:proofErr w:type="spellEnd"/>
      <w:r w:rsidRPr="000955D4">
        <w:t xml:space="preserve"> frustrated the reform initiatives and resulted in being opposed by key players. The Nairobi findings by Macharia indicate </w:t>
      </w:r>
      <w:r w:rsidRPr="000955D4">
        <w:lastRenderedPageBreak/>
        <w:t>that in situations where the stakeholders highly contribute in the planning and the implementation phases, the reforms stand higher chances of gaining momentum and yield long-term results. This enhances the importance of participatory modes of governance in the education context where openness and communication have been prioritized.</w:t>
      </w:r>
    </w:p>
    <w:p w14:paraId="74396235" w14:textId="77777777" w:rsidR="00323877" w:rsidRPr="000955D4" w:rsidRDefault="00323877" w:rsidP="00820F58">
      <w:pPr>
        <w:pStyle w:val="NormalWeb"/>
        <w:spacing w:before="0" w:beforeAutospacing="0" w:after="0" w:afterAutospacing="0"/>
        <w:jc w:val="both"/>
      </w:pPr>
    </w:p>
    <w:p w14:paraId="4ADFC020" w14:textId="3BC115DA" w:rsidR="006234FC" w:rsidRPr="000955D4" w:rsidRDefault="006234FC" w:rsidP="00820F58">
      <w:pPr>
        <w:pStyle w:val="TABLES0"/>
        <w:spacing w:before="0" w:after="0" w:line="240" w:lineRule="auto"/>
        <w:rPr>
          <w:color w:val="auto"/>
        </w:rPr>
      </w:pPr>
      <w:bookmarkStart w:id="18" w:name="_Toc207119698"/>
      <w:r w:rsidRPr="000955D4">
        <w:rPr>
          <w:color w:val="auto"/>
        </w:rPr>
        <w:t xml:space="preserve">Table </w:t>
      </w:r>
      <w:r w:rsidR="00F3252F" w:rsidRPr="000955D4">
        <w:rPr>
          <w:color w:val="auto"/>
        </w:rPr>
        <w:t>3</w:t>
      </w:r>
      <w:r w:rsidRPr="000955D4">
        <w:rPr>
          <w:color w:val="auto"/>
        </w:rPr>
        <w:t>: Stakeholder Awareness for headteachers and teachers</w:t>
      </w:r>
      <w:bookmarkEnd w:id="18"/>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923"/>
        <w:gridCol w:w="996"/>
        <w:gridCol w:w="996"/>
        <w:gridCol w:w="1208"/>
        <w:gridCol w:w="900"/>
        <w:gridCol w:w="720"/>
      </w:tblGrid>
      <w:tr w:rsidR="000955D4" w:rsidRPr="000955D4" w14:paraId="70A2C50F" w14:textId="77777777" w:rsidTr="0039127A">
        <w:tc>
          <w:tcPr>
            <w:tcW w:w="3612" w:type="dxa"/>
            <w:tcBorders>
              <w:top w:val="single" w:sz="4" w:space="0" w:color="auto"/>
              <w:bottom w:val="single" w:sz="4" w:space="0" w:color="auto"/>
            </w:tcBorders>
          </w:tcPr>
          <w:p w14:paraId="04DA5EF3" w14:textId="77777777" w:rsidR="006234FC" w:rsidRPr="000955D4" w:rsidRDefault="006234FC" w:rsidP="00820F58">
            <w:pPr>
              <w:pStyle w:val="BodyText"/>
              <w:spacing w:before="0" w:beforeAutospacing="0" w:after="0"/>
              <w:jc w:val="both"/>
              <w:rPr>
                <w:b/>
                <w:sz w:val="24"/>
                <w:szCs w:val="24"/>
              </w:rPr>
            </w:pPr>
            <w:r w:rsidRPr="000955D4">
              <w:rPr>
                <w:b/>
                <w:sz w:val="24"/>
                <w:szCs w:val="24"/>
              </w:rPr>
              <w:t>Statement</w:t>
            </w:r>
          </w:p>
        </w:tc>
        <w:tc>
          <w:tcPr>
            <w:tcW w:w="923" w:type="dxa"/>
            <w:tcBorders>
              <w:top w:val="single" w:sz="4" w:space="0" w:color="auto"/>
              <w:bottom w:val="single" w:sz="4" w:space="0" w:color="auto"/>
            </w:tcBorders>
          </w:tcPr>
          <w:p w14:paraId="48794327" w14:textId="7C63E7F5" w:rsidR="006234FC" w:rsidRPr="000955D4" w:rsidRDefault="0083625D" w:rsidP="00820F58">
            <w:pPr>
              <w:pStyle w:val="BodyText"/>
              <w:spacing w:before="0" w:beforeAutospacing="0" w:after="0"/>
              <w:jc w:val="both"/>
              <w:rPr>
                <w:b/>
                <w:sz w:val="24"/>
                <w:szCs w:val="24"/>
              </w:rPr>
            </w:pPr>
            <w:r w:rsidRPr="000955D4">
              <w:rPr>
                <w:b/>
                <w:sz w:val="24"/>
                <w:szCs w:val="24"/>
              </w:rPr>
              <w:t>SA (</w:t>
            </w:r>
            <w:r w:rsidR="006234FC" w:rsidRPr="000955D4">
              <w:rPr>
                <w:b/>
                <w:sz w:val="24"/>
                <w:szCs w:val="24"/>
              </w:rPr>
              <w:t>%)</w:t>
            </w:r>
          </w:p>
        </w:tc>
        <w:tc>
          <w:tcPr>
            <w:tcW w:w="996" w:type="dxa"/>
            <w:tcBorders>
              <w:top w:val="single" w:sz="4" w:space="0" w:color="auto"/>
              <w:bottom w:val="single" w:sz="4" w:space="0" w:color="auto"/>
            </w:tcBorders>
          </w:tcPr>
          <w:p w14:paraId="6F1215D1" w14:textId="71111F91" w:rsidR="006234FC" w:rsidRPr="000955D4" w:rsidRDefault="0083625D" w:rsidP="00820F58">
            <w:pPr>
              <w:pStyle w:val="BodyText"/>
              <w:spacing w:before="0" w:beforeAutospacing="0" w:after="0"/>
              <w:jc w:val="both"/>
              <w:rPr>
                <w:b/>
                <w:sz w:val="24"/>
                <w:szCs w:val="24"/>
              </w:rPr>
            </w:pPr>
            <w:r w:rsidRPr="000955D4">
              <w:rPr>
                <w:b/>
                <w:sz w:val="24"/>
                <w:szCs w:val="24"/>
              </w:rPr>
              <w:t>A (</w:t>
            </w:r>
            <w:r w:rsidR="006234FC" w:rsidRPr="000955D4">
              <w:rPr>
                <w:b/>
                <w:sz w:val="24"/>
                <w:szCs w:val="24"/>
              </w:rPr>
              <w:t>%)</w:t>
            </w:r>
          </w:p>
        </w:tc>
        <w:tc>
          <w:tcPr>
            <w:tcW w:w="996" w:type="dxa"/>
            <w:tcBorders>
              <w:top w:val="single" w:sz="4" w:space="0" w:color="auto"/>
              <w:bottom w:val="single" w:sz="4" w:space="0" w:color="auto"/>
            </w:tcBorders>
          </w:tcPr>
          <w:p w14:paraId="23DBED49" w14:textId="386F2F17" w:rsidR="006234FC" w:rsidRPr="000955D4" w:rsidRDefault="0083625D" w:rsidP="00820F58">
            <w:pPr>
              <w:pStyle w:val="BodyText"/>
              <w:spacing w:before="0" w:beforeAutospacing="0" w:after="0"/>
              <w:jc w:val="both"/>
              <w:rPr>
                <w:b/>
                <w:sz w:val="24"/>
                <w:szCs w:val="24"/>
              </w:rPr>
            </w:pPr>
            <w:r w:rsidRPr="000955D4">
              <w:rPr>
                <w:b/>
                <w:sz w:val="24"/>
                <w:szCs w:val="24"/>
              </w:rPr>
              <w:t>D (</w:t>
            </w:r>
            <w:r w:rsidR="006234FC" w:rsidRPr="000955D4">
              <w:rPr>
                <w:b/>
                <w:sz w:val="24"/>
                <w:szCs w:val="24"/>
              </w:rPr>
              <w:t>%)</w:t>
            </w:r>
          </w:p>
        </w:tc>
        <w:tc>
          <w:tcPr>
            <w:tcW w:w="1208" w:type="dxa"/>
            <w:tcBorders>
              <w:top w:val="single" w:sz="4" w:space="0" w:color="auto"/>
              <w:bottom w:val="single" w:sz="4" w:space="0" w:color="auto"/>
            </w:tcBorders>
          </w:tcPr>
          <w:p w14:paraId="472AD4D3" w14:textId="2FF268BF" w:rsidR="006234FC" w:rsidRPr="000955D4" w:rsidRDefault="0083625D" w:rsidP="00820F58">
            <w:pPr>
              <w:pStyle w:val="BodyText"/>
              <w:spacing w:before="0" w:beforeAutospacing="0" w:after="0"/>
              <w:jc w:val="both"/>
              <w:rPr>
                <w:b/>
                <w:sz w:val="24"/>
                <w:szCs w:val="24"/>
              </w:rPr>
            </w:pPr>
            <w:r w:rsidRPr="000955D4">
              <w:rPr>
                <w:b/>
                <w:sz w:val="24"/>
                <w:szCs w:val="24"/>
              </w:rPr>
              <w:t>SD (</w:t>
            </w:r>
            <w:r w:rsidR="006234FC" w:rsidRPr="000955D4">
              <w:rPr>
                <w:b/>
                <w:sz w:val="24"/>
                <w:szCs w:val="24"/>
              </w:rPr>
              <w:t>%)</w:t>
            </w:r>
          </w:p>
        </w:tc>
        <w:tc>
          <w:tcPr>
            <w:tcW w:w="900" w:type="dxa"/>
            <w:tcBorders>
              <w:top w:val="single" w:sz="4" w:space="0" w:color="auto"/>
              <w:bottom w:val="single" w:sz="4" w:space="0" w:color="auto"/>
            </w:tcBorders>
          </w:tcPr>
          <w:p w14:paraId="51336B2F" w14:textId="77777777" w:rsidR="006234FC" w:rsidRPr="000955D4" w:rsidRDefault="006234FC" w:rsidP="00820F58">
            <w:pPr>
              <w:pStyle w:val="BodyText"/>
              <w:spacing w:before="0" w:beforeAutospacing="0" w:after="0"/>
              <w:jc w:val="both"/>
              <w:rPr>
                <w:b/>
                <w:sz w:val="24"/>
                <w:szCs w:val="24"/>
              </w:rPr>
            </w:pPr>
            <w:r w:rsidRPr="000955D4">
              <w:rPr>
                <w:b/>
                <w:sz w:val="24"/>
                <w:szCs w:val="24"/>
              </w:rPr>
              <w:t>Mean</w:t>
            </w:r>
          </w:p>
        </w:tc>
        <w:tc>
          <w:tcPr>
            <w:tcW w:w="720" w:type="dxa"/>
            <w:tcBorders>
              <w:top w:val="single" w:sz="4" w:space="0" w:color="auto"/>
              <w:bottom w:val="single" w:sz="4" w:space="0" w:color="auto"/>
            </w:tcBorders>
          </w:tcPr>
          <w:p w14:paraId="3CA3BD52" w14:textId="77777777" w:rsidR="006234FC" w:rsidRPr="000955D4" w:rsidRDefault="006234FC" w:rsidP="00820F58">
            <w:pPr>
              <w:pStyle w:val="BodyText"/>
              <w:spacing w:before="0" w:beforeAutospacing="0" w:after="0"/>
              <w:jc w:val="both"/>
              <w:rPr>
                <w:b/>
                <w:sz w:val="24"/>
                <w:szCs w:val="24"/>
              </w:rPr>
            </w:pPr>
            <w:r w:rsidRPr="000955D4">
              <w:rPr>
                <w:b/>
                <w:sz w:val="24"/>
                <w:szCs w:val="24"/>
              </w:rPr>
              <w:t>Std Dev</w:t>
            </w:r>
          </w:p>
        </w:tc>
      </w:tr>
      <w:tr w:rsidR="000955D4" w:rsidRPr="000955D4" w14:paraId="227C6441" w14:textId="77777777" w:rsidTr="0039127A">
        <w:tc>
          <w:tcPr>
            <w:tcW w:w="3612" w:type="dxa"/>
            <w:tcBorders>
              <w:top w:val="single" w:sz="4" w:space="0" w:color="auto"/>
            </w:tcBorders>
          </w:tcPr>
          <w:p w14:paraId="2F6EBB39"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The stakeholders in </w:t>
            </w:r>
            <w:proofErr w:type="spellStart"/>
            <w:r w:rsidRPr="000955D4">
              <w:rPr>
                <w:rFonts w:ascii="Times New Roman" w:hAnsi="Times New Roman" w:cs="Times New Roman"/>
                <w:sz w:val="24"/>
                <w:szCs w:val="24"/>
              </w:rPr>
              <w:t>Balambala</w:t>
            </w:r>
            <w:proofErr w:type="spellEnd"/>
            <w:r w:rsidRPr="000955D4">
              <w:rPr>
                <w:rFonts w:ascii="Times New Roman" w:hAnsi="Times New Roman" w:cs="Times New Roman"/>
                <w:sz w:val="24"/>
                <w:szCs w:val="24"/>
              </w:rPr>
              <w:t xml:space="preserve"> Sub-County are well-informed about the objectives of the CBE education system.</w:t>
            </w:r>
          </w:p>
        </w:tc>
        <w:tc>
          <w:tcPr>
            <w:tcW w:w="923" w:type="dxa"/>
            <w:tcBorders>
              <w:top w:val="single" w:sz="4" w:space="0" w:color="auto"/>
            </w:tcBorders>
            <w:vAlign w:val="center"/>
          </w:tcPr>
          <w:p w14:paraId="46114D67" w14:textId="77777777" w:rsidR="006234FC" w:rsidRPr="000955D4" w:rsidRDefault="006234FC" w:rsidP="00820F58">
            <w:pPr>
              <w:pStyle w:val="BodyText"/>
              <w:spacing w:before="0" w:beforeAutospacing="0" w:after="0"/>
              <w:jc w:val="both"/>
              <w:rPr>
                <w:sz w:val="24"/>
                <w:szCs w:val="24"/>
              </w:rPr>
            </w:pPr>
            <w:r w:rsidRPr="000955D4">
              <w:rPr>
                <w:sz w:val="24"/>
                <w:szCs w:val="24"/>
              </w:rPr>
              <w:t>4 (9.3%)</w:t>
            </w:r>
          </w:p>
        </w:tc>
        <w:tc>
          <w:tcPr>
            <w:tcW w:w="996" w:type="dxa"/>
            <w:tcBorders>
              <w:top w:val="single" w:sz="4" w:space="0" w:color="auto"/>
            </w:tcBorders>
            <w:vAlign w:val="center"/>
          </w:tcPr>
          <w:p w14:paraId="20D33E23" w14:textId="77777777" w:rsidR="006234FC" w:rsidRPr="000955D4" w:rsidRDefault="006234FC" w:rsidP="00820F58">
            <w:pPr>
              <w:pStyle w:val="BodyText"/>
              <w:spacing w:before="0" w:beforeAutospacing="0" w:after="0"/>
              <w:jc w:val="both"/>
              <w:rPr>
                <w:sz w:val="24"/>
                <w:szCs w:val="24"/>
              </w:rPr>
            </w:pPr>
            <w:r w:rsidRPr="000955D4">
              <w:rPr>
                <w:sz w:val="24"/>
                <w:szCs w:val="24"/>
              </w:rPr>
              <w:t>8 (18.6%)</w:t>
            </w:r>
          </w:p>
        </w:tc>
        <w:tc>
          <w:tcPr>
            <w:tcW w:w="996" w:type="dxa"/>
            <w:tcBorders>
              <w:top w:val="single" w:sz="4" w:space="0" w:color="auto"/>
            </w:tcBorders>
            <w:vAlign w:val="center"/>
          </w:tcPr>
          <w:p w14:paraId="630396C2" w14:textId="77777777" w:rsidR="006234FC" w:rsidRPr="000955D4" w:rsidRDefault="006234FC" w:rsidP="00820F58">
            <w:pPr>
              <w:pStyle w:val="BodyText"/>
              <w:spacing w:before="0" w:beforeAutospacing="0" w:after="0"/>
              <w:jc w:val="both"/>
              <w:rPr>
                <w:sz w:val="24"/>
                <w:szCs w:val="24"/>
              </w:rPr>
            </w:pPr>
            <w:r w:rsidRPr="000955D4">
              <w:rPr>
                <w:sz w:val="24"/>
                <w:szCs w:val="24"/>
              </w:rPr>
              <w:t>18 (41.9%)</w:t>
            </w:r>
          </w:p>
        </w:tc>
        <w:tc>
          <w:tcPr>
            <w:tcW w:w="1208" w:type="dxa"/>
            <w:tcBorders>
              <w:top w:val="single" w:sz="4" w:space="0" w:color="auto"/>
            </w:tcBorders>
            <w:vAlign w:val="center"/>
          </w:tcPr>
          <w:p w14:paraId="1BBB8CB6"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tcBorders>
              <w:top w:val="single" w:sz="4" w:space="0" w:color="auto"/>
            </w:tcBorders>
            <w:vAlign w:val="center"/>
          </w:tcPr>
          <w:p w14:paraId="0511DBBE" w14:textId="77777777" w:rsidR="006234FC" w:rsidRPr="000955D4" w:rsidRDefault="006234FC" w:rsidP="00820F58">
            <w:pPr>
              <w:pStyle w:val="BodyText"/>
              <w:spacing w:before="0" w:beforeAutospacing="0" w:after="0"/>
              <w:jc w:val="both"/>
              <w:rPr>
                <w:sz w:val="24"/>
                <w:szCs w:val="24"/>
              </w:rPr>
            </w:pPr>
            <w:r w:rsidRPr="000955D4">
              <w:rPr>
                <w:sz w:val="24"/>
                <w:szCs w:val="24"/>
              </w:rPr>
              <w:t>2.07</w:t>
            </w:r>
          </w:p>
        </w:tc>
        <w:tc>
          <w:tcPr>
            <w:tcW w:w="720" w:type="dxa"/>
            <w:tcBorders>
              <w:top w:val="single" w:sz="4" w:space="0" w:color="auto"/>
            </w:tcBorders>
            <w:vAlign w:val="center"/>
          </w:tcPr>
          <w:p w14:paraId="1927AF4A" w14:textId="77777777" w:rsidR="006234FC" w:rsidRPr="000955D4" w:rsidRDefault="006234FC" w:rsidP="00820F58">
            <w:pPr>
              <w:pStyle w:val="BodyText"/>
              <w:spacing w:before="0" w:beforeAutospacing="0" w:after="0"/>
              <w:jc w:val="both"/>
              <w:rPr>
                <w:sz w:val="24"/>
                <w:szCs w:val="24"/>
              </w:rPr>
            </w:pPr>
            <w:r w:rsidRPr="000955D4">
              <w:rPr>
                <w:sz w:val="24"/>
                <w:szCs w:val="24"/>
              </w:rPr>
              <w:t>0.96</w:t>
            </w:r>
          </w:p>
        </w:tc>
      </w:tr>
      <w:tr w:rsidR="000955D4" w:rsidRPr="000955D4" w14:paraId="6768908D" w14:textId="77777777" w:rsidTr="0039127A">
        <w:tc>
          <w:tcPr>
            <w:tcW w:w="3612" w:type="dxa"/>
          </w:tcPr>
          <w:p w14:paraId="191ED833"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There are regular workshops and training sessions for stakeholders on the CBE education system.</w:t>
            </w:r>
          </w:p>
        </w:tc>
        <w:tc>
          <w:tcPr>
            <w:tcW w:w="923" w:type="dxa"/>
            <w:vAlign w:val="center"/>
          </w:tcPr>
          <w:p w14:paraId="4F58D40C"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1DCBC10E" w14:textId="77777777" w:rsidR="006234FC" w:rsidRPr="000955D4" w:rsidRDefault="006234FC" w:rsidP="00820F58">
            <w:pPr>
              <w:pStyle w:val="BodyText"/>
              <w:spacing w:before="0" w:beforeAutospacing="0" w:after="0"/>
              <w:jc w:val="both"/>
              <w:rPr>
                <w:sz w:val="24"/>
                <w:szCs w:val="24"/>
              </w:rPr>
            </w:pPr>
            <w:r w:rsidRPr="000955D4">
              <w:rPr>
                <w:sz w:val="24"/>
                <w:szCs w:val="24"/>
              </w:rPr>
              <w:t>7 (16.3%)</w:t>
            </w:r>
          </w:p>
        </w:tc>
        <w:tc>
          <w:tcPr>
            <w:tcW w:w="996" w:type="dxa"/>
            <w:vAlign w:val="center"/>
          </w:tcPr>
          <w:p w14:paraId="2CB9F0C2" w14:textId="77777777" w:rsidR="006234FC" w:rsidRPr="000955D4" w:rsidRDefault="006234FC" w:rsidP="00820F58">
            <w:pPr>
              <w:pStyle w:val="BodyText"/>
              <w:spacing w:before="0" w:beforeAutospacing="0" w:after="0"/>
              <w:jc w:val="both"/>
              <w:rPr>
                <w:sz w:val="24"/>
                <w:szCs w:val="24"/>
              </w:rPr>
            </w:pPr>
            <w:r w:rsidRPr="000955D4">
              <w:rPr>
                <w:sz w:val="24"/>
                <w:szCs w:val="24"/>
              </w:rPr>
              <w:t>19 (44.2%)</w:t>
            </w:r>
          </w:p>
        </w:tc>
        <w:tc>
          <w:tcPr>
            <w:tcW w:w="1208" w:type="dxa"/>
            <w:vAlign w:val="center"/>
          </w:tcPr>
          <w:p w14:paraId="7455FE91"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2213F471" w14:textId="77777777" w:rsidR="006234FC" w:rsidRPr="000955D4" w:rsidRDefault="006234FC" w:rsidP="00820F58">
            <w:pPr>
              <w:pStyle w:val="BodyText"/>
              <w:spacing w:before="0" w:beforeAutospacing="0" w:after="0"/>
              <w:jc w:val="both"/>
              <w:rPr>
                <w:sz w:val="24"/>
                <w:szCs w:val="24"/>
              </w:rPr>
            </w:pPr>
            <w:r w:rsidRPr="000955D4">
              <w:rPr>
                <w:sz w:val="24"/>
                <w:szCs w:val="24"/>
              </w:rPr>
              <w:t>1.98</w:t>
            </w:r>
          </w:p>
        </w:tc>
        <w:tc>
          <w:tcPr>
            <w:tcW w:w="720" w:type="dxa"/>
            <w:vAlign w:val="center"/>
          </w:tcPr>
          <w:p w14:paraId="72955EF3" w14:textId="77777777" w:rsidR="006234FC" w:rsidRPr="000955D4" w:rsidRDefault="006234FC" w:rsidP="00820F58">
            <w:pPr>
              <w:pStyle w:val="BodyText"/>
              <w:spacing w:before="0" w:beforeAutospacing="0" w:after="0"/>
              <w:jc w:val="both"/>
              <w:rPr>
                <w:sz w:val="24"/>
                <w:szCs w:val="24"/>
              </w:rPr>
            </w:pPr>
            <w:r w:rsidRPr="000955D4">
              <w:rPr>
                <w:sz w:val="24"/>
                <w:szCs w:val="24"/>
              </w:rPr>
              <w:t>0.93</w:t>
            </w:r>
          </w:p>
        </w:tc>
      </w:tr>
      <w:tr w:rsidR="000955D4" w:rsidRPr="000955D4" w14:paraId="571BB978" w14:textId="77777777" w:rsidTr="0039127A">
        <w:tc>
          <w:tcPr>
            <w:tcW w:w="3612" w:type="dxa"/>
          </w:tcPr>
          <w:p w14:paraId="317E703A"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have easy access to relevant information about the CBE education system.</w:t>
            </w:r>
          </w:p>
        </w:tc>
        <w:tc>
          <w:tcPr>
            <w:tcW w:w="923" w:type="dxa"/>
            <w:vAlign w:val="center"/>
          </w:tcPr>
          <w:p w14:paraId="5AA43656" w14:textId="77777777" w:rsidR="006234FC" w:rsidRPr="000955D4" w:rsidRDefault="006234FC" w:rsidP="00820F58">
            <w:pPr>
              <w:pStyle w:val="BodyText"/>
              <w:spacing w:before="0" w:beforeAutospacing="0" w:after="0"/>
              <w:jc w:val="both"/>
              <w:rPr>
                <w:sz w:val="24"/>
                <w:szCs w:val="24"/>
              </w:rPr>
            </w:pPr>
            <w:r w:rsidRPr="000955D4">
              <w:rPr>
                <w:sz w:val="24"/>
                <w:szCs w:val="24"/>
              </w:rPr>
              <w:t>4 (9.3%)</w:t>
            </w:r>
          </w:p>
        </w:tc>
        <w:tc>
          <w:tcPr>
            <w:tcW w:w="996" w:type="dxa"/>
            <w:vAlign w:val="center"/>
          </w:tcPr>
          <w:p w14:paraId="68C57634"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7A54977B" w14:textId="77777777" w:rsidR="006234FC" w:rsidRPr="000955D4" w:rsidRDefault="006234FC" w:rsidP="00820F58">
            <w:pPr>
              <w:pStyle w:val="BodyText"/>
              <w:spacing w:before="0" w:beforeAutospacing="0" w:after="0"/>
              <w:jc w:val="both"/>
              <w:rPr>
                <w:sz w:val="24"/>
                <w:szCs w:val="24"/>
              </w:rPr>
            </w:pPr>
            <w:r w:rsidRPr="000955D4">
              <w:rPr>
                <w:sz w:val="24"/>
                <w:szCs w:val="24"/>
              </w:rPr>
              <w:t>20 (46.5%)</w:t>
            </w:r>
          </w:p>
        </w:tc>
        <w:tc>
          <w:tcPr>
            <w:tcW w:w="1208" w:type="dxa"/>
            <w:vAlign w:val="center"/>
          </w:tcPr>
          <w:p w14:paraId="1A444DC9"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vAlign w:val="center"/>
          </w:tcPr>
          <w:p w14:paraId="4968D47D" w14:textId="77777777" w:rsidR="006234FC" w:rsidRPr="000955D4" w:rsidRDefault="006234FC" w:rsidP="00820F58">
            <w:pPr>
              <w:pStyle w:val="BodyText"/>
              <w:spacing w:before="0" w:beforeAutospacing="0" w:after="0"/>
              <w:jc w:val="both"/>
              <w:rPr>
                <w:sz w:val="24"/>
                <w:szCs w:val="24"/>
              </w:rPr>
            </w:pPr>
            <w:r w:rsidRPr="000955D4">
              <w:rPr>
                <w:sz w:val="24"/>
                <w:szCs w:val="24"/>
              </w:rPr>
              <w:t>2.02</w:t>
            </w:r>
          </w:p>
        </w:tc>
        <w:tc>
          <w:tcPr>
            <w:tcW w:w="720" w:type="dxa"/>
            <w:vAlign w:val="center"/>
          </w:tcPr>
          <w:p w14:paraId="55AC894A" w14:textId="77777777" w:rsidR="006234FC" w:rsidRPr="000955D4" w:rsidRDefault="006234FC" w:rsidP="00820F58">
            <w:pPr>
              <w:pStyle w:val="BodyText"/>
              <w:spacing w:before="0" w:beforeAutospacing="0" w:after="0"/>
              <w:jc w:val="both"/>
              <w:rPr>
                <w:sz w:val="24"/>
                <w:szCs w:val="24"/>
              </w:rPr>
            </w:pPr>
            <w:r w:rsidRPr="000955D4">
              <w:rPr>
                <w:sz w:val="24"/>
                <w:szCs w:val="24"/>
              </w:rPr>
              <w:t>0.95</w:t>
            </w:r>
          </w:p>
        </w:tc>
      </w:tr>
      <w:tr w:rsidR="000955D4" w:rsidRPr="000955D4" w14:paraId="7B869658" w14:textId="77777777" w:rsidTr="0039127A">
        <w:tc>
          <w:tcPr>
            <w:tcW w:w="3612" w:type="dxa"/>
          </w:tcPr>
          <w:p w14:paraId="5DA70569"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Communication channels for CBE-related information are effective and timely.</w:t>
            </w:r>
          </w:p>
        </w:tc>
        <w:tc>
          <w:tcPr>
            <w:tcW w:w="923" w:type="dxa"/>
            <w:vAlign w:val="center"/>
          </w:tcPr>
          <w:p w14:paraId="6B877EA9" w14:textId="77777777" w:rsidR="006234FC" w:rsidRPr="000955D4" w:rsidRDefault="006234FC" w:rsidP="00820F58">
            <w:pPr>
              <w:pStyle w:val="BodyText"/>
              <w:spacing w:before="0" w:beforeAutospacing="0" w:after="0"/>
              <w:jc w:val="both"/>
              <w:rPr>
                <w:sz w:val="24"/>
                <w:szCs w:val="24"/>
              </w:rPr>
            </w:pPr>
            <w:r w:rsidRPr="000955D4">
              <w:rPr>
                <w:sz w:val="24"/>
                <w:szCs w:val="24"/>
              </w:rPr>
              <w:t>2 (4.7%)</w:t>
            </w:r>
          </w:p>
        </w:tc>
        <w:tc>
          <w:tcPr>
            <w:tcW w:w="996" w:type="dxa"/>
            <w:vAlign w:val="center"/>
          </w:tcPr>
          <w:p w14:paraId="4812FA5A"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1B1B2A56" w14:textId="77777777" w:rsidR="006234FC" w:rsidRPr="000955D4" w:rsidRDefault="006234FC" w:rsidP="00820F58">
            <w:pPr>
              <w:pStyle w:val="BodyText"/>
              <w:spacing w:before="0" w:beforeAutospacing="0" w:after="0"/>
              <w:jc w:val="both"/>
              <w:rPr>
                <w:sz w:val="24"/>
                <w:szCs w:val="24"/>
              </w:rPr>
            </w:pPr>
            <w:r w:rsidRPr="000955D4">
              <w:rPr>
                <w:sz w:val="24"/>
                <w:szCs w:val="24"/>
              </w:rPr>
              <w:t>21 (48.8%)</w:t>
            </w:r>
          </w:p>
        </w:tc>
        <w:tc>
          <w:tcPr>
            <w:tcW w:w="1208" w:type="dxa"/>
            <w:vAlign w:val="center"/>
          </w:tcPr>
          <w:p w14:paraId="7C33DE56"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6CE572D0" w14:textId="77777777" w:rsidR="006234FC" w:rsidRPr="000955D4" w:rsidRDefault="006234FC" w:rsidP="00820F58">
            <w:pPr>
              <w:pStyle w:val="BodyText"/>
              <w:spacing w:before="0" w:beforeAutospacing="0" w:after="0"/>
              <w:jc w:val="both"/>
              <w:rPr>
                <w:sz w:val="24"/>
                <w:szCs w:val="24"/>
              </w:rPr>
            </w:pPr>
            <w:r w:rsidRPr="000955D4">
              <w:rPr>
                <w:sz w:val="24"/>
                <w:szCs w:val="24"/>
              </w:rPr>
              <w:t>1.91</w:t>
            </w:r>
          </w:p>
        </w:tc>
        <w:tc>
          <w:tcPr>
            <w:tcW w:w="720" w:type="dxa"/>
            <w:vAlign w:val="center"/>
          </w:tcPr>
          <w:p w14:paraId="39729338"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47FBD5EB" w14:textId="77777777" w:rsidTr="0039127A">
        <w:tc>
          <w:tcPr>
            <w:tcW w:w="3612" w:type="dxa"/>
          </w:tcPr>
          <w:p w14:paraId="7542A75A"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are actively involved in the planning and implementation phases of the CBE education system.</w:t>
            </w:r>
          </w:p>
        </w:tc>
        <w:tc>
          <w:tcPr>
            <w:tcW w:w="923" w:type="dxa"/>
            <w:vAlign w:val="center"/>
          </w:tcPr>
          <w:p w14:paraId="191B0B6D"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3D922572" w14:textId="77777777" w:rsidR="006234FC" w:rsidRPr="000955D4" w:rsidRDefault="006234FC" w:rsidP="00820F58">
            <w:pPr>
              <w:pStyle w:val="BodyText"/>
              <w:spacing w:before="0" w:beforeAutospacing="0" w:after="0"/>
              <w:jc w:val="both"/>
              <w:rPr>
                <w:sz w:val="24"/>
                <w:szCs w:val="24"/>
              </w:rPr>
            </w:pPr>
            <w:r w:rsidRPr="000955D4">
              <w:rPr>
                <w:sz w:val="24"/>
                <w:szCs w:val="24"/>
              </w:rPr>
              <w:t>7 (16.3%)</w:t>
            </w:r>
          </w:p>
        </w:tc>
        <w:tc>
          <w:tcPr>
            <w:tcW w:w="996" w:type="dxa"/>
            <w:vAlign w:val="center"/>
          </w:tcPr>
          <w:p w14:paraId="2AB35FE1" w14:textId="77777777" w:rsidR="006234FC" w:rsidRPr="000955D4" w:rsidRDefault="006234FC" w:rsidP="00820F58">
            <w:pPr>
              <w:pStyle w:val="BodyText"/>
              <w:spacing w:before="0" w:beforeAutospacing="0" w:after="0"/>
              <w:jc w:val="both"/>
              <w:rPr>
                <w:sz w:val="24"/>
                <w:szCs w:val="24"/>
              </w:rPr>
            </w:pPr>
            <w:r w:rsidRPr="000955D4">
              <w:rPr>
                <w:sz w:val="24"/>
                <w:szCs w:val="24"/>
              </w:rPr>
              <w:t>20 (46.5%)</w:t>
            </w:r>
          </w:p>
        </w:tc>
        <w:tc>
          <w:tcPr>
            <w:tcW w:w="1208" w:type="dxa"/>
            <w:vAlign w:val="center"/>
          </w:tcPr>
          <w:p w14:paraId="3E720FEF"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vAlign w:val="center"/>
          </w:tcPr>
          <w:p w14:paraId="38DA0B75" w14:textId="77777777" w:rsidR="006234FC" w:rsidRPr="000955D4" w:rsidRDefault="006234FC" w:rsidP="00820F58">
            <w:pPr>
              <w:pStyle w:val="BodyText"/>
              <w:spacing w:before="0" w:beforeAutospacing="0" w:after="0"/>
              <w:jc w:val="both"/>
              <w:rPr>
                <w:sz w:val="24"/>
                <w:szCs w:val="24"/>
              </w:rPr>
            </w:pPr>
            <w:r w:rsidRPr="000955D4">
              <w:rPr>
                <w:sz w:val="24"/>
                <w:szCs w:val="24"/>
              </w:rPr>
              <w:t>1.98</w:t>
            </w:r>
          </w:p>
        </w:tc>
        <w:tc>
          <w:tcPr>
            <w:tcW w:w="720" w:type="dxa"/>
            <w:vAlign w:val="center"/>
          </w:tcPr>
          <w:p w14:paraId="1FF653DC" w14:textId="77777777" w:rsidR="006234FC" w:rsidRPr="000955D4" w:rsidRDefault="006234FC" w:rsidP="00820F58">
            <w:pPr>
              <w:pStyle w:val="BodyText"/>
              <w:spacing w:before="0" w:beforeAutospacing="0" w:after="0"/>
              <w:jc w:val="both"/>
              <w:rPr>
                <w:sz w:val="24"/>
                <w:szCs w:val="24"/>
              </w:rPr>
            </w:pPr>
            <w:r w:rsidRPr="000955D4">
              <w:rPr>
                <w:sz w:val="24"/>
                <w:szCs w:val="24"/>
              </w:rPr>
              <w:t>0.90</w:t>
            </w:r>
          </w:p>
        </w:tc>
      </w:tr>
      <w:tr w:rsidR="000955D4" w:rsidRPr="000955D4" w14:paraId="08A20260" w14:textId="77777777" w:rsidTr="0039127A">
        <w:tc>
          <w:tcPr>
            <w:tcW w:w="3612" w:type="dxa"/>
          </w:tcPr>
          <w:p w14:paraId="234A7EA6"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Feedback from stakeholders is considered in the adaptation process of the CBE education system.</w:t>
            </w:r>
            <w:r w:rsidRPr="000955D4">
              <w:rPr>
                <w:rFonts w:ascii="Times New Roman" w:hAnsi="Times New Roman" w:cs="Times New Roman"/>
                <w:sz w:val="24"/>
                <w:szCs w:val="24"/>
              </w:rPr>
              <w:br/>
            </w:r>
          </w:p>
        </w:tc>
        <w:tc>
          <w:tcPr>
            <w:tcW w:w="923" w:type="dxa"/>
            <w:vAlign w:val="center"/>
          </w:tcPr>
          <w:p w14:paraId="7BE97DD1" w14:textId="77777777" w:rsidR="006234FC" w:rsidRPr="000955D4" w:rsidRDefault="006234FC" w:rsidP="00820F58">
            <w:pPr>
              <w:pStyle w:val="BodyText"/>
              <w:spacing w:before="0" w:beforeAutospacing="0" w:after="0"/>
              <w:jc w:val="both"/>
              <w:rPr>
                <w:sz w:val="24"/>
                <w:szCs w:val="24"/>
              </w:rPr>
            </w:pPr>
            <w:r w:rsidRPr="000955D4">
              <w:rPr>
                <w:sz w:val="24"/>
                <w:szCs w:val="24"/>
              </w:rPr>
              <w:t>2 (4.7%)</w:t>
            </w:r>
          </w:p>
        </w:tc>
        <w:tc>
          <w:tcPr>
            <w:tcW w:w="996" w:type="dxa"/>
            <w:vAlign w:val="center"/>
          </w:tcPr>
          <w:p w14:paraId="478CC11F" w14:textId="77777777" w:rsidR="006234FC" w:rsidRPr="000955D4" w:rsidRDefault="006234FC" w:rsidP="00820F58">
            <w:pPr>
              <w:pStyle w:val="BodyText"/>
              <w:spacing w:before="0" w:beforeAutospacing="0" w:after="0"/>
              <w:jc w:val="both"/>
              <w:rPr>
                <w:sz w:val="24"/>
                <w:szCs w:val="24"/>
              </w:rPr>
            </w:pPr>
            <w:r w:rsidRPr="000955D4">
              <w:rPr>
                <w:sz w:val="24"/>
                <w:szCs w:val="24"/>
              </w:rPr>
              <w:t>5 (11.6%)</w:t>
            </w:r>
          </w:p>
        </w:tc>
        <w:tc>
          <w:tcPr>
            <w:tcW w:w="996" w:type="dxa"/>
            <w:vAlign w:val="center"/>
          </w:tcPr>
          <w:p w14:paraId="7DD9A863" w14:textId="77777777" w:rsidR="006234FC" w:rsidRPr="000955D4" w:rsidRDefault="006234FC" w:rsidP="00820F58">
            <w:pPr>
              <w:pStyle w:val="BodyText"/>
              <w:spacing w:before="0" w:beforeAutospacing="0" w:after="0"/>
              <w:jc w:val="both"/>
              <w:rPr>
                <w:sz w:val="24"/>
                <w:szCs w:val="24"/>
              </w:rPr>
            </w:pPr>
            <w:r w:rsidRPr="000955D4">
              <w:rPr>
                <w:sz w:val="24"/>
                <w:szCs w:val="24"/>
              </w:rPr>
              <w:t>22 (51.2%)</w:t>
            </w:r>
          </w:p>
        </w:tc>
        <w:tc>
          <w:tcPr>
            <w:tcW w:w="1208" w:type="dxa"/>
            <w:vAlign w:val="center"/>
          </w:tcPr>
          <w:p w14:paraId="221DCDE9"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6C712581" w14:textId="77777777" w:rsidR="006234FC" w:rsidRPr="000955D4" w:rsidRDefault="006234FC" w:rsidP="00820F58">
            <w:pPr>
              <w:pStyle w:val="BodyText"/>
              <w:spacing w:before="0" w:beforeAutospacing="0" w:after="0"/>
              <w:jc w:val="both"/>
              <w:rPr>
                <w:sz w:val="24"/>
                <w:szCs w:val="24"/>
              </w:rPr>
            </w:pPr>
            <w:r w:rsidRPr="000955D4">
              <w:rPr>
                <w:sz w:val="24"/>
                <w:szCs w:val="24"/>
              </w:rPr>
              <w:t>1.88</w:t>
            </w:r>
          </w:p>
        </w:tc>
        <w:tc>
          <w:tcPr>
            <w:tcW w:w="720" w:type="dxa"/>
            <w:vAlign w:val="center"/>
          </w:tcPr>
          <w:p w14:paraId="4BB8B91A" w14:textId="77777777" w:rsidR="006234FC" w:rsidRPr="000955D4" w:rsidRDefault="006234FC" w:rsidP="00820F58">
            <w:pPr>
              <w:pStyle w:val="BodyText"/>
              <w:spacing w:before="0" w:beforeAutospacing="0" w:after="0"/>
              <w:jc w:val="both"/>
              <w:rPr>
                <w:sz w:val="24"/>
                <w:szCs w:val="24"/>
              </w:rPr>
            </w:pPr>
            <w:r w:rsidRPr="000955D4">
              <w:rPr>
                <w:sz w:val="24"/>
                <w:szCs w:val="24"/>
              </w:rPr>
              <w:t>0.85</w:t>
            </w:r>
          </w:p>
        </w:tc>
      </w:tr>
      <w:tr w:rsidR="000955D4" w:rsidRPr="000955D4" w14:paraId="2A9CC054" w14:textId="77777777" w:rsidTr="0039127A">
        <w:tc>
          <w:tcPr>
            <w:tcW w:w="3612" w:type="dxa"/>
          </w:tcPr>
          <w:p w14:paraId="4A41CDE1"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understand their roles and responsibilities in implementing the CBE education system.</w:t>
            </w:r>
          </w:p>
        </w:tc>
        <w:tc>
          <w:tcPr>
            <w:tcW w:w="923" w:type="dxa"/>
            <w:vAlign w:val="center"/>
          </w:tcPr>
          <w:p w14:paraId="598402A2"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3865EF26"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399446AB" w14:textId="77777777" w:rsidR="006234FC" w:rsidRPr="000955D4" w:rsidRDefault="006234FC" w:rsidP="00820F58">
            <w:pPr>
              <w:pStyle w:val="BodyText"/>
              <w:spacing w:before="0" w:beforeAutospacing="0" w:after="0"/>
              <w:jc w:val="both"/>
              <w:rPr>
                <w:sz w:val="24"/>
                <w:szCs w:val="24"/>
              </w:rPr>
            </w:pPr>
            <w:r w:rsidRPr="000955D4">
              <w:rPr>
                <w:sz w:val="24"/>
                <w:szCs w:val="24"/>
              </w:rPr>
              <w:t>19 (44.2%)</w:t>
            </w:r>
          </w:p>
        </w:tc>
        <w:tc>
          <w:tcPr>
            <w:tcW w:w="1208" w:type="dxa"/>
            <w:vAlign w:val="center"/>
          </w:tcPr>
          <w:p w14:paraId="0867DB00" w14:textId="77777777" w:rsidR="006234FC" w:rsidRPr="000955D4" w:rsidRDefault="006234FC" w:rsidP="00820F58">
            <w:pPr>
              <w:pStyle w:val="BodyText"/>
              <w:spacing w:before="0" w:beforeAutospacing="0" w:after="0"/>
              <w:jc w:val="both"/>
              <w:rPr>
                <w:sz w:val="24"/>
                <w:szCs w:val="24"/>
              </w:rPr>
            </w:pPr>
            <w:r w:rsidRPr="000955D4">
              <w:rPr>
                <w:sz w:val="24"/>
                <w:szCs w:val="24"/>
              </w:rPr>
              <w:t>15 (34.9%)</w:t>
            </w:r>
          </w:p>
        </w:tc>
        <w:tc>
          <w:tcPr>
            <w:tcW w:w="900" w:type="dxa"/>
            <w:vAlign w:val="center"/>
          </w:tcPr>
          <w:p w14:paraId="1349506A" w14:textId="77777777" w:rsidR="006234FC" w:rsidRPr="000955D4" w:rsidRDefault="006234FC" w:rsidP="00820F58">
            <w:pPr>
              <w:pStyle w:val="BodyText"/>
              <w:spacing w:before="0" w:beforeAutospacing="0" w:after="0"/>
              <w:jc w:val="both"/>
              <w:rPr>
                <w:sz w:val="24"/>
                <w:szCs w:val="24"/>
              </w:rPr>
            </w:pPr>
            <w:r w:rsidRPr="000955D4">
              <w:rPr>
                <w:sz w:val="24"/>
                <w:szCs w:val="24"/>
              </w:rPr>
              <w:t>1.93</w:t>
            </w:r>
          </w:p>
        </w:tc>
        <w:tc>
          <w:tcPr>
            <w:tcW w:w="720" w:type="dxa"/>
            <w:vAlign w:val="center"/>
          </w:tcPr>
          <w:p w14:paraId="7E9EBBEF" w14:textId="77777777" w:rsidR="006234FC" w:rsidRPr="000955D4" w:rsidRDefault="006234FC" w:rsidP="00820F58">
            <w:pPr>
              <w:pStyle w:val="BodyText"/>
              <w:spacing w:before="0" w:beforeAutospacing="0" w:after="0"/>
              <w:jc w:val="both"/>
              <w:rPr>
                <w:sz w:val="24"/>
                <w:szCs w:val="24"/>
              </w:rPr>
            </w:pPr>
            <w:r w:rsidRPr="000955D4">
              <w:rPr>
                <w:sz w:val="24"/>
                <w:szCs w:val="24"/>
              </w:rPr>
              <w:t>0.89</w:t>
            </w:r>
          </w:p>
        </w:tc>
      </w:tr>
    </w:tbl>
    <w:p w14:paraId="260204CE" w14:textId="171A9C4D" w:rsidR="006234FC" w:rsidRPr="000955D4" w:rsidRDefault="00477A6A" w:rsidP="00820F58">
      <w:pPr>
        <w:pStyle w:val="Heading2"/>
        <w:spacing w:before="0" w:after="0" w:line="240" w:lineRule="auto"/>
        <w:rPr>
          <w:rFonts w:ascii="Times New Roman" w:hAnsi="Times New Roman" w:cs="Times New Roman"/>
          <w:b/>
          <w:color w:val="auto"/>
          <w:sz w:val="24"/>
          <w:szCs w:val="24"/>
        </w:rPr>
      </w:pPr>
      <w:bookmarkStart w:id="19" w:name="_Toc206911162"/>
      <w:r w:rsidRPr="000955D4">
        <w:rPr>
          <w:rFonts w:ascii="Times New Roman" w:hAnsi="Times New Roman" w:cs="Times New Roman"/>
          <w:b/>
          <w:color w:val="auto"/>
          <w:sz w:val="24"/>
          <w:szCs w:val="24"/>
        </w:rPr>
        <w:t xml:space="preserve">Results on </w:t>
      </w:r>
      <w:r w:rsidR="006234FC" w:rsidRPr="000955D4">
        <w:rPr>
          <w:rFonts w:ascii="Times New Roman" w:hAnsi="Times New Roman" w:cs="Times New Roman"/>
          <w:b/>
          <w:color w:val="auto"/>
          <w:sz w:val="24"/>
          <w:szCs w:val="24"/>
        </w:rPr>
        <w:t>Stakeholders Awareness on Parents</w:t>
      </w:r>
      <w:bookmarkEnd w:id="19"/>
    </w:p>
    <w:p w14:paraId="367F1E71"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findings of this study indicate that the level of parental awareness of the Competency-Based Education (CBE) system remains moderate. The mean scores for the seven items ranged between 2.38 and 2.63, positioning the construct within the mid-range of the measurement scale. This suggests that although parents and guardians have a basic understanding of CBE, their knowledge is partial and uneven across different aspects of the system.</w:t>
      </w:r>
    </w:p>
    <w:p w14:paraId="45BF9317"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A notable concern arises from items 2 and 5, which both recorded the lowest mean scores (2.38). These items assessed whether parents are provided with regular forums to discuss CBE implementation and whether they actively participate in CBE-related decision-making. The results show that more than 62% of the parents disagreed that such opportunities exist. This finding implies that while schools may share information about the curriculum, they fall short of establishing sustained and structured avenues for parental engagement. The limited participation </w:t>
      </w:r>
      <w:r w:rsidRPr="000955D4">
        <w:rPr>
          <w:rFonts w:ascii="Times New Roman" w:hAnsi="Times New Roman" w:cs="Times New Roman"/>
        </w:rPr>
        <w:lastRenderedPageBreak/>
        <w:t>underscores a persistent weakness in parental empowerment and inclusion, which may in turn undermine the sense of ownership necessary for the success of curriculum reforms.</w:t>
      </w:r>
    </w:p>
    <w:p w14:paraId="617AC27A"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By contrast, items 1, 3, 6, and 7 each recorded slightly higher mean scores (2.63). These items focused on parents’ awareness of CBE objectives, access to relevant information, understanding of their roles, and recognition of whether their feedback is considered in adaptation processes. About 50% of parents agreed with these statements, while the other half disagreed, highlighting inconsistencies in levels of awareness. This duality may be explained by differences in communication strategies across schools, varying parental literacy levels, or disparities in how government policy guidelines are disseminated.</w:t>
      </w:r>
    </w:p>
    <w:p w14:paraId="3D83BC74" w14:textId="77777777" w:rsidR="006234FC"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Item 4, which assessed communication between schools and parents, also recorded a mean of 2.63 but with a higher standard deviation (1.06). This suggests a wide variation in parental experiences, where some parents reported clear and effective communication while others perceived it as inadequate. Such inconsistency points to the uneven implementation of communication practices across schools, further reinforcing the moderate overall awareness observed in this construct.</w:t>
      </w:r>
    </w:p>
    <w:p w14:paraId="4946E07E" w14:textId="77777777" w:rsidR="00323877" w:rsidRPr="000955D4" w:rsidRDefault="00323877" w:rsidP="00820F58">
      <w:pPr>
        <w:spacing w:after="0" w:line="240" w:lineRule="auto"/>
        <w:jc w:val="both"/>
        <w:rPr>
          <w:rFonts w:ascii="Times New Roman" w:hAnsi="Times New Roman" w:cs="Times New Roman"/>
        </w:rPr>
      </w:pPr>
    </w:p>
    <w:p w14:paraId="4497B4F1" w14:textId="30676382" w:rsidR="006234FC" w:rsidRPr="000955D4" w:rsidRDefault="006234FC" w:rsidP="00820F58">
      <w:pPr>
        <w:pStyle w:val="TABLES0"/>
        <w:spacing w:before="0" w:after="0" w:line="240" w:lineRule="auto"/>
        <w:rPr>
          <w:color w:val="auto"/>
        </w:rPr>
      </w:pPr>
      <w:bookmarkStart w:id="20" w:name="_Toc207119699"/>
      <w:r w:rsidRPr="000955D4">
        <w:rPr>
          <w:color w:val="auto"/>
        </w:rPr>
        <w:t xml:space="preserve">Table </w:t>
      </w:r>
      <w:r w:rsidR="00F3252F" w:rsidRPr="000955D4">
        <w:rPr>
          <w:color w:val="auto"/>
        </w:rPr>
        <w:t>4</w:t>
      </w:r>
      <w:r w:rsidRPr="000955D4">
        <w:rPr>
          <w:color w:val="auto"/>
        </w:rPr>
        <w:t>: Stakeholder Awareness for Parents</w:t>
      </w:r>
      <w:bookmarkEnd w:id="20"/>
    </w:p>
    <w:tbl>
      <w:tblPr>
        <w:tblStyle w:val="TableGrid"/>
        <w:tblW w:w="9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996"/>
        <w:gridCol w:w="996"/>
        <w:gridCol w:w="996"/>
        <w:gridCol w:w="996"/>
        <w:gridCol w:w="803"/>
        <w:gridCol w:w="925"/>
      </w:tblGrid>
      <w:tr w:rsidR="000955D4" w:rsidRPr="000955D4" w14:paraId="28D89BAA" w14:textId="77777777" w:rsidTr="0039127A">
        <w:tc>
          <w:tcPr>
            <w:tcW w:w="3643" w:type="dxa"/>
            <w:tcBorders>
              <w:bottom w:val="single" w:sz="4" w:space="0" w:color="auto"/>
            </w:tcBorders>
          </w:tcPr>
          <w:p w14:paraId="0B0557CD" w14:textId="77777777" w:rsidR="006234FC" w:rsidRPr="000955D4" w:rsidRDefault="006234FC" w:rsidP="00820F58">
            <w:pPr>
              <w:pStyle w:val="BodyText"/>
              <w:spacing w:before="0" w:beforeAutospacing="0" w:after="0"/>
              <w:jc w:val="both"/>
              <w:rPr>
                <w:b/>
                <w:sz w:val="24"/>
                <w:szCs w:val="24"/>
              </w:rPr>
            </w:pPr>
            <w:r w:rsidRPr="000955D4">
              <w:rPr>
                <w:b/>
                <w:sz w:val="24"/>
                <w:szCs w:val="24"/>
              </w:rPr>
              <w:t>Statement</w:t>
            </w:r>
          </w:p>
        </w:tc>
        <w:tc>
          <w:tcPr>
            <w:tcW w:w="996" w:type="dxa"/>
            <w:tcBorders>
              <w:bottom w:val="single" w:sz="4" w:space="0" w:color="auto"/>
            </w:tcBorders>
          </w:tcPr>
          <w:p w14:paraId="6705FA35" w14:textId="11783354" w:rsidR="006234FC" w:rsidRPr="000955D4" w:rsidRDefault="000616CA" w:rsidP="00820F58">
            <w:pPr>
              <w:pStyle w:val="BodyText"/>
              <w:spacing w:before="0" w:beforeAutospacing="0" w:after="0"/>
              <w:jc w:val="both"/>
              <w:rPr>
                <w:b/>
                <w:sz w:val="24"/>
                <w:szCs w:val="24"/>
              </w:rPr>
            </w:pPr>
            <w:r w:rsidRPr="000955D4">
              <w:rPr>
                <w:b/>
                <w:sz w:val="24"/>
                <w:szCs w:val="24"/>
              </w:rPr>
              <w:t>SA (</w:t>
            </w:r>
            <w:r w:rsidR="006234FC" w:rsidRPr="000955D4">
              <w:rPr>
                <w:b/>
                <w:sz w:val="24"/>
                <w:szCs w:val="24"/>
              </w:rPr>
              <w:t>%)</w:t>
            </w:r>
          </w:p>
        </w:tc>
        <w:tc>
          <w:tcPr>
            <w:tcW w:w="996" w:type="dxa"/>
            <w:tcBorders>
              <w:bottom w:val="single" w:sz="4" w:space="0" w:color="auto"/>
            </w:tcBorders>
          </w:tcPr>
          <w:p w14:paraId="6B5CBFEF" w14:textId="16F46C8E" w:rsidR="006234FC" w:rsidRPr="000955D4" w:rsidRDefault="000616CA" w:rsidP="00820F58">
            <w:pPr>
              <w:pStyle w:val="BodyText"/>
              <w:spacing w:before="0" w:beforeAutospacing="0" w:after="0"/>
              <w:jc w:val="both"/>
              <w:rPr>
                <w:b/>
                <w:sz w:val="24"/>
                <w:szCs w:val="24"/>
              </w:rPr>
            </w:pPr>
            <w:r w:rsidRPr="000955D4">
              <w:rPr>
                <w:b/>
                <w:sz w:val="24"/>
                <w:szCs w:val="24"/>
              </w:rPr>
              <w:t>A (</w:t>
            </w:r>
            <w:r w:rsidR="006234FC" w:rsidRPr="000955D4">
              <w:rPr>
                <w:b/>
                <w:sz w:val="24"/>
                <w:szCs w:val="24"/>
              </w:rPr>
              <w:t>%)</w:t>
            </w:r>
          </w:p>
        </w:tc>
        <w:tc>
          <w:tcPr>
            <w:tcW w:w="996" w:type="dxa"/>
            <w:tcBorders>
              <w:bottom w:val="single" w:sz="4" w:space="0" w:color="auto"/>
            </w:tcBorders>
          </w:tcPr>
          <w:p w14:paraId="603C1741" w14:textId="268C6E90" w:rsidR="006234FC" w:rsidRPr="000955D4" w:rsidRDefault="000616CA" w:rsidP="00820F58">
            <w:pPr>
              <w:pStyle w:val="BodyText"/>
              <w:spacing w:before="0" w:beforeAutospacing="0" w:after="0"/>
              <w:jc w:val="both"/>
              <w:rPr>
                <w:b/>
                <w:sz w:val="24"/>
                <w:szCs w:val="24"/>
              </w:rPr>
            </w:pPr>
            <w:r w:rsidRPr="000955D4">
              <w:rPr>
                <w:b/>
                <w:sz w:val="24"/>
                <w:szCs w:val="24"/>
              </w:rPr>
              <w:t>D (</w:t>
            </w:r>
            <w:r w:rsidR="006234FC" w:rsidRPr="000955D4">
              <w:rPr>
                <w:b/>
                <w:sz w:val="24"/>
                <w:szCs w:val="24"/>
              </w:rPr>
              <w:t>%)</w:t>
            </w:r>
          </w:p>
        </w:tc>
        <w:tc>
          <w:tcPr>
            <w:tcW w:w="996" w:type="dxa"/>
            <w:tcBorders>
              <w:bottom w:val="single" w:sz="4" w:space="0" w:color="auto"/>
            </w:tcBorders>
          </w:tcPr>
          <w:p w14:paraId="7C54F3F3" w14:textId="40510C22" w:rsidR="006234FC" w:rsidRPr="000955D4" w:rsidRDefault="000616CA" w:rsidP="00820F58">
            <w:pPr>
              <w:pStyle w:val="BodyText"/>
              <w:spacing w:before="0" w:beforeAutospacing="0" w:after="0"/>
              <w:jc w:val="both"/>
              <w:rPr>
                <w:b/>
                <w:sz w:val="24"/>
                <w:szCs w:val="24"/>
              </w:rPr>
            </w:pPr>
            <w:r w:rsidRPr="000955D4">
              <w:rPr>
                <w:b/>
                <w:sz w:val="24"/>
                <w:szCs w:val="24"/>
              </w:rPr>
              <w:t>SD (</w:t>
            </w:r>
            <w:r w:rsidR="006234FC" w:rsidRPr="000955D4">
              <w:rPr>
                <w:b/>
                <w:sz w:val="24"/>
                <w:szCs w:val="24"/>
              </w:rPr>
              <w:t>%)</w:t>
            </w:r>
          </w:p>
        </w:tc>
        <w:tc>
          <w:tcPr>
            <w:tcW w:w="803" w:type="dxa"/>
            <w:tcBorders>
              <w:bottom w:val="single" w:sz="4" w:space="0" w:color="auto"/>
            </w:tcBorders>
          </w:tcPr>
          <w:p w14:paraId="621F9B39" w14:textId="77777777" w:rsidR="006234FC" w:rsidRPr="000955D4" w:rsidRDefault="006234FC" w:rsidP="00820F58">
            <w:pPr>
              <w:pStyle w:val="BodyText"/>
              <w:spacing w:before="0" w:beforeAutospacing="0" w:after="0"/>
              <w:jc w:val="both"/>
              <w:rPr>
                <w:b/>
                <w:sz w:val="24"/>
                <w:szCs w:val="24"/>
              </w:rPr>
            </w:pPr>
            <w:r w:rsidRPr="000955D4">
              <w:rPr>
                <w:b/>
                <w:sz w:val="24"/>
                <w:szCs w:val="24"/>
              </w:rPr>
              <w:t>Mean</w:t>
            </w:r>
          </w:p>
        </w:tc>
        <w:tc>
          <w:tcPr>
            <w:tcW w:w="925" w:type="dxa"/>
            <w:tcBorders>
              <w:bottom w:val="single" w:sz="4" w:space="0" w:color="auto"/>
            </w:tcBorders>
          </w:tcPr>
          <w:p w14:paraId="7192D3EA" w14:textId="77777777" w:rsidR="006234FC" w:rsidRPr="000955D4" w:rsidRDefault="006234FC" w:rsidP="00820F58">
            <w:pPr>
              <w:pStyle w:val="BodyText"/>
              <w:spacing w:before="0" w:beforeAutospacing="0" w:after="0"/>
              <w:jc w:val="both"/>
              <w:rPr>
                <w:b/>
                <w:sz w:val="24"/>
                <w:szCs w:val="24"/>
              </w:rPr>
            </w:pPr>
            <w:r w:rsidRPr="000955D4">
              <w:rPr>
                <w:b/>
                <w:sz w:val="24"/>
                <w:szCs w:val="24"/>
              </w:rPr>
              <w:t>Std Dev</w:t>
            </w:r>
          </w:p>
        </w:tc>
      </w:tr>
      <w:tr w:rsidR="000955D4" w:rsidRPr="000955D4" w14:paraId="62678742" w14:textId="77777777" w:rsidTr="0039127A">
        <w:tc>
          <w:tcPr>
            <w:tcW w:w="3643" w:type="dxa"/>
            <w:tcBorders>
              <w:top w:val="single" w:sz="4" w:space="0" w:color="auto"/>
            </w:tcBorders>
            <w:vAlign w:val="center"/>
          </w:tcPr>
          <w:p w14:paraId="18D892B7"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are well-informed about the objectives of the CBE education system.</w:t>
            </w:r>
          </w:p>
        </w:tc>
        <w:tc>
          <w:tcPr>
            <w:tcW w:w="996" w:type="dxa"/>
            <w:tcBorders>
              <w:top w:val="single" w:sz="4" w:space="0" w:color="auto"/>
            </w:tcBorders>
            <w:vAlign w:val="center"/>
          </w:tcPr>
          <w:p w14:paraId="478134AC"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top w:val="single" w:sz="4" w:space="0" w:color="auto"/>
            </w:tcBorders>
            <w:vAlign w:val="center"/>
          </w:tcPr>
          <w:p w14:paraId="42CE7B2F"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single" w:sz="4" w:space="0" w:color="auto"/>
            </w:tcBorders>
            <w:vAlign w:val="center"/>
          </w:tcPr>
          <w:p w14:paraId="0658859B"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single" w:sz="4" w:space="0" w:color="auto"/>
            </w:tcBorders>
            <w:vAlign w:val="center"/>
          </w:tcPr>
          <w:p w14:paraId="0D0A426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top w:val="single" w:sz="4" w:space="0" w:color="auto"/>
            </w:tcBorders>
            <w:vAlign w:val="center"/>
          </w:tcPr>
          <w:p w14:paraId="5DA1707B"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top w:val="single" w:sz="4" w:space="0" w:color="auto"/>
            </w:tcBorders>
            <w:vAlign w:val="center"/>
          </w:tcPr>
          <w:p w14:paraId="15651872"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27FF97A3" w14:textId="77777777" w:rsidTr="0039127A">
        <w:tc>
          <w:tcPr>
            <w:tcW w:w="3643" w:type="dxa"/>
            <w:vAlign w:val="center"/>
          </w:tcPr>
          <w:p w14:paraId="38BCD182"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There are regular meetings and forums for parents to discuss CBE implementation.</w:t>
            </w:r>
          </w:p>
        </w:tc>
        <w:tc>
          <w:tcPr>
            <w:tcW w:w="996" w:type="dxa"/>
            <w:vAlign w:val="center"/>
          </w:tcPr>
          <w:p w14:paraId="3EBE3C99"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2327814A"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3D97C734" w14:textId="77777777" w:rsidR="006234FC" w:rsidRPr="000955D4" w:rsidRDefault="006234FC" w:rsidP="00820F58">
            <w:pPr>
              <w:pStyle w:val="BodyText"/>
              <w:spacing w:before="0" w:beforeAutospacing="0" w:after="0"/>
              <w:jc w:val="both"/>
              <w:rPr>
                <w:sz w:val="24"/>
                <w:szCs w:val="24"/>
              </w:rPr>
            </w:pPr>
            <w:r w:rsidRPr="000955D4">
              <w:rPr>
                <w:sz w:val="24"/>
                <w:szCs w:val="24"/>
              </w:rPr>
              <w:t>4 (50.0%)</w:t>
            </w:r>
          </w:p>
        </w:tc>
        <w:tc>
          <w:tcPr>
            <w:tcW w:w="996" w:type="dxa"/>
            <w:vAlign w:val="center"/>
          </w:tcPr>
          <w:p w14:paraId="02C1EF2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4FFABA3" w14:textId="77777777" w:rsidR="006234FC" w:rsidRPr="000955D4" w:rsidRDefault="006234FC" w:rsidP="00820F58">
            <w:pPr>
              <w:pStyle w:val="BodyText"/>
              <w:spacing w:before="0" w:beforeAutospacing="0" w:after="0"/>
              <w:jc w:val="both"/>
              <w:rPr>
                <w:sz w:val="24"/>
                <w:szCs w:val="24"/>
              </w:rPr>
            </w:pPr>
            <w:r w:rsidRPr="000955D4">
              <w:rPr>
                <w:sz w:val="24"/>
                <w:szCs w:val="24"/>
              </w:rPr>
              <w:t>2.38</w:t>
            </w:r>
          </w:p>
        </w:tc>
        <w:tc>
          <w:tcPr>
            <w:tcW w:w="925" w:type="dxa"/>
            <w:vAlign w:val="center"/>
          </w:tcPr>
          <w:p w14:paraId="3F688693"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2DD2B3C6" w14:textId="77777777" w:rsidTr="0039127A">
        <w:tc>
          <w:tcPr>
            <w:tcW w:w="3643" w:type="dxa"/>
            <w:vAlign w:val="center"/>
          </w:tcPr>
          <w:p w14:paraId="136900B7"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have easy access to relevant CBE-related information.</w:t>
            </w:r>
          </w:p>
        </w:tc>
        <w:tc>
          <w:tcPr>
            <w:tcW w:w="996" w:type="dxa"/>
            <w:vAlign w:val="center"/>
          </w:tcPr>
          <w:p w14:paraId="3E4D1E4F"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2F908E86"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57B86BA4"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59065EEC"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4747699"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vAlign w:val="center"/>
          </w:tcPr>
          <w:p w14:paraId="62F6B6E1"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4E76552E" w14:textId="77777777" w:rsidTr="0039127A">
        <w:tc>
          <w:tcPr>
            <w:tcW w:w="3643" w:type="dxa"/>
            <w:vAlign w:val="center"/>
          </w:tcPr>
          <w:p w14:paraId="07478B33"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Communication between schools and parents regarding CBE is clear and effective.</w:t>
            </w:r>
          </w:p>
        </w:tc>
        <w:tc>
          <w:tcPr>
            <w:tcW w:w="996" w:type="dxa"/>
            <w:vAlign w:val="center"/>
          </w:tcPr>
          <w:p w14:paraId="5EB3D5F4"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3423D4D9"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5DA94F30"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434FD3C8"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87C7659"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vAlign w:val="center"/>
          </w:tcPr>
          <w:p w14:paraId="09D5143E" w14:textId="77777777" w:rsidR="006234FC" w:rsidRPr="000955D4" w:rsidRDefault="006234FC" w:rsidP="00820F58">
            <w:pPr>
              <w:pStyle w:val="BodyText"/>
              <w:spacing w:before="0" w:beforeAutospacing="0" w:after="0"/>
              <w:jc w:val="both"/>
              <w:rPr>
                <w:sz w:val="24"/>
                <w:szCs w:val="24"/>
              </w:rPr>
            </w:pPr>
            <w:r w:rsidRPr="000955D4">
              <w:rPr>
                <w:sz w:val="24"/>
                <w:szCs w:val="24"/>
              </w:rPr>
              <w:t>1.06</w:t>
            </w:r>
          </w:p>
        </w:tc>
      </w:tr>
      <w:tr w:rsidR="000955D4" w:rsidRPr="000955D4" w14:paraId="604C62DF" w14:textId="77777777" w:rsidTr="0039127A">
        <w:tc>
          <w:tcPr>
            <w:tcW w:w="3643" w:type="dxa"/>
            <w:vAlign w:val="center"/>
          </w:tcPr>
          <w:p w14:paraId="2CAEAA91"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and actively participate in CBE-related activities and decision-making.</w:t>
            </w:r>
          </w:p>
        </w:tc>
        <w:tc>
          <w:tcPr>
            <w:tcW w:w="996" w:type="dxa"/>
            <w:vAlign w:val="center"/>
          </w:tcPr>
          <w:p w14:paraId="43D242E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745CB981"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24458F2A" w14:textId="77777777" w:rsidR="006234FC" w:rsidRPr="000955D4" w:rsidRDefault="006234FC" w:rsidP="00820F58">
            <w:pPr>
              <w:pStyle w:val="BodyText"/>
              <w:spacing w:before="0" w:beforeAutospacing="0" w:after="0"/>
              <w:jc w:val="both"/>
              <w:rPr>
                <w:sz w:val="24"/>
                <w:szCs w:val="24"/>
              </w:rPr>
            </w:pPr>
            <w:r w:rsidRPr="000955D4">
              <w:rPr>
                <w:sz w:val="24"/>
                <w:szCs w:val="24"/>
              </w:rPr>
              <w:t>4 (50.0%)</w:t>
            </w:r>
          </w:p>
        </w:tc>
        <w:tc>
          <w:tcPr>
            <w:tcW w:w="996" w:type="dxa"/>
            <w:vAlign w:val="center"/>
          </w:tcPr>
          <w:p w14:paraId="1B91F72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49C281A8" w14:textId="77777777" w:rsidR="006234FC" w:rsidRPr="000955D4" w:rsidRDefault="006234FC" w:rsidP="00820F58">
            <w:pPr>
              <w:pStyle w:val="BodyText"/>
              <w:spacing w:before="0" w:beforeAutospacing="0" w:after="0"/>
              <w:jc w:val="both"/>
              <w:rPr>
                <w:sz w:val="24"/>
                <w:szCs w:val="24"/>
              </w:rPr>
            </w:pPr>
            <w:r w:rsidRPr="000955D4">
              <w:rPr>
                <w:sz w:val="24"/>
                <w:szCs w:val="24"/>
              </w:rPr>
              <w:t>2.38</w:t>
            </w:r>
          </w:p>
        </w:tc>
        <w:tc>
          <w:tcPr>
            <w:tcW w:w="925" w:type="dxa"/>
            <w:vAlign w:val="center"/>
          </w:tcPr>
          <w:p w14:paraId="45F4ED9C"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6730437D" w14:textId="77777777" w:rsidTr="0039127A">
        <w:tc>
          <w:tcPr>
            <w:tcW w:w="3643" w:type="dxa"/>
            <w:tcBorders>
              <w:bottom w:val="nil"/>
            </w:tcBorders>
            <w:vAlign w:val="center"/>
          </w:tcPr>
          <w:p w14:paraId="6D79DFBF"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Parental feedback is considered in the adaptation process of CBE.</w:t>
            </w:r>
          </w:p>
        </w:tc>
        <w:tc>
          <w:tcPr>
            <w:tcW w:w="996" w:type="dxa"/>
            <w:tcBorders>
              <w:bottom w:val="nil"/>
            </w:tcBorders>
            <w:vAlign w:val="center"/>
          </w:tcPr>
          <w:p w14:paraId="7789A150"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bottom w:val="nil"/>
            </w:tcBorders>
            <w:vAlign w:val="center"/>
          </w:tcPr>
          <w:p w14:paraId="75FE6EDF"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bottom w:val="nil"/>
            </w:tcBorders>
            <w:vAlign w:val="center"/>
          </w:tcPr>
          <w:p w14:paraId="3CF0681C"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bottom w:val="nil"/>
            </w:tcBorders>
            <w:vAlign w:val="center"/>
          </w:tcPr>
          <w:p w14:paraId="6DD6C0D4"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bottom w:val="nil"/>
            </w:tcBorders>
            <w:vAlign w:val="center"/>
          </w:tcPr>
          <w:p w14:paraId="62B069DE"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bottom w:val="nil"/>
            </w:tcBorders>
            <w:vAlign w:val="center"/>
          </w:tcPr>
          <w:p w14:paraId="24DA565F"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70DE28A9" w14:textId="77777777" w:rsidTr="0039127A">
        <w:tc>
          <w:tcPr>
            <w:tcW w:w="3643" w:type="dxa"/>
            <w:tcBorders>
              <w:top w:val="nil"/>
              <w:bottom w:val="single" w:sz="4" w:space="0" w:color="auto"/>
            </w:tcBorders>
            <w:vAlign w:val="center"/>
          </w:tcPr>
          <w:p w14:paraId="419A0F77"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Parents understand their roles and responsibilities in supporting CBE implementation.</w:t>
            </w:r>
          </w:p>
        </w:tc>
        <w:tc>
          <w:tcPr>
            <w:tcW w:w="996" w:type="dxa"/>
            <w:tcBorders>
              <w:top w:val="nil"/>
              <w:bottom w:val="single" w:sz="4" w:space="0" w:color="auto"/>
            </w:tcBorders>
            <w:vAlign w:val="center"/>
          </w:tcPr>
          <w:p w14:paraId="4E502823"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top w:val="nil"/>
              <w:bottom w:val="single" w:sz="4" w:space="0" w:color="auto"/>
            </w:tcBorders>
            <w:vAlign w:val="center"/>
          </w:tcPr>
          <w:p w14:paraId="7420B3BC"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nil"/>
              <w:bottom w:val="single" w:sz="4" w:space="0" w:color="auto"/>
            </w:tcBorders>
            <w:vAlign w:val="center"/>
          </w:tcPr>
          <w:p w14:paraId="259C1827"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nil"/>
              <w:bottom w:val="single" w:sz="4" w:space="0" w:color="auto"/>
            </w:tcBorders>
            <w:vAlign w:val="center"/>
          </w:tcPr>
          <w:p w14:paraId="70575686"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top w:val="nil"/>
              <w:bottom w:val="single" w:sz="4" w:space="0" w:color="auto"/>
            </w:tcBorders>
            <w:vAlign w:val="center"/>
          </w:tcPr>
          <w:p w14:paraId="619F4205"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top w:val="nil"/>
              <w:bottom w:val="single" w:sz="4" w:space="0" w:color="auto"/>
            </w:tcBorders>
            <w:vAlign w:val="center"/>
          </w:tcPr>
          <w:p w14:paraId="35B4B706"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bl>
    <w:p w14:paraId="321783F9" w14:textId="77777777" w:rsidR="00473F46" w:rsidRDefault="00473F46" w:rsidP="00820F58">
      <w:pPr>
        <w:spacing w:after="0" w:line="240" w:lineRule="auto"/>
        <w:rPr>
          <w:rFonts w:ascii="Times New Roman" w:hAnsi="Times New Roman" w:cs="Times New Roman"/>
          <w:b/>
          <w:bCs/>
        </w:rPr>
      </w:pPr>
    </w:p>
    <w:p w14:paraId="15CAC02D" w14:textId="56EBE0AF" w:rsidR="006234FC" w:rsidRPr="000955D4" w:rsidRDefault="006234FC" w:rsidP="00820F58">
      <w:pPr>
        <w:spacing w:after="0" w:line="240" w:lineRule="auto"/>
        <w:rPr>
          <w:rFonts w:ascii="Times New Roman" w:hAnsi="Times New Roman" w:cs="Times New Roman"/>
          <w:b/>
          <w:bCs/>
        </w:rPr>
      </w:pPr>
      <w:bookmarkStart w:id="21" w:name="_GoBack"/>
      <w:bookmarkEnd w:id="21"/>
      <w:r w:rsidRPr="000955D4">
        <w:rPr>
          <w:rFonts w:ascii="Times New Roman" w:hAnsi="Times New Roman" w:cs="Times New Roman"/>
          <w:b/>
          <w:bCs/>
        </w:rPr>
        <w:t>Source: Research Data (2025)</w:t>
      </w:r>
    </w:p>
    <w:p w14:paraId="1E3B3DAA" w14:textId="0F98715B" w:rsidR="006234FC" w:rsidRPr="000955D4" w:rsidRDefault="006234FC" w:rsidP="00820F58">
      <w:pPr>
        <w:spacing w:after="0" w:line="240" w:lineRule="auto"/>
        <w:jc w:val="both"/>
        <w:rPr>
          <w:rFonts w:ascii="Times New Roman" w:hAnsi="Times New Roman" w:cs="Times New Roman"/>
          <w:b/>
          <w:bCs/>
        </w:rPr>
      </w:pPr>
      <w:r w:rsidRPr="000955D4">
        <w:rPr>
          <w:rFonts w:ascii="Times New Roman" w:hAnsi="Times New Roman" w:cs="Times New Roman"/>
          <w:b/>
          <w:bCs/>
        </w:rPr>
        <w:t>Interview Findings on Stakeholder Awareness</w:t>
      </w:r>
    </w:p>
    <w:p w14:paraId="61B968E4"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interviews with the Education Officers and the Curriculum Support Officers (CSOs) gave a detailed information on the levels of stakeholder awareness of the Competency-Based Education (CBE) system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The results indicated that the teachers and headteachers were relatively more informed about the CBE aims as they had received initial orientation programs, but this could not be said of the parents and the community leaders. Most of the </w:t>
      </w:r>
      <w:r w:rsidRPr="000955D4">
        <w:rPr>
          <w:rFonts w:ascii="Times New Roman" w:hAnsi="Times New Roman" w:cs="Times New Roman"/>
        </w:rPr>
        <w:lastRenderedPageBreak/>
        <w:t xml:space="preserve">respondents reported that parents especially had little exposure to the main objectives, principles, and expected roles in the new education system. </w:t>
      </w:r>
    </w:p>
    <w:p w14:paraId="20F9CD4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This observation is in addition to the quantitative results which indicate the moderate means of 2.68 recorded by teachers and headteachers against the low means of 2.38 and 2.63 by the parents. These findings indicate that there is no consistency in sensitizing the stakeholders, and there is a major gap in the information between education professionals and the rest of society.</w:t>
      </w:r>
    </w:p>
    <w:p w14:paraId="2A448CC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interviews also indicated that awareness raising strategies, although existing, were not consistent and not institutionalized well. Majority of the education officers reported the use of methods that included barazas, workshops, circulars, and school meetings to convey the information regarding the CBE system. Such initiatives were sporadic, donor driven and not well </w:t>
      </w:r>
      <w:proofErr w:type="spellStart"/>
      <w:r w:rsidRPr="000955D4">
        <w:rPr>
          <w:rFonts w:ascii="Times New Roman" w:hAnsi="Times New Roman" w:cs="Times New Roman"/>
        </w:rPr>
        <w:t>co-ordinated</w:t>
      </w:r>
      <w:proofErr w:type="spellEnd"/>
      <w:r w:rsidRPr="000955D4">
        <w:rPr>
          <w:rFonts w:ascii="Times New Roman" w:hAnsi="Times New Roman" w:cs="Times New Roman"/>
        </w:rPr>
        <w:t xml:space="preserve"> between schools. The officers observed that teachers in some cases enjoyed the workshops organized by the Ministry of Education or non-governmental organizations, but parents and local leaders had fewer chances to attend similar events. This observation is consistent with the quantitative results, which found low mean scores with regular workshops and access to information (2.51 and 2.49 respectively), showing that a large number of stakeholders did not have much exposure to regular sensitization programs.</w:t>
      </w:r>
    </w:p>
    <w:p w14:paraId="22D8CD4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second significant issue identified during the interviews was the absence of systematic and sustained mechanisms of continuous training and stakeholder involvement. Although, teachers sometimes had access to professional development opportunities in cluster-based training or WhatsApp groups, there was no county-wide system that could reach all stakeholder groups, especially those in remote schools. Parents and community members depended primarily on sporadic school meetings, which tended to be operational in nature as opposed to curriculum content or reform policies. This observation explains why the mean scores registered in communication channels (2.44) and stakeholder involvement (2.35) in the quantitative data were low, indicating that the majority of stakeholders had inconsistent and, in most cases, fragmented access to CBE-related information.</w:t>
      </w:r>
    </w:p>
    <w:p w14:paraId="7247548F"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interviews also revealed the flaws in the processes of incorporating the stakeholder input into the policy adaptation and implementation. Education officers recognized that feedback was occasionally gathered during meetings or training sessions but was never recorded systematically, or shared with higher decision-making bodies. In most instances, there was no indication that the concerns of stakeholders were pursued, which created the perception that their opinions did not contribute much to policy formulations. The quantitative results support this issue because the mean score in feedback incorporation was 2.54 indicating that feedback incorporation is not effectively practiced as there is no transparency in the channels.</w:t>
      </w:r>
    </w:p>
    <w:p w14:paraId="563C720C" w14:textId="77777777" w:rsidR="000616CA"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interviews confirmed the finding that stakeholder awareness in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is moderate, divisive, and not well-institutionalized. The results of both the qualitative and the quantitative research findings point toward four key gaps, which include unequal levels of knowledge among the stakeholders, poor communication strategies, inadequate and inconsistent sensitization platforms, and limited stakeholder feedback in decision-making. All these obstacles compromise the possibilities of successful CBE implementation as community members, teachers, and parents should be aware of the changes, involved in the process, and own it. The current gaps will need to be addressed through coordinated awareness-raising activities, systematic capacity building, and the creation of inclusive platforms to communicate regularly, conduct training, and incorporate feedback.</w:t>
      </w:r>
      <w:bookmarkStart w:id="22" w:name="_Toc207009314"/>
    </w:p>
    <w:p w14:paraId="4A650172" w14:textId="67F00FAC" w:rsidR="00744FEA" w:rsidRPr="000955D4" w:rsidRDefault="00744FEA" w:rsidP="00820F58">
      <w:pPr>
        <w:spacing w:after="0" w:line="240" w:lineRule="auto"/>
        <w:jc w:val="both"/>
        <w:rPr>
          <w:rFonts w:ascii="Times New Roman" w:hAnsi="Times New Roman" w:cs="Times New Roman"/>
        </w:rPr>
      </w:pPr>
      <w:r w:rsidRPr="000955D4">
        <w:rPr>
          <w:rFonts w:ascii="Times New Roman" w:eastAsia="Times New Roman" w:hAnsi="Times New Roman" w:cs="Times New Roman"/>
          <w:kern w:val="0"/>
          <w:lang w:val="en-GB" w:eastAsia="en-GB"/>
          <w14:ligatures w14:val="none"/>
        </w:rPr>
        <w:t xml:space="preserve">Correlation analysis showed that the awareness of stakeholders (teachers and headteachers) in relation to the adaptability of Competency-Based Education (CBE) had a strong and positive </w:t>
      </w:r>
      <w:r w:rsidRPr="000955D4">
        <w:rPr>
          <w:rFonts w:ascii="Times New Roman" w:eastAsia="Times New Roman" w:hAnsi="Times New Roman" w:cs="Times New Roman"/>
          <w:kern w:val="0"/>
          <w:lang w:val="en-GB" w:eastAsia="en-GB"/>
          <w14:ligatures w14:val="none"/>
        </w:rPr>
        <w:lastRenderedPageBreak/>
        <w:t>correlation, and the coefficient of the correlation between the two variables was r = .711 (p &lt;.05). This indicates that well-informed educators are better placed to allocate resources (r = .642), engage in regular monitoring (r = .587) and create environments that lead to learner adaptability. The findings of the study show the importance of sensitization of teachers to facilitate an efficient implementation of CBC through resource combination and monitoring of resource use. Likewise, parent questionnaire revealed a high positive correlation between stakeholder awareness and CBC adaptability (r = .771, p =.000), and informed parents are likely to support resource allocation (r =.552), taking part in monitoring (r =.687), and perceiving the curriculum as responsive to the needs of learners. The strongest correlation was found between monitoring and adaptability (r =.798), which shows that in those cases when parents are actively involved in monitoring progress and providing feedback, they believe that CBC is more flexible and effective. These findings once again strengthen the importance of parental involvement in the validation of curriculum achievement.</w:t>
      </w:r>
    </w:p>
    <w:p w14:paraId="354298C7" w14:textId="77777777" w:rsidR="00473F46" w:rsidRDefault="00473F46" w:rsidP="00820F58">
      <w:pPr>
        <w:pStyle w:val="Heading1"/>
        <w:spacing w:before="0" w:after="0" w:line="240" w:lineRule="auto"/>
        <w:jc w:val="both"/>
        <w:rPr>
          <w:rFonts w:ascii="Times New Roman" w:hAnsi="Times New Roman" w:cs="Times New Roman"/>
          <w:b/>
          <w:bCs/>
          <w:color w:val="auto"/>
          <w:sz w:val="24"/>
          <w:szCs w:val="24"/>
        </w:rPr>
      </w:pPr>
    </w:p>
    <w:p w14:paraId="582C9546" w14:textId="43873680" w:rsidR="00A00496" w:rsidRPr="000955D4" w:rsidRDefault="00A00496" w:rsidP="00820F58">
      <w:pPr>
        <w:pStyle w:val="Heading1"/>
        <w:spacing w:before="0" w:after="0" w:line="240" w:lineRule="auto"/>
        <w:jc w:val="both"/>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Conclusion</w:t>
      </w:r>
      <w:bookmarkEnd w:id="22"/>
    </w:p>
    <w:p w14:paraId="6CD8F89D" w14:textId="77777777" w:rsidR="008809A5" w:rsidRPr="000955D4" w:rsidRDefault="008809A5"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As per findings, it was clear that stakeholder awareness was a major factor towards the successful use of the CBE system in the scenario of </w:t>
      </w:r>
      <w:proofErr w:type="spellStart"/>
      <w:r w:rsidRPr="000955D4">
        <w:rPr>
          <w:rFonts w:ascii="Times New Roman" w:hAnsi="Times New Roman" w:cs="Times New Roman"/>
        </w:rPr>
        <w:t>Balambala</w:t>
      </w:r>
      <w:proofErr w:type="spellEnd"/>
      <w:r w:rsidRPr="000955D4">
        <w:rPr>
          <w:rFonts w:ascii="Times New Roman" w:hAnsi="Times New Roman" w:cs="Times New Roman"/>
        </w:rPr>
        <w:t xml:space="preserve"> Sub-County. Even though certain stakeholders had a rudimentary knowledge of the CBE purpose and their role, the varied level of awareness of the objectives and inadequate engagement in the process of decision making resulted in the creation of serious problems in the way of the smooth implementation. The low scores in the workshops, information access, and communication channels implied that the available arrangements were not good enough to support continued stakeholder participation, which might in turn hamper the success of the entire initiative on curriculum reforms. These positive relationships confirmed the effect of improving the awareness of the stakeholders on the adaptivity of the system, and therefore, supported the conclusion that the key role in the implementation of CBE was played by complete engagement and continuous information sharing. The study concluded that stakeholders’ awareness was moderately evident among parents, with many recognizing the goals of the Competency-Based Curriculum but still demonstrating gaps in understanding its demands and long-term implications. Strengthening sensitization and continuous engagement with parents and the community is therefore critical to enhance their informed participation and support for successful implementation.</w:t>
      </w:r>
    </w:p>
    <w:p w14:paraId="36D5CF87" w14:textId="77777777" w:rsidR="00473F46" w:rsidRDefault="00473F46" w:rsidP="00820F58">
      <w:pPr>
        <w:pStyle w:val="Heading1"/>
        <w:spacing w:before="0" w:after="0" w:line="240" w:lineRule="auto"/>
        <w:jc w:val="both"/>
        <w:rPr>
          <w:rFonts w:ascii="Times New Roman" w:hAnsi="Times New Roman" w:cs="Times New Roman"/>
          <w:b/>
          <w:bCs/>
          <w:color w:val="auto"/>
          <w:sz w:val="24"/>
          <w:szCs w:val="24"/>
        </w:rPr>
      </w:pPr>
      <w:bookmarkStart w:id="23" w:name="_Toc207009315"/>
    </w:p>
    <w:p w14:paraId="1EABC497" w14:textId="2DF54E9E" w:rsidR="00A00496" w:rsidRPr="000955D4" w:rsidRDefault="00A00496" w:rsidP="00820F58">
      <w:pPr>
        <w:pStyle w:val="Heading1"/>
        <w:spacing w:before="0" w:after="0" w:line="240" w:lineRule="auto"/>
        <w:jc w:val="both"/>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Recommendations</w:t>
      </w:r>
      <w:bookmarkEnd w:id="23"/>
      <w:r w:rsidRPr="000955D4">
        <w:rPr>
          <w:rFonts w:ascii="Times New Roman" w:hAnsi="Times New Roman" w:cs="Times New Roman"/>
          <w:b/>
          <w:bCs/>
          <w:color w:val="auto"/>
          <w:sz w:val="24"/>
          <w:szCs w:val="24"/>
        </w:rPr>
        <w:t xml:space="preserve"> </w:t>
      </w:r>
    </w:p>
    <w:p w14:paraId="1B875507" w14:textId="603C2AF4" w:rsidR="00F57628" w:rsidRPr="000955D4" w:rsidRDefault="007F7D6D" w:rsidP="00820F58">
      <w:pPr>
        <w:spacing w:after="0" w:line="240" w:lineRule="auto"/>
        <w:jc w:val="both"/>
        <w:rPr>
          <w:rFonts w:ascii="Times New Roman" w:hAnsi="Times New Roman" w:cs="Times New Roman"/>
        </w:rPr>
      </w:pPr>
      <w:r w:rsidRPr="000955D4">
        <w:rPr>
          <w:rFonts w:ascii="Times New Roman" w:hAnsi="Times New Roman" w:cs="Times New Roman"/>
        </w:rPr>
        <w:t>I</w:t>
      </w:r>
      <w:r w:rsidR="00E44137" w:rsidRPr="000955D4">
        <w:rPr>
          <w:rFonts w:ascii="Times New Roman" w:hAnsi="Times New Roman" w:cs="Times New Roman"/>
        </w:rPr>
        <w:t xml:space="preserve">t was proposed that the parents, teachers and headteachers should be actively involved in capacity building programs that are conducted by the Ministry of Education and other organizations. This could incorporate frequent workshops and training programs that would increase awareness and knowledge of the CBE system. Parents ought to be urged to talk and be well informed, teachers and headteachers ought to spearhead in establishing proper communication channels that will enable the easy access of the information in the curriculum by all stakeholders. A participatory process, in which parents, teachers and local leaders contribute equally to the planning and </w:t>
      </w:r>
      <w:proofErr w:type="gramStart"/>
      <w:r w:rsidR="00E44137" w:rsidRPr="000955D4">
        <w:rPr>
          <w:rFonts w:ascii="Times New Roman" w:hAnsi="Times New Roman" w:cs="Times New Roman"/>
        </w:rPr>
        <w:t>decision making</w:t>
      </w:r>
      <w:proofErr w:type="gramEnd"/>
      <w:r w:rsidR="00E44137" w:rsidRPr="000955D4">
        <w:rPr>
          <w:rFonts w:ascii="Times New Roman" w:hAnsi="Times New Roman" w:cs="Times New Roman"/>
        </w:rPr>
        <w:t xml:space="preserve"> process, was regarded as crucial in the creation of ownership and accountability. In addition, mechanisms of feedback ought to be institutionalized in such a manner that the opinions of parents, teachers, and headteachers can be systematically integrated in the process of policy adaptation and implementation hence building trust, cooperation, and better performance of CBE system in </w:t>
      </w:r>
      <w:proofErr w:type="spellStart"/>
      <w:r w:rsidR="00E44137" w:rsidRPr="000955D4">
        <w:rPr>
          <w:rFonts w:ascii="Times New Roman" w:hAnsi="Times New Roman" w:cs="Times New Roman"/>
        </w:rPr>
        <w:t>Balambala</w:t>
      </w:r>
      <w:proofErr w:type="spellEnd"/>
      <w:r w:rsidR="00E44137" w:rsidRPr="000955D4">
        <w:rPr>
          <w:rFonts w:ascii="Times New Roman" w:hAnsi="Times New Roman" w:cs="Times New Roman"/>
        </w:rPr>
        <w:t xml:space="preserve"> Sub-County.</w:t>
      </w:r>
      <w:r w:rsidR="003E1F31" w:rsidRPr="000955D4">
        <w:rPr>
          <w:rFonts w:ascii="Times New Roman" w:hAnsi="Times New Roman" w:cs="Times New Roman"/>
        </w:rPr>
        <w:t xml:space="preserve"> Further study should be on the influence of parental </w:t>
      </w:r>
      <w:r w:rsidR="003E1F31" w:rsidRPr="000955D4">
        <w:rPr>
          <w:rFonts w:ascii="Times New Roman" w:hAnsi="Times New Roman" w:cs="Times New Roman"/>
        </w:rPr>
        <w:lastRenderedPageBreak/>
        <w:t>involvement on the successful implementation of the competency-based curriculum in Kenyan Primary Schools.</w:t>
      </w:r>
      <w:bookmarkStart w:id="24" w:name="_Toc206306158"/>
    </w:p>
    <w:p w14:paraId="4BED4485" w14:textId="24851B3B"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Practical Implications</w:t>
      </w:r>
    </w:p>
    <w:p w14:paraId="686A8D63" w14:textId="174E171B"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The findings of this study underscore the practical importance of stakeholder awareness in the effective implementation of the Competency-Based Education (CBE) system in Balambala Sub-County. The strong and statistically significant correlation between stakeholder awareness and curriculum adaptability</w:t>
      </w:r>
      <w:r>
        <w:rPr>
          <w:rFonts w:ascii="Times New Roman" w:eastAsiaTheme="majorEastAsia" w:hAnsi="Times New Roman" w:cs="Times New Roman"/>
        </w:rPr>
        <w:t xml:space="preserve"> </w:t>
      </w:r>
      <w:r w:rsidRPr="000955D4">
        <w:rPr>
          <w:rFonts w:ascii="Times New Roman" w:eastAsiaTheme="majorEastAsia" w:hAnsi="Times New Roman" w:cs="Times New Roman"/>
        </w:rPr>
        <w:t>play a pivotal role in enhancing the responsiveness and success of educational reforms.</w:t>
      </w:r>
    </w:p>
    <w:p w14:paraId="5ABEFE75" w14:textId="59E21FAC"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 xml:space="preserve">These results point to the critical need for continuous professional development programs that enhance teacher capacity and facilitate regular engagement with evolving CBE frameworks. </w:t>
      </w:r>
      <w:r>
        <w:rPr>
          <w:rFonts w:ascii="Times New Roman" w:eastAsiaTheme="majorEastAsia" w:hAnsi="Times New Roman" w:cs="Times New Roman"/>
        </w:rPr>
        <w:t>W</w:t>
      </w:r>
      <w:r w:rsidRPr="000955D4">
        <w:rPr>
          <w:rFonts w:ascii="Times New Roman" w:eastAsiaTheme="majorEastAsia" w:hAnsi="Times New Roman" w:cs="Times New Roman"/>
        </w:rPr>
        <w:t>hen parents are informed and engaged, they significantly enhance the curriculum's capacity to meet learner needs.</w:t>
      </w:r>
    </w:p>
    <w:p w14:paraId="6C34B321"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In practice, the findings suggest that stakeholder awareness is not a peripheral concern but a foundational requirement for successful CBE rollout. Implementation strategies must therefore prioritize structured, sustained, and inclusive communication and training efforts at all levels.</w:t>
      </w:r>
    </w:p>
    <w:p w14:paraId="04B94260"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Social Significance</w:t>
      </w:r>
    </w:p>
    <w:p w14:paraId="35131F76" w14:textId="17D92A8D"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Beyond practical implementation, the study reveals deeper social implications. The gaps in communication, inconsistent sensitization efforts, and exclusion from decision-making processes reflect broader structural inequities in educational governance. The moderate to low awareness levels among parents and community members demonstrate how policy implementation can inadvertently reproduce patterns of marginalization when participation is not equitably structured.</w:t>
      </w:r>
      <w:r>
        <w:rPr>
          <w:rFonts w:ascii="Times New Roman" w:eastAsiaTheme="majorEastAsia" w:hAnsi="Times New Roman" w:cs="Times New Roman"/>
        </w:rPr>
        <w:t xml:space="preserve"> </w:t>
      </w:r>
      <w:r w:rsidRPr="000955D4">
        <w:rPr>
          <w:rFonts w:ascii="Times New Roman" w:eastAsiaTheme="majorEastAsia" w:hAnsi="Times New Roman" w:cs="Times New Roman"/>
        </w:rPr>
        <w:t>When stakeholders are treated as passive recipients rather than active agents, reforms struggle to gain traction. Conversely, participatory models can foster social ownership, build trust, and promote community-based solutions to education challenges. In this light, strengthening stakeholder awareness is not merely a technical need—it is a vehicle for democratizing education reform and reinforcing inclusive development.</w:t>
      </w:r>
    </w:p>
    <w:p w14:paraId="6464BDD1"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Limitations of the Study</w:t>
      </w:r>
    </w:p>
    <w:p w14:paraId="07D2EF5E"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While the study offers meaningful insights, it is important to recognize several limitations:</w:t>
      </w:r>
    </w:p>
    <w:p w14:paraId="4235A6F7" w14:textId="5F6AC2D4"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The research was confined to Balambala Sub-County, a rural area with unique socio-economic dynamics. The findings may not fully generalize to urban or more resource-endowed contexts.</w:t>
      </w:r>
    </w:p>
    <w:p w14:paraId="1F5325F4" w14:textId="1DC11C88"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he parent sample size was relatively small (only eight respondents), which limits the robustness of the quantitative data in that category and may not adequately represent the diverse perspectives within the broader parental community.</w:t>
      </w:r>
    </w:p>
    <w:p w14:paraId="53E3BB69" w14:textId="1470405C"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As a cross-sectional study, the research captured stakeholder awareness at a single point in time. It does not account for potential shifts over time due to policy changes, training initiatives, or local interventions.</w:t>
      </w:r>
    </w:p>
    <w:p w14:paraId="6AA0E92F"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lastRenderedPageBreak/>
        <w:t>Suggestions for Further Research</w:t>
      </w:r>
    </w:p>
    <w:p w14:paraId="3A1E9DEB"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Given the identified limitations and the complexity of stakeholder engagement in educational reform, the following areas are recommended for further study:</w:t>
      </w:r>
    </w:p>
    <w:p w14:paraId="439D2526" w14:textId="3161D0AE" w:rsidR="000955D4" w:rsidRPr="000955D4" w:rsidRDefault="000955D4" w:rsidP="000955D4">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Future research should adopt a longitudinal approach to track changes in stakeholder awareness and engagement over time, especially in response to targeted interventions.</w:t>
      </w:r>
    </w:p>
    <w:p w14:paraId="7EA70867" w14:textId="108F7316" w:rsidR="000955D4" w:rsidRPr="000955D4" w:rsidRDefault="000955D4" w:rsidP="000955D4">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Conduct studies comparing urban and rural contexts to explore how location, infrastructure, and socioeconomic factors shape stakeholder awareness and participation in CBE.</w:t>
      </w:r>
    </w:p>
    <w:p w14:paraId="26E1C4BF" w14:textId="5E9C1139" w:rsidR="00820F58" w:rsidRPr="000955D4" w:rsidRDefault="000955D4" w:rsidP="00820F58">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Investigate the pathways through which stakeholder feedback is (or is not) integrated into policy adaptation, with a focus on identifying bottlenecks and proposing models for inclusive policy development.</w:t>
      </w:r>
    </w:p>
    <w:p w14:paraId="227BB7FC" w14:textId="77777777" w:rsidR="00E604FD" w:rsidRPr="000955D4" w:rsidRDefault="00E604FD" w:rsidP="00820F58">
      <w:pPr>
        <w:pStyle w:val="Heading1"/>
        <w:spacing w:before="0" w:after="0" w:line="240" w:lineRule="auto"/>
        <w:jc w:val="center"/>
        <w:rPr>
          <w:rFonts w:ascii="Times New Roman" w:hAnsi="Times New Roman" w:cs="Times New Roman"/>
          <w:b/>
          <w:color w:val="auto"/>
          <w:sz w:val="24"/>
          <w:szCs w:val="24"/>
        </w:rPr>
      </w:pPr>
      <w:bookmarkStart w:id="25" w:name="_Toc206911182"/>
      <w:bookmarkEnd w:id="24"/>
      <w:r w:rsidRPr="000955D4">
        <w:rPr>
          <w:rFonts w:ascii="Times New Roman" w:hAnsi="Times New Roman" w:cs="Times New Roman"/>
          <w:b/>
          <w:color w:val="auto"/>
          <w:sz w:val="24"/>
          <w:szCs w:val="24"/>
        </w:rPr>
        <w:t>REFERENCES</w:t>
      </w:r>
      <w:bookmarkEnd w:id="25"/>
    </w:p>
    <w:p w14:paraId="2C66266E" w14:textId="773FE5F6" w:rsidR="000B2AFF" w:rsidRPr="000955D4" w:rsidRDefault="000B2AFF" w:rsidP="00820F58">
      <w:pPr>
        <w:pStyle w:val="whitespace-normal"/>
        <w:spacing w:before="0" w:beforeAutospacing="0" w:after="0" w:afterAutospacing="0"/>
        <w:jc w:val="both"/>
      </w:pPr>
      <w:r w:rsidRPr="000955D4">
        <w:t xml:space="preserve">Ackoff, R. L. (1999). </w:t>
      </w:r>
      <w:r w:rsidRPr="000955D4">
        <w:rPr>
          <w:rStyle w:val="Emphasis"/>
          <w:rFonts w:eastAsiaTheme="majorEastAsia"/>
        </w:rPr>
        <w:t>Systems thinking and organizational s</w:t>
      </w:r>
      <w:r w:rsidR="007466A1" w:rsidRPr="000955D4">
        <w:rPr>
          <w:rStyle w:val="Emphasis"/>
          <w:rFonts w:eastAsiaTheme="majorEastAsia"/>
        </w:rPr>
        <w:t>ystems: Applications of systems</w:t>
      </w:r>
      <w:r w:rsidR="007466A1" w:rsidRPr="000955D4">
        <w:rPr>
          <w:rStyle w:val="Emphasis"/>
          <w:rFonts w:eastAsiaTheme="majorEastAsia"/>
        </w:rPr>
        <w:tab/>
      </w:r>
      <w:r w:rsidRPr="000955D4">
        <w:rPr>
          <w:rStyle w:val="Emphasis"/>
          <w:rFonts w:eastAsiaTheme="majorEastAsia"/>
        </w:rPr>
        <w:t>concepts</w:t>
      </w:r>
      <w:r w:rsidRPr="000955D4">
        <w:t>. Wiley.</w:t>
      </w:r>
    </w:p>
    <w:p w14:paraId="65DD11D1" w14:textId="77777777" w:rsidR="000B2AFF" w:rsidRPr="000955D4" w:rsidRDefault="000B2AFF" w:rsidP="00820F58">
      <w:pPr>
        <w:pStyle w:val="whitespace-normal"/>
        <w:spacing w:before="0" w:beforeAutospacing="0" w:after="0" w:afterAutospacing="0"/>
        <w:jc w:val="both"/>
      </w:pPr>
      <w:r w:rsidRPr="000955D4">
        <w:t xml:space="preserve">Ajzen, I. (1975). </w:t>
      </w:r>
      <w:r w:rsidRPr="000955D4">
        <w:rPr>
          <w:rStyle w:val="Emphasis"/>
          <w:rFonts w:eastAsiaTheme="majorEastAsia"/>
        </w:rPr>
        <w:t>Theory of reasoned action</w:t>
      </w:r>
      <w:r w:rsidRPr="000955D4">
        <w:t>. Academic Press.</w:t>
      </w:r>
    </w:p>
    <w:p w14:paraId="6D01602E" w14:textId="0A1ED63D" w:rsidR="000B2AFF" w:rsidRPr="000955D4" w:rsidRDefault="000B2AFF" w:rsidP="00820F58">
      <w:pPr>
        <w:pStyle w:val="whitespace-normal"/>
        <w:spacing w:before="0" w:beforeAutospacing="0" w:after="0" w:afterAutospacing="0"/>
        <w:jc w:val="both"/>
      </w:pPr>
      <w:r w:rsidRPr="000955D4">
        <w:t>Akala, B. M. (2021). Revisiting education reform in Ke</w:t>
      </w:r>
      <w:r w:rsidR="007466A1" w:rsidRPr="000955D4">
        <w:t xml:space="preserve">nya: A case of </w:t>
      </w:r>
      <w:proofErr w:type="gramStart"/>
      <w:r w:rsidR="007466A1" w:rsidRPr="000955D4">
        <w:t>competency based</w:t>
      </w:r>
      <w:proofErr w:type="gramEnd"/>
      <w:r w:rsidR="007466A1" w:rsidRPr="000955D4">
        <w:tab/>
      </w:r>
      <w:r w:rsidRPr="000955D4">
        <w:t xml:space="preserve">curriculum (CBE). </w:t>
      </w:r>
      <w:r w:rsidRPr="000955D4">
        <w:rPr>
          <w:rStyle w:val="Emphasis"/>
          <w:rFonts w:eastAsiaTheme="majorEastAsia"/>
        </w:rPr>
        <w:t>Social Sciences &amp; Humanities Open</w:t>
      </w:r>
      <w:r w:rsidRPr="000955D4">
        <w:t xml:space="preserve">, </w:t>
      </w:r>
      <w:r w:rsidRPr="000955D4">
        <w:rPr>
          <w:rStyle w:val="Emphasis"/>
          <w:rFonts w:eastAsiaTheme="majorEastAsia"/>
        </w:rPr>
        <w:t>3</w:t>
      </w:r>
      <w:r w:rsidRPr="000955D4">
        <w:t>(1), 100107.</w:t>
      </w:r>
    </w:p>
    <w:p w14:paraId="68D3BC12" w14:textId="12296942" w:rsidR="000B2AFF" w:rsidRPr="000955D4" w:rsidRDefault="000B2AFF" w:rsidP="00820F58">
      <w:pPr>
        <w:pStyle w:val="whitespace-normal"/>
        <w:spacing w:before="0" w:beforeAutospacing="0" w:after="0" w:afterAutospacing="0"/>
        <w:jc w:val="both"/>
      </w:pPr>
      <w:r w:rsidRPr="000955D4">
        <w:t xml:space="preserve">Anderson, P. (1999). </w:t>
      </w:r>
      <w:r w:rsidRPr="000955D4">
        <w:rPr>
          <w:rStyle w:val="Emphasis"/>
          <w:rFonts w:eastAsiaTheme="majorEastAsia"/>
        </w:rPr>
        <w:t>Complex adaptive systems theory: Foundations and applications</w:t>
      </w:r>
      <w:r w:rsidR="007466A1" w:rsidRPr="000955D4">
        <w:t>. Princeton</w:t>
      </w:r>
      <w:r w:rsidR="007466A1" w:rsidRPr="000955D4">
        <w:tab/>
      </w:r>
      <w:r w:rsidRPr="000955D4">
        <w:t>University Press.</w:t>
      </w:r>
    </w:p>
    <w:p w14:paraId="1DE2E604" w14:textId="2584EDB0" w:rsidR="000B2AFF" w:rsidRPr="000955D4" w:rsidRDefault="000B2AFF" w:rsidP="00820F58">
      <w:pPr>
        <w:pStyle w:val="whitespace-normal"/>
        <w:spacing w:before="0" w:beforeAutospacing="0" w:after="0" w:afterAutospacing="0"/>
        <w:jc w:val="both"/>
      </w:pPr>
      <w:r w:rsidRPr="000955D4">
        <w:t xml:space="preserve">Anyona, A. D. (2012). </w:t>
      </w:r>
      <w:r w:rsidRPr="000955D4">
        <w:rPr>
          <w:rStyle w:val="Emphasis"/>
          <w:rFonts w:eastAsiaTheme="majorEastAsia"/>
        </w:rPr>
        <w:t>Factors affecting the implementation of</w:t>
      </w:r>
      <w:r w:rsidR="007466A1" w:rsidRPr="000955D4">
        <w:rPr>
          <w:rStyle w:val="Emphasis"/>
          <w:rFonts w:eastAsiaTheme="majorEastAsia"/>
        </w:rPr>
        <w:t xml:space="preserve"> the 8-4-4 school curriculum in</w:t>
      </w:r>
      <w:r w:rsidR="007466A1" w:rsidRPr="000955D4">
        <w:rPr>
          <w:rStyle w:val="Emphasis"/>
          <w:rFonts w:eastAsiaTheme="majorEastAsia"/>
        </w:rPr>
        <w:tab/>
      </w:r>
      <w:r w:rsidRPr="000955D4">
        <w:rPr>
          <w:rStyle w:val="Emphasis"/>
          <w:rFonts w:eastAsiaTheme="majorEastAsia"/>
        </w:rPr>
        <w:t xml:space="preserve">primary schools: A survey of </w:t>
      </w:r>
      <w:proofErr w:type="spellStart"/>
      <w:r w:rsidRPr="000955D4">
        <w:rPr>
          <w:rStyle w:val="Emphasis"/>
          <w:rFonts w:eastAsiaTheme="majorEastAsia"/>
        </w:rPr>
        <w:t>Emuhaya</w:t>
      </w:r>
      <w:proofErr w:type="spellEnd"/>
      <w:r w:rsidRPr="000955D4">
        <w:rPr>
          <w:rStyle w:val="Emphasis"/>
          <w:rFonts w:eastAsiaTheme="majorEastAsia"/>
        </w:rPr>
        <w:t xml:space="preserve"> division of </w:t>
      </w:r>
      <w:proofErr w:type="spellStart"/>
      <w:r w:rsidRPr="000955D4">
        <w:rPr>
          <w:rStyle w:val="Emphasis"/>
          <w:rFonts w:eastAsiaTheme="majorEastAsia"/>
        </w:rPr>
        <w:t>Vihiga</w:t>
      </w:r>
      <w:proofErr w:type="spellEnd"/>
      <w:r w:rsidRPr="000955D4">
        <w:rPr>
          <w:rStyle w:val="Emphasis"/>
          <w:rFonts w:eastAsiaTheme="majorEastAsia"/>
        </w:rPr>
        <w:t xml:space="preserve"> district</w:t>
      </w:r>
      <w:r w:rsidR="007466A1" w:rsidRPr="000955D4">
        <w:t xml:space="preserve"> [Master's thesis,</w:t>
      </w:r>
      <w:r w:rsidR="007466A1" w:rsidRPr="000955D4">
        <w:tab/>
      </w:r>
      <w:r w:rsidRPr="000955D4">
        <w:t>University of Nairobi].</w:t>
      </w:r>
    </w:p>
    <w:p w14:paraId="249EFB60" w14:textId="30FECA1A" w:rsidR="000B2AFF" w:rsidRPr="000955D4" w:rsidRDefault="000B2AFF" w:rsidP="00820F58">
      <w:pPr>
        <w:pStyle w:val="whitespace-normal"/>
        <w:spacing w:before="0" w:beforeAutospacing="0" w:after="0" w:afterAutospacing="0"/>
        <w:jc w:val="both"/>
      </w:pPr>
      <w:proofErr w:type="spellStart"/>
      <w:r w:rsidRPr="000955D4">
        <w:t>Bertalanffy</w:t>
      </w:r>
      <w:proofErr w:type="spellEnd"/>
      <w:r w:rsidRPr="000955D4">
        <w:t xml:space="preserve">, L. von (1968). </w:t>
      </w:r>
      <w:r w:rsidRPr="000955D4">
        <w:rPr>
          <w:rStyle w:val="Emphasis"/>
          <w:rFonts w:eastAsiaTheme="majorEastAsia"/>
        </w:rPr>
        <w:t>General system theory: Foundations, development, applications</w:t>
      </w:r>
      <w:r w:rsidR="007466A1" w:rsidRPr="000955D4">
        <w:t>.</w:t>
      </w:r>
      <w:r w:rsidR="007466A1" w:rsidRPr="000955D4">
        <w:tab/>
      </w:r>
      <w:r w:rsidRPr="000955D4">
        <w:t>George Braziller.</w:t>
      </w:r>
    </w:p>
    <w:p w14:paraId="021E5624" w14:textId="77777777" w:rsidR="000B2AFF" w:rsidRPr="000955D4" w:rsidRDefault="000B2AFF" w:rsidP="00820F58">
      <w:pPr>
        <w:pStyle w:val="whitespace-normal"/>
        <w:spacing w:before="0" w:beforeAutospacing="0" w:after="0" w:afterAutospacing="0"/>
        <w:jc w:val="both"/>
      </w:pPr>
      <w:proofErr w:type="spellStart"/>
      <w:r w:rsidRPr="000955D4">
        <w:t>Checkland</w:t>
      </w:r>
      <w:proofErr w:type="spellEnd"/>
      <w:r w:rsidRPr="000955D4">
        <w:t xml:space="preserve">, P. (1981). </w:t>
      </w:r>
      <w:r w:rsidRPr="000955D4">
        <w:rPr>
          <w:rStyle w:val="Emphasis"/>
          <w:rFonts w:eastAsiaTheme="majorEastAsia"/>
        </w:rPr>
        <w:t>Systems thinking, systems practice</w:t>
      </w:r>
      <w:r w:rsidRPr="000955D4">
        <w:t>. John Wiley &amp; Sons.</w:t>
      </w:r>
    </w:p>
    <w:p w14:paraId="60DB4265" w14:textId="355F8312" w:rsidR="000B2AFF" w:rsidRPr="000955D4" w:rsidRDefault="000B2AFF" w:rsidP="00820F58">
      <w:pPr>
        <w:pStyle w:val="whitespace-normal"/>
        <w:spacing w:before="0" w:beforeAutospacing="0" w:after="0" w:afterAutospacing="0"/>
        <w:jc w:val="both"/>
      </w:pPr>
      <w:r w:rsidRPr="000955D4">
        <w:t xml:space="preserve">Cheptoo, R., &amp; Ramdas, V. (2020). Competency-based </w:t>
      </w:r>
      <w:r w:rsidR="007466A1" w:rsidRPr="000955D4">
        <w:t>education in Kenya: A critique.</w:t>
      </w:r>
      <w:r w:rsidR="007466A1" w:rsidRPr="000955D4">
        <w:tab/>
      </w:r>
      <w:r w:rsidRPr="000955D4">
        <w:rPr>
          <w:rStyle w:val="Emphasis"/>
          <w:rFonts w:eastAsiaTheme="majorEastAsia"/>
        </w:rPr>
        <w:t>International Journal of Creative Research Thoughts</w:t>
      </w:r>
      <w:r w:rsidRPr="000955D4">
        <w:t xml:space="preserve">, </w:t>
      </w:r>
      <w:r w:rsidRPr="000955D4">
        <w:rPr>
          <w:rStyle w:val="Emphasis"/>
          <w:rFonts w:eastAsiaTheme="majorEastAsia"/>
        </w:rPr>
        <w:t>8</w:t>
      </w:r>
      <w:r w:rsidRPr="000955D4">
        <w:t>(12), 2320-2882.</w:t>
      </w:r>
    </w:p>
    <w:p w14:paraId="568F1A0C" w14:textId="687483F1" w:rsidR="000B2AFF" w:rsidRPr="000955D4" w:rsidRDefault="000B2AFF" w:rsidP="00820F58">
      <w:pPr>
        <w:pStyle w:val="whitespace-normal"/>
        <w:spacing w:before="0" w:beforeAutospacing="0" w:after="0" w:afterAutospacing="0"/>
        <w:jc w:val="both"/>
      </w:pPr>
      <w:r w:rsidRPr="000955D4">
        <w:t xml:space="preserve">Creswell, J. W., &amp; Creswell, J. D. (2018). </w:t>
      </w:r>
      <w:r w:rsidRPr="000955D4">
        <w:rPr>
          <w:rStyle w:val="Emphasis"/>
          <w:rFonts w:eastAsiaTheme="majorEastAsia"/>
        </w:rPr>
        <w:t>Research design: Quali</w:t>
      </w:r>
      <w:r w:rsidR="007466A1" w:rsidRPr="000955D4">
        <w:rPr>
          <w:rStyle w:val="Emphasis"/>
          <w:rFonts w:eastAsiaTheme="majorEastAsia"/>
        </w:rPr>
        <w:t>tative, quantitative, and mixed</w:t>
      </w:r>
      <w:r w:rsidR="007466A1" w:rsidRPr="000955D4">
        <w:rPr>
          <w:rStyle w:val="Emphasis"/>
          <w:rFonts w:eastAsiaTheme="majorEastAsia"/>
        </w:rPr>
        <w:tab/>
      </w:r>
      <w:r w:rsidRPr="000955D4">
        <w:rPr>
          <w:rStyle w:val="Emphasis"/>
          <w:rFonts w:eastAsiaTheme="majorEastAsia"/>
        </w:rPr>
        <w:t>methods approaches</w:t>
      </w:r>
      <w:r w:rsidRPr="000955D4">
        <w:t xml:space="preserve"> (5th ed.). Sage Publications.</w:t>
      </w:r>
    </w:p>
    <w:p w14:paraId="4AE72AC8" w14:textId="77777777" w:rsidR="000B2AFF" w:rsidRPr="000955D4" w:rsidRDefault="000B2AFF" w:rsidP="00820F58">
      <w:pPr>
        <w:pStyle w:val="whitespace-normal"/>
        <w:spacing w:before="0" w:beforeAutospacing="0" w:after="0" w:afterAutospacing="0"/>
        <w:jc w:val="both"/>
      </w:pPr>
      <w:r w:rsidRPr="000955D4">
        <w:t xml:space="preserve">Daft, R. L. (2021). </w:t>
      </w:r>
      <w:r w:rsidRPr="000955D4">
        <w:rPr>
          <w:rStyle w:val="Emphasis"/>
          <w:rFonts w:eastAsiaTheme="majorEastAsia"/>
        </w:rPr>
        <w:t>Organization theory and design</w:t>
      </w:r>
      <w:r w:rsidRPr="000955D4">
        <w:t xml:space="preserve"> (13th ed.). Cengage Learning.</w:t>
      </w:r>
    </w:p>
    <w:p w14:paraId="21610E21" w14:textId="4BAE2BB3" w:rsidR="000B2AFF" w:rsidRPr="000955D4" w:rsidRDefault="000B2AFF" w:rsidP="00820F58">
      <w:pPr>
        <w:pStyle w:val="whitespace-normal"/>
        <w:spacing w:before="0" w:beforeAutospacing="0" w:after="0" w:afterAutospacing="0"/>
        <w:jc w:val="both"/>
      </w:pPr>
      <w:r w:rsidRPr="000955D4">
        <w:t xml:space="preserve">Davis, F. D. (1986). </w:t>
      </w:r>
      <w:r w:rsidRPr="000955D4">
        <w:rPr>
          <w:rStyle w:val="Emphasis"/>
          <w:rFonts w:eastAsiaTheme="majorEastAsia"/>
        </w:rPr>
        <w:t>A technology acceptance model for e</w:t>
      </w:r>
      <w:r w:rsidR="007466A1" w:rsidRPr="000955D4">
        <w:rPr>
          <w:rStyle w:val="Emphasis"/>
          <w:rFonts w:eastAsiaTheme="majorEastAsia"/>
        </w:rPr>
        <w:t>mpirically testing new end-user</w:t>
      </w:r>
      <w:r w:rsidR="007466A1" w:rsidRPr="000955D4">
        <w:rPr>
          <w:rStyle w:val="Emphasis"/>
          <w:rFonts w:eastAsiaTheme="majorEastAsia"/>
        </w:rPr>
        <w:tab/>
      </w:r>
      <w:r w:rsidRPr="000955D4">
        <w:rPr>
          <w:rStyle w:val="Emphasis"/>
          <w:rFonts w:eastAsiaTheme="majorEastAsia"/>
        </w:rPr>
        <w:t>information systems: Theory and results</w:t>
      </w:r>
      <w:r w:rsidRPr="000955D4">
        <w:t xml:space="preserve"> [Doctoral di</w:t>
      </w:r>
      <w:r w:rsidR="007466A1" w:rsidRPr="000955D4">
        <w:t>ssertation, MIT Sloan School of</w:t>
      </w:r>
      <w:r w:rsidR="007466A1" w:rsidRPr="000955D4">
        <w:tab/>
      </w:r>
      <w:r w:rsidRPr="000955D4">
        <w:t>Management].</w:t>
      </w:r>
    </w:p>
    <w:p w14:paraId="2367C8CE" w14:textId="753EF70E" w:rsidR="000B2AFF" w:rsidRPr="000955D4" w:rsidRDefault="000B2AFF" w:rsidP="00820F58">
      <w:pPr>
        <w:pStyle w:val="whitespace-normal"/>
        <w:spacing w:before="0" w:beforeAutospacing="0" w:after="0" w:afterAutospacing="0"/>
        <w:jc w:val="both"/>
      </w:pPr>
      <w:r w:rsidRPr="000955D4">
        <w:t>Davis, F. D. (1989). Perceived usefulness, perceived ease</w:t>
      </w:r>
      <w:r w:rsidR="007466A1" w:rsidRPr="000955D4">
        <w:t xml:space="preserve"> of use, and user acceptance of</w:t>
      </w:r>
      <w:r w:rsidR="007466A1" w:rsidRPr="000955D4">
        <w:tab/>
      </w:r>
      <w:r w:rsidRPr="000955D4">
        <w:t xml:space="preserve">information technology. </w:t>
      </w:r>
      <w:r w:rsidRPr="000955D4">
        <w:rPr>
          <w:rStyle w:val="Emphasis"/>
          <w:rFonts w:eastAsiaTheme="majorEastAsia"/>
        </w:rPr>
        <w:t>MIS Quarterly</w:t>
      </w:r>
      <w:r w:rsidRPr="000955D4">
        <w:t xml:space="preserve">, </w:t>
      </w:r>
      <w:r w:rsidRPr="000955D4">
        <w:rPr>
          <w:rStyle w:val="Emphasis"/>
          <w:rFonts w:eastAsiaTheme="majorEastAsia"/>
        </w:rPr>
        <w:t>13</w:t>
      </w:r>
      <w:r w:rsidRPr="000955D4">
        <w:t>(3), 319-340.</w:t>
      </w:r>
    </w:p>
    <w:p w14:paraId="5F8F3EE1" w14:textId="003A7676" w:rsidR="000B2AFF" w:rsidRPr="000955D4" w:rsidRDefault="000B2AFF" w:rsidP="00820F58">
      <w:pPr>
        <w:pStyle w:val="whitespace-normal"/>
        <w:spacing w:before="0" w:beforeAutospacing="0" w:after="0" w:afterAutospacing="0"/>
        <w:jc w:val="both"/>
      </w:pPr>
      <w:r w:rsidRPr="000955D4">
        <w:t xml:space="preserve">EAC Secretariat. (2014). </w:t>
      </w:r>
      <w:r w:rsidRPr="000955D4">
        <w:rPr>
          <w:rStyle w:val="Emphasis"/>
          <w:rFonts w:eastAsiaTheme="majorEastAsia"/>
        </w:rPr>
        <w:t>Draft harmonized curriculum struct</w:t>
      </w:r>
      <w:r w:rsidR="007466A1" w:rsidRPr="000955D4">
        <w:rPr>
          <w:rStyle w:val="Emphasis"/>
          <w:rFonts w:eastAsiaTheme="majorEastAsia"/>
        </w:rPr>
        <w:t>ures and framework for the East</w:t>
      </w:r>
      <w:r w:rsidR="007466A1" w:rsidRPr="000955D4">
        <w:rPr>
          <w:rStyle w:val="Emphasis"/>
          <w:rFonts w:eastAsiaTheme="majorEastAsia"/>
        </w:rPr>
        <w:tab/>
      </w:r>
      <w:r w:rsidRPr="000955D4">
        <w:rPr>
          <w:rStyle w:val="Emphasis"/>
          <w:rFonts w:eastAsiaTheme="majorEastAsia"/>
        </w:rPr>
        <w:t>African Community</w:t>
      </w:r>
      <w:r w:rsidRPr="000955D4">
        <w:t>. East African Community.</w:t>
      </w:r>
    </w:p>
    <w:p w14:paraId="156C38D9" w14:textId="5A9FCB87" w:rsidR="000B2AFF" w:rsidRPr="000955D4" w:rsidRDefault="000B2AFF" w:rsidP="00820F58">
      <w:pPr>
        <w:pStyle w:val="whitespace-normal"/>
        <w:spacing w:before="0" w:beforeAutospacing="0" w:after="0" w:afterAutospacing="0"/>
        <w:jc w:val="both"/>
      </w:pPr>
      <w:r w:rsidRPr="000955D4">
        <w:t>Edwards, M. S., &amp; Sanchez-Diaz, C. (2009). Achieving</w:t>
      </w:r>
      <w:r w:rsidR="007466A1" w:rsidRPr="000955D4">
        <w:t xml:space="preserve"> competence-based curriculum in</w:t>
      </w:r>
      <w:r w:rsidR="007466A1" w:rsidRPr="000955D4">
        <w:tab/>
      </w:r>
      <w:r w:rsidRPr="000955D4">
        <w:t xml:space="preserve">engineering education in Spain. </w:t>
      </w:r>
      <w:r w:rsidRPr="000955D4">
        <w:rPr>
          <w:rStyle w:val="Emphasis"/>
          <w:rFonts w:eastAsiaTheme="majorEastAsia"/>
        </w:rPr>
        <w:t>Proceedings of the IEEE</w:t>
      </w:r>
      <w:r w:rsidRPr="000955D4">
        <w:t xml:space="preserve">, </w:t>
      </w:r>
      <w:r w:rsidRPr="000955D4">
        <w:rPr>
          <w:rStyle w:val="Emphasis"/>
          <w:rFonts w:eastAsiaTheme="majorEastAsia"/>
        </w:rPr>
        <w:t>97</w:t>
      </w:r>
      <w:r w:rsidRPr="000955D4">
        <w:t>(10), 1727-1736.</w:t>
      </w:r>
    </w:p>
    <w:p w14:paraId="73CDA104" w14:textId="7477B729" w:rsidR="000B2AFF" w:rsidRPr="000955D4" w:rsidRDefault="000B2AFF" w:rsidP="00820F58">
      <w:pPr>
        <w:pStyle w:val="whitespace-normal"/>
        <w:spacing w:before="0" w:beforeAutospacing="0" w:after="0" w:afterAutospacing="0"/>
        <w:jc w:val="both"/>
      </w:pPr>
      <w:r w:rsidRPr="000955D4">
        <w:t xml:space="preserve">Fishbein, M., &amp; Ajzen, I. (1975). </w:t>
      </w:r>
      <w:r w:rsidRPr="000955D4">
        <w:rPr>
          <w:rStyle w:val="Emphasis"/>
          <w:rFonts w:eastAsiaTheme="majorEastAsia"/>
        </w:rPr>
        <w:t>Belief, attitude, intention, a</w:t>
      </w:r>
      <w:r w:rsidR="007466A1" w:rsidRPr="000955D4">
        <w:rPr>
          <w:rStyle w:val="Emphasis"/>
          <w:rFonts w:eastAsiaTheme="majorEastAsia"/>
        </w:rPr>
        <w:t>nd behavior: An introduction to</w:t>
      </w:r>
      <w:r w:rsidR="007466A1" w:rsidRPr="000955D4">
        <w:rPr>
          <w:rStyle w:val="Emphasis"/>
          <w:rFonts w:eastAsiaTheme="majorEastAsia"/>
        </w:rPr>
        <w:tab/>
      </w:r>
      <w:r w:rsidRPr="000955D4">
        <w:rPr>
          <w:rStyle w:val="Emphasis"/>
          <w:rFonts w:eastAsiaTheme="majorEastAsia"/>
        </w:rPr>
        <w:t>theory and research</w:t>
      </w:r>
      <w:r w:rsidRPr="000955D4">
        <w:t>. Addison-Wesley.</w:t>
      </w:r>
    </w:p>
    <w:p w14:paraId="32A6FB88" w14:textId="77777777" w:rsidR="000B2AFF" w:rsidRPr="000955D4" w:rsidRDefault="000B2AFF" w:rsidP="00820F58">
      <w:pPr>
        <w:pStyle w:val="whitespace-normal"/>
        <w:spacing w:before="0" w:beforeAutospacing="0" w:after="0" w:afterAutospacing="0"/>
        <w:jc w:val="both"/>
      </w:pPr>
      <w:r w:rsidRPr="000955D4">
        <w:t xml:space="preserve">Flood, R. L. (2010). </w:t>
      </w:r>
      <w:r w:rsidRPr="000955D4">
        <w:rPr>
          <w:rStyle w:val="Emphasis"/>
          <w:rFonts w:eastAsiaTheme="majorEastAsia"/>
        </w:rPr>
        <w:t>Systems thinking for organizational learning and change</w:t>
      </w:r>
      <w:r w:rsidRPr="000955D4">
        <w:t>. Routledge.</w:t>
      </w:r>
    </w:p>
    <w:p w14:paraId="4B0C6B98" w14:textId="21A5FE8F" w:rsidR="000B2AFF" w:rsidRPr="000955D4" w:rsidRDefault="000B2AFF" w:rsidP="00820F58">
      <w:pPr>
        <w:pStyle w:val="whitespace-normal"/>
        <w:spacing w:before="0" w:beforeAutospacing="0" w:after="0" w:afterAutospacing="0"/>
        <w:jc w:val="both"/>
      </w:pPr>
      <w:r w:rsidRPr="000955D4">
        <w:t xml:space="preserve">Garissa County Education Office. (2024). </w:t>
      </w:r>
      <w:r w:rsidRPr="000955D4">
        <w:rPr>
          <w:rStyle w:val="Emphasis"/>
          <w:rFonts w:eastAsiaTheme="majorEastAsia"/>
        </w:rPr>
        <w:t>Educational statistics and enrollment data</w:t>
      </w:r>
      <w:r w:rsidR="007466A1" w:rsidRPr="000955D4">
        <w:t>. Garissa</w:t>
      </w:r>
      <w:r w:rsidR="007466A1" w:rsidRPr="000955D4">
        <w:tab/>
      </w:r>
      <w:r w:rsidRPr="000955D4">
        <w:t>County Government.</w:t>
      </w:r>
    </w:p>
    <w:p w14:paraId="3688823B" w14:textId="02D3204C" w:rsidR="000B2AFF" w:rsidRPr="000955D4" w:rsidRDefault="000B2AFF" w:rsidP="00820F58">
      <w:pPr>
        <w:pStyle w:val="whitespace-normal"/>
        <w:spacing w:before="0" w:beforeAutospacing="0" w:after="0" w:afterAutospacing="0"/>
        <w:jc w:val="both"/>
      </w:pPr>
      <w:r w:rsidRPr="000955D4">
        <w:t xml:space="preserve">Government of Kenya. (2019). </w:t>
      </w:r>
      <w:r w:rsidRPr="000955D4">
        <w:rPr>
          <w:rStyle w:val="Emphasis"/>
          <w:rFonts w:eastAsiaTheme="majorEastAsia"/>
        </w:rPr>
        <w:t>Sessional paper No. 1 of 2019 on</w:t>
      </w:r>
      <w:r w:rsidR="007466A1" w:rsidRPr="000955D4">
        <w:rPr>
          <w:rStyle w:val="Emphasis"/>
          <w:rFonts w:eastAsiaTheme="majorEastAsia"/>
        </w:rPr>
        <w:t xml:space="preserve"> policy framework for reforming</w:t>
      </w:r>
      <w:r w:rsidR="007466A1" w:rsidRPr="000955D4">
        <w:rPr>
          <w:rStyle w:val="Emphasis"/>
          <w:rFonts w:eastAsiaTheme="majorEastAsia"/>
        </w:rPr>
        <w:tab/>
      </w:r>
      <w:r w:rsidRPr="000955D4">
        <w:rPr>
          <w:rStyle w:val="Emphasis"/>
          <w:rFonts w:eastAsiaTheme="majorEastAsia"/>
        </w:rPr>
        <w:t>education and training for sustainable development</w:t>
      </w:r>
      <w:r w:rsidRPr="000955D4">
        <w:t>. Government Printer.</w:t>
      </w:r>
    </w:p>
    <w:p w14:paraId="2DF8ED5F" w14:textId="7CF4D4C9" w:rsidR="000B2AFF" w:rsidRPr="000955D4" w:rsidRDefault="000B2AFF" w:rsidP="00820F58">
      <w:pPr>
        <w:pStyle w:val="whitespace-normal"/>
        <w:spacing w:before="0" w:beforeAutospacing="0" w:after="0" w:afterAutospacing="0"/>
        <w:jc w:val="both"/>
      </w:pPr>
      <w:r w:rsidRPr="000955D4">
        <w:lastRenderedPageBreak/>
        <w:t xml:space="preserve">International Bureau of Education: UNESCO. (2017). </w:t>
      </w:r>
      <w:r w:rsidRPr="000955D4">
        <w:rPr>
          <w:rStyle w:val="Emphasis"/>
          <w:rFonts w:eastAsiaTheme="majorEastAsia"/>
        </w:rPr>
        <w:t xml:space="preserve">The </w:t>
      </w:r>
      <w:r w:rsidR="007466A1" w:rsidRPr="000955D4">
        <w:rPr>
          <w:rStyle w:val="Emphasis"/>
          <w:rFonts w:eastAsiaTheme="majorEastAsia"/>
        </w:rPr>
        <w:t xml:space="preserve">why, what and how of </w:t>
      </w:r>
      <w:proofErr w:type="gramStart"/>
      <w:r w:rsidR="007466A1" w:rsidRPr="000955D4">
        <w:rPr>
          <w:rStyle w:val="Emphasis"/>
          <w:rFonts w:eastAsiaTheme="majorEastAsia"/>
        </w:rPr>
        <w:t>competency</w:t>
      </w:r>
      <w:r w:rsidR="007466A1" w:rsidRPr="000955D4">
        <w:rPr>
          <w:rStyle w:val="Emphasis"/>
          <w:rFonts w:eastAsiaTheme="majorEastAsia"/>
        </w:rPr>
        <w:tab/>
      </w:r>
      <w:r w:rsidRPr="000955D4">
        <w:rPr>
          <w:rStyle w:val="Emphasis"/>
          <w:rFonts w:eastAsiaTheme="majorEastAsia"/>
        </w:rPr>
        <w:t>based</w:t>
      </w:r>
      <w:proofErr w:type="gramEnd"/>
      <w:r w:rsidRPr="000955D4">
        <w:rPr>
          <w:rStyle w:val="Emphasis"/>
          <w:rFonts w:eastAsiaTheme="majorEastAsia"/>
        </w:rPr>
        <w:t xml:space="preserve"> curriculum reforms: The Kenyan experience</w:t>
      </w:r>
      <w:r w:rsidRPr="000955D4">
        <w:t>. UNESCO.</w:t>
      </w:r>
    </w:p>
    <w:p w14:paraId="41B72A7B" w14:textId="3D425BE9" w:rsidR="000B2AFF" w:rsidRPr="000955D4" w:rsidRDefault="000B2AFF" w:rsidP="00820F58">
      <w:pPr>
        <w:pStyle w:val="whitespace-normal"/>
        <w:spacing w:before="0" w:beforeAutospacing="0" w:after="0" w:afterAutospacing="0"/>
        <w:jc w:val="both"/>
      </w:pPr>
      <w:proofErr w:type="spellStart"/>
      <w:r w:rsidRPr="000955D4">
        <w:t>Isaboke</w:t>
      </w:r>
      <w:proofErr w:type="spellEnd"/>
      <w:r w:rsidRPr="000955D4">
        <w:t xml:space="preserve">, C., </w:t>
      </w:r>
      <w:proofErr w:type="spellStart"/>
      <w:r w:rsidRPr="000955D4">
        <w:t>Wambiri</w:t>
      </w:r>
      <w:proofErr w:type="spellEnd"/>
      <w:r w:rsidRPr="000955D4">
        <w:t>, G., &amp; Mweru, M. (2021). Assessment of c</w:t>
      </w:r>
      <w:r w:rsidR="007466A1" w:rsidRPr="000955D4">
        <w:t>hallenges facing implementation</w:t>
      </w:r>
      <w:r w:rsidR="007466A1" w:rsidRPr="000955D4">
        <w:tab/>
      </w:r>
      <w:r w:rsidRPr="000955D4">
        <w:t xml:space="preserve">of </w:t>
      </w:r>
      <w:proofErr w:type="gramStart"/>
      <w:r w:rsidRPr="000955D4">
        <w:t>competency based</w:t>
      </w:r>
      <w:proofErr w:type="gramEnd"/>
      <w:r w:rsidRPr="000955D4">
        <w:t xml:space="preserve"> curriculum in public primary schools</w:t>
      </w:r>
      <w:r w:rsidR="007466A1" w:rsidRPr="000955D4">
        <w:t xml:space="preserve"> in Nairobi City County, Kenya.</w:t>
      </w:r>
      <w:r w:rsidR="007466A1" w:rsidRPr="000955D4">
        <w:tab/>
      </w:r>
      <w:r w:rsidRPr="000955D4">
        <w:rPr>
          <w:rStyle w:val="Emphasis"/>
          <w:rFonts w:eastAsiaTheme="majorEastAsia"/>
        </w:rPr>
        <w:t>International Academic Journal of Social Sciences and Education</w:t>
      </w:r>
      <w:r w:rsidRPr="000955D4">
        <w:t xml:space="preserve">, </w:t>
      </w:r>
      <w:r w:rsidRPr="000955D4">
        <w:rPr>
          <w:rStyle w:val="Emphasis"/>
          <w:rFonts w:eastAsiaTheme="majorEastAsia"/>
        </w:rPr>
        <w:t>2</w:t>
      </w:r>
      <w:r w:rsidRPr="000955D4">
        <w:t>(1), 61-79.</w:t>
      </w:r>
    </w:p>
    <w:p w14:paraId="2AE589C6" w14:textId="77777777" w:rsidR="000B2AFF" w:rsidRPr="000955D4" w:rsidRDefault="000B2AFF" w:rsidP="00820F58">
      <w:pPr>
        <w:pStyle w:val="whitespace-normal"/>
        <w:spacing w:before="0" w:beforeAutospacing="0" w:after="0" w:afterAutospacing="0"/>
        <w:jc w:val="both"/>
      </w:pPr>
      <w:r w:rsidRPr="000955D4">
        <w:t xml:space="preserve">Jackson, M. C. (2003). </w:t>
      </w:r>
      <w:r w:rsidRPr="000955D4">
        <w:rPr>
          <w:rStyle w:val="Emphasis"/>
          <w:rFonts w:eastAsiaTheme="majorEastAsia"/>
        </w:rPr>
        <w:t>Systems thinking: Creative holism for managers</w:t>
      </w:r>
      <w:r w:rsidRPr="000955D4">
        <w:t>. John Wiley &amp; Sons.</w:t>
      </w:r>
    </w:p>
    <w:p w14:paraId="42E349A5" w14:textId="0A509676" w:rsidR="000B2AFF" w:rsidRPr="000955D4" w:rsidRDefault="000B2AFF" w:rsidP="00820F58">
      <w:pPr>
        <w:pStyle w:val="whitespace-normal"/>
        <w:spacing w:before="0" w:beforeAutospacing="0" w:after="0" w:afterAutospacing="0"/>
        <w:jc w:val="both"/>
      </w:pPr>
      <w:r w:rsidRPr="000955D4">
        <w:t xml:space="preserve">Jin, Y.-L., &amp; Li, L. (2011). A postmodern perspective on current curriculum reform China. </w:t>
      </w:r>
      <w:r w:rsidR="007466A1" w:rsidRPr="000955D4">
        <w:rPr>
          <w:rStyle w:val="Emphasis"/>
          <w:rFonts w:eastAsiaTheme="majorEastAsia"/>
        </w:rPr>
        <w:t>Chinese</w:t>
      </w:r>
      <w:r w:rsidR="007466A1" w:rsidRPr="000955D4">
        <w:rPr>
          <w:rStyle w:val="Emphasis"/>
          <w:rFonts w:eastAsiaTheme="majorEastAsia"/>
        </w:rPr>
        <w:tab/>
      </w:r>
      <w:r w:rsidRPr="000955D4">
        <w:rPr>
          <w:rStyle w:val="Emphasis"/>
          <w:rFonts w:eastAsiaTheme="majorEastAsia"/>
        </w:rPr>
        <w:t>Education and Society</w:t>
      </w:r>
      <w:r w:rsidRPr="000955D4">
        <w:t xml:space="preserve">, </w:t>
      </w:r>
      <w:r w:rsidRPr="000955D4">
        <w:rPr>
          <w:rStyle w:val="Emphasis"/>
          <w:rFonts w:eastAsiaTheme="majorEastAsia"/>
        </w:rPr>
        <w:t>44</w:t>
      </w:r>
      <w:r w:rsidRPr="000955D4">
        <w:t>(4), 25-43.</w:t>
      </w:r>
    </w:p>
    <w:p w14:paraId="248D1B2E" w14:textId="78B38D26" w:rsidR="000B2AFF" w:rsidRPr="000955D4" w:rsidRDefault="000B2AFF" w:rsidP="00820F58">
      <w:pPr>
        <w:pStyle w:val="whitespace-normal"/>
        <w:spacing w:before="0" w:beforeAutospacing="0" w:after="0" w:afterAutospacing="0"/>
        <w:jc w:val="both"/>
      </w:pPr>
      <w:r w:rsidRPr="000955D4">
        <w:t xml:space="preserve">Justus, M., &amp; </w:t>
      </w:r>
      <w:proofErr w:type="spellStart"/>
      <w:r w:rsidRPr="000955D4">
        <w:t>Inyega</w:t>
      </w:r>
      <w:proofErr w:type="spellEnd"/>
      <w:r w:rsidRPr="000955D4">
        <w:t xml:space="preserve">, J. (2021). </w:t>
      </w:r>
      <w:r w:rsidRPr="000955D4">
        <w:rPr>
          <w:rStyle w:val="Emphasis"/>
          <w:rFonts w:eastAsiaTheme="majorEastAsia"/>
        </w:rPr>
        <w:t xml:space="preserve">Historical evolution of Kenya's </w:t>
      </w:r>
      <w:r w:rsidR="007466A1" w:rsidRPr="000955D4">
        <w:rPr>
          <w:rStyle w:val="Emphasis"/>
          <w:rFonts w:eastAsiaTheme="majorEastAsia"/>
        </w:rPr>
        <w:t>education system: From colonial</w:t>
      </w:r>
      <w:r w:rsidR="007466A1" w:rsidRPr="000955D4">
        <w:rPr>
          <w:rStyle w:val="Emphasis"/>
          <w:rFonts w:eastAsiaTheme="majorEastAsia"/>
        </w:rPr>
        <w:tab/>
      </w:r>
      <w:r w:rsidRPr="000955D4">
        <w:rPr>
          <w:rStyle w:val="Emphasis"/>
          <w:rFonts w:eastAsiaTheme="majorEastAsia"/>
        </w:rPr>
        <w:t>to competency-based curriculum</w:t>
      </w:r>
      <w:r w:rsidRPr="000955D4">
        <w:t>. Educational Publishers Kenya.</w:t>
      </w:r>
    </w:p>
    <w:p w14:paraId="54587E30" w14:textId="3BBE7B46" w:rsidR="000B2AFF" w:rsidRPr="000955D4" w:rsidRDefault="000B2AFF" w:rsidP="00820F58">
      <w:pPr>
        <w:pStyle w:val="whitespace-normal"/>
        <w:spacing w:before="0" w:beforeAutospacing="0" w:after="0" w:afterAutospacing="0"/>
        <w:jc w:val="both"/>
      </w:pPr>
      <w:r w:rsidRPr="000955D4">
        <w:t xml:space="preserve">Kast, F. E., &amp; Rosenzweig, J. E. (1972). </w:t>
      </w:r>
      <w:r w:rsidRPr="000955D4">
        <w:rPr>
          <w:rStyle w:val="Emphasis"/>
          <w:rFonts w:eastAsiaTheme="majorEastAsia"/>
        </w:rPr>
        <w:t>General systems theory</w:t>
      </w:r>
      <w:r w:rsidR="007466A1" w:rsidRPr="000955D4">
        <w:rPr>
          <w:rStyle w:val="Emphasis"/>
          <w:rFonts w:eastAsiaTheme="majorEastAsia"/>
        </w:rPr>
        <w:t>: Applications for organization</w:t>
      </w:r>
      <w:r w:rsidR="007466A1" w:rsidRPr="000955D4">
        <w:rPr>
          <w:rStyle w:val="Emphasis"/>
          <w:rFonts w:eastAsiaTheme="majorEastAsia"/>
        </w:rPr>
        <w:tab/>
      </w:r>
      <w:r w:rsidRPr="000955D4">
        <w:rPr>
          <w:rStyle w:val="Emphasis"/>
          <w:rFonts w:eastAsiaTheme="majorEastAsia"/>
        </w:rPr>
        <w:t>and management</w:t>
      </w:r>
      <w:r w:rsidRPr="000955D4">
        <w:t>. McGraw-Hill.</w:t>
      </w:r>
    </w:p>
    <w:p w14:paraId="61EDE668" w14:textId="36B703CD" w:rsidR="000B2AFF" w:rsidRPr="000955D4" w:rsidRDefault="000B2AFF" w:rsidP="00820F58">
      <w:pPr>
        <w:pStyle w:val="whitespace-normal"/>
        <w:spacing w:before="0" w:beforeAutospacing="0" w:after="0" w:afterAutospacing="0"/>
        <w:jc w:val="both"/>
      </w:pPr>
      <w:r w:rsidRPr="000955D4">
        <w:t xml:space="preserve">Kenya Institute of Curriculum Development. (2016). </w:t>
      </w:r>
      <w:r w:rsidRPr="000955D4">
        <w:rPr>
          <w:rStyle w:val="Emphasis"/>
          <w:rFonts w:eastAsiaTheme="majorEastAsia"/>
        </w:rPr>
        <w:t>Basic education curriculum framework</w:t>
      </w:r>
      <w:r w:rsidR="007466A1" w:rsidRPr="000955D4">
        <w:t>.</w:t>
      </w:r>
      <w:r w:rsidR="007466A1" w:rsidRPr="000955D4">
        <w:tab/>
      </w:r>
      <w:r w:rsidRPr="000955D4">
        <w:t>KICD.</w:t>
      </w:r>
    </w:p>
    <w:p w14:paraId="7EACFDFE" w14:textId="40929E78" w:rsidR="000B2AFF" w:rsidRPr="000955D4" w:rsidRDefault="000B2AFF" w:rsidP="00820F58">
      <w:pPr>
        <w:pStyle w:val="whitespace-normal"/>
        <w:spacing w:before="0" w:beforeAutospacing="0" w:after="0" w:afterAutospacing="0"/>
        <w:jc w:val="both"/>
      </w:pPr>
      <w:r w:rsidRPr="000955D4">
        <w:t xml:space="preserve">Laszlo, E., &amp; Krippner, S. (1998). </w:t>
      </w:r>
      <w:r w:rsidRPr="000955D4">
        <w:rPr>
          <w:rStyle w:val="Emphasis"/>
          <w:rFonts w:eastAsiaTheme="majorEastAsia"/>
        </w:rPr>
        <w:t>Systems theories: Their origins, foundations, and development</w:t>
      </w:r>
      <w:r w:rsidR="007466A1" w:rsidRPr="000955D4">
        <w:t>.</w:t>
      </w:r>
      <w:r w:rsidR="007466A1" w:rsidRPr="000955D4">
        <w:tab/>
      </w:r>
      <w:r w:rsidRPr="000955D4">
        <w:t>Routledge.</w:t>
      </w:r>
    </w:p>
    <w:p w14:paraId="4D98EDC9" w14:textId="5C260955" w:rsidR="000B2AFF" w:rsidRPr="000955D4" w:rsidRDefault="000B2AFF" w:rsidP="00820F58">
      <w:pPr>
        <w:pStyle w:val="whitespace-normal"/>
        <w:spacing w:before="0" w:beforeAutospacing="0" w:after="0" w:afterAutospacing="0"/>
        <w:jc w:val="both"/>
      </w:pPr>
      <w:r w:rsidRPr="000955D4">
        <w:t xml:space="preserve">Macharia, S. (2011). </w:t>
      </w:r>
      <w:r w:rsidRPr="000955D4">
        <w:rPr>
          <w:rStyle w:val="Emphasis"/>
          <w:rFonts w:eastAsiaTheme="majorEastAsia"/>
        </w:rPr>
        <w:t>Stakeholder involvement in strategy impleme</w:t>
      </w:r>
      <w:r w:rsidR="007466A1" w:rsidRPr="000955D4">
        <w:rPr>
          <w:rStyle w:val="Emphasis"/>
          <w:rFonts w:eastAsiaTheme="majorEastAsia"/>
        </w:rPr>
        <w:t>ntation: A case study of public</w:t>
      </w:r>
      <w:r w:rsidR="007466A1" w:rsidRPr="000955D4">
        <w:rPr>
          <w:rStyle w:val="Emphasis"/>
          <w:rFonts w:eastAsiaTheme="majorEastAsia"/>
        </w:rPr>
        <w:tab/>
      </w:r>
      <w:r w:rsidRPr="000955D4">
        <w:rPr>
          <w:rStyle w:val="Emphasis"/>
          <w:rFonts w:eastAsiaTheme="majorEastAsia"/>
        </w:rPr>
        <w:t>organizations in Nairobi</w:t>
      </w:r>
      <w:r w:rsidRPr="000955D4">
        <w:t xml:space="preserve"> [Master's thesis, University of Nairobi].</w:t>
      </w:r>
    </w:p>
    <w:p w14:paraId="7EE7233D" w14:textId="77777777" w:rsidR="000B2AFF" w:rsidRPr="000955D4" w:rsidRDefault="000B2AFF" w:rsidP="00820F58">
      <w:pPr>
        <w:pStyle w:val="whitespace-normal"/>
        <w:spacing w:before="0" w:beforeAutospacing="0" w:after="0" w:afterAutospacing="0"/>
        <w:jc w:val="both"/>
      </w:pPr>
      <w:r w:rsidRPr="000955D4">
        <w:t xml:space="preserve">Meadows, D. H. (2008). </w:t>
      </w:r>
      <w:r w:rsidRPr="000955D4">
        <w:rPr>
          <w:rStyle w:val="Emphasis"/>
          <w:rFonts w:eastAsiaTheme="majorEastAsia"/>
        </w:rPr>
        <w:t>Thinking in systems: A primer</w:t>
      </w:r>
      <w:r w:rsidRPr="000955D4">
        <w:t>. Chelsea Green Publishing.</w:t>
      </w:r>
    </w:p>
    <w:p w14:paraId="043FD898" w14:textId="66ACC2D5" w:rsidR="000B2AFF" w:rsidRPr="000955D4" w:rsidRDefault="000B2AFF" w:rsidP="00820F58">
      <w:pPr>
        <w:pStyle w:val="whitespace-normal"/>
        <w:spacing w:before="0" w:beforeAutospacing="0" w:after="0" w:afterAutospacing="0"/>
        <w:jc w:val="both"/>
      </w:pPr>
      <w:r w:rsidRPr="000955D4">
        <w:t>Mele, C., Pels, J., &amp; Polese, F. (2010). A brief review of system</w:t>
      </w:r>
      <w:r w:rsidR="007466A1" w:rsidRPr="000955D4">
        <w:t>s theories and their managerial</w:t>
      </w:r>
      <w:r w:rsidR="007466A1" w:rsidRPr="000955D4">
        <w:tab/>
      </w:r>
      <w:r w:rsidRPr="000955D4">
        <w:t xml:space="preserve">applications. </w:t>
      </w:r>
      <w:r w:rsidRPr="000955D4">
        <w:rPr>
          <w:rStyle w:val="Emphasis"/>
          <w:rFonts w:eastAsiaTheme="majorEastAsia"/>
        </w:rPr>
        <w:t>Service Science</w:t>
      </w:r>
      <w:r w:rsidRPr="000955D4">
        <w:t xml:space="preserve">, </w:t>
      </w:r>
      <w:r w:rsidRPr="000955D4">
        <w:rPr>
          <w:rStyle w:val="Emphasis"/>
          <w:rFonts w:eastAsiaTheme="majorEastAsia"/>
        </w:rPr>
        <w:t>2</w:t>
      </w:r>
      <w:r w:rsidRPr="000955D4">
        <w:t>(1-2), 126-135.</w:t>
      </w:r>
    </w:p>
    <w:p w14:paraId="2064F565" w14:textId="0735B05B" w:rsidR="000B2AFF" w:rsidRPr="000955D4" w:rsidRDefault="000B2AFF" w:rsidP="00820F58">
      <w:pPr>
        <w:pStyle w:val="whitespace-normal"/>
        <w:spacing w:before="0" w:beforeAutospacing="0" w:after="0" w:afterAutospacing="0"/>
        <w:jc w:val="both"/>
      </w:pPr>
      <w:r w:rsidRPr="000955D4">
        <w:t xml:space="preserve">Midgley, G. (2000). </w:t>
      </w:r>
      <w:r w:rsidRPr="000955D4">
        <w:rPr>
          <w:rStyle w:val="Emphasis"/>
          <w:rFonts w:eastAsiaTheme="majorEastAsia"/>
        </w:rPr>
        <w:t>Systemic intervention: Philosophy, methodology, and practice</w:t>
      </w:r>
      <w:r w:rsidR="007466A1" w:rsidRPr="000955D4">
        <w:t>. Kluwer</w:t>
      </w:r>
      <w:r w:rsidR="007466A1" w:rsidRPr="000955D4">
        <w:tab/>
      </w:r>
      <w:r w:rsidRPr="000955D4">
        <w:t>Academic Publishers.</w:t>
      </w:r>
    </w:p>
    <w:p w14:paraId="5C26E3AE" w14:textId="4375BAA1" w:rsidR="000B2AFF" w:rsidRPr="000955D4" w:rsidRDefault="000B2AFF" w:rsidP="00820F58">
      <w:pPr>
        <w:pStyle w:val="whitespace-normal"/>
        <w:spacing w:before="0" w:beforeAutospacing="0" w:after="0" w:afterAutospacing="0"/>
        <w:jc w:val="both"/>
      </w:pPr>
      <w:r w:rsidRPr="000955D4">
        <w:t xml:space="preserve">Momanyi, J. M., &amp; </w:t>
      </w:r>
      <w:proofErr w:type="spellStart"/>
      <w:r w:rsidRPr="000955D4">
        <w:t>Rop</w:t>
      </w:r>
      <w:proofErr w:type="spellEnd"/>
      <w:r w:rsidRPr="000955D4">
        <w:t>, P. K. (2020). Teacher preparedness for t</w:t>
      </w:r>
      <w:r w:rsidR="007466A1" w:rsidRPr="000955D4">
        <w:t xml:space="preserve">he implementation of </w:t>
      </w:r>
      <w:proofErr w:type="gramStart"/>
      <w:r w:rsidR="007466A1" w:rsidRPr="000955D4">
        <w:t>competency</w:t>
      </w:r>
      <w:r w:rsidR="007466A1" w:rsidRPr="000955D4">
        <w:tab/>
      </w:r>
      <w:r w:rsidRPr="000955D4">
        <w:t>based</w:t>
      </w:r>
      <w:proofErr w:type="gramEnd"/>
      <w:r w:rsidRPr="000955D4">
        <w:t xml:space="preserve"> curriculum in Kenya: A survey of early grade primar</w:t>
      </w:r>
      <w:r w:rsidR="007466A1" w:rsidRPr="000955D4">
        <w:t xml:space="preserve">y school teachers in </w:t>
      </w:r>
      <w:proofErr w:type="spellStart"/>
      <w:r w:rsidR="007466A1" w:rsidRPr="000955D4">
        <w:t>Bomet</w:t>
      </w:r>
      <w:proofErr w:type="spellEnd"/>
      <w:r w:rsidR="007466A1" w:rsidRPr="000955D4">
        <w:t xml:space="preserve"> East</w:t>
      </w:r>
      <w:r w:rsidR="007466A1" w:rsidRPr="000955D4">
        <w:tab/>
      </w:r>
      <w:r w:rsidRPr="000955D4">
        <w:t xml:space="preserve">Sub-County. </w:t>
      </w:r>
      <w:r w:rsidRPr="000955D4">
        <w:rPr>
          <w:rStyle w:val="Emphasis"/>
          <w:rFonts w:eastAsiaTheme="majorEastAsia"/>
        </w:rPr>
        <w:t>The Cradle of Knowledge: African Journal of</w:t>
      </w:r>
      <w:r w:rsidR="007466A1" w:rsidRPr="000955D4">
        <w:rPr>
          <w:rStyle w:val="Emphasis"/>
          <w:rFonts w:eastAsiaTheme="majorEastAsia"/>
        </w:rPr>
        <w:t xml:space="preserve"> Educational and Social Science</w:t>
      </w:r>
      <w:r w:rsidR="007466A1" w:rsidRPr="000955D4">
        <w:rPr>
          <w:rStyle w:val="Emphasis"/>
          <w:rFonts w:eastAsiaTheme="majorEastAsia"/>
        </w:rPr>
        <w:tab/>
      </w:r>
      <w:r w:rsidRPr="000955D4">
        <w:rPr>
          <w:rStyle w:val="Emphasis"/>
          <w:rFonts w:eastAsiaTheme="majorEastAsia"/>
        </w:rPr>
        <w:t>Research</w:t>
      </w:r>
      <w:r w:rsidRPr="000955D4">
        <w:t xml:space="preserve">, </w:t>
      </w:r>
      <w:r w:rsidRPr="000955D4">
        <w:rPr>
          <w:rStyle w:val="Emphasis"/>
          <w:rFonts w:eastAsiaTheme="majorEastAsia"/>
        </w:rPr>
        <w:t>7</w:t>
      </w:r>
      <w:r w:rsidRPr="000955D4">
        <w:t>(1), 10-15.</w:t>
      </w:r>
    </w:p>
    <w:p w14:paraId="5AF968B2" w14:textId="1C45A59D" w:rsidR="000B2AFF" w:rsidRPr="000955D4" w:rsidRDefault="000B2AFF" w:rsidP="00820F58">
      <w:pPr>
        <w:pStyle w:val="whitespace-normal"/>
        <w:spacing w:before="0" w:beforeAutospacing="0" w:after="0" w:afterAutospacing="0"/>
        <w:jc w:val="both"/>
      </w:pPr>
      <w:r w:rsidRPr="000955D4">
        <w:t xml:space="preserve">Mugenda, O. M., &amp; Mugenda, A. G. (2013). </w:t>
      </w:r>
      <w:r w:rsidRPr="000955D4">
        <w:rPr>
          <w:rStyle w:val="Emphasis"/>
          <w:rFonts w:eastAsiaTheme="majorEastAsia"/>
        </w:rPr>
        <w:t>Research method</w:t>
      </w:r>
      <w:r w:rsidR="007466A1" w:rsidRPr="000955D4">
        <w:rPr>
          <w:rStyle w:val="Emphasis"/>
          <w:rFonts w:eastAsiaTheme="majorEastAsia"/>
        </w:rPr>
        <w:t>s: Quantitative and qualitative</w:t>
      </w:r>
      <w:r w:rsidR="007466A1" w:rsidRPr="000955D4">
        <w:rPr>
          <w:rStyle w:val="Emphasis"/>
          <w:rFonts w:eastAsiaTheme="majorEastAsia"/>
        </w:rPr>
        <w:tab/>
      </w:r>
      <w:r w:rsidRPr="000955D4">
        <w:rPr>
          <w:rStyle w:val="Emphasis"/>
          <w:rFonts w:eastAsiaTheme="majorEastAsia"/>
        </w:rPr>
        <w:t>approaches</w:t>
      </w:r>
      <w:r w:rsidRPr="000955D4">
        <w:t xml:space="preserve"> (3rd ed.). ACTS Press.</w:t>
      </w:r>
    </w:p>
    <w:p w14:paraId="2D325061" w14:textId="62BFAECC" w:rsidR="000B2AFF" w:rsidRPr="000955D4" w:rsidRDefault="000B2AFF" w:rsidP="00820F58">
      <w:pPr>
        <w:pStyle w:val="whitespace-normal"/>
        <w:spacing w:before="0" w:beforeAutospacing="0" w:after="0" w:afterAutospacing="0"/>
        <w:jc w:val="both"/>
      </w:pPr>
      <w:proofErr w:type="spellStart"/>
      <w:r w:rsidRPr="000955D4">
        <w:t>Ogondiek</w:t>
      </w:r>
      <w:proofErr w:type="spellEnd"/>
      <w:r w:rsidRPr="000955D4">
        <w:t xml:space="preserve">, W. M. (2005). </w:t>
      </w:r>
      <w:r w:rsidRPr="000955D4">
        <w:rPr>
          <w:rStyle w:val="Emphasis"/>
          <w:rFonts w:eastAsiaTheme="majorEastAsia"/>
        </w:rPr>
        <w:t>Innovations in vocational education a</w:t>
      </w:r>
      <w:r w:rsidR="007466A1" w:rsidRPr="000955D4">
        <w:rPr>
          <w:rStyle w:val="Emphasis"/>
          <w:rFonts w:eastAsiaTheme="majorEastAsia"/>
        </w:rPr>
        <w:t>nd training: The implementation</w:t>
      </w:r>
      <w:r w:rsidR="007466A1" w:rsidRPr="000955D4">
        <w:rPr>
          <w:rStyle w:val="Emphasis"/>
          <w:rFonts w:eastAsiaTheme="majorEastAsia"/>
        </w:rPr>
        <w:tab/>
      </w:r>
      <w:r w:rsidRPr="000955D4">
        <w:rPr>
          <w:rStyle w:val="Emphasis"/>
          <w:rFonts w:eastAsiaTheme="majorEastAsia"/>
        </w:rPr>
        <w:t xml:space="preserve">of the </w:t>
      </w:r>
      <w:proofErr w:type="gramStart"/>
      <w:r w:rsidRPr="000955D4">
        <w:rPr>
          <w:rStyle w:val="Emphasis"/>
          <w:rFonts w:eastAsiaTheme="majorEastAsia"/>
        </w:rPr>
        <w:t>competence based</w:t>
      </w:r>
      <w:proofErr w:type="gramEnd"/>
      <w:r w:rsidRPr="000955D4">
        <w:rPr>
          <w:rStyle w:val="Emphasis"/>
          <w:rFonts w:eastAsiaTheme="majorEastAsia"/>
        </w:rPr>
        <w:t xml:space="preserve"> education and training in Dar </w:t>
      </w:r>
      <w:r w:rsidR="007466A1" w:rsidRPr="000955D4">
        <w:rPr>
          <w:rStyle w:val="Emphasis"/>
          <w:rFonts w:eastAsiaTheme="majorEastAsia"/>
        </w:rPr>
        <w:t>es Salaam and Dodoma vocational</w:t>
      </w:r>
      <w:r w:rsidR="007466A1" w:rsidRPr="000955D4">
        <w:rPr>
          <w:rStyle w:val="Emphasis"/>
          <w:rFonts w:eastAsiaTheme="majorEastAsia"/>
        </w:rPr>
        <w:tab/>
      </w:r>
      <w:r w:rsidRPr="000955D4">
        <w:rPr>
          <w:rStyle w:val="Emphasis"/>
          <w:rFonts w:eastAsiaTheme="majorEastAsia"/>
        </w:rPr>
        <w:t xml:space="preserve">training </w:t>
      </w:r>
      <w:proofErr w:type="spellStart"/>
      <w:r w:rsidRPr="000955D4">
        <w:rPr>
          <w:rStyle w:val="Emphasis"/>
          <w:rFonts w:eastAsiaTheme="majorEastAsia"/>
        </w:rPr>
        <w:t>centre</w:t>
      </w:r>
      <w:proofErr w:type="spellEnd"/>
      <w:r w:rsidRPr="000955D4">
        <w:t xml:space="preserve"> [Unpublished master's thesis, University of Dar es Salaam].</w:t>
      </w:r>
    </w:p>
    <w:p w14:paraId="7E42594C" w14:textId="68D2D055" w:rsidR="000B2AFF" w:rsidRPr="000955D4" w:rsidRDefault="000B2AFF" w:rsidP="00820F58">
      <w:pPr>
        <w:pStyle w:val="whitespace-normal"/>
        <w:spacing w:before="0" w:beforeAutospacing="0" w:after="0" w:afterAutospacing="0"/>
        <w:jc w:val="both"/>
      </w:pPr>
      <w:r w:rsidRPr="000955D4">
        <w:t xml:space="preserve">Onyango, G. (2021). </w:t>
      </w:r>
      <w:r w:rsidRPr="000955D4">
        <w:rPr>
          <w:rStyle w:val="Emphasis"/>
          <w:rFonts w:eastAsiaTheme="majorEastAsia"/>
        </w:rPr>
        <w:t xml:space="preserve">Influence of stakeholder involvement on </w:t>
      </w:r>
      <w:r w:rsidR="007466A1" w:rsidRPr="000955D4">
        <w:rPr>
          <w:rStyle w:val="Emphasis"/>
          <w:rFonts w:eastAsiaTheme="majorEastAsia"/>
        </w:rPr>
        <w:t>performance of public secondary</w:t>
      </w:r>
      <w:r w:rsidR="007466A1" w:rsidRPr="000955D4">
        <w:rPr>
          <w:rStyle w:val="Emphasis"/>
          <w:rFonts w:eastAsiaTheme="majorEastAsia"/>
        </w:rPr>
        <w:tab/>
      </w:r>
      <w:r w:rsidRPr="000955D4">
        <w:rPr>
          <w:rStyle w:val="Emphasis"/>
          <w:rFonts w:eastAsiaTheme="majorEastAsia"/>
        </w:rPr>
        <w:t xml:space="preserve">schools in Kisumu and </w:t>
      </w:r>
      <w:proofErr w:type="spellStart"/>
      <w:r w:rsidRPr="000955D4">
        <w:rPr>
          <w:rStyle w:val="Emphasis"/>
          <w:rFonts w:eastAsiaTheme="majorEastAsia"/>
        </w:rPr>
        <w:t>Uasin</w:t>
      </w:r>
      <w:proofErr w:type="spellEnd"/>
      <w:r w:rsidRPr="000955D4">
        <w:rPr>
          <w:rStyle w:val="Emphasis"/>
          <w:rFonts w:eastAsiaTheme="majorEastAsia"/>
        </w:rPr>
        <w:t xml:space="preserve"> Gishu Counties, Kenya</w:t>
      </w:r>
      <w:r w:rsidRPr="000955D4">
        <w:t xml:space="preserve"> [Docto</w:t>
      </w:r>
      <w:r w:rsidR="007466A1" w:rsidRPr="000955D4">
        <w:t>ral dissertation, University of</w:t>
      </w:r>
      <w:r w:rsidR="007466A1" w:rsidRPr="000955D4">
        <w:tab/>
      </w:r>
      <w:r w:rsidRPr="000955D4">
        <w:t>Nairobi].</w:t>
      </w:r>
    </w:p>
    <w:p w14:paraId="5268C46D" w14:textId="619C2934" w:rsidR="000B2AFF" w:rsidRPr="000955D4" w:rsidRDefault="000B2AFF" w:rsidP="00820F58">
      <w:pPr>
        <w:pStyle w:val="whitespace-normal"/>
        <w:spacing w:before="0" w:beforeAutospacing="0" w:after="0" w:afterAutospacing="0"/>
        <w:jc w:val="both"/>
      </w:pPr>
      <w:r w:rsidRPr="000955D4">
        <w:t xml:space="preserve">Republic of Rwanda. (2015). </w:t>
      </w:r>
      <w:r w:rsidRPr="000955D4">
        <w:rPr>
          <w:rStyle w:val="Emphasis"/>
          <w:rFonts w:eastAsiaTheme="majorEastAsia"/>
        </w:rPr>
        <w:t xml:space="preserve">Competence-based curriculum: </w:t>
      </w:r>
      <w:r w:rsidR="007466A1" w:rsidRPr="000955D4">
        <w:rPr>
          <w:rStyle w:val="Emphasis"/>
          <w:rFonts w:eastAsiaTheme="majorEastAsia"/>
        </w:rPr>
        <w:t>Summary of curriculum framework</w:t>
      </w:r>
      <w:r w:rsidR="007466A1" w:rsidRPr="000955D4">
        <w:rPr>
          <w:rStyle w:val="Emphasis"/>
          <w:rFonts w:eastAsiaTheme="majorEastAsia"/>
        </w:rPr>
        <w:tab/>
      </w:r>
      <w:r w:rsidRPr="000955D4">
        <w:rPr>
          <w:rStyle w:val="Emphasis"/>
          <w:rFonts w:eastAsiaTheme="majorEastAsia"/>
        </w:rPr>
        <w:t>pre-primary to upper-secondary</w:t>
      </w:r>
      <w:r w:rsidRPr="000955D4">
        <w:t>. Ministry of Education.</w:t>
      </w:r>
    </w:p>
    <w:p w14:paraId="18446157" w14:textId="085D0B8A" w:rsidR="000B2AFF" w:rsidRPr="000955D4" w:rsidRDefault="000B2AFF" w:rsidP="00820F58">
      <w:pPr>
        <w:pStyle w:val="whitespace-normal"/>
        <w:spacing w:before="0" w:beforeAutospacing="0" w:after="0" w:afterAutospacing="0"/>
        <w:jc w:val="both"/>
      </w:pPr>
      <w:r w:rsidRPr="000955D4">
        <w:t xml:space="preserve">Scott, W. R., &amp; Davis, G. F. (2016). </w:t>
      </w:r>
      <w:r w:rsidRPr="000955D4">
        <w:rPr>
          <w:rStyle w:val="Emphasis"/>
          <w:rFonts w:eastAsiaTheme="majorEastAsia"/>
        </w:rPr>
        <w:t>Organizations and organiz</w:t>
      </w:r>
      <w:r w:rsidR="007466A1" w:rsidRPr="000955D4">
        <w:rPr>
          <w:rStyle w:val="Emphasis"/>
          <w:rFonts w:eastAsiaTheme="majorEastAsia"/>
        </w:rPr>
        <w:t>ing: Rational, natural and open</w:t>
      </w:r>
      <w:r w:rsidR="007466A1" w:rsidRPr="000955D4">
        <w:rPr>
          <w:rStyle w:val="Emphasis"/>
          <w:rFonts w:eastAsiaTheme="majorEastAsia"/>
        </w:rPr>
        <w:tab/>
      </w:r>
      <w:r w:rsidRPr="000955D4">
        <w:rPr>
          <w:rStyle w:val="Emphasis"/>
          <w:rFonts w:eastAsiaTheme="majorEastAsia"/>
        </w:rPr>
        <w:t>systems perspectives</w:t>
      </w:r>
      <w:r w:rsidRPr="000955D4">
        <w:t xml:space="preserve"> (4th ed.). Routledge.</w:t>
      </w:r>
    </w:p>
    <w:p w14:paraId="125714FC" w14:textId="77777777" w:rsidR="000B2AFF" w:rsidRPr="000955D4" w:rsidRDefault="000B2AFF" w:rsidP="00820F58">
      <w:pPr>
        <w:pStyle w:val="whitespace-normal"/>
        <w:spacing w:before="0" w:beforeAutospacing="0" w:after="0" w:afterAutospacing="0"/>
        <w:jc w:val="both"/>
      </w:pPr>
      <w:proofErr w:type="spellStart"/>
      <w:r w:rsidRPr="000955D4">
        <w:t>Secretaría</w:t>
      </w:r>
      <w:proofErr w:type="spellEnd"/>
      <w:r w:rsidRPr="000955D4">
        <w:t xml:space="preserve"> de </w:t>
      </w:r>
      <w:proofErr w:type="spellStart"/>
      <w:r w:rsidRPr="000955D4">
        <w:t>Educación</w:t>
      </w:r>
      <w:proofErr w:type="spellEnd"/>
      <w:r w:rsidRPr="000955D4">
        <w:t xml:space="preserve"> </w:t>
      </w:r>
      <w:proofErr w:type="spellStart"/>
      <w:r w:rsidRPr="000955D4">
        <w:t>Pública</w:t>
      </w:r>
      <w:proofErr w:type="spellEnd"/>
      <w:r w:rsidRPr="000955D4">
        <w:t xml:space="preserve">. (2011). </w:t>
      </w:r>
      <w:r w:rsidRPr="000955D4">
        <w:rPr>
          <w:rStyle w:val="Emphasis"/>
          <w:rFonts w:eastAsiaTheme="majorEastAsia"/>
        </w:rPr>
        <w:t xml:space="preserve">Plan de </w:t>
      </w:r>
      <w:proofErr w:type="spellStart"/>
      <w:r w:rsidRPr="000955D4">
        <w:rPr>
          <w:rStyle w:val="Emphasis"/>
          <w:rFonts w:eastAsiaTheme="majorEastAsia"/>
        </w:rPr>
        <w:t>estudios</w:t>
      </w:r>
      <w:proofErr w:type="spellEnd"/>
      <w:r w:rsidRPr="000955D4">
        <w:rPr>
          <w:rStyle w:val="Emphasis"/>
          <w:rFonts w:eastAsiaTheme="majorEastAsia"/>
        </w:rPr>
        <w:t xml:space="preserve"> 2011: </w:t>
      </w:r>
      <w:proofErr w:type="spellStart"/>
      <w:r w:rsidRPr="000955D4">
        <w:rPr>
          <w:rStyle w:val="Emphasis"/>
          <w:rFonts w:eastAsiaTheme="majorEastAsia"/>
        </w:rPr>
        <w:t>Educación</w:t>
      </w:r>
      <w:proofErr w:type="spellEnd"/>
      <w:r w:rsidRPr="000955D4">
        <w:rPr>
          <w:rStyle w:val="Emphasis"/>
          <w:rFonts w:eastAsiaTheme="majorEastAsia"/>
        </w:rPr>
        <w:t xml:space="preserve"> </w:t>
      </w:r>
      <w:proofErr w:type="spellStart"/>
      <w:r w:rsidRPr="000955D4">
        <w:rPr>
          <w:rStyle w:val="Emphasis"/>
          <w:rFonts w:eastAsiaTheme="majorEastAsia"/>
        </w:rPr>
        <w:t>básica</w:t>
      </w:r>
      <w:proofErr w:type="spellEnd"/>
      <w:r w:rsidRPr="000955D4">
        <w:t>. SEP.</w:t>
      </w:r>
    </w:p>
    <w:p w14:paraId="31CCBAE0" w14:textId="60BD5F04" w:rsidR="000B2AFF" w:rsidRPr="000955D4" w:rsidRDefault="000B2AFF" w:rsidP="00820F58">
      <w:pPr>
        <w:pStyle w:val="whitespace-normal"/>
        <w:spacing w:before="0" w:beforeAutospacing="0" w:after="0" w:afterAutospacing="0"/>
        <w:jc w:val="both"/>
      </w:pPr>
      <w:proofErr w:type="spellStart"/>
      <w:r w:rsidRPr="000955D4">
        <w:t>Skyttner</w:t>
      </w:r>
      <w:proofErr w:type="spellEnd"/>
      <w:r w:rsidRPr="000955D4">
        <w:t xml:space="preserve">, L. (2005). </w:t>
      </w:r>
      <w:r w:rsidRPr="000955D4">
        <w:rPr>
          <w:rStyle w:val="Emphasis"/>
          <w:rFonts w:eastAsiaTheme="majorEastAsia"/>
        </w:rPr>
        <w:t>General systems theory: Problems, perspectives, practice</w:t>
      </w:r>
      <w:r w:rsidRPr="000955D4">
        <w:t xml:space="preserve"> (2nd ed.</w:t>
      </w:r>
      <w:r w:rsidR="007466A1" w:rsidRPr="000955D4">
        <w:t>). World</w:t>
      </w:r>
      <w:r w:rsidR="007466A1" w:rsidRPr="000955D4">
        <w:tab/>
      </w:r>
      <w:r w:rsidRPr="000955D4">
        <w:t>Scientific.</w:t>
      </w:r>
    </w:p>
    <w:p w14:paraId="1629E71D" w14:textId="15D64AC7" w:rsidR="000B2AFF" w:rsidRPr="000955D4" w:rsidRDefault="000B2AFF" w:rsidP="00820F58">
      <w:pPr>
        <w:pStyle w:val="whitespace-normal"/>
        <w:spacing w:before="0" w:beforeAutospacing="0" w:after="0" w:afterAutospacing="0"/>
        <w:jc w:val="both"/>
      </w:pPr>
      <w:r w:rsidRPr="000955D4">
        <w:t xml:space="preserve">Teece, D. J., Pisano, G., &amp; </w:t>
      </w:r>
      <w:proofErr w:type="spellStart"/>
      <w:r w:rsidRPr="000955D4">
        <w:t>Shuen</w:t>
      </w:r>
      <w:proofErr w:type="spellEnd"/>
      <w:r w:rsidRPr="000955D4">
        <w:t>, A. (1997). Dynamic capabil</w:t>
      </w:r>
      <w:r w:rsidR="007466A1" w:rsidRPr="000955D4">
        <w:t>ities and strategic management.</w:t>
      </w:r>
      <w:r w:rsidR="007466A1" w:rsidRPr="000955D4">
        <w:tab/>
      </w:r>
      <w:r w:rsidRPr="000955D4">
        <w:rPr>
          <w:rStyle w:val="Emphasis"/>
          <w:rFonts w:eastAsiaTheme="majorEastAsia"/>
        </w:rPr>
        <w:t>Strategic Management Journal</w:t>
      </w:r>
      <w:r w:rsidRPr="000955D4">
        <w:t xml:space="preserve">, </w:t>
      </w:r>
      <w:r w:rsidRPr="000955D4">
        <w:rPr>
          <w:rStyle w:val="Emphasis"/>
          <w:rFonts w:eastAsiaTheme="majorEastAsia"/>
        </w:rPr>
        <w:t>18</w:t>
      </w:r>
      <w:r w:rsidRPr="000955D4">
        <w:t>(7), 509-533.</w:t>
      </w:r>
    </w:p>
    <w:p w14:paraId="6093FECD" w14:textId="5CDA5898" w:rsidR="000B2AFF" w:rsidRPr="000955D4" w:rsidRDefault="000B2AFF" w:rsidP="00820F58">
      <w:pPr>
        <w:pStyle w:val="whitespace-normal"/>
        <w:spacing w:before="0" w:beforeAutospacing="0" w:after="0" w:afterAutospacing="0"/>
        <w:jc w:val="both"/>
      </w:pPr>
      <w:proofErr w:type="spellStart"/>
      <w:r w:rsidRPr="000955D4">
        <w:t>Tilya</w:t>
      </w:r>
      <w:proofErr w:type="spellEnd"/>
      <w:r w:rsidRPr="000955D4">
        <w:t xml:space="preserve">, F., &amp; </w:t>
      </w:r>
      <w:proofErr w:type="spellStart"/>
      <w:r w:rsidRPr="000955D4">
        <w:t>Mafumiko</w:t>
      </w:r>
      <w:proofErr w:type="spellEnd"/>
      <w:r w:rsidRPr="000955D4">
        <w:t xml:space="preserve">, F. (2010). The compatibility between </w:t>
      </w:r>
      <w:r w:rsidR="007466A1" w:rsidRPr="000955D4">
        <w:t xml:space="preserve">teaching methods and </w:t>
      </w:r>
      <w:proofErr w:type="gramStart"/>
      <w:r w:rsidR="007466A1" w:rsidRPr="000955D4">
        <w:t>competence</w:t>
      </w:r>
      <w:r w:rsidR="007466A1" w:rsidRPr="000955D4">
        <w:tab/>
      </w:r>
      <w:r w:rsidRPr="000955D4">
        <w:t>based</w:t>
      </w:r>
      <w:proofErr w:type="gramEnd"/>
      <w:r w:rsidRPr="000955D4">
        <w:t xml:space="preserve"> curriculum in Tanzania. </w:t>
      </w:r>
      <w:r w:rsidRPr="000955D4">
        <w:rPr>
          <w:rStyle w:val="Emphasis"/>
          <w:rFonts w:eastAsiaTheme="majorEastAsia"/>
        </w:rPr>
        <w:t>Papers in Education and Development</w:t>
      </w:r>
      <w:r w:rsidRPr="000955D4">
        <w:t xml:space="preserve">, </w:t>
      </w:r>
      <w:r w:rsidRPr="000955D4">
        <w:rPr>
          <w:rStyle w:val="Emphasis"/>
          <w:rFonts w:eastAsiaTheme="majorEastAsia"/>
        </w:rPr>
        <w:t>29</w:t>
      </w:r>
      <w:r w:rsidRPr="000955D4">
        <w:t>, 37-56.</w:t>
      </w:r>
    </w:p>
    <w:p w14:paraId="28A2F250" w14:textId="6F89DA41" w:rsidR="000B2AFF" w:rsidRPr="000955D4" w:rsidRDefault="000B2AFF" w:rsidP="00820F58">
      <w:pPr>
        <w:pStyle w:val="whitespace-normal"/>
        <w:spacing w:before="0" w:beforeAutospacing="0" w:after="0" w:afterAutospacing="0"/>
        <w:jc w:val="both"/>
      </w:pPr>
      <w:r w:rsidRPr="000955D4">
        <w:lastRenderedPageBreak/>
        <w:t xml:space="preserve">US Department of Education, National Center for Educational Statistics. (2002). </w:t>
      </w:r>
      <w:r w:rsidR="007466A1" w:rsidRPr="000955D4">
        <w:rPr>
          <w:rStyle w:val="Emphasis"/>
          <w:rFonts w:eastAsiaTheme="majorEastAsia"/>
        </w:rPr>
        <w:t>Defining and</w:t>
      </w:r>
      <w:r w:rsidR="007466A1" w:rsidRPr="000955D4">
        <w:rPr>
          <w:rStyle w:val="Emphasis"/>
          <w:rFonts w:eastAsiaTheme="majorEastAsia"/>
        </w:rPr>
        <w:tab/>
      </w:r>
      <w:r w:rsidRPr="000955D4">
        <w:rPr>
          <w:rStyle w:val="Emphasis"/>
          <w:rFonts w:eastAsiaTheme="majorEastAsia"/>
        </w:rPr>
        <w:t xml:space="preserve">assessing learning: Exploring </w:t>
      </w:r>
      <w:proofErr w:type="gramStart"/>
      <w:r w:rsidRPr="000955D4">
        <w:rPr>
          <w:rStyle w:val="Emphasis"/>
          <w:rFonts w:eastAsiaTheme="majorEastAsia"/>
        </w:rPr>
        <w:t>competency based</w:t>
      </w:r>
      <w:proofErr w:type="gramEnd"/>
      <w:r w:rsidRPr="000955D4">
        <w:rPr>
          <w:rStyle w:val="Emphasis"/>
          <w:rFonts w:eastAsiaTheme="majorEastAsia"/>
        </w:rPr>
        <w:t xml:space="preserve"> initiatives</w:t>
      </w:r>
      <w:r w:rsidR="007466A1" w:rsidRPr="000955D4">
        <w:t>. US Government Printing</w:t>
      </w:r>
      <w:r w:rsidR="007466A1" w:rsidRPr="000955D4">
        <w:tab/>
      </w:r>
      <w:r w:rsidRPr="000955D4">
        <w:t>Office.</w:t>
      </w:r>
    </w:p>
    <w:p w14:paraId="0E36B9DD" w14:textId="5120FCE1" w:rsidR="000B2AFF" w:rsidRPr="000955D4" w:rsidRDefault="000B2AFF" w:rsidP="00820F58">
      <w:pPr>
        <w:pStyle w:val="whitespace-normal"/>
        <w:spacing w:before="0" w:beforeAutospacing="0" w:after="0" w:afterAutospacing="0"/>
        <w:jc w:val="both"/>
      </w:pPr>
      <w:r w:rsidRPr="000955D4">
        <w:t xml:space="preserve">Von Foerster, H. (2003). </w:t>
      </w:r>
      <w:r w:rsidRPr="000955D4">
        <w:rPr>
          <w:rStyle w:val="Emphasis"/>
          <w:rFonts w:eastAsiaTheme="majorEastAsia"/>
        </w:rPr>
        <w:t xml:space="preserve">Understanding </w:t>
      </w:r>
      <w:proofErr w:type="spellStart"/>
      <w:r w:rsidRPr="000955D4">
        <w:rPr>
          <w:rStyle w:val="Emphasis"/>
          <w:rFonts w:eastAsiaTheme="majorEastAsia"/>
        </w:rPr>
        <w:t>understanding</w:t>
      </w:r>
      <w:proofErr w:type="spellEnd"/>
      <w:r w:rsidRPr="000955D4">
        <w:rPr>
          <w:rStyle w:val="Emphasis"/>
          <w:rFonts w:eastAsiaTheme="majorEastAsia"/>
        </w:rPr>
        <w:t>: Essays on cybernetics and cognition</w:t>
      </w:r>
      <w:r w:rsidR="007466A1" w:rsidRPr="000955D4">
        <w:t>.</w:t>
      </w:r>
      <w:r w:rsidR="007466A1" w:rsidRPr="000955D4">
        <w:tab/>
      </w:r>
      <w:r w:rsidRPr="000955D4">
        <w:t>Springer-Verlag.</w:t>
      </w:r>
    </w:p>
    <w:p w14:paraId="6484FBBF" w14:textId="776592D6" w:rsidR="000B2AFF" w:rsidRPr="000955D4" w:rsidRDefault="000B2AFF" w:rsidP="00820F58">
      <w:pPr>
        <w:pStyle w:val="whitespace-normal"/>
        <w:spacing w:before="0" w:beforeAutospacing="0" w:after="0" w:afterAutospacing="0"/>
        <w:jc w:val="both"/>
      </w:pPr>
      <w:r w:rsidRPr="000955D4">
        <w:t>Wang, H. (2010). Translating policies into practice: The role of</w:t>
      </w:r>
      <w:r w:rsidR="007466A1" w:rsidRPr="000955D4">
        <w:t xml:space="preserve"> middle-level administrators in</w:t>
      </w:r>
      <w:r w:rsidR="007466A1" w:rsidRPr="000955D4">
        <w:tab/>
      </w:r>
      <w:proofErr w:type="spellStart"/>
      <w:r w:rsidR="007466A1" w:rsidRPr="000955D4">
        <w:t>q</w:t>
      </w:r>
      <w:r w:rsidRPr="000955D4">
        <w:t>language</w:t>
      </w:r>
      <w:proofErr w:type="spellEnd"/>
      <w:r w:rsidRPr="000955D4">
        <w:t xml:space="preserve"> curriculum implementation. </w:t>
      </w:r>
      <w:r w:rsidRPr="000955D4">
        <w:rPr>
          <w:rStyle w:val="Emphasis"/>
          <w:rFonts w:eastAsiaTheme="majorEastAsia"/>
        </w:rPr>
        <w:t>The Curriculum Journal</w:t>
      </w:r>
      <w:r w:rsidRPr="000955D4">
        <w:t xml:space="preserve">, </w:t>
      </w:r>
      <w:r w:rsidRPr="000955D4">
        <w:rPr>
          <w:rStyle w:val="Emphasis"/>
          <w:rFonts w:eastAsiaTheme="majorEastAsia"/>
        </w:rPr>
        <w:t>21</w:t>
      </w:r>
      <w:r w:rsidRPr="000955D4">
        <w:t>(2), 179-196.</w:t>
      </w:r>
    </w:p>
    <w:p w14:paraId="5CBAAB85" w14:textId="54EAA14C" w:rsidR="000B2AFF" w:rsidRPr="000955D4" w:rsidRDefault="000B2AFF" w:rsidP="00820F58">
      <w:pPr>
        <w:pStyle w:val="whitespace-normal"/>
        <w:spacing w:before="0" w:beforeAutospacing="0" w:after="0" w:afterAutospacing="0"/>
        <w:jc w:val="both"/>
      </w:pPr>
      <w:r w:rsidRPr="000955D4">
        <w:t xml:space="preserve">Wanjohi, A. M. (2011). </w:t>
      </w:r>
      <w:r w:rsidRPr="000955D4">
        <w:rPr>
          <w:rStyle w:val="Emphasis"/>
          <w:rFonts w:eastAsiaTheme="majorEastAsia"/>
        </w:rPr>
        <w:t>Development of education in Kenya since independence</w:t>
      </w:r>
      <w:r w:rsidR="007466A1" w:rsidRPr="000955D4">
        <w:t>. KENPRO</w:t>
      </w:r>
      <w:r w:rsidR="007466A1" w:rsidRPr="000955D4">
        <w:tab/>
      </w:r>
      <w:r w:rsidRPr="000955D4">
        <w:t>Publications.</w:t>
      </w:r>
    </w:p>
    <w:p w14:paraId="27284689" w14:textId="123A667E" w:rsidR="00403199" w:rsidRPr="000955D4" w:rsidRDefault="000B2AFF" w:rsidP="00820F58">
      <w:pPr>
        <w:pStyle w:val="whitespace-normal"/>
        <w:spacing w:before="0" w:beforeAutospacing="0" w:after="0" w:afterAutospacing="0"/>
        <w:jc w:val="both"/>
      </w:pPr>
      <w:r w:rsidRPr="000955D4">
        <w:t>Zhang, C., Li, M., Wang, Y., &amp; Chen, X. (2018). Applications of inf</w:t>
      </w:r>
      <w:r w:rsidR="007466A1" w:rsidRPr="000955D4">
        <w:t>erential statistical methods in</w:t>
      </w:r>
      <w:r w:rsidR="007466A1" w:rsidRPr="000955D4">
        <w:tab/>
      </w:r>
      <w:r w:rsidRPr="000955D4">
        <w:t xml:space="preserve">educational research. </w:t>
      </w:r>
      <w:r w:rsidRPr="000955D4">
        <w:rPr>
          <w:rStyle w:val="Emphasis"/>
          <w:rFonts w:eastAsiaTheme="majorEastAsia"/>
        </w:rPr>
        <w:t>Educational Research Quarterly</w:t>
      </w:r>
      <w:r w:rsidRPr="000955D4">
        <w:t xml:space="preserve">, </w:t>
      </w:r>
      <w:r w:rsidRPr="000955D4">
        <w:rPr>
          <w:rStyle w:val="Emphasis"/>
          <w:rFonts w:eastAsiaTheme="majorEastAsia"/>
        </w:rPr>
        <w:t>42</w:t>
      </w:r>
      <w:r w:rsidRPr="000955D4">
        <w:t>(2), 25-48.</w:t>
      </w:r>
      <w:r w:rsidR="007466A1" w:rsidRPr="000955D4">
        <w:t xml:space="preserve"> </w:t>
      </w:r>
    </w:p>
    <w:sectPr w:rsidR="00403199" w:rsidRPr="000955D4" w:rsidSect="00A14B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09D6B" w14:textId="77777777" w:rsidR="00BE6085" w:rsidRDefault="00BE6085" w:rsidP="00F57628">
      <w:pPr>
        <w:spacing w:after="0" w:line="240" w:lineRule="auto"/>
      </w:pPr>
      <w:r>
        <w:separator/>
      </w:r>
    </w:p>
  </w:endnote>
  <w:endnote w:type="continuationSeparator" w:id="0">
    <w:p w14:paraId="27FAECE8" w14:textId="77777777" w:rsidR="00BE6085" w:rsidRDefault="00BE6085" w:rsidP="00F5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4FBB" w14:textId="77777777" w:rsidR="00473F46" w:rsidRDefault="0047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982433"/>
      <w:docPartObj>
        <w:docPartGallery w:val="Page Numbers (Bottom of Page)"/>
        <w:docPartUnique/>
      </w:docPartObj>
    </w:sdtPr>
    <w:sdtEndPr>
      <w:rPr>
        <w:rFonts w:ascii="Times New Roman" w:hAnsi="Times New Roman" w:cs="Times New Roman"/>
        <w:noProof/>
      </w:rPr>
    </w:sdtEndPr>
    <w:sdtContent>
      <w:p w14:paraId="37A50005" w14:textId="4363A52B" w:rsidR="00F57628" w:rsidRPr="00F57628" w:rsidRDefault="00F57628">
        <w:pPr>
          <w:pStyle w:val="Footer"/>
          <w:jc w:val="center"/>
          <w:rPr>
            <w:rFonts w:ascii="Times New Roman" w:hAnsi="Times New Roman" w:cs="Times New Roman"/>
          </w:rPr>
        </w:pPr>
        <w:r w:rsidRPr="00F57628">
          <w:rPr>
            <w:rFonts w:ascii="Times New Roman" w:hAnsi="Times New Roman" w:cs="Times New Roman"/>
          </w:rPr>
          <w:fldChar w:fldCharType="begin"/>
        </w:r>
        <w:r w:rsidRPr="00F57628">
          <w:rPr>
            <w:rFonts w:ascii="Times New Roman" w:hAnsi="Times New Roman" w:cs="Times New Roman"/>
          </w:rPr>
          <w:instrText xml:space="preserve"> PAGE   \* MERGEFORMAT </w:instrText>
        </w:r>
        <w:r w:rsidRPr="00F57628">
          <w:rPr>
            <w:rFonts w:ascii="Times New Roman" w:hAnsi="Times New Roman" w:cs="Times New Roman"/>
          </w:rPr>
          <w:fldChar w:fldCharType="separate"/>
        </w:r>
        <w:r w:rsidR="00C30F74">
          <w:rPr>
            <w:rFonts w:ascii="Times New Roman" w:hAnsi="Times New Roman" w:cs="Times New Roman"/>
            <w:noProof/>
          </w:rPr>
          <w:t>3</w:t>
        </w:r>
        <w:r w:rsidRPr="00F57628">
          <w:rPr>
            <w:rFonts w:ascii="Times New Roman" w:hAnsi="Times New Roman" w:cs="Times New Roman"/>
            <w:noProof/>
          </w:rPr>
          <w:fldChar w:fldCharType="end"/>
        </w:r>
      </w:p>
    </w:sdtContent>
  </w:sdt>
  <w:p w14:paraId="4E23ED61" w14:textId="77777777" w:rsidR="00F57628" w:rsidRDefault="00F57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15AB" w14:textId="77777777" w:rsidR="00473F46" w:rsidRDefault="0047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26071" w14:textId="77777777" w:rsidR="00BE6085" w:rsidRDefault="00BE6085" w:rsidP="00F57628">
      <w:pPr>
        <w:spacing w:after="0" w:line="240" w:lineRule="auto"/>
      </w:pPr>
      <w:r>
        <w:separator/>
      </w:r>
    </w:p>
  </w:footnote>
  <w:footnote w:type="continuationSeparator" w:id="0">
    <w:p w14:paraId="36491E4F" w14:textId="77777777" w:rsidR="00BE6085" w:rsidRDefault="00BE6085" w:rsidP="00F5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D6F0" w14:textId="749167E4" w:rsidR="00473F46" w:rsidRDefault="00473F46">
    <w:pPr>
      <w:pStyle w:val="Header"/>
    </w:pPr>
    <w:r>
      <w:rPr>
        <w:noProof/>
      </w:rPr>
      <w:pict w14:anchorId="24AB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1AC9" w14:textId="66B96C3C" w:rsidR="00473F46" w:rsidRDefault="00473F46">
    <w:pPr>
      <w:pStyle w:val="Header"/>
    </w:pPr>
    <w:r>
      <w:rPr>
        <w:noProof/>
      </w:rPr>
      <w:pict w14:anchorId="24763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2B69" w14:textId="22328506" w:rsidR="00473F46" w:rsidRDefault="00473F46">
    <w:pPr>
      <w:pStyle w:val="Header"/>
    </w:pPr>
    <w:r>
      <w:rPr>
        <w:noProof/>
      </w:rPr>
      <w:pict w14:anchorId="3E50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C09"/>
    <w:multiLevelType w:val="hybridMultilevel"/>
    <w:tmpl w:val="F49CA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9039EC"/>
    <w:multiLevelType w:val="multilevel"/>
    <w:tmpl w:val="788C02AC"/>
    <w:lvl w:ilvl="0">
      <w:start w:val="1"/>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F538D1"/>
    <w:multiLevelType w:val="hybridMultilevel"/>
    <w:tmpl w:val="B4E40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04A9A"/>
    <w:multiLevelType w:val="multilevel"/>
    <w:tmpl w:val="69F2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D68BA"/>
    <w:multiLevelType w:val="hybridMultilevel"/>
    <w:tmpl w:val="891A2852"/>
    <w:lvl w:ilvl="0" w:tplc="4AAE52EE">
      <w:start w:val="1"/>
      <w:numFmt w:val="decimal"/>
      <w:lvlText w:val="%1."/>
      <w:lvlJc w:val="left"/>
      <w:pPr>
        <w:ind w:left="360" w:hanging="360"/>
      </w:pPr>
      <w:rPr>
        <w:rFonts w:cs="Times New Roman"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E344C4"/>
    <w:multiLevelType w:val="multilevel"/>
    <w:tmpl w:val="33E344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113A1E"/>
    <w:multiLevelType w:val="multilevel"/>
    <w:tmpl w:val="3B113A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E6777E"/>
    <w:multiLevelType w:val="hybridMultilevel"/>
    <w:tmpl w:val="EBE69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B362E"/>
    <w:multiLevelType w:val="multilevel"/>
    <w:tmpl w:val="9E96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70228A"/>
    <w:multiLevelType w:val="multilevel"/>
    <w:tmpl w:val="6D70228A"/>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826CA7"/>
    <w:multiLevelType w:val="multilevel"/>
    <w:tmpl w:val="70826C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27F41DF"/>
    <w:multiLevelType w:val="multilevel"/>
    <w:tmpl w:val="727F41D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9"/>
  </w:num>
  <w:num w:numId="6">
    <w:abstractNumId w:val="10"/>
  </w:num>
  <w:num w:numId="7">
    <w:abstractNumId w:val="5"/>
  </w:num>
  <w:num w:numId="8">
    <w:abstractNumId w:val="11"/>
  </w:num>
  <w:num w:numId="9">
    <w:abstractNumId w:val="6"/>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99"/>
    <w:rsid w:val="00000F84"/>
    <w:rsid w:val="0000304D"/>
    <w:rsid w:val="00010267"/>
    <w:rsid w:val="000166F5"/>
    <w:rsid w:val="000205C0"/>
    <w:rsid w:val="00045FB7"/>
    <w:rsid w:val="000515F8"/>
    <w:rsid w:val="000616CA"/>
    <w:rsid w:val="0008452C"/>
    <w:rsid w:val="000955D4"/>
    <w:rsid w:val="000A6882"/>
    <w:rsid w:val="000B2AFF"/>
    <w:rsid w:val="000E1FCF"/>
    <w:rsid w:val="000F6B09"/>
    <w:rsid w:val="00131666"/>
    <w:rsid w:val="001509C6"/>
    <w:rsid w:val="00163213"/>
    <w:rsid w:val="00166327"/>
    <w:rsid w:val="00184F6D"/>
    <w:rsid w:val="0019163F"/>
    <w:rsid w:val="001C4A40"/>
    <w:rsid w:val="001C643F"/>
    <w:rsid w:val="001D2A4C"/>
    <w:rsid w:val="001D6D90"/>
    <w:rsid w:val="00251EF1"/>
    <w:rsid w:val="002643CB"/>
    <w:rsid w:val="002649C6"/>
    <w:rsid w:val="00280F06"/>
    <w:rsid w:val="00283849"/>
    <w:rsid w:val="002B486B"/>
    <w:rsid w:val="00323877"/>
    <w:rsid w:val="0032496D"/>
    <w:rsid w:val="003369EF"/>
    <w:rsid w:val="00356101"/>
    <w:rsid w:val="00362ACE"/>
    <w:rsid w:val="0038254C"/>
    <w:rsid w:val="003D17F1"/>
    <w:rsid w:val="003E1F31"/>
    <w:rsid w:val="003F5D5A"/>
    <w:rsid w:val="003F6D68"/>
    <w:rsid w:val="00403199"/>
    <w:rsid w:val="00417197"/>
    <w:rsid w:val="00421F02"/>
    <w:rsid w:val="00434AA5"/>
    <w:rsid w:val="00473F46"/>
    <w:rsid w:val="00477A6A"/>
    <w:rsid w:val="00491D08"/>
    <w:rsid w:val="004A11E7"/>
    <w:rsid w:val="0050483D"/>
    <w:rsid w:val="0055565A"/>
    <w:rsid w:val="005A4397"/>
    <w:rsid w:val="005B4670"/>
    <w:rsid w:val="005D273C"/>
    <w:rsid w:val="005F2C11"/>
    <w:rsid w:val="00614F46"/>
    <w:rsid w:val="006234FC"/>
    <w:rsid w:val="00632073"/>
    <w:rsid w:val="00641A79"/>
    <w:rsid w:val="00655963"/>
    <w:rsid w:val="0068175B"/>
    <w:rsid w:val="006918D3"/>
    <w:rsid w:val="006A525D"/>
    <w:rsid w:val="006D28A8"/>
    <w:rsid w:val="00730267"/>
    <w:rsid w:val="00730B20"/>
    <w:rsid w:val="00744FEA"/>
    <w:rsid w:val="007466A1"/>
    <w:rsid w:val="00786CB2"/>
    <w:rsid w:val="007919F8"/>
    <w:rsid w:val="007A66A5"/>
    <w:rsid w:val="007C3D4B"/>
    <w:rsid w:val="007C6BBE"/>
    <w:rsid w:val="007D2C96"/>
    <w:rsid w:val="007E0E0F"/>
    <w:rsid w:val="007E4367"/>
    <w:rsid w:val="007E7DD9"/>
    <w:rsid w:val="007F7D6D"/>
    <w:rsid w:val="00805BCF"/>
    <w:rsid w:val="0080601F"/>
    <w:rsid w:val="008160C9"/>
    <w:rsid w:val="00820F58"/>
    <w:rsid w:val="0083625D"/>
    <w:rsid w:val="008721AA"/>
    <w:rsid w:val="008809A5"/>
    <w:rsid w:val="00885891"/>
    <w:rsid w:val="00895C41"/>
    <w:rsid w:val="008D2BAC"/>
    <w:rsid w:val="008F00EB"/>
    <w:rsid w:val="008F462D"/>
    <w:rsid w:val="008F6B60"/>
    <w:rsid w:val="009061F0"/>
    <w:rsid w:val="00980124"/>
    <w:rsid w:val="00995CDF"/>
    <w:rsid w:val="009D5645"/>
    <w:rsid w:val="00A00496"/>
    <w:rsid w:val="00A01A4A"/>
    <w:rsid w:val="00A14BB1"/>
    <w:rsid w:val="00A30763"/>
    <w:rsid w:val="00A36CF5"/>
    <w:rsid w:val="00A701C9"/>
    <w:rsid w:val="00AB29B1"/>
    <w:rsid w:val="00AC338A"/>
    <w:rsid w:val="00AD232C"/>
    <w:rsid w:val="00AD7BFE"/>
    <w:rsid w:val="00AF371D"/>
    <w:rsid w:val="00B63216"/>
    <w:rsid w:val="00B97056"/>
    <w:rsid w:val="00BA2F78"/>
    <w:rsid w:val="00BB56C1"/>
    <w:rsid w:val="00BB6B7E"/>
    <w:rsid w:val="00BC6AFF"/>
    <w:rsid w:val="00BE03E1"/>
    <w:rsid w:val="00BE6085"/>
    <w:rsid w:val="00C00138"/>
    <w:rsid w:val="00C1045F"/>
    <w:rsid w:val="00C30F74"/>
    <w:rsid w:val="00C5263C"/>
    <w:rsid w:val="00CE5A1A"/>
    <w:rsid w:val="00CF4B50"/>
    <w:rsid w:val="00D04742"/>
    <w:rsid w:val="00D54626"/>
    <w:rsid w:val="00D61028"/>
    <w:rsid w:val="00D964B8"/>
    <w:rsid w:val="00DB107A"/>
    <w:rsid w:val="00DC1FB0"/>
    <w:rsid w:val="00DD171A"/>
    <w:rsid w:val="00DE2E9B"/>
    <w:rsid w:val="00DE51A1"/>
    <w:rsid w:val="00E245EA"/>
    <w:rsid w:val="00E30D9A"/>
    <w:rsid w:val="00E44137"/>
    <w:rsid w:val="00E604FD"/>
    <w:rsid w:val="00EA19DB"/>
    <w:rsid w:val="00EA31CF"/>
    <w:rsid w:val="00EC1AE8"/>
    <w:rsid w:val="00EC76A9"/>
    <w:rsid w:val="00F024BA"/>
    <w:rsid w:val="00F05FF7"/>
    <w:rsid w:val="00F3252F"/>
    <w:rsid w:val="00F37855"/>
    <w:rsid w:val="00F5325D"/>
    <w:rsid w:val="00F544FE"/>
    <w:rsid w:val="00F57628"/>
    <w:rsid w:val="00F67B95"/>
    <w:rsid w:val="00F84A80"/>
    <w:rsid w:val="00F9689A"/>
    <w:rsid w:val="00FA71D2"/>
    <w:rsid w:val="00FC2D4D"/>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3CC0"/>
  <w15:chartTrackingRefBased/>
  <w15:docId w15:val="{C64DA8B7-6D2C-404B-A174-AE324667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99"/>
    <w:rPr>
      <w:rFonts w:eastAsiaTheme="majorEastAsia" w:cstheme="majorBidi"/>
      <w:color w:val="272727" w:themeColor="text1" w:themeTint="D8"/>
    </w:rPr>
  </w:style>
  <w:style w:type="paragraph" w:styleId="Title">
    <w:name w:val="Title"/>
    <w:basedOn w:val="Normal"/>
    <w:next w:val="Normal"/>
    <w:link w:val="TitleChar"/>
    <w:uiPriority w:val="10"/>
    <w:qFormat/>
    <w:rsid w:val="0040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99"/>
    <w:pPr>
      <w:spacing w:before="160"/>
      <w:jc w:val="center"/>
    </w:pPr>
    <w:rPr>
      <w:i/>
      <w:iCs/>
      <w:color w:val="404040" w:themeColor="text1" w:themeTint="BF"/>
    </w:rPr>
  </w:style>
  <w:style w:type="character" w:customStyle="1" w:styleId="QuoteChar">
    <w:name w:val="Quote Char"/>
    <w:basedOn w:val="DefaultParagraphFont"/>
    <w:link w:val="Quote"/>
    <w:uiPriority w:val="29"/>
    <w:rsid w:val="00403199"/>
    <w:rPr>
      <w:i/>
      <w:iCs/>
      <w:color w:val="404040" w:themeColor="text1" w:themeTint="BF"/>
    </w:rPr>
  </w:style>
  <w:style w:type="paragraph" w:styleId="ListParagraph">
    <w:name w:val="List Paragraph"/>
    <w:basedOn w:val="Normal"/>
    <w:link w:val="ListParagraphChar"/>
    <w:uiPriority w:val="34"/>
    <w:qFormat/>
    <w:rsid w:val="00403199"/>
    <w:pPr>
      <w:ind w:left="720"/>
      <w:contextualSpacing/>
    </w:pPr>
  </w:style>
  <w:style w:type="character" w:styleId="IntenseEmphasis">
    <w:name w:val="Intense Emphasis"/>
    <w:basedOn w:val="DefaultParagraphFont"/>
    <w:uiPriority w:val="21"/>
    <w:qFormat/>
    <w:rsid w:val="00403199"/>
    <w:rPr>
      <w:i/>
      <w:iCs/>
      <w:color w:val="2F5496" w:themeColor="accent1" w:themeShade="BF"/>
    </w:rPr>
  </w:style>
  <w:style w:type="paragraph" w:styleId="IntenseQuote">
    <w:name w:val="Intense Quote"/>
    <w:basedOn w:val="Normal"/>
    <w:next w:val="Normal"/>
    <w:link w:val="IntenseQuoteChar"/>
    <w:uiPriority w:val="30"/>
    <w:qFormat/>
    <w:rsid w:val="0040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199"/>
    <w:rPr>
      <w:i/>
      <w:iCs/>
      <w:color w:val="2F5496" w:themeColor="accent1" w:themeShade="BF"/>
    </w:rPr>
  </w:style>
  <w:style w:type="character" w:styleId="IntenseReference">
    <w:name w:val="Intense Reference"/>
    <w:basedOn w:val="DefaultParagraphFont"/>
    <w:uiPriority w:val="32"/>
    <w:qFormat/>
    <w:rsid w:val="00403199"/>
    <w:rPr>
      <w:b/>
      <w:bCs/>
      <w:smallCaps/>
      <w:color w:val="2F5496" w:themeColor="accent1" w:themeShade="BF"/>
      <w:spacing w:val="5"/>
    </w:rPr>
  </w:style>
  <w:style w:type="paragraph" w:styleId="NoSpacing">
    <w:name w:val="No Spacing"/>
    <w:link w:val="NoSpacingChar"/>
    <w:uiPriority w:val="1"/>
    <w:qFormat/>
    <w:rsid w:val="0050483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483D"/>
    <w:rPr>
      <w:rFonts w:eastAsiaTheme="minorEastAsia"/>
      <w:kern w:val="0"/>
      <w:sz w:val="22"/>
      <w:szCs w:val="22"/>
      <w14:ligatures w14:val="none"/>
    </w:rPr>
  </w:style>
  <w:style w:type="character" w:styleId="SubtleEmphasis">
    <w:name w:val="Subtle Emphasis"/>
    <w:basedOn w:val="DefaultParagraphFont"/>
    <w:uiPriority w:val="19"/>
    <w:qFormat/>
    <w:rsid w:val="0038254C"/>
    <w:rPr>
      <w:i/>
      <w:iCs/>
      <w:color w:val="404040" w:themeColor="text1" w:themeTint="BF"/>
    </w:rPr>
  </w:style>
  <w:style w:type="table" w:styleId="TableGrid">
    <w:name w:val="Table Grid"/>
    <w:basedOn w:val="TableNormal"/>
    <w:uiPriority w:val="99"/>
    <w:rsid w:val="003249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Caption"/>
    <w:next w:val="Caption"/>
    <w:qFormat/>
    <w:rsid w:val="0032496D"/>
    <w:pPr>
      <w:spacing w:before="240" w:after="240" w:line="360" w:lineRule="auto"/>
      <w:jc w:val="both"/>
    </w:pPr>
    <w:rPr>
      <w:rFonts w:ascii="Times New Roman" w:eastAsia="Calibri" w:hAnsi="Times New Roman" w:cs="Times New Roman"/>
      <w:b/>
      <w:bCs/>
      <w:iCs w:val="0"/>
      <w:color w:val="000000" w:themeColor="text1"/>
      <w:kern w:val="0"/>
      <w:sz w:val="24"/>
      <w:szCs w:val="24"/>
      <w14:ligatures w14:val="none"/>
    </w:rPr>
  </w:style>
  <w:style w:type="paragraph" w:styleId="Caption">
    <w:name w:val="caption"/>
    <w:basedOn w:val="Normal"/>
    <w:next w:val="Normal"/>
    <w:uiPriority w:val="35"/>
    <w:semiHidden/>
    <w:unhideWhenUsed/>
    <w:qFormat/>
    <w:rsid w:val="0032496D"/>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614F4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WebChar">
    <w:name w:val="Normal (Web) Char"/>
    <w:link w:val="NormalWeb"/>
    <w:uiPriority w:val="99"/>
    <w:rsid w:val="00614F46"/>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614F46"/>
    <w:rPr>
      <w:i/>
      <w:iCs/>
    </w:rPr>
  </w:style>
  <w:style w:type="paragraph" w:styleId="Header">
    <w:name w:val="header"/>
    <w:basedOn w:val="Normal"/>
    <w:link w:val="HeaderChar"/>
    <w:uiPriority w:val="99"/>
    <w:unhideWhenUsed/>
    <w:rsid w:val="00F5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28"/>
  </w:style>
  <w:style w:type="paragraph" w:styleId="Footer">
    <w:name w:val="footer"/>
    <w:basedOn w:val="Normal"/>
    <w:link w:val="FooterChar"/>
    <w:uiPriority w:val="99"/>
    <w:unhideWhenUsed/>
    <w:rsid w:val="00F5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8"/>
  </w:style>
  <w:style w:type="paragraph" w:styleId="TOCHeading">
    <w:name w:val="TOC Heading"/>
    <w:basedOn w:val="Heading1"/>
    <w:next w:val="Normal"/>
    <w:uiPriority w:val="39"/>
    <w:unhideWhenUsed/>
    <w:qFormat/>
    <w:rsid w:val="00BA2F7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A2F78"/>
    <w:pPr>
      <w:spacing w:after="100"/>
    </w:pPr>
  </w:style>
  <w:style w:type="paragraph" w:styleId="TOC2">
    <w:name w:val="toc 2"/>
    <w:basedOn w:val="Normal"/>
    <w:next w:val="Normal"/>
    <w:autoRedefine/>
    <w:uiPriority w:val="39"/>
    <w:unhideWhenUsed/>
    <w:rsid w:val="00BA2F78"/>
    <w:pPr>
      <w:spacing w:after="100"/>
      <w:ind w:left="240"/>
    </w:pPr>
  </w:style>
  <w:style w:type="character" w:styleId="Hyperlink">
    <w:name w:val="Hyperlink"/>
    <w:basedOn w:val="DefaultParagraphFont"/>
    <w:uiPriority w:val="99"/>
    <w:unhideWhenUsed/>
    <w:rsid w:val="00BA2F78"/>
    <w:rPr>
      <w:color w:val="0563C1" w:themeColor="hyperlink"/>
      <w:u w:val="single"/>
    </w:rPr>
  </w:style>
  <w:style w:type="character" w:customStyle="1" w:styleId="ListParagraphChar">
    <w:name w:val="List Paragraph Char"/>
    <w:link w:val="ListParagraph"/>
    <w:qFormat/>
    <w:locked/>
    <w:rsid w:val="00F544FE"/>
  </w:style>
  <w:style w:type="paragraph" w:customStyle="1" w:styleId="TABLES0">
    <w:name w:val="TABLES"/>
    <w:basedOn w:val="Caption"/>
    <w:next w:val="Caption"/>
    <w:qFormat/>
    <w:rsid w:val="008F462D"/>
    <w:pPr>
      <w:spacing w:before="240" w:after="240" w:line="360" w:lineRule="auto"/>
      <w:jc w:val="both"/>
    </w:pPr>
    <w:rPr>
      <w:rFonts w:ascii="Times New Roman" w:hAnsi="Times New Roman" w:cs="Times New Roman"/>
      <w:b/>
      <w:color w:val="000000" w:themeColor="text1"/>
      <w:kern w:val="0"/>
      <w:sz w:val="24"/>
      <w:szCs w:val="24"/>
      <w14:ligatures w14:val="none"/>
    </w:rPr>
  </w:style>
  <w:style w:type="paragraph" w:styleId="BodyText">
    <w:name w:val="Body Text"/>
    <w:basedOn w:val="Normal"/>
    <w:link w:val="BodyTextChar"/>
    <w:uiPriority w:val="99"/>
    <w:unhideWhenUsed/>
    <w:rsid w:val="00F67B95"/>
    <w:pPr>
      <w:spacing w:before="100" w:beforeAutospacing="1" w:after="12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99"/>
    <w:rsid w:val="00F67B95"/>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0F6B09"/>
    <w:rPr>
      <w:b/>
      <w:bCs/>
    </w:rPr>
  </w:style>
  <w:style w:type="paragraph" w:customStyle="1" w:styleId="whitespace-pre-wrap">
    <w:name w:val="whitespace-pre-wrap"/>
    <w:basedOn w:val="Normal"/>
    <w:rsid w:val="000515F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GURES">
    <w:name w:val="FIGURES"/>
    <w:basedOn w:val="Caption"/>
    <w:next w:val="Caption"/>
    <w:qFormat/>
    <w:rsid w:val="00AD232C"/>
    <w:pPr>
      <w:spacing w:before="240" w:after="240" w:line="360" w:lineRule="auto"/>
      <w:jc w:val="both"/>
    </w:pPr>
    <w:rPr>
      <w:rFonts w:ascii="Times New Roman" w:hAnsi="Times New Roman" w:cs="Times New Roman"/>
      <w:b/>
      <w:color w:val="000000" w:themeColor="text1"/>
      <w:kern w:val="0"/>
      <w:sz w:val="24"/>
      <w:szCs w:val="24"/>
      <w14:ligatures w14:val="none"/>
    </w:rPr>
  </w:style>
  <w:style w:type="paragraph" w:customStyle="1" w:styleId="whitespace-normal">
    <w:name w:val="whitespace-normal"/>
    <w:basedOn w:val="Normal"/>
    <w:rsid w:val="004A11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C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7695">
      <w:bodyDiv w:val="1"/>
      <w:marLeft w:val="0"/>
      <w:marRight w:val="0"/>
      <w:marTop w:val="0"/>
      <w:marBottom w:val="0"/>
      <w:divBdr>
        <w:top w:val="none" w:sz="0" w:space="0" w:color="auto"/>
        <w:left w:val="none" w:sz="0" w:space="0" w:color="auto"/>
        <w:bottom w:val="none" w:sz="0" w:space="0" w:color="auto"/>
        <w:right w:val="none" w:sz="0" w:space="0" w:color="auto"/>
      </w:divBdr>
    </w:div>
    <w:div w:id="1236282549">
      <w:bodyDiv w:val="1"/>
      <w:marLeft w:val="0"/>
      <w:marRight w:val="0"/>
      <w:marTop w:val="0"/>
      <w:marBottom w:val="0"/>
      <w:divBdr>
        <w:top w:val="none" w:sz="0" w:space="0" w:color="auto"/>
        <w:left w:val="none" w:sz="0" w:space="0" w:color="auto"/>
        <w:bottom w:val="none" w:sz="0" w:space="0" w:color="auto"/>
        <w:right w:val="none" w:sz="0" w:space="0" w:color="auto"/>
      </w:divBdr>
    </w:div>
    <w:div w:id="2008826395">
      <w:bodyDiv w:val="1"/>
      <w:marLeft w:val="0"/>
      <w:marRight w:val="0"/>
      <w:marTop w:val="0"/>
      <w:marBottom w:val="0"/>
      <w:divBdr>
        <w:top w:val="none" w:sz="0" w:space="0" w:color="auto"/>
        <w:left w:val="none" w:sz="0" w:space="0" w:color="auto"/>
        <w:bottom w:val="none" w:sz="0" w:space="0" w:color="auto"/>
        <w:right w:val="none" w:sz="0" w:space="0" w:color="auto"/>
      </w:divBdr>
      <w:divsChild>
        <w:div w:id="568928499">
          <w:marLeft w:val="0"/>
          <w:marRight w:val="0"/>
          <w:marTop w:val="0"/>
          <w:marBottom w:val="0"/>
          <w:divBdr>
            <w:top w:val="none" w:sz="0" w:space="0" w:color="auto"/>
            <w:left w:val="none" w:sz="0" w:space="0" w:color="auto"/>
            <w:bottom w:val="none" w:sz="0" w:space="0" w:color="auto"/>
            <w:right w:val="none" w:sz="0" w:space="0" w:color="auto"/>
          </w:divBdr>
          <w:divsChild>
            <w:div w:id="173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B277-917C-40C3-9496-3CA2E021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6987</Words>
  <Characters>39829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8</cp:revision>
  <dcterms:created xsi:type="dcterms:W3CDTF">2025-09-12T17:36:00Z</dcterms:created>
  <dcterms:modified xsi:type="dcterms:W3CDTF">2025-09-13T10:50:00Z</dcterms:modified>
</cp:coreProperties>
</file>